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17" w:rsidRDefault="00882D17" w:rsidP="00502AB6">
      <w:pPr>
        <w:spacing w:after="0" w:line="240" w:lineRule="auto"/>
        <w:ind w:left="-142" w:right="-799"/>
        <w:jc w:val="center"/>
        <w:rPr>
          <w:rFonts w:ascii="Verdana" w:hAnsi="Verdana"/>
          <w:b/>
          <w:spacing w:val="-2"/>
          <w:sz w:val="20"/>
          <w:szCs w:val="20"/>
        </w:rPr>
      </w:pPr>
      <w:bookmarkStart w:id="0" w:name="_GoBack"/>
      <w:bookmarkEnd w:id="0"/>
    </w:p>
    <w:p w:rsidR="00882D17" w:rsidRDefault="00882D17" w:rsidP="00502AB6">
      <w:pPr>
        <w:spacing w:after="0" w:line="240" w:lineRule="auto"/>
        <w:ind w:left="-142" w:right="-799"/>
        <w:jc w:val="center"/>
        <w:rPr>
          <w:rFonts w:ascii="Verdana" w:hAnsi="Verdana"/>
          <w:b/>
          <w:spacing w:val="-2"/>
          <w:sz w:val="20"/>
          <w:szCs w:val="20"/>
        </w:rPr>
      </w:pPr>
    </w:p>
    <w:p w:rsidR="00882D17" w:rsidRDefault="00882D17" w:rsidP="00502AB6">
      <w:pPr>
        <w:spacing w:after="0" w:line="240" w:lineRule="auto"/>
        <w:ind w:left="-142" w:right="-799"/>
        <w:jc w:val="center"/>
        <w:rPr>
          <w:rFonts w:ascii="Verdana" w:hAnsi="Verdana"/>
          <w:b/>
          <w:spacing w:val="-2"/>
          <w:sz w:val="20"/>
          <w:szCs w:val="20"/>
        </w:rPr>
      </w:pPr>
    </w:p>
    <w:p w:rsidR="00882D17" w:rsidRDefault="00882D17" w:rsidP="00502AB6">
      <w:pPr>
        <w:spacing w:after="0" w:line="240" w:lineRule="auto"/>
        <w:ind w:left="-142" w:right="-799"/>
        <w:jc w:val="center"/>
        <w:rPr>
          <w:rFonts w:ascii="Verdana" w:hAnsi="Verdana"/>
          <w:b/>
          <w:spacing w:val="-2"/>
          <w:sz w:val="20"/>
          <w:szCs w:val="20"/>
        </w:rPr>
      </w:pPr>
    </w:p>
    <w:p w:rsidR="00882D17" w:rsidRDefault="00882D17" w:rsidP="00502AB6">
      <w:pPr>
        <w:spacing w:after="0" w:line="240" w:lineRule="auto"/>
        <w:ind w:left="-142" w:right="-799"/>
        <w:jc w:val="center"/>
        <w:rPr>
          <w:rFonts w:ascii="Verdana" w:hAnsi="Verdana"/>
          <w:b/>
          <w:spacing w:val="-2"/>
          <w:sz w:val="20"/>
          <w:szCs w:val="20"/>
        </w:rPr>
      </w:pPr>
    </w:p>
    <w:p w:rsidR="00882D17" w:rsidRDefault="00882D17" w:rsidP="00502AB6">
      <w:pPr>
        <w:spacing w:after="0" w:line="240" w:lineRule="auto"/>
        <w:ind w:left="-142" w:right="-799"/>
        <w:jc w:val="center"/>
        <w:rPr>
          <w:rFonts w:ascii="Verdana" w:hAnsi="Verdana"/>
          <w:b/>
          <w:spacing w:val="-2"/>
          <w:sz w:val="20"/>
          <w:szCs w:val="20"/>
        </w:rPr>
      </w:pPr>
    </w:p>
    <w:p w:rsidR="00502AB6" w:rsidRPr="002964A7" w:rsidRDefault="00502AB6" w:rsidP="00502AB6">
      <w:pPr>
        <w:spacing w:after="0" w:line="240" w:lineRule="auto"/>
        <w:ind w:left="-142" w:right="-799"/>
        <w:jc w:val="center"/>
        <w:rPr>
          <w:rFonts w:ascii="Verdana" w:hAnsi="Verdana"/>
          <w:b/>
          <w:spacing w:val="-2"/>
          <w:sz w:val="20"/>
          <w:szCs w:val="20"/>
        </w:rPr>
      </w:pPr>
      <w:r w:rsidRPr="002964A7">
        <w:rPr>
          <w:rFonts w:ascii="Verdana" w:hAnsi="Verdana"/>
          <w:b/>
          <w:spacing w:val="-2"/>
          <w:sz w:val="20"/>
          <w:szCs w:val="20"/>
        </w:rPr>
        <w:t>CORTE INTERAMERICANA DE DERECHOS HUMANOS</w:t>
      </w:r>
    </w:p>
    <w:p w:rsidR="00502AB6" w:rsidRPr="002964A7" w:rsidRDefault="00502AB6" w:rsidP="00502AB6">
      <w:pPr>
        <w:spacing w:after="0" w:line="240" w:lineRule="auto"/>
        <w:ind w:left="-142" w:right="-799"/>
        <w:jc w:val="center"/>
        <w:rPr>
          <w:rFonts w:ascii="Verdana" w:hAnsi="Verdana"/>
          <w:b/>
          <w:spacing w:val="-2"/>
          <w:sz w:val="20"/>
          <w:szCs w:val="20"/>
        </w:rPr>
      </w:pPr>
    </w:p>
    <w:p w:rsidR="00502AB6" w:rsidRPr="002964A7" w:rsidRDefault="00502AB6" w:rsidP="00502AB6">
      <w:pPr>
        <w:autoSpaceDE w:val="0"/>
        <w:autoSpaceDN w:val="0"/>
        <w:adjustRightInd w:val="0"/>
        <w:spacing w:after="0" w:line="240" w:lineRule="auto"/>
        <w:jc w:val="center"/>
        <w:outlineLvl w:val="0"/>
        <w:rPr>
          <w:rFonts w:ascii="Verdana" w:hAnsi="Verdana" w:cs="Verdana"/>
          <w:b/>
          <w:bCs/>
          <w:sz w:val="20"/>
          <w:szCs w:val="20"/>
        </w:rPr>
      </w:pPr>
      <w:bookmarkStart w:id="1" w:name="_Toc421548990"/>
      <w:bookmarkStart w:id="2" w:name="_Toc421549279"/>
      <w:bookmarkStart w:id="3" w:name="_Toc421864916"/>
      <w:bookmarkStart w:id="4" w:name="_Toc423102497"/>
      <w:bookmarkStart w:id="5" w:name="_Toc433387451"/>
      <w:r w:rsidRPr="002964A7">
        <w:rPr>
          <w:rFonts w:ascii="Verdana" w:hAnsi="Verdana" w:cs="Verdana"/>
          <w:b/>
          <w:bCs/>
          <w:sz w:val="20"/>
          <w:szCs w:val="20"/>
        </w:rPr>
        <w:t>CASO COMUNIDAD CAMPESINA DE SANTA B</w:t>
      </w:r>
      <w:r w:rsidRPr="002964A7">
        <w:rPr>
          <w:rFonts w:ascii="Verdana" w:hAnsi="Verdana" w:cs="Verdana"/>
          <w:b/>
          <w:bCs/>
          <w:sz w:val="20"/>
          <w:szCs w:val="20"/>
          <w:lang w:val="pt-BR"/>
        </w:rPr>
        <w:t xml:space="preserve">ÁRBARA </w:t>
      </w:r>
      <w:r w:rsidRPr="002964A7">
        <w:rPr>
          <w:rFonts w:ascii="Verdana" w:hAnsi="Verdana" w:cs="Verdana"/>
          <w:b/>
          <w:bCs/>
          <w:i/>
          <w:iCs/>
          <w:sz w:val="20"/>
          <w:szCs w:val="20"/>
        </w:rPr>
        <w:t xml:space="preserve">VS. </w:t>
      </w:r>
      <w:r w:rsidRPr="002964A7">
        <w:rPr>
          <w:rFonts w:ascii="Verdana" w:hAnsi="Verdana" w:cs="Verdana"/>
          <w:b/>
          <w:bCs/>
          <w:sz w:val="20"/>
          <w:szCs w:val="20"/>
        </w:rPr>
        <w:t>PERÚ</w:t>
      </w:r>
      <w:bookmarkEnd w:id="1"/>
      <w:bookmarkEnd w:id="2"/>
      <w:bookmarkEnd w:id="3"/>
      <w:bookmarkEnd w:id="4"/>
      <w:bookmarkEnd w:id="5"/>
    </w:p>
    <w:p w:rsidR="00502AB6" w:rsidRPr="002964A7" w:rsidRDefault="00502AB6" w:rsidP="00502AB6">
      <w:pPr>
        <w:spacing w:after="0" w:line="240" w:lineRule="auto"/>
        <w:ind w:right="-799"/>
        <w:outlineLvl w:val="0"/>
        <w:rPr>
          <w:rFonts w:ascii="Verdana" w:hAnsi="Verdana"/>
          <w:b/>
          <w:spacing w:val="-2"/>
          <w:sz w:val="20"/>
          <w:szCs w:val="20"/>
        </w:rPr>
      </w:pPr>
    </w:p>
    <w:p w:rsidR="00502AB6" w:rsidRPr="002964A7" w:rsidRDefault="00502AB6" w:rsidP="00502AB6">
      <w:pPr>
        <w:spacing w:after="0" w:line="240" w:lineRule="auto"/>
        <w:ind w:left="-142" w:right="-799"/>
        <w:jc w:val="center"/>
        <w:rPr>
          <w:rFonts w:ascii="Verdana" w:hAnsi="Verdana"/>
          <w:b/>
          <w:spacing w:val="-2"/>
          <w:sz w:val="20"/>
          <w:szCs w:val="20"/>
        </w:rPr>
      </w:pPr>
      <w:r w:rsidRPr="002964A7">
        <w:rPr>
          <w:rFonts w:ascii="Verdana" w:hAnsi="Verdana"/>
          <w:b/>
          <w:spacing w:val="-2"/>
          <w:sz w:val="20"/>
          <w:szCs w:val="20"/>
        </w:rPr>
        <w:t xml:space="preserve">SENTENCIA DE </w:t>
      </w:r>
      <w:r w:rsidR="00E50578">
        <w:rPr>
          <w:rFonts w:ascii="Verdana" w:hAnsi="Verdana"/>
          <w:b/>
          <w:spacing w:val="-2"/>
          <w:sz w:val="20"/>
          <w:szCs w:val="20"/>
        </w:rPr>
        <w:t>1 DE SEPTIEMBRE DE</w:t>
      </w:r>
      <w:r w:rsidRPr="002964A7">
        <w:rPr>
          <w:rFonts w:ascii="Verdana" w:hAnsi="Verdana"/>
          <w:b/>
          <w:spacing w:val="-2"/>
          <w:sz w:val="20"/>
          <w:szCs w:val="20"/>
        </w:rPr>
        <w:t xml:space="preserve"> 2015</w:t>
      </w:r>
    </w:p>
    <w:p w:rsidR="00502AB6" w:rsidRPr="002964A7" w:rsidRDefault="00502AB6" w:rsidP="00502AB6">
      <w:pPr>
        <w:spacing w:after="0" w:line="240" w:lineRule="auto"/>
        <w:ind w:left="-142" w:right="-799"/>
        <w:jc w:val="center"/>
        <w:rPr>
          <w:rFonts w:ascii="Verdana" w:hAnsi="Verdana"/>
          <w:b/>
          <w:spacing w:val="-2"/>
          <w:sz w:val="20"/>
          <w:szCs w:val="20"/>
        </w:rPr>
      </w:pPr>
    </w:p>
    <w:p w:rsidR="00502AB6" w:rsidRPr="002964A7" w:rsidRDefault="00502AB6" w:rsidP="00502AB6">
      <w:pPr>
        <w:spacing w:after="0" w:line="240" w:lineRule="auto"/>
        <w:ind w:left="-142" w:right="-799"/>
        <w:jc w:val="center"/>
        <w:rPr>
          <w:rFonts w:ascii="Verdana" w:hAnsi="Verdana"/>
          <w:b/>
          <w:spacing w:val="-2"/>
          <w:sz w:val="20"/>
          <w:szCs w:val="20"/>
        </w:rPr>
      </w:pPr>
      <w:r w:rsidRPr="002964A7">
        <w:rPr>
          <w:rFonts w:ascii="Verdana" w:hAnsi="Verdana"/>
          <w:b/>
          <w:i/>
          <w:spacing w:val="-2"/>
          <w:sz w:val="20"/>
          <w:szCs w:val="20"/>
        </w:rPr>
        <w:t>(Excepciones Preliminares, Fondo, Reparaciones y Costas</w:t>
      </w:r>
      <w:r w:rsidRPr="002964A7">
        <w:rPr>
          <w:rFonts w:ascii="Verdana" w:hAnsi="Verdana"/>
          <w:b/>
          <w:spacing w:val="-2"/>
          <w:sz w:val="20"/>
          <w:szCs w:val="20"/>
        </w:rPr>
        <w:t>)</w:t>
      </w:r>
    </w:p>
    <w:p w:rsidR="00502AB6" w:rsidRPr="002964A7" w:rsidRDefault="00502AB6" w:rsidP="00502AB6">
      <w:pPr>
        <w:spacing w:after="0" w:line="240" w:lineRule="auto"/>
        <w:ind w:left="-142" w:right="-801"/>
        <w:rPr>
          <w:rFonts w:ascii="Verdana" w:hAnsi="Verdana"/>
          <w:b/>
          <w:spacing w:val="-2"/>
          <w:sz w:val="20"/>
          <w:szCs w:val="20"/>
        </w:rPr>
      </w:pPr>
    </w:p>
    <w:p w:rsidR="00502AB6" w:rsidRPr="002964A7" w:rsidRDefault="00502AB6" w:rsidP="00502AB6">
      <w:pPr>
        <w:spacing w:after="0" w:line="240" w:lineRule="auto"/>
        <w:ind w:left="-142" w:right="-801"/>
        <w:rPr>
          <w:rFonts w:ascii="Verdana" w:hAnsi="Verdana"/>
          <w:b/>
          <w:spacing w:val="-2"/>
          <w:sz w:val="20"/>
          <w:szCs w:val="20"/>
        </w:rPr>
      </w:pPr>
    </w:p>
    <w:p w:rsidR="00502AB6" w:rsidRPr="002964A7" w:rsidRDefault="00502AB6" w:rsidP="00502AB6">
      <w:pPr>
        <w:spacing w:after="0" w:line="240" w:lineRule="auto"/>
        <w:ind w:left="-142" w:right="-801"/>
        <w:rPr>
          <w:rFonts w:ascii="Verdana" w:hAnsi="Verdana"/>
          <w:b/>
          <w:spacing w:val="-2"/>
          <w:sz w:val="20"/>
          <w:szCs w:val="20"/>
        </w:rPr>
      </w:pPr>
    </w:p>
    <w:p w:rsidR="00502AB6" w:rsidRPr="002964A7" w:rsidRDefault="00502AB6" w:rsidP="00502AB6">
      <w:pPr>
        <w:spacing w:after="0" w:line="240" w:lineRule="auto"/>
        <w:ind w:left="-142" w:right="-801"/>
        <w:rPr>
          <w:rFonts w:ascii="Verdana" w:hAnsi="Verdana"/>
          <w:b/>
          <w:spacing w:val="-2"/>
          <w:sz w:val="20"/>
          <w:szCs w:val="20"/>
        </w:rPr>
      </w:pPr>
    </w:p>
    <w:p w:rsidR="00502AB6" w:rsidRPr="002964A7" w:rsidRDefault="00502AB6" w:rsidP="00502AB6">
      <w:pPr>
        <w:spacing w:after="0" w:line="240" w:lineRule="auto"/>
        <w:ind w:right="18"/>
        <w:jc w:val="both"/>
        <w:rPr>
          <w:rFonts w:ascii="Verdana" w:hAnsi="Verdana"/>
          <w:spacing w:val="-2"/>
          <w:sz w:val="20"/>
          <w:szCs w:val="20"/>
        </w:rPr>
      </w:pPr>
      <w:r w:rsidRPr="002964A7">
        <w:rPr>
          <w:rFonts w:ascii="Verdana" w:hAnsi="Verdana"/>
          <w:spacing w:val="-2"/>
          <w:sz w:val="20"/>
          <w:szCs w:val="20"/>
        </w:rPr>
        <w:t xml:space="preserve">En el caso </w:t>
      </w:r>
      <w:r w:rsidRPr="002964A7">
        <w:rPr>
          <w:rFonts w:ascii="Verdana" w:hAnsi="Verdana"/>
          <w:i/>
          <w:spacing w:val="-2"/>
          <w:sz w:val="20"/>
          <w:szCs w:val="20"/>
        </w:rPr>
        <w:t>Comunidad Campesina de Santa Bárbara Vs. Perú,</w:t>
      </w:r>
      <w:r w:rsidRPr="002964A7">
        <w:rPr>
          <w:rFonts w:ascii="Verdana" w:hAnsi="Verdana"/>
          <w:spacing w:val="-2"/>
          <w:sz w:val="20"/>
          <w:szCs w:val="20"/>
        </w:rPr>
        <w:t xml:space="preserve"> </w:t>
      </w:r>
    </w:p>
    <w:p w:rsidR="00502AB6" w:rsidRPr="002964A7" w:rsidRDefault="00502AB6" w:rsidP="00502AB6">
      <w:pPr>
        <w:spacing w:after="0" w:line="240" w:lineRule="auto"/>
        <w:ind w:right="18"/>
        <w:jc w:val="both"/>
        <w:rPr>
          <w:rFonts w:ascii="Verdana" w:hAnsi="Verdana"/>
          <w:spacing w:val="-2"/>
          <w:sz w:val="20"/>
          <w:szCs w:val="20"/>
        </w:rPr>
      </w:pPr>
    </w:p>
    <w:p w:rsidR="00502AB6" w:rsidRPr="002964A7" w:rsidRDefault="00502AB6" w:rsidP="00502AB6">
      <w:pPr>
        <w:spacing w:after="0" w:line="240" w:lineRule="auto"/>
        <w:ind w:right="18"/>
        <w:jc w:val="both"/>
        <w:rPr>
          <w:rFonts w:ascii="Verdana" w:hAnsi="Verdana"/>
          <w:spacing w:val="-2"/>
          <w:sz w:val="20"/>
          <w:szCs w:val="20"/>
        </w:rPr>
      </w:pPr>
      <w:r w:rsidRPr="002964A7">
        <w:rPr>
          <w:rFonts w:ascii="Verdana" w:hAnsi="Verdana"/>
          <w:spacing w:val="-2"/>
          <w:sz w:val="20"/>
          <w:szCs w:val="20"/>
        </w:rPr>
        <w:t>la Corte Interamericana de Derechos Humanos (en adelante “la Corte Interamericana”, “la Corte” o “el Tribunal”), integrada por los siguientes jueces</w:t>
      </w:r>
      <w:r w:rsidR="001F1BF6" w:rsidRPr="002964A7">
        <w:rPr>
          <w:rStyle w:val="FootnoteReference"/>
          <w:rFonts w:eastAsia="Calibri"/>
          <w:spacing w:val="-2"/>
          <w:szCs w:val="20"/>
        </w:rPr>
        <w:footnoteReference w:customMarkFollows="1" w:id="1"/>
        <w:t>*</w:t>
      </w:r>
      <w:r w:rsidRPr="002964A7">
        <w:rPr>
          <w:rFonts w:ascii="Verdana" w:hAnsi="Verdana"/>
          <w:spacing w:val="-2"/>
          <w:sz w:val="20"/>
          <w:szCs w:val="20"/>
        </w:rPr>
        <w:t>:</w:t>
      </w:r>
    </w:p>
    <w:p w:rsidR="00502AB6" w:rsidRPr="002964A7" w:rsidRDefault="00502AB6" w:rsidP="00502AB6">
      <w:pPr>
        <w:spacing w:after="0" w:line="240" w:lineRule="auto"/>
        <w:ind w:right="18"/>
        <w:jc w:val="both"/>
        <w:rPr>
          <w:rFonts w:ascii="Verdana" w:hAnsi="Verdana"/>
          <w:spacing w:val="-2"/>
          <w:sz w:val="20"/>
          <w:szCs w:val="20"/>
        </w:rPr>
      </w:pPr>
    </w:p>
    <w:p w:rsidR="00502AB6" w:rsidRPr="002964A7" w:rsidRDefault="00502AB6" w:rsidP="00502AB6">
      <w:pPr>
        <w:pStyle w:val="citaindirecta"/>
        <w:tabs>
          <w:tab w:val="left" w:pos="851"/>
        </w:tabs>
        <w:ind w:left="0" w:right="18"/>
        <w:rPr>
          <w:spacing w:val="-2"/>
          <w:lang w:val="es-CR"/>
        </w:rPr>
      </w:pPr>
      <w:r w:rsidRPr="002964A7">
        <w:rPr>
          <w:spacing w:val="-2"/>
          <w:lang w:val="es-CR"/>
        </w:rPr>
        <w:t>Humberto Antonio Sierra Porto, Presidente;</w:t>
      </w:r>
    </w:p>
    <w:p w:rsidR="00502AB6" w:rsidRPr="002964A7" w:rsidRDefault="00502AB6" w:rsidP="00502AB6">
      <w:pPr>
        <w:pStyle w:val="citaindirecta"/>
        <w:tabs>
          <w:tab w:val="left" w:pos="851"/>
        </w:tabs>
        <w:ind w:left="0" w:right="18"/>
        <w:rPr>
          <w:spacing w:val="-2"/>
          <w:lang w:val="es-CR"/>
        </w:rPr>
      </w:pPr>
      <w:r w:rsidRPr="002964A7">
        <w:rPr>
          <w:spacing w:val="-2"/>
          <w:lang w:val="es-CR"/>
        </w:rPr>
        <w:t>Roberto F. Caldas,</w:t>
      </w:r>
      <w:r w:rsidRPr="002964A7">
        <w:rPr>
          <w:rFonts w:cs="Verdana"/>
          <w:spacing w:val="-2"/>
          <w:lang w:val="es-CR"/>
        </w:rPr>
        <w:t xml:space="preserve"> Vicepresidente;</w:t>
      </w:r>
    </w:p>
    <w:p w:rsidR="00502AB6" w:rsidRPr="002964A7" w:rsidRDefault="00502AB6" w:rsidP="00502AB6">
      <w:pPr>
        <w:tabs>
          <w:tab w:val="left" w:pos="720"/>
          <w:tab w:val="left" w:pos="851"/>
        </w:tabs>
        <w:spacing w:after="0" w:line="240" w:lineRule="auto"/>
        <w:ind w:right="18"/>
        <w:jc w:val="both"/>
        <w:rPr>
          <w:rFonts w:ascii="Verdana" w:hAnsi="Verdana"/>
          <w:spacing w:val="-2"/>
          <w:sz w:val="20"/>
          <w:szCs w:val="20"/>
        </w:rPr>
      </w:pPr>
      <w:r w:rsidRPr="002964A7">
        <w:rPr>
          <w:rFonts w:ascii="Verdana" w:hAnsi="Verdana" w:cs="Verdana"/>
          <w:spacing w:val="-2"/>
          <w:sz w:val="20"/>
          <w:szCs w:val="20"/>
        </w:rPr>
        <w:t xml:space="preserve">Manuel E. Ventura Robles, </w:t>
      </w:r>
      <w:r w:rsidRPr="002964A7">
        <w:rPr>
          <w:rFonts w:ascii="Verdana" w:hAnsi="Verdana"/>
          <w:spacing w:val="-2"/>
          <w:sz w:val="20"/>
          <w:szCs w:val="20"/>
        </w:rPr>
        <w:t>Juez;</w:t>
      </w:r>
    </w:p>
    <w:p w:rsidR="00502AB6" w:rsidRPr="002964A7" w:rsidRDefault="00502AB6" w:rsidP="00502AB6">
      <w:pPr>
        <w:tabs>
          <w:tab w:val="left" w:pos="720"/>
          <w:tab w:val="left" w:pos="851"/>
        </w:tabs>
        <w:spacing w:after="0" w:line="240" w:lineRule="auto"/>
        <w:ind w:right="18"/>
        <w:jc w:val="both"/>
        <w:rPr>
          <w:rFonts w:ascii="Verdana" w:hAnsi="Verdana" w:cs="Verdana"/>
          <w:spacing w:val="-2"/>
          <w:sz w:val="20"/>
          <w:szCs w:val="20"/>
        </w:rPr>
      </w:pPr>
      <w:r w:rsidRPr="002964A7">
        <w:rPr>
          <w:rFonts w:ascii="Verdana" w:hAnsi="Verdana"/>
          <w:spacing w:val="-2"/>
          <w:sz w:val="20"/>
          <w:szCs w:val="20"/>
        </w:rPr>
        <w:t>Alberto Pérez P</w:t>
      </w:r>
      <w:r w:rsidR="009D407F">
        <w:rPr>
          <w:rFonts w:ascii="Verdana" w:hAnsi="Verdana"/>
          <w:spacing w:val="-2"/>
          <w:sz w:val="20"/>
          <w:szCs w:val="20"/>
        </w:rPr>
        <w:t>é</w:t>
      </w:r>
      <w:r w:rsidRPr="002964A7">
        <w:rPr>
          <w:rFonts w:ascii="Verdana" w:hAnsi="Verdana"/>
          <w:spacing w:val="-2"/>
          <w:sz w:val="20"/>
          <w:szCs w:val="20"/>
        </w:rPr>
        <w:t>rez</w:t>
      </w:r>
      <w:r w:rsidR="009549C7" w:rsidRPr="002964A7">
        <w:rPr>
          <w:rFonts w:ascii="Verdana" w:hAnsi="Verdana"/>
          <w:spacing w:val="-2"/>
          <w:sz w:val="20"/>
          <w:szCs w:val="20"/>
        </w:rPr>
        <w:t>, Juez</w:t>
      </w:r>
      <w:r w:rsidRPr="002964A7">
        <w:rPr>
          <w:rFonts w:ascii="Verdana" w:hAnsi="Verdana"/>
          <w:spacing w:val="-2"/>
          <w:sz w:val="20"/>
          <w:szCs w:val="20"/>
        </w:rPr>
        <w:t>;</w:t>
      </w:r>
      <w:r w:rsidRPr="002964A7">
        <w:rPr>
          <w:rFonts w:ascii="Verdana" w:hAnsi="Verdana" w:cs="Verdana"/>
          <w:spacing w:val="-2"/>
          <w:sz w:val="20"/>
          <w:szCs w:val="20"/>
        </w:rPr>
        <w:t xml:space="preserve"> </w:t>
      </w:r>
    </w:p>
    <w:p w:rsidR="00502AB6" w:rsidRPr="002964A7" w:rsidRDefault="00502AB6" w:rsidP="00502AB6">
      <w:pPr>
        <w:pStyle w:val="citaindirecta"/>
        <w:tabs>
          <w:tab w:val="left" w:pos="851"/>
        </w:tabs>
        <w:ind w:left="0" w:right="18"/>
        <w:rPr>
          <w:spacing w:val="-2"/>
          <w:lang w:val="es-CR"/>
        </w:rPr>
      </w:pPr>
      <w:r w:rsidRPr="002964A7">
        <w:rPr>
          <w:spacing w:val="-2"/>
          <w:lang w:val="es-CR"/>
        </w:rPr>
        <w:t>Eduardo Vio Grossi, Juez, y</w:t>
      </w:r>
    </w:p>
    <w:p w:rsidR="00502AB6" w:rsidRPr="002964A7" w:rsidRDefault="00502AB6" w:rsidP="00502AB6">
      <w:pPr>
        <w:pStyle w:val="citaindirecta"/>
        <w:tabs>
          <w:tab w:val="left" w:pos="851"/>
        </w:tabs>
        <w:ind w:left="0" w:right="18"/>
        <w:rPr>
          <w:spacing w:val="-2"/>
          <w:lang w:val="es-CR"/>
        </w:rPr>
      </w:pPr>
      <w:r w:rsidRPr="002964A7">
        <w:rPr>
          <w:spacing w:val="-2"/>
          <w:lang w:val="es-CR"/>
        </w:rPr>
        <w:t>Eduardo Ferrer Mac-Gregor Poisot, Juez;</w:t>
      </w:r>
    </w:p>
    <w:p w:rsidR="00502AB6" w:rsidRPr="002964A7" w:rsidRDefault="00502AB6" w:rsidP="00502AB6">
      <w:pPr>
        <w:tabs>
          <w:tab w:val="left" w:pos="851"/>
        </w:tabs>
        <w:spacing w:after="0" w:line="240" w:lineRule="auto"/>
        <w:ind w:right="18"/>
        <w:jc w:val="both"/>
        <w:rPr>
          <w:rFonts w:ascii="Verdana" w:hAnsi="Verdana"/>
          <w:spacing w:val="-2"/>
          <w:sz w:val="20"/>
          <w:szCs w:val="20"/>
        </w:rPr>
      </w:pPr>
    </w:p>
    <w:p w:rsidR="00502AB6" w:rsidRPr="002964A7" w:rsidRDefault="00502AB6" w:rsidP="00502AB6">
      <w:pPr>
        <w:tabs>
          <w:tab w:val="left" w:pos="851"/>
        </w:tabs>
        <w:spacing w:after="0" w:line="240" w:lineRule="auto"/>
        <w:ind w:right="18"/>
        <w:jc w:val="both"/>
        <w:rPr>
          <w:rFonts w:ascii="Verdana" w:hAnsi="Verdana"/>
          <w:spacing w:val="-2"/>
          <w:sz w:val="20"/>
          <w:szCs w:val="20"/>
        </w:rPr>
      </w:pPr>
      <w:r w:rsidRPr="002964A7">
        <w:rPr>
          <w:rFonts w:ascii="Verdana" w:hAnsi="Verdana"/>
          <w:spacing w:val="-2"/>
          <w:sz w:val="20"/>
          <w:szCs w:val="20"/>
        </w:rPr>
        <w:t>presentes</w:t>
      </w:r>
      <w:r w:rsidR="00C5140C">
        <w:rPr>
          <w:rFonts w:ascii="Verdana" w:hAnsi="Verdana"/>
          <w:spacing w:val="-2"/>
          <w:sz w:val="20"/>
          <w:szCs w:val="20"/>
        </w:rPr>
        <w:t>,</w:t>
      </w:r>
      <w:r w:rsidRPr="002964A7">
        <w:rPr>
          <w:rFonts w:ascii="Verdana" w:hAnsi="Verdana"/>
          <w:spacing w:val="-2"/>
          <w:sz w:val="20"/>
          <w:szCs w:val="20"/>
        </w:rPr>
        <w:t xml:space="preserve"> además, </w:t>
      </w:r>
    </w:p>
    <w:p w:rsidR="00502AB6" w:rsidRPr="002964A7" w:rsidRDefault="00502AB6" w:rsidP="00502AB6">
      <w:pPr>
        <w:spacing w:after="0" w:line="240" w:lineRule="auto"/>
        <w:ind w:right="18"/>
        <w:jc w:val="both"/>
        <w:rPr>
          <w:rFonts w:ascii="Verdana" w:hAnsi="Verdana"/>
          <w:spacing w:val="-2"/>
          <w:sz w:val="20"/>
          <w:szCs w:val="20"/>
        </w:rPr>
      </w:pPr>
    </w:p>
    <w:p w:rsidR="00502AB6" w:rsidRPr="002964A7" w:rsidRDefault="00502AB6" w:rsidP="00502AB6">
      <w:pPr>
        <w:spacing w:after="0" w:line="240" w:lineRule="auto"/>
        <w:ind w:right="18"/>
        <w:jc w:val="both"/>
        <w:rPr>
          <w:rFonts w:ascii="Verdana" w:hAnsi="Verdana"/>
          <w:spacing w:val="-2"/>
          <w:sz w:val="20"/>
          <w:szCs w:val="20"/>
        </w:rPr>
      </w:pPr>
      <w:r w:rsidRPr="002964A7">
        <w:rPr>
          <w:rFonts w:ascii="Verdana" w:hAnsi="Verdana"/>
          <w:spacing w:val="-2"/>
          <w:sz w:val="20"/>
          <w:szCs w:val="20"/>
        </w:rPr>
        <w:t>Pablo Saavedra Alessandri, Secretario, y</w:t>
      </w:r>
    </w:p>
    <w:p w:rsidR="00502AB6" w:rsidRPr="002964A7" w:rsidRDefault="00502AB6" w:rsidP="00502AB6">
      <w:pPr>
        <w:tabs>
          <w:tab w:val="left" w:pos="720"/>
          <w:tab w:val="left" w:pos="851"/>
        </w:tabs>
        <w:spacing w:after="0" w:line="240" w:lineRule="auto"/>
        <w:ind w:right="18"/>
        <w:jc w:val="both"/>
        <w:rPr>
          <w:rFonts w:ascii="Verdana" w:hAnsi="Verdana"/>
          <w:spacing w:val="-2"/>
          <w:sz w:val="20"/>
          <w:szCs w:val="20"/>
        </w:rPr>
      </w:pPr>
      <w:r w:rsidRPr="002964A7">
        <w:rPr>
          <w:rFonts w:ascii="Verdana" w:hAnsi="Verdana"/>
          <w:spacing w:val="-2"/>
          <w:sz w:val="20"/>
          <w:szCs w:val="20"/>
        </w:rPr>
        <w:t>Emilia Segares Rodríguez, Secretaria Adjunta,</w:t>
      </w:r>
    </w:p>
    <w:p w:rsidR="00502AB6" w:rsidRPr="002964A7" w:rsidRDefault="00502AB6" w:rsidP="00502AB6">
      <w:pPr>
        <w:tabs>
          <w:tab w:val="left" w:pos="720"/>
          <w:tab w:val="left" w:pos="851"/>
        </w:tabs>
        <w:spacing w:after="0" w:line="240" w:lineRule="auto"/>
        <w:ind w:right="18"/>
        <w:jc w:val="both"/>
        <w:rPr>
          <w:rFonts w:ascii="Verdana" w:hAnsi="Verdana"/>
          <w:spacing w:val="-2"/>
          <w:sz w:val="20"/>
          <w:szCs w:val="20"/>
        </w:rPr>
      </w:pPr>
    </w:p>
    <w:p w:rsidR="00502AB6" w:rsidRPr="002964A7" w:rsidRDefault="00502AB6" w:rsidP="00502AB6">
      <w:pPr>
        <w:tabs>
          <w:tab w:val="left" w:pos="851"/>
        </w:tabs>
        <w:spacing w:after="0" w:line="240" w:lineRule="auto"/>
        <w:ind w:right="18"/>
        <w:jc w:val="both"/>
        <w:rPr>
          <w:rFonts w:ascii="Verdana" w:hAnsi="Verdana" w:cs="Verdana"/>
          <w:spacing w:val="-2"/>
          <w:sz w:val="20"/>
          <w:szCs w:val="20"/>
        </w:rPr>
      </w:pPr>
      <w:r w:rsidRPr="002964A7">
        <w:rPr>
          <w:rFonts w:ascii="Verdana" w:hAnsi="Verdana" w:cs="Verdana"/>
          <w:spacing w:val="-2"/>
          <w:sz w:val="20"/>
          <w:szCs w:val="20"/>
        </w:rPr>
        <w:t>de conformidad con los artículos 62.3 y 63.1 de la Convención Americana sobre Derechos Humanos (en adelante también “la Convención Americana” o “la Convención”) y con los artículos 31, 32, 42, 65 y 67 del Reglamento de la Corte (en adelante “el Reglamento”), dicta la presente Sentencia, que se estructura en el siguiente orden:</w:t>
      </w:r>
    </w:p>
    <w:p w:rsidR="00502AB6" w:rsidRPr="002964A7" w:rsidRDefault="00502AB6" w:rsidP="00502AB6">
      <w:pPr>
        <w:spacing w:after="0" w:line="240" w:lineRule="auto"/>
        <w:rPr>
          <w:rFonts w:ascii="Verdana" w:hAnsi="Verdana"/>
          <w:spacing w:val="-2"/>
          <w:sz w:val="20"/>
          <w:szCs w:val="20"/>
        </w:rPr>
      </w:pPr>
    </w:p>
    <w:p w:rsidR="00882D17" w:rsidRDefault="00882D17" w:rsidP="005169AC">
      <w:pPr>
        <w:pStyle w:val="TOC1"/>
      </w:pPr>
      <w:bookmarkStart w:id="6" w:name="_Toc406580638"/>
      <w:bookmarkStart w:id="7" w:name="_Toc401929010"/>
    </w:p>
    <w:p w:rsidR="00882D17" w:rsidRDefault="00882D17" w:rsidP="005169AC">
      <w:pPr>
        <w:pStyle w:val="TOC1"/>
      </w:pPr>
    </w:p>
    <w:p w:rsidR="00882D17" w:rsidRDefault="00882D17" w:rsidP="005169AC">
      <w:pPr>
        <w:pStyle w:val="TOC1"/>
      </w:pPr>
    </w:p>
    <w:p w:rsidR="00882D17" w:rsidRDefault="00882D17" w:rsidP="005169AC">
      <w:pPr>
        <w:pStyle w:val="TOC1"/>
      </w:pPr>
    </w:p>
    <w:p w:rsidR="00882D17" w:rsidRDefault="00882D17" w:rsidP="005169AC">
      <w:pPr>
        <w:pStyle w:val="TOC1"/>
      </w:pPr>
    </w:p>
    <w:p w:rsidR="00882D17" w:rsidRDefault="00882D17" w:rsidP="005169AC">
      <w:pPr>
        <w:pStyle w:val="TOC1"/>
      </w:pPr>
    </w:p>
    <w:p w:rsidR="00882D17" w:rsidRDefault="00882D17" w:rsidP="005169AC">
      <w:pPr>
        <w:pStyle w:val="TOC1"/>
      </w:pPr>
    </w:p>
    <w:p w:rsidR="00882D17" w:rsidRDefault="00882D17" w:rsidP="005169AC">
      <w:pPr>
        <w:pStyle w:val="TOC1"/>
      </w:pPr>
    </w:p>
    <w:p w:rsidR="00882D17" w:rsidRDefault="00882D17" w:rsidP="005169AC">
      <w:pPr>
        <w:pStyle w:val="TOC1"/>
      </w:pPr>
    </w:p>
    <w:p w:rsidR="00882D17" w:rsidRPr="00882D17" w:rsidRDefault="00882D17" w:rsidP="00882D17"/>
    <w:p w:rsidR="0081152C" w:rsidRPr="00597FE9" w:rsidRDefault="0081152C" w:rsidP="005169AC">
      <w:pPr>
        <w:pStyle w:val="TOC1"/>
      </w:pPr>
      <w:r w:rsidRPr="002964A7">
        <w:lastRenderedPageBreak/>
        <w:t>TABLA DE CONTENIDO</w:t>
      </w:r>
    </w:p>
    <w:p w:rsidR="003734D2" w:rsidRDefault="003734D2" w:rsidP="00726DBA">
      <w:pPr>
        <w:pStyle w:val="Heading1"/>
        <w:rPr>
          <w:szCs w:val="20"/>
        </w:rPr>
      </w:pPr>
      <w:bookmarkStart w:id="8" w:name="_Toc421864917"/>
      <w:bookmarkStart w:id="9" w:name="_Toc423102498"/>
    </w:p>
    <w:p w:rsidR="001154F9" w:rsidRPr="0081152C" w:rsidRDefault="001154F9" w:rsidP="005169AC">
      <w:pPr>
        <w:pStyle w:val="TOC1"/>
        <w:jc w:val="left"/>
        <w:rPr>
          <w:rFonts w:eastAsiaTheme="minorEastAsia" w:cstheme="minorBidi"/>
          <w:lang w:eastAsia="es-CR"/>
        </w:rPr>
      </w:pPr>
      <w:r>
        <w:fldChar w:fldCharType="begin"/>
      </w:r>
      <w:r>
        <w:instrText xml:space="preserve"> TOC \o "1-3" \h \z \u </w:instrText>
      </w:r>
      <w:r>
        <w:fldChar w:fldCharType="separate"/>
      </w:r>
      <w:hyperlink w:anchor="_Toc433387452" w:history="1">
        <w:r w:rsidRPr="0081152C">
          <w:rPr>
            <w:rStyle w:val="Hyperlink"/>
            <w:color w:val="auto"/>
            <w:u w:val="none"/>
          </w:rPr>
          <w:t>I INTRODUCCIÓN DE LA CAUSA Y OBJETO DE LA CONTROVERSIA</w:t>
        </w:r>
        <w:r w:rsidRPr="0081152C">
          <w:rPr>
            <w:webHidden/>
          </w:rPr>
          <w:tab/>
        </w:r>
        <w:r w:rsidRPr="0081152C">
          <w:rPr>
            <w:webHidden/>
          </w:rPr>
          <w:fldChar w:fldCharType="begin"/>
        </w:r>
        <w:r w:rsidRPr="0081152C">
          <w:rPr>
            <w:webHidden/>
          </w:rPr>
          <w:instrText xml:space="preserve"> PAGEREF _Toc433387452 \h </w:instrText>
        </w:r>
        <w:r w:rsidRPr="0081152C">
          <w:rPr>
            <w:webHidden/>
          </w:rPr>
        </w:r>
        <w:r w:rsidRPr="0081152C">
          <w:rPr>
            <w:webHidden/>
          </w:rPr>
          <w:fldChar w:fldCharType="separate"/>
        </w:r>
        <w:r w:rsidR="00183A6F">
          <w:rPr>
            <w:webHidden/>
          </w:rPr>
          <w:t>5</w:t>
        </w:r>
        <w:r w:rsidRPr="0081152C">
          <w:rPr>
            <w:webHidden/>
          </w:rPr>
          <w:fldChar w:fldCharType="end"/>
        </w:r>
      </w:hyperlink>
    </w:p>
    <w:p w:rsidR="001154F9" w:rsidRPr="0081152C" w:rsidRDefault="006D5A62" w:rsidP="005169AC">
      <w:pPr>
        <w:pStyle w:val="TOC1"/>
        <w:jc w:val="left"/>
        <w:rPr>
          <w:rFonts w:eastAsiaTheme="minorEastAsia" w:cstheme="minorBidi"/>
          <w:lang w:eastAsia="es-CR"/>
        </w:rPr>
      </w:pPr>
      <w:hyperlink w:anchor="_Toc433387453" w:history="1">
        <w:r w:rsidR="001154F9" w:rsidRPr="0081152C">
          <w:rPr>
            <w:rStyle w:val="Hyperlink"/>
            <w:color w:val="auto"/>
            <w:u w:val="none"/>
          </w:rPr>
          <w:t>II PROCEDIMIENTO ANTE LA CORTE</w:t>
        </w:r>
        <w:r w:rsidR="001154F9" w:rsidRPr="0081152C">
          <w:rPr>
            <w:webHidden/>
          </w:rPr>
          <w:tab/>
        </w:r>
        <w:r w:rsidR="001154F9" w:rsidRPr="0081152C">
          <w:rPr>
            <w:webHidden/>
          </w:rPr>
          <w:fldChar w:fldCharType="begin"/>
        </w:r>
        <w:r w:rsidR="001154F9" w:rsidRPr="0081152C">
          <w:rPr>
            <w:webHidden/>
          </w:rPr>
          <w:instrText xml:space="preserve"> PAGEREF _Toc433387453 \h </w:instrText>
        </w:r>
        <w:r w:rsidR="001154F9" w:rsidRPr="0081152C">
          <w:rPr>
            <w:webHidden/>
          </w:rPr>
        </w:r>
        <w:r w:rsidR="001154F9" w:rsidRPr="0081152C">
          <w:rPr>
            <w:webHidden/>
          </w:rPr>
          <w:fldChar w:fldCharType="separate"/>
        </w:r>
        <w:r w:rsidR="00183A6F">
          <w:rPr>
            <w:webHidden/>
          </w:rPr>
          <w:t>7</w:t>
        </w:r>
        <w:r w:rsidR="001154F9" w:rsidRPr="0081152C">
          <w:rPr>
            <w:webHidden/>
          </w:rPr>
          <w:fldChar w:fldCharType="end"/>
        </w:r>
      </w:hyperlink>
    </w:p>
    <w:p w:rsidR="001154F9" w:rsidRPr="0081152C" w:rsidRDefault="001154F9" w:rsidP="005169AC">
      <w:pPr>
        <w:pStyle w:val="TOC1"/>
        <w:jc w:val="left"/>
        <w:rPr>
          <w:rFonts w:eastAsiaTheme="minorEastAsia" w:cstheme="minorBidi"/>
          <w:lang w:eastAsia="es-CR"/>
        </w:rPr>
      </w:pPr>
      <w:r w:rsidRPr="0081152C">
        <w:rPr>
          <w:rStyle w:val="Hyperlink"/>
          <w:color w:val="auto"/>
          <w:u w:val="none"/>
        </w:rPr>
        <w:t xml:space="preserve">III </w:t>
      </w:r>
      <w:hyperlink w:anchor="_Toc433387455" w:history="1">
        <w:r w:rsidRPr="0081152C">
          <w:rPr>
            <w:rStyle w:val="Hyperlink"/>
            <w:color w:val="auto"/>
            <w:u w:val="none"/>
          </w:rPr>
          <w:t>COMPETENCIA</w:t>
        </w:r>
        <w:r w:rsidRPr="0081152C">
          <w:rPr>
            <w:webHidden/>
          </w:rPr>
          <w:tab/>
        </w:r>
        <w:r w:rsidRPr="0081152C">
          <w:rPr>
            <w:webHidden/>
          </w:rPr>
          <w:fldChar w:fldCharType="begin"/>
        </w:r>
        <w:r w:rsidRPr="0081152C">
          <w:rPr>
            <w:webHidden/>
          </w:rPr>
          <w:instrText xml:space="preserve"> PAGEREF _Toc433387455 \h </w:instrText>
        </w:r>
        <w:r w:rsidRPr="0081152C">
          <w:rPr>
            <w:webHidden/>
          </w:rPr>
        </w:r>
        <w:r w:rsidRPr="0081152C">
          <w:rPr>
            <w:webHidden/>
          </w:rPr>
          <w:fldChar w:fldCharType="separate"/>
        </w:r>
        <w:r w:rsidR="00183A6F">
          <w:rPr>
            <w:webHidden/>
          </w:rPr>
          <w:t>8</w:t>
        </w:r>
        <w:r w:rsidRPr="0081152C">
          <w:rPr>
            <w:webHidden/>
          </w:rPr>
          <w:fldChar w:fldCharType="end"/>
        </w:r>
      </w:hyperlink>
    </w:p>
    <w:p w:rsidR="00A72F64" w:rsidRPr="00657265" w:rsidRDefault="00A72F64" w:rsidP="005169AC">
      <w:pPr>
        <w:pStyle w:val="TOC1"/>
        <w:jc w:val="left"/>
        <w:rPr>
          <w:rStyle w:val="Hyperlink"/>
          <w:b w:val="0"/>
          <w:color w:val="auto"/>
          <w:u w:val="none"/>
        </w:rPr>
      </w:pPr>
    </w:p>
    <w:p w:rsidR="001154F9" w:rsidRPr="0081152C" w:rsidRDefault="001154F9" w:rsidP="005169AC">
      <w:pPr>
        <w:pStyle w:val="TOC1"/>
        <w:jc w:val="left"/>
        <w:rPr>
          <w:rFonts w:eastAsiaTheme="minorEastAsia" w:cstheme="minorBidi"/>
          <w:lang w:eastAsia="es-CR"/>
        </w:rPr>
      </w:pPr>
      <w:r w:rsidRPr="0081152C">
        <w:rPr>
          <w:rStyle w:val="Hyperlink"/>
          <w:color w:val="auto"/>
          <w:u w:val="none"/>
        </w:rPr>
        <w:t xml:space="preserve">IV </w:t>
      </w:r>
      <w:hyperlink w:anchor="_Toc433387457" w:history="1">
        <w:r w:rsidRPr="0081152C">
          <w:rPr>
            <w:rStyle w:val="Hyperlink"/>
            <w:color w:val="auto"/>
            <w:u w:val="none"/>
          </w:rPr>
          <w:t>SOBRE EL “RECONOCIMIENTO DE VULNERACIÓN DE DERECHOS DEL ESTADO PERUANO” Y LA CALIFICACIÓN JURÍDICA DE LOS HECHOS</w:t>
        </w:r>
        <w:r w:rsidRPr="0081152C">
          <w:rPr>
            <w:webHidden/>
          </w:rPr>
          <w:tab/>
        </w:r>
        <w:r w:rsidRPr="0081152C">
          <w:rPr>
            <w:webHidden/>
          </w:rPr>
          <w:fldChar w:fldCharType="begin"/>
        </w:r>
        <w:r w:rsidRPr="0081152C">
          <w:rPr>
            <w:webHidden/>
          </w:rPr>
          <w:instrText xml:space="preserve"> PAGEREF _Toc433387457 \h </w:instrText>
        </w:r>
        <w:r w:rsidRPr="0081152C">
          <w:rPr>
            <w:webHidden/>
          </w:rPr>
        </w:r>
        <w:r w:rsidRPr="0081152C">
          <w:rPr>
            <w:webHidden/>
          </w:rPr>
          <w:fldChar w:fldCharType="separate"/>
        </w:r>
        <w:r w:rsidR="00183A6F">
          <w:rPr>
            <w:webHidden/>
          </w:rPr>
          <w:t>9</w:t>
        </w:r>
        <w:r w:rsidRPr="0081152C">
          <w:rPr>
            <w:webHidden/>
          </w:rPr>
          <w:fldChar w:fldCharType="end"/>
        </w:r>
      </w:hyperlink>
    </w:p>
    <w:p w:rsidR="001154F9" w:rsidRPr="00657265"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458" w:history="1">
        <w:r w:rsidR="001154F9" w:rsidRPr="00657265">
          <w:rPr>
            <w:rStyle w:val="Hyperlink"/>
            <w:rFonts w:ascii="Verdana" w:eastAsia="Calibri" w:hAnsi="Verdana"/>
            <w:noProof/>
            <w:color w:val="auto"/>
            <w:sz w:val="20"/>
            <w:szCs w:val="20"/>
            <w:u w:val="none"/>
            <w:lang w:val="es-CO" w:eastAsia="es-CR"/>
          </w:rPr>
          <w:t>A.</w:t>
        </w:r>
        <w:r w:rsidR="001154F9" w:rsidRPr="00657265">
          <w:rPr>
            <w:rFonts w:ascii="Verdana" w:eastAsiaTheme="minorEastAsia" w:hAnsi="Verdana" w:cstheme="minorBidi"/>
            <w:noProof/>
            <w:sz w:val="20"/>
            <w:szCs w:val="20"/>
            <w:lang w:eastAsia="es-CR"/>
          </w:rPr>
          <w:tab/>
        </w:r>
        <w:r w:rsidR="001154F9" w:rsidRPr="00657265">
          <w:rPr>
            <w:rStyle w:val="Hyperlink"/>
            <w:rFonts w:ascii="Verdana" w:eastAsia="Calibri" w:hAnsi="Verdana"/>
            <w:noProof/>
            <w:color w:val="auto"/>
            <w:sz w:val="20"/>
            <w:szCs w:val="20"/>
            <w:u w:val="none"/>
            <w:lang w:val="es-CO" w:eastAsia="es-CR"/>
          </w:rPr>
          <w:t>Argumentos de las partes y la Comisión</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_Toc433387458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9</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459" w:history="1">
        <w:r w:rsidR="001154F9" w:rsidRPr="00657265">
          <w:rPr>
            <w:rStyle w:val="Hyperlink"/>
            <w:rFonts w:ascii="Verdana" w:hAnsi="Verdana"/>
            <w:noProof/>
            <w:color w:val="auto"/>
            <w:sz w:val="20"/>
            <w:szCs w:val="20"/>
            <w:u w:val="none"/>
            <w:lang w:eastAsia="es-CR"/>
          </w:rPr>
          <w:t>B.</w:t>
        </w:r>
        <w:r w:rsidR="001154F9" w:rsidRPr="00657265">
          <w:rPr>
            <w:rFonts w:ascii="Verdana" w:eastAsiaTheme="minorEastAsia" w:hAnsi="Verdana" w:cstheme="minorBidi"/>
            <w:noProof/>
            <w:sz w:val="20"/>
            <w:szCs w:val="20"/>
            <w:lang w:eastAsia="es-CR"/>
          </w:rPr>
          <w:tab/>
        </w:r>
        <w:r w:rsidR="001154F9" w:rsidRPr="00657265">
          <w:rPr>
            <w:rStyle w:val="Hyperlink"/>
            <w:rFonts w:ascii="Verdana" w:hAnsi="Verdana"/>
            <w:noProof/>
            <w:color w:val="auto"/>
            <w:sz w:val="20"/>
            <w:szCs w:val="20"/>
            <w:u w:val="none"/>
            <w:lang w:eastAsia="es-CR"/>
          </w:rPr>
          <w:t>Consideraciones de la Corte</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_Toc433387459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11</w:t>
        </w:r>
        <w:r w:rsidR="001154F9" w:rsidRPr="00657265">
          <w:rPr>
            <w:rFonts w:ascii="Verdana" w:hAnsi="Verdana"/>
            <w:noProof/>
            <w:webHidden/>
            <w:sz w:val="20"/>
            <w:szCs w:val="20"/>
          </w:rPr>
          <w:fldChar w:fldCharType="end"/>
        </w:r>
      </w:hyperlink>
    </w:p>
    <w:p w:rsidR="00A72F64" w:rsidRPr="00657265" w:rsidRDefault="00A72F64" w:rsidP="005169AC">
      <w:pPr>
        <w:pStyle w:val="TOC1"/>
        <w:jc w:val="left"/>
        <w:rPr>
          <w:rStyle w:val="Hyperlink"/>
          <w:b w:val="0"/>
          <w:color w:val="auto"/>
          <w:u w:val="none"/>
        </w:rPr>
      </w:pPr>
    </w:p>
    <w:p w:rsidR="001154F9" w:rsidRPr="0081152C" w:rsidRDefault="001154F9" w:rsidP="005169AC">
      <w:pPr>
        <w:pStyle w:val="TOC1"/>
        <w:jc w:val="left"/>
        <w:rPr>
          <w:rFonts w:eastAsiaTheme="minorEastAsia" w:cstheme="minorBidi"/>
          <w:lang w:eastAsia="es-CR"/>
        </w:rPr>
      </w:pPr>
      <w:r w:rsidRPr="0081152C">
        <w:rPr>
          <w:rStyle w:val="Hyperlink"/>
          <w:color w:val="auto"/>
          <w:u w:val="none"/>
        </w:rPr>
        <w:t xml:space="preserve">V </w:t>
      </w:r>
      <w:hyperlink w:anchor="_Toc433387461" w:history="1">
        <w:r w:rsidRPr="0081152C">
          <w:rPr>
            <w:rStyle w:val="Hyperlink"/>
            <w:rFonts w:eastAsia="Calibri"/>
            <w:color w:val="auto"/>
            <w:u w:val="none"/>
          </w:rPr>
          <w:t>EXCEPCIONES PRELIMINARES</w:t>
        </w:r>
        <w:r w:rsidRPr="0081152C">
          <w:rPr>
            <w:webHidden/>
          </w:rPr>
          <w:tab/>
        </w:r>
        <w:r w:rsidRPr="0081152C">
          <w:rPr>
            <w:webHidden/>
          </w:rPr>
          <w:fldChar w:fldCharType="begin"/>
        </w:r>
        <w:r w:rsidRPr="0081152C">
          <w:rPr>
            <w:webHidden/>
          </w:rPr>
          <w:instrText xml:space="preserve"> PAGEREF _Toc433387461 \h </w:instrText>
        </w:r>
        <w:r w:rsidRPr="0081152C">
          <w:rPr>
            <w:webHidden/>
          </w:rPr>
        </w:r>
        <w:r w:rsidRPr="0081152C">
          <w:rPr>
            <w:webHidden/>
          </w:rPr>
          <w:fldChar w:fldCharType="separate"/>
        </w:r>
        <w:r w:rsidR="00183A6F">
          <w:rPr>
            <w:webHidden/>
          </w:rPr>
          <w:t>15</w:t>
        </w:r>
        <w:r w:rsidRPr="0081152C">
          <w:rPr>
            <w:webHidden/>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62" w:history="1">
        <w:r w:rsidR="001154F9" w:rsidRPr="00657265">
          <w:rPr>
            <w:rStyle w:val="Hyperlink"/>
            <w:rFonts w:ascii="Verdana" w:hAnsi="Verdana"/>
            <w:noProof/>
            <w:color w:val="auto"/>
            <w:sz w:val="20"/>
            <w:szCs w:val="20"/>
            <w:u w:val="none"/>
          </w:rPr>
          <w:t xml:space="preserve">A. </w:t>
        </w:r>
        <w:r w:rsidR="001154F9" w:rsidRPr="00657265">
          <w:rPr>
            <w:rStyle w:val="Hyperlink"/>
            <w:rFonts w:ascii="Verdana" w:eastAsia="Calibri" w:hAnsi="Verdana"/>
            <w:noProof/>
            <w:color w:val="auto"/>
            <w:sz w:val="20"/>
            <w:szCs w:val="20"/>
            <w:u w:val="none"/>
          </w:rPr>
          <w:t>Excepción a la falta de agotamiento de recursos internos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_Toc433387462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15</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65" w:history="1">
        <w:r w:rsidR="001154F9" w:rsidRPr="00657265">
          <w:rPr>
            <w:rStyle w:val="Hyperlink"/>
            <w:rFonts w:ascii="Verdana" w:eastAsia="Calibri" w:hAnsi="Verdana"/>
            <w:noProof/>
            <w:color w:val="auto"/>
            <w:sz w:val="20"/>
            <w:szCs w:val="20"/>
            <w:u w:val="none"/>
            <w:lang w:val="es-MX" w:eastAsia="es-CR"/>
          </w:rPr>
          <w:t xml:space="preserve">B. </w:t>
        </w:r>
        <w:r w:rsidR="001154F9" w:rsidRPr="00657265">
          <w:rPr>
            <w:rStyle w:val="Hyperlink"/>
            <w:rFonts w:ascii="Verdana" w:eastAsia="Calibri" w:hAnsi="Verdana"/>
            <w:noProof/>
            <w:color w:val="auto"/>
            <w:sz w:val="20"/>
            <w:szCs w:val="20"/>
            <w:u w:val="none"/>
            <w:lang w:eastAsia="es-CR"/>
          </w:rPr>
          <w:t xml:space="preserve">Excepción </w:t>
        </w:r>
        <w:r w:rsidR="001154F9" w:rsidRPr="00657265">
          <w:rPr>
            <w:rStyle w:val="Hyperlink"/>
            <w:rFonts w:ascii="Verdana" w:eastAsia="Calibri" w:hAnsi="Verdana"/>
            <w:i/>
            <w:noProof/>
            <w:color w:val="auto"/>
            <w:sz w:val="20"/>
            <w:szCs w:val="20"/>
            <w:u w:val="none"/>
            <w:lang w:eastAsia="es-CR"/>
          </w:rPr>
          <w:t>ratione materiae</w:t>
        </w:r>
        <w:r w:rsidR="001154F9" w:rsidRPr="00657265">
          <w:rPr>
            <w:rStyle w:val="Hyperlink"/>
            <w:rFonts w:ascii="Verdana" w:eastAsia="Calibri" w:hAnsi="Verdana"/>
            <w:noProof/>
            <w:color w:val="auto"/>
            <w:sz w:val="20"/>
            <w:szCs w:val="20"/>
            <w:u w:val="none"/>
            <w:lang w:eastAsia="es-CR"/>
          </w:rPr>
          <w:t xml:space="preserve"> respecto a la Convención Interamericana sobre Desaparición Forzada </w:t>
        </w:r>
        <w:r w:rsidR="001154F9" w:rsidRPr="00657265">
          <w:rPr>
            <w:rStyle w:val="Hyperlink"/>
            <w:rFonts w:ascii="Verdana" w:eastAsia="Calibri" w:hAnsi="Verdana" w:cs="Arial"/>
            <w:noProof/>
            <w:color w:val="auto"/>
            <w:sz w:val="20"/>
            <w:szCs w:val="20"/>
            <w:u w:val="none"/>
            <w:lang w:val="es-ES_tradnl"/>
          </w:rPr>
          <w:t>de Personas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_Toc433387465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18</w:t>
        </w:r>
        <w:r w:rsidR="001154F9" w:rsidRPr="00657265">
          <w:rPr>
            <w:rFonts w:ascii="Verdana" w:hAnsi="Verdana"/>
            <w:noProof/>
            <w:webHidden/>
            <w:sz w:val="20"/>
            <w:szCs w:val="20"/>
          </w:rPr>
          <w:fldChar w:fldCharType="end"/>
        </w:r>
      </w:hyperlink>
    </w:p>
    <w:p w:rsidR="00A72F64" w:rsidRPr="00657265" w:rsidRDefault="00A72F64" w:rsidP="005169AC">
      <w:pPr>
        <w:pStyle w:val="TOC1"/>
        <w:jc w:val="left"/>
        <w:rPr>
          <w:rStyle w:val="Hyperlink"/>
          <w:b w:val="0"/>
          <w:color w:val="auto"/>
          <w:u w:val="none"/>
        </w:rPr>
      </w:pPr>
    </w:p>
    <w:p w:rsidR="001154F9" w:rsidRPr="0081152C" w:rsidRDefault="001154F9" w:rsidP="005169AC">
      <w:pPr>
        <w:pStyle w:val="TOC1"/>
        <w:jc w:val="left"/>
        <w:rPr>
          <w:rFonts w:eastAsiaTheme="minorEastAsia" w:cstheme="minorBidi"/>
          <w:lang w:eastAsia="es-CR"/>
        </w:rPr>
      </w:pPr>
      <w:r w:rsidRPr="0081152C">
        <w:rPr>
          <w:rStyle w:val="Hyperlink"/>
          <w:color w:val="auto"/>
          <w:u w:val="none"/>
        </w:rPr>
        <w:t xml:space="preserve">VI </w:t>
      </w:r>
      <w:hyperlink w:anchor="_Toc433387468" w:history="1">
        <w:r w:rsidRPr="0081152C">
          <w:rPr>
            <w:rStyle w:val="Hyperlink"/>
            <w:color w:val="auto"/>
            <w:u w:val="none"/>
            <w:lang w:eastAsia="es-CR"/>
          </w:rPr>
          <w:t>CUESTIONES PREVIAS</w:t>
        </w:r>
        <w:r w:rsidRPr="0081152C">
          <w:rPr>
            <w:webHidden/>
          </w:rPr>
          <w:tab/>
        </w:r>
        <w:r w:rsidRPr="0081152C">
          <w:rPr>
            <w:webHidden/>
          </w:rPr>
          <w:fldChar w:fldCharType="begin"/>
        </w:r>
        <w:r w:rsidRPr="0081152C">
          <w:rPr>
            <w:webHidden/>
          </w:rPr>
          <w:instrText xml:space="preserve"> PAGEREF _Toc433387468 \h </w:instrText>
        </w:r>
        <w:r w:rsidRPr="0081152C">
          <w:rPr>
            <w:webHidden/>
          </w:rPr>
        </w:r>
        <w:r w:rsidRPr="0081152C">
          <w:rPr>
            <w:webHidden/>
          </w:rPr>
          <w:fldChar w:fldCharType="separate"/>
        </w:r>
        <w:r w:rsidR="00183A6F">
          <w:rPr>
            <w:webHidden/>
          </w:rPr>
          <w:t>20</w:t>
        </w:r>
        <w:r w:rsidRPr="0081152C">
          <w:rPr>
            <w:webHidden/>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69" w:history="1">
        <w:r w:rsidR="001154F9" w:rsidRPr="00657265">
          <w:rPr>
            <w:rStyle w:val="Hyperlink"/>
            <w:rFonts w:ascii="Verdana" w:hAnsi="Verdana"/>
            <w:noProof/>
            <w:color w:val="auto"/>
            <w:sz w:val="20"/>
            <w:szCs w:val="20"/>
            <w:u w:val="none"/>
            <w:lang w:val="es-ES"/>
          </w:rPr>
          <w:t xml:space="preserve">A. </w:t>
        </w:r>
        <w:r w:rsidR="001154F9" w:rsidRPr="00657265">
          <w:rPr>
            <w:rStyle w:val="Hyperlink"/>
            <w:rFonts w:ascii="Verdana" w:eastAsia="Calibri" w:hAnsi="Verdana"/>
            <w:noProof/>
            <w:color w:val="auto"/>
            <w:sz w:val="20"/>
            <w:szCs w:val="20"/>
            <w:u w:val="none"/>
            <w:lang w:val="es-ES"/>
          </w:rPr>
          <w:t>Inclusión de Marcelina Guillén Riveros como presunta víctima por parte de los representantes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_Toc433387469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20</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72" w:history="1">
        <w:r w:rsidR="001154F9" w:rsidRPr="00657265">
          <w:rPr>
            <w:rStyle w:val="Hyperlink"/>
            <w:rFonts w:ascii="Verdana" w:hAnsi="Verdana"/>
            <w:noProof/>
            <w:color w:val="auto"/>
            <w:sz w:val="20"/>
            <w:szCs w:val="20"/>
            <w:u w:val="none"/>
            <w:lang w:val="es-ES"/>
          </w:rPr>
          <w:t>B. Sobre la presunta víctima Marino Huamaní Vergara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_Toc433387472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23</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73" w:history="1">
        <w:r w:rsidR="001154F9" w:rsidRPr="00657265">
          <w:rPr>
            <w:rStyle w:val="Hyperlink"/>
            <w:rFonts w:ascii="Verdana" w:hAnsi="Verdana"/>
            <w:noProof/>
            <w:color w:val="auto"/>
            <w:sz w:val="20"/>
            <w:szCs w:val="20"/>
            <w:u w:val="none"/>
            <w:lang w:eastAsia="es-CR"/>
          </w:rPr>
          <w:t xml:space="preserve">C. </w:t>
        </w:r>
        <w:r w:rsidR="001154F9" w:rsidRPr="00657265">
          <w:rPr>
            <w:rStyle w:val="Hyperlink"/>
            <w:rFonts w:ascii="Verdana" w:eastAsia="Calibri" w:hAnsi="Verdana"/>
            <w:noProof/>
            <w:color w:val="auto"/>
            <w:sz w:val="20"/>
            <w:szCs w:val="20"/>
            <w:u w:val="none"/>
            <w:lang w:eastAsia="es-CR"/>
          </w:rPr>
          <w:t>Improcedencia en cuanto a la formulación de nuevos hechos y/o argumentos presentados por los representantes de las presuntas víctimas no planteados por la Comisión en su Informe de Admisibilidad y Fondo: supuesta afectación del derecho a la propiedad y la prohibición de injerencias arbitrarias en la vida familiar (artículos 21 y 11.2 de la Convención Americana)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_Toc433387473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23</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76" w:history="1">
        <w:r w:rsidR="001154F9" w:rsidRPr="00657265">
          <w:rPr>
            <w:rStyle w:val="Hyperlink"/>
            <w:rFonts w:ascii="Verdana" w:hAnsi="Verdana"/>
            <w:noProof/>
            <w:color w:val="auto"/>
            <w:sz w:val="20"/>
            <w:szCs w:val="20"/>
            <w:u w:val="none"/>
            <w:lang w:eastAsia="es-CR"/>
          </w:rPr>
          <w:t>D. Delimitación de la controversia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_Toc433387476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26</w:t>
        </w:r>
        <w:r w:rsidR="001154F9" w:rsidRPr="00657265">
          <w:rPr>
            <w:rFonts w:ascii="Verdana" w:hAnsi="Verdana"/>
            <w:noProof/>
            <w:webHidden/>
            <w:sz w:val="20"/>
            <w:szCs w:val="20"/>
          </w:rPr>
          <w:fldChar w:fldCharType="end"/>
        </w:r>
      </w:hyperlink>
    </w:p>
    <w:p w:rsidR="003C28CA" w:rsidRPr="00657265" w:rsidRDefault="003C28CA" w:rsidP="005169AC">
      <w:pPr>
        <w:pStyle w:val="TOC1"/>
        <w:jc w:val="left"/>
        <w:rPr>
          <w:rStyle w:val="Hyperlink"/>
          <w:b w:val="0"/>
          <w:color w:val="auto"/>
          <w:u w:val="none"/>
        </w:rPr>
      </w:pPr>
    </w:p>
    <w:p w:rsidR="001154F9" w:rsidRPr="0081152C" w:rsidRDefault="001154F9" w:rsidP="005169AC">
      <w:pPr>
        <w:pStyle w:val="TOC1"/>
        <w:jc w:val="left"/>
        <w:rPr>
          <w:rFonts w:eastAsiaTheme="minorEastAsia" w:cstheme="minorBidi"/>
          <w:lang w:eastAsia="es-CR"/>
        </w:rPr>
      </w:pPr>
      <w:r w:rsidRPr="0081152C">
        <w:rPr>
          <w:rStyle w:val="Hyperlink"/>
          <w:color w:val="auto"/>
          <w:u w:val="none"/>
        </w:rPr>
        <w:t xml:space="preserve">VII </w:t>
      </w:r>
      <w:hyperlink w:anchor="_Toc433387478" w:history="1">
        <w:r w:rsidRPr="0081152C">
          <w:rPr>
            <w:rStyle w:val="Hyperlink"/>
            <w:color w:val="auto"/>
            <w:u w:val="none"/>
          </w:rPr>
          <w:t>PRUEBA</w:t>
        </w:r>
        <w:r w:rsidRPr="0081152C">
          <w:rPr>
            <w:webHidden/>
          </w:rPr>
          <w:tab/>
        </w:r>
        <w:r w:rsidRPr="0081152C">
          <w:rPr>
            <w:webHidden/>
          </w:rPr>
          <w:fldChar w:fldCharType="begin"/>
        </w:r>
        <w:r w:rsidRPr="0081152C">
          <w:rPr>
            <w:webHidden/>
          </w:rPr>
          <w:instrText xml:space="preserve"> PAGEREF _Toc433387478 \h </w:instrText>
        </w:r>
        <w:r w:rsidRPr="0081152C">
          <w:rPr>
            <w:webHidden/>
          </w:rPr>
        </w:r>
        <w:r w:rsidRPr="0081152C">
          <w:rPr>
            <w:webHidden/>
          </w:rPr>
          <w:fldChar w:fldCharType="separate"/>
        </w:r>
        <w:r w:rsidR="00183A6F">
          <w:rPr>
            <w:webHidden/>
          </w:rPr>
          <w:t>26</w:t>
        </w:r>
        <w:r w:rsidRPr="0081152C">
          <w:rPr>
            <w:webHidden/>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79" w:history="1">
        <w:r w:rsidR="003E6C3E" w:rsidRPr="00657265">
          <w:rPr>
            <w:rStyle w:val="Hyperlink"/>
            <w:rFonts w:ascii="Verdana" w:hAnsi="Verdana"/>
            <w:noProof/>
            <w:color w:val="auto"/>
            <w:sz w:val="20"/>
            <w:szCs w:val="20"/>
            <w:u w:val="none"/>
            <w:lang w:eastAsia="es-ES"/>
          </w:rPr>
          <w:t>A</w:t>
        </w:r>
        <w:r w:rsidR="001154F9" w:rsidRPr="00657265">
          <w:rPr>
            <w:rStyle w:val="Hyperlink"/>
            <w:rFonts w:ascii="Verdana" w:hAnsi="Verdana"/>
            <w:noProof/>
            <w:color w:val="auto"/>
            <w:sz w:val="20"/>
            <w:szCs w:val="20"/>
            <w:u w:val="none"/>
            <w:lang w:eastAsia="es-ES"/>
          </w:rPr>
          <w:t>. Prueba documental, testimonial y pericial</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_Toc433387479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26</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80" w:history="1">
        <w:r w:rsidR="003E6C3E" w:rsidRPr="00657265">
          <w:rPr>
            <w:rStyle w:val="Hyperlink"/>
            <w:rFonts w:ascii="Verdana" w:hAnsi="Verdana"/>
            <w:noProof/>
            <w:color w:val="auto"/>
            <w:sz w:val="20"/>
            <w:szCs w:val="20"/>
            <w:u w:val="none"/>
          </w:rPr>
          <w:t>B</w:t>
        </w:r>
        <w:r w:rsidR="001154F9" w:rsidRPr="00657265">
          <w:rPr>
            <w:rStyle w:val="Hyperlink"/>
            <w:rFonts w:ascii="Verdana" w:hAnsi="Verdana"/>
            <w:noProof/>
            <w:color w:val="auto"/>
            <w:sz w:val="20"/>
            <w:szCs w:val="20"/>
            <w:u w:val="none"/>
          </w:rPr>
          <w:t>. Admisión de la prueba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_Toc433387480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27</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81" w:history="1">
        <w:r w:rsidR="003E6C3E" w:rsidRPr="00657265">
          <w:rPr>
            <w:rStyle w:val="Hyperlink"/>
            <w:rFonts w:ascii="Verdana" w:hAnsi="Verdana"/>
            <w:noProof/>
            <w:color w:val="auto"/>
            <w:sz w:val="20"/>
            <w:szCs w:val="20"/>
            <w:u w:val="none"/>
          </w:rPr>
          <w:t>C</w:t>
        </w:r>
        <w:r w:rsidR="001154F9" w:rsidRPr="00657265">
          <w:rPr>
            <w:rStyle w:val="Hyperlink"/>
            <w:rFonts w:ascii="Verdana" w:hAnsi="Verdana"/>
            <w:noProof/>
            <w:color w:val="auto"/>
            <w:sz w:val="20"/>
            <w:szCs w:val="20"/>
            <w:u w:val="none"/>
          </w:rPr>
          <w:t>. Valoración de la prueba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_Toc433387481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29</w:t>
        </w:r>
        <w:r w:rsidR="001154F9" w:rsidRPr="00657265">
          <w:rPr>
            <w:rFonts w:ascii="Verdana" w:hAnsi="Verdana"/>
            <w:noProof/>
            <w:webHidden/>
            <w:sz w:val="20"/>
            <w:szCs w:val="20"/>
          </w:rPr>
          <w:fldChar w:fldCharType="end"/>
        </w:r>
      </w:hyperlink>
    </w:p>
    <w:p w:rsidR="008B2B85" w:rsidRPr="00657265" w:rsidRDefault="008B2B85" w:rsidP="005169AC">
      <w:pPr>
        <w:pStyle w:val="TOC1"/>
        <w:jc w:val="left"/>
        <w:rPr>
          <w:rStyle w:val="Hyperlink"/>
          <w:b w:val="0"/>
          <w:color w:val="auto"/>
          <w:u w:val="none"/>
        </w:rPr>
      </w:pPr>
    </w:p>
    <w:p w:rsidR="001154F9" w:rsidRPr="0081152C" w:rsidRDefault="001154F9" w:rsidP="005169AC">
      <w:pPr>
        <w:pStyle w:val="TOC1"/>
        <w:jc w:val="left"/>
        <w:rPr>
          <w:rFonts w:eastAsiaTheme="minorEastAsia" w:cstheme="minorBidi"/>
          <w:lang w:eastAsia="es-CR"/>
        </w:rPr>
      </w:pPr>
      <w:r w:rsidRPr="0081152C">
        <w:rPr>
          <w:rStyle w:val="Hyperlink"/>
          <w:color w:val="auto"/>
          <w:u w:val="none"/>
        </w:rPr>
        <w:t xml:space="preserve">VIII </w:t>
      </w:r>
      <w:hyperlink w:anchor="_Toc433387483" w:history="1">
        <w:r w:rsidRPr="0081152C">
          <w:rPr>
            <w:rStyle w:val="Hyperlink"/>
            <w:rFonts w:eastAsia="Calibri"/>
            <w:color w:val="auto"/>
            <w:spacing w:val="-2"/>
            <w:u w:val="none"/>
            <w:lang w:val="en-US"/>
          </w:rPr>
          <w:t>HECHOS</w:t>
        </w:r>
        <w:r w:rsidRPr="0081152C">
          <w:rPr>
            <w:webHidden/>
          </w:rPr>
          <w:tab/>
        </w:r>
        <w:r w:rsidRPr="0081152C">
          <w:rPr>
            <w:webHidden/>
          </w:rPr>
          <w:fldChar w:fldCharType="begin"/>
        </w:r>
        <w:r w:rsidRPr="0081152C">
          <w:rPr>
            <w:webHidden/>
          </w:rPr>
          <w:instrText xml:space="preserve"> PAGEREF _Toc433387483 \h </w:instrText>
        </w:r>
        <w:r w:rsidRPr="0081152C">
          <w:rPr>
            <w:webHidden/>
          </w:rPr>
        </w:r>
        <w:r w:rsidRPr="0081152C">
          <w:rPr>
            <w:webHidden/>
          </w:rPr>
          <w:fldChar w:fldCharType="separate"/>
        </w:r>
        <w:r w:rsidR="00183A6F">
          <w:rPr>
            <w:webHidden/>
          </w:rPr>
          <w:t>29</w:t>
        </w:r>
        <w:r w:rsidRPr="0081152C">
          <w:rPr>
            <w:webHidden/>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84" w:history="1">
        <w:r w:rsidR="001154F9" w:rsidRPr="00657265">
          <w:rPr>
            <w:rStyle w:val="Hyperlink"/>
            <w:rFonts w:ascii="Verdana" w:hAnsi="Verdana"/>
            <w:noProof/>
            <w:color w:val="auto"/>
            <w:sz w:val="20"/>
            <w:szCs w:val="20"/>
            <w:u w:val="none"/>
            <w:lang w:val="es-GT"/>
          </w:rPr>
          <w:t>A</w:t>
        </w:r>
        <w:r w:rsidR="008B2B85" w:rsidRPr="00657265">
          <w:rPr>
            <w:rStyle w:val="Hyperlink"/>
            <w:rFonts w:ascii="Verdana" w:hAnsi="Verdana"/>
            <w:noProof/>
            <w:color w:val="auto"/>
            <w:sz w:val="20"/>
            <w:szCs w:val="20"/>
            <w:u w:val="none"/>
            <w:lang w:val="es-GT"/>
          </w:rPr>
          <w:t>.</w:t>
        </w:r>
        <w:r w:rsidR="001154F9" w:rsidRPr="00657265">
          <w:rPr>
            <w:rStyle w:val="Hyperlink"/>
            <w:rFonts w:ascii="Verdana" w:hAnsi="Verdana"/>
            <w:noProof/>
            <w:color w:val="auto"/>
            <w:sz w:val="20"/>
            <w:szCs w:val="20"/>
            <w:u w:val="none"/>
            <w:lang w:val="es-GT"/>
          </w:rPr>
          <w:t xml:space="preserve"> Las familias a las que se refiere el presente caso</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_Toc433387484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29</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85" w:history="1">
        <w:r w:rsidR="008B2B85" w:rsidRPr="00657265">
          <w:rPr>
            <w:rStyle w:val="Hyperlink"/>
            <w:rFonts w:ascii="Verdana" w:eastAsia="Calibri" w:hAnsi="Verdana"/>
            <w:noProof/>
            <w:color w:val="auto"/>
            <w:spacing w:val="-2"/>
            <w:sz w:val="20"/>
            <w:szCs w:val="20"/>
            <w:u w:val="none"/>
            <w:lang w:val="es-GT"/>
          </w:rPr>
          <w:t>B.</w:t>
        </w:r>
        <w:r w:rsidR="001154F9" w:rsidRPr="00657265">
          <w:rPr>
            <w:rStyle w:val="Hyperlink"/>
            <w:rFonts w:ascii="Verdana" w:eastAsia="Calibri" w:hAnsi="Verdana"/>
            <w:noProof/>
            <w:color w:val="auto"/>
            <w:spacing w:val="-2"/>
            <w:sz w:val="20"/>
            <w:szCs w:val="20"/>
            <w:u w:val="none"/>
            <w:lang w:val="es-GT"/>
          </w:rPr>
          <w:t xml:space="preserve"> El contexto: </w:t>
        </w:r>
        <w:r w:rsidR="001154F9" w:rsidRPr="00657265">
          <w:rPr>
            <w:rStyle w:val="Hyperlink"/>
            <w:rFonts w:ascii="Verdana" w:hAnsi="Verdana"/>
            <w:noProof/>
            <w:color w:val="auto"/>
            <w:spacing w:val="-2"/>
            <w:sz w:val="20"/>
            <w:szCs w:val="20"/>
            <w:u w:val="none"/>
            <w:lang w:val="es-GT"/>
          </w:rPr>
          <w:t xml:space="preserve">El conflicto en el Perú y la </w:t>
        </w:r>
        <w:r w:rsidR="001154F9" w:rsidRPr="00657265">
          <w:rPr>
            <w:rStyle w:val="Hyperlink"/>
            <w:rFonts w:ascii="Verdana" w:hAnsi="Verdana"/>
            <w:noProof/>
            <w:color w:val="auto"/>
            <w:sz w:val="20"/>
            <w:szCs w:val="20"/>
            <w:u w:val="none"/>
            <w:lang w:val="es-GT"/>
          </w:rPr>
          <w:t>situación en el Departamento de Huancavelica y en la zona de Santa Bárbara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_Toc433387485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30</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86" w:history="1">
        <w:r w:rsidR="008B2B85" w:rsidRPr="00657265">
          <w:rPr>
            <w:rStyle w:val="Hyperlink"/>
            <w:rFonts w:ascii="Verdana" w:hAnsi="Verdana"/>
            <w:noProof/>
            <w:color w:val="auto"/>
            <w:sz w:val="20"/>
            <w:szCs w:val="20"/>
            <w:u w:val="none"/>
            <w:lang w:val="es-GT"/>
          </w:rPr>
          <w:t>C.</w:t>
        </w:r>
        <w:r w:rsidR="001154F9" w:rsidRPr="00657265">
          <w:rPr>
            <w:rStyle w:val="Hyperlink"/>
            <w:rFonts w:ascii="Verdana" w:hAnsi="Verdana"/>
            <w:noProof/>
            <w:color w:val="auto"/>
            <w:sz w:val="20"/>
            <w:szCs w:val="20"/>
            <w:u w:val="none"/>
            <w:lang w:val="es-GT"/>
          </w:rPr>
          <w:t xml:space="preserve"> Los hechos ocurridos en la comunidad campesina de Santa Bárbara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_Toc433387486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32</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87" w:history="1">
        <w:r w:rsidR="008B2B85" w:rsidRPr="00657265">
          <w:rPr>
            <w:rStyle w:val="Hyperlink"/>
            <w:rFonts w:ascii="Verdana" w:hAnsi="Verdana"/>
            <w:iCs/>
            <w:noProof/>
            <w:color w:val="auto"/>
            <w:sz w:val="20"/>
            <w:szCs w:val="20"/>
            <w:u w:val="none"/>
            <w:lang w:val="es-GT"/>
          </w:rPr>
          <w:t>D.</w:t>
        </w:r>
        <w:r w:rsidR="001154F9" w:rsidRPr="00657265">
          <w:rPr>
            <w:rStyle w:val="Hyperlink"/>
            <w:rFonts w:ascii="Verdana" w:hAnsi="Verdana"/>
            <w:iCs/>
            <w:noProof/>
            <w:color w:val="auto"/>
            <w:sz w:val="20"/>
            <w:szCs w:val="20"/>
            <w:u w:val="none"/>
            <w:lang w:val="es-GT"/>
          </w:rPr>
          <w:t xml:space="preserve"> Denuncias</w:t>
        </w:r>
        <w:r w:rsidR="001154F9" w:rsidRPr="00657265">
          <w:rPr>
            <w:rStyle w:val="Hyperlink"/>
            <w:rFonts w:ascii="Verdana" w:hAnsi="Verdana"/>
            <w:noProof/>
            <w:color w:val="auto"/>
            <w:sz w:val="20"/>
            <w:szCs w:val="20"/>
            <w:u w:val="none"/>
            <w:lang w:val="es-GT"/>
          </w:rPr>
          <w:t xml:space="preserve"> interpuestas, así como diligencia de levantamiento de restos humanos y evidencias encontradas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_Toc433387487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34</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88" w:history="1">
        <w:r w:rsidR="008B2B85" w:rsidRPr="00657265">
          <w:rPr>
            <w:rStyle w:val="Hyperlink"/>
            <w:rFonts w:ascii="Verdana" w:hAnsi="Verdana"/>
            <w:noProof/>
            <w:color w:val="auto"/>
            <w:sz w:val="20"/>
            <w:szCs w:val="20"/>
            <w:u w:val="none"/>
            <w:lang w:val="es-GT"/>
          </w:rPr>
          <w:t>E.</w:t>
        </w:r>
        <w:r w:rsidR="001154F9" w:rsidRPr="00657265">
          <w:rPr>
            <w:rStyle w:val="Hyperlink"/>
            <w:rFonts w:ascii="Verdana" w:hAnsi="Verdana"/>
            <w:noProof/>
            <w:color w:val="auto"/>
            <w:sz w:val="20"/>
            <w:szCs w:val="20"/>
            <w:u w:val="none"/>
            <w:lang w:val="es-GT"/>
          </w:rPr>
          <w:t xml:space="preserve"> Investigación y procesos judiciales abiertos por los hechos del caso</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_Toc433387488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37</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89" w:history="1">
        <w:r w:rsidR="008B2B85" w:rsidRPr="00657265">
          <w:rPr>
            <w:rStyle w:val="Hyperlink"/>
            <w:rFonts w:ascii="Verdana" w:hAnsi="Verdana"/>
            <w:noProof/>
            <w:color w:val="auto"/>
            <w:sz w:val="20"/>
            <w:szCs w:val="20"/>
            <w:u w:val="none"/>
            <w:lang w:val="es-GT"/>
          </w:rPr>
          <w:t>F.</w:t>
        </w:r>
        <w:r w:rsidR="001154F9" w:rsidRPr="00657265">
          <w:rPr>
            <w:rStyle w:val="Hyperlink"/>
            <w:rFonts w:ascii="Verdana" w:hAnsi="Verdana"/>
            <w:noProof/>
            <w:color w:val="auto"/>
            <w:sz w:val="20"/>
            <w:szCs w:val="20"/>
            <w:u w:val="none"/>
            <w:lang w:val="es-GT"/>
          </w:rPr>
          <w:t xml:space="preserve"> Diligencias relacionadas con la búsqueda, recuperación e identificación de los restos óseos humanos en la mina abandonada “Misteriosa” o “Vallarón” (Fiscalía Penal Supra Provincial de Huancavelica - Expediente No. 2008-61-0)</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_Toc433387489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47</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90" w:history="1">
        <w:r w:rsidR="001154F9" w:rsidRPr="00657265">
          <w:rPr>
            <w:rStyle w:val="Hyperlink"/>
            <w:rFonts w:ascii="Verdana" w:hAnsi="Verdana"/>
            <w:iCs/>
            <w:noProof/>
            <w:color w:val="auto"/>
            <w:sz w:val="20"/>
            <w:szCs w:val="20"/>
            <w:u w:val="none"/>
            <w:lang w:val="es-GT"/>
          </w:rPr>
          <w:t>G</w:t>
        </w:r>
        <w:r w:rsidR="008B2B85" w:rsidRPr="00657265">
          <w:rPr>
            <w:rStyle w:val="Hyperlink"/>
            <w:rFonts w:ascii="Verdana" w:hAnsi="Verdana"/>
            <w:iCs/>
            <w:noProof/>
            <w:color w:val="auto"/>
            <w:sz w:val="20"/>
            <w:szCs w:val="20"/>
            <w:u w:val="none"/>
            <w:lang w:val="es-GT"/>
          </w:rPr>
          <w:t>.</w:t>
        </w:r>
        <w:r w:rsidR="001154F9" w:rsidRPr="00657265">
          <w:rPr>
            <w:rStyle w:val="Hyperlink"/>
            <w:rFonts w:ascii="Verdana" w:hAnsi="Verdana"/>
            <w:iCs/>
            <w:noProof/>
            <w:color w:val="auto"/>
            <w:sz w:val="20"/>
            <w:szCs w:val="20"/>
            <w:u w:val="none"/>
            <w:lang w:val="es-GT"/>
          </w:rPr>
          <w:t xml:space="preserve"> Los</w:t>
        </w:r>
        <w:r w:rsidR="001154F9" w:rsidRPr="00657265">
          <w:rPr>
            <w:rStyle w:val="Hyperlink"/>
            <w:rFonts w:ascii="Verdana" w:hAnsi="Verdana"/>
            <w:noProof/>
            <w:color w:val="auto"/>
            <w:spacing w:val="-2"/>
            <w:sz w:val="20"/>
            <w:szCs w:val="20"/>
            <w:u w:val="none"/>
            <w:lang w:val="es-GT"/>
          </w:rPr>
          <w:t xml:space="preserve"> alegados </w:t>
        </w:r>
        <w:r w:rsidR="001154F9" w:rsidRPr="00657265">
          <w:rPr>
            <w:rStyle w:val="Hyperlink"/>
            <w:rFonts w:ascii="Verdana" w:hAnsi="Verdana"/>
            <w:noProof/>
            <w:color w:val="auto"/>
            <w:sz w:val="20"/>
            <w:szCs w:val="20"/>
            <w:u w:val="none"/>
            <w:lang w:val="es-GT"/>
          </w:rPr>
          <w:t>mecanismos de encubrimiento, falta de debida diligencia e irregularidades en la captura de los procesados ausentes y los procedimientos forenses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_Toc433387490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49</w:t>
        </w:r>
        <w:r w:rsidR="001154F9" w:rsidRPr="00657265">
          <w:rPr>
            <w:rFonts w:ascii="Verdana" w:hAnsi="Verdana"/>
            <w:noProof/>
            <w:webHidden/>
            <w:sz w:val="20"/>
            <w:szCs w:val="20"/>
          </w:rPr>
          <w:fldChar w:fldCharType="end"/>
        </w:r>
      </w:hyperlink>
    </w:p>
    <w:p w:rsidR="008B2B85" w:rsidRPr="00657265" w:rsidRDefault="008B2B85" w:rsidP="005169AC">
      <w:pPr>
        <w:pStyle w:val="TOC1"/>
        <w:jc w:val="left"/>
        <w:rPr>
          <w:rStyle w:val="Hyperlink"/>
          <w:b w:val="0"/>
          <w:color w:val="auto"/>
          <w:u w:val="none"/>
        </w:rPr>
      </w:pPr>
    </w:p>
    <w:p w:rsidR="001154F9" w:rsidRPr="0081152C" w:rsidRDefault="001154F9" w:rsidP="005169AC">
      <w:pPr>
        <w:pStyle w:val="TOC1"/>
        <w:jc w:val="left"/>
        <w:rPr>
          <w:rFonts w:eastAsiaTheme="minorEastAsia" w:cstheme="minorBidi"/>
          <w:lang w:eastAsia="es-CR"/>
        </w:rPr>
      </w:pPr>
      <w:r w:rsidRPr="0081152C">
        <w:rPr>
          <w:rStyle w:val="Hyperlink"/>
          <w:color w:val="auto"/>
          <w:u w:val="none"/>
        </w:rPr>
        <w:t xml:space="preserve">IX </w:t>
      </w:r>
      <w:hyperlink w:anchor="_Toc433387492" w:history="1">
        <w:r w:rsidRPr="0081152C">
          <w:rPr>
            <w:rStyle w:val="Hyperlink"/>
            <w:color w:val="auto"/>
            <w:u w:val="none"/>
          </w:rPr>
          <w:t>FONDO</w:t>
        </w:r>
        <w:r w:rsidRPr="0081152C">
          <w:rPr>
            <w:webHidden/>
          </w:rPr>
          <w:tab/>
        </w:r>
        <w:r w:rsidRPr="0081152C">
          <w:rPr>
            <w:webHidden/>
          </w:rPr>
          <w:fldChar w:fldCharType="begin"/>
        </w:r>
        <w:r w:rsidRPr="0081152C">
          <w:rPr>
            <w:webHidden/>
          </w:rPr>
          <w:instrText xml:space="preserve"> PAGEREF _Toc433387492 \h </w:instrText>
        </w:r>
        <w:r w:rsidRPr="0081152C">
          <w:rPr>
            <w:webHidden/>
          </w:rPr>
        </w:r>
        <w:r w:rsidRPr="0081152C">
          <w:rPr>
            <w:webHidden/>
          </w:rPr>
          <w:fldChar w:fldCharType="separate"/>
        </w:r>
        <w:r w:rsidR="00183A6F">
          <w:rPr>
            <w:webHidden/>
          </w:rPr>
          <w:t>50</w:t>
        </w:r>
        <w:r w:rsidRPr="0081152C">
          <w:rPr>
            <w:webHidden/>
          </w:rPr>
          <w:fldChar w:fldCharType="end"/>
        </w:r>
      </w:hyperlink>
    </w:p>
    <w:p w:rsidR="00400758" w:rsidRPr="00657265" w:rsidRDefault="00400758" w:rsidP="005169AC">
      <w:pPr>
        <w:pStyle w:val="TOC2"/>
        <w:tabs>
          <w:tab w:val="left" w:pos="9214"/>
        </w:tabs>
        <w:spacing w:after="0" w:line="240" w:lineRule="auto"/>
        <w:jc w:val="left"/>
        <w:rPr>
          <w:rStyle w:val="Hyperlink"/>
          <w:color w:val="auto"/>
          <w:u w:val="none"/>
        </w:rPr>
      </w:pPr>
    </w:p>
    <w:p w:rsidR="001154F9" w:rsidRPr="00657265" w:rsidRDefault="001154F9" w:rsidP="005169AC">
      <w:pPr>
        <w:pStyle w:val="TOC2"/>
        <w:tabs>
          <w:tab w:val="left" w:pos="9214"/>
        </w:tabs>
        <w:spacing w:after="0" w:line="240" w:lineRule="auto"/>
        <w:jc w:val="left"/>
        <w:rPr>
          <w:rFonts w:eastAsiaTheme="minorEastAsia" w:cstheme="minorBidi"/>
          <w:i w:val="0"/>
          <w:spacing w:val="0"/>
          <w:lang w:eastAsia="es-CR"/>
        </w:rPr>
      </w:pPr>
      <w:r w:rsidRPr="00657265">
        <w:rPr>
          <w:rStyle w:val="Hyperlink"/>
          <w:color w:val="auto"/>
          <w:u w:val="none"/>
        </w:rPr>
        <w:t xml:space="preserve">IX.I </w:t>
      </w:r>
      <w:hyperlink w:anchor="_Toc433387494" w:history="1">
        <w:r w:rsidR="00483DC7" w:rsidRPr="00657265">
          <w:rPr>
            <w:rStyle w:val="Hyperlink"/>
            <w:color w:val="auto"/>
            <w:u w:val="none"/>
            <w:lang w:eastAsia="es-CR"/>
          </w:rPr>
          <w:t>Derechos a la Libertad Personal, Integridad Personal, Vida y Reconocimiento de la Personalidad Jurídica, así como el D</w:t>
        </w:r>
        <w:r w:rsidR="00483DC7" w:rsidRPr="00657265">
          <w:rPr>
            <w:rStyle w:val="Hyperlink"/>
            <w:color w:val="auto"/>
            <w:u w:val="none"/>
            <w:lang w:val="es-CO" w:eastAsia="es-CR"/>
          </w:rPr>
          <w:t xml:space="preserve">erecho a la Especial </w:t>
        </w:r>
        <w:r w:rsidR="00483DC7" w:rsidRPr="00657265">
          <w:rPr>
            <w:rStyle w:val="Hyperlink"/>
            <w:color w:val="auto"/>
            <w:u w:val="none"/>
            <w:lang w:eastAsia="es-CR"/>
          </w:rPr>
          <w:t>Protección</w:t>
        </w:r>
        <w:r w:rsidR="00483DC7" w:rsidRPr="00657265">
          <w:rPr>
            <w:rStyle w:val="Hyperlink"/>
            <w:color w:val="auto"/>
            <w:u w:val="none"/>
            <w:lang w:val="es-CO" w:eastAsia="es-CR"/>
          </w:rPr>
          <w:t xml:space="preserve"> de las Niñas y los Niños</w:t>
        </w:r>
        <w:r w:rsidRPr="00657265">
          <w:rPr>
            <w:webHidden/>
          </w:rPr>
          <w:tab/>
        </w:r>
        <w:r w:rsidRPr="00657265">
          <w:rPr>
            <w:webHidden/>
          </w:rPr>
          <w:fldChar w:fldCharType="begin"/>
        </w:r>
        <w:r w:rsidRPr="00657265">
          <w:rPr>
            <w:webHidden/>
          </w:rPr>
          <w:instrText xml:space="preserve"> PAGEREF _Toc433387494 \h </w:instrText>
        </w:r>
        <w:r w:rsidRPr="00657265">
          <w:rPr>
            <w:webHidden/>
          </w:rPr>
        </w:r>
        <w:r w:rsidRPr="00657265">
          <w:rPr>
            <w:webHidden/>
          </w:rPr>
          <w:fldChar w:fldCharType="separate"/>
        </w:r>
        <w:r w:rsidR="00183A6F">
          <w:rPr>
            <w:webHidden/>
          </w:rPr>
          <w:t>50</w:t>
        </w:r>
        <w:r w:rsidRPr="00657265">
          <w:rPr>
            <w:webHidden/>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95" w:history="1">
        <w:r w:rsidR="001154F9" w:rsidRPr="00657265">
          <w:rPr>
            <w:rStyle w:val="Hyperlink"/>
            <w:rFonts w:ascii="Verdana" w:eastAsia="Calibri" w:hAnsi="Verdana"/>
            <w:noProof/>
            <w:color w:val="auto"/>
            <w:sz w:val="20"/>
            <w:szCs w:val="20"/>
            <w:u w:val="none"/>
            <w:lang w:val="es-CO" w:eastAsia="es-CR"/>
          </w:rPr>
          <w:t>A</w:t>
        </w:r>
        <w:r w:rsidR="00400758" w:rsidRPr="00657265">
          <w:rPr>
            <w:rStyle w:val="Hyperlink"/>
            <w:rFonts w:ascii="Verdana" w:eastAsia="Calibri" w:hAnsi="Verdana"/>
            <w:noProof/>
            <w:color w:val="auto"/>
            <w:sz w:val="20"/>
            <w:szCs w:val="20"/>
            <w:u w:val="none"/>
            <w:lang w:val="es-CO" w:eastAsia="es-CR"/>
          </w:rPr>
          <w:t>.</w:t>
        </w:r>
        <w:r w:rsidR="001154F9" w:rsidRPr="00657265">
          <w:rPr>
            <w:rStyle w:val="Hyperlink"/>
            <w:rFonts w:ascii="Verdana" w:eastAsia="Calibri" w:hAnsi="Verdana"/>
            <w:noProof/>
            <w:color w:val="auto"/>
            <w:sz w:val="20"/>
            <w:szCs w:val="20"/>
            <w:u w:val="none"/>
            <w:lang w:val="es-CO" w:eastAsia="es-CR"/>
          </w:rPr>
          <w:t xml:space="preserve"> Argumentos de la Comisión y de las partes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_Toc433387495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51</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96" w:history="1">
        <w:r w:rsidR="001154F9" w:rsidRPr="00657265">
          <w:rPr>
            <w:rStyle w:val="Hyperlink"/>
            <w:rFonts w:ascii="Verdana" w:eastAsia="Calibri" w:hAnsi="Verdana"/>
            <w:noProof/>
            <w:color w:val="auto"/>
            <w:sz w:val="20"/>
            <w:szCs w:val="20"/>
            <w:u w:val="none"/>
            <w:lang w:val="es-CO" w:eastAsia="es-CR"/>
          </w:rPr>
          <w:t>B</w:t>
        </w:r>
        <w:r w:rsidR="00400758" w:rsidRPr="00657265">
          <w:rPr>
            <w:rStyle w:val="Hyperlink"/>
            <w:rFonts w:ascii="Verdana" w:eastAsia="Calibri" w:hAnsi="Verdana"/>
            <w:noProof/>
            <w:color w:val="auto"/>
            <w:sz w:val="20"/>
            <w:szCs w:val="20"/>
            <w:u w:val="none"/>
            <w:lang w:val="es-CO" w:eastAsia="es-CR"/>
          </w:rPr>
          <w:t>.</w:t>
        </w:r>
        <w:r w:rsidR="001154F9" w:rsidRPr="00657265">
          <w:rPr>
            <w:rStyle w:val="Hyperlink"/>
            <w:rFonts w:ascii="Verdana" w:eastAsia="Calibri" w:hAnsi="Verdana"/>
            <w:noProof/>
            <w:color w:val="auto"/>
            <w:sz w:val="20"/>
            <w:szCs w:val="20"/>
            <w:u w:val="none"/>
            <w:lang w:val="es-CO" w:eastAsia="es-CR"/>
          </w:rPr>
          <w:t xml:space="preserve"> </w:t>
        </w:r>
        <w:r w:rsidR="001154F9" w:rsidRPr="00657265">
          <w:rPr>
            <w:rStyle w:val="Hyperlink"/>
            <w:rFonts w:ascii="Verdana" w:hAnsi="Verdana"/>
            <w:noProof/>
            <w:color w:val="auto"/>
            <w:sz w:val="20"/>
            <w:szCs w:val="20"/>
            <w:u w:val="none"/>
            <w:lang w:val="es-ES" w:eastAsia="es-ES"/>
          </w:rPr>
          <w:t>Consideraciones de la Corte</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_Toc433387496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54</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97" w:history="1">
        <w:r w:rsidR="001154F9" w:rsidRPr="00657265">
          <w:rPr>
            <w:rStyle w:val="Hyperlink"/>
            <w:rFonts w:ascii="Verdana" w:hAnsi="Verdana"/>
            <w:noProof/>
            <w:color w:val="auto"/>
            <w:sz w:val="20"/>
            <w:szCs w:val="20"/>
            <w:u w:val="none"/>
            <w:lang w:eastAsia="es-CR"/>
          </w:rPr>
          <w:t>C</w:t>
        </w:r>
        <w:r w:rsidR="00400758" w:rsidRPr="00657265">
          <w:rPr>
            <w:rStyle w:val="Hyperlink"/>
            <w:rFonts w:ascii="Verdana" w:hAnsi="Verdana"/>
            <w:noProof/>
            <w:color w:val="auto"/>
            <w:sz w:val="20"/>
            <w:szCs w:val="20"/>
            <w:u w:val="none"/>
            <w:lang w:eastAsia="es-CR"/>
          </w:rPr>
          <w:t>.</w:t>
        </w:r>
        <w:r w:rsidR="001154F9" w:rsidRPr="00657265">
          <w:rPr>
            <w:rStyle w:val="Hyperlink"/>
            <w:rFonts w:ascii="Verdana" w:hAnsi="Verdana"/>
            <w:noProof/>
            <w:color w:val="auto"/>
            <w:sz w:val="20"/>
            <w:szCs w:val="20"/>
            <w:u w:val="none"/>
            <w:lang w:eastAsia="es-CR"/>
          </w:rPr>
          <w:t xml:space="preserve"> Determinación de la ocurrencia de las alegadas desapariciones forzadas y su permanencia en el tiempo en el presente caso</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_Toc433387497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64</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498" w:history="1">
        <w:r w:rsidR="001154F9" w:rsidRPr="00657265">
          <w:rPr>
            <w:rStyle w:val="Hyperlink"/>
            <w:rFonts w:ascii="Verdana" w:hAnsi="Verdana" w:cs="Verdana"/>
            <w:caps/>
            <w:noProof/>
            <w:snapToGrid w:val="0"/>
            <w:color w:val="auto"/>
            <w:kern w:val="32"/>
            <w:sz w:val="20"/>
            <w:szCs w:val="20"/>
            <w:u w:val="none"/>
            <w:lang w:eastAsia="es-CR"/>
          </w:rPr>
          <w:t>D</w:t>
        </w:r>
        <w:r w:rsidR="00400758" w:rsidRPr="00657265">
          <w:rPr>
            <w:rStyle w:val="Hyperlink"/>
            <w:rFonts w:ascii="Verdana" w:hAnsi="Verdana" w:cs="Verdana"/>
            <w:caps/>
            <w:noProof/>
            <w:snapToGrid w:val="0"/>
            <w:color w:val="auto"/>
            <w:kern w:val="32"/>
            <w:sz w:val="20"/>
            <w:szCs w:val="20"/>
            <w:u w:val="none"/>
            <w:lang w:eastAsia="es-CR"/>
          </w:rPr>
          <w:t>.</w:t>
        </w:r>
        <w:r w:rsidR="001154F9" w:rsidRPr="00657265">
          <w:rPr>
            <w:rStyle w:val="Hyperlink"/>
            <w:rFonts w:ascii="Verdana" w:hAnsi="Verdana" w:cs="Verdana"/>
            <w:caps/>
            <w:noProof/>
            <w:snapToGrid w:val="0"/>
            <w:color w:val="auto"/>
            <w:kern w:val="32"/>
            <w:sz w:val="20"/>
            <w:szCs w:val="20"/>
            <w:u w:val="none"/>
            <w:lang w:eastAsia="es-CR"/>
          </w:rPr>
          <w:t xml:space="preserve"> </w:t>
        </w:r>
        <w:r w:rsidR="001154F9" w:rsidRPr="00657265">
          <w:rPr>
            <w:rStyle w:val="Hyperlink"/>
            <w:rFonts w:ascii="Verdana" w:hAnsi="Verdana"/>
            <w:noProof/>
            <w:color w:val="auto"/>
            <w:sz w:val="20"/>
            <w:szCs w:val="20"/>
            <w:u w:val="none"/>
            <w:lang w:eastAsia="es-CR"/>
          </w:rPr>
          <w:t>Violaciones alegadas de los artículos 7, 5.1, 5.2, 4.1, 3, 11, 17 y 19 de la Convención Americana, en virtud de las desapariciones forzadas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_Toc433387498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65</w:t>
        </w:r>
        <w:r w:rsidR="001154F9" w:rsidRPr="00657265">
          <w:rPr>
            <w:rFonts w:ascii="Verdana" w:hAnsi="Verdana"/>
            <w:noProof/>
            <w:webHidden/>
            <w:sz w:val="20"/>
            <w:szCs w:val="20"/>
          </w:rPr>
          <w:fldChar w:fldCharType="end"/>
        </w:r>
      </w:hyperlink>
    </w:p>
    <w:p w:rsidR="00400758" w:rsidRPr="00657265" w:rsidRDefault="00400758" w:rsidP="005169AC">
      <w:pPr>
        <w:pStyle w:val="TOC2"/>
        <w:tabs>
          <w:tab w:val="left" w:pos="9214"/>
        </w:tabs>
        <w:spacing w:after="0" w:line="240" w:lineRule="auto"/>
        <w:jc w:val="left"/>
        <w:rPr>
          <w:rStyle w:val="Hyperlink"/>
          <w:color w:val="auto"/>
          <w:u w:val="none"/>
        </w:rPr>
      </w:pPr>
    </w:p>
    <w:p w:rsidR="001154F9" w:rsidRPr="00657265" w:rsidRDefault="001154F9" w:rsidP="005169AC">
      <w:pPr>
        <w:pStyle w:val="TOC2"/>
        <w:tabs>
          <w:tab w:val="left" w:pos="9214"/>
        </w:tabs>
        <w:spacing w:after="0" w:line="240" w:lineRule="auto"/>
        <w:jc w:val="left"/>
        <w:rPr>
          <w:rFonts w:eastAsiaTheme="minorEastAsia" w:cstheme="minorBidi"/>
          <w:i w:val="0"/>
          <w:spacing w:val="0"/>
          <w:lang w:eastAsia="es-CR"/>
        </w:rPr>
      </w:pPr>
      <w:r w:rsidRPr="00657265">
        <w:rPr>
          <w:rStyle w:val="Hyperlink"/>
          <w:color w:val="auto"/>
          <w:u w:val="none"/>
        </w:rPr>
        <w:t xml:space="preserve">IX.II </w:t>
      </w:r>
      <w:hyperlink w:anchor="_Toc433387500" w:history="1">
        <w:r w:rsidRPr="00657265">
          <w:rPr>
            <w:rStyle w:val="Hyperlink"/>
            <w:rFonts w:eastAsiaTheme="minorHAnsi" w:cs="Tahoma"/>
            <w:color w:val="auto"/>
            <w:u w:val="none"/>
          </w:rPr>
          <w:t>DERECHO DE PROPIEDAD Y A LA VIDA PRIVADA Y FAMILIAR</w:t>
        </w:r>
        <w:r w:rsidRPr="00657265">
          <w:rPr>
            <w:webHidden/>
          </w:rPr>
          <w:tab/>
        </w:r>
        <w:r w:rsidRPr="00657265">
          <w:rPr>
            <w:webHidden/>
          </w:rPr>
          <w:fldChar w:fldCharType="begin"/>
        </w:r>
        <w:r w:rsidRPr="00657265">
          <w:rPr>
            <w:webHidden/>
          </w:rPr>
          <w:instrText xml:space="preserve"> PAGEREF _Toc433387500 \h </w:instrText>
        </w:r>
        <w:r w:rsidRPr="00657265">
          <w:rPr>
            <w:webHidden/>
          </w:rPr>
        </w:r>
        <w:r w:rsidRPr="00657265">
          <w:rPr>
            <w:webHidden/>
          </w:rPr>
          <w:fldChar w:fldCharType="separate"/>
        </w:r>
        <w:r w:rsidR="00183A6F">
          <w:rPr>
            <w:webHidden/>
          </w:rPr>
          <w:t>67</w:t>
        </w:r>
        <w:r w:rsidRPr="00657265">
          <w:rPr>
            <w:webHidden/>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501" w:history="1">
        <w:r w:rsidR="001154F9" w:rsidRPr="00657265">
          <w:rPr>
            <w:rStyle w:val="Hyperlink"/>
            <w:rFonts w:ascii="Verdana" w:hAnsi="Verdana"/>
            <w:noProof/>
            <w:color w:val="auto"/>
            <w:sz w:val="20"/>
            <w:szCs w:val="20"/>
            <w:u w:val="none"/>
            <w:lang w:val="es-VE"/>
          </w:rPr>
          <w:t>A</w:t>
        </w:r>
        <w:r w:rsidR="007D6B20" w:rsidRPr="00657265">
          <w:rPr>
            <w:rStyle w:val="Hyperlink"/>
            <w:rFonts w:ascii="Verdana" w:hAnsi="Verdana"/>
            <w:noProof/>
            <w:color w:val="auto"/>
            <w:sz w:val="20"/>
            <w:szCs w:val="20"/>
            <w:u w:val="none"/>
            <w:lang w:val="es-VE"/>
          </w:rPr>
          <w:t>.</w:t>
        </w:r>
        <w:r w:rsidR="001154F9" w:rsidRPr="00657265">
          <w:rPr>
            <w:rStyle w:val="Hyperlink"/>
            <w:rFonts w:ascii="Verdana" w:hAnsi="Verdana"/>
            <w:noProof/>
            <w:color w:val="auto"/>
            <w:sz w:val="20"/>
            <w:szCs w:val="20"/>
            <w:u w:val="none"/>
            <w:lang w:val="es-VE"/>
          </w:rPr>
          <w:t xml:space="preserve"> Argumentos de la Comisión y de las partes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_Toc433387501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67</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502" w:history="1">
        <w:r w:rsidR="007D6B20" w:rsidRPr="00657265">
          <w:rPr>
            <w:rStyle w:val="Hyperlink"/>
            <w:rFonts w:ascii="Verdana" w:hAnsi="Verdana"/>
            <w:noProof/>
            <w:color w:val="auto"/>
            <w:sz w:val="20"/>
            <w:szCs w:val="20"/>
            <w:u w:val="none"/>
            <w:lang w:val="es-VE"/>
          </w:rPr>
          <w:t>B.</w:t>
        </w:r>
        <w:r w:rsidR="001154F9" w:rsidRPr="00657265">
          <w:rPr>
            <w:rStyle w:val="Hyperlink"/>
            <w:rFonts w:ascii="Verdana" w:hAnsi="Verdana"/>
            <w:noProof/>
            <w:color w:val="auto"/>
            <w:sz w:val="20"/>
            <w:szCs w:val="20"/>
            <w:u w:val="none"/>
            <w:lang w:val="es-VE"/>
          </w:rPr>
          <w:t xml:space="preserve"> Consideraciones de la Corte</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_Toc433387502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68</w:t>
        </w:r>
        <w:r w:rsidR="001154F9" w:rsidRPr="00657265">
          <w:rPr>
            <w:rFonts w:ascii="Verdana" w:hAnsi="Verdana"/>
            <w:noProof/>
            <w:webHidden/>
            <w:sz w:val="20"/>
            <w:szCs w:val="20"/>
          </w:rPr>
          <w:fldChar w:fldCharType="end"/>
        </w:r>
      </w:hyperlink>
    </w:p>
    <w:p w:rsidR="007D6B20" w:rsidRPr="00657265" w:rsidRDefault="007D6B20" w:rsidP="005169AC">
      <w:pPr>
        <w:pStyle w:val="TOC2"/>
        <w:tabs>
          <w:tab w:val="left" w:pos="9214"/>
        </w:tabs>
        <w:spacing w:after="0" w:line="240" w:lineRule="auto"/>
        <w:jc w:val="left"/>
        <w:rPr>
          <w:rStyle w:val="Hyperlink"/>
          <w:color w:val="auto"/>
          <w:u w:val="none"/>
        </w:rPr>
      </w:pPr>
    </w:p>
    <w:p w:rsidR="001154F9" w:rsidRPr="00657265" w:rsidRDefault="001154F9" w:rsidP="005169AC">
      <w:pPr>
        <w:pStyle w:val="TOC2"/>
        <w:tabs>
          <w:tab w:val="left" w:pos="9214"/>
        </w:tabs>
        <w:spacing w:after="0" w:line="240" w:lineRule="auto"/>
        <w:jc w:val="left"/>
        <w:rPr>
          <w:rFonts w:eastAsiaTheme="minorEastAsia" w:cstheme="minorBidi"/>
          <w:i w:val="0"/>
          <w:spacing w:val="0"/>
          <w:lang w:eastAsia="es-CR"/>
        </w:rPr>
      </w:pPr>
      <w:r w:rsidRPr="00657265">
        <w:rPr>
          <w:rStyle w:val="Hyperlink"/>
          <w:color w:val="auto"/>
          <w:u w:val="none"/>
        </w:rPr>
        <w:t xml:space="preserve">IX.III </w:t>
      </w:r>
      <w:hyperlink w:anchor="_Toc433387504" w:history="1">
        <w:r w:rsidRPr="00657265">
          <w:rPr>
            <w:rStyle w:val="Hyperlink"/>
            <w:color w:val="auto"/>
            <w:u w:val="none"/>
          </w:rPr>
          <w:t>EL DERECHO A LAS GARANTÍAS Y LA PROTECCIÓN JUDICIAL Y A LA LIBERTAD PERSONAL Y EL ARTÍCULO I</w:t>
        </w:r>
        <w:r w:rsidR="00775ABA" w:rsidRPr="00657265">
          <w:rPr>
            <w:rStyle w:val="Hyperlink"/>
            <w:color w:val="auto"/>
            <w:u w:val="none"/>
          </w:rPr>
          <w:t>.b</w:t>
        </w:r>
        <w:r w:rsidRPr="00657265">
          <w:rPr>
            <w:rStyle w:val="Hyperlink"/>
            <w:color w:val="auto"/>
            <w:u w:val="none"/>
          </w:rPr>
          <w:t xml:space="preserve"> DE LA CONVENCIÓN INTERAMERICANA SOBRE DESAPARICIÓN FORZADA DE PERSONAS, ASÍ COMO LOS ARTÍCULOS 1, 6 Y 8 DE LA CONVENCIÓN INTERAMERICANA PARA PREVENIR Y SANCIONAR LA TORTURA</w:t>
        </w:r>
        <w:r w:rsidRPr="00657265">
          <w:rPr>
            <w:webHidden/>
          </w:rPr>
          <w:tab/>
        </w:r>
        <w:r w:rsidRPr="00657265">
          <w:rPr>
            <w:webHidden/>
          </w:rPr>
          <w:fldChar w:fldCharType="begin"/>
        </w:r>
        <w:r w:rsidRPr="00657265">
          <w:rPr>
            <w:webHidden/>
          </w:rPr>
          <w:instrText xml:space="preserve"> PAGEREF _Toc433387504 \h </w:instrText>
        </w:r>
        <w:r w:rsidRPr="00657265">
          <w:rPr>
            <w:webHidden/>
          </w:rPr>
        </w:r>
        <w:r w:rsidRPr="00657265">
          <w:rPr>
            <w:webHidden/>
          </w:rPr>
          <w:fldChar w:fldCharType="separate"/>
        </w:r>
        <w:r w:rsidR="00183A6F">
          <w:rPr>
            <w:webHidden/>
          </w:rPr>
          <w:t>70</w:t>
        </w:r>
        <w:r w:rsidRPr="00657265">
          <w:rPr>
            <w:webHidden/>
          </w:rPr>
          <w:fldChar w:fldCharType="end"/>
        </w:r>
      </w:hyperlink>
    </w:p>
    <w:p w:rsidR="001154F9" w:rsidRPr="00657265"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505" w:history="1">
        <w:r w:rsidR="00620F6A" w:rsidRPr="00657265">
          <w:rPr>
            <w:rStyle w:val="Hyperlink"/>
            <w:rFonts w:ascii="Verdana" w:eastAsia="Calibri" w:hAnsi="Verdana"/>
            <w:noProof/>
            <w:color w:val="auto"/>
            <w:sz w:val="20"/>
            <w:szCs w:val="20"/>
            <w:u w:val="none"/>
            <w:lang w:val="es-CO"/>
          </w:rPr>
          <w:t>A.</w:t>
        </w:r>
        <w:r w:rsidR="001154F9" w:rsidRPr="00657265">
          <w:rPr>
            <w:rFonts w:ascii="Verdana" w:eastAsiaTheme="minorEastAsia" w:hAnsi="Verdana" w:cstheme="minorBidi"/>
            <w:noProof/>
            <w:sz w:val="20"/>
            <w:szCs w:val="20"/>
            <w:lang w:eastAsia="es-CR"/>
          </w:rPr>
          <w:tab/>
        </w:r>
        <w:r w:rsidR="001154F9" w:rsidRPr="00657265">
          <w:rPr>
            <w:rStyle w:val="Hyperlink"/>
            <w:rFonts w:ascii="Verdana" w:eastAsia="Calibri" w:hAnsi="Verdana"/>
            <w:noProof/>
            <w:color w:val="auto"/>
            <w:sz w:val="20"/>
            <w:szCs w:val="20"/>
            <w:u w:val="none"/>
            <w:lang w:val="es-CO"/>
          </w:rPr>
          <w:t>Argumentos de la Comisión y de las partes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_Toc433387505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70</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506" w:history="1">
        <w:r w:rsidR="00620F6A" w:rsidRPr="00657265">
          <w:rPr>
            <w:rStyle w:val="Hyperlink"/>
            <w:rFonts w:ascii="Verdana" w:hAnsi="Verdana"/>
            <w:noProof/>
            <w:color w:val="auto"/>
            <w:sz w:val="20"/>
            <w:szCs w:val="20"/>
            <w:u w:val="none"/>
            <w:lang w:val="es-PR"/>
          </w:rPr>
          <w:t>B.</w:t>
        </w:r>
        <w:r w:rsidR="001154F9" w:rsidRPr="00657265">
          <w:rPr>
            <w:rStyle w:val="Hyperlink"/>
            <w:rFonts w:ascii="Verdana" w:hAnsi="Verdana"/>
            <w:noProof/>
            <w:color w:val="auto"/>
            <w:sz w:val="20"/>
            <w:szCs w:val="20"/>
            <w:u w:val="none"/>
            <w:lang w:val="es-PR"/>
          </w:rPr>
          <w:t xml:space="preserve"> </w:t>
        </w:r>
        <w:r w:rsidR="007031E4" w:rsidRPr="00657265">
          <w:rPr>
            <w:rStyle w:val="Hyperlink"/>
            <w:rFonts w:ascii="Verdana" w:hAnsi="Verdana"/>
            <w:noProof/>
            <w:color w:val="auto"/>
            <w:sz w:val="20"/>
            <w:szCs w:val="20"/>
            <w:u w:val="none"/>
            <w:lang w:val="es-PR"/>
          </w:rPr>
          <w:t xml:space="preserve">  </w:t>
        </w:r>
        <w:r w:rsidR="001154F9" w:rsidRPr="00657265">
          <w:rPr>
            <w:rStyle w:val="Hyperlink"/>
            <w:rFonts w:ascii="Verdana" w:hAnsi="Verdana"/>
            <w:noProof/>
            <w:color w:val="auto"/>
            <w:sz w:val="20"/>
            <w:szCs w:val="20"/>
            <w:u w:val="none"/>
            <w:lang w:val="es-PR"/>
          </w:rPr>
          <w:t>Consideraciones de la Corte</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_Toc433387506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73</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07" w:history="1">
        <w:r w:rsidR="001154F9" w:rsidRPr="00657265">
          <w:rPr>
            <w:rStyle w:val="Hyperlink"/>
            <w:rFonts w:ascii="Verdana" w:hAnsi="Verdana"/>
            <w:noProof/>
            <w:color w:val="auto"/>
            <w:sz w:val="20"/>
            <w:szCs w:val="20"/>
            <w:u w:val="none"/>
            <w:lang w:val="es-ES_tradnl"/>
          </w:rPr>
          <w:t>B.1. Debida diligencia en las primeras diligencias de investigación</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_Toc433387507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74</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08" w:history="1">
        <w:r w:rsidR="001154F9" w:rsidRPr="00657265">
          <w:rPr>
            <w:rStyle w:val="Hyperlink"/>
            <w:rFonts w:ascii="Verdana" w:hAnsi="Verdana"/>
            <w:noProof/>
            <w:color w:val="auto"/>
            <w:sz w:val="20"/>
            <w:szCs w:val="20"/>
            <w:u w:val="none"/>
            <w:lang w:val="es-GT"/>
          </w:rPr>
          <w:t>B.2. Sobre la efectividad del recurso de hábeas corpus interpuesto</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_Toc433387508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77</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09" w:history="1">
        <w:r w:rsidR="001154F9" w:rsidRPr="00657265">
          <w:rPr>
            <w:rStyle w:val="Hyperlink"/>
            <w:rFonts w:ascii="Verdana" w:hAnsi="Verdana"/>
            <w:noProof/>
            <w:color w:val="auto"/>
            <w:sz w:val="20"/>
            <w:szCs w:val="20"/>
            <w:u w:val="none"/>
            <w:lang w:val="es-ES_tradnl"/>
          </w:rPr>
          <w:t>B.3. Obstaculizaciones dentro de las investigaciones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_Toc433387509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80</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10" w:history="1">
        <w:r w:rsidR="001154F9" w:rsidRPr="00657265">
          <w:rPr>
            <w:rStyle w:val="Hyperlink"/>
            <w:rFonts w:ascii="Verdana" w:hAnsi="Verdana"/>
            <w:noProof/>
            <w:color w:val="auto"/>
            <w:sz w:val="20"/>
            <w:szCs w:val="20"/>
            <w:u w:val="none"/>
            <w:lang w:val="es-ES_tradnl"/>
          </w:rPr>
          <w:t>B.4. L</w:t>
        </w:r>
        <w:r w:rsidR="001154F9" w:rsidRPr="00657265">
          <w:rPr>
            <w:rStyle w:val="Hyperlink"/>
            <w:rFonts w:ascii="Verdana" w:hAnsi="Verdana"/>
            <w:noProof/>
            <w:color w:val="auto"/>
            <w:sz w:val="20"/>
            <w:szCs w:val="20"/>
            <w:u w:val="none"/>
            <w:lang w:val="es-PR"/>
          </w:rPr>
          <w:t>a falta de debida diligencia en los procesos abiertos luego de la reapertura del caso</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_Toc433387510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84</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11" w:history="1">
        <w:r w:rsidR="001154F9" w:rsidRPr="00657265">
          <w:rPr>
            <w:rStyle w:val="Hyperlink"/>
            <w:rFonts w:ascii="Verdana" w:eastAsia="Calibri" w:hAnsi="Verdana"/>
            <w:noProof/>
            <w:color w:val="auto"/>
            <w:sz w:val="20"/>
            <w:szCs w:val="20"/>
            <w:u w:val="none"/>
          </w:rPr>
          <w:t>B.5. El derecho a conocer la verdad</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_Toc433387511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87</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12" w:history="1">
        <w:r w:rsidR="001154F9" w:rsidRPr="00657265">
          <w:rPr>
            <w:rStyle w:val="Hyperlink"/>
            <w:rFonts w:ascii="Verdana" w:hAnsi="Verdana"/>
            <w:noProof/>
            <w:color w:val="auto"/>
            <w:sz w:val="20"/>
            <w:szCs w:val="20"/>
            <w:u w:val="none"/>
            <w:lang w:val="es-GT"/>
          </w:rPr>
          <w:t>B.6. Conclusión general</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_Toc433387512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90</w:t>
        </w:r>
        <w:r w:rsidR="001154F9" w:rsidRPr="00657265">
          <w:rPr>
            <w:rFonts w:ascii="Verdana" w:hAnsi="Verdana"/>
            <w:noProof/>
            <w:webHidden/>
            <w:sz w:val="20"/>
            <w:szCs w:val="20"/>
          </w:rPr>
          <w:fldChar w:fldCharType="end"/>
        </w:r>
      </w:hyperlink>
    </w:p>
    <w:p w:rsidR="00620F6A" w:rsidRPr="00657265" w:rsidRDefault="00620F6A" w:rsidP="005169AC">
      <w:pPr>
        <w:pStyle w:val="TOC2"/>
        <w:tabs>
          <w:tab w:val="left" w:pos="9214"/>
        </w:tabs>
        <w:spacing w:after="0" w:line="240" w:lineRule="auto"/>
        <w:jc w:val="left"/>
        <w:rPr>
          <w:rStyle w:val="Hyperlink"/>
          <w:color w:val="auto"/>
          <w:u w:val="none"/>
        </w:rPr>
      </w:pPr>
    </w:p>
    <w:p w:rsidR="001154F9" w:rsidRPr="00657265" w:rsidRDefault="001154F9" w:rsidP="005169AC">
      <w:pPr>
        <w:pStyle w:val="TOC2"/>
        <w:tabs>
          <w:tab w:val="left" w:pos="9214"/>
        </w:tabs>
        <w:spacing w:after="0" w:line="240" w:lineRule="auto"/>
        <w:jc w:val="left"/>
        <w:rPr>
          <w:rFonts w:eastAsiaTheme="minorEastAsia" w:cstheme="minorBidi"/>
          <w:i w:val="0"/>
          <w:spacing w:val="0"/>
          <w:lang w:eastAsia="es-CR"/>
        </w:rPr>
      </w:pPr>
      <w:r w:rsidRPr="00657265">
        <w:rPr>
          <w:rStyle w:val="Hyperlink"/>
          <w:color w:val="auto"/>
          <w:u w:val="none"/>
        </w:rPr>
        <w:t xml:space="preserve">IX.IV </w:t>
      </w:r>
      <w:hyperlink w:anchor="_Toc433387514" w:history="1">
        <w:r w:rsidRPr="00657265">
          <w:rPr>
            <w:rStyle w:val="Hyperlink"/>
            <w:color w:val="auto"/>
            <w:u w:val="none"/>
          </w:rPr>
          <w:t>DERECHO A LA INTEGRIDAD PERSONAL</w:t>
        </w:r>
      </w:hyperlink>
      <w:r w:rsidR="00B03AD1" w:rsidRPr="00657265">
        <w:t xml:space="preserve"> </w:t>
      </w:r>
      <w:hyperlink w:anchor="_Toc433387515" w:history="1">
        <w:r w:rsidRPr="00657265">
          <w:rPr>
            <w:rStyle w:val="Hyperlink"/>
            <w:color w:val="auto"/>
            <w:u w:val="none"/>
          </w:rPr>
          <w:t>DE LOS FAMILIARES DE LAS PERSONAS DESAPARECIDAS</w:t>
        </w:r>
        <w:r w:rsidRPr="00657265">
          <w:rPr>
            <w:webHidden/>
          </w:rPr>
          <w:tab/>
        </w:r>
        <w:r w:rsidRPr="00657265">
          <w:rPr>
            <w:webHidden/>
          </w:rPr>
          <w:fldChar w:fldCharType="begin"/>
        </w:r>
        <w:r w:rsidRPr="00657265">
          <w:rPr>
            <w:webHidden/>
          </w:rPr>
          <w:instrText xml:space="preserve"> PAGEREF _Toc433387515 \h </w:instrText>
        </w:r>
        <w:r w:rsidRPr="00657265">
          <w:rPr>
            <w:webHidden/>
          </w:rPr>
        </w:r>
        <w:r w:rsidRPr="00657265">
          <w:rPr>
            <w:webHidden/>
          </w:rPr>
          <w:fldChar w:fldCharType="separate"/>
        </w:r>
        <w:r w:rsidR="00183A6F">
          <w:rPr>
            <w:webHidden/>
          </w:rPr>
          <w:t>91</w:t>
        </w:r>
        <w:r w:rsidRPr="00657265">
          <w:rPr>
            <w:webHidden/>
          </w:rPr>
          <w:fldChar w:fldCharType="end"/>
        </w:r>
      </w:hyperlink>
    </w:p>
    <w:p w:rsidR="001154F9" w:rsidRPr="00657265"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516" w:history="1">
        <w:r w:rsidR="001154F9" w:rsidRPr="00657265">
          <w:rPr>
            <w:rStyle w:val="Hyperlink"/>
            <w:rFonts w:ascii="Verdana" w:eastAsiaTheme="minorHAnsi" w:hAnsi="Verdana"/>
            <w:noProof/>
            <w:color w:val="auto"/>
            <w:sz w:val="20"/>
            <w:szCs w:val="20"/>
            <w:u w:val="none"/>
            <w:lang w:val="es-CO"/>
          </w:rPr>
          <w:t>A</w:t>
        </w:r>
        <w:r w:rsidR="00015C38" w:rsidRPr="00657265">
          <w:rPr>
            <w:rStyle w:val="Hyperlink"/>
            <w:rFonts w:ascii="Verdana" w:eastAsiaTheme="minorHAnsi" w:hAnsi="Verdana"/>
            <w:noProof/>
            <w:color w:val="auto"/>
            <w:sz w:val="20"/>
            <w:szCs w:val="20"/>
            <w:u w:val="none"/>
            <w:lang w:val="es-CO"/>
          </w:rPr>
          <w:t>.</w:t>
        </w:r>
        <w:r w:rsidR="001154F9" w:rsidRPr="00657265">
          <w:rPr>
            <w:rFonts w:ascii="Verdana" w:eastAsiaTheme="minorEastAsia" w:hAnsi="Verdana" w:cstheme="minorBidi"/>
            <w:noProof/>
            <w:sz w:val="20"/>
            <w:szCs w:val="20"/>
            <w:lang w:eastAsia="es-CR"/>
          </w:rPr>
          <w:tab/>
        </w:r>
        <w:r w:rsidR="001154F9" w:rsidRPr="00657265">
          <w:rPr>
            <w:rStyle w:val="Hyperlink"/>
            <w:rFonts w:ascii="Verdana" w:hAnsi="Verdana"/>
            <w:noProof/>
            <w:color w:val="auto"/>
            <w:sz w:val="20"/>
            <w:szCs w:val="20"/>
            <w:u w:val="none"/>
            <w:lang w:val="es-CO"/>
          </w:rPr>
          <w:t>Argumentos de la Comisión y de las partes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_Toc433387516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91</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517" w:history="1">
        <w:r w:rsidR="001154F9" w:rsidRPr="00657265">
          <w:rPr>
            <w:rStyle w:val="Hyperlink"/>
            <w:rFonts w:ascii="Verdana" w:eastAsiaTheme="minorHAnsi" w:hAnsi="Verdana"/>
            <w:noProof/>
            <w:color w:val="auto"/>
            <w:sz w:val="20"/>
            <w:szCs w:val="20"/>
            <w:u w:val="none"/>
            <w:lang w:val="es-CO"/>
          </w:rPr>
          <w:t>B</w:t>
        </w:r>
        <w:r w:rsidR="00015C38" w:rsidRPr="00657265">
          <w:rPr>
            <w:rStyle w:val="Hyperlink"/>
            <w:rFonts w:ascii="Verdana" w:eastAsiaTheme="minorHAnsi" w:hAnsi="Verdana"/>
            <w:noProof/>
            <w:color w:val="auto"/>
            <w:sz w:val="20"/>
            <w:szCs w:val="20"/>
            <w:u w:val="none"/>
            <w:lang w:val="es-CO"/>
          </w:rPr>
          <w:t>.</w:t>
        </w:r>
        <w:r w:rsidR="001154F9" w:rsidRPr="00657265">
          <w:rPr>
            <w:rFonts w:ascii="Verdana" w:eastAsiaTheme="minorEastAsia" w:hAnsi="Verdana" w:cstheme="minorBidi"/>
            <w:noProof/>
            <w:sz w:val="20"/>
            <w:szCs w:val="20"/>
            <w:lang w:eastAsia="es-CR"/>
          </w:rPr>
          <w:tab/>
        </w:r>
        <w:r w:rsidR="001154F9" w:rsidRPr="00657265">
          <w:rPr>
            <w:rStyle w:val="Hyperlink"/>
            <w:rFonts w:ascii="Verdana" w:hAnsi="Verdana"/>
            <w:noProof/>
            <w:color w:val="auto"/>
            <w:sz w:val="20"/>
            <w:szCs w:val="20"/>
            <w:u w:val="none"/>
          </w:rPr>
          <w:t>Consideraciones de la Corte</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_Toc433387517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92</w:t>
        </w:r>
        <w:r w:rsidR="001154F9" w:rsidRPr="00657265">
          <w:rPr>
            <w:rFonts w:ascii="Verdana" w:hAnsi="Verdana"/>
            <w:noProof/>
            <w:webHidden/>
            <w:sz w:val="20"/>
            <w:szCs w:val="20"/>
          </w:rPr>
          <w:fldChar w:fldCharType="end"/>
        </w:r>
      </w:hyperlink>
    </w:p>
    <w:p w:rsidR="00B03AD1" w:rsidRPr="00657265" w:rsidRDefault="00B03AD1" w:rsidP="005169AC">
      <w:pPr>
        <w:pStyle w:val="TOC1"/>
        <w:jc w:val="left"/>
        <w:rPr>
          <w:rStyle w:val="Hyperlink"/>
          <w:b w:val="0"/>
          <w:color w:val="auto"/>
          <w:u w:val="none"/>
        </w:rPr>
      </w:pPr>
    </w:p>
    <w:p w:rsidR="001154F9" w:rsidRPr="0081152C" w:rsidRDefault="001154F9" w:rsidP="005169AC">
      <w:pPr>
        <w:pStyle w:val="TOC1"/>
        <w:jc w:val="left"/>
        <w:rPr>
          <w:rFonts w:eastAsiaTheme="minorEastAsia" w:cstheme="minorBidi"/>
          <w:lang w:eastAsia="es-CR"/>
        </w:rPr>
      </w:pPr>
      <w:r w:rsidRPr="0081152C">
        <w:rPr>
          <w:rStyle w:val="Hyperlink"/>
          <w:color w:val="auto"/>
          <w:u w:val="none"/>
        </w:rPr>
        <w:t xml:space="preserve">X </w:t>
      </w:r>
      <w:hyperlink w:anchor="_Toc433387519" w:history="1">
        <w:r w:rsidRPr="0081152C">
          <w:rPr>
            <w:rStyle w:val="Hyperlink"/>
            <w:rFonts w:eastAsia="Calibri"/>
            <w:color w:val="auto"/>
            <w:u w:val="none"/>
          </w:rPr>
          <w:t>REPARACIONES</w:t>
        </w:r>
        <w:r w:rsidRPr="0081152C">
          <w:rPr>
            <w:webHidden/>
          </w:rPr>
          <w:tab/>
        </w:r>
        <w:r w:rsidRPr="0081152C">
          <w:rPr>
            <w:webHidden/>
          </w:rPr>
          <w:fldChar w:fldCharType="begin"/>
        </w:r>
        <w:r w:rsidRPr="0081152C">
          <w:rPr>
            <w:webHidden/>
          </w:rPr>
          <w:instrText xml:space="preserve"> PAGEREF _Toc433387519 \h </w:instrText>
        </w:r>
        <w:r w:rsidRPr="0081152C">
          <w:rPr>
            <w:webHidden/>
          </w:rPr>
        </w:r>
        <w:r w:rsidRPr="0081152C">
          <w:rPr>
            <w:webHidden/>
          </w:rPr>
          <w:fldChar w:fldCharType="separate"/>
        </w:r>
        <w:r w:rsidR="00183A6F">
          <w:rPr>
            <w:webHidden/>
          </w:rPr>
          <w:t>94</w:t>
        </w:r>
        <w:r w:rsidRPr="0081152C">
          <w:rPr>
            <w:webHidden/>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521" w:history="1">
        <w:r w:rsidR="001154F9" w:rsidRPr="00657265">
          <w:rPr>
            <w:rStyle w:val="Hyperlink"/>
            <w:rFonts w:ascii="Verdana" w:hAnsi="Verdana"/>
            <w:noProof/>
            <w:color w:val="auto"/>
            <w:sz w:val="20"/>
            <w:szCs w:val="20"/>
            <w:u w:val="none"/>
          </w:rPr>
          <w:t>A</w:t>
        </w:r>
        <w:r w:rsidR="00015C38" w:rsidRPr="00657265">
          <w:rPr>
            <w:rStyle w:val="Hyperlink"/>
            <w:rFonts w:ascii="Verdana" w:hAnsi="Verdana"/>
            <w:noProof/>
            <w:color w:val="auto"/>
            <w:sz w:val="20"/>
            <w:szCs w:val="20"/>
            <w:u w:val="none"/>
          </w:rPr>
          <w:t>.</w:t>
        </w:r>
        <w:r w:rsidR="001154F9" w:rsidRPr="00657265">
          <w:rPr>
            <w:rStyle w:val="Hyperlink"/>
            <w:rFonts w:ascii="Verdana" w:hAnsi="Verdana"/>
            <w:noProof/>
            <w:color w:val="auto"/>
            <w:sz w:val="20"/>
            <w:szCs w:val="20"/>
            <w:u w:val="none"/>
          </w:rPr>
          <w:t xml:space="preserve"> Parte Lesionada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_Toc433387521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95</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rPr>
          <w:rFonts w:ascii="Verdana" w:eastAsiaTheme="minorEastAsia" w:hAnsi="Verdana" w:cstheme="minorBidi"/>
          <w:noProof/>
          <w:sz w:val="20"/>
          <w:szCs w:val="20"/>
          <w:lang w:eastAsia="es-CR"/>
        </w:rPr>
      </w:pPr>
      <w:hyperlink w:anchor="_Toc433387522" w:history="1">
        <w:r w:rsidR="00015C38" w:rsidRPr="00657265">
          <w:rPr>
            <w:rStyle w:val="Hyperlink"/>
            <w:rFonts w:ascii="Verdana" w:hAnsi="Verdana"/>
            <w:noProof/>
            <w:color w:val="auto"/>
            <w:sz w:val="20"/>
            <w:szCs w:val="20"/>
            <w:u w:val="none"/>
          </w:rPr>
          <w:t>B.</w:t>
        </w:r>
        <w:r w:rsidR="001154F9" w:rsidRPr="00657265">
          <w:rPr>
            <w:rStyle w:val="Hyperlink"/>
            <w:rFonts w:ascii="Verdana" w:hAnsi="Verdana"/>
            <w:noProof/>
            <w:color w:val="auto"/>
            <w:sz w:val="20"/>
            <w:szCs w:val="20"/>
            <w:u w:val="none"/>
          </w:rPr>
          <w:t xml:space="preserve"> Obligación de investigar los hechos e identificar, juzgar y, en su caso, sancionar a los responsables, así como </w:t>
        </w:r>
        <w:r w:rsidR="007C7CEF" w:rsidRPr="00657265">
          <w:rPr>
            <w:rStyle w:val="Hyperlink"/>
            <w:rFonts w:ascii="Verdana" w:hAnsi="Verdana"/>
            <w:noProof/>
            <w:color w:val="auto"/>
            <w:sz w:val="20"/>
            <w:szCs w:val="20"/>
            <w:u w:val="none"/>
          </w:rPr>
          <w:t xml:space="preserve">la </w:t>
        </w:r>
        <w:r w:rsidR="001154F9" w:rsidRPr="00657265">
          <w:rPr>
            <w:rStyle w:val="Hyperlink"/>
            <w:rFonts w:ascii="Verdana" w:hAnsi="Verdana"/>
            <w:noProof/>
            <w:color w:val="auto"/>
            <w:sz w:val="20"/>
            <w:szCs w:val="20"/>
            <w:u w:val="none"/>
          </w:rPr>
          <w:t>determinación del paradero e identificación de las víctimas desaparecidas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_Toc433387522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95</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23" w:history="1">
        <w:r w:rsidR="001154F9" w:rsidRPr="00657265">
          <w:rPr>
            <w:rStyle w:val="Hyperlink"/>
            <w:rFonts w:ascii="Verdana" w:hAnsi="Verdana"/>
            <w:noProof/>
            <w:color w:val="auto"/>
            <w:sz w:val="20"/>
            <w:szCs w:val="20"/>
            <w:u w:val="none"/>
          </w:rPr>
          <w:t>B.1. Investigación, determinación, enjuiciamiento y, en su caso, sanción de todos los responsables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_Toc433387523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95</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24" w:history="1">
        <w:r w:rsidR="001154F9" w:rsidRPr="00657265">
          <w:rPr>
            <w:rStyle w:val="Hyperlink"/>
            <w:rFonts w:ascii="Verdana" w:hAnsi="Verdana" w:cs="Verdana-Italic"/>
            <w:iCs/>
            <w:noProof/>
            <w:color w:val="auto"/>
            <w:sz w:val="20"/>
            <w:szCs w:val="20"/>
            <w:u w:val="none"/>
            <w:lang w:bidi="en-US"/>
          </w:rPr>
          <w:t xml:space="preserve">B.2. </w:t>
        </w:r>
        <w:r w:rsidR="001154F9" w:rsidRPr="00657265">
          <w:rPr>
            <w:rStyle w:val="Hyperlink"/>
            <w:rFonts w:ascii="Verdana" w:hAnsi="Verdana"/>
            <w:noProof/>
            <w:color w:val="auto"/>
            <w:sz w:val="20"/>
            <w:szCs w:val="20"/>
            <w:u w:val="none"/>
          </w:rPr>
          <w:t xml:space="preserve">Determinación del paradero </w:t>
        </w:r>
        <w:r w:rsidR="001154F9" w:rsidRPr="00657265">
          <w:rPr>
            <w:rStyle w:val="Hyperlink"/>
            <w:rFonts w:ascii="Verdana" w:hAnsi="Verdana" w:cs="Verdana-Italic"/>
            <w:iCs/>
            <w:noProof/>
            <w:color w:val="auto"/>
            <w:sz w:val="20"/>
            <w:szCs w:val="20"/>
            <w:u w:val="none"/>
            <w:lang w:bidi="en-US"/>
          </w:rPr>
          <w:t xml:space="preserve">y la recuperación </w:t>
        </w:r>
        <w:r w:rsidR="001154F9" w:rsidRPr="00657265">
          <w:rPr>
            <w:rStyle w:val="Hyperlink"/>
            <w:rFonts w:ascii="Verdana" w:hAnsi="Verdana"/>
            <w:noProof/>
            <w:color w:val="auto"/>
            <w:sz w:val="20"/>
            <w:szCs w:val="20"/>
            <w:u w:val="none"/>
          </w:rPr>
          <w:t>e identificación de las víctimas desaparecidas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_Toc433387524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97</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525" w:history="1">
        <w:r w:rsidR="001154F9" w:rsidRPr="00657265">
          <w:rPr>
            <w:rStyle w:val="Hyperlink"/>
            <w:rFonts w:ascii="Verdana" w:eastAsiaTheme="minorHAnsi" w:hAnsi="Verdana"/>
            <w:noProof/>
            <w:color w:val="auto"/>
            <w:sz w:val="20"/>
            <w:szCs w:val="20"/>
            <w:u w:val="none"/>
          </w:rPr>
          <w:t>C</w:t>
        </w:r>
        <w:r w:rsidR="00015C38" w:rsidRPr="00657265">
          <w:rPr>
            <w:rStyle w:val="Hyperlink"/>
            <w:rFonts w:ascii="Verdana" w:eastAsiaTheme="minorHAnsi" w:hAnsi="Verdana"/>
            <w:noProof/>
            <w:color w:val="auto"/>
            <w:sz w:val="20"/>
            <w:szCs w:val="20"/>
            <w:u w:val="none"/>
          </w:rPr>
          <w:t>.</w:t>
        </w:r>
        <w:r w:rsidR="001154F9" w:rsidRPr="00657265">
          <w:rPr>
            <w:rFonts w:ascii="Verdana" w:eastAsiaTheme="minorEastAsia" w:hAnsi="Verdana" w:cstheme="minorBidi"/>
            <w:noProof/>
            <w:sz w:val="20"/>
            <w:szCs w:val="20"/>
            <w:lang w:eastAsia="es-CR"/>
          </w:rPr>
          <w:tab/>
        </w:r>
        <w:r w:rsidR="001154F9" w:rsidRPr="00657265">
          <w:rPr>
            <w:rStyle w:val="Hyperlink"/>
            <w:rFonts w:ascii="Verdana" w:eastAsia="MS Mincho" w:hAnsi="Verdana"/>
            <w:noProof/>
            <w:color w:val="auto"/>
            <w:sz w:val="20"/>
            <w:szCs w:val="20"/>
            <w:u w:val="none"/>
          </w:rPr>
          <w:t>Medidas de restitución, rehabilitación, satisfacción y garantías de no repetición</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_Toc433387525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100</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26" w:history="1">
        <w:r w:rsidR="001154F9" w:rsidRPr="00657265">
          <w:rPr>
            <w:rStyle w:val="Hyperlink"/>
            <w:rFonts w:ascii="Verdana" w:hAnsi="Verdana" w:cs="Verdana-Italic"/>
            <w:noProof/>
            <w:color w:val="auto"/>
            <w:sz w:val="20"/>
            <w:szCs w:val="20"/>
            <w:u w:val="none"/>
            <w:lang w:bidi="en-US"/>
          </w:rPr>
          <w:t xml:space="preserve">C.1. </w:t>
        </w:r>
        <w:r w:rsidR="001154F9" w:rsidRPr="00657265">
          <w:rPr>
            <w:rStyle w:val="Hyperlink"/>
            <w:rFonts w:ascii="Verdana" w:hAnsi="Verdana"/>
            <w:noProof/>
            <w:color w:val="auto"/>
            <w:sz w:val="20"/>
            <w:szCs w:val="20"/>
            <w:u w:val="none"/>
          </w:rPr>
          <w:t>Restitución</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_Toc433387526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100</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1350"/>
        <w:rPr>
          <w:rFonts w:ascii="Verdana" w:eastAsiaTheme="minorEastAsia" w:hAnsi="Verdana" w:cstheme="minorBidi"/>
          <w:noProof/>
          <w:sz w:val="20"/>
          <w:szCs w:val="20"/>
          <w:lang w:eastAsia="es-CR"/>
        </w:rPr>
      </w:pPr>
      <w:hyperlink w:anchor="_Toc433387527" w:history="1">
        <w:r w:rsidR="001154F9" w:rsidRPr="00657265">
          <w:rPr>
            <w:rStyle w:val="Hyperlink"/>
            <w:rFonts w:ascii="Verdana" w:eastAsiaTheme="minorHAnsi" w:hAnsi="Verdana"/>
            <w:noProof/>
            <w:color w:val="auto"/>
            <w:sz w:val="20"/>
            <w:szCs w:val="20"/>
            <w:u w:val="none"/>
          </w:rPr>
          <w:t>C.1.1. Asistencia para ganadería y construcción de viviendas</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_Toc433387527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100</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28" w:history="1">
        <w:r w:rsidR="001154F9" w:rsidRPr="00657265">
          <w:rPr>
            <w:rStyle w:val="Hyperlink"/>
            <w:rFonts w:ascii="Verdana" w:hAnsi="Verdana" w:cs="Verdana-Italic"/>
            <w:noProof/>
            <w:color w:val="auto"/>
            <w:sz w:val="20"/>
            <w:szCs w:val="20"/>
            <w:u w:val="none"/>
            <w:lang w:bidi="en-US"/>
          </w:rPr>
          <w:t xml:space="preserve">C.2. </w:t>
        </w:r>
        <w:r w:rsidR="001154F9" w:rsidRPr="00657265">
          <w:rPr>
            <w:rStyle w:val="Hyperlink"/>
            <w:rFonts w:ascii="Verdana" w:hAnsi="Verdana"/>
            <w:noProof/>
            <w:color w:val="auto"/>
            <w:sz w:val="20"/>
            <w:szCs w:val="20"/>
            <w:u w:val="none"/>
          </w:rPr>
          <w:t>Rehabilitación</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_Toc433387528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102</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1350"/>
        <w:rPr>
          <w:rFonts w:ascii="Verdana" w:eastAsiaTheme="minorEastAsia" w:hAnsi="Verdana" w:cstheme="minorBidi"/>
          <w:noProof/>
          <w:sz w:val="20"/>
          <w:szCs w:val="20"/>
          <w:lang w:eastAsia="es-CR"/>
        </w:rPr>
      </w:pPr>
      <w:hyperlink w:anchor="_Toc433387529" w:history="1">
        <w:r w:rsidR="001154F9" w:rsidRPr="00657265">
          <w:rPr>
            <w:rStyle w:val="Hyperlink"/>
            <w:rFonts w:ascii="Verdana" w:eastAsiaTheme="minorHAnsi" w:hAnsi="Verdana"/>
            <w:noProof/>
            <w:color w:val="auto"/>
            <w:sz w:val="20"/>
            <w:szCs w:val="20"/>
            <w:u w:val="none"/>
          </w:rPr>
          <w:t>C.2.1.</w:t>
        </w:r>
        <w:r w:rsidR="00E6234E">
          <w:rPr>
            <w:rStyle w:val="Hyperlink"/>
            <w:rFonts w:ascii="Verdana" w:eastAsiaTheme="minorHAnsi" w:hAnsi="Verdana"/>
            <w:noProof/>
            <w:color w:val="auto"/>
            <w:sz w:val="20"/>
            <w:szCs w:val="20"/>
            <w:u w:val="none"/>
          </w:rPr>
          <w:t xml:space="preserve"> T</w:t>
        </w:r>
        <w:r w:rsidR="00E6234E" w:rsidRPr="00E6234E">
          <w:rPr>
            <w:rStyle w:val="Hyperlink"/>
            <w:rFonts w:ascii="Verdana" w:eastAsiaTheme="minorHAnsi" w:hAnsi="Verdana"/>
            <w:noProof/>
            <w:color w:val="auto"/>
            <w:sz w:val="20"/>
            <w:szCs w:val="20"/>
            <w:u w:val="none"/>
          </w:rPr>
          <w:t>ratamiento médi</w:t>
        </w:r>
        <w:r w:rsidR="00E6234E">
          <w:rPr>
            <w:rStyle w:val="Hyperlink"/>
            <w:rFonts w:ascii="Verdana" w:eastAsiaTheme="minorHAnsi" w:hAnsi="Verdana"/>
            <w:noProof/>
            <w:color w:val="auto"/>
            <w:sz w:val="20"/>
            <w:szCs w:val="20"/>
            <w:u w:val="none"/>
          </w:rPr>
          <w:t>co y psicológico o psiquiátrico</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_Toc433387529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102</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30" w:history="1">
        <w:r w:rsidR="001154F9" w:rsidRPr="00657265">
          <w:rPr>
            <w:rStyle w:val="Hyperlink"/>
            <w:rFonts w:ascii="Verdana" w:hAnsi="Verdana" w:cs="Verdana-Italic"/>
            <w:iCs/>
            <w:noProof/>
            <w:color w:val="auto"/>
            <w:sz w:val="20"/>
            <w:szCs w:val="20"/>
            <w:u w:val="none"/>
            <w:lang w:bidi="en-US"/>
          </w:rPr>
          <w:t xml:space="preserve">C.3. </w:t>
        </w:r>
        <w:r w:rsidR="001154F9" w:rsidRPr="00657265">
          <w:rPr>
            <w:rStyle w:val="Hyperlink"/>
            <w:rFonts w:ascii="Verdana" w:hAnsi="Verdana"/>
            <w:noProof/>
            <w:color w:val="auto"/>
            <w:sz w:val="20"/>
            <w:szCs w:val="20"/>
            <w:u w:val="none"/>
          </w:rPr>
          <w:t>Satisfacción</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_Toc433387530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103</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1350"/>
        <w:rPr>
          <w:rFonts w:ascii="Verdana" w:eastAsiaTheme="minorEastAsia" w:hAnsi="Verdana" w:cstheme="minorBidi"/>
          <w:noProof/>
          <w:sz w:val="20"/>
          <w:szCs w:val="20"/>
          <w:lang w:eastAsia="es-CR"/>
        </w:rPr>
      </w:pPr>
      <w:hyperlink w:anchor="_Toc433387531" w:history="1">
        <w:r w:rsidR="001154F9" w:rsidRPr="00657265">
          <w:rPr>
            <w:rStyle w:val="Hyperlink"/>
            <w:rFonts w:ascii="Verdana" w:hAnsi="Verdana"/>
            <w:noProof/>
            <w:color w:val="auto"/>
            <w:sz w:val="20"/>
            <w:szCs w:val="20"/>
            <w:u w:val="none"/>
          </w:rPr>
          <w:t>C.3.1. Publicación y difusión de la Sentencia</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_Toc433387531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103</w:t>
        </w:r>
        <w:r w:rsidR="001154F9" w:rsidRPr="00657265">
          <w:rPr>
            <w:rFonts w:ascii="Verdana" w:hAnsi="Verdana"/>
            <w:noProof/>
            <w:webHidden/>
            <w:sz w:val="20"/>
            <w:szCs w:val="20"/>
          </w:rPr>
          <w:fldChar w:fldCharType="end"/>
        </w:r>
      </w:hyperlink>
    </w:p>
    <w:p w:rsidR="001154F9" w:rsidRPr="00657265"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32" w:history="1">
        <w:r w:rsidR="001154F9" w:rsidRPr="00657265">
          <w:rPr>
            <w:rStyle w:val="Hyperlink"/>
            <w:rFonts w:ascii="Verdana" w:hAnsi="Verdana" w:cs="Verdana-Italic"/>
            <w:noProof/>
            <w:color w:val="auto"/>
            <w:sz w:val="20"/>
            <w:szCs w:val="20"/>
            <w:u w:val="none"/>
            <w:lang w:bidi="en-US"/>
          </w:rPr>
          <w:t xml:space="preserve">C.4. </w:t>
        </w:r>
        <w:r w:rsidR="001154F9" w:rsidRPr="00657265">
          <w:rPr>
            <w:rStyle w:val="Hyperlink"/>
            <w:rFonts w:ascii="Verdana" w:hAnsi="Verdana"/>
            <w:noProof/>
            <w:color w:val="auto"/>
            <w:sz w:val="20"/>
            <w:szCs w:val="20"/>
            <w:u w:val="none"/>
            <w:lang w:val="es-ES_tradnl"/>
          </w:rPr>
          <w:t>Garantías de no repetición</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_Toc433387532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104</w:t>
        </w:r>
        <w:r w:rsidR="001154F9" w:rsidRPr="00657265">
          <w:rPr>
            <w:rFonts w:ascii="Verdana" w:hAnsi="Verdana"/>
            <w:noProof/>
            <w:webHidden/>
            <w:sz w:val="20"/>
            <w:szCs w:val="20"/>
          </w:rPr>
          <w:fldChar w:fldCharType="end"/>
        </w:r>
      </w:hyperlink>
    </w:p>
    <w:p w:rsidR="001154F9" w:rsidRPr="00836D0F" w:rsidRDefault="006D5A62" w:rsidP="005169AC">
      <w:pPr>
        <w:pStyle w:val="TOC3"/>
        <w:tabs>
          <w:tab w:val="left" w:pos="9214"/>
        </w:tabs>
        <w:spacing w:after="0" w:line="240" w:lineRule="auto"/>
        <w:ind w:left="1350"/>
        <w:rPr>
          <w:rFonts w:ascii="Verdana" w:eastAsiaTheme="minorEastAsia" w:hAnsi="Verdana" w:cstheme="minorBidi"/>
          <w:noProof/>
          <w:sz w:val="20"/>
          <w:szCs w:val="20"/>
          <w:lang w:eastAsia="es-CR"/>
        </w:rPr>
      </w:pPr>
      <w:hyperlink w:anchor="_Toc433387533" w:history="1">
        <w:r w:rsidR="001154F9" w:rsidRPr="00657265">
          <w:rPr>
            <w:rStyle w:val="Hyperlink"/>
            <w:rFonts w:ascii="Verdana" w:hAnsi="Verdana" w:cs="Verdana-Italic"/>
            <w:noProof/>
            <w:color w:val="auto"/>
            <w:sz w:val="20"/>
            <w:szCs w:val="20"/>
            <w:u w:val="none"/>
            <w:lang w:bidi="en-US"/>
          </w:rPr>
          <w:t>C.4.1.</w:t>
        </w:r>
        <w:r w:rsidR="001154F9" w:rsidRPr="00657265">
          <w:rPr>
            <w:rStyle w:val="Hyperlink"/>
            <w:rFonts w:ascii="Verdana" w:hAnsi="Verdana"/>
            <w:noProof/>
            <w:color w:val="auto"/>
            <w:sz w:val="20"/>
            <w:szCs w:val="20"/>
            <w:u w:val="none"/>
          </w:rPr>
          <w:t xml:space="preserve"> Capacitación continua de los integrantes del Equipo Forense Especializado (EFE) del Instituto de Medicina Legal y Ciencias Forenses del Ministerio Público</w:t>
        </w:r>
        <w:r w:rsidR="001154F9" w:rsidRPr="00657265">
          <w:rPr>
            <w:rFonts w:ascii="Verdana" w:hAnsi="Verdana"/>
            <w:noProof/>
            <w:webHidden/>
            <w:sz w:val="20"/>
            <w:szCs w:val="20"/>
          </w:rPr>
          <w:tab/>
        </w:r>
        <w:r w:rsidR="001154F9" w:rsidRPr="00657265">
          <w:rPr>
            <w:rFonts w:ascii="Verdana" w:hAnsi="Verdana"/>
            <w:noProof/>
            <w:webHidden/>
            <w:sz w:val="20"/>
            <w:szCs w:val="20"/>
          </w:rPr>
          <w:fldChar w:fldCharType="begin"/>
        </w:r>
        <w:r w:rsidR="001154F9" w:rsidRPr="00657265">
          <w:rPr>
            <w:rFonts w:ascii="Verdana" w:hAnsi="Verdana"/>
            <w:noProof/>
            <w:webHidden/>
            <w:sz w:val="20"/>
            <w:szCs w:val="20"/>
          </w:rPr>
          <w:instrText xml:space="preserve"> PAGEREF _Toc433387533 \h </w:instrText>
        </w:r>
        <w:r w:rsidR="001154F9" w:rsidRPr="00657265">
          <w:rPr>
            <w:rFonts w:ascii="Verdana" w:hAnsi="Verdana"/>
            <w:noProof/>
            <w:webHidden/>
            <w:sz w:val="20"/>
            <w:szCs w:val="20"/>
          </w:rPr>
        </w:r>
        <w:r w:rsidR="001154F9" w:rsidRPr="00657265">
          <w:rPr>
            <w:rFonts w:ascii="Verdana" w:hAnsi="Verdana"/>
            <w:noProof/>
            <w:webHidden/>
            <w:sz w:val="20"/>
            <w:szCs w:val="20"/>
          </w:rPr>
          <w:fldChar w:fldCharType="separate"/>
        </w:r>
        <w:r w:rsidR="00183A6F">
          <w:rPr>
            <w:rFonts w:ascii="Verdana" w:hAnsi="Verdana"/>
            <w:noProof/>
            <w:webHidden/>
            <w:sz w:val="20"/>
            <w:szCs w:val="20"/>
          </w:rPr>
          <w:t>104</w:t>
        </w:r>
        <w:r w:rsidR="001154F9" w:rsidRPr="00657265">
          <w:rPr>
            <w:rFonts w:ascii="Verdana" w:hAnsi="Verdana"/>
            <w:noProof/>
            <w:webHidden/>
            <w:sz w:val="20"/>
            <w:szCs w:val="20"/>
          </w:rPr>
          <w:fldChar w:fldCharType="end"/>
        </w:r>
      </w:hyperlink>
    </w:p>
    <w:p w:rsidR="001154F9" w:rsidRPr="00836D0F" w:rsidRDefault="006D5A62" w:rsidP="005169AC">
      <w:pPr>
        <w:pStyle w:val="TOC3"/>
        <w:tabs>
          <w:tab w:val="left" w:pos="9214"/>
        </w:tabs>
        <w:spacing w:after="0" w:line="240" w:lineRule="auto"/>
        <w:ind w:left="1350"/>
        <w:rPr>
          <w:rFonts w:ascii="Verdana" w:eastAsiaTheme="minorEastAsia" w:hAnsi="Verdana" w:cstheme="minorBidi"/>
          <w:noProof/>
          <w:sz w:val="20"/>
          <w:szCs w:val="20"/>
          <w:lang w:eastAsia="es-CR"/>
        </w:rPr>
      </w:pPr>
      <w:hyperlink w:anchor="_Toc433387534" w:history="1">
        <w:r w:rsidR="001154F9" w:rsidRPr="00836D0F">
          <w:rPr>
            <w:rStyle w:val="Hyperlink"/>
            <w:rFonts w:ascii="Verdana" w:hAnsi="Verdana"/>
            <w:noProof/>
            <w:color w:val="auto"/>
            <w:sz w:val="20"/>
            <w:szCs w:val="20"/>
            <w:u w:val="none"/>
            <w:lang w:bidi="en-US"/>
          </w:rPr>
          <w:t>C.4.2.</w:t>
        </w:r>
        <w:r w:rsidR="001154F9" w:rsidRPr="00836D0F">
          <w:rPr>
            <w:rStyle w:val="Hyperlink"/>
            <w:rFonts w:ascii="Verdana" w:hAnsi="Verdana"/>
            <w:noProof/>
            <w:color w:val="auto"/>
            <w:spacing w:val="-2"/>
            <w:sz w:val="20"/>
            <w:szCs w:val="20"/>
            <w:u w:val="none"/>
            <w:lang w:val="es-ES_tradnl"/>
          </w:rPr>
          <w:t xml:space="preserve"> </w:t>
        </w:r>
        <w:r w:rsidR="001154F9" w:rsidRPr="00836D0F">
          <w:rPr>
            <w:rStyle w:val="Hyperlink"/>
            <w:rFonts w:ascii="Verdana" w:hAnsi="Verdana"/>
            <w:noProof/>
            <w:color w:val="auto"/>
            <w:sz w:val="20"/>
            <w:szCs w:val="20"/>
            <w:u w:val="none"/>
            <w:lang w:bidi="en-US"/>
          </w:rPr>
          <w:t>Adopción de una estrategia nacional de búsqueda y determinación del paradero de personas desaparecidas en el conflicto armado en el Perú</w:t>
        </w:r>
        <w:r w:rsidR="001154F9" w:rsidRPr="00836D0F">
          <w:rPr>
            <w:rFonts w:ascii="Verdana" w:hAnsi="Verdana"/>
            <w:noProof/>
            <w:webHidden/>
            <w:sz w:val="20"/>
            <w:szCs w:val="20"/>
          </w:rPr>
          <w:tab/>
        </w:r>
        <w:r w:rsidR="001154F9" w:rsidRPr="00836D0F">
          <w:rPr>
            <w:rFonts w:ascii="Verdana" w:hAnsi="Verdana"/>
            <w:noProof/>
            <w:webHidden/>
            <w:sz w:val="20"/>
            <w:szCs w:val="20"/>
          </w:rPr>
          <w:fldChar w:fldCharType="begin"/>
        </w:r>
        <w:r w:rsidR="001154F9" w:rsidRPr="00836D0F">
          <w:rPr>
            <w:rFonts w:ascii="Verdana" w:hAnsi="Verdana"/>
            <w:noProof/>
            <w:webHidden/>
            <w:sz w:val="20"/>
            <w:szCs w:val="20"/>
          </w:rPr>
          <w:instrText xml:space="preserve"> PAGEREF _Toc433387534 \h </w:instrText>
        </w:r>
        <w:r w:rsidR="001154F9" w:rsidRPr="00836D0F">
          <w:rPr>
            <w:rFonts w:ascii="Verdana" w:hAnsi="Verdana"/>
            <w:noProof/>
            <w:webHidden/>
            <w:sz w:val="20"/>
            <w:szCs w:val="20"/>
          </w:rPr>
        </w:r>
        <w:r w:rsidR="001154F9" w:rsidRPr="00836D0F">
          <w:rPr>
            <w:rFonts w:ascii="Verdana" w:hAnsi="Verdana"/>
            <w:noProof/>
            <w:webHidden/>
            <w:sz w:val="20"/>
            <w:szCs w:val="20"/>
          </w:rPr>
          <w:fldChar w:fldCharType="separate"/>
        </w:r>
        <w:r w:rsidR="00183A6F">
          <w:rPr>
            <w:rFonts w:ascii="Verdana" w:hAnsi="Verdana"/>
            <w:noProof/>
            <w:webHidden/>
            <w:sz w:val="20"/>
            <w:szCs w:val="20"/>
          </w:rPr>
          <w:t>106</w:t>
        </w:r>
        <w:r w:rsidR="001154F9" w:rsidRPr="00836D0F">
          <w:rPr>
            <w:rFonts w:ascii="Verdana" w:hAnsi="Verdana"/>
            <w:noProof/>
            <w:webHidden/>
            <w:sz w:val="20"/>
            <w:szCs w:val="20"/>
          </w:rPr>
          <w:fldChar w:fldCharType="end"/>
        </w:r>
      </w:hyperlink>
    </w:p>
    <w:p w:rsidR="001154F9" w:rsidRPr="00836D0F"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35" w:history="1">
        <w:r w:rsidR="001154F9" w:rsidRPr="00836D0F">
          <w:rPr>
            <w:rStyle w:val="Hyperlink"/>
            <w:rFonts w:ascii="Verdana" w:hAnsi="Verdana" w:cs="Verdana-Italic"/>
            <w:noProof/>
            <w:color w:val="auto"/>
            <w:sz w:val="20"/>
            <w:szCs w:val="20"/>
            <w:u w:val="none"/>
            <w:lang w:bidi="en-US"/>
          </w:rPr>
          <w:t xml:space="preserve">C.5. </w:t>
        </w:r>
        <w:r w:rsidR="001154F9" w:rsidRPr="00836D0F">
          <w:rPr>
            <w:rStyle w:val="Hyperlink"/>
            <w:rFonts w:ascii="Verdana" w:hAnsi="Verdana"/>
            <w:noProof/>
            <w:color w:val="auto"/>
            <w:sz w:val="20"/>
            <w:szCs w:val="20"/>
            <w:u w:val="none"/>
            <w:lang w:val="es-ES_tradnl"/>
          </w:rPr>
          <w:t>Otras medidas solicitadas</w:t>
        </w:r>
        <w:r w:rsidR="001154F9" w:rsidRPr="00836D0F">
          <w:rPr>
            <w:rFonts w:ascii="Verdana" w:hAnsi="Verdana"/>
            <w:noProof/>
            <w:webHidden/>
            <w:sz w:val="20"/>
            <w:szCs w:val="20"/>
          </w:rPr>
          <w:tab/>
        </w:r>
        <w:r w:rsidR="001154F9" w:rsidRPr="00836D0F">
          <w:rPr>
            <w:rFonts w:ascii="Verdana" w:hAnsi="Verdana"/>
            <w:noProof/>
            <w:webHidden/>
            <w:sz w:val="20"/>
            <w:szCs w:val="20"/>
          </w:rPr>
          <w:fldChar w:fldCharType="begin"/>
        </w:r>
        <w:r w:rsidR="001154F9" w:rsidRPr="00836D0F">
          <w:rPr>
            <w:rFonts w:ascii="Verdana" w:hAnsi="Verdana"/>
            <w:noProof/>
            <w:webHidden/>
            <w:sz w:val="20"/>
            <w:szCs w:val="20"/>
          </w:rPr>
          <w:instrText xml:space="preserve"> PAGEREF _Toc433387535 \h </w:instrText>
        </w:r>
        <w:r w:rsidR="001154F9" w:rsidRPr="00836D0F">
          <w:rPr>
            <w:rFonts w:ascii="Verdana" w:hAnsi="Verdana"/>
            <w:noProof/>
            <w:webHidden/>
            <w:sz w:val="20"/>
            <w:szCs w:val="20"/>
          </w:rPr>
        </w:r>
        <w:r w:rsidR="001154F9" w:rsidRPr="00836D0F">
          <w:rPr>
            <w:rFonts w:ascii="Verdana" w:hAnsi="Verdana"/>
            <w:noProof/>
            <w:webHidden/>
            <w:sz w:val="20"/>
            <w:szCs w:val="20"/>
          </w:rPr>
          <w:fldChar w:fldCharType="separate"/>
        </w:r>
        <w:r w:rsidR="00183A6F">
          <w:rPr>
            <w:rFonts w:ascii="Verdana" w:hAnsi="Verdana"/>
            <w:noProof/>
            <w:webHidden/>
            <w:sz w:val="20"/>
            <w:szCs w:val="20"/>
          </w:rPr>
          <w:t>107</w:t>
        </w:r>
        <w:r w:rsidR="001154F9" w:rsidRPr="00836D0F">
          <w:rPr>
            <w:rFonts w:ascii="Verdana" w:hAnsi="Verdana"/>
            <w:noProof/>
            <w:webHidden/>
            <w:sz w:val="20"/>
            <w:szCs w:val="20"/>
          </w:rPr>
          <w:fldChar w:fldCharType="end"/>
        </w:r>
      </w:hyperlink>
    </w:p>
    <w:p w:rsidR="001154F9" w:rsidRPr="00836D0F"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536" w:history="1">
        <w:r w:rsidR="001154F9" w:rsidRPr="00836D0F">
          <w:rPr>
            <w:rStyle w:val="Hyperlink"/>
            <w:rFonts w:ascii="Verdana" w:eastAsiaTheme="minorHAnsi" w:hAnsi="Verdana"/>
            <w:noProof/>
            <w:color w:val="auto"/>
            <w:sz w:val="20"/>
            <w:szCs w:val="20"/>
            <w:u w:val="none"/>
          </w:rPr>
          <w:t>D</w:t>
        </w:r>
        <w:r w:rsidR="00015C38">
          <w:rPr>
            <w:rStyle w:val="Hyperlink"/>
            <w:rFonts w:ascii="Verdana" w:eastAsiaTheme="minorHAnsi" w:hAnsi="Verdana"/>
            <w:noProof/>
            <w:color w:val="auto"/>
            <w:sz w:val="20"/>
            <w:szCs w:val="20"/>
            <w:u w:val="none"/>
          </w:rPr>
          <w:t>.</w:t>
        </w:r>
        <w:r w:rsidR="001154F9" w:rsidRPr="00836D0F">
          <w:rPr>
            <w:rFonts w:ascii="Verdana" w:eastAsiaTheme="minorEastAsia" w:hAnsi="Verdana" w:cstheme="minorBidi"/>
            <w:noProof/>
            <w:sz w:val="20"/>
            <w:szCs w:val="20"/>
            <w:lang w:eastAsia="es-CR"/>
          </w:rPr>
          <w:tab/>
        </w:r>
        <w:r w:rsidR="001154F9" w:rsidRPr="00836D0F">
          <w:rPr>
            <w:rStyle w:val="Hyperlink"/>
            <w:rFonts w:ascii="Verdana" w:eastAsia="MS Mincho" w:hAnsi="Verdana"/>
            <w:noProof/>
            <w:color w:val="auto"/>
            <w:sz w:val="20"/>
            <w:szCs w:val="20"/>
            <w:u w:val="none"/>
          </w:rPr>
          <w:t>Indemnizaciones Compensatorias</w:t>
        </w:r>
        <w:r w:rsidR="001154F9" w:rsidRPr="00836D0F">
          <w:rPr>
            <w:rFonts w:ascii="Verdana" w:hAnsi="Verdana"/>
            <w:noProof/>
            <w:webHidden/>
            <w:sz w:val="20"/>
            <w:szCs w:val="20"/>
          </w:rPr>
          <w:tab/>
        </w:r>
        <w:r w:rsidR="001154F9" w:rsidRPr="00836D0F">
          <w:rPr>
            <w:rFonts w:ascii="Verdana" w:hAnsi="Verdana"/>
            <w:noProof/>
            <w:webHidden/>
            <w:sz w:val="20"/>
            <w:szCs w:val="20"/>
          </w:rPr>
          <w:fldChar w:fldCharType="begin"/>
        </w:r>
        <w:r w:rsidR="001154F9" w:rsidRPr="00836D0F">
          <w:rPr>
            <w:rFonts w:ascii="Verdana" w:hAnsi="Verdana"/>
            <w:noProof/>
            <w:webHidden/>
            <w:sz w:val="20"/>
            <w:szCs w:val="20"/>
          </w:rPr>
          <w:instrText xml:space="preserve"> PAGEREF _Toc433387536 \h </w:instrText>
        </w:r>
        <w:r w:rsidR="001154F9" w:rsidRPr="00836D0F">
          <w:rPr>
            <w:rFonts w:ascii="Verdana" w:hAnsi="Verdana"/>
            <w:noProof/>
            <w:webHidden/>
            <w:sz w:val="20"/>
            <w:szCs w:val="20"/>
          </w:rPr>
        </w:r>
        <w:r w:rsidR="001154F9" w:rsidRPr="00836D0F">
          <w:rPr>
            <w:rFonts w:ascii="Verdana" w:hAnsi="Verdana"/>
            <w:noProof/>
            <w:webHidden/>
            <w:sz w:val="20"/>
            <w:szCs w:val="20"/>
          </w:rPr>
          <w:fldChar w:fldCharType="separate"/>
        </w:r>
        <w:r w:rsidR="00183A6F">
          <w:rPr>
            <w:rFonts w:ascii="Verdana" w:hAnsi="Verdana"/>
            <w:noProof/>
            <w:webHidden/>
            <w:sz w:val="20"/>
            <w:szCs w:val="20"/>
          </w:rPr>
          <w:t>109</w:t>
        </w:r>
        <w:r w:rsidR="001154F9" w:rsidRPr="00836D0F">
          <w:rPr>
            <w:rFonts w:ascii="Verdana" w:hAnsi="Verdana"/>
            <w:noProof/>
            <w:webHidden/>
            <w:sz w:val="20"/>
            <w:szCs w:val="20"/>
          </w:rPr>
          <w:fldChar w:fldCharType="end"/>
        </w:r>
      </w:hyperlink>
    </w:p>
    <w:p w:rsidR="001154F9" w:rsidRPr="00836D0F"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37" w:history="1">
        <w:r w:rsidR="001154F9" w:rsidRPr="00836D0F">
          <w:rPr>
            <w:rStyle w:val="Hyperlink"/>
            <w:rFonts w:ascii="Verdana" w:hAnsi="Verdana" w:cs="Arial"/>
            <w:noProof/>
            <w:color w:val="auto"/>
            <w:sz w:val="20"/>
            <w:szCs w:val="20"/>
            <w:u w:val="none"/>
          </w:rPr>
          <w:t xml:space="preserve">D.1. </w:t>
        </w:r>
        <w:r w:rsidR="001154F9" w:rsidRPr="00836D0F">
          <w:rPr>
            <w:rStyle w:val="Hyperlink"/>
            <w:rFonts w:ascii="Verdana" w:hAnsi="Verdana"/>
            <w:noProof/>
            <w:color w:val="auto"/>
            <w:sz w:val="20"/>
            <w:szCs w:val="20"/>
            <w:u w:val="none"/>
            <w:lang w:val="es-ES_tradnl"/>
          </w:rPr>
          <w:t>Daño Inmaterial</w:t>
        </w:r>
        <w:r w:rsidR="001154F9" w:rsidRPr="00836D0F">
          <w:rPr>
            <w:rFonts w:ascii="Verdana" w:hAnsi="Verdana"/>
            <w:noProof/>
            <w:webHidden/>
            <w:sz w:val="20"/>
            <w:szCs w:val="20"/>
          </w:rPr>
          <w:tab/>
        </w:r>
        <w:r w:rsidR="001154F9" w:rsidRPr="00836D0F">
          <w:rPr>
            <w:rFonts w:ascii="Verdana" w:hAnsi="Verdana"/>
            <w:noProof/>
            <w:webHidden/>
            <w:sz w:val="20"/>
            <w:szCs w:val="20"/>
          </w:rPr>
          <w:fldChar w:fldCharType="begin"/>
        </w:r>
        <w:r w:rsidR="001154F9" w:rsidRPr="00836D0F">
          <w:rPr>
            <w:rFonts w:ascii="Verdana" w:hAnsi="Verdana"/>
            <w:noProof/>
            <w:webHidden/>
            <w:sz w:val="20"/>
            <w:szCs w:val="20"/>
          </w:rPr>
          <w:instrText xml:space="preserve"> PAGEREF _Toc433387537 \h </w:instrText>
        </w:r>
        <w:r w:rsidR="001154F9" w:rsidRPr="00836D0F">
          <w:rPr>
            <w:rFonts w:ascii="Verdana" w:hAnsi="Verdana"/>
            <w:noProof/>
            <w:webHidden/>
            <w:sz w:val="20"/>
            <w:szCs w:val="20"/>
          </w:rPr>
        </w:r>
        <w:r w:rsidR="001154F9" w:rsidRPr="00836D0F">
          <w:rPr>
            <w:rFonts w:ascii="Verdana" w:hAnsi="Verdana"/>
            <w:noProof/>
            <w:webHidden/>
            <w:sz w:val="20"/>
            <w:szCs w:val="20"/>
          </w:rPr>
          <w:fldChar w:fldCharType="separate"/>
        </w:r>
        <w:r w:rsidR="00183A6F">
          <w:rPr>
            <w:rFonts w:ascii="Verdana" w:hAnsi="Verdana"/>
            <w:noProof/>
            <w:webHidden/>
            <w:sz w:val="20"/>
            <w:szCs w:val="20"/>
          </w:rPr>
          <w:t>112</w:t>
        </w:r>
        <w:r w:rsidR="001154F9" w:rsidRPr="00836D0F">
          <w:rPr>
            <w:rFonts w:ascii="Verdana" w:hAnsi="Verdana"/>
            <w:noProof/>
            <w:webHidden/>
            <w:sz w:val="20"/>
            <w:szCs w:val="20"/>
          </w:rPr>
          <w:fldChar w:fldCharType="end"/>
        </w:r>
      </w:hyperlink>
    </w:p>
    <w:p w:rsidR="001154F9" w:rsidRPr="00836D0F" w:rsidRDefault="006D5A62" w:rsidP="005169AC">
      <w:pPr>
        <w:pStyle w:val="TOC3"/>
        <w:tabs>
          <w:tab w:val="left" w:pos="9214"/>
        </w:tabs>
        <w:spacing w:after="0" w:line="240" w:lineRule="auto"/>
        <w:ind w:left="900"/>
        <w:rPr>
          <w:rFonts w:ascii="Verdana" w:eastAsiaTheme="minorEastAsia" w:hAnsi="Verdana" w:cstheme="minorBidi"/>
          <w:noProof/>
          <w:sz w:val="20"/>
          <w:szCs w:val="20"/>
          <w:lang w:eastAsia="es-CR"/>
        </w:rPr>
      </w:pPr>
      <w:hyperlink w:anchor="_Toc433387538" w:history="1">
        <w:r w:rsidR="001154F9" w:rsidRPr="00836D0F">
          <w:rPr>
            <w:rStyle w:val="Hyperlink"/>
            <w:rFonts w:ascii="Verdana" w:hAnsi="Verdana" w:cs="Arial"/>
            <w:noProof/>
            <w:color w:val="auto"/>
            <w:sz w:val="20"/>
            <w:szCs w:val="20"/>
            <w:u w:val="none"/>
          </w:rPr>
          <w:t xml:space="preserve">D.2. </w:t>
        </w:r>
        <w:r w:rsidR="001154F9" w:rsidRPr="00836D0F">
          <w:rPr>
            <w:rStyle w:val="Hyperlink"/>
            <w:rFonts w:ascii="Verdana" w:hAnsi="Verdana"/>
            <w:noProof/>
            <w:color w:val="auto"/>
            <w:sz w:val="20"/>
            <w:szCs w:val="20"/>
            <w:u w:val="none"/>
            <w:lang w:val="es-ES_tradnl"/>
          </w:rPr>
          <w:t>Daño Material</w:t>
        </w:r>
        <w:r w:rsidR="001154F9" w:rsidRPr="00836D0F">
          <w:rPr>
            <w:rFonts w:ascii="Verdana" w:hAnsi="Verdana"/>
            <w:noProof/>
            <w:webHidden/>
            <w:sz w:val="20"/>
            <w:szCs w:val="20"/>
          </w:rPr>
          <w:tab/>
        </w:r>
        <w:r w:rsidR="001154F9" w:rsidRPr="00836D0F">
          <w:rPr>
            <w:rFonts w:ascii="Verdana" w:hAnsi="Verdana"/>
            <w:noProof/>
            <w:webHidden/>
            <w:sz w:val="20"/>
            <w:szCs w:val="20"/>
          </w:rPr>
          <w:fldChar w:fldCharType="begin"/>
        </w:r>
        <w:r w:rsidR="001154F9" w:rsidRPr="00836D0F">
          <w:rPr>
            <w:rFonts w:ascii="Verdana" w:hAnsi="Verdana"/>
            <w:noProof/>
            <w:webHidden/>
            <w:sz w:val="20"/>
            <w:szCs w:val="20"/>
          </w:rPr>
          <w:instrText xml:space="preserve"> PAGEREF _Toc433387538 \h </w:instrText>
        </w:r>
        <w:r w:rsidR="001154F9" w:rsidRPr="00836D0F">
          <w:rPr>
            <w:rFonts w:ascii="Verdana" w:hAnsi="Verdana"/>
            <w:noProof/>
            <w:webHidden/>
            <w:sz w:val="20"/>
            <w:szCs w:val="20"/>
          </w:rPr>
        </w:r>
        <w:r w:rsidR="001154F9" w:rsidRPr="00836D0F">
          <w:rPr>
            <w:rFonts w:ascii="Verdana" w:hAnsi="Verdana"/>
            <w:noProof/>
            <w:webHidden/>
            <w:sz w:val="20"/>
            <w:szCs w:val="20"/>
          </w:rPr>
          <w:fldChar w:fldCharType="separate"/>
        </w:r>
        <w:r w:rsidR="00183A6F">
          <w:rPr>
            <w:rFonts w:ascii="Verdana" w:hAnsi="Verdana"/>
            <w:noProof/>
            <w:webHidden/>
            <w:sz w:val="20"/>
            <w:szCs w:val="20"/>
          </w:rPr>
          <w:t>113</w:t>
        </w:r>
        <w:r w:rsidR="001154F9" w:rsidRPr="00836D0F">
          <w:rPr>
            <w:rFonts w:ascii="Verdana" w:hAnsi="Verdana"/>
            <w:noProof/>
            <w:webHidden/>
            <w:sz w:val="20"/>
            <w:szCs w:val="20"/>
          </w:rPr>
          <w:fldChar w:fldCharType="end"/>
        </w:r>
      </w:hyperlink>
    </w:p>
    <w:p w:rsidR="001154F9" w:rsidRPr="00836D0F"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539" w:history="1">
        <w:r w:rsidR="001154F9" w:rsidRPr="00836D0F">
          <w:rPr>
            <w:rStyle w:val="Hyperlink"/>
            <w:rFonts w:ascii="Verdana" w:eastAsiaTheme="minorHAnsi" w:hAnsi="Verdana"/>
            <w:noProof/>
            <w:color w:val="auto"/>
            <w:sz w:val="20"/>
            <w:szCs w:val="20"/>
            <w:u w:val="none"/>
          </w:rPr>
          <w:t>E</w:t>
        </w:r>
        <w:r w:rsidR="00015C38">
          <w:rPr>
            <w:rStyle w:val="Hyperlink"/>
            <w:rFonts w:ascii="Verdana" w:eastAsiaTheme="minorHAnsi" w:hAnsi="Verdana"/>
            <w:noProof/>
            <w:color w:val="auto"/>
            <w:sz w:val="20"/>
            <w:szCs w:val="20"/>
            <w:u w:val="none"/>
          </w:rPr>
          <w:t>.</w:t>
        </w:r>
        <w:r w:rsidR="001154F9" w:rsidRPr="00836D0F">
          <w:rPr>
            <w:rFonts w:ascii="Verdana" w:eastAsiaTheme="minorEastAsia" w:hAnsi="Verdana" w:cstheme="minorBidi"/>
            <w:noProof/>
            <w:sz w:val="20"/>
            <w:szCs w:val="20"/>
            <w:lang w:eastAsia="es-CR"/>
          </w:rPr>
          <w:tab/>
        </w:r>
        <w:r w:rsidR="001154F9" w:rsidRPr="00836D0F">
          <w:rPr>
            <w:rStyle w:val="Hyperlink"/>
            <w:rFonts w:ascii="Verdana" w:hAnsi="Verdana"/>
            <w:noProof/>
            <w:color w:val="auto"/>
            <w:sz w:val="20"/>
            <w:szCs w:val="20"/>
            <w:u w:val="none"/>
          </w:rPr>
          <w:t>Costas y gastos</w:t>
        </w:r>
        <w:r w:rsidR="001154F9" w:rsidRPr="00836D0F">
          <w:rPr>
            <w:rFonts w:ascii="Verdana" w:hAnsi="Verdana"/>
            <w:noProof/>
            <w:webHidden/>
            <w:sz w:val="20"/>
            <w:szCs w:val="20"/>
          </w:rPr>
          <w:tab/>
        </w:r>
        <w:r w:rsidR="001154F9" w:rsidRPr="00836D0F">
          <w:rPr>
            <w:rFonts w:ascii="Verdana" w:hAnsi="Verdana"/>
            <w:noProof/>
            <w:webHidden/>
            <w:sz w:val="20"/>
            <w:szCs w:val="20"/>
          </w:rPr>
          <w:fldChar w:fldCharType="begin"/>
        </w:r>
        <w:r w:rsidR="001154F9" w:rsidRPr="00836D0F">
          <w:rPr>
            <w:rFonts w:ascii="Verdana" w:hAnsi="Verdana"/>
            <w:noProof/>
            <w:webHidden/>
            <w:sz w:val="20"/>
            <w:szCs w:val="20"/>
          </w:rPr>
          <w:instrText xml:space="preserve"> PAGEREF _Toc433387539 \h </w:instrText>
        </w:r>
        <w:r w:rsidR="001154F9" w:rsidRPr="00836D0F">
          <w:rPr>
            <w:rFonts w:ascii="Verdana" w:hAnsi="Verdana"/>
            <w:noProof/>
            <w:webHidden/>
            <w:sz w:val="20"/>
            <w:szCs w:val="20"/>
          </w:rPr>
        </w:r>
        <w:r w:rsidR="001154F9" w:rsidRPr="00836D0F">
          <w:rPr>
            <w:rFonts w:ascii="Verdana" w:hAnsi="Verdana"/>
            <w:noProof/>
            <w:webHidden/>
            <w:sz w:val="20"/>
            <w:szCs w:val="20"/>
          </w:rPr>
          <w:fldChar w:fldCharType="separate"/>
        </w:r>
        <w:r w:rsidR="00183A6F">
          <w:rPr>
            <w:rFonts w:ascii="Verdana" w:hAnsi="Verdana"/>
            <w:noProof/>
            <w:webHidden/>
            <w:sz w:val="20"/>
            <w:szCs w:val="20"/>
          </w:rPr>
          <w:t>114</w:t>
        </w:r>
        <w:r w:rsidR="001154F9" w:rsidRPr="00836D0F">
          <w:rPr>
            <w:rFonts w:ascii="Verdana" w:hAnsi="Verdana"/>
            <w:noProof/>
            <w:webHidden/>
            <w:sz w:val="20"/>
            <w:szCs w:val="20"/>
          </w:rPr>
          <w:fldChar w:fldCharType="end"/>
        </w:r>
      </w:hyperlink>
    </w:p>
    <w:p w:rsidR="001154F9" w:rsidRPr="00836D0F"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540" w:history="1">
        <w:r w:rsidR="00015C38">
          <w:rPr>
            <w:rStyle w:val="Hyperlink"/>
            <w:rFonts w:ascii="Verdana" w:eastAsiaTheme="minorHAnsi" w:hAnsi="Verdana"/>
            <w:noProof/>
            <w:color w:val="auto"/>
            <w:sz w:val="20"/>
            <w:szCs w:val="20"/>
            <w:u w:val="none"/>
          </w:rPr>
          <w:t>F.</w:t>
        </w:r>
        <w:r w:rsidR="001154F9" w:rsidRPr="00836D0F">
          <w:rPr>
            <w:rFonts w:ascii="Verdana" w:eastAsiaTheme="minorEastAsia" w:hAnsi="Verdana" w:cstheme="minorBidi"/>
            <w:noProof/>
            <w:sz w:val="20"/>
            <w:szCs w:val="20"/>
            <w:lang w:eastAsia="es-CR"/>
          </w:rPr>
          <w:tab/>
        </w:r>
        <w:r w:rsidR="001154F9" w:rsidRPr="00836D0F">
          <w:rPr>
            <w:rStyle w:val="Hyperlink"/>
            <w:rFonts w:ascii="Verdana" w:hAnsi="Verdana"/>
            <w:noProof/>
            <w:color w:val="auto"/>
            <w:sz w:val="20"/>
            <w:szCs w:val="20"/>
            <w:u w:val="none"/>
          </w:rPr>
          <w:t>Reintegro de los gastos al Fondo de Asistencia Legal de Víctimas</w:t>
        </w:r>
        <w:r w:rsidR="001154F9" w:rsidRPr="00836D0F">
          <w:rPr>
            <w:rFonts w:ascii="Verdana" w:hAnsi="Verdana"/>
            <w:noProof/>
            <w:webHidden/>
            <w:sz w:val="20"/>
            <w:szCs w:val="20"/>
          </w:rPr>
          <w:tab/>
        </w:r>
        <w:r w:rsidR="001154F9" w:rsidRPr="00836D0F">
          <w:rPr>
            <w:rFonts w:ascii="Verdana" w:hAnsi="Verdana"/>
            <w:noProof/>
            <w:webHidden/>
            <w:sz w:val="20"/>
            <w:szCs w:val="20"/>
          </w:rPr>
          <w:fldChar w:fldCharType="begin"/>
        </w:r>
        <w:r w:rsidR="001154F9" w:rsidRPr="00836D0F">
          <w:rPr>
            <w:rFonts w:ascii="Verdana" w:hAnsi="Verdana"/>
            <w:noProof/>
            <w:webHidden/>
            <w:sz w:val="20"/>
            <w:szCs w:val="20"/>
          </w:rPr>
          <w:instrText xml:space="preserve"> PAGEREF _Toc433387540 \h </w:instrText>
        </w:r>
        <w:r w:rsidR="001154F9" w:rsidRPr="00836D0F">
          <w:rPr>
            <w:rFonts w:ascii="Verdana" w:hAnsi="Verdana"/>
            <w:noProof/>
            <w:webHidden/>
            <w:sz w:val="20"/>
            <w:szCs w:val="20"/>
          </w:rPr>
        </w:r>
        <w:r w:rsidR="001154F9" w:rsidRPr="00836D0F">
          <w:rPr>
            <w:rFonts w:ascii="Verdana" w:hAnsi="Verdana"/>
            <w:noProof/>
            <w:webHidden/>
            <w:sz w:val="20"/>
            <w:szCs w:val="20"/>
          </w:rPr>
          <w:fldChar w:fldCharType="separate"/>
        </w:r>
        <w:r w:rsidR="00183A6F">
          <w:rPr>
            <w:rFonts w:ascii="Verdana" w:hAnsi="Verdana"/>
            <w:noProof/>
            <w:webHidden/>
            <w:sz w:val="20"/>
            <w:szCs w:val="20"/>
          </w:rPr>
          <w:t>117</w:t>
        </w:r>
        <w:r w:rsidR="001154F9" w:rsidRPr="00836D0F">
          <w:rPr>
            <w:rFonts w:ascii="Verdana" w:hAnsi="Verdana"/>
            <w:noProof/>
            <w:webHidden/>
            <w:sz w:val="20"/>
            <w:szCs w:val="20"/>
          </w:rPr>
          <w:fldChar w:fldCharType="end"/>
        </w:r>
      </w:hyperlink>
    </w:p>
    <w:p w:rsidR="001154F9" w:rsidRPr="00836D0F" w:rsidRDefault="006D5A62" w:rsidP="005169AC">
      <w:pPr>
        <w:pStyle w:val="TOC3"/>
        <w:tabs>
          <w:tab w:val="left" w:pos="880"/>
          <w:tab w:val="left" w:pos="9214"/>
        </w:tabs>
        <w:spacing w:after="0" w:line="240" w:lineRule="auto"/>
        <w:rPr>
          <w:rFonts w:ascii="Verdana" w:eastAsiaTheme="minorEastAsia" w:hAnsi="Verdana" w:cstheme="minorBidi"/>
          <w:noProof/>
          <w:sz w:val="20"/>
          <w:szCs w:val="20"/>
          <w:lang w:eastAsia="es-CR"/>
        </w:rPr>
      </w:pPr>
      <w:hyperlink w:anchor="_Toc433387541" w:history="1">
        <w:r w:rsidR="001154F9" w:rsidRPr="00836D0F">
          <w:rPr>
            <w:rStyle w:val="Hyperlink"/>
            <w:rFonts w:ascii="Verdana" w:eastAsiaTheme="minorHAnsi" w:hAnsi="Verdana"/>
            <w:noProof/>
            <w:color w:val="auto"/>
            <w:sz w:val="20"/>
            <w:szCs w:val="20"/>
            <w:u w:val="none"/>
          </w:rPr>
          <w:t>G</w:t>
        </w:r>
        <w:r w:rsidR="00015C38">
          <w:rPr>
            <w:rStyle w:val="Hyperlink"/>
            <w:rFonts w:ascii="Verdana" w:eastAsiaTheme="minorHAnsi" w:hAnsi="Verdana"/>
            <w:noProof/>
            <w:color w:val="auto"/>
            <w:sz w:val="20"/>
            <w:szCs w:val="20"/>
            <w:u w:val="none"/>
          </w:rPr>
          <w:t>.</w:t>
        </w:r>
        <w:r w:rsidR="001154F9" w:rsidRPr="00836D0F">
          <w:rPr>
            <w:rFonts w:ascii="Verdana" w:eastAsiaTheme="minorEastAsia" w:hAnsi="Verdana" w:cstheme="minorBidi"/>
            <w:noProof/>
            <w:sz w:val="20"/>
            <w:szCs w:val="20"/>
            <w:lang w:eastAsia="es-CR"/>
          </w:rPr>
          <w:tab/>
        </w:r>
        <w:r w:rsidR="001154F9" w:rsidRPr="00836D0F">
          <w:rPr>
            <w:rStyle w:val="Hyperlink"/>
            <w:rFonts w:ascii="Verdana" w:hAnsi="Verdana"/>
            <w:noProof/>
            <w:color w:val="auto"/>
            <w:sz w:val="20"/>
            <w:szCs w:val="20"/>
            <w:u w:val="none"/>
          </w:rPr>
          <w:t>Modalidad de cumplimiento de los pagos ordenados</w:t>
        </w:r>
        <w:r w:rsidR="001154F9" w:rsidRPr="00836D0F">
          <w:rPr>
            <w:rFonts w:ascii="Verdana" w:hAnsi="Verdana"/>
            <w:noProof/>
            <w:webHidden/>
            <w:sz w:val="20"/>
            <w:szCs w:val="20"/>
          </w:rPr>
          <w:tab/>
        </w:r>
        <w:r w:rsidR="001154F9" w:rsidRPr="00836D0F">
          <w:rPr>
            <w:rFonts w:ascii="Verdana" w:hAnsi="Verdana"/>
            <w:noProof/>
            <w:webHidden/>
            <w:sz w:val="20"/>
            <w:szCs w:val="20"/>
          </w:rPr>
          <w:fldChar w:fldCharType="begin"/>
        </w:r>
        <w:r w:rsidR="001154F9" w:rsidRPr="00836D0F">
          <w:rPr>
            <w:rFonts w:ascii="Verdana" w:hAnsi="Verdana"/>
            <w:noProof/>
            <w:webHidden/>
            <w:sz w:val="20"/>
            <w:szCs w:val="20"/>
          </w:rPr>
          <w:instrText xml:space="preserve"> PAGEREF _Toc433387541 \h </w:instrText>
        </w:r>
        <w:r w:rsidR="001154F9" w:rsidRPr="00836D0F">
          <w:rPr>
            <w:rFonts w:ascii="Verdana" w:hAnsi="Verdana"/>
            <w:noProof/>
            <w:webHidden/>
            <w:sz w:val="20"/>
            <w:szCs w:val="20"/>
          </w:rPr>
        </w:r>
        <w:r w:rsidR="001154F9" w:rsidRPr="00836D0F">
          <w:rPr>
            <w:rFonts w:ascii="Verdana" w:hAnsi="Verdana"/>
            <w:noProof/>
            <w:webHidden/>
            <w:sz w:val="20"/>
            <w:szCs w:val="20"/>
          </w:rPr>
          <w:fldChar w:fldCharType="separate"/>
        </w:r>
        <w:r w:rsidR="00183A6F">
          <w:rPr>
            <w:rFonts w:ascii="Verdana" w:hAnsi="Verdana"/>
            <w:noProof/>
            <w:webHidden/>
            <w:sz w:val="20"/>
            <w:szCs w:val="20"/>
          </w:rPr>
          <w:t>118</w:t>
        </w:r>
        <w:r w:rsidR="001154F9" w:rsidRPr="00836D0F">
          <w:rPr>
            <w:rFonts w:ascii="Verdana" w:hAnsi="Verdana"/>
            <w:noProof/>
            <w:webHidden/>
            <w:sz w:val="20"/>
            <w:szCs w:val="20"/>
          </w:rPr>
          <w:fldChar w:fldCharType="end"/>
        </w:r>
      </w:hyperlink>
    </w:p>
    <w:p w:rsidR="00657265" w:rsidRDefault="00657265" w:rsidP="005169AC">
      <w:pPr>
        <w:pStyle w:val="TOC1"/>
        <w:jc w:val="left"/>
        <w:rPr>
          <w:rStyle w:val="Hyperlink"/>
          <w:color w:val="auto"/>
          <w:u w:val="none"/>
        </w:rPr>
      </w:pPr>
    </w:p>
    <w:p w:rsidR="001154F9" w:rsidRPr="001154F9" w:rsidRDefault="001154F9" w:rsidP="005169AC">
      <w:pPr>
        <w:pStyle w:val="TOC1"/>
        <w:jc w:val="left"/>
        <w:rPr>
          <w:rFonts w:eastAsiaTheme="minorEastAsia" w:cstheme="minorBidi"/>
          <w:lang w:eastAsia="es-CR"/>
        </w:rPr>
      </w:pPr>
      <w:r w:rsidRPr="00836D0F">
        <w:rPr>
          <w:rStyle w:val="Hyperlink"/>
          <w:color w:val="auto"/>
          <w:u w:val="none"/>
        </w:rPr>
        <w:t xml:space="preserve">XI </w:t>
      </w:r>
      <w:hyperlink w:anchor="_Toc433387543" w:history="1">
        <w:r w:rsidRPr="00836D0F">
          <w:rPr>
            <w:rStyle w:val="Hyperlink"/>
            <w:color w:val="auto"/>
            <w:u w:val="none"/>
          </w:rPr>
          <w:t>PUNTOS RESOLUTIVOS</w:t>
        </w:r>
        <w:r w:rsidRPr="00836D0F">
          <w:rPr>
            <w:webHidden/>
          </w:rPr>
          <w:tab/>
        </w:r>
        <w:r w:rsidRPr="00836D0F">
          <w:rPr>
            <w:webHidden/>
          </w:rPr>
          <w:fldChar w:fldCharType="begin"/>
        </w:r>
        <w:r w:rsidRPr="00836D0F">
          <w:rPr>
            <w:webHidden/>
          </w:rPr>
          <w:instrText xml:space="preserve"> PAGEREF _Toc433387543 \h </w:instrText>
        </w:r>
        <w:r w:rsidRPr="00836D0F">
          <w:rPr>
            <w:webHidden/>
          </w:rPr>
        </w:r>
        <w:r w:rsidRPr="00836D0F">
          <w:rPr>
            <w:webHidden/>
          </w:rPr>
          <w:fldChar w:fldCharType="separate"/>
        </w:r>
        <w:r w:rsidR="00183A6F">
          <w:rPr>
            <w:webHidden/>
          </w:rPr>
          <w:t>119</w:t>
        </w:r>
        <w:r w:rsidRPr="00836D0F">
          <w:rPr>
            <w:webHidden/>
          </w:rPr>
          <w:fldChar w:fldCharType="end"/>
        </w:r>
      </w:hyperlink>
    </w:p>
    <w:p w:rsidR="003734D2" w:rsidRDefault="001154F9" w:rsidP="004B18FC">
      <w:r>
        <w:fldChar w:fldCharType="end"/>
      </w:r>
    </w:p>
    <w:p w:rsidR="001154F9" w:rsidRDefault="001154F9">
      <w:r>
        <w:br w:type="page"/>
      </w:r>
    </w:p>
    <w:p w:rsidR="00A219C8" w:rsidRPr="002964A7" w:rsidRDefault="00A219C8" w:rsidP="001154F9">
      <w:pPr>
        <w:pStyle w:val="Heading1"/>
      </w:pPr>
      <w:bookmarkStart w:id="10" w:name="_Toc433387452"/>
      <w:r w:rsidRPr="002964A7">
        <w:lastRenderedPageBreak/>
        <w:t>I</w:t>
      </w:r>
      <w:r w:rsidRPr="002964A7">
        <w:br/>
        <w:t>INTRODUCCIÓN DE LA CAUSA Y OBJETO DE LA CONTROVERSIA</w:t>
      </w:r>
      <w:bookmarkEnd w:id="6"/>
      <w:bookmarkEnd w:id="7"/>
      <w:bookmarkEnd w:id="8"/>
      <w:bookmarkEnd w:id="9"/>
      <w:bookmarkEnd w:id="10"/>
    </w:p>
    <w:p w:rsidR="00A219C8" w:rsidRPr="002964A7" w:rsidRDefault="00A219C8" w:rsidP="00A219C8">
      <w:pPr>
        <w:spacing w:after="0" w:line="240" w:lineRule="auto"/>
        <w:rPr>
          <w:rFonts w:ascii="Verdana" w:hAnsi="Verdana"/>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hAnsi="Verdana" w:cs="Arial"/>
          <w:b/>
          <w:sz w:val="20"/>
          <w:szCs w:val="20"/>
        </w:rPr>
      </w:pPr>
      <w:r w:rsidRPr="002964A7">
        <w:rPr>
          <w:rFonts w:ascii="Verdana" w:hAnsi="Verdana"/>
          <w:i/>
          <w:spacing w:val="-2"/>
          <w:sz w:val="20"/>
          <w:szCs w:val="20"/>
        </w:rPr>
        <w:t>El caso sometido a la Corte. –</w:t>
      </w:r>
      <w:r w:rsidRPr="002964A7">
        <w:rPr>
          <w:rFonts w:ascii="Verdana" w:hAnsi="Verdana"/>
          <w:spacing w:val="-2"/>
          <w:sz w:val="20"/>
          <w:szCs w:val="20"/>
        </w:rPr>
        <w:t xml:space="preserve"> </w:t>
      </w:r>
      <w:r w:rsidRPr="002964A7">
        <w:rPr>
          <w:rFonts w:ascii="Verdana" w:eastAsia="Calibri" w:hAnsi="Verdana" w:cs="Arial"/>
          <w:sz w:val="20"/>
          <w:szCs w:val="20"/>
          <w:lang w:val="es-PE"/>
        </w:rPr>
        <w:t>El 8</w:t>
      </w:r>
      <w:r w:rsidRPr="002964A7">
        <w:rPr>
          <w:rFonts w:ascii="Verdana" w:hAnsi="Verdana" w:cs="Arial"/>
          <w:sz w:val="20"/>
          <w:szCs w:val="20"/>
          <w:lang w:val="es-ES"/>
        </w:rPr>
        <w:t xml:space="preserve"> de julio de 2013</w:t>
      </w:r>
      <w:r w:rsidRPr="002964A7">
        <w:rPr>
          <w:rFonts w:ascii="Verdana" w:eastAsia="Calibri" w:hAnsi="Verdana" w:cs="Arial"/>
          <w:sz w:val="20"/>
          <w:szCs w:val="20"/>
        </w:rPr>
        <w:t xml:space="preserve"> la Comisión Interamericana de Derechos Humanos (en adelante “la Comisión Interamericana” o “la Comisión”) </w:t>
      </w:r>
      <w:r w:rsidRPr="002964A7">
        <w:rPr>
          <w:rFonts w:ascii="Verdana" w:hAnsi="Verdana"/>
          <w:spacing w:val="-2"/>
          <w:sz w:val="20"/>
          <w:szCs w:val="20"/>
          <w:lang w:eastAsia="es-ES"/>
        </w:rPr>
        <w:t xml:space="preserve">presentó un escrito (en adelante “escrito de sometimiento”) </w:t>
      </w:r>
      <w:r w:rsidR="001F1BF6">
        <w:rPr>
          <w:rFonts w:ascii="Verdana" w:hAnsi="Verdana"/>
          <w:spacing w:val="-2"/>
          <w:sz w:val="20"/>
          <w:szCs w:val="20"/>
          <w:lang w:eastAsia="es-ES"/>
        </w:rPr>
        <w:t>mediante</w:t>
      </w:r>
      <w:r w:rsidR="001F1BF6" w:rsidRPr="002964A7">
        <w:rPr>
          <w:rFonts w:ascii="Verdana" w:hAnsi="Verdana"/>
          <w:spacing w:val="-2"/>
          <w:sz w:val="20"/>
          <w:szCs w:val="20"/>
          <w:lang w:eastAsia="es-ES"/>
        </w:rPr>
        <w:t xml:space="preserve"> </w:t>
      </w:r>
      <w:r w:rsidRPr="002964A7">
        <w:rPr>
          <w:rFonts w:ascii="Verdana" w:hAnsi="Verdana"/>
          <w:spacing w:val="-2"/>
          <w:sz w:val="20"/>
          <w:szCs w:val="20"/>
          <w:lang w:eastAsia="es-ES"/>
        </w:rPr>
        <w:t xml:space="preserve">el cual </w:t>
      </w:r>
      <w:r w:rsidRPr="002964A7">
        <w:rPr>
          <w:rFonts w:ascii="Verdana" w:eastAsia="Calibri" w:hAnsi="Verdana"/>
          <w:spacing w:val="-2"/>
          <w:sz w:val="20"/>
          <w:szCs w:val="20"/>
          <w:lang w:val="es-ES"/>
        </w:rPr>
        <w:t>sometió a la jurisdicción de la Corte Interamericana el caso</w:t>
      </w:r>
      <w:r w:rsidRPr="002964A7">
        <w:rPr>
          <w:rFonts w:ascii="Verdana" w:hAnsi="Verdana" w:cs="Arial"/>
          <w:b/>
          <w:sz w:val="20"/>
          <w:szCs w:val="20"/>
        </w:rPr>
        <w:t xml:space="preserve"> </w:t>
      </w:r>
      <w:r w:rsidRPr="002964A7">
        <w:rPr>
          <w:rFonts w:ascii="Verdana" w:hAnsi="Verdana"/>
          <w:spacing w:val="-2"/>
          <w:sz w:val="20"/>
          <w:szCs w:val="20"/>
        </w:rPr>
        <w:t>Comunidad Campesina de Santa Bárbara</w:t>
      </w:r>
      <w:r w:rsidRPr="002964A7">
        <w:rPr>
          <w:rFonts w:ascii="Verdana" w:hAnsi="Verdana" w:cs="Arial"/>
          <w:b/>
          <w:sz w:val="20"/>
          <w:szCs w:val="20"/>
        </w:rPr>
        <w:t xml:space="preserve"> </w:t>
      </w:r>
      <w:r w:rsidRPr="002964A7">
        <w:rPr>
          <w:rFonts w:ascii="Verdana" w:eastAsia="Calibri" w:hAnsi="Verdana" w:cs="Arial"/>
          <w:sz w:val="20"/>
          <w:szCs w:val="20"/>
        </w:rPr>
        <w:t xml:space="preserve">contra la República del Perú (en adelante “el Estado” o “el Perú”). </w:t>
      </w:r>
      <w:r w:rsidRPr="002964A7">
        <w:rPr>
          <w:rFonts w:ascii="Verdana" w:hAnsi="Verdana"/>
          <w:sz w:val="20"/>
          <w:szCs w:val="20"/>
          <w:lang w:val="es-ES"/>
        </w:rPr>
        <w:t>De acuerdo con la Comisión, el caso se refiere a la presunta responsabilidad del Estado por la alegada desaparición forzada de 15 personas pertenecientes, en su mayoría, a dos familias y entre las que se encontraban siete niñ</w:t>
      </w:r>
      <w:r w:rsidR="00C103AD">
        <w:rPr>
          <w:rFonts w:ascii="Verdana" w:hAnsi="Verdana"/>
          <w:sz w:val="20"/>
          <w:szCs w:val="20"/>
          <w:lang w:val="es-ES"/>
        </w:rPr>
        <w:t>a</w:t>
      </w:r>
      <w:r w:rsidRPr="002964A7">
        <w:rPr>
          <w:rFonts w:ascii="Verdana" w:hAnsi="Verdana"/>
          <w:sz w:val="20"/>
          <w:szCs w:val="20"/>
          <w:lang w:val="es-ES"/>
        </w:rPr>
        <w:t>s y niñ</w:t>
      </w:r>
      <w:r w:rsidR="00C103AD">
        <w:rPr>
          <w:rFonts w:ascii="Verdana" w:hAnsi="Verdana"/>
          <w:sz w:val="20"/>
          <w:szCs w:val="20"/>
          <w:lang w:val="es-ES"/>
        </w:rPr>
        <w:t>o</w:t>
      </w:r>
      <w:r w:rsidRPr="002964A7">
        <w:rPr>
          <w:rFonts w:ascii="Verdana" w:hAnsi="Verdana"/>
          <w:sz w:val="20"/>
          <w:szCs w:val="20"/>
          <w:lang w:val="es-ES"/>
        </w:rPr>
        <w:t xml:space="preserve">s </w:t>
      </w:r>
      <w:r w:rsidR="00C103AD">
        <w:rPr>
          <w:rFonts w:ascii="Verdana" w:hAnsi="Verdana"/>
          <w:sz w:val="20"/>
          <w:szCs w:val="20"/>
          <w:lang w:val="es-ES"/>
        </w:rPr>
        <w:t xml:space="preserve">de </w:t>
      </w:r>
      <w:r w:rsidRPr="002964A7">
        <w:rPr>
          <w:rFonts w:ascii="Verdana" w:hAnsi="Verdana"/>
          <w:sz w:val="20"/>
          <w:szCs w:val="20"/>
          <w:lang w:val="es-ES"/>
        </w:rPr>
        <w:t xml:space="preserve">entre ocho meses y siete años de edad. Estos hechos presuntamente fueron cometidos por miembros del Ejército peruano y habrían tenido lugar el 4 de julio de 1991 en la comunidad de Santa Bárbara, provincia de Huancavelica. </w:t>
      </w:r>
      <w:r w:rsidR="002D6904">
        <w:rPr>
          <w:rFonts w:ascii="Verdana" w:hAnsi="Verdana" w:cs="Arial"/>
          <w:sz w:val="20"/>
          <w:szCs w:val="20"/>
        </w:rPr>
        <w:t>La Comisión señaló que, a</w:t>
      </w:r>
      <w:r w:rsidRPr="002964A7">
        <w:rPr>
          <w:rFonts w:ascii="Verdana" w:hAnsi="Verdana" w:cs="Arial"/>
          <w:sz w:val="20"/>
          <w:szCs w:val="20"/>
        </w:rPr>
        <w:t xml:space="preserve"> pesar </w:t>
      </w:r>
      <w:r w:rsidR="001F1BF6">
        <w:rPr>
          <w:rFonts w:ascii="Verdana" w:hAnsi="Verdana" w:cs="Arial"/>
          <w:sz w:val="20"/>
          <w:szCs w:val="20"/>
        </w:rPr>
        <w:t xml:space="preserve">de </w:t>
      </w:r>
      <w:r w:rsidRPr="002964A7">
        <w:rPr>
          <w:rFonts w:ascii="Verdana" w:hAnsi="Verdana" w:cs="Arial"/>
          <w:sz w:val="20"/>
          <w:szCs w:val="20"/>
        </w:rPr>
        <w:t>que en el marco de las investigaciones internas habría quedado demostrada la responsabilidad penal de los militares denunciados, e incluso, en la jurisdicción militar se encontró como responsables de los hechos denunciados a seis miembros de las fuerzas militares, el 14 de enero de 1997 la Corte Suprema de Justicia aplicó la Ley de Amnistía N</w:t>
      </w:r>
      <w:r w:rsidR="00C14700">
        <w:rPr>
          <w:rFonts w:ascii="Verdana" w:hAnsi="Verdana" w:cs="Arial"/>
          <w:sz w:val="20"/>
          <w:szCs w:val="20"/>
        </w:rPr>
        <w:t>o.</w:t>
      </w:r>
      <w:r w:rsidRPr="002964A7">
        <w:rPr>
          <w:rFonts w:ascii="Verdana" w:hAnsi="Verdana" w:cs="Arial"/>
          <w:sz w:val="20"/>
          <w:szCs w:val="20"/>
        </w:rPr>
        <w:t xml:space="preserve"> 26</w:t>
      </w:r>
      <w:r w:rsidR="00C14700">
        <w:rPr>
          <w:rFonts w:ascii="Verdana" w:hAnsi="Verdana" w:cs="Arial"/>
          <w:sz w:val="20"/>
          <w:szCs w:val="20"/>
        </w:rPr>
        <w:t>.</w:t>
      </w:r>
      <w:r w:rsidRPr="002964A7">
        <w:rPr>
          <w:rFonts w:ascii="Verdana" w:hAnsi="Verdana" w:cs="Arial"/>
          <w:sz w:val="20"/>
          <w:szCs w:val="20"/>
        </w:rPr>
        <w:t>479. Tras la reapertura del proceso penal en el año 2005</w:t>
      </w:r>
      <w:r w:rsidR="00BB6882">
        <w:rPr>
          <w:rFonts w:ascii="Verdana" w:hAnsi="Verdana" w:cs="Arial"/>
          <w:sz w:val="20"/>
          <w:szCs w:val="20"/>
        </w:rPr>
        <w:t>,</w:t>
      </w:r>
      <w:r w:rsidRPr="002964A7">
        <w:rPr>
          <w:rFonts w:ascii="Verdana" w:hAnsi="Verdana" w:cs="Arial"/>
          <w:sz w:val="20"/>
          <w:szCs w:val="20"/>
        </w:rPr>
        <w:t xml:space="preserve"> no </w:t>
      </w:r>
      <w:r w:rsidR="002D6904">
        <w:rPr>
          <w:rFonts w:ascii="Verdana" w:hAnsi="Verdana" w:cs="Arial"/>
          <w:sz w:val="20"/>
          <w:szCs w:val="20"/>
        </w:rPr>
        <w:t>existiría</w:t>
      </w:r>
      <w:r w:rsidR="002D6904" w:rsidRPr="002964A7">
        <w:rPr>
          <w:rFonts w:ascii="Verdana" w:hAnsi="Verdana" w:cs="Arial"/>
          <w:sz w:val="20"/>
          <w:szCs w:val="20"/>
        </w:rPr>
        <w:t xml:space="preserve"> </w:t>
      </w:r>
      <w:r w:rsidRPr="002964A7">
        <w:rPr>
          <w:rFonts w:ascii="Verdana" w:hAnsi="Verdana" w:cs="Arial"/>
          <w:sz w:val="20"/>
          <w:szCs w:val="20"/>
        </w:rPr>
        <w:t>ninguna condena en firme en contra de los perpetradores. De esta manera, los hechos se encuentran en la impunidad.</w:t>
      </w:r>
    </w:p>
    <w:p w:rsidR="00A219C8" w:rsidRPr="002964A7" w:rsidRDefault="00A219C8" w:rsidP="00A219C8">
      <w:pPr>
        <w:pStyle w:val="ListParagraph"/>
        <w:spacing w:after="0" w:line="240" w:lineRule="auto"/>
        <w:ind w:left="0"/>
        <w:jc w:val="both"/>
        <w:rPr>
          <w:rFonts w:ascii="Verdana" w:hAnsi="Verdana" w:cs="Arial"/>
          <w:b/>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hAnsi="Verdana" w:cs="Arial"/>
          <w:b/>
          <w:sz w:val="20"/>
          <w:szCs w:val="20"/>
        </w:rPr>
      </w:pPr>
      <w:r w:rsidRPr="002964A7">
        <w:rPr>
          <w:rFonts w:ascii="Verdana" w:eastAsia="Calibri" w:hAnsi="Verdana" w:cs="Arial"/>
          <w:i/>
          <w:spacing w:val="-2"/>
          <w:sz w:val="20"/>
          <w:szCs w:val="20"/>
        </w:rPr>
        <w:t>Trámite ante la Comisión</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eastAsia="Calibri" w:hAnsi="Verdana" w:cs="Arial"/>
          <w:spacing w:val="-2"/>
          <w:sz w:val="20"/>
          <w:szCs w:val="20"/>
        </w:rPr>
        <w:t>El trámite ante la Comisión fue el siguiente:</w:t>
      </w:r>
    </w:p>
    <w:p w:rsidR="00A219C8" w:rsidRPr="002964A7" w:rsidRDefault="00A219C8" w:rsidP="00A219C8">
      <w:pPr>
        <w:pStyle w:val="ListParagraph"/>
        <w:spacing w:after="0" w:line="240" w:lineRule="auto"/>
        <w:ind w:left="0"/>
        <w:jc w:val="both"/>
        <w:rPr>
          <w:rFonts w:ascii="Verdana" w:eastAsia="Calibri" w:hAnsi="Verdana" w:cs="Arial"/>
          <w:i/>
          <w:spacing w:val="-2"/>
          <w:sz w:val="20"/>
          <w:szCs w:val="20"/>
        </w:rPr>
      </w:pPr>
    </w:p>
    <w:p w:rsidR="00BB0B15" w:rsidRPr="00C73BD3" w:rsidRDefault="00A219C8" w:rsidP="00FD4799">
      <w:pPr>
        <w:pStyle w:val="ListParagraph"/>
        <w:numPr>
          <w:ilvl w:val="0"/>
          <w:numId w:val="5"/>
        </w:numPr>
        <w:tabs>
          <w:tab w:val="left" w:pos="540"/>
        </w:tabs>
        <w:autoSpaceDE w:val="0"/>
        <w:autoSpaceDN w:val="0"/>
        <w:adjustRightInd w:val="0"/>
        <w:spacing w:after="0" w:line="240" w:lineRule="auto"/>
        <w:ind w:left="0" w:firstLine="357"/>
        <w:jc w:val="both"/>
        <w:rPr>
          <w:rFonts w:ascii="Verdana" w:hAnsi="Verdana"/>
          <w:sz w:val="21"/>
          <w:szCs w:val="21"/>
        </w:rPr>
      </w:pPr>
      <w:r w:rsidRPr="002964A7">
        <w:rPr>
          <w:rFonts w:ascii="Verdana" w:eastAsia="Calibri" w:hAnsi="Verdana" w:cs="Arial"/>
          <w:i/>
          <w:spacing w:val="-2"/>
          <w:sz w:val="20"/>
          <w:szCs w:val="20"/>
        </w:rPr>
        <w:t>Petición</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hAnsi="Verdana"/>
          <w:sz w:val="20"/>
          <w:szCs w:val="20"/>
          <w:lang w:val="es-ES"/>
        </w:rPr>
        <w:t xml:space="preserve">El 26 de julio de 1991 </w:t>
      </w:r>
      <w:r w:rsidRPr="002964A7">
        <w:rPr>
          <w:rFonts w:ascii="Verdana" w:eastAsia="Calibri" w:hAnsi="Verdana" w:cs="Arial"/>
          <w:spacing w:val="-2"/>
          <w:sz w:val="20"/>
          <w:szCs w:val="20"/>
        </w:rPr>
        <w:t xml:space="preserve">la Comisión Interamericana </w:t>
      </w:r>
      <w:r w:rsidRPr="002964A7">
        <w:rPr>
          <w:rFonts w:ascii="Verdana" w:hAnsi="Verdana"/>
          <w:spacing w:val="-2"/>
          <w:sz w:val="20"/>
          <w:szCs w:val="20"/>
        </w:rPr>
        <w:t>recibió la petición inicial del</w:t>
      </w:r>
      <w:r w:rsidRPr="002964A7">
        <w:rPr>
          <w:rFonts w:ascii="Verdana" w:hAnsi="Verdana"/>
          <w:sz w:val="20"/>
          <w:szCs w:val="20"/>
        </w:rPr>
        <w:t xml:space="preserve"> Centro de Estudios y Acción para la Paz (CEAPAZ). </w:t>
      </w:r>
      <w:r w:rsidRPr="002964A7">
        <w:rPr>
          <w:rFonts w:ascii="Verdana" w:eastAsia="Calibri" w:hAnsi="Verdana" w:cs="Arial"/>
          <w:spacing w:val="-2"/>
          <w:sz w:val="20"/>
          <w:szCs w:val="20"/>
        </w:rPr>
        <w:t xml:space="preserve">Posteriormente, el </w:t>
      </w:r>
      <w:r w:rsidRPr="002964A7">
        <w:rPr>
          <w:rFonts w:ascii="Verdana" w:hAnsi="Verdana"/>
          <w:sz w:val="20"/>
          <w:szCs w:val="20"/>
        </w:rPr>
        <w:t xml:space="preserve">7 de julio de 1992 el Centro por la Justicia y el Derecho Internacional (CEJIL) </w:t>
      </w:r>
      <w:r w:rsidRPr="002964A7">
        <w:rPr>
          <w:rFonts w:ascii="Verdana" w:eastAsia="Calibri" w:hAnsi="Verdana" w:cs="Arial"/>
          <w:spacing w:val="-2"/>
          <w:sz w:val="20"/>
          <w:szCs w:val="20"/>
        </w:rPr>
        <w:t>se incorporó</w:t>
      </w:r>
      <w:r w:rsidR="004D0BB2">
        <w:rPr>
          <w:rFonts w:ascii="Verdana" w:eastAsia="Calibri" w:hAnsi="Verdana" w:cs="Arial"/>
          <w:spacing w:val="-2"/>
          <w:sz w:val="20"/>
          <w:szCs w:val="20"/>
        </w:rPr>
        <w:t xml:space="preserve"> como co-peticionario en el caso.</w:t>
      </w:r>
      <w:r w:rsidR="00BB0B15" w:rsidRPr="00FD4799">
        <w:rPr>
          <w:rFonts w:ascii="Verdana" w:eastAsia="Calibri" w:hAnsi="Verdana" w:cs="Arial"/>
          <w:spacing w:val="-2"/>
          <w:sz w:val="20"/>
          <w:szCs w:val="20"/>
        </w:rPr>
        <w:t xml:space="preserve"> </w:t>
      </w:r>
      <w:r w:rsidR="00FD4799" w:rsidRPr="00FD4799">
        <w:rPr>
          <w:rFonts w:ascii="Verdana" w:hAnsi="Verdana"/>
          <w:sz w:val="20"/>
          <w:szCs w:val="20"/>
        </w:rPr>
        <w:t>El 31 de agosto de 2010</w:t>
      </w:r>
      <w:r w:rsidR="00FD4799">
        <w:rPr>
          <w:rFonts w:ascii="Verdana" w:hAnsi="Verdana"/>
          <w:sz w:val="20"/>
          <w:szCs w:val="20"/>
        </w:rPr>
        <w:t>,</w:t>
      </w:r>
      <w:r w:rsidR="00FD4799" w:rsidRPr="00FD4799">
        <w:rPr>
          <w:rFonts w:ascii="Verdana" w:hAnsi="Verdana"/>
          <w:sz w:val="20"/>
          <w:szCs w:val="20"/>
        </w:rPr>
        <w:t xml:space="preserve"> los representantes informaron que la organización CEAPAZ no se encuentra patrocinando legalmente el caso en el Perú, y que dicha representación había sido asumida desde el año 2006 por la organización Paz y Esperanza, la misma que representa a la mayoría de las</w:t>
      </w:r>
      <w:r w:rsidR="00BB6882">
        <w:rPr>
          <w:rFonts w:ascii="Verdana" w:hAnsi="Verdana"/>
          <w:sz w:val="20"/>
          <w:szCs w:val="20"/>
        </w:rPr>
        <w:t xml:space="preserve"> presuntas</w:t>
      </w:r>
      <w:r w:rsidR="00FD4799" w:rsidRPr="00FD4799">
        <w:rPr>
          <w:rFonts w:ascii="Verdana" w:hAnsi="Verdana"/>
          <w:sz w:val="20"/>
          <w:szCs w:val="20"/>
        </w:rPr>
        <w:t xml:space="preserve"> víctimas del caso en los procesos judiciales internos.</w:t>
      </w:r>
    </w:p>
    <w:p w:rsidR="00A219C8" w:rsidRPr="002964A7" w:rsidRDefault="00A219C8" w:rsidP="00A219C8">
      <w:pPr>
        <w:pStyle w:val="ListParagraph"/>
        <w:tabs>
          <w:tab w:val="left" w:pos="540"/>
        </w:tabs>
        <w:autoSpaceDE w:val="0"/>
        <w:autoSpaceDN w:val="0"/>
        <w:adjustRightInd w:val="0"/>
        <w:spacing w:after="0" w:line="240" w:lineRule="auto"/>
        <w:ind w:left="0"/>
        <w:jc w:val="both"/>
        <w:rPr>
          <w:rFonts w:ascii="Verdana" w:eastAsia="Calibri" w:hAnsi="Verdana" w:cs="Arial"/>
          <w:i/>
          <w:spacing w:val="-2"/>
          <w:sz w:val="20"/>
          <w:szCs w:val="20"/>
        </w:rPr>
      </w:pPr>
    </w:p>
    <w:p w:rsidR="00A219C8" w:rsidRPr="002964A7" w:rsidRDefault="00A219C8" w:rsidP="00A219C8">
      <w:pPr>
        <w:pStyle w:val="ListParagraph"/>
        <w:numPr>
          <w:ilvl w:val="0"/>
          <w:numId w:val="5"/>
        </w:numPr>
        <w:autoSpaceDE w:val="0"/>
        <w:autoSpaceDN w:val="0"/>
        <w:adjustRightInd w:val="0"/>
        <w:spacing w:after="0" w:line="240" w:lineRule="auto"/>
        <w:ind w:left="0" w:firstLine="426"/>
        <w:jc w:val="both"/>
        <w:rPr>
          <w:rFonts w:ascii="Verdana" w:hAnsi="Verdana"/>
          <w:sz w:val="20"/>
          <w:szCs w:val="20"/>
          <w:lang w:val="es-EC"/>
        </w:rPr>
      </w:pPr>
      <w:r w:rsidRPr="002964A7">
        <w:rPr>
          <w:rFonts w:ascii="Verdana" w:eastAsia="Calibri" w:hAnsi="Verdana" w:cs="Arial"/>
          <w:i/>
          <w:spacing w:val="-2"/>
          <w:sz w:val="20"/>
          <w:szCs w:val="20"/>
        </w:rPr>
        <w:t>Informe de Admisibilidad y Fondo</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hAnsi="Verdana"/>
          <w:sz w:val="20"/>
          <w:szCs w:val="20"/>
          <w:lang w:val="es-ES"/>
        </w:rPr>
        <w:t>El 21 de julio de 2011 la Comisión aprobó el Informe de Admisibilidad y Fondo No. 77/11</w:t>
      </w:r>
      <w:r w:rsidRPr="002964A7">
        <w:rPr>
          <w:rFonts w:ascii="Verdana" w:hAnsi="Verdana"/>
          <w:spacing w:val="-2"/>
          <w:sz w:val="20"/>
          <w:szCs w:val="20"/>
        </w:rPr>
        <w:t>, de conformidad con el artículo 50 de la Convención (en adelante “el Informe de Admisibilidad y Fondo”), en el cual llegó a una serie de conclusiones y formuló varias recomendaciones al Estado:</w:t>
      </w:r>
    </w:p>
    <w:p w:rsidR="00A219C8" w:rsidRPr="002964A7" w:rsidRDefault="00A219C8" w:rsidP="00A219C8">
      <w:pPr>
        <w:pStyle w:val="ListParagraph"/>
        <w:spacing w:after="0" w:line="240" w:lineRule="auto"/>
        <w:ind w:left="0"/>
        <w:jc w:val="both"/>
        <w:rPr>
          <w:rFonts w:ascii="Verdana" w:eastAsia="Times New Roman" w:hAnsi="Verdana" w:cs="Times New Roman"/>
          <w:spacing w:val="-2"/>
          <w:sz w:val="20"/>
          <w:szCs w:val="20"/>
        </w:rPr>
      </w:pPr>
    </w:p>
    <w:p w:rsidR="00A219C8" w:rsidRPr="002964A7" w:rsidRDefault="00A219C8" w:rsidP="00A219C8">
      <w:pPr>
        <w:pStyle w:val="ListParagraph"/>
        <w:numPr>
          <w:ilvl w:val="0"/>
          <w:numId w:val="6"/>
        </w:numPr>
        <w:tabs>
          <w:tab w:val="left" w:pos="0"/>
        </w:tabs>
        <w:spacing w:after="0" w:line="240" w:lineRule="auto"/>
        <w:ind w:left="0" w:firstLine="720"/>
        <w:jc w:val="both"/>
        <w:rPr>
          <w:rFonts w:ascii="Verdana" w:hAnsi="Verdana"/>
          <w:spacing w:val="-2"/>
          <w:sz w:val="20"/>
          <w:szCs w:val="20"/>
        </w:rPr>
      </w:pPr>
      <w:r w:rsidRPr="002964A7">
        <w:rPr>
          <w:rFonts w:ascii="Verdana" w:hAnsi="Verdana"/>
          <w:i/>
          <w:spacing w:val="-2"/>
          <w:sz w:val="20"/>
          <w:szCs w:val="20"/>
        </w:rPr>
        <w:t xml:space="preserve">Conclusiones. – </w:t>
      </w:r>
      <w:r w:rsidRPr="002964A7">
        <w:rPr>
          <w:rFonts w:ascii="Verdana" w:hAnsi="Verdana"/>
          <w:spacing w:val="-2"/>
          <w:sz w:val="20"/>
          <w:szCs w:val="20"/>
        </w:rPr>
        <w:t>La Comisión concluyó que el Estado era responsable por incumplir con las obligaciones de prevenir y garantizar:</w:t>
      </w:r>
    </w:p>
    <w:p w:rsidR="00A219C8" w:rsidRPr="002964A7" w:rsidRDefault="00A219C8" w:rsidP="00A219C8">
      <w:pPr>
        <w:pStyle w:val="ListParagraph"/>
        <w:tabs>
          <w:tab w:val="left" w:pos="0"/>
        </w:tabs>
        <w:spacing w:after="0" w:line="240" w:lineRule="auto"/>
        <w:ind w:left="0"/>
        <w:jc w:val="both"/>
        <w:rPr>
          <w:rFonts w:ascii="Verdana" w:hAnsi="Verdana"/>
          <w:spacing w:val="-2"/>
          <w:sz w:val="20"/>
          <w:szCs w:val="20"/>
        </w:rPr>
      </w:pPr>
    </w:p>
    <w:p w:rsidR="00A219C8" w:rsidRPr="00C977CA" w:rsidRDefault="004F6B53" w:rsidP="00A219C8">
      <w:pPr>
        <w:pStyle w:val="ListParagraph"/>
        <w:numPr>
          <w:ilvl w:val="3"/>
          <w:numId w:val="6"/>
        </w:numPr>
        <w:spacing w:after="0" w:line="240" w:lineRule="auto"/>
        <w:ind w:left="1080"/>
        <w:jc w:val="both"/>
        <w:rPr>
          <w:rFonts w:ascii="Verdana" w:hAnsi="Verdana" w:cs="Arial"/>
          <w:sz w:val="16"/>
          <w:szCs w:val="20"/>
          <w:lang w:val="es-ES"/>
        </w:rPr>
      </w:pPr>
      <w:r>
        <w:rPr>
          <w:rFonts w:ascii="Verdana" w:hAnsi="Verdana" w:cs="Arial"/>
          <w:sz w:val="16"/>
          <w:szCs w:val="20"/>
          <w:lang w:val="es-ES"/>
        </w:rPr>
        <w:t>[</w:t>
      </w:r>
      <w:r w:rsidR="00A219C8" w:rsidRPr="00C977CA">
        <w:rPr>
          <w:rFonts w:ascii="Verdana" w:hAnsi="Verdana" w:cs="Arial"/>
          <w:sz w:val="16"/>
          <w:szCs w:val="20"/>
          <w:lang w:val="es-ES"/>
        </w:rPr>
        <w:t>los</w:t>
      </w:r>
      <w:r>
        <w:rPr>
          <w:rFonts w:ascii="Verdana" w:hAnsi="Verdana" w:cs="Arial"/>
          <w:sz w:val="16"/>
          <w:szCs w:val="20"/>
          <w:lang w:val="es-ES"/>
        </w:rPr>
        <w:t>]</w:t>
      </w:r>
      <w:r w:rsidR="00A219C8" w:rsidRPr="00C977CA">
        <w:rPr>
          <w:rFonts w:ascii="Verdana" w:hAnsi="Verdana" w:cs="Arial"/>
          <w:sz w:val="16"/>
          <w:szCs w:val="20"/>
          <w:lang w:val="es-ES"/>
        </w:rPr>
        <w:t xml:space="preserve"> derecho</w:t>
      </w:r>
      <w:r>
        <w:rPr>
          <w:rFonts w:ascii="Verdana" w:hAnsi="Verdana" w:cs="Arial"/>
          <w:sz w:val="16"/>
          <w:szCs w:val="20"/>
          <w:lang w:val="es-ES"/>
        </w:rPr>
        <w:t>[</w:t>
      </w:r>
      <w:r w:rsidR="00A219C8" w:rsidRPr="00C977CA">
        <w:rPr>
          <w:rFonts w:ascii="Verdana" w:hAnsi="Verdana" w:cs="Arial"/>
          <w:sz w:val="16"/>
          <w:szCs w:val="20"/>
          <w:lang w:val="es-ES"/>
        </w:rPr>
        <w:t>s</w:t>
      </w:r>
      <w:r>
        <w:rPr>
          <w:rFonts w:ascii="Verdana" w:hAnsi="Verdana" w:cs="Arial"/>
          <w:sz w:val="16"/>
          <w:szCs w:val="20"/>
          <w:lang w:val="es-ES"/>
        </w:rPr>
        <w:t>]</w:t>
      </w:r>
      <w:r w:rsidR="00A219C8" w:rsidRPr="00C977CA">
        <w:rPr>
          <w:rFonts w:ascii="Verdana" w:hAnsi="Verdana" w:cs="Arial"/>
          <w:sz w:val="16"/>
          <w:szCs w:val="20"/>
          <w:lang w:val="es-ES"/>
        </w:rPr>
        <w:t xml:space="preserve"> a la libertad personal, a la integridad personal, a la vida y a la personalidad jurídica conforme</w:t>
      </w:r>
      <w:r w:rsidR="005A617B">
        <w:rPr>
          <w:rFonts w:ascii="Verdana" w:hAnsi="Verdana" w:cs="Arial"/>
          <w:sz w:val="16"/>
          <w:szCs w:val="20"/>
          <w:lang w:val="es-ES"/>
        </w:rPr>
        <w:t xml:space="preserve"> [a]</w:t>
      </w:r>
      <w:r w:rsidR="00A219C8" w:rsidRPr="00C977CA">
        <w:rPr>
          <w:rFonts w:ascii="Verdana" w:hAnsi="Verdana" w:cs="Arial"/>
          <w:sz w:val="16"/>
          <w:szCs w:val="20"/>
          <w:lang w:val="es-ES"/>
        </w:rPr>
        <w:t xml:space="preserve"> los artículos 7, 5, 4 y 3 de la Convención Americana, en relación al artículo 1.1 del </w:t>
      </w:r>
      <w:r w:rsidR="00A219C8" w:rsidRPr="006D5D86">
        <w:rPr>
          <w:rFonts w:ascii="Verdana" w:hAnsi="Verdana" w:cs="Arial"/>
          <w:sz w:val="16"/>
          <w:szCs w:val="20"/>
          <w:lang w:val="es-ES"/>
        </w:rPr>
        <w:t xml:space="preserve">mismo instrumento, en perjuicio de </w:t>
      </w:r>
      <w:r w:rsidR="00A219C8" w:rsidRPr="006D5D86">
        <w:rPr>
          <w:rFonts w:ascii="Verdana" w:eastAsia="Calibri" w:hAnsi="Verdana" w:cs="Arial"/>
          <w:sz w:val="16"/>
          <w:szCs w:val="20"/>
        </w:rPr>
        <w:t>los adultos</w:t>
      </w:r>
      <w:r w:rsidR="00A219C8" w:rsidRPr="006D5D86">
        <w:rPr>
          <w:rFonts w:ascii="Verdana" w:hAnsi="Verdana" w:cs="Arial"/>
          <w:sz w:val="16"/>
          <w:szCs w:val="20"/>
        </w:rPr>
        <w:t xml:space="preserve"> </w:t>
      </w:r>
      <w:r w:rsidR="00A219C8" w:rsidRPr="006D5D86">
        <w:rPr>
          <w:rFonts w:ascii="Verdana" w:eastAsia="Calibri" w:hAnsi="Verdana" w:cs="Arial"/>
          <w:bCs/>
          <w:sz w:val="16"/>
          <w:szCs w:val="20"/>
        </w:rPr>
        <w:t>Francisco Hilario Torres, su esposa Dionicia Quispe Mal</w:t>
      </w:r>
      <w:r w:rsidR="009275B6" w:rsidRPr="006D5D86">
        <w:rPr>
          <w:rFonts w:ascii="Verdana" w:eastAsia="Calibri" w:hAnsi="Verdana" w:cs="Arial"/>
          <w:bCs/>
          <w:sz w:val="16"/>
          <w:szCs w:val="20"/>
        </w:rPr>
        <w:t>[l]</w:t>
      </w:r>
      <w:r w:rsidR="00A219C8" w:rsidRPr="006D5D86">
        <w:rPr>
          <w:rFonts w:ascii="Verdana" w:eastAsia="Calibri" w:hAnsi="Verdana" w:cs="Arial"/>
          <w:bCs/>
          <w:sz w:val="16"/>
          <w:szCs w:val="20"/>
        </w:rPr>
        <w:t>qui</w:t>
      </w:r>
      <w:r w:rsidR="00A219C8" w:rsidRPr="00C977CA">
        <w:rPr>
          <w:rFonts w:ascii="Verdana" w:eastAsia="Calibri" w:hAnsi="Verdana" w:cs="Arial"/>
          <w:bCs/>
          <w:sz w:val="16"/>
          <w:szCs w:val="20"/>
        </w:rPr>
        <w:t xml:space="preserve">, sus </w:t>
      </w:r>
      <w:r w:rsidR="00A219C8" w:rsidRPr="00C977CA">
        <w:rPr>
          <w:rFonts w:ascii="Verdana" w:eastAsia="Calibri" w:hAnsi="Verdana" w:cs="Arial"/>
          <w:sz w:val="16"/>
          <w:szCs w:val="20"/>
        </w:rPr>
        <w:t xml:space="preserve">hijas Antonia y Magdalena Hilario Quispe, su nuera Mercedes Carhuapoma de la Cruz, Ramón Hilario Morán </w:t>
      </w:r>
      <w:r w:rsidR="00A219C8" w:rsidRPr="00C977CA">
        <w:rPr>
          <w:rFonts w:ascii="Verdana" w:eastAsia="Calibri" w:hAnsi="Verdana"/>
          <w:sz w:val="16"/>
          <w:szCs w:val="20"/>
        </w:rPr>
        <w:t xml:space="preserve">y </w:t>
      </w:r>
      <w:r w:rsidR="00A219C8" w:rsidRPr="00C977CA">
        <w:rPr>
          <w:rFonts w:ascii="Verdana" w:eastAsia="Calibri" w:hAnsi="Verdana" w:cs="Arial"/>
          <w:sz w:val="16"/>
          <w:szCs w:val="20"/>
        </w:rPr>
        <w:t xml:space="preserve">su esposa Dionicia Guillén </w:t>
      </w:r>
      <w:r w:rsidR="00A219C8" w:rsidRPr="00C977CA">
        <w:rPr>
          <w:rFonts w:ascii="Verdana" w:eastAsia="Calibri" w:hAnsi="Verdana"/>
          <w:sz w:val="16"/>
          <w:szCs w:val="20"/>
        </w:rPr>
        <w:t xml:space="preserve">y </w:t>
      </w:r>
      <w:r w:rsidR="00A219C8" w:rsidRPr="00C977CA">
        <w:rPr>
          <w:rFonts w:ascii="Verdana" w:eastAsia="Calibri" w:hAnsi="Verdana" w:cs="Arial"/>
          <w:sz w:val="16"/>
          <w:szCs w:val="20"/>
        </w:rPr>
        <w:t>de Elihoref Huamaní Vergara; así como los niños y niñas Yessenia, Miriam y Edith de apellido Osnayo Hilario, Wilmer Hilario Carhuapoma, Alex Jorge Hilario y</w:t>
      </w:r>
      <w:r w:rsidR="004D0BB2">
        <w:rPr>
          <w:rFonts w:ascii="Verdana" w:eastAsia="Calibri" w:hAnsi="Verdana" w:cs="Arial"/>
          <w:sz w:val="16"/>
          <w:szCs w:val="20"/>
        </w:rPr>
        <w:t>, los hermanos</w:t>
      </w:r>
      <w:r w:rsidR="00A219C8" w:rsidRPr="00C977CA">
        <w:rPr>
          <w:rFonts w:ascii="Verdana" w:eastAsia="Calibri" w:hAnsi="Verdana" w:cs="Arial"/>
          <w:sz w:val="16"/>
          <w:szCs w:val="20"/>
        </w:rPr>
        <w:t xml:space="preserve"> Raúl y Héctor Hilario G</w:t>
      </w:r>
      <w:r w:rsidR="00185092">
        <w:rPr>
          <w:rFonts w:ascii="Verdana" w:eastAsia="Calibri" w:hAnsi="Verdana" w:cs="Arial"/>
          <w:sz w:val="16"/>
          <w:szCs w:val="20"/>
        </w:rPr>
        <w:t>[u]</w:t>
      </w:r>
      <w:r w:rsidR="00A219C8" w:rsidRPr="00C977CA">
        <w:rPr>
          <w:rFonts w:ascii="Verdana" w:eastAsia="Calibri" w:hAnsi="Verdana" w:cs="Arial"/>
          <w:sz w:val="16"/>
          <w:szCs w:val="20"/>
        </w:rPr>
        <w:t>illén</w:t>
      </w:r>
      <w:r w:rsidR="00D77E20">
        <w:rPr>
          <w:rFonts w:ascii="Verdana" w:eastAsia="Calibri" w:hAnsi="Verdana" w:cs="Arial"/>
          <w:sz w:val="16"/>
          <w:szCs w:val="20"/>
        </w:rPr>
        <w:t>[</w:t>
      </w:r>
      <w:r w:rsidR="004D0BB2">
        <w:rPr>
          <w:rFonts w:ascii="Verdana" w:eastAsia="Calibri" w:hAnsi="Verdana" w:cs="Arial"/>
          <w:sz w:val="16"/>
          <w:szCs w:val="20"/>
        </w:rPr>
        <w:t>;</w:t>
      </w:r>
      <w:r w:rsidR="00D77E20">
        <w:rPr>
          <w:rFonts w:ascii="Verdana" w:eastAsia="Calibri" w:hAnsi="Verdana" w:cs="Arial"/>
          <w:sz w:val="16"/>
          <w:szCs w:val="20"/>
        </w:rPr>
        <w:t>]</w:t>
      </w:r>
    </w:p>
    <w:p w:rsidR="00A219C8" w:rsidRPr="00C977CA" w:rsidRDefault="00A219C8" w:rsidP="00A219C8">
      <w:pPr>
        <w:spacing w:after="0" w:line="240" w:lineRule="auto"/>
        <w:ind w:left="720"/>
        <w:contextualSpacing/>
        <w:jc w:val="both"/>
        <w:rPr>
          <w:rFonts w:ascii="Verdana" w:hAnsi="Verdana" w:cs="Arial"/>
          <w:sz w:val="16"/>
          <w:szCs w:val="20"/>
          <w:lang w:val="es-ES"/>
        </w:rPr>
      </w:pPr>
    </w:p>
    <w:p w:rsidR="00A219C8" w:rsidRPr="00C977CA" w:rsidRDefault="00A219C8" w:rsidP="00A219C8">
      <w:pPr>
        <w:pStyle w:val="ListParagraph"/>
        <w:numPr>
          <w:ilvl w:val="3"/>
          <w:numId w:val="6"/>
        </w:numPr>
        <w:spacing w:after="0" w:line="240" w:lineRule="auto"/>
        <w:ind w:left="1080"/>
        <w:jc w:val="both"/>
        <w:rPr>
          <w:rFonts w:ascii="Verdana" w:hAnsi="Verdana" w:cs="Arial"/>
          <w:sz w:val="16"/>
          <w:szCs w:val="20"/>
          <w:lang w:val="es-ES"/>
        </w:rPr>
      </w:pPr>
      <w:r w:rsidRPr="00C977CA">
        <w:rPr>
          <w:rFonts w:ascii="Verdana" w:hAnsi="Verdana" w:cs="Arial"/>
          <w:sz w:val="16"/>
          <w:szCs w:val="20"/>
          <w:lang w:val="es-ES"/>
        </w:rPr>
        <w:t xml:space="preserve">los derechos del niño conforme al artículo 19 de la Convención Americana, en relación con el artículo 1.1 del mencionado instrumento, en perjuicio de </w:t>
      </w:r>
      <w:r w:rsidR="004F6B53">
        <w:rPr>
          <w:rFonts w:ascii="Verdana" w:hAnsi="Verdana" w:cs="Arial"/>
          <w:sz w:val="16"/>
          <w:szCs w:val="20"/>
          <w:lang w:val="es-ES"/>
        </w:rPr>
        <w:t>[</w:t>
      </w:r>
      <w:r w:rsidRPr="00C977CA">
        <w:rPr>
          <w:rFonts w:ascii="Verdana" w:hAnsi="Verdana" w:cs="Arial"/>
          <w:sz w:val="16"/>
          <w:szCs w:val="20"/>
          <w:lang w:val="es-ES"/>
        </w:rPr>
        <w:t>los</w:t>
      </w:r>
      <w:r w:rsidR="004F6B53">
        <w:rPr>
          <w:rFonts w:ascii="Verdana" w:hAnsi="Verdana" w:cs="Arial"/>
          <w:sz w:val="16"/>
          <w:szCs w:val="20"/>
          <w:lang w:val="es-ES"/>
        </w:rPr>
        <w:t>]</w:t>
      </w:r>
      <w:r w:rsidRPr="00C977CA">
        <w:rPr>
          <w:rFonts w:ascii="Verdana" w:hAnsi="Verdana" w:cs="Arial"/>
          <w:sz w:val="16"/>
          <w:szCs w:val="20"/>
          <w:lang w:val="es-ES"/>
        </w:rPr>
        <w:t xml:space="preserve"> niños y </w:t>
      </w:r>
      <w:r w:rsidR="004F6B53">
        <w:rPr>
          <w:rFonts w:ascii="Verdana" w:hAnsi="Verdana" w:cs="Arial"/>
          <w:sz w:val="16"/>
          <w:szCs w:val="20"/>
          <w:lang w:val="es-ES"/>
        </w:rPr>
        <w:t xml:space="preserve">[las] </w:t>
      </w:r>
      <w:r w:rsidRPr="00C977CA">
        <w:rPr>
          <w:rFonts w:ascii="Verdana" w:hAnsi="Verdana" w:cs="Arial"/>
          <w:sz w:val="16"/>
          <w:szCs w:val="20"/>
          <w:lang w:val="es-ES"/>
        </w:rPr>
        <w:t xml:space="preserve">niñas </w:t>
      </w:r>
      <w:r w:rsidRPr="00C977CA">
        <w:rPr>
          <w:rFonts w:ascii="Verdana" w:eastAsia="Calibri" w:hAnsi="Verdana" w:cs="Arial"/>
          <w:sz w:val="16"/>
          <w:szCs w:val="20"/>
        </w:rPr>
        <w:t>Yessenia, Miriam y Edith Osnayo Hilario, Wilmer Hilario Carhuapoma, Alex Jorge Hilario y</w:t>
      </w:r>
      <w:r w:rsidR="004D0BB2">
        <w:rPr>
          <w:rFonts w:ascii="Verdana" w:eastAsia="Calibri" w:hAnsi="Verdana" w:cs="Arial"/>
          <w:sz w:val="16"/>
          <w:szCs w:val="20"/>
        </w:rPr>
        <w:t>, los hermanos</w:t>
      </w:r>
      <w:r w:rsidRPr="00C977CA">
        <w:rPr>
          <w:rFonts w:ascii="Verdana" w:eastAsia="Calibri" w:hAnsi="Verdana" w:cs="Arial"/>
          <w:sz w:val="16"/>
          <w:szCs w:val="20"/>
        </w:rPr>
        <w:t xml:space="preserve"> Raúl y Héctor Hilario G</w:t>
      </w:r>
      <w:r w:rsidR="00185092">
        <w:rPr>
          <w:rFonts w:ascii="Verdana" w:eastAsia="Calibri" w:hAnsi="Verdana" w:cs="Arial"/>
          <w:sz w:val="16"/>
          <w:szCs w:val="20"/>
        </w:rPr>
        <w:t>[u]</w:t>
      </w:r>
      <w:r w:rsidRPr="00C977CA">
        <w:rPr>
          <w:rFonts w:ascii="Verdana" w:eastAsia="Calibri" w:hAnsi="Verdana" w:cs="Arial"/>
          <w:sz w:val="16"/>
          <w:szCs w:val="20"/>
        </w:rPr>
        <w:t>illén</w:t>
      </w:r>
      <w:r w:rsidR="00D77E20">
        <w:rPr>
          <w:rFonts w:ascii="Verdana" w:eastAsia="Calibri" w:hAnsi="Verdana" w:cs="Arial"/>
          <w:sz w:val="16"/>
          <w:szCs w:val="20"/>
        </w:rPr>
        <w:t>[;]</w:t>
      </w:r>
    </w:p>
    <w:p w:rsidR="00A219C8" w:rsidRPr="00C977CA" w:rsidRDefault="00A219C8" w:rsidP="00A219C8">
      <w:pPr>
        <w:spacing w:after="0" w:line="240" w:lineRule="auto"/>
        <w:jc w:val="both"/>
        <w:rPr>
          <w:rFonts w:ascii="Verdana" w:hAnsi="Verdana" w:cs="Arial"/>
          <w:sz w:val="16"/>
          <w:szCs w:val="20"/>
          <w:lang w:val="es-ES"/>
        </w:rPr>
      </w:pPr>
    </w:p>
    <w:p w:rsidR="00CF2A7B" w:rsidRDefault="00CF2A7B" w:rsidP="00CF2A7B">
      <w:pPr>
        <w:pStyle w:val="ListParagraph"/>
        <w:numPr>
          <w:ilvl w:val="3"/>
          <w:numId w:val="6"/>
        </w:numPr>
        <w:spacing w:after="0" w:line="240" w:lineRule="auto"/>
        <w:ind w:left="1080"/>
        <w:jc w:val="both"/>
        <w:rPr>
          <w:rFonts w:ascii="Verdana" w:hAnsi="Verdana"/>
          <w:sz w:val="16"/>
          <w:szCs w:val="16"/>
          <w:lang w:val="es-ES"/>
        </w:rPr>
      </w:pPr>
      <w:r>
        <w:rPr>
          <w:rFonts w:ascii="Verdana" w:hAnsi="Verdana"/>
          <w:sz w:val="16"/>
          <w:szCs w:val="16"/>
          <w:lang w:val="es-ES"/>
        </w:rPr>
        <w:t xml:space="preserve">el derecho a la familia consagrado en el artículo 17 de la Convención Americana, en relación con el artículo 1.1 del mencionado instrumento en perjuicio de las personas </w:t>
      </w:r>
      <w:r>
        <w:rPr>
          <w:rFonts w:ascii="Verdana" w:hAnsi="Verdana"/>
          <w:sz w:val="16"/>
          <w:szCs w:val="16"/>
          <w:lang w:val="es-PR"/>
        </w:rPr>
        <w:t xml:space="preserve">desaparecidas: </w:t>
      </w:r>
      <w:r>
        <w:rPr>
          <w:rFonts w:ascii="Verdana" w:hAnsi="Verdana"/>
          <w:sz w:val="16"/>
          <w:szCs w:val="16"/>
        </w:rPr>
        <w:t xml:space="preserve">Dionicia Quispe </w:t>
      </w:r>
      <w:r w:rsidRPr="006F79E0">
        <w:rPr>
          <w:rFonts w:ascii="Verdana" w:hAnsi="Verdana"/>
          <w:sz w:val="16"/>
          <w:szCs w:val="16"/>
        </w:rPr>
        <w:t>Mal[l]qui</w:t>
      </w:r>
      <w:r>
        <w:rPr>
          <w:rFonts w:ascii="Verdana" w:hAnsi="Verdana"/>
          <w:sz w:val="16"/>
          <w:szCs w:val="16"/>
        </w:rPr>
        <w:t xml:space="preserve">, sus hijas Antonia y Magdalena Hilario Quispe, su nuera Mercedes Carhuapoma de </w:t>
      </w:r>
      <w:r>
        <w:rPr>
          <w:rFonts w:ascii="Verdana" w:hAnsi="Verdana"/>
          <w:sz w:val="16"/>
          <w:szCs w:val="16"/>
        </w:rPr>
        <w:lastRenderedPageBreak/>
        <w:t>la Cruz, Ramón Hilario Morán y su esposa Dionicia Guillén y de Elihoref Huamaní Vergara; así como los niños y niñas Yessenia, Miriam y Edith Osnayo Hilario, Wilmer Hilario Carhuapoma, Alex Jorge Hilario y los hermanos Raúl y Héctor Hilario G</w:t>
      </w:r>
      <w:r w:rsidR="007C4104">
        <w:rPr>
          <w:rFonts w:ascii="Verdana" w:hAnsi="Verdana"/>
          <w:sz w:val="16"/>
          <w:szCs w:val="16"/>
        </w:rPr>
        <w:t>[u]</w:t>
      </w:r>
      <w:r>
        <w:rPr>
          <w:rFonts w:ascii="Verdana" w:hAnsi="Verdana"/>
          <w:sz w:val="16"/>
          <w:szCs w:val="16"/>
        </w:rPr>
        <w:t xml:space="preserve">illén y sus familiares </w:t>
      </w:r>
      <w:r>
        <w:rPr>
          <w:rFonts w:ascii="Verdana" w:hAnsi="Verdana"/>
          <w:sz w:val="16"/>
          <w:szCs w:val="16"/>
          <w:lang w:val="es-PR"/>
        </w:rPr>
        <w:t xml:space="preserve">Zósimo Hilario Quispe, Marcelo Hilario Quispe, Gregorio Hilario Quispe, Zenón Cirilo Osnayo </w:t>
      </w:r>
      <w:r w:rsidRPr="00CF2A7B">
        <w:rPr>
          <w:rFonts w:ascii="Verdana" w:hAnsi="Verdana" w:cs="Arial"/>
          <w:sz w:val="16"/>
          <w:szCs w:val="20"/>
          <w:lang w:val="es-ES"/>
        </w:rPr>
        <w:t>Tunque</w:t>
      </w:r>
      <w:r>
        <w:rPr>
          <w:rFonts w:ascii="Verdana" w:hAnsi="Verdana"/>
          <w:sz w:val="16"/>
          <w:szCs w:val="16"/>
          <w:lang w:val="es-PR"/>
        </w:rPr>
        <w:t>, Víctor Carhuapoma de la Cruz, Ana de la Cruz Carhuapoma, Viviano Hilario Mancha, Dolores Morán Paucar, Justiniano Guillen Ccanto, Victoria Riveros, Marino Huamaní Vergara y Alejandro Huamaní Robles[;]</w:t>
      </w:r>
    </w:p>
    <w:p w:rsidR="00A219C8" w:rsidRPr="00C977CA" w:rsidRDefault="00A219C8" w:rsidP="00A219C8">
      <w:pPr>
        <w:spacing w:after="0" w:line="240" w:lineRule="auto"/>
        <w:ind w:left="720"/>
        <w:contextualSpacing/>
        <w:jc w:val="both"/>
        <w:rPr>
          <w:rFonts w:ascii="Verdana" w:hAnsi="Verdana" w:cs="Arial"/>
          <w:sz w:val="16"/>
          <w:szCs w:val="20"/>
          <w:lang w:val="es-ES"/>
        </w:rPr>
      </w:pPr>
    </w:p>
    <w:p w:rsidR="00A219C8" w:rsidRPr="00C977CA" w:rsidRDefault="004F6B53" w:rsidP="00A219C8">
      <w:pPr>
        <w:pStyle w:val="ListParagraph"/>
        <w:numPr>
          <w:ilvl w:val="3"/>
          <w:numId w:val="6"/>
        </w:numPr>
        <w:spacing w:after="0" w:line="240" w:lineRule="auto"/>
        <w:ind w:left="1080"/>
        <w:jc w:val="both"/>
        <w:rPr>
          <w:rFonts w:ascii="Verdana" w:hAnsi="Verdana" w:cs="Arial"/>
          <w:sz w:val="16"/>
          <w:szCs w:val="20"/>
          <w:lang w:val="es-ES"/>
        </w:rPr>
      </w:pPr>
      <w:r>
        <w:rPr>
          <w:rFonts w:ascii="Verdana" w:hAnsi="Verdana" w:cs="Arial"/>
          <w:sz w:val="16"/>
          <w:szCs w:val="20"/>
          <w:lang w:val="es-ES"/>
        </w:rPr>
        <w:t>[</w:t>
      </w:r>
      <w:r w:rsidR="00A219C8" w:rsidRPr="00C977CA">
        <w:rPr>
          <w:rFonts w:ascii="Verdana" w:hAnsi="Verdana" w:cs="Arial"/>
          <w:sz w:val="16"/>
          <w:szCs w:val="20"/>
          <w:lang w:val="es-ES"/>
        </w:rPr>
        <w:t>los</w:t>
      </w:r>
      <w:r>
        <w:rPr>
          <w:rFonts w:ascii="Verdana" w:hAnsi="Verdana" w:cs="Arial"/>
          <w:sz w:val="16"/>
          <w:szCs w:val="20"/>
          <w:lang w:val="es-ES"/>
        </w:rPr>
        <w:t>]</w:t>
      </w:r>
      <w:r w:rsidR="00A219C8" w:rsidRPr="00C977CA">
        <w:rPr>
          <w:rFonts w:ascii="Verdana" w:hAnsi="Verdana" w:cs="Arial"/>
          <w:sz w:val="16"/>
          <w:szCs w:val="20"/>
          <w:lang w:val="es-ES"/>
        </w:rPr>
        <w:t xml:space="preserve"> derecho</w:t>
      </w:r>
      <w:r>
        <w:rPr>
          <w:rFonts w:ascii="Verdana" w:hAnsi="Verdana" w:cs="Arial"/>
          <w:sz w:val="16"/>
          <w:szCs w:val="20"/>
          <w:lang w:val="es-ES"/>
        </w:rPr>
        <w:t>[</w:t>
      </w:r>
      <w:r w:rsidR="00A219C8" w:rsidRPr="00C977CA">
        <w:rPr>
          <w:rFonts w:ascii="Verdana" w:hAnsi="Verdana" w:cs="Arial"/>
          <w:sz w:val="16"/>
          <w:szCs w:val="20"/>
          <w:lang w:val="es-ES"/>
        </w:rPr>
        <w:t>s</w:t>
      </w:r>
      <w:r>
        <w:rPr>
          <w:rFonts w:ascii="Verdana" w:hAnsi="Verdana" w:cs="Arial"/>
          <w:sz w:val="16"/>
          <w:szCs w:val="20"/>
          <w:lang w:val="es-ES"/>
        </w:rPr>
        <w:t>]</w:t>
      </w:r>
      <w:r w:rsidR="00A219C8" w:rsidRPr="00C977CA">
        <w:rPr>
          <w:rFonts w:ascii="Verdana" w:hAnsi="Verdana" w:cs="Arial"/>
          <w:sz w:val="16"/>
          <w:szCs w:val="20"/>
          <w:lang w:val="es-ES"/>
        </w:rPr>
        <w:t xml:space="preserve"> a las garantías y a la protección judicial consagrado</w:t>
      </w:r>
      <w:r>
        <w:rPr>
          <w:rFonts w:ascii="Verdana" w:hAnsi="Verdana" w:cs="Arial"/>
          <w:sz w:val="16"/>
          <w:szCs w:val="20"/>
          <w:lang w:val="es-ES"/>
        </w:rPr>
        <w:t>[</w:t>
      </w:r>
      <w:r w:rsidR="001E7DBE">
        <w:rPr>
          <w:rFonts w:ascii="Verdana" w:hAnsi="Verdana" w:cs="Arial"/>
          <w:sz w:val="16"/>
          <w:szCs w:val="20"/>
          <w:lang w:val="es-ES"/>
        </w:rPr>
        <w:t>s</w:t>
      </w:r>
      <w:r>
        <w:rPr>
          <w:rFonts w:ascii="Verdana" w:hAnsi="Verdana" w:cs="Arial"/>
          <w:sz w:val="16"/>
          <w:szCs w:val="20"/>
          <w:lang w:val="es-ES"/>
        </w:rPr>
        <w:t>]</w:t>
      </w:r>
      <w:r w:rsidR="00A219C8" w:rsidRPr="00C977CA">
        <w:rPr>
          <w:rFonts w:ascii="Verdana" w:hAnsi="Verdana" w:cs="Arial"/>
          <w:sz w:val="16"/>
          <w:szCs w:val="20"/>
          <w:lang w:val="es-ES"/>
        </w:rPr>
        <w:t xml:space="preserve"> en los artículos 8 y 25 de la Convención Americana, en relación con el artículo 1.1 del mismo instrumento, con el artículo 1 de la Convención Interamericana sobre Desaparición Forzada de Personas, y los artículos 6 y 8 de la Convención Interamericana para Prevenir y Sancionar la Tortura, en perjuicio de las </w:t>
      </w:r>
      <w:r>
        <w:rPr>
          <w:rFonts w:ascii="Verdana" w:hAnsi="Verdana" w:cs="Arial"/>
          <w:sz w:val="16"/>
          <w:szCs w:val="20"/>
          <w:lang w:val="es-ES"/>
        </w:rPr>
        <w:t>personas</w:t>
      </w:r>
      <w:r w:rsidR="00A219C8" w:rsidRPr="00C977CA">
        <w:rPr>
          <w:rFonts w:ascii="Verdana" w:hAnsi="Verdana" w:cs="Arial"/>
          <w:sz w:val="16"/>
          <w:szCs w:val="20"/>
          <w:lang w:val="es-ES"/>
        </w:rPr>
        <w:t xml:space="preserve"> </w:t>
      </w:r>
      <w:r w:rsidR="00A219C8" w:rsidRPr="00C977CA">
        <w:rPr>
          <w:rFonts w:ascii="Verdana" w:eastAsia="Calibri" w:hAnsi="Verdana" w:cs="Arial"/>
          <w:sz w:val="16"/>
          <w:szCs w:val="20"/>
        </w:rPr>
        <w:t>desaparecidas</w:t>
      </w:r>
      <w:r w:rsidR="00A219C8" w:rsidRPr="00C977CA">
        <w:rPr>
          <w:rFonts w:ascii="Verdana" w:hAnsi="Verdana" w:cs="Arial"/>
          <w:sz w:val="16"/>
          <w:szCs w:val="20"/>
          <w:lang w:val="es-ES"/>
        </w:rPr>
        <w:t xml:space="preserve"> y sus familiares</w:t>
      </w:r>
      <w:r w:rsidR="00D77E20">
        <w:rPr>
          <w:rFonts w:ascii="Verdana" w:hAnsi="Verdana" w:cs="Arial"/>
          <w:sz w:val="16"/>
          <w:szCs w:val="20"/>
          <w:lang w:val="es-ES"/>
        </w:rPr>
        <w:t>[</w:t>
      </w:r>
      <w:r w:rsidR="004D0BB2">
        <w:rPr>
          <w:rFonts w:ascii="Verdana" w:hAnsi="Verdana" w:cs="Arial"/>
          <w:sz w:val="16"/>
          <w:szCs w:val="20"/>
          <w:lang w:val="es-ES"/>
        </w:rPr>
        <w:t>;</w:t>
      </w:r>
      <w:r w:rsidR="00D77E20">
        <w:rPr>
          <w:rFonts w:ascii="Verdana" w:hAnsi="Verdana" w:cs="Arial"/>
          <w:sz w:val="16"/>
          <w:szCs w:val="20"/>
          <w:lang w:val="es-ES"/>
        </w:rPr>
        <w:t>]</w:t>
      </w:r>
    </w:p>
    <w:p w:rsidR="00A219C8" w:rsidRPr="00C977CA" w:rsidRDefault="00A219C8" w:rsidP="00A219C8">
      <w:pPr>
        <w:spacing w:after="0" w:line="240" w:lineRule="auto"/>
        <w:contextualSpacing/>
        <w:jc w:val="both"/>
        <w:rPr>
          <w:rFonts w:ascii="Verdana" w:hAnsi="Verdana" w:cs="Arial"/>
          <w:sz w:val="16"/>
          <w:szCs w:val="20"/>
          <w:lang w:val="es-ES"/>
        </w:rPr>
      </w:pPr>
    </w:p>
    <w:p w:rsidR="00A219C8" w:rsidRPr="00C977CA" w:rsidRDefault="00A219C8" w:rsidP="00A219C8">
      <w:pPr>
        <w:pStyle w:val="ListParagraph"/>
        <w:numPr>
          <w:ilvl w:val="3"/>
          <w:numId w:val="6"/>
        </w:numPr>
        <w:spacing w:after="0" w:line="240" w:lineRule="auto"/>
        <w:ind w:left="1080"/>
        <w:jc w:val="both"/>
        <w:rPr>
          <w:rFonts w:ascii="Verdana" w:hAnsi="Verdana" w:cs="Arial"/>
          <w:sz w:val="16"/>
          <w:szCs w:val="20"/>
          <w:lang w:val="es-ES"/>
        </w:rPr>
      </w:pPr>
      <w:r w:rsidRPr="00C977CA">
        <w:rPr>
          <w:rFonts w:ascii="Verdana" w:hAnsi="Verdana" w:cs="Arial"/>
          <w:sz w:val="16"/>
          <w:szCs w:val="20"/>
          <w:lang w:val="es-ES"/>
        </w:rPr>
        <w:t>los artículos 8.1 y 25 de la Convención Americana, en relación con las disposiciones de los artículos 1.1 y 2 del mismo instrumento y el artículo III de la Convención Interamericana sobre Desaparición Forzadas de Personas, en perjuicio de las víctimas y sus familiares</w:t>
      </w:r>
      <w:r w:rsidR="00D77E20">
        <w:rPr>
          <w:rFonts w:ascii="Verdana" w:hAnsi="Verdana" w:cs="Arial"/>
          <w:sz w:val="16"/>
          <w:szCs w:val="20"/>
          <w:lang w:val="es-ES"/>
        </w:rPr>
        <w:t>[</w:t>
      </w:r>
      <w:r w:rsidR="004D0BB2">
        <w:rPr>
          <w:rFonts w:ascii="Verdana" w:hAnsi="Verdana" w:cs="Arial"/>
          <w:sz w:val="16"/>
          <w:szCs w:val="20"/>
          <w:lang w:val="es-ES"/>
        </w:rPr>
        <w:t>, y</w:t>
      </w:r>
      <w:r w:rsidR="00D77E20">
        <w:rPr>
          <w:rFonts w:ascii="Verdana" w:hAnsi="Verdana" w:cs="Arial"/>
          <w:sz w:val="16"/>
          <w:szCs w:val="20"/>
          <w:lang w:val="es-ES"/>
        </w:rPr>
        <w:t>]</w:t>
      </w:r>
    </w:p>
    <w:p w:rsidR="00A219C8" w:rsidRPr="00C977CA" w:rsidRDefault="00A219C8" w:rsidP="00A219C8">
      <w:pPr>
        <w:spacing w:after="0" w:line="240" w:lineRule="auto"/>
        <w:contextualSpacing/>
        <w:jc w:val="both"/>
        <w:rPr>
          <w:rFonts w:ascii="Verdana" w:hAnsi="Verdana" w:cs="Arial"/>
          <w:sz w:val="16"/>
          <w:szCs w:val="20"/>
          <w:lang w:val="es-ES"/>
        </w:rPr>
      </w:pPr>
    </w:p>
    <w:p w:rsidR="00A219C8" w:rsidRPr="00C977CA" w:rsidRDefault="00A219C8" w:rsidP="00A219C8">
      <w:pPr>
        <w:pStyle w:val="ListParagraph"/>
        <w:numPr>
          <w:ilvl w:val="3"/>
          <w:numId w:val="6"/>
        </w:numPr>
        <w:spacing w:after="0" w:line="240" w:lineRule="auto"/>
        <w:ind w:left="1080"/>
        <w:jc w:val="both"/>
        <w:rPr>
          <w:rFonts w:ascii="Verdana" w:hAnsi="Verdana" w:cs="Arial"/>
          <w:sz w:val="16"/>
          <w:szCs w:val="20"/>
          <w:lang w:val="es-ES"/>
        </w:rPr>
      </w:pPr>
      <w:r w:rsidRPr="00C977CA">
        <w:rPr>
          <w:rFonts w:ascii="Verdana" w:hAnsi="Verdana" w:cs="Arial"/>
          <w:sz w:val="16"/>
          <w:szCs w:val="20"/>
          <w:lang w:val="es-ES"/>
        </w:rPr>
        <w:t>el derecho a la integridad personal de los familiares de las víctimas consagrado en el artículo 5 de la Convención Americana, en conexión con el artículo 1.1 del mencionado instrumento.</w:t>
      </w:r>
    </w:p>
    <w:p w:rsidR="00A219C8" w:rsidRPr="002964A7" w:rsidRDefault="00A219C8" w:rsidP="00A219C8">
      <w:pPr>
        <w:tabs>
          <w:tab w:val="left" w:pos="0"/>
        </w:tabs>
        <w:spacing w:after="0" w:line="240" w:lineRule="auto"/>
        <w:jc w:val="both"/>
        <w:rPr>
          <w:rFonts w:ascii="Verdana" w:hAnsi="Verdana"/>
          <w:i/>
          <w:spacing w:val="-2"/>
          <w:sz w:val="20"/>
          <w:szCs w:val="20"/>
          <w:lang w:val="es-ES"/>
        </w:rPr>
      </w:pPr>
    </w:p>
    <w:p w:rsidR="00A54FD0" w:rsidRDefault="00A54FD0" w:rsidP="004D0BB2">
      <w:pPr>
        <w:pStyle w:val="ListParagraph"/>
        <w:numPr>
          <w:ilvl w:val="0"/>
          <w:numId w:val="6"/>
        </w:numPr>
        <w:tabs>
          <w:tab w:val="left" w:pos="0"/>
        </w:tabs>
        <w:spacing w:after="0" w:line="240" w:lineRule="auto"/>
        <w:ind w:left="0" w:firstLine="720"/>
        <w:jc w:val="both"/>
        <w:rPr>
          <w:rFonts w:ascii="Verdana" w:hAnsi="Verdana"/>
          <w:spacing w:val="-2"/>
          <w:sz w:val="20"/>
          <w:szCs w:val="20"/>
        </w:rPr>
      </w:pPr>
      <w:r w:rsidRPr="00C94FC4">
        <w:rPr>
          <w:rFonts w:ascii="Verdana" w:hAnsi="Verdana"/>
          <w:i/>
          <w:spacing w:val="-2"/>
          <w:sz w:val="20"/>
          <w:szCs w:val="20"/>
        </w:rPr>
        <w:t xml:space="preserve">Recomendaciones. – </w:t>
      </w:r>
      <w:r w:rsidRPr="00C94FC4">
        <w:rPr>
          <w:rFonts w:ascii="Verdana" w:hAnsi="Verdana"/>
          <w:spacing w:val="-2"/>
          <w:sz w:val="20"/>
          <w:szCs w:val="20"/>
        </w:rPr>
        <w:t>En consecuencia, la Comisión hizo al Estado una serie de recomendaciones:</w:t>
      </w:r>
      <w:r w:rsidRPr="004D0BB2">
        <w:rPr>
          <w:rFonts w:ascii="Verdana" w:hAnsi="Verdana"/>
          <w:spacing w:val="-2"/>
          <w:sz w:val="20"/>
          <w:szCs w:val="20"/>
        </w:rPr>
        <w:t xml:space="preserve"> </w:t>
      </w:r>
    </w:p>
    <w:p w:rsidR="004D0BB2" w:rsidRPr="004D0BB2" w:rsidRDefault="004D0BB2" w:rsidP="004D0BB2">
      <w:pPr>
        <w:tabs>
          <w:tab w:val="left" w:pos="0"/>
        </w:tabs>
        <w:spacing w:after="0" w:line="240" w:lineRule="auto"/>
        <w:jc w:val="both"/>
        <w:rPr>
          <w:rFonts w:ascii="Verdana" w:hAnsi="Verdana"/>
          <w:spacing w:val="-2"/>
          <w:sz w:val="20"/>
          <w:szCs w:val="20"/>
        </w:rPr>
      </w:pPr>
    </w:p>
    <w:p w:rsidR="00A54FD0" w:rsidRDefault="00A54FD0" w:rsidP="00A54FD0">
      <w:pPr>
        <w:pStyle w:val="ListParagraph"/>
        <w:autoSpaceDE w:val="0"/>
        <w:autoSpaceDN w:val="0"/>
        <w:adjustRightInd w:val="0"/>
        <w:spacing w:after="0" w:line="240" w:lineRule="auto"/>
        <w:jc w:val="both"/>
        <w:rPr>
          <w:rFonts w:ascii="Verdana" w:hAnsi="Verdana" w:cs="Arial"/>
          <w:sz w:val="16"/>
          <w:szCs w:val="16"/>
          <w:lang w:val="es-PR"/>
        </w:rPr>
      </w:pPr>
      <w:r w:rsidRPr="00C94FC4">
        <w:rPr>
          <w:rFonts w:ascii="Verdana" w:hAnsi="Verdana" w:cs="Times New Roman"/>
          <w:bCs/>
          <w:sz w:val="16"/>
          <w:szCs w:val="16"/>
          <w:lang w:val="es-PR"/>
        </w:rPr>
        <w:t xml:space="preserve">1. </w:t>
      </w:r>
      <w:r w:rsidRPr="00C94FC4">
        <w:rPr>
          <w:rFonts w:ascii="Verdana" w:hAnsi="Verdana" w:cs="Arial"/>
          <w:sz w:val="16"/>
          <w:szCs w:val="16"/>
          <w:lang w:val="es-PR"/>
        </w:rPr>
        <w:t xml:space="preserve">Reparar adecuadamente las violaciones de derechos humanos declaradas en el </w:t>
      </w:r>
      <w:r w:rsidR="00D77E20">
        <w:rPr>
          <w:rFonts w:ascii="Verdana" w:hAnsi="Verdana" w:cs="Arial"/>
          <w:sz w:val="16"/>
          <w:szCs w:val="16"/>
          <w:lang w:val="es-PR"/>
        </w:rPr>
        <w:t xml:space="preserve">[…] </w:t>
      </w:r>
      <w:r w:rsidRPr="00C94FC4">
        <w:rPr>
          <w:rFonts w:ascii="Verdana" w:hAnsi="Verdana" w:cs="Arial"/>
          <w:sz w:val="16"/>
          <w:szCs w:val="16"/>
          <w:lang w:val="es-PR"/>
        </w:rPr>
        <w:t>Informe</w:t>
      </w:r>
      <w:r w:rsidR="004D0BB2">
        <w:rPr>
          <w:rFonts w:ascii="Verdana" w:hAnsi="Verdana" w:cs="Arial"/>
          <w:sz w:val="16"/>
          <w:szCs w:val="16"/>
          <w:lang w:val="es-PR"/>
        </w:rPr>
        <w:t xml:space="preserve"> </w:t>
      </w:r>
      <w:r w:rsidR="00D77E20">
        <w:rPr>
          <w:rFonts w:ascii="Verdana" w:hAnsi="Verdana" w:cs="Arial"/>
          <w:sz w:val="16"/>
          <w:szCs w:val="16"/>
          <w:lang w:val="es-PR"/>
        </w:rPr>
        <w:t>[</w:t>
      </w:r>
      <w:r w:rsidR="004D0BB2">
        <w:rPr>
          <w:rFonts w:ascii="Verdana" w:hAnsi="Verdana" w:cs="Arial"/>
          <w:sz w:val="16"/>
          <w:szCs w:val="16"/>
          <w:lang w:val="es-PR"/>
        </w:rPr>
        <w:t>de Admisibilidad y Fondo</w:t>
      </w:r>
      <w:r w:rsidR="00D77E20">
        <w:rPr>
          <w:rFonts w:ascii="Verdana" w:hAnsi="Verdana" w:cs="Arial"/>
          <w:sz w:val="16"/>
          <w:szCs w:val="16"/>
          <w:lang w:val="es-PR"/>
        </w:rPr>
        <w:t>]</w:t>
      </w:r>
      <w:r w:rsidRPr="00C94FC4">
        <w:rPr>
          <w:rFonts w:ascii="Verdana" w:hAnsi="Verdana" w:cs="Arial"/>
          <w:sz w:val="16"/>
          <w:szCs w:val="16"/>
          <w:lang w:val="es-PR"/>
        </w:rPr>
        <w:t xml:space="preserve"> tanto en el aspecto material como moral que tenga en cuenta </w:t>
      </w:r>
      <w:r w:rsidR="004D0BB2">
        <w:rPr>
          <w:rFonts w:ascii="Verdana" w:hAnsi="Verdana" w:cs="Arial"/>
          <w:sz w:val="16"/>
          <w:szCs w:val="16"/>
          <w:lang w:val="es-PR"/>
        </w:rPr>
        <w:t>l</w:t>
      </w:r>
      <w:r w:rsidRPr="00C94FC4">
        <w:rPr>
          <w:rFonts w:ascii="Verdana" w:hAnsi="Verdana" w:cs="Arial"/>
          <w:sz w:val="16"/>
          <w:szCs w:val="16"/>
          <w:lang w:val="es-PR"/>
        </w:rPr>
        <w:t xml:space="preserve">a especial condición de los 7 niños víctimas del caso, incluyendo una justa compensación, el establecimiento y difusión de la verdad histórica de los hechos, la recuperación de la memoria de las víctimas desaparecidas </w:t>
      </w:r>
      <w:r w:rsidRPr="00C94FC4">
        <w:rPr>
          <w:rFonts w:ascii="Verdana" w:hAnsi="Verdana" w:cs="Times New Roman"/>
          <w:sz w:val="16"/>
          <w:szCs w:val="16"/>
          <w:lang w:val="es-PR"/>
        </w:rPr>
        <w:t>y, l</w:t>
      </w:r>
      <w:r w:rsidRPr="00C94FC4">
        <w:rPr>
          <w:rFonts w:ascii="Verdana" w:hAnsi="Verdana" w:cs="Arial"/>
          <w:sz w:val="16"/>
          <w:szCs w:val="16"/>
          <w:lang w:val="es-PR"/>
        </w:rPr>
        <w:t>a implementación de un programa adecuado de atención psicosocial a los familiares de las víctimas desaparecidas</w:t>
      </w:r>
      <w:r w:rsidR="00D77E20">
        <w:rPr>
          <w:rFonts w:ascii="Verdana" w:hAnsi="Verdana" w:cs="Arial"/>
          <w:sz w:val="16"/>
          <w:szCs w:val="16"/>
          <w:lang w:val="es-PR"/>
        </w:rPr>
        <w:t>[</w:t>
      </w:r>
      <w:r w:rsidR="004D0BB2">
        <w:rPr>
          <w:rFonts w:ascii="Verdana" w:hAnsi="Verdana" w:cs="Arial"/>
          <w:sz w:val="16"/>
          <w:szCs w:val="16"/>
          <w:lang w:val="es-PR"/>
        </w:rPr>
        <w:t>;</w:t>
      </w:r>
      <w:r w:rsidR="00D77E20">
        <w:rPr>
          <w:rFonts w:ascii="Verdana" w:hAnsi="Verdana" w:cs="Arial"/>
          <w:sz w:val="16"/>
          <w:szCs w:val="16"/>
          <w:lang w:val="es-PR"/>
        </w:rPr>
        <w:t>]</w:t>
      </w:r>
    </w:p>
    <w:p w:rsidR="004D0BB2" w:rsidRPr="004D0BB2" w:rsidRDefault="004D0BB2" w:rsidP="004D0BB2">
      <w:pPr>
        <w:autoSpaceDE w:val="0"/>
        <w:autoSpaceDN w:val="0"/>
        <w:adjustRightInd w:val="0"/>
        <w:spacing w:after="0" w:line="240" w:lineRule="auto"/>
        <w:jc w:val="both"/>
        <w:rPr>
          <w:rFonts w:ascii="Verdana" w:hAnsi="Verdana" w:cs="Arial"/>
          <w:sz w:val="16"/>
          <w:szCs w:val="16"/>
          <w:lang w:val="es-PR"/>
        </w:rPr>
      </w:pPr>
    </w:p>
    <w:p w:rsidR="00A54FD0" w:rsidRDefault="00A54FD0" w:rsidP="00A54FD0">
      <w:pPr>
        <w:pStyle w:val="ListParagraph"/>
        <w:autoSpaceDE w:val="0"/>
        <w:autoSpaceDN w:val="0"/>
        <w:adjustRightInd w:val="0"/>
        <w:spacing w:after="0" w:line="240" w:lineRule="auto"/>
        <w:jc w:val="both"/>
        <w:rPr>
          <w:rFonts w:ascii="Verdana" w:hAnsi="Verdana" w:cs="Arial"/>
          <w:sz w:val="16"/>
          <w:szCs w:val="16"/>
          <w:lang w:val="es-PR"/>
        </w:rPr>
      </w:pPr>
      <w:r w:rsidRPr="00C94FC4">
        <w:rPr>
          <w:rFonts w:ascii="Verdana" w:hAnsi="Verdana" w:cs="Arial"/>
          <w:sz w:val="16"/>
          <w:szCs w:val="16"/>
          <w:lang w:val="es-PR"/>
        </w:rPr>
        <w:t>2. Establecer un mecanismo que permite en la mayor medida posible, la identificación completa de las víctimas desaparecidas y la devolución de los restos mortales de dichas víctimas a sus familiares</w:t>
      </w:r>
      <w:r w:rsidR="00D77E20">
        <w:rPr>
          <w:rFonts w:ascii="Verdana" w:hAnsi="Verdana" w:cs="Arial"/>
          <w:sz w:val="16"/>
          <w:szCs w:val="16"/>
          <w:lang w:val="es-PR"/>
        </w:rPr>
        <w:t>[</w:t>
      </w:r>
      <w:r w:rsidR="00DB66C1">
        <w:rPr>
          <w:rFonts w:ascii="Verdana" w:hAnsi="Verdana" w:cs="Arial"/>
          <w:sz w:val="16"/>
          <w:szCs w:val="16"/>
          <w:lang w:val="es-PR"/>
        </w:rPr>
        <w:t>;</w:t>
      </w:r>
      <w:r w:rsidR="00D77E20">
        <w:rPr>
          <w:rFonts w:ascii="Verdana" w:hAnsi="Verdana" w:cs="Arial"/>
          <w:sz w:val="16"/>
          <w:szCs w:val="16"/>
          <w:lang w:val="es-PR"/>
        </w:rPr>
        <w:t>]</w:t>
      </w:r>
    </w:p>
    <w:p w:rsidR="004D0BB2" w:rsidRPr="004D0BB2" w:rsidRDefault="004D0BB2" w:rsidP="004D0BB2">
      <w:pPr>
        <w:autoSpaceDE w:val="0"/>
        <w:autoSpaceDN w:val="0"/>
        <w:adjustRightInd w:val="0"/>
        <w:spacing w:after="0" w:line="240" w:lineRule="auto"/>
        <w:jc w:val="both"/>
        <w:rPr>
          <w:rFonts w:ascii="Verdana" w:hAnsi="Verdana" w:cs="Arial"/>
          <w:sz w:val="16"/>
          <w:szCs w:val="16"/>
          <w:lang w:val="es-PR"/>
        </w:rPr>
      </w:pPr>
    </w:p>
    <w:p w:rsidR="00A54FD0" w:rsidRDefault="00A54FD0" w:rsidP="00A54FD0">
      <w:pPr>
        <w:pStyle w:val="ListParagraph"/>
        <w:autoSpaceDE w:val="0"/>
        <w:autoSpaceDN w:val="0"/>
        <w:adjustRightInd w:val="0"/>
        <w:spacing w:after="0" w:line="240" w:lineRule="auto"/>
        <w:jc w:val="both"/>
        <w:rPr>
          <w:rFonts w:ascii="Verdana" w:hAnsi="Verdana" w:cs="Arial"/>
          <w:sz w:val="16"/>
          <w:szCs w:val="16"/>
          <w:lang w:val="es-PR"/>
        </w:rPr>
      </w:pPr>
      <w:r w:rsidRPr="00C94FC4">
        <w:rPr>
          <w:rFonts w:ascii="Verdana" w:hAnsi="Verdana" w:cs="Arial"/>
          <w:sz w:val="16"/>
          <w:szCs w:val="16"/>
          <w:lang w:val="es-PR"/>
        </w:rPr>
        <w:t xml:space="preserve">3. Llevar a cabo y concluir, según corresponda, los procedimientos internos relacionados con las violaciones a los derechos humanos declaradas en el </w:t>
      </w:r>
      <w:r w:rsidR="00D77E20">
        <w:rPr>
          <w:rFonts w:ascii="Verdana" w:hAnsi="Verdana" w:cs="Arial"/>
          <w:sz w:val="16"/>
          <w:szCs w:val="16"/>
          <w:lang w:val="es-PR"/>
        </w:rPr>
        <w:t xml:space="preserve">[…] </w:t>
      </w:r>
      <w:r w:rsidRPr="00C94FC4">
        <w:rPr>
          <w:rFonts w:ascii="Verdana" w:hAnsi="Verdana" w:cs="Arial"/>
          <w:sz w:val="16"/>
          <w:szCs w:val="16"/>
          <w:lang w:val="es-PR"/>
        </w:rPr>
        <w:t>Informe</w:t>
      </w:r>
      <w:r w:rsidR="004D0BB2">
        <w:rPr>
          <w:rFonts w:ascii="Verdana" w:hAnsi="Verdana" w:cs="Arial"/>
          <w:sz w:val="16"/>
          <w:szCs w:val="16"/>
          <w:lang w:val="es-PR"/>
        </w:rPr>
        <w:t xml:space="preserve"> </w:t>
      </w:r>
      <w:r w:rsidR="00D77E20">
        <w:rPr>
          <w:rFonts w:ascii="Verdana" w:hAnsi="Verdana" w:cs="Arial"/>
          <w:sz w:val="16"/>
          <w:szCs w:val="16"/>
          <w:lang w:val="es-PR"/>
        </w:rPr>
        <w:t>[</w:t>
      </w:r>
      <w:r w:rsidR="004D0BB2">
        <w:rPr>
          <w:rFonts w:ascii="Verdana" w:hAnsi="Verdana" w:cs="Arial"/>
          <w:sz w:val="16"/>
          <w:szCs w:val="16"/>
          <w:lang w:val="es-PR"/>
        </w:rPr>
        <w:t>de Admisibilidad y Fondo</w:t>
      </w:r>
      <w:r w:rsidR="00D77E20">
        <w:rPr>
          <w:rFonts w:ascii="Verdana" w:hAnsi="Verdana" w:cs="Arial"/>
          <w:sz w:val="16"/>
          <w:szCs w:val="16"/>
          <w:lang w:val="es-PR"/>
        </w:rPr>
        <w:t>]</w:t>
      </w:r>
      <w:r w:rsidRPr="00C94FC4">
        <w:rPr>
          <w:rFonts w:ascii="Verdana" w:hAnsi="Verdana" w:cs="Arial"/>
          <w:sz w:val="16"/>
          <w:szCs w:val="16"/>
          <w:lang w:val="es-PR"/>
        </w:rPr>
        <w:t xml:space="preserve"> </w:t>
      </w:r>
      <w:r w:rsidRPr="00C94FC4">
        <w:rPr>
          <w:rFonts w:ascii="Verdana" w:hAnsi="Verdana" w:cs="Times New Roman"/>
          <w:sz w:val="16"/>
          <w:szCs w:val="16"/>
          <w:lang w:val="es-PR"/>
        </w:rPr>
        <w:t xml:space="preserve">y </w:t>
      </w:r>
      <w:r w:rsidRPr="00C94FC4">
        <w:rPr>
          <w:rFonts w:ascii="Verdana" w:hAnsi="Verdana" w:cs="Arial"/>
          <w:sz w:val="16"/>
          <w:szCs w:val="16"/>
          <w:lang w:val="es-PR"/>
        </w:rPr>
        <w:t>conducir las investigaciones de manera imparcial, efectiva y dentro de un plaza razonable con el objeto de esclarecer los hechos en forma completa, identificar a los autores intelectuales y materiales e imponer las sanciones que corresponda</w:t>
      </w:r>
      <w:r w:rsidR="00D77E20">
        <w:rPr>
          <w:rFonts w:ascii="Verdana" w:hAnsi="Verdana" w:cs="Arial"/>
          <w:sz w:val="16"/>
          <w:szCs w:val="16"/>
          <w:lang w:val="es-PR"/>
        </w:rPr>
        <w:t>[</w:t>
      </w:r>
      <w:r w:rsidR="004D0BB2">
        <w:rPr>
          <w:rFonts w:ascii="Verdana" w:hAnsi="Verdana" w:cs="Arial"/>
          <w:sz w:val="16"/>
          <w:szCs w:val="16"/>
          <w:lang w:val="es-PR"/>
        </w:rPr>
        <w:t>;</w:t>
      </w:r>
      <w:r w:rsidR="00D77E20">
        <w:rPr>
          <w:rFonts w:ascii="Verdana" w:hAnsi="Verdana" w:cs="Arial"/>
          <w:sz w:val="16"/>
          <w:szCs w:val="16"/>
          <w:lang w:val="es-PR"/>
        </w:rPr>
        <w:t>]</w:t>
      </w:r>
    </w:p>
    <w:p w:rsidR="004D0BB2" w:rsidRPr="004D0BB2" w:rsidRDefault="004D0BB2" w:rsidP="004D0BB2">
      <w:pPr>
        <w:autoSpaceDE w:val="0"/>
        <w:autoSpaceDN w:val="0"/>
        <w:adjustRightInd w:val="0"/>
        <w:spacing w:after="0" w:line="240" w:lineRule="auto"/>
        <w:jc w:val="both"/>
        <w:rPr>
          <w:rFonts w:ascii="Verdana" w:hAnsi="Verdana" w:cs="Arial"/>
          <w:sz w:val="16"/>
          <w:szCs w:val="16"/>
          <w:lang w:val="es-PR"/>
        </w:rPr>
      </w:pPr>
    </w:p>
    <w:p w:rsidR="00A54FD0" w:rsidRDefault="00A54FD0" w:rsidP="00A54FD0">
      <w:pPr>
        <w:pStyle w:val="ListParagraph"/>
        <w:autoSpaceDE w:val="0"/>
        <w:autoSpaceDN w:val="0"/>
        <w:adjustRightInd w:val="0"/>
        <w:spacing w:after="0" w:line="240" w:lineRule="auto"/>
        <w:jc w:val="both"/>
        <w:rPr>
          <w:rFonts w:ascii="Verdana" w:hAnsi="Verdana" w:cs="Arial"/>
          <w:sz w:val="16"/>
          <w:szCs w:val="16"/>
          <w:lang w:val="es-PR"/>
        </w:rPr>
      </w:pPr>
      <w:r w:rsidRPr="00C94FC4">
        <w:rPr>
          <w:rFonts w:ascii="Verdana" w:hAnsi="Verdana" w:cs="Arial"/>
          <w:sz w:val="16"/>
          <w:szCs w:val="16"/>
          <w:lang w:val="es-PR"/>
        </w:rPr>
        <w:t>4. Fortalecer la capacidad del poder judicial de investigar de forma adecuada y eficiente los hechos y sancionar a los responsables incluso con los recursos materiales y técnicos necesarios para asegurar el correcto desarrollo de los procesos</w:t>
      </w:r>
      <w:r w:rsidR="00D77E20">
        <w:rPr>
          <w:rFonts w:ascii="Verdana" w:hAnsi="Verdana" w:cs="Arial"/>
          <w:sz w:val="16"/>
          <w:szCs w:val="16"/>
          <w:lang w:val="es-PR"/>
        </w:rPr>
        <w:t>[</w:t>
      </w:r>
      <w:r w:rsidR="004D0BB2">
        <w:rPr>
          <w:rFonts w:ascii="Verdana" w:hAnsi="Verdana" w:cs="Arial"/>
          <w:sz w:val="16"/>
          <w:szCs w:val="16"/>
          <w:lang w:val="es-PR"/>
        </w:rPr>
        <w:t>;</w:t>
      </w:r>
      <w:r w:rsidR="00D77E20">
        <w:rPr>
          <w:rFonts w:ascii="Verdana" w:hAnsi="Verdana" w:cs="Arial"/>
          <w:sz w:val="16"/>
          <w:szCs w:val="16"/>
          <w:lang w:val="es-PR"/>
        </w:rPr>
        <w:t>]</w:t>
      </w:r>
    </w:p>
    <w:p w:rsidR="004D0BB2" w:rsidRPr="004D0BB2" w:rsidRDefault="004D0BB2" w:rsidP="004D0BB2">
      <w:pPr>
        <w:autoSpaceDE w:val="0"/>
        <w:autoSpaceDN w:val="0"/>
        <w:adjustRightInd w:val="0"/>
        <w:spacing w:after="0" w:line="240" w:lineRule="auto"/>
        <w:jc w:val="both"/>
        <w:rPr>
          <w:rFonts w:ascii="Verdana" w:hAnsi="Verdana" w:cs="Arial"/>
          <w:sz w:val="16"/>
          <w:szCs w:val="16"/>
          <w:lang w:val="es-PR"/>
        </w:rPr>
      </w:pPr>
    </w:p>
    <w:p w:rsidR="00A54FD0" w:rsidRDefault="00A54FD0" w:rsidP="00A54FD0">
      <w:pPr>
        <w:pStyle w:val="ListParagraph"/>
        <w:autoSpaceDE w:val="0"/>
        <w:autoSpaceDN w:val="0"/>
        <w:adjustRightInd w:val="0"/>
        <w:spacing w:after="0" w:line="240" w:lineRule="auto"/>
        <w:jc w:val="both"/>
        <w:rPr>
          <w:rFonts w:ascii="Verdana" w:hAnsi="Verdana" w:cs="Arial"/>
          <w:sz w:val="16"/>
          <w:szCs w:val="16"/>
          <w:lang w:val="es-PR"/>
        </w:rPr>
      </w:pPr>
      <w:r w:rsidRPr="00C94FC4">
        <w:rPr>
          <w:rFonts w:ascii="Verdana" w:hAnsi="Verdana" w:cs="Arial"/>
          <w:sz w:val="16"/>
          <w:szCs w:val="16"/>
          <w:lang w:val="es-PR"/>
        </w:rPr>
        <w:t>5. Adoptar las medidas necesarias para evitar que en el futuro se produzcan hechos similares, conforme al deber de prevención y garantía de los derechos humanos reconocidos en la Convención Americana. En particular, implementar programas permanentes de derechos humanos y derecho internacional humanitario en las escuelas de formación de las Fuerzas Armadas</w:t>
      </w:r>
      <w:r w:rsidR="00D77E20">
        <w:rPr>
          <w:rFonts w:ascii="Verdana" w:hAnsi="Verdana" w:cs="Arial"/>
          <w:sz w:val="16"/>
          <w:szCs w:val="16"/>
          <w:lang w:val="es-PR"/>
        </w:rPr>
        <w:t>[</w:t>
      </w:r>
      <w:r w:rsidR="004D0BB2">
        <w:rPr>
          <w:rFonts w:ascii="Verdana" w:hAnsi="Verdana" w:cs="Arial"/>
          <w:sz w:val="16"/>
          <w:szCs w:val="16"/>
          <w:lang w:val="es-PR"/>
        </w:rPr>
        <w:t>, y</w:t>
      </w:r>
      <w:r w:rsidR="00D77E20">
        <w:rPr>
          <w:rFonts w:ascii="Verdana" w:hAnsi="Verdana" w:cs="Arial"/>
          <w:sz w:val="16"/>
          <w:szCs w:val="16"/>
          <w:lang w:val="es-PR"/>
        </w:rPr>
        <w:t>]</w:t>
      </w:r>
    </w:p>
    <w:p w:rsidR="004D0BB2" w:rsidRPr="00C94FC4" w:rsidRDefault="004D0BB2" w:rsidP="00A54FD0">
      <w:pPr>
        <w:pStyle w:val="ListParagraph"/>
        <w:autoSpaceDE w:val="0"/>
        <w:autoSpaceDN w:val="0"/>
        <w:adjustRightInd w:val="0"/>
        <w:spacing w:after="0" w:line="240" w:lineRule="auto"/>
        <w:jc w:val="both"/>
        <w:rPr>
          <w:rFonts w:ascii="Verdana" w:hAnsi="Verdana" w:cs="Arial"/>
          <w:sz w:val="16"/>
          <w:szCs w:val="16"/>
          <w:lang w:val="es-PR"/>
        </w:rPr>
      </w:pPr>
    </w:p>
    <w:p w:rsidR="00A54FD0" w:rsidRPr="00C94FC4" w:rsidRDefault="00A54FD0" w:rsidP="00A54FD0">
      <w:pPr>
        <w:pStyle w:val="ListParagraph"/>
        <w:autoSpaceDE w:val="0"/>
        <w:autoSpaceDN w:val="0"/>
        <w:adjustRightInd w:val="0"/>
        <w:spacing w:after="0" w:line="240" w:lineRule="auto"/>
        <w:jc w:val="both"/>
        <w:rPr>
          <w:rFonts w:ascii="Verdana" w:hAnsi="Verdana" w:cs="Arial"/>
          <w:sz w:val="16"/>
          <w:szCs w:val="16"/>
          <w:lang w:val="es-PR"/>
        </w:rPr>
      </w:pPr>
      <w:r w:rsidRPr="00C94FC4">
        <w:rPr>
          <w:rFonts w:ascii="Verdana" w:hAnsi="Verdana" w:cs="Arial"/>
          <w:sz w:val="16"/>
          <w:szCs w:val="16"/>
          <w:lang w:val="es-PR"/>
        </w:rPr>
        <w:t>6. Adoptar medidas administrativas contra los funcionarios públicos que resulten responsables de estar involucrados en la comis</w:t>
      </w:r>
      <w:r w:rsidR="004D0BB2">
        <w:rPr>
          <w:rFonts w:ascii="Verdana" w:hAnsi="Verdana" w:cs="Arial"/>
          <w:sz w:val="16"/>
          <w:szCs w:val="16"/>
          <w:lang w:val="es-PR"/>
        </w:rPr>
        <w:t>i</w:t>
      </w:r>
      <w:r w:rsidRPr="00C94FC4">
        <w:rPr>
          <w:rFonts w:ascii="Verdana" w:hAnsi="Verdana" w:cs="Arial"/>
          <w:sz w:val="16"/>
          <w:szCs w:val="16"/>
          <w:lang w:val="es-PR"/>
        </w:rPr>
        <w:t>ón de las violaciones encontradas en el</w:t>
      </w:r>
      <w:r w:rsidR="004D0BB2">
        <w:rPr>
          <w:rFonts w:ascii="Verdana" w:hAnsi="Verdana" w:cs="Arial"/>
          <w:sz w:val="16"/>
          <w:szCs w:val="16"/>
          <w:lang w:val="es-PR"/>
        </w:rPr>
        <w:t xml:space="preserve"> In</w:t>
      </w:r>
      <w:r w:rsidR="00D77E20">
        <w:rPr>
          <w:rFonts w:ascii="Verdana" w:hAnsi="Verdana" w:cs="Arial"/>
          <w:sz w:val="16"/>
          <w:szCs w:val="16"/>
          <w:lang w:val="es-PR"/>
        </w:rPr>
        <w:t>f</w:t>
      </w:r>
      <w:r w:rsidR="004D0BB2">
        <w:rPr>
          <w:rFonts w:ascii="Verdana" w:hAnsi="Verdana" w:cs="Arial"/>
          <w:sz w:val="16"/>
          <w:szCs w:val="16"/>
          <w:lang w:val="es-PR"/>
        </w:rPr>
        <w:t xml:space="preserve">orme </w:t>
      </w:r>
      <w:r w:rsidR="00D77E20">
        <w:rPr>
          <w:rFonts w:ascii="Verdana" w:hAnsi="Verdana" w:cs="Arial"/>
          <w:sz w:val="16"/>
          <w:szCs w:val="16"/>
          <w:lang w:val="es-PR"/>
        </w:rPr>
        <w:t>[</w:t>
      </w:r>
      <w:r w:rsidR="004D0BB2">
        <w:rPr>
          <w:rFonts w:ascii="Verdana" w:hAnsi="Verdana" w:cs="Arial"/>
          <w:sz w:val="16"/>
          <w:szCs w:val="16"/>
          <w:lang w:val="es-PR"/>
        </w:rPr>
        <w:t>de Admisibilidad y Fondo</w:t>
      </w:r>
      <w:r w:rsidR="00D77E20">
        <w:rPr>
          <w:rFonts w:ascii="Verdana" w:hAnsi="Verdana" w:cs="Arial"/>
          <w:sz w:val="16"/>
          <w:szCs w:val="16"/>
          <w:lang w:val="es-PR"/>
        </w:rPr>
        <w:t>]</w:t>
      </w:r>
      <w:r w:rsidRPr="00C94FC4">
        <w:rPr>
          <w:rFonts w:ascii="Verdana" w:hAnsi="Verdana" w:cs="Arial"/>
          <w:sz w:val="16"/>
          <w:szCs w:val="16"/>
          <w:lang w:val="es-PR"/>
        </w:rPr>
        <w:t>, incluyendo contra aquellos jueces o magistrados que no cumplieron debidamente sus funciones de protección de los derechos fundamentales.</w:t>
      </w:r>
    </w:p>
    <w:p w:rsidR="00A54FD0" w:rsidRDefault="00A54FD0" w:rsidP="00A54FD0">
      <w:pPr>
        <w:pStyle w:val="ListParagraph"/>
        <w:spacing w:after="0" w:line="240" w:lineRule="auto"/>
        <w:ind w:left="0"/>
        <w:jc w:val="both"/>
        <w:rPr>
          <w:rFonts w:ascii="Verdana" w:hAnsi="Verdana"/>
          <w:i/>
          <w:spacing w:val="-2"/>
          <w:sz w:val="20"/>
          <w:szCs w:val="20"/>
        </w:rPr>
      </w:pPr>
    </w:p>
    <w:p w:rsidR="00A219C8" w:rsidRPr="004D0BB2" w:rsidRDefault="00A219C8" w:rsidP="001154F9">
      <w:pPr>
        <w:pStyle w:val="ListParagraph"/>
        <w:numPr>
          <w:ilvl w:val="0"/>
          <w:numId w:val="7"/>
        </w:numPr>
        <w:spacing w:after="0" w:line="240" w:lineRule="auto"/>
        <w:ind w:left="0" w:firstLine="0"/>
        <w:jc w:val="both"/>
        <w:rPr>
          <w:rFonts w:ascii="Verdana" w:hAnsi="Verdana"/>
          <w:spacing w:val="-2"/>
          <w:sz w:val="20"/>
          <w:szCs w:val="20"/>
        </w:rPr>
      </w:pPr>
      <w:r w:rsidRPr="002964A7">
        <w:rPr>
          <w:rFonts w:ascii="Verdana" w:hAnsi="Verdana"/>
          <w:i/>
          <w:spacing w:val="-2"/>
          <w:sz w:val="20"/>
          <w:szCs w:val="20"/>
        </w:rPr>
        <w:t>Notificación al Estado. –</w:t>
      </w:r>
      <w:r w:rsidRPr="002964A7">
        <w:rPr>
          <w:rFonts w:ascii="Verdana" w:hAnsi="Verdana"/>
          <w:spacing w:val="-2"/>
          <w:sz w:val="20"/>
          <w:szCs w:val="20"/>
        </w:rPr>
        <w:t xml:space="preserve"> El Informe de Admisibilidad y Fondo fue notificado al Estado </w:t>
      </w:r>
      <w:r w:rsidR="00DB66C1">
        <w:rPr>
          <w:rFonts w:ascii="Verdana" w:hAnsi="Verdana"/>
          <w:spacing w:val="-2"/>
          <w:sz w:val="20"/>
          <w:szCs w:val="20"/>
        </w:rPr>
        <w:t>mediante comunicación de</w:t>
      </w:r>
      <w:r w:rsidR="00DB66C1" w:rsidRPr="002964A7">
        <w:rPr>
          <w:rFonts w:ascii="Verdana" w:hAnsi="Verdana"/>
          <w:spacing w:val="-2"/>
          <w:sz w:val="20"/>
          <w:szCs w:val="20"/>
        </w:rPr>
        <w:t xml:space="preserve"> </w:t>
      </w:r>
      <w:r w:rsidRPr="002964A7">
        <w:rPr>
          <w:rFonts w:ascii="Verdana" w:hAnsi="Verdana"/>
          <w:spacing w:val="-2"/>
          <w:sz w:val="20"/>
          <w:szCs w:val="20"/>
        </w:rPr>
        <w:t xml:space="preserve">8 de agosto de 2011, y se otorgó un plazo de dos meses para que </w:t>
      </w:r>
      <w:r w:rsidR="005225A2">
        <w:rPr>
          <w:rFonts w:ascii="Verdana" w:hAnsi="Verdana"/>
          <w:spacing w:val="-2"/>
          <w:sz w:val="20"/>
          <w:szCs w:val="20"/>
        </w:rPr>
        <w:t>e</w:t>
      </w:r>
      <w:r w:rsidRPr="002964A7">
        <w:rPr>
          <w:rFonts w:ascii="Verdana" w:hAnsi="Verdana"/>
          <w:spacing w:val="-2"/>
          <w:sz w:val="20"/>
          <w:szCs w:val="20"/>
        </w:rPr>
        <w:t>ste informara sobre el cumplimiento de las recomendaciones. Tras siete pr</w:t>
      </w:r>
      <w:r w:rsidR="006D5D86">
        <w:rPr>
          <w:rFonts w:ascii="Verdana" w:hAnsi="Verdana"/>
          <w:spacing w:val="-2"/>
          <w:sz w:val="20"/>
          <w:szCs w:val="20"/>
        </w:rPr>
        <w:t>ó</w:t>
      </w:r>
      <w:r w:rsidRPr="002964A7">
        <w:rPr>
          <w:rFonts w:ascii="Verdana" w:hAnsi="Verdana"/>
          <w:spacing w:val="-2"/>
          <w:sz w:val="20"/>
          <w:szCs w:val="20"/>
        </w:rPr>
        <w:t>rrogas otorgadas por la Comisión al Estado y una reunión de trabajo que sostuvo la Comisión con las partes durante su 147 período ordinario de sesiones, el Estado</w:t>
      </w:r>
      <w:r w:rsidR="004D0BB2">
        <w:rPr>
          <w:rFonts w:ascii="Verdana" w:hAnsi="Verdana"/>
          <w:spacing w:val="-2"/>
          <w:sz w:val="20"/>
          <w:szCs w:val="20"/>
        </w:rPr>
        <w:t xml:space="preserve"> </w:t>
      </w:r>
      <w:r w:rsidRPr="002964A7">
        <w:rPr>
          <w:rFonts w:ascii="Verdana" w:hAnsi="Verdana"/>
          <w:spacing w:val="-2"/>
          <w:sz w:val="20"/>
          <w:szCs w:val="20"/>
        </w:rPr>
        <w:t>presentó información sobre el cumplimiento de las recomendaciones.</w:t>
      </w:r>
    </w:p>
    <w:p w:rsidR="00A219C8" w:rsidRPr="002964A7" w:rsidRDefault="00A219C8" w:rsidP="00A219C8">
      <w:pPr>
        <w:pStyle w:val="ListParagraph"/>
        <w:spacing w:after="0" w:line="240" w:lineRule="auto"/>
        <w:ind w:left="0"/>
        <w:jc w:val="both"/>
        <w:rPr>
          <w:rFonts w:ascii="Verdana" w:hAnsi="Verdana"/>
          <w:i/>
          <w:spacing w:val="-2"/>
          <w:sz w:val="20"/>
          <w:szCs w:val="20"/>
        </w:rPr>
      </w:pPr>
    </w:p>
    <w:p w:rsidR="00A219C8" w:rsidRPr="004D0BB2" w:rsidRDefault="00A219C8" w:rsidP="001154F9">
      <w:pPr>
        <w:pStyle w:val="ListParagraph"/>
        <w:numPr>
          <w:ilvl w:val="0"/>
          <w:numId w:val="7"/>
        </w:numPr>
        <w:spacing w:after="0" w:line="240" w:lineRule="auto"/>
        <w:ind w:left="0" w:firstLine="0"/>
        <w:jc w:val="both"/>
        <w:rPr>
          <w:rFonts w:ascii="Verdana" w:hAnsi="Verdana"/>
          <w:spacing w:val="-2"/>
          <w:sz w:val="20"/>
          <w:szCs w:val="20"/>
        </w:rPr>
      </w:pPr>
      <w:r w:rsidRPr="002964A7">
        <w:rPr>
          <w:rFonts w:ascii="Verdana" w:hAnsi="Verdana"/>
          <w:i/>
          <w:spacing w:val="-2"/>
          <w:sz w:val="20"/>
          <w:szCs w:val="20"/>
        </w:rPr>
        <w:t>Sometimiento a la Corte. –</w:t>
      </w:r>
      <w:r w:rsidRPr="002964A7">
        <w:rPr>
          <w:rFonts w:ascii="Verdana" w:hAnsi="Verdana"/>
          <w:spacing w:val="-2"/>
          <w:sz w:val="20"/>
          <w:szCs w:val="20"/>
        </w:rPr>
        <w:t xml:space="preserve"> </w:t>
      </w:r>
      <w:r w:rsidRPr="002964A7">
        <w:rPr>
          <w:rFonts w:ascii="Verdana" w:eastAsia="Calibri" w:hAnsi="Verdana"/>
          <w:sz w:val="20"/>
          <w:szCs w:val="20"/>
          <w:lang w:val="es-ES"/>
        </w:rPr>
        <w:t xml:space="preserve">El </w:t>
      </w:r>
      <w:r w:rsidRPr="002964A7">
        <w:rPr>
          <w:rFonts w:ascii="Verdana" w:hAnsi="Verdana" w:cs="Arial"/>
          <w:sz w:val="20"/>
          <w:szCs w:val="20"/>
          <w:lang w:val="es-ES"/>
        </w:rPr>
        <w:t xml:space="preserve">8 de julio de 2013 </w:t>
      </w:r>
      <w:r w:rsidRPr="002964A7">
        <w:rPr>
          <w:rFonts w:ascii="Verdana" w:hAnsi="Verdana" w:cs="Arial"/>
          <w:spacing w:val="-2"/>
          <w:sz w:val="20"/>
          <w:szCs w:val="20"/>
        </w:rPr>
        <w:t>y “</w:t>
      </w:r>
      <w:r w:rsidRPr="002964A7">
        <w:rPr>
          <w:rFonts w:ascii="Verdana" w:hAnsi="Verdana"/>
          <w:iCs/>
          <w:spacing w:val="-2"/>
          <w:sz w:val="20"/>
          <w:szCs w:val="20"/>
        </w:rPr>
        <w:t>por la necesidad de obtención de justicia para las [presuntas] víctimas”,</w:t>
      </w:r>
      <w:r w:rsidRPr="002964A7">
        <w:rPr>
          <w:rFonts w:ascii="Verdana" w:hAnsi="Verdana" w:cs="Arial"/>
          <w:spacing w:val="-2"/>
          <w:sz w:val="20"/>
          <w:szCs w:val="20"/>
        </w:rPr>
        <w:t xml:space="preserve"> </w:t>
      </w:r>
      <w:r w:rsidRPr="002964A7">
        <w:rPr>
          <w:rFonts w:ascii="Verdana" w:hAnsi="Verdana"/>
          <w:spacing w:val="-2"/>
          <w:sz w:val="20"/>
          <w:szCs w:val="20"/>
        </w:rPr>
        <w:t>la Comisión Interamericana sometió a la jurisdicción de la Corte el presente caso y ajuntó copia del Informe de Admisibilidad y Fondo No. 77/11</w:t>
      </w:r>
      <w:r w:rsidRPr="002964A7">
        <w:rPr>
          <w:rFonts w:ascii="Verdana" w:hAnsi="Verdana"/>
          <w:iCs/>
          <w:spacing w:val="-2"/>
          <w:sz w:val="20"/>
          <w:szCs w:val="20"/>
        </w:rPr>
        <w:t>.</w:t>
      </w:r>
      <w:r w:rsidRPr="002964A7">
        <w:rPr>
          <w:rFonts w:ascii="Verdana" w:hAnsi="Verdana"/>
          <w:spacing w:val="-2"/>
          <w:sz w:val="20"/>
          <w:szCs w:val="20"/>
        </w:rPr>
        <w:t xml:space="preserve"> </w:t>
      </w:r>
      <w:r w:rsidRPr="002964A7">
        <w:rPr>
          <w:rFonts w:ascii="Verdana" w:hAnsi="Verdana"/>
          <w:spacing w:val="-2"/>
          <w:sz w:val="20"/>
          <w:szCs w:val="20"/>
        </w:rPr>
        <w:lastRenderedPageBreak/>
        <w:t xml:space="preserve">Asimismo, designó </w:t>
      </w:r>
      <w:r w:rsidRPr="002964A7">
        <w:rPr>
          <w:rFonts w:ascii="Verdana" w:hAnsi="Verdana"/>
          <w:iCs/>
          <w:spacing w:val="-2"/>
          <w:sz w:val="20"/>
          <w:szCs w:val="20"/>
          <w:lang w:eastAsia="es-ES"/>
        </w:rPr>
        <w:t xml:space="preserve">como sus delegados ante la Corte </w:t>
      </w:r>
      <w:r w:rsidRPr="002964A7">
        <w:rPr>
          <w:rFonts w:ascii="Verdana" w:hAnsi="Verdana" w:cs="Arial"/>
          <w:sz w:val="20"/>
          <w:szCs w:val="20"/>
        </w:rPr>
        <w:t>al Comisionado José de Jesús Orozco Henríquez y al Secretario Ejecutivo Emilio Álvarez Icaza L. Igualmente, designó a la Secretaria Ejecutiva Adjunta Elizabeth Abi-Mershed, así como a Silvia Serrano Guzmán y Nerea Aparicio, como asesoras legales.</w:t>
      </w:r>
    </w:p>
    <w:p w:rsidR="00A219C8" w:rsidRPr="002964A7" w:rsidRDefault="00A219C8" w:rsidP="00A219C8">
      <w:pPr>
        <w:pStyle w:val="ListParagraph"/>
        <w:spacing w:after="0" w:line="240" w:lineRule="auto"/>
        <w:ind w:left="0"/>
        <w:jc w:val="both"/>
        <w:rPr>
          <w:rFonts w:ascii="Verdana" w:hAnsi="Verdana"/>
          <w:i/>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hAnsi="Verdana"/>
          <w:i/>
          <w:spacing w:val="-2"/>
          <w:sz w:val="20"/>
          <w:szCs w:val="20"/>
        </w:rPr>
      </w:pPr>
      <w:r w:rsidRPr="002964A7">
        <w:rPr>
          <w:rFonts w:ascii="Verdana" w:hAnsi="Verdana"/>
          <w:i/>
          <w:spacing w:val="-2"/>
          <w:sz w:val="20"/>
          <w:szCs w:val="20"/>
        </w:rPr>
        <w:t>Solicitudes de la Comisión Interamericana. –</w:t>
      </w:r>
      <w:r w:rsidRPr="002964A7">
        <w:rPr>
          <w:rFonts w:ascii="Verdana" w:hAnsi="Verdana"/>
          <w:spacing w:val="-2"/>
          <w:sz w:val="20"/>
          <w:szCs w:val="20"/>
        </w:rPr>
        <w:t xml:space="preserve"> Con base en lo anterior, la Comisión solicitó a la Corte que declarara la responsabilidad internacional del Estado por las mismas violaciones señaladas en su Informe de Admisibilidad y Fondo (</w:t>
      </w:r>
      <w:r w:rsidRPr="002964A7">
        <w:rPr>
          <w:rFonts w:ascii="Verdana" w:hAnsi="Verdana"/>
          <w:i/>
          <w:spacing w:val="-2"/>
          <w:sz w:val="20"/>
          <w:szCs w:val="20"/>
        </w:rPr>
        <w:t xml:space="preserve">supra </w:t>
      </w:r>
      <w:r w:rsidRPr="002964A7">
        <w:rPr>
          <w:rFonts w:ascii="Verdana" w:hAnsi="Verdana"/>
          <w:spacing w:val="-2"/>
          <w:sz w:val="20"/>
          <w:szCs w:val="20"/>
        </w:rPr>
        <w:t xml:space="preserve">párr. 2.b). </w:t>
      </w:r>
      <w:r w:rsidRPr="002964A7">
        <w:rPr>
          <w:rFonts w:ascii="Verdana" w:hAnsi="Verdana" w:cs="Arial"/>
          <w:spacing w:val="-2"/>
          <w:sz w:val="20"/>
          <w:szCs w:val="20"/>
        </w:rPr>
        <w:t>Asimismo, la Comisión solicitó a la Corte que ordenara al Estado determinadas medidas de reparación.</w:t>
      </w:r>
    </w:p>
    <w:p w:rsidR="00C977CA" w:rsidRDefault="00C977CA" w:rsidP="0035626F">
      <w:pPr>
        <w:pStyle w:val="Heading1"/>
        <w:rPr>
          <w:szCs w:val="20"/>
          <w:lang w:val="es-CR"/>
        </w:rPr>
      </w:pPr>
      <w:bookmarkStart w:id="11" w:name="_Toc384720408"/>
      <w:bookmarkStart w:id="12" w:name="_Toc395022452"/>
      <w:bookmarkStart w:id="13" w:name="_Toc401929011"/>
      <w:bookmarkStart w:id="14" w:name="_Toc406580639"/>
      <w:bookmarkStart w:id="15" w:name="_Toc421864918"/>
    </w:p>
    <w:p w:rsidR="00A219C8" w:rsidRPr="002964A7" w:rsidRDefault="00A219C8" w:rsidP="001154F9">
      <w:pPr>
        <w:pStyle w:val="Heading1"/>
      </w:pPr>
      <w:bookmarkStart w:id="16" w:name="_Toc423102499"/>
      <w:bookmarkStart w:id="17" w:name="_Toc433387453"/>
      <w:r w:rsidRPr="002964A7">
        <w:t>II</w:t>
      </w:r>
      <w:r w:rsidRPr="002964A7">
        <w:br/>
      </w:r>
      <w:bookmarkStart w:id="18" w:name="_Toc311128156"/>
      <w:bookmarkStart w:id="19" w:name="_Toc311128353"/>
      <w:r w:rsidRPr="002964A7">
        <w:t>PROCEDIMIENTO ANTE LA CORTE</w:t>
      </w:r>
      <w:bookmarkEnd w:id="11"/>
      <w:bookmarkEnd w:id="12"/>
      <w:bookmarkEnd w:id="13"/>
      <w:bookmarkEnd w:id="14"/>
      <w:bookmarkEnd w:id="15"/>
      <w:bookmarkEnd w:id="16"/>
      <w:bookmarkEnd w:id="17"/>
      <w:bookmarkEnd w:id="18"/>
      <w:bookmarkEnd w:id="19"/>
    </w:p>
    <w:p w:rsidR="00A219C8" w:rsidRPr="002964A7" w:rsidRDefault="00A219C8" w:rsidP="00A219C8">
      <w:pPr>
        <w:spacing w:after="0" w:line="240" w:lineRule="auto"/>
        <w:rPr>
          <w:rFonts w:ascii="Verdana" w:hAnsi="Verdana"/>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eastAsia="Calibri" w:hAnsi="Verdana"/>
          <w:spacing w:val="-2"/>
          <w:sz w:val="20"/>
          <w:szCs w:val="20"/>
        </w:rPr>
      </w:pPr>
      <w:r w:rsidRPr="002964A7">
        <w:rPr>
          <w:rFonts w:ascii="Verdana" w:eastAsia="Calibri" w:hAnsi="Verdana"/>
          <w:i/>
          <w:spacing w:val="-2"/>
          <w:sz w:val="20"/>
          <w:szCs w:val="20"/>
        </w:rPr>
        <w:t>Notificación al Estado y a los representantes</w:t>
      </w:r>
      <w:r w:rsidRPr="002964A7">
        <w:rPr>
          <w:rFonts w:ascii="Verdana" w:hAnsi="Verdana"/>
          <w:i/>
          <w:spacing w:val="-2"/>
          <w:sz w:val="20"/>
          <w:szCs w:val="20"/>
        </w:rPr>
        <w:t>. –</w:t>
      </w:r>
      <w:r w:rsidRPr="002964A7">
        <w:rPr>
          <w:rFonts w:ascii="Verdana" w:eastAsia="Calibri" w:hAnsi="Verdana"/>
          <w:sz w:val="20"/>
          <w:szCs w:val="20"/>
          <w:lang w:val="es-ES"/>
        </w:rPr>
        <w:t xml:space="preserve"> El sometimiento del caso</w:t>
      </w:r>
      <w:r w:rsidR="004D0BB2">
        <w:rPr>
          <w:rFonts w:ascii="Verdana" w:eastAsia="Calibri" w:hAnsi="Verdana"/>
          <w:sz w:val="20"/>
          <w:szCs w:val="20"/>
          <w:lang w:val="es-ES"/>
        </w:rPr>
        <w:t xml:space="preserve"> y sus anexos</w:t>
      </w:r>
      <w:r w:rsidRPr="002964A7">
        <w:rPr>
          <w:rFonts w:ascii="Verdana" w:eastAsia="Calibri" w:hAnsi="Verdana"/>
          <w:sz w:val="20"/>
          <w:szCs w:val="20"/>
          <w:lang w:val="es-ES"/>
        </w:rPr>
        <w:t xml:space="preserve"> por parte de la Comisión fue</w:t>
      </w:r>
      <w:r w:rsidR="000A007A">
        <w:rPr>
          <w:rFonts w:ascii="Verdana" w:eastAsia="Calibri" w:hAnsi="Verdana"/>
          <w:sz w:val="20"/>
          <w:szCs w:val="20"/>
          <w:lang w:val="es-ES"/>
        </w:rPr>
        <w:t>ron</w:t>
      </w:r>
      <w:r w:rsidRPr="002964A7">
        <w:rPr>
          <w:rFonts w:ascii="Verdana" w:eastAsia="Calibri" w:hAnsi="Verdana"/>
          <w:sz w:val="20"/>
          <w:szCs w:val="20"/>
          <w:lang w:val="es-ES"/>
        </w:rPr>
        <w:t xml:space="preserve"> notificado</w:t>
      </w:r>
      <w:r w:rsidR="000A007A">
        <w:rPr>
          <w:rFonts w:ascii="Verdana" w:eastAsia="Calibri" w:hAnsi="Verdana"/>
          <w:sz w:val="20"/>
          <w:szCs w:val="20"/>
          <w:lang w:val="es-ES"/>
        </w:rPr>
        <w:t>s</w:t>
      </w:r>
      <w:r w:rsidRPr="002964A7">
        <w:rPr>
          <w:rFonts w:ascii="Verdana" w:eastAsia="Calibri" w:hAnsi="Verdana"/>
          <w:sz w:val="20"/>
          <w:szCs w:val="20"/>
          <w:lang w:val="es-ES"/>
        </w:rPr>
        <w:t xml:space="preserve"> al Estado y a los representantes </w:t>
      </w:r>
      <w:r w:rsidR="000A007A">
        <w:rPr>
          <w:rFonts w:ascii="Verdana" w:eastAsia="Calibri" w:hAnsi="Verdana"/>
          <w:sz w:val="20"/>
          <w:szCs w:val="20"/>
          <w:lang w:val="es-ES"/>
        </w:rPr>
        <w:t>los días</w:t>
      </w:r>
      <w:r w:rsidR="000A007A" w:rsidRPr="002964A7">
        <w:rPr>
          <w:rFonts w:ascii="Verdana" w:eastAsia="Calibri" w:hAnsi="Verdana"/>
          <w:sz w:val="20"/>
          <w:szCs w:val="20"/>
          <w:lang w:val="es-ES"/>
        </w:rPr>
        <w:t xml:space="preserve"> </w:t>
      </w:r>
      <w:r w:rsidRPr="002964A7">
        <w:rPr>
          <w:rFonts w:ascii="Verdana" w:eastAsia="Calibri" w:hAnsi="Verdana"/>
          <w:sz w:val="20"/>
          <w:szCs w:val="20"/>
          <w:lang w:val="es-ES"/>
        </w:rPr>
        <w:t>1 de octubre y 30 de septiembre de 2013, respectivamente.</w:t>
      </w:r>
    </w:p>
    <w:p w:rsidR="00A219C8" w:rsidRPr="002964A7" w:rsidRDefault="00A219C8" w:rsidP="00A219C8">
      <w:pPr>
        <w:pStyle w:val="ListParagraph"/>
        <w:spacing w:after="0" w:line="240" w:lineRule="auto"/>
        <w:ind w:left="0"/>
        <w:jc w:val="both"/>
        <w:rPr>
          <w:rFonts w:ascii="Verdana" w:eastAsia="Calibri" w:hAnsi="Verdana"/>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eastAsia="Calibri" w:hAnsi="Verdana"/>
          <w:strike/>
          <w:spacing w:val="-2"/>
          <w:sz w:val="20"/>
          <w:szCs w:val="20"/>
        </w:rPr>
      </w:pPr>
      <w:r w:rsidRPr="002964A7">
        <w:rPr>
          <w:rFonts w:ascii="Verdana" w:eastAsia="Calibri" w:hAnsi="Verdana"/>
          <w:i/>
          <w:spacing w:val="-2"/>
          <w:sz w:val="20"/>
          <w:szCs w:val="20"/>
        </w:rPr>
        <w:t>Escrito de solicitudes, argumentos y pruebas</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eastAsia="Calibri" w:hAnsi="Verdana"/>
          <w:sz w:val="20"/>
          <w:szCs w:val="20"/>
          <w:lang w:val="es-ES"/>
        </w:rPr>
        <w:t xml:space="preserve">El 10 de diciembre de 2013 </w:t>
      </w:r>
      <w:r w:rsidRPr="002964A7">
        <w:rPr>
          <w:rFonts w:ascii="Verdana" w:hAnsi="Verdana"/>
          <w:spacing w:val="-2"/>
          <w:sz w:val="20"/>
          <w:szCs w:val="20"/>
          <w:lang w:eastAsia="es-ES"/>
        </w:rPr>
        <w:t>los representantes de las presuntas víctimas</w:t>
      </w:r>
      <w:r w:rsidRPr="002964A7">
        <w:rPr>
          <w:rFonts w:ascii="Verdana" w:eastAsia="Calibri" w:hAnsi="Verdana"/>
          <w:spacing w:val="-2"/>
          <w:sz w:val="20"/>
          <w:szCs w:val="20"/>
        </w:rPr>
        <w:t xml:space="preserve">, </w:t>
      </w:r>
      <w:r w:rsidRPr="002964A7">
        <w:rPr>
          <w:rFonts w:ascii="Verdana" w:hAnsi="Verdana"/>
          <w:sz w:val="20"/>
          <w:szCs w:val="20"/>
        </w:rPr>
        <w:t xml:space="preserve">la Asociación Paz y Esperanza y el Centro por la Justicia y el Derecho Internacional (CEJIL), presentaron ante la Corte su </w:t>
      </w:r>
      <w:r w:rsidRPr="002964A7">
        <w:rPr>
          <w:rFonts w:ascii="Verdana" w:eastAsia="Calibri" w:hAnsi="Verdana"/>
          <w:sz w:val="20"/>
          <w:szCs w:val="20"/>
          <w:lang w:val="es-ES"/>
        </w:rPr>
        <w:t>escrito de solicitudes, argumentos y pruebas (en adelante “</w:t>
      </w:r>
      <w:r w:rsidRPr="002964A7">
        <w:rPr>
          <w:rFonts w:ascii="Verdana" w:eastAsia="Calibri" w:hAnsi="Verdana"/>
          <w:spacing w:val="-2"/>
          <w:sz w:val="20"/>
          <w:szCs w:val="20"/>
        </w:rPr>
        <w:t>escrito de solicitudes y argumentos</w:t>
      </w:r>
      <w:r w:rsidRPr="002964A7">
        <w:rPr>
          <w:rFonts w:ascii="Verdana" w:eastAsia="Calibri" w:hAnsi="Verdana"/>
          <w:sz w:val="20"/>
          <w:szCs w:val="20"/>
          <w:lang w:val="es-ES"/>
        </w:rPr>
        <w:t>”)</w:t>
      </w:r>
      <w:r w:rsidRPr="002964A7">
        <w:rPr>
          <w:rFonts w:ascii="Verdana" w:hAnsi="Verdana"/>
          <w:sz w:val="20"/>
          <w:szCs w:val="20"/>
        </w:rPr>
        <w:t>.</w:t>
      </w:r>
      <w:r w:rsidR="004D0BB2">
        <w:rPr>
          <w:rFonts w:ascii="Verdana" w:eastAsia="Calibri" w:hAnsi="Verdana"/>
          <w:b/>
          <w:sz w:val="20"/>
          <w:szCs w:val="20"/>
          <w:lang w:val="es-ES"/>
        </w:rPr>
        <w:t xml:space="preserve"> </w:t>
      </w:r>
      <w:r w:rsidRPr="002964A7">
        <w:rPr>
          <w:rFonts w:ascii="Verdana" w:hAnsi="Verdana"/>
          <w:spacing w:val="-2"/>
          <w:sz w:val="20"/>
          <w:szCs w:val="20"/>
          <w:lang w:val="es-MX"/>
        </w:rPr>
        <w:t xml:space="preserve">Los representantes coincidieron sustancialmente con la argumentación de la Comisión </w:t>
      </w:r>
      <w:r w:rsidRPr="002964A7">
        <w:rPr>
          <w:rFonts w:ascii="Verdana" w:hAnsi="Verdana"/>
          <w:spacing w:val="-2"/>
          <w:sz w:val="20"/>
          <w:szCs w:val="20"/>
        </w:rPr>
        <w:t xml:space="preserve">y solicitaron a la Corte que declarara la responsabilidad del Estado por la violación de los mismos artículos alegados por aquélla. Sin embargo, también alegaron </w:t>
      </w:r>
      <w:r w:rsidRPr="002964A7">
        <w:rPr>
          <w:rFonts w:ascii="Verdana" w:eastAsia="Calibri" w:hAnsi="Verdana" w:cs="Arial"/>
          <w:sz w:val="20"/>
          <w:szCs w:val="20"/>
        </w:rPr>
        <w:t xml:space="preserve">violaciones a </w:t>
      </w:r>
      <w:r w:rsidRPr="002964A7">
        <w:rPr>
          <w:rFonts w:ascii="Verdana" w:hAnsi="Verdana"/>
          <w:spacing w:val="-2"/>
          <w:sz w:val="20"/>
          <w:szCs w:val="20"/>
          <w:lang w:val="es-MX"/>
        </w:rPr>
        <w:t xml:space="preserve">los </w:t>
      </w:r>
      <w:r w:rsidRPr="002964A7">
        <w:rPr>
          <w:rFonts w:ascii="Verdana" w:eastAsia="Calibri" w:hAnsi="Verdana" w:cs="Arial"/>
          <w:sz w:val="20"/>
          <w:szCs w:val="20"/>
        </w:rPr>
        <w:t>artículos 11, 13</w:t>
      </w:r>
      <w:r w:rsidR="006C5316">
        <w:rPr>
          <w:rFonts w:ascii="Verdana" w:eastAsia="Calibri" w:hAnsi="Verdana" w:cs="Arial"/>
          <w:sz w:val="20"/>
          <w:szCs w:val="20"/>
        </w:rPr>
        <w:t xml:space="preserve"> y</w:t>
      </w:r>
      <w:r w:rsidRPr="002964A7">
        <w:rPr>
          <w:rFonts w:ascii="Verdana" w:eastAsia="Calibri" w:hAnsi="Verdana" w:cs="Arial"/>
          <w:sz w:val="20"/>
          <w:szCs w:val="20"/>
        </w:rPr>
        <w:t xml:space="preserve"> 21 de la Convención Americana, en perjuicio de las presuntas víctimas desaparecidas y sus familiares, por la</w:t>
      </w:r>
      <w:r w:rsidR="004D0BB2">
        <w:rPr>
          <w:rFonts w:ascii="Verdana" w:eastAsia="Calibri" w:hAnsi="Verdana" w:cs="Arial"/>
          <w:sz w:val="20"/>
          <w:szCs w:val="20"/>
        </w:rPr>
        <w:t xml:space="preserve"> presunta</w:t>
      </w:r>
      <w:r w:rsidRPr="002964A7">
        <w:rPr>
          <w:rFonts w:ascii="Verdana" w:eastAsia="Calibri" w:hAnsi="Verdana" w:cs="Arial"/>
          <w:sz w:val="20"/>
          <w:szCs w:val="20"/>
        </w:rPr>
        <w:t xml:space="preserve"> violación a los derechos a la vida privada y familiar, a la verdad y a la propiedad privada. Además, </w:t>
      </w:r>
      <w:r w:rsidRPr="002964A7">
        <w:rPr>
          <w:rFonts w:ascii="Verdana" w:hAnsi="Verdana"/>
          <w:spacing w:val="-2"/>
          <w:sz w:val="20"/>
          <w:szCs w:val="20"/>
          <w:lang w:val="es-MX"/>
        </w:rPr>
        <w:t>presentaron como presunta víctima a una persona que no figuraba en el Informe de Admisibilidad y Fondo</w:t>
      </w:r>
      <w:r w:rsidRPr="002964A7">
        <w:rPr>
          <w:rFonts w:ascii="Verdana" w:eastAsia="Calibri" w:hAnsi="Verdana" w:cs="Arial"/>
          <w:sz w:val="20"/>
          <w:szCs w:val="20"/>
        </w:rPr>
        <w:t xml:space="preserve">. </w:t>
      </w:r>
      <w:r w:rsidRPr="002964A7">
        <w:rPr>
          <w:rFonts w:ascii="Verdana" w:hAnsi="Verdana"/>
          <w:spacing w:val="-2"/>
          <w:sz w:val="20"/>
          <w:szCs w:val="20"/>
        </w:rPr>
        <w:t>Finalmente, los representantes solicitaron que se ordenara al Estado adoptar diversas medidas de reparación, así como el reintegro de determinadas costas y gastos.</w:t>
      </w:r>
    </w:p>
    <w:p w:rsidR="00A219C8" w:rsidRPr="002964A7" w:rsidRDefault="00A219C8" w:rsidP="00A219C8">
      <w:pPr>
        <w:spacing w:after="0" w:line="240" w:lineRule="auto"/>
        <w:jc w:val="both"/>
        <w:rPr>
          <w:rFonts w:ascii="Verdana" w:eastAsia="Calibri" w:hAnsi="Verdana"/>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eastAsia="Calibri" w:hAnsi="Verdana"/>
          <w:sz w:val="20"/>
          <w:szCs w:val="20"/>
        </w:rPr>
      </w:pPr>
      <w:r w:rsidRPr="002964A7">
        <w:rPr>
          <w:rFonts w:ascii="Verdana" w:eastAsia="Calibri" w:hAnsi="Verdana"/>
          <w:i/>
          <w:spacing w:val="-2"/>
          <w:sz w:val="20"/>
          <w:szCs w:val="20"/>
        </w:rPr>
        <w:t>Escrito de contestación</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eastAsia="Calibri" w:hAnsi="Verdana"/>
          <w:sz w:val="20"/>
          <w:szCs w:val="20"/>
          <w:lang w:val="es-ES"/>
        </w:rPr>
        <w:t>El 16 de abril de 2014 el Estado presentó su escrito de excepciones preliminares, contestación</w:t>
      </w:r>
      <w:r w:rsidRPr="002964A7">
        <w:rPr>
          <w:rFonts w:ascii="Verdana" w:eastAsia="Calibri" w:hAnsi="Verdana"/>
          <w:spacing w:val="-2"/>
          <w:sz w:val="20"/>
          <w:szCs w:val="20"/>
        </w:rPr>
        <w:t xml:space="preserve"> al sometimiento del caso y observaciones al escrito de solicitudes y argumentos (en adelante “escrito de contestación”)</w:t>
      </w:r>
      <w:r w:rsidR="00BB6882">
        <w:rPr>
          <w:rFonts w:ascii="Verdana" w:eastAsia="Calibri" w:hAnsi="Verdana"/>
          <w:spacing w:val="-2"/>
          <w:sz w:val="20"/>
          <w:szCs w:val="20"/>
        </w:rPr>
        <w:t>.</w:t>
      </w:r>
      <w:r w:rsidRPr="002964A7">
        <w:rPr>
          <w:rFonts w:ascii="Verdana" w:eastAsia="Calibri" w:hAnsi="Verdana"/>
          <w:spacing w:val="-2"/>
          <w:sz w:val="20"/>
          <w:szCs w:val="20"/>
        </w:rPr>
        <w:t xml:space="preserve"> </w:t>
      </w:r>
      <w:r w:rsidRPr="002964A7">
        <w:rPr>
          <w:rFonts w:ascii="Verdana" w:hAnsi="Verdana"/>
          <w:spacing w:val="-2"/>
          <w:sz w:val="20"/>
          <w:szCs w:val="20"/>
        </w:rPr>
        <w:t xml:space="preserve">Sobre el fondo del caso, señaló que los hechos </w:t>
      </w:r>
      <w:r w:rsidRPr="002964A7">
        <w:rPr>
          <w:rFonts w:ascii="Verdana" w:eastAsia="Calibri" w:hAnsi="Verdana"/>
          <w:sz w:val="20"/>
          <w:szCs w:val="20"/>
        </w:rPr>
        <w:t>considerados como probados en las sentencias judiciales nacionales y expuestos en el Informe de Admisibilidad y Fondo,</w:t>
      </w:r>
      <w:r w:rsidRPr="002964A7">
        <w:rPr>
          <w:rFonts w:ascii="Verdana" w:hAnsi="Verdana"/>
          <w:sz w:val="20"/>
          <w:szCs w:val="20"/>
        </w:rPr>
        <w:t xml:space="preserve"> </w:t>
      </w:r>
      <w:r w:rsidRPr="002964A7">
        <w:rPr>
          <w:rFonts w:ascii="Verdana" w:eastAsia="Calibri" w:hAnsi="Verdana"/>
          <w:sz w:val="20"/>
          <w:szCs w:val="20"/>
        </w:rPr>
        <w:t>se</w:t>
      </w:r>
      <w:r w:rsidRPr="002964A7">
        <w:rPr>
          <w:rFonts w:ascii="Verdana" w:hAnsi="Verdana"/>
          <w:sz w:val="20"/>
          <w:szCs w:val="20"/>
        </w:rPr>
        <w:t xml:space="preserve"> </w:t>
      </w:r>
      <w:r w:rsidRPr="002964A7">
        <w:rPr>
          <w:rFonts w:ascii="Verdana" w:eastAsia="Calibri" w:hAnsi="Verdana"/>
          <w:sz w:val="20"/>
          <w:szCs w:val="20"/>
        </w:rPr>
        <w:t xml:space="preserve">configuran como </w:t>
      </w:r>
      <w:r w:rsidRPr="002964A7">
        <w:rPr>
          <w:rFonts w:ascii="Verdana" w:hAnsi="Verdana"/>
          <w:sz w:val="20"/>
          <w:szCs w:val="20"/>
        </w:rPr>
        <w:t xml:space="preserve">ejecuciones extrajudiciales en perjuicio de 15 personas, y que </w:t>
      </w:r>
      <w:r w:rsidRPr="002964A7">
        <w:rPr>
          <w:rFonts w:ascii="Verdana" w:eastAsia="Calibri" w:hAnsi="Verdana"/>
          <w:sz w:val="20"/>
          <w:szCs w:val="20"/>
        </w:rPr>
        <w:t xml:space="preserve">durante la tramitación del caso ante la Comisión </w:t>
      </w:r>
      <w:r w:rsidRPr="002964A7">
        <w:rPr>
          <w:rFonts w:ascii="Verdana" w:hAnsi="Verdana"/>
          <w:sz w:val="20"/>
          <w:szCs w:val="20"/>
        </w:rPr>
        <w:t xml:space="preserve">afirmó que dichos hechos constituían “vulneraciones a la vida, integridad personal y libertad personal, consagrados en los artículos 4, 5 y 7 de la Convención Americana”. Por tanto, sostuvo que el presente caso </w:t>
      </w:r>
      <w:r w:rsidRPr="002964A7">
        <w:rPr>
          <w:rFonts w:ascii="Verdana" w:eastAsia="Calibri" w:hAnsi="Verdana"/>
          <w:sz w:val="20"/>
          <w:szCs w:val="20"/>
        </w:rPr>
        <w:t>no se</w:t>
      </w:r>
      <w:r w:rsidRPr="002964A7">
        <w:rPr>
          <w:rFonts w:ascii="Verdana" w:hAnsi="Verdana"/>
          <w:sz w:val="20"/>
          <w:szCs w:val="20"/>
        </w:rPr>
        <w:t xml:space="preserve"> </w:t>
      </w:r>
      <w:r w:rsidRPr="002964A7">
        <w:rPr>
          <w:rFonts w:ascii="Verdana" w:eastAsia="Calibri" w:hAnsi="Verdana"/>
          <w:sz w:val="20"/>
          <w:szCs w:val="20"/>
        </w:rPr>
        <w:t>configura como un</w:t>
      </w:r>
      <w:r w:rsidR="00BC1CFD">
        <w:rPr>
          <w:rFonts w:ascii="Verdana" w:eastAsia="Calibri" w:hAnsi="Verdana"/>
          <w:sz w:val="20"/>
          <w:szCs w:val="20"/>
        </w:rPr>
        <w:t>o</w:t>
      </w:r>
      <w:r w:rsidRPr="002964A7">
        <w:rPr>
          <w:rFonts w:ascii="Verdana" w:eastAsia="Calibri" w:hAnsi="Verdana"/>
          <w:sz w:val="20"/>
          <w:szCs w:val="20"/>
        </w:rPr>
        <w:t xml:space="preserve"> de desaparición forzada y no existe responsabilidad internacional del</w:t>
      </w:r>
      <w:r w:rsidRPr="002964A7">
        <w:rPr>
          <w:rFonts w:ascii="Verdana" w:hAnsi="Verdana"/>
          <w:sz w:val="20"/>
          <w:szCs w:val="20"/>
        </w:rPr>
        <w:t xml:space="preserve"> </w:t>
      </w:r>
      <w:r w:rsidRPr="002964A7">
        <w:rPr>
          <w:rFonts w:ascii="Verdana" w:eastAsia="Calibri" w:hAnsi="Verdana"/>
          <w:sz w:val="20"/>
          <w:szCs w:val="20"/>
        </w:rPr>
        <w:t xml:space="preserve">Estado </w:t>
      </w:r>
      <w:r w:rsidRPr="002964A7">
        <w:rPr>
          <w:rFonts w:ascii="Verdana" w:hAnsi="Verdana"/>
          <w:spacing w:val="-2"/>
          <w:sz w:val="20"/>
          <w:szCs w:val="20"/>
        </w:rPr>
        <w:t>por ninguna de las violaciones alegadas</w:t>
      </w:r>
      <w:r w:rsidRPr="002964A7">
        <w:rPr>
          <w:rFonts w:ascii="Verdana" w:eastAsia="Calibri" w:hAnsi="Verdana"/>
          <w:sz w:val="20"/>
          <w:szCs w:val="20"/>
        </w:rPr>
        <w:t xml:space="preserve"> al respecto.</w:t>
      </w:r>
      <w:r w:rsidR="004D0BB2">
        <w:rPr>
          <w:rFonts w:ascii="Verdana" w:hAnsi="Verdana"/>
          <w:spacing w:val="-2"/>
          <w:sz w:val="20"/>
          <w:szCs w:val="20"/>
        </w:rPr>
        <w:t xml:space="preserve"> </w:t>
      </w:r>
      <w:r w:rsidR="00E203BC" w:rsidRPr="003D70B6">
        <w:rPr>
          <w:rFonts w:ascii="Verdana" w:eastAsia="Calibri" w:hAnsi="Verdana"/>
          <w:spacing w:val="-2"/>
          <w:sz w:val="20"/>
          <w:szCs w:val="20"/>
          <w:lang w:val="es-ES"/>
        </w:rPr>
        <w:t>En relación con los Agentes designados para el presente caso, el 29 de octubre de 2013 el Perú</w:t>
      </w:r>
      <w:r w:rsidR="00E203BC" w:rsidRPr="003D70B6">
        <w:rPr>
          <w:rFonts w:ascii="Verdana" w:hAnsi="Verdana"/>
          <w:spacing w:val="-2"/>
          <w:sz w:val="20"/>
          <w:szCs w:val="20"/>
          <w:lang w:val="es-ES"/>
        </w:rPr>
        <w:t xml:space="preserve"> </w:t>
      </w:r>
      <w:r w:rsidR="00E203BC" w:rsidRPr="003D70B6">
        <w:rPr>
          <w:rFonts w:ascii="Verdana" w:eastAsia="Calibri" w:hAnsi="Verdana"/>
          <w:spacing w:val="-2"/>
          <w:sz w:val="20"/>
          <w:szCs w:val="20"/>
          <w:lang w:val="es-ES"/>
        </w:rPr>
        <w:t xml:space="preserve">designó como Agente Titular </w:t>
      </w:r>
      <w:r w:rsidR="00E203BC" w:rsidRPr="003D70B6">
        <w:rPr>
          <w:rFonts w:ascii="Verdana" w:eastAsia="Calibri" w:hAnsi="Verdana" w:cs="Verdana"/>
          <w:spacing w:val="-2"/>
          <w:sz w:val="20"/>
          <w:szCs w:val="20"/>
          <w:lang w:val="es-ES" w:eastAsia="es-ES"/>
        </w:rPr>
        <w:t>al señor Luis Alberto Huerta Guerrero, Procurador Público Especializado Supranacional</w:t>
      </w:r>
      <w:r w:rsidR="00E203BC" w:rsidRPr="003D70B6">
        <w:rPr>
          <w:rFonts w:ascii="Verdana" w:eastAsia="Calibri" w:hAnsi="Verdana"/>
          <w:spacing w:val="-2"/>
          <w:sz w:val="20"/>
          <w:szCs w:val="20"/>
          <w:lang w:val="es-ES"/>
        </w:rPr>
        <w:t>; posteriormente, mediante comunicación recibida el 12 de enero de 2015</w:t>
      </w:r>
      <w:r w:rsidR="00BB78F6">
        <w:rPr>
          <w:rFonts w:ascii="Verdana" w:eastAsia="Calibri" w:hAnsi="Verdana"/>
          <w:spacing w:val="-2"/>
          <w:sz w:val="20"/>
          <w:szCs w:val="20"/>
          <w:lang w:val="es-ES"/>
        </w:rPr>
        <w:t>,</w:t>
      </w:r>
      <w:r w:rsidR="00E203BC" w:rsidRPr="003D70B6">
        <w:rPr>
          <w:rFonts w:ascii="Verdana" w:eastAsia="Calibri" w:hAnsi="Verdana"/>
          <w:spacing w:val="-2"/>
          <w:sz w:val="20"/>
          <w:szCs w:val="20"/>
          <w:lang w:val="es-ES"/>
        </w:rPr>
        <w:t xml:space="preserve"> el Estado nombró</w:t>
      </w:r>
      <w:r w:rsidR="00E203BC" w:rsidRPr="003D70B6">
        <w:rPr>
          <w:rFonts w:ascii="Verdana" w:hAnsi="Verdana"/>
          <w:sz w:val="20"/>
          <w:szCs w:val="20"/>
          <w:lang w:val="es-ES"/>
        </w:rPr>
        <w:t xml:space="preserve"> </w:t>
      </w:r>
      <w:r w:rsidR="00E203BC" w:rsidRPr="003D70B6">
        <w:rPr>
          <w:rFonts w:ascii="Verdana" w:eastAsia="Calibri" w:hAnsi="Verdana"/>
          <w:spacing w:val="-2"/>
          <w:sz w:val="20"/>
          <w:szCs w:val="20"/>
          <w:lang w:val="es-ES"/>
        </w:rPr>
        <w:t xml:space="preserve">como Agentes Alternas a las señoras </w:t>
      </w:r>
      <w:r w:rsidR="00E203BC" w:rsidRPr="003D70B6">
        <w:rPr>
          <w:rFonts w:ascii="Verdana" w:hAnsi="Verdana"/>
          <w:sz w:val="20"/>
          <w:szCs w:val="20"/>
          <w:lang w:val="es-ES_tradnl"/>
        </w:rPr>
        <w:t xml:space="preserve">Doris Margarita Yalle Jorges y Sofía Janett Donaires Vega, </w:t>
      </w:r>
      <w:r w:rsidR="00E203BC" w:rsidRPr="003D70B6">
        <w:rPr>
          <w:rFonts w:ascii="Verdana" w:eastAsia="Calibri" w:hAnsi="Verdana" w:cs="Verdana"/>
          <w:spacing w:val="-2"/>
          <w:sz w:val="20"/>
          <w:szCs w:val="20"/>
          <w:lang w:val="es-ES"/>
        </w:rPr>
        <w:t xml:space="preserve">Abogadas </w:t>
      </w:r>
      <w:r w:rsidR="00E203BC" w:rsidRPr="003D70B6">
        <w:rPr>
          <w:rFonts w:ascii="Verdana" w:eastAsia="Calibri" w:hAnsi="Verdana"/>
          <w:sz w:val="20"/>
          <w:szCs w:val="20"/>
          <w:lang w:val="es-ES"/>
        </w:rPr>
        <w:t>de la Procuraduría Pública Especializada Supranacional</w:t>
      </w:r>
      <w:r w:rsidR="00E203BC">
        <w:rPr>
          <w:rFonts w:ascii="Verdana" w:eastAsia="Calibri" w:hAnsi="Verdana"/>
          <w:sz w:val="20"/>
          <w:szCs w:val="20"/>
          <w:lang w:val="es-ES"/>
        </w:rPr>
        <w:t>.</w:t>
      </w:r>
    </w:p>
    <w:p w:rsidR="00A219C8" w:rsidRPr="002964A7" w:rsidRDefault="00A219C8" w:rsidP="00A219C8">
      <w:pPr>
        <w:pStyle w:val="ListParagraph"/>
        <w:spacing w:after="0" w:line="240" w:lineRule="auto"/>
        <w:ind w:left="0"/>
        <w:jc w:val="both"/>
        <w:rPr>
          <w:rFonts w:ascii="Verdana" w:eastAsia="Calibri" w:hAnsi="Verdana"/>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eastAsia="Calibri" w:hAnsi="Verdana"/>
          <w:spacing w:val="-2"/>
          <w:sz w:val="20"/>
          <w:szCs w:val="20"/>
        </w:rPr>
      </w:pPr>
      <w:r w:rsidRPr="002964A7">
        <w:rPr>
          <w:rFonts w:ascii="Verdana" w:eastAsia="Calibri" w:hAnsi="Verdana"/>
          <w:i/>
          <w:spacing w:val="-2"/>
          <w:sz w:val="20"/>
          <w:szCs w:val="20"/>
        </w:rPr>
        <w:t>Observaciones a las excepciones preliminares</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eastAsia="Calibri" w:hAnsi="Verdana"/>
          <w:sz w:val="20"/>
          <w:szCs w:val="20"/>
          <w:lang w:val="es-ES"/>
        </w:rPr>
        <w:t>Los días 19 y 20 de junio de 2014 la Comisión y los representantes de las presuntas víctimas presentaron, respectivamente, sus observaciones a las excepciones preliminares interpuestas por el Estado en su escrito de contestación.</w:t>
      </w:r>
    </w:p>
    <w:p w:rsidR="00A219C8" w:rsidRPr="002964A7" w:rsidRDefault="00A219C8" w:rsidP="00A219C8">
      <w:pPr>
        <w:pStyle w:val="ListParagraph"/>
        <w:rPr>
          <w:rFonts w:ascii="Verdana" w:eastAsia="Calibri" w:hAnsi="Verdana"/>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eastAsia="Calibri" w:hAnsi="Verdana"/>
          <w:spacing w:val="-2"/>
          <w:sz w:val="20"/>
          <w:szCs w:val="20"/>
        </w:rPr>
      </w:pPr>
      <w:r w:rsidRPr="002964A7">
        <w:rPr>
          <w:rFonts w:ascii="Verdana" w:eastAsia="Calibri" w:hAnsi="Verdana"/>
          <w:i/>
          <w:spacing w:val="-2"/>
          <w:sz w:val="20"/>
          <w:szCs w:val="20"/>
        </w:rPr>
        <w:lastRenderedPageBreak/>
        <w:t>Audiencia pública</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eastAsia="Calibri" w:hAnsi="Verdana"/>
          <w:sz w:val="20"/>
          <w:szCs w:val="20"/>
          <w:lang w:val="es-ES"/>
        </w:rPr>
        <w:t>Mediante</w:t>
      </w:r>
      <w:r w:rsidRPr="002964A7">
        <w:rPr>
          <w:rFonts w:ascii="Verdana" w:hAnsi="Verdana"/>
          <w:sz w:val="20"/>
          <w:szCs w:val="20"/>
        </w:rPr>
        <w:t xml:space="preserve"> Resolución del Presidente de 4 de diciembre de 2014</w:t>
      </w:r>
      <w:r w:rsidRPr="002964A7">
        <w:rPr>
          <w:rStyle w:val="FootnoteReference"/>
          <w:rFonts w:eastAsia="Calibri"/>
          <w:szCs w:val="20"/>
        </w:rPr>
        <w:footnoteReference w:id="2"/>
      </w:r>
      <w:r w:rsidRPr="002964A7">
        <w:rPr>
          <w:rFonts w:ascii="Verdana" w:hAnsi="Verdana"/>
          <w:sz w:val="20"/>
          <w:szCs w:val="20"/>
        </w:rPr>
        <w:t>, se convocó</w:t>
      </w:r>
      <w:r w:rsidRPr="002964A7">
        <w:rPr>
          <w:rFonts w:ascii="Verdana" w:eastAsia="Calibri" w:hAnsi="Verdana"/>
          <w:spacing w:val="-2"/>
          <w:sz w:val="20"/>
          <w:szCs w:val="20"/>
        </w:rPr>
        <w:t xml:space="preserve"> a la Comisión, a los representantes y al Estado a una audiencia pública para recibir sus observaciones y alegatos finales orales, respectivamente, sobre las excepciones preliminares y eventuales fondo, reparaciones y costas</w:t>
      </w:r>
      <w:r w:rsidRPr="002964A7">
        <w:rPr>
          <w:rFonts w:ascii="Verdana" w:hAnsi="Verdana"/>
          <w:spacing w:val="-2"/>
          <w:sz w:val="20"/>
          <w:szCs w:val="20"/>
          <w:lang w:eastAsia="es-ES"/>
        </w:rPr>
        <w:t>, así como para recibir las declaraciones de una presunta víctima, dos testigos ofrecidos por el Estado y un perito ofrecido por los representantes.</w:t>
      </w:r>
      <w:r w:rsidRPr="002964A7">
        <w:rPr>
          <w:rFonts w:ascii="Verdana" w:hAnsi="Verdana"/>
          <w:sz w:val="20"/>
          <w:szCs w:val="20"/>
        </w:rPr>
        <w:t xml:space="preserve"> </w:t>
      </w:r>
      <w:r w:rsidRPr="002964A7">
        <w:rPr>
          <w:rFonts w:ascii="Verdana" w:eastAsia="Calibri" w:hAnsi="Verdana"/>
          <w:spacing w:val="-2"/>
          <w:sz w:val="20"/>
          <w:szCs w:val="20"/>
        </w:rPr>
        <w:t>Asimismo, mediante dicha Resolución se ordenó recibir las declaraciones rendidas ante fedatario público (affidávit) de siete presuntas víctimas, dos peritos ofrecidos por la Comisión y cuatro peritos ofrecidos por los representantes.</w:t>
      </w:r>
      <w:r w:rsidRPr="002964A7">
        <w:rPr>
          <w:rFonts w:ascii="Verdana" w:hAnsi="Verdana"/>
          <w:sz w:val="20"/>
          <w:szCs w:val="20"/>
        </w:rPr>
        <w:t xml:space="preserve"> La audiencia pública se celebró los días 26 y 27 de enero de 2015 durante el 107° Período Ordinario de Sesiones de la Corte, </w:t>
      </w:r>
      <w:r w:rsidRPr="002964A7">
        <w:rPr>
          <w:rFonts w:ascii="Verdana" w:eastAsia="Calibri" w:hAnsi="Verdana"/>
          <w:spacing w:val="-2"/>
          <w:sz w:val="20"/>
          <w:szCs w:val="20"/>
        </w:rPr>
        <w:t>el cual tuvo lugar en su sede</w:t>
      </w:r>
      <w:r w:rsidRPr="002964A7">
        <w:rPr>
          <w:rStyle w:val="FootnoteReference"/>
          <w:rFonts w:eastAsia="Calibri"/>
          <w:spacing w:val="-2"/>
          <w:szCs w:val="20"/>
        </w:rPr>
        <w:footnoteReference w:id="3"/>
      </w:r>
      <w:r w:rsidRPr="002964A7">
        <w:rPr>
          <w:rFonts w:ascii="Verdana" w:hAnsi="Verdana"/>
          <w:sz w:val="20"/>
          <w:szCs w:val="20"/>
        </w:rPr>
        <w:t xml:space="preserve">. Durante dicha audiencia las partes presentaron </w:t>
      </w:r>
      <w:r w:rsidRPr="002964A7">
        <w:rPr>
          <w:rFonts w:ascii="Verdana" w:hAnsi="Verdana" w:cs="Verdana"/>
          <w:spacing w:val="-2"/>
          <w:sz w:val="20"/>
          <w:szCs w:val="20"/>
          <w:lang w:eastAsia="es-ES"/>
        </w:rPr>
        <w:t>diversa documentación.</w:t>
      </w:r>
    </w:p>
    <w:p w:rsidR="00A219C8" w:rsidRPr="002964A7" w:rsidRDefault="00A219C8" w:rsidP="00A219C8">
      <w:pPr>
        <w:spacing w:after="0" w:line="240" w:lineRule="auto"/>
        <w:rPr>
          <w:rFonts w:ascii="Verdana" w:eastAsia="Calibri" w:hAnsi="Verdana"/>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eastAsia="Calibri" w:hAnsi="Verdana"/>
          <w:spacing w:val="-2"/>
          <w:sz w:val="20"/>
          <w:szCs w:val="20"/>
        </w:rPr>
      </w:pPr>
      <w:r w:rsidRPr="002964A7">
        <w:rPr>
          <w:rFonts w:ascii="Verdana" w:eastAsia="Calibri" w:hAnsi="Verdana"/>
          <w:i/>
          <w:spacing w:val="-2"/>
          <w:sz w:val="20"/>
          <w:szCs w:val="20"/>
        </w:rPr>
        <w:t>Amicus curiae</w:t>
      </w:r>
      <w:r w:rsidRPr="002964A7">
        <w:rPr>
          <w:rFonts w:ascii="Verdana" w:hAnsi="Verdana"/>
          <w:i/>
          <w:spacing w:val="-2"/>
          <w:sz w:val="20"/>
          <w:szCs w:val="20"/>
        </w:rPr>
        <w:t>. –</w:t>
      </w:r>
      <w:r w:rsidRPr="002964A7">
        <w:rPr>
          <w:rFonts w:ascii="Verdana" w:hAnsi="Verdana"/>
          <w:spacing w:val="-2"/>
          <w:sz w:val="20"/>
          <w:szCs w:val="20"/>
        </w:rPr>
        <w:t xml:space="preserve"> El 30 de enero de 2015</w:t>
      </w:r>
      <w:r w:rsidRPr="002964A7">
        <w:rPr>
          <w:rFonts w:ascii="Verdana" w:hAnsi="Verdana" w:cs="Arial"/>
          <w:sz w:val="20"/>
          <w:szCs w:val="20"/>
        </w:rPr>
        <w:t xml:space="preserve"> </w:t>
      </w:r>
      <w:r w:rsidRPr="002964A7">
        <w:rPr>
          <w:rFonts w:ascii="Verdana" w:hAnsi="Verdana" w:cs="Arial"/>
          <w:i/>
          <w:sz w:val="20"/>
          <w:szCs w:val="20"/>
        </w:rPr>
        <w:t>The</w:t>
      </w:r>
      <w:r w:rsidRPr="002964A7">
        <w:rPr>
          <w:rFonts w:ascii="Verdana" w:hAnsi="Verdana"/>
          <w:i/>
          <w:spacing w:val="-2"/>
          <w:sz w:val="20"/>
          <w:szCs w:val="20"/>
        </w:rPr>
        <w:t xml:space="preserve"> </w:t>
      </w:r>
      <w:r w:rsidRPr="002964A7">
        <w:rPr>
          <w:rFonts w:ascii="Verdana" w:hAnsi="Verdana" w:cs="Arial"/>
          <w:i/>
          <w:sz w:val="20"/>
          <w:szCs w:val="20"/>
        </w:rPr>
        <w:t xml:space="preserve">John Marshall Law School </w:t>
      </w:r>
      <w:r w:rsidRPr="002964A7">
        <w:rPr>
          <w:rFonts w:ascii="Verdana" w:hAnsi="Verdana"/>
          <w:i/>
          <w:spacing w:val="-2"/>
          <w:sz w:val="20"/>
          <w:szCs w:val="20"/>
        </w:rPr>
        <w:t xml:space="preserve">International </w:t>
      </w:r>
      <w:r w:rsidRPr="002964A7">
        <w:rPr>
          <w:rFonts w:ascii="Verdana" w:hAnsi="Verdana" w:cs="Arial"/>
          <w:i/>
          <w:sz w:val="20"/>
          <w:szCs w:val="20"/>
        </w:rPr>
        <w:t>Human Rights Clinic</w:t>
      </w:r>
      <w:r w:rsidRPr="002964A7">
        <w:rPr>
          <w:rFonts w:ascii="Verdana" w:hAnsi="Verdana" w:cs="Arial"/>
          <w:sz w:val="20"/>
          <w:szCs w:val="20"/>
        </w:rPr>
        <w:t xml:space="preserve"> remitió un escrito en calidad de </w:t>
      </w:r>
      <w:r w:rsidRPr="002964A7">
        <w:rPr>
          <w:rFonts w:ascii="Verdana" w:hAnsi="Verdana" w:cs="Arial"/>
          <w:i/>
          <w:sz w:val="20"/>
          <w:szCs w:val="20"/>
        </w:rPr>
        <w:t>amicus curiae</w:t>
      </w:r>
      <w:r w:rsidRPr="002964A7">
        <w:rPr>
          <w:rStyle w:val="FootnoteReference"/>
          <w:rFonts w:eastAsiaTheme="minorHAnsi" w:cs="Arial"/>
          <w:i/>
          <w:szCs w:val="20"/>
        </w:rPr>
        <w:footnoteReference w:id="4"/>
      </w:r>
      <w:r w:rsidRPr="002964A7">
        <w:rPr>
          <w:rFonts w:ascii="Verdana" w:hAnsi="Verdana" w:cs="Arial"/>
          <w:i/>
          <w:sz w:val="20"/>
          <w:szCs w:val="20"/>
        </w:rPr>
        <w:t>.</w:t>
      </w:r>
    </w:p>
    <w:p w:rsidR="00A219C8" w:rsidRPr="002964A7" w:rsidRDefault="00A219C8" w:rsidP="00A219C8">
      <w:pPr>
        <w:pStyle w:val="ListParagraph"/>
        <w:spacing w:after="0" w:line="240" w:lineRule="auto"/>
        <w:ind w:left="0"/>
        <w:jc w:val="both"/>
        <w:rPr>
          <w:rFonts w:ascii="Verdana" w:eastAsia="Times New Roman" w:hAnsi="Verdana" w:cs="Verdana"/>
          <w:i/>
          <w:spacing w:val="-2"/>
          <w:sz w:val="20"/>
          <w:szCs w:val="20"/>
          <w:lang w:eastAsia="es-ES"/>
        </w:rPr>
      </w:pPr>
    </w:p>
    <w:p w:rsidR="00A219C8" w:rsidRPr="002964A7" w:rsidRDefault="00A219C8" w:rsidP="001154F9">
      <w:pPr>
        <w:pStyle w:val="ListParagraph"/>
        <w:numPr>
          <w:ilvl w:val="0"/>
          <w:numId w:val="7"/>
        </w:numPr>
        <w:spacing w:after="0" w:line="240" w:lineRule="auto"/>
        <w:ind w:left="0" w:firstLine="0"/>
        <w:jc w:val="both"/>
        <w:rPr>
          <w:rFonts w:ascii="Verdana" w:eastAsia="Calibri" w:hAnsi="Verdana" w:cs="Verdana"/>
          <w:spacing w:val="-2"/>
          <w:sz w:val="20"/>
          <w:szCs w:val="20"/>
          <w:lang w:eastAsia="es-CR"/>
        </w:rPr>
      </w:pPr>
      <w:r w:rsidRPr="002964A7">
        <w:rPr>
          <w:rFonts w:ascii="Verdana" w:hAnsi="Verdana" w:cs="Verdana"/>
          <w:i/>
          <w:spacing w:val="-2"/>
          <w:sz w:val="20"/>
          <w:szCs w:val="20"/>
          <w:lang w:eastAsia="es-ES"/>
        </w:rPr>
        <w:t>Alegatos y observaciones finales escritos</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hAnsi="Verdana" w:cs="Verdana"/>
          <w:spacing w:val="-2"/>
          <w:sz w:val="20"/>
          <w:szCs w:val="20"/>
          <w:lang w:eastAsia="es-ES"/>
        </w:rPr>
        <w:t>El 2 de marzo de 2015 el Estado, los representantes y la Comisión remitieron sus alegatos y observaciones finales escritas, respectivamente. Además, el Estado y los representantes remitieron diversa documentación junto con sus escritos.</w:t>
      </w:r>
      <w:r w:rsidRPr="002964A7">
        <w:rPr>
          <w:rFonts w:ascii="Verdana" w:eastAsia="Calibri" w:hAnsi="Verdana" w:cs="Verdana"/>
          <w:spacing w:val="-2"/>
          <w:sz w:val="20"/>
          <w:szCs w:val="20"/>
          <w:lang w:eastAsia="es-CR"/>
        </w:rPr>
        <w:t xml:space="preserve"> </w:t>
      </w:r>
      <w:r w:rsidRPr="002964A7">
        <w:rPr>
          <w:rFonts w:ascii="Verdana" w:hAnsi="Verdana"/>
          <w:spacing w:val="-2"/>
          <w:sz w:val="20"/>
          <w:szCs w:val="20"/>
        </w:rPr>
        <w:t xml:space="preserve">El 6 de abril de 2015 el Estado remitió sus observaciones a los documentos remitidos con los alegatos finales escritos de los representantes. Los representantes no remitieron observaciones. El 13 de abril de 2015 y después de una prórroga otorgada, la Comisión </w:t>
      </w:r>
      <w:r w:rsidRPr="002964A7">
        <w:rPr>
          <w:rFonts w:ascii="Verdana" w:hAnsi="Verdana"/>
          <w:sz w:val="20"/>
          <w:szCs w:val="20"/>
        </w:rPr>
        <w:t>remitió sus observaciones a los anexos a los alegatos finales</w:t>
      </w:r>
      <w:r w:rsidRPr="002964A7">
        <w:rPr>
          <w:rFonts w:ascii="Verdana" w:hAnsi="Verdana"/>
          <w:spacing w:val="-2"/>
          <w:sz w:val="20"/>
          <w:szCs w:val="20"/>
        </w:rPr>
        <w:t>.</w:t>
      </w:r>
    </w:p>
    <w:p w:rsidR="00A219C8" w:rsidRPr="002964A7" w:rsidRDefault="00A219C8" w:rsidP="00A219C8">
      <w:pPr>
        <w:pStyle w:val="ListParagraph"/>
        <w:rPr>
          <w:rFonts w:ascii="Verdana" w:eastAsia="Calibri" w:hAnsi="Verdana"/>
          <w:i/>
          <w:spacing w:val="-2"/>
          <w:sz w:val="20"/>
          <w:szCs w:val="20"/>
        </w:rPr>
      </w:pPr>
    </w:p>
    <w:p w:rsidR="00A219C8" w:rsidRPr="002964A7" w:rsidRDefault="00A219C8" w:rsidP="001154F9">
      <w:pPr>
        <w:pStyle w:val="ListParagraph"/>
        <w:numPr>
          <w:ilvl w:val="0"/>
          <w:numId w:val="7"/>
        </w:numPr>
        <w:spacing w:after="0" w:line="240" w:lineRule="auto"/>
        <w:ind w:left="0" w:firstLine="0"/>
        <w:jc w:val="both"/>
        <w:rPr>
          <w:rFonts w:ascii="Verdana" w:eastAsia="Calibri" w:hAnsi="Verdana" w:cs="Verdana"/>
          <w:spacing w:val="-2"/>
          <w:sz w:val="20"/>
          <w:szCs w:val="20"/>
          <w:lang w:eastAsia="es-CR"/>
        </w:rPr>
      </w:pPr>
      <w:r w:rsidRPr="002964A7">
        <w:rPr>
          <w:rFonts w:ascii="Verdana" w:eastAsia="Calibri" w:hAnsi="Verdana"/>
          <w:i/>
          <w:spacing w:val="-2"/>
          <w:sz w:val="20"/>
          <w:szCs w:val="20"/>
        </w:rPr>
        <w:t>Prueba para mejor resolver</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eastAsia="Calibri" w:hAnsi="Verdana"/>
          <w:spacing w:val="-2"/>
          <w:sz w:val="20"/>
          <w:szCs w:val="20"/>
        </w:rPr>
        <w:t xml:space="preserve">El 5 de febrero de 2015, </w:t>
      </w:r>
      <w:r w:rsidRPr="002964A7">
        <w:rPr>
          <w:rFonts w:ascii="Verdana" w:hAnsi="Verdana"/>
          <w:spacing w:val="-2"/>
          <w:sz w:val="20"/>
          <w:szCs w:val="20"/>
        </w:rPr>
        <w:t xml:space="preserve">siguiendo instrucciones del Presidente de </w:t>
      </w:r>
      <w:r w:rsidRPr="002964A7">
        <w:rPr>
          <w:rFonts w:ascii="Verdana" w:hAnsi="Verdana"/>
          <w:spacing w:val="-2"/>
          <w:sz w:val="20"/>
          <w:szCs w:val="20"/>
          <w:lang w:val="es-ES"/>
        </w:rPr>
        <w:t xml:space="preserve">la Corte </w:t>
      </w:r>
      <w:r w:rsidRPr="002964A7">
        <w:rPr>
          <w:rFonts w:ascii="Verdana" w:hAnsi="Verdana"/>
          <w:spacing w:val="-2"/>
          <w:sz w:val="20"/>
          <w:szCs w:val="20"/>
        </w:rPr>
        <w:t>y con fundamento en lo dispuesto en el artículo 58.b) de</w:t>
      </w:r>
      <w:r w:rsidR="00C8643D">
        <w:rPr>
          <w:rFonts w:ascii="Verdana" w:hAnsi="Verdana"/>
          <w:spacing w:val="-2"/>
          <w:sz w:val="20"/>
          <w:szCs w:val="20"/>
        </w:rPr>
        <w:t>l</w:t>
      </w:r>
      <w:r w:rsidRPr="002964A7">
        <w:rPr>
          <w:rFonts w:ascii="Verdana" w:hAnsi="Verdana"/>
          <w:spacing w:val="-2"/>
          <w:sz w:val="20"/>
          <w:szCs w:val="20"/>
        </w:rPr>
        <w:t xml:space="preserve"> Reglamento</w:t>
      </w:r>
      <w:r w:rsidR="00C8643D">
        <w:rPr>
          <w:rFonts w:ascii="Verdana" w:hAnsi="Verdana"/>
          <w:spacing w:val="-2"/>
          <w:sz w:val="20"/>
          <w:szCs w:val="20"/>
        </w:rPr>
        <w:t xml:space="preserve"> del Tribunal</w:t>
      </w:r>
      <w:r w:rsidRPr="002964A7">
        <w:rPr>
          <w:rFonts w:ascii="Verdana" w:hAnsi="Verdana"/>
          <w:spacing w:val="-2"/>
          <w:sz w:val="20"/>
          <w:szCs w:val="20"/>
        </w:rPr>
        <w:t>,</w:t>
      </w:r>
      <w:r w:rsidRPr="002964A7">
        <w:rPr>
          <w:rFonts w:ascii="Verdana" w:eastAsia="Calibri" w:hAnsi="Verdana"/>
          <w:spacing w:val="-2"/>
          <w:sz w:val="20"/>
          <w:szCs w:val="20"/>
        </w:rPr>
        <w:t xml:space="preserve"> se solicitó al Estado </w:t>
      </w:r>
      <w:r w:rsidRPr="002964A7">
        <w:rPr>
          <w:rFonts w:ascii="Verdana" w:hAnsi="Verdana" w:cs="Verdana"/>
          <w:spacing w:val="-2"/>
          <w:sz w:val="20"/>
          <w:szCs w:val="20"/>
          <w:lang w:eastAsia="es-ES"/>
        </w:rPr>
        <w:t xml:space="preserve">la </w:t>
      </w:r>
      <w:r w:rsidRPr="002964A7">
        <w:rPr>
          <w:rFonts w:ascii="Verdana" w:hAnsi="Verdana"/>
          <w:spacing w:val="-2"/>
          <w:sz w:val="20"/>
          <w:szCs w:val="20"/>
        </w:rPr>
        <w:t>presentación</w:t>
      </w:r>
      <w:r w:rsidRPr="002964A7">
        <w:rPr>
          <w:rFonts w:ascii="Verdana" w:hAnsi="Verdana" w:cs="Verdana"/>
          <w:spacing w:val="-2"/>
          <w:sz w:val="20"/>
          <w:szCs w:val="20"/>
          <w:lang w:eastAsia="es-ES"/>
        </w:rPr>
        <w:t xml:space="preserve"> de documentación como prueba para mejor resolver</w:t>
      </w:r>
      <w:r w:rsidRPr="002964A7">
        <w:rPr>
          <w:rFonts w:ascii="Verdana" w:eastAsia="Calibri" w:hAnsi="Verdana"/>
          <w:spacing w:val="-2"/>
          <w:sz w:val="20"/>
          <w:szCs w:val="20"/>
        </w:rPr>
        <w:t xml:space="preserve">. Mediante </w:t>
      </w:r>
      <w:r w:rsidRPr="002964A7">
        <w:rPr>
          <w:rFonts w:ascii="Verdana" w:hAnsi="Verdana"/>
          <w:spacing w:val="-2"/>
          <w:sz w:val="20"/>
          <w:szCs w:val="20"/>
        </w:rPr>
        <w:t xml:space="preserve">comunicación de </w:t>
      </w:r>
      <w:r w:rsidRPr="002964A7">
        <w:rPr>
          <w:rFonts w:ascii="Verdana" w:hAnsi="Verdana" w:cs="Verdana"/>
          <w:spacing w:val="-2"/>
          <w:sz w:val="20"/>
          <w:szCs w:val="20"/>
          <w:lang w:eastAsia="es-ES"/>
        </w:rPr>
        <w:t>2 de marzo de 2015</w:t>
      </w:r>
      <w:r w:rsidRPr="002964A7">
        <w:rPr>
          <w:rFonts w:ascii="Verdana" w:hAnsi="Verdana"/>
          <w:spacing w:val="-2"/>
          <w:sz w:val="20"/>
          <w:szCs w:val="20"/>
        </w:rPr>
        <w:t xml:space="preserve"> el Estado remitió la documentación solicitada. El 13 de abril de 2015 y después de una prórroga otorgada, la Comisión </w:t>
      </w:r>
      <w:r w:rsidRPr="002964A7">
        <w:rPr>
          <w:rFonts w:ascii="Verdana" w:hAnsi="Verdana"/>
          <w:sz w:val="20"/>
          <w:szCs w:val="20"/>
        </w:rPr>
        <w:t xml:space="preserve">remitió sus observaciones </w:t>
      </w:r>
      <w:r w:rsidRPr="002964A7">
        <w:rPr>
          <w:rFonts w:ascii="Verdana" w:hAnsi="Verdana"/>
          <w:spacing w:val="-2"/>
          <w:sz w:val="20"/>
          <w:szCs w:val="20"/>
        </w:rPr>
        <w:t>a la prueba para mejor resolver.</w:t>
      </w:r>
      <w:r w:rsidRPr="002964A7">
        <w:rPr>
          <w:rFonts w:ascii="Verdana" w:eastAsia="Calibri" w:hAnsi="Verdana" w:cs="Verdana"/>
          <w:spacing w:val="-2"/>
          <w:sz w:val="20"/>
          <w:szCs w:val="20"/>
          <w:lang w:eastAsia="es-CR"/>
        </w:rPr>
        <w:t xml:space="preserve"> </w:t>
      </w:r>
      <w:r w:rsidRPr="002964A7">
        <w:rPr>
          <w:rFonts w:ascii="Verdana" w:hAnsi="Verdana"/>
          <w:spacing w:val="-2"/>
          <w:sz w:val="20"/>
          <w:szCs w:val="20"/>
        </w:rPr>
        <w:t>Los representantes no remitieron observaciones.</w:t>
      </w:r>
    </w:p>
    <w:p w:rsidR="00A219C8" w:rsidRPr="002964A7" w:rsidRDefault="00A219C8" w:rsidP="00A219C8">
      <w:pPr>
        <w:pStyle w:val="ListParagraph"/>
        <w:spacing w:after="0" w:line="240" w:lineRule="auto"/>
        <w:ind w:left="0"/>
        <w:jc w:val="both"/>
        <w:rPr>
          <w:rFonts w:ascii="Verdana" w:eastAsia="Calibri" w:hAnsi="Verdana" w:cs="Verdana"/>
          <w:spacing w:val="-2"/>
          <w:sz w:val="20"/>
          <w:szCs w:val="20"/>
          <w:lang w:eastAsia="es-CR"/>
        </w:rPr>
      </w:pPr>
    </w:p>
    <w:p w:rsidR="00502AB6" w:rsidRPr="002964A7" w:rsidRDefault="00A219C8" w:rsidP="001154F9">
      <w:pPr>
        <w:pStyle w:val="ListParagraph"/>
        <w:numPr>
          <w:ilvl w:val="0"/>
          <w:numId w:val="7"/>
        </w:numPr>
        <w:spacing w:after="0" w:line="240" w:lineRule="auto"/>
        <w:ind w:left="0" w:firstLine="0"/>
        <w:jc w:val="both"/>
        <w:rPr>
          <w:rFonts w:ascii="Verdana" w:eastAsia="Calibri" w:hAnsi="Verdana" w:cs="Times New Roman"/>
          <w:spacing w:val="-2"/>
          <w:sz w:val="20"/>
          <w:szCs w:val="20"/>
        </w:rPr>
      </w:pPr>
      <w:r w:rsidRPr="002964A7">
        <w:rPr>
          <w:rFonts w:ascii="Verdana" w:eastAsia="Calibri" w:hAnsi="Verdana" w:cs="Verdana"/>
          <w:i/>
          <w:spacing w:val="-2"/>
          <w:sz w:val="20"/>
          <w:szCs w:val="20"/>
          <w:lang w:eastAsia="es-CR"/>
        </w:rPr>
        <w:t>Deliberación del presente caso</w:t>
      </w:r>
      <w:r w:rsidRPr="002964A7">
        <w:rPr>
          <w:rFonts w:ascii="Verdana" w:hAnsi="Verdana"/>
          <w:i/>
          <w:spacing w:val="-2"/>
          <w:sz w:val="20"/>
          <w:szCs w:val="20"/>
        </w:rPr>
        <w:t>. –</w:t>
      </w:r>
      <w:r w:rsidRPr="002964A7">
        <w:rPr>
          <w:rFonts w:ascii="Verdana" w:hAnsi="Verdana"/>
          <w:spacing w:val="-2"/>
          <w:sz w:val="20"/>
          <w:szCs w:val="20"/>
        </w:rPr>
        <w:t xml:space="preserve"> </w:t>
      </w:r>
      <w:r w:rsidRPr="002964A7">
        <w:rPr>
          <w:rFonts w:ascii="Verdana" w:eastAsia="Calibri" w:hAnsi="Verdana" w:cs="Verdana"/>
          <w:spacing w:val="-2"/>
          <w:sz w:val="20"/>
          <w:szCs w:val="20"/>
          <w:lang w:eastAsia="es-CR"/>
        </w:rPr>
        <w:t xml:space="preserve">La Corte inició la deliberación de la presente Sentencia </w:t>
      </w:r>
      <w:r w:rsidRPr="003E0767">
        <w:rPr>
          <w:rFonts w:ascii="Verdana" w:eastAsia="Calibri" w:hAnsi="Verdana" w:cs="Verdana"/>
          <w:spacing w:val="-2"/>
          <w:sz w:val="20"/>
          <w:szCs w:val="20"/>
          <w:lang w:eastAsia="es-CR"/>
        </w:rPr>
        <w:t xml:space="preserve">el </w:t>
      </w:r>
      <w:r w:rsidR="00AA5DA9" w:rsidRPr="003E0767">
        <w:rPr>
          <w:rFonts w:ascii="Verdana" w:eastAsia="Calibri" w:hAnsi="Verdana" w:cs="Verdana"/>
          <w:spacing w:val="-2"/>
          <w:sz w:val="20"/>
          <w:szCs w:val="20"/>
          <w:lang w:eastAsia="es-CR"/>
        </w:rPr>
        <w:t xml:space="preserve">31 </w:t>
      </w:r>
      <w:r w:rsidRPr="003E0767">
        <w:rPr>
          <w:rFonts w:ascii="Verdana" w:eastAsia="Calibri" w:hAnsi="Verdana" w:cs="Verdana"/>
          <w:spacing w:val="-2"/>
          <w:sz w:val="20"/>
          <w:szCs w:val="20"/>
          <w:lang w:eastAsia="es-CR"/>
        </w:rPr>
        <w:t xml:space="preserve">de </w:t>
      </w:r>
      <w:r w:rsidR="00AA5DA9" w:rsidRPr="003E0767">
        <w:rPr>
          <w:rFonts w:ascii="Verdana" w:eastAsia="Calibri" w:hAnsi="Verdana" w:cs="Verdana"/>
          <w:spacing w:val="-2"/>
          <w:sz w:val="20"/>
          <w:szCs w:val="20"/>
          <w:lang w:eastAsia="es-CR"/>
        </w:rPr>
        <w:t>agosto</w:t>
      </w:r>
      <w:r w:rsidRPr="003E0767">
        <w:rPr>
          <w:rFonts w:ascii="Verdana" w:eastAsia="Calibri" w:hAnsi="Verdana" w:cs="Verdana"/>
          <w:spacing w:val="-2"/>
          <w:sz w:val="20"/>
          <w:szCs w:val="20"/>
          <w:lang w:eastAsia="es-CR"/>
        </w:rPr>
        <w:t xml:space="preserve"> de 2015</w:t>
      </w:r>
      <w:r w:rsidR="004D0BB2">
        <w:rPr>
          <w:rFonts w:ascii="Verdana" w:eastAsia="Calibri" w:hAnsi="Verdana" w:cs="Verdana"/>
          <w:spacing w:val="-2"/>
          <w:sz w:val="20"/>
          <w:szCs w:val="20"/>
          <w:lang w:eastAsia="es-CR"/>
        </w:rPr>
        <w:t>.</w:t>
      </w:r>
    </w:p>
    <w:p w:rsidR="003A4D8C" w:rsidRDefault="003A4D8C" w:rsidP="001154F9">
      <w:pPr>
        <w:pStyle w:val="Heading1"/>
      </w:pPr>
      <w:bookmarkStart w:id="20" w:name="_Toc406574723"/>
      <w:bookmarkStart w:id="21" w:name="_Toc401929012"/>
      <w:bookmarkStart w:id="22" w:name="_Toc401928431"/>
      <w:bookmarkStart w:id="23" w:name="_Toc401928186"/>
      <w:bookmarkStart w:id="24" w:name="_Toc395022453"/>
      <w:bookmarkStart w:id="25" w:name="_Toc392536803"/>
      <w:bookmarkStart w:id="26" w:name="_Toc421548993"/>
      <w:bookmarkStart w:id="27" w:name="_Toc421549282"/>
      <w:bookmarkStart w:id="28" w:name="_Toc421864919"/>
      <w:bookmarkStart w:id="29" w:name="_Toc423102500"/>
      <w:bookmarkStart w:id="30" w:name="_Toc433387454"/>
      <w:bookmarkStart w:id="31" w:name="_Toc406580640"/>
    </w:p>
    <w:p w:rsidR="00502AB6" w:rsidRPr="002964A7" w:rsidRDefault="00502AB6" w:rsidP="001154F9">
      <w:pPr>
        <w:pStyle w:val="Heading1"/>
      </w:pPr>
      <w:r w:rsidRPr="002964A7">
        <w:t>III</w:t>
      </w:r>
      <w:bookmarkStart w:id="32" w:name="_Toc402799429"/>
      <w:bookmarkStart w:id="33" w:name="_Toc402726456"/>
      <w:bookmarkStart w:id="34" w:name="_Toc402461052"/>
      <w:bookmarkStart w:id="35" w:name="_Toc402459668"/>
      <w:bookmarkStart w:id="36" w:name="_Toc401929013"/>
      <w:bookmarkStart w:id="37" w:name="_Toc395022454"/>
      <w:bookmarkEnd w:id="20"/>
      <w:bookmarkEnd w:id="21"/>
      <w:bookmarkEnd w:id="22"/>
      <w:bookmarkEnd w:id="23"/>
      <w:bookmarkEnd w:id="24"/>
      <w:bookmarkEnd w:id="25"/>
      <w:bookmarkEnd w:id="26"/>
      <w:bookmarkEnd w:id="27"/>
      <w:bookmarkEnd w:id="28"/>
      <w:bookmarkEnd w:id="29"/>
      <w:bookmarkEnd w:id="30"/>
    </w:p>
    <w:p w:rsidR="00502AB6" w:rsidRPr="002964A7" w:rsidRDefault="00502AB6" w:rsidP="001154F9">
      <w:pPr>
        <w:pStyle w:val="Heading1"/>
      </w:pPr>
      <w:bookmarkStart w:id="38" w:name="_Toc421864920"/>
      <w:bookmarkStart w:id="39" w:name="_Toc423102501"/>
      <w:bookmarkStart w:id="40" w:name="_Toc433387455"/>
      <w:r w:rsidRPr="002964A7">
        <w:t>COMPETENCIA</w:t>
      </w:r>
      <w:bookmarkEnd w:id="31"/>
      <w:bookmarkEnd w:id="32"/>
      <w:bookmarkEnd w:id="33"/>
      <w:bookmarkEnd w:id="34"/>
      <w:bookmarkEnd w:id="35"/>
      <w:bookmarkEnd w:id="36"/>
      <w:bookmarkEnd w:id="37"/>
      <w:bookmarkEnd w:id="38"/>
      <w:bookmarkEnd w:id="39"/>
      <w:bookmarkEnd w:id="40"/>
    </w:p>
    <w:p w:rsidR="00502AB6" w:rsidRPr="0096115E" w:rsidRDefault="00502AB6" w:rsidP="00502AB6">
      <w:pPr>
        <w:spacing w:after="0" w:line="240" w:lineRule="auto"/>
        <w:rPr>
          <w:rFonts w:ascii="Verdana" w:hAnsi="Verdana"/>
          <w:spacing w:val="-2"/>
          <w:sz w:val="16"/>
          <w:szCs w:val="20"/>
          <w:lang w:eastAsia="es-ES"/>
        </w:rPr>
      </w:pPr>
    </w:p>
    <w:p w:rsidR="00AB6357" w:rsidRPr="002964A7" w:rsidRDefault="00502AB6"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2964A7">
        <w:rPr>
          <w:rFonts w:ascii="Verdana" w:hAnsi="Verdana" w:cs="Verdana"/>
          <w:spacing w:val="-2"/>
          <w:sz w:val="20"/>
          <w:szCs w:val="20"/>
        </w:rPr>
        <w:t>La Corte es competente para conocer el presente caso, en los términos del artículo 62.3 de la Convención</w:t>
      </w:r>
      <w:r w:rsidR="00F023D5" w:rsidRPr="002964A7">
        <w:rPr>
          <w:rFonts w:ascii="Verdana" w:hAnsi="Verdana" w:cs="Verdana"/>
          <w:spacing w:val="-2"/>
          <w:sz w:val="20"/>
          <w:szCs w:val="20"/>
        </w:rPr>
        <w:t xml:space="preserve"> Americana</w:t>
      </w:r>
      <w:r w:rsidRPr="002964A7">
        <w:rPr>
          <w:rFonts w:ascii="Verdana" w:hAnsi="Verdana" w:cs="Verdana"/>
          <w:spacing w:val="-2"/>
          <w:sz w:val="20"/>
          <w:szCs w:val="20"/>
        </w:rPr>
        <w:t xml:space="preserve">, </w:t>
      </w:r>
      <w:r w:rsidR="00F023D5" w:rsidRPr="002964A7">
        <w:rPr>
          <w:rFonts w:ascii="Verdana" w:eastAsia="Times New Roman" w:hAnsi="Verdana"/>
          <w:sz w:val="20"/>
          <w:szCs w:val="20"/>
        </w:rPr>
        <w:t xml:space="preserve">ya que </w:t>
      </w:r>
      <w:r w:rsidR="00EF3B63">
        <w:rPr>
          <w:rFonts w:ascii="Verdana" w:eastAsia="Times New Roman" w:hAnsi="Verdana"/>
          <w:sz w:val="20"/>
          <w:szCs w:val="20"/>
        </w:rPr>
        <w:t xml:space="preserve">el </w:t>
      </w:r>
      <w:r w:rsidR="00F023D5" w:rsidRPr="002964A7">
        <w:rPr>
          <w:rFonts w:ascii="Verdana" w:eastAsia="Times New Roman" w:hAnsi="Verdana"/>
          <w:sz w:val="20"/>
          <w:szCs w:val="20"/>
        </w:rPr>
        <w:t xml:space="preserve">Perú ratificó la Convención Americana el 28 de julio de 1978, y reconoció la competencia contenciosa de la Corte el 21 de enero de 1981. </w:t>
      </w:r>
    </w:p>
    <w:p w:rsidR="00EA6EE3" w:rsidRPr="002964A7" w:rsidRDefault="00EA6EE3" w:rsidP="00EA6EE3">
      <w:pPr>
        <w:pStyle w:val="ListParagraph"/>
        <w:autoSpaceDE w:val="0"/>
        <w:autoSpaceDN w:val="0"/>
        <w:adjustRightInd w:val="0"/>
        <w:spacing w:after="0" w:line="240" w:lineRule="auto"/>
        <w:ind w:left="0"/>
        <w:jc w:val="both"/>
        <w:rPr>
          <w:rFonts w:ascii="Verdana" w:hAnsi="Verdana" w:cs="Arial"/>
          <w:sz w:val="20"/>
          <w:szCs w:val="20"/>
        </w:rPr>
      </w:pPr>
    </w:p>
    <w:p w:rsidR="00EA6EE3" w:rsidRPr="002964A7" w:rsidRDefault="00EA6EE3" w:rsidP="001154F9">
      <w:pPr>
        <w:pStyle w:val="Heading1"/>
        <w:rPr>
          <w:rFonts w:eastAsia="Calibri"/>
          <w:lang w:eastAsia="es-CR"/>
        </w:rPr>
      </w:pPr>
      <w:bookmarkStart w:id="41" w:name="_Toc421548995"/>
      <w:bookmarkStart w:id="42" w:name="_Toc421549284"/>
      <w:bookmarkStart w:id="43" w:name="_Toc421864921"/>
      <w:bookmarkStart w:id="44" w:name="_Toc423102502"/>
      <w:bookmarkStart w:id="45" w:name="_Toc433387456"/>
      <w:r w:rsidRPr="002964A7">
        <w:rPr>
          <w:rFonts w:eastAsia="Calibri"/>
          <w:lang w:eastAsia="es-CR"/>
        </w:rPr>
        <w:lastRenderedPageBreak/>
        <w:t>IV</w:t>
      </w:r>
      <w:bookmarkEnd w:id="41"/>
      <w:bookmarkEnd w:id="42"/>
      <w:bookmarkEnd w:id="43"/>
      <w:bookmarkEnd w:id="44"/>
      <w:bookmarkEnd w:id="45"/>
    </w:p>
    <w:p w:rsidR="00EA6EE3" w:rsidRPr="002964A7" w:rsidRDefault="00EA6EE3" w:rsidP="00836D0F">
      <w:pPr>
        <w:pStyle w:val="Heading1"/>
      </w:pPr>
      <w:bookmarkStart w:id="46" w:name="_Toc421864922"/>
      <w:bookmarkStart w:id="47" w:name="_Toc423102503"/>
      <w:bookmarkStart w:id="48" w:name="_Toc433387457"/>
      <w:r w:rsidRPr="002964A7">
        <w:t>SOBRE EL “RECONOCIMIENTO DE VULNERACIÓN DE DERECHOS DEL ESTADO PERUANO” Y LA CALIFICACIÓN JURÍDICA DE LOS HECHOS</w:t>
      </w:r>
      <w:bookmarkEnd w:id="46"/>
      <w:bookmarkEnd w:id="47"/>
      <w:bookmarkEnd w:id="48"/>
    </w:p>
    <w:p w:rsidR="00EA6EE3" w:rsidRPr="002964A7" w:rsidRDefault="00EA6EE3" w:rsidP="001154F9">
      <w:pPr>
        <w:pStyle w:val="Heading3"/>
        <w:numPr>
          <w:ilvl w:val="0"/>
          <w:numId w:val="18"/>
        </w:numPr>
        <w:rPr>
          <w:rFonts w:eastAsia="Calibri"/>
          <w:lang w:val="es-CO" w:eastAsia="es-CR"/>
        </w:rPr>
      </w:pPr>
      <w:bookmarkStart w:id="49" w:name="_Toc421864923"/>
      <w:bookmarkStart w:id="50" w:name="_Toc423102504"/>
      <w:bookmarkStart w:id="51" w:name="_Toc433387458"/>
      <w:r w:rsidRPr="002964A7">
        <w:rPr>
          <w:rFonts w:eastAsia="Calibri"/>
          <w:lang w:val="es-CO" w:eastAsia="es-CR"/>
        </w:rPr>
        <w:t>Argumentos de las partes</w:t>
      </w:r>
      <w:bookmarkEnd w:id="49"/>
      <w:bookmarkEnd w:id="50"/>
      <w:r w:rsidR="00351120" w:rsidRPr="00351120">
        <w:rPr>
          <w:rFonts w:eastAsia="Calibri"/>
          <w:lang w:val="es-CO" w:eastAsia="es-CR"/>
        </w:rPr>
        <w:t xml:space="preserve"> </w:t>
      </w:r>
      <w:r w:rsidR="00351120">
        <w:rPr>
          <w:rFonts w:eastAsia="Calibri"/>
          <w:lang w:val="es-CO" w:eastAsia="es-CR"/>
        </w:rPr>
        <w:t xml:space="preserve">y </w:t>
      </w:r>
      <w:r w:rsidR="00351120" w:rsidRPr="002964A7">
        <w:rPr>
          <w:rFonts w:eastAsia="Calibri"/>
          <w:lang w:val="es-CO" w:eastAsia="es-CR"/>
        </w:rPr>
        <w:t>la Comisión</w:t>
      </w:r>
      <w:bookmarkEnd w:id="51"/>
    </w:p>
    <w:p w:rsidR="00EA6EE3" w:rsidRPr="002964A7" w:rsidRDefault="00EA6EE3" w:rsidP="00EA6EE3">
      <w:pPr>
        <w:spacing w:after="0" w:line="240" w:lineRule="auto"/>
        <w:jc w:val="both"/>
        <w:rPr>
          <w:rFonts w:ascii="Verdana" w:hAnsi="Verdana"/>
          <w:b/>
          <w:sz w:val="20"/>
          <w:szCs w:val="20"/>
          <w:lang w:val="es-VE"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rPr>
      </w:pPr>
      <w:r w:rsidRPr="002964A7">
        <w:rPr>
          <w:rFonts w:ascii="Verdana" w:hAnsi="Verdana"/>
          <w:sz w:val="20"/>
          <w:szCs w:val="20"/>
          <w:lang w:eastAsia="es-CR"/>
        </w:rPr>
        <w:t xml:space="preserve">El </w:t>
      </w:r>
      <w:r w:rsidRPr="002964A7">
        <w:rPr>
          <w:rFonts w:ascii="Verdana" w:hAnsi="Verdana"/>
          <w:b/>
          <w:i/>
          <w:sz w:val="20"/>
          <w:szCs w:val="20"/>
          <w:lang w:eastAsia="es-CR"/>
        </w:rPr>
        <w:t>Estado</w:t>
      </w:r>
      <w:r w:rsidRPr="002964A7">
        <w:rPr>
          <w:rFonts w:ascii="Verdana" w:hAnsi="Verdana"/>
          <w:sz w:val="20"/>
          <w:szCs w:val="20"/>
          <w:lang w:eastAsia="es-CR"/>
        </w:rPr>
        <w:t xml:space="preserve"> indicó que ante la Comisión Interamericana afirmó “que hubo una afectación de derechos; específicamente, del Derecho a la vida, Derecho a la integridad personal y Derecho a la libertad personal establecidos en [los] artículo[s] 4, 5 y 7 de la Convención Americana”, en perjuicio de 15 personas, entre ellas, siete </w:t>
      </w:r>
      <w:r w:rsidR="00BB3D01" w:rsidRPr="002964A7">
        <w:rPr>
          <w:rFonts w:ascii="Verdana" w:hAnsi="Verdana"/>
          <w:sz w:val="20"/>
          <w:szCs w:val="20"/>
          <w:lang w:val="es-ES"/>
        </w:rPr>
        <w:t>niñ</w:t>
      </w:r>
      <w:r w:rsidR="00BB3D01">
        <w:rPr>
          <w:rFonts w:ascii="Verdana" w:hAnsi="Verdana"/>
          <w:sz w:val="20"/>
          <w:szCs w:val="20"/>
          <w:lang w:val="es-ES"/>
        </w:rPr>
        <w:t>a</w:t>
      </w:r>
      <w:r w:rsidR="00BB3D01" w:rsidRPr="002964A7">
        <w:rPr>
          <w:rFonts w:ascii="Verdana" w:hAnsi="Verdana"/>
          <w:sz w:val="20"/>
          <w:szCs w:val="20"/>
          <w:lang w:val="es-ES"/>
        </w:rPr>
        <w:t>s y niñ</w:t>
      </w:r>
      <w:r w:rsidR="00BB3D01">
        <w:rPr>
          <w:rFonts w:ascii="Verdana" w:hAnsi="Verdana"/>
          <w:sz w:val="20"/>
          <w:szCs w:val="20"/>
          <w:lang w:val="es-ES"/>
        </w:rPr>
        <w:t>o</w:t>
      </w:r>
      <w:r w:rsidR="00BB3D01" w:rsidRPr="002964A7">
        <w:rPr>
          <w:rFonts w:ascii="Verdana" w:hAnsi="Verdana"/>
          <w:sz w:val="20"/>
          <w:szCs w:val="20"/>
          <w:lang w:val="es-ES"/>
        </w:rPr>
        <w:t>s</w:t>
      </w:r>
      <w:r w:rsidRPr="002964A7">
        <w:rPr>
          <w:rFonts w:ascii="Verdana" w:hAnsi="Verdana"/>
          <w:sz w:val="20"/>
          <w:szCs w:val="20"/>
          <w:lang w:eastAsia="es-CR"/>
        </w:rPr>
        <w:t>.</w:t>
      </w:r>
      <w:r w:rsidR="004D0BB2">
        <w:rPr>
          <w:rFonts w:ascii="Verdana" w:hAnsi="Verdana"/>
          <w:b/>
          <w:sz w:val="20"/>
          <w:szCs w:val="20"/>
          <w:lang w:eastAsia="es-CR"/>
        </w:rPr>
        <w:t xml:space="preserve"> </w:t>
      </w:r>
      <w:r w:rsidRPr="002964A7">
        <w:rPr>
          <w:rFonts w:ascii="Verdana" w:hAnsi="Verdana"/>
          <w:sz w:val="20"/>
          <w:szCs w:val="20"/>
          <w:lang w:eastAsia="es-CR"/>
        </w:rPr>
        <w:t xml:space="preserve">Igualmente, sostuvo que, “en la medida que entre las personas que fueron ejecutadas hubo menores de edad </w:t>
      </w:r>
      <w:r w:rsidRPr="002964A7">
        <w:rPr>
          <w:rFonts w:ascii="Verdana" w:hAnsi="Verdana"/>
          <w:sz w:val="20"/>
          <w:szCs w:val="20"/>
        </w:rPr>
        <w:t xml:space="preserve">y […] no se les brindó la </w:t>
      </w:r>
      <w:r w:rsidRPr="002964A7">
        <w:rPr>
          <w:rFonts w:ascii="Verdana" w:eastAsia="Times New Roman" w:hAnsi="Verdana"/>
          <w:sz w:val="20"/>
          <w:szCs w:val="20"/>
        </w:rPr>
        <w:t>protección</w:t>
      </w:r>
      <w:r w:rsidRPr="002964A7">
        <w:rPr>
          <w:rFonts w:ascii="Verdana" w:hAnsi="Verdana"/>
          <w:sz w:val="20"/>
          <w:szCs w:val="20"/>
        </w:rPr>
        <w:t xml:space="preserve"> especial necesaria</w:t>
      </w:r>
      <w:r w:rsidR="009D3F05">
        <w:rPr>
          <w:rFonts w:ascii="Verdana" w:hAnsi="Verdana"/>
          <w:sz w:val="20"/>
          <w:szCs w:val="20"/>
        </w:rPr>
        <w:t>[,]</w:t>
      </w:r>
      <w:r w:rsidRPr="002964A7">
        <w:rPr>
          <w:rFonts w:ascii="Verdana" w:hAnsi="Verdana"/>
          <w:sz w:val="20"/>
          <w:szCs w:val="20"/>
        </w:rPr>
        <w:t xml:space="preserve"> […] es de consecuente</w:t>
      </w:r>
      <w:r w:rsidRPr="002964A7">
        <w:rPr>
          <w:rFonts w:ascii="Verdana" w:hAnsi="Verdana"/>
          <w:sz w:val="20"/>
          <w:szCs w:val="20"/>
          <w:lang w:eastAsia="es-CR"/>
        </w:rPr>
        <w:t xml:space="preserve"> </w:t>
      </w:r>
      <w:r w:rsidRPr="002964A7">
        <w:rPr>
          <w:rFonts w:ascii="Verdana" w:hAnsi="Verdana"/>
          <w:sz w:val="20"/>
          <w:szCs w:val="20"/>
        </w:rPr>
        <w:t>aplicación lo estipulado en el artículo 19 de la Convención […] relativo a los derechos del niño”.</w:t>
      </w:r>
      <w:r w:rsidR="004D0BB2" w:rsidRPr="00394F08">
        <w:rPr>
          <w:rFonts w:ascii="Verdana" w:hAnsi="Verdana"/>
          <w:sz w:val="20"/>
          <w:szCs w:val="20"/>
        </w:rPr>
        <w:t xml:space="preserve"> </w:t>
      </w:r>
      <w:r w:rsidRPr="002964A7">
        <w:rPr>
          <w:rFonts w:ascii="Verdana" w:hAnsi="Verdana"/>
          <w:sz w:val="20"/>
          <w:szCs w:val="20"/>
          <w:lang w:eastAsia="es-CR"/>
        </w:rPr>
        <w:t>En este sentido, se refirió</w:t>
      </w:r>
      <w:r w:rsidRPr="002964A7">
        <w:rPr>
          <w:rFonts w:ascii="Verdana" w:hAnsi="Verdana"/>
          <w:sz w:val="20"/>
          <w:szCs w:val="20"/>
        </w:rPr>
        <w:t xml:space="preserve"> con detalle a los hechos considerados como probados en </w:t>
      </w:r>
      <w:r w:rsidRPr="002964A7">
        <w:rPr>
          <w:rFonts w:ascii="Verdana" w:hAnsi="Verdana"/>
          <w:sz w:val="20"/>
          <w:szCs w:val="20"/>
          <w:lang w:eastAsia="es-CR"/>
        </w:rPr>
        <w:t xml:space="preserve">la </w:t>
      </w:r>
      <w:r w:rsidR="00394F08">
        <w:rPr>
          <w:rFonts w:ascii="Verdana" w:hAnsi="Verdana"/>
          <w:sz w:val="20"/>
          <w:szCs w:val="20"/>
          <w:lang w:eastAsia="es-CR"/>
        </w:rPr>
        <w:t>s</w:t>
      </w:r>
      <w:r w:rsidRPr="002964A7">
        <w:rPr>
          <w:rFonts w:ascii="Verdana" w:hAnsi="Verdana"/>
          <w:sz w:val="20"/>
          <w:szCs w:val="20"/>
          <w:lang w:eastAsia="es-CR"/>
        </w:rPr>
        <w:t xml:space="preserve">entencia de la </w:t>
      </w:r>
      <w:r w:rsidRPr="002964A7">
        <w:rPr>
          <w:rFonts w:ascii="Verdana" w:hAnsi="Verdana"/>
          <w:sz w:val="20"/>
          <w:szCs w:val="20"/>
        </w:rPr>
        <w:t>Sala Penal Nacional</w:t>
      </w:r>
      <w:r w:rsidRPr="002964A7">
        <w:rPr>
          <w:rFonts w:ascii="Verdana" w:hAnsi="Verdana"/>
          <w:sz w:val="20"/>
          <w:szCs w:val="20"/>
          <w:lang w:eastAsia="es-CR"/>
        </w:rPr>
        <w:t xml:space="preserve"> </w:t>
      </w:r>
      <w:r w:rsidRPr="002964A7">
        <w:rPr>
          <w:rFonts w:ascii="Verdana" w:hAnsi="Verdana"/>
          <w:sz w:val="20"/>
          <w:szCs w:val="20"/>
          <w:lang w:val="es-VE" w:eastAsia="es-CR"/>
        </w:rPr>
        <w:t>de 9 de febrero de 2012</w:t>
      </w:r>
      <w:r w:rsidRPr="002964A7">
        <w:rPr>
          <w:rFonts w:ascii="Verdana" w:hAnsi="Verdana"/>
          <w:sz w:val="20"/>
          <w:szCs w:val="20"/>
        </w:rPr>
        <w:t xml:space="preserve"> y la Ejecutoria </w:t>
      </w:r>
      <w:r w:rsidRPr="002964A7">
        <w:rPr>
          <w:rFonts w:ascii="Verdana" w:hAnsi="Verdana"/>
          <w:sz w:val="20"/>
          <w:szCs w:val="20"/>
          <w:lang w:eastAsia="es-CR"/>
        </w:rPr>
        <w:t>Suprema</w:t>
      </w:r>
      <w:r w:rsidRPr="002964A7">
        <w:rPr>
          <w:rFonts w:ascii="Verdana" w:hAnsi="Verdana"/>
          <w:sz w:val="20"/>
          <w:szCs w:val="20"/>
        </w:rPr>
        <w:t xml:space="preserve"> de la Corte Suprema de Justicia de 29 de mayo de 2013, los cuales fueron tipificados penalmente por la judicatura como homicidio calificado con ferocidad y crueldad, a modo de delitos de lesa humanidad para efectos de fundamentar su carácter imprescriptible, y no como desaparición forzada. Teniendo en cuenta lo anterior, solicitó a la Corte considerar el presente caso dentro de la calificación jurídica de ejecución extrajudicial y no como desaparición forzada.</w:t>
      </w:r>
      <w:r w:rsidRPr="002964A7">
        <w:rPr>
          <w:rFonts w:ascii="Verdana" w:hAnsi="Verdana"/>
          <w:sz w:val="20"/>
          <w:szCs w:val="20"/>
          <w:lang w:eastAsia="es-CR"/>
        </w:rPr>
        <w:t xml:space="preserve"> Además, sostuvo que los mismos representantes habían avalado tal tipificación en el proceso penal referido. Igualmente, destacó que el Informe Final de la </w:t>
      </w:r>
      <w:r w:rsidR="00394F08" w:rsidRPr="002964A7">
        <w:rPr>
          <w:rFonts w:ascii="Verdana" w:eastAsia="Calibri" w:hAnsi="Verdana"/>
          <w:sz w:val="20"/>
          <w:szCs w:val="20"/>
          <w:lang w:val="es-PR"/>
        </w:rPr>
        <w:t xml:space="preserve">Comisión de la Verdad y Reconciliación </w:t>
      </w:r>
      <w:r w:rsidR="00394F08">
        <w:rPr>
          <w:rFonts w:ascii="Verdana" w:eastAsia="Calibri" w:hAnsi="Verdana"/>
          <w:sz w:val="20"/>
          <w:szCs w:val="20"/>
          <w:lang w:val="es-PR"/>
        </w:rPr>
        <w:t>(</w:t>
      </w:r>
      <w:r w:rsidRPr="002964A7">
        <w:rPr>
          <w:rFonts w:ascii="Verdana" w:hAnsi="Verdana"/>
          <w:sz w:val="20"/>
          <w:szCs w:val="20"/>
          <w:lang w:eastAsia="es-CR"/>
        </w:rPr>
        <w:t>CVR</w:t>
      </w:r>
      <w:r w:rsidR="00394F08">
        <w:rPr>
          <w:rFonts w:ascii="Verdana" w:hAnsi="Verdana"/>
          <w:sz w:val="20"/>
          <w:szCs w:val="20"/>
          <w:lang w:eastAsia="es-CR"/>
        </w:rPr>
        <w:t>)</w:t>
      </w:r>
      <w:r w:rsidRPr="002964A7">
        <w:rPr>
          <w:rFonts w:ascii="Verdana" w:hAnsi="Verdana"/>
          <w:sz w:val="20"/>
          <w:szCs w:val="20"/>
          <w:lang w:eastAsia="es-CR"/>
        </w:rPr>
        <w:t xml:space="preserve"> denominó el caso como “Las Ejecuciones </w:t>
      </w:r>
      <w:r w:rsidR="004D0BB2">
        <w:rPr>
          <w:rFonts w:ascii="Verdana" w:hAnsi="Verdana"/>
          <w:sz w:val="20"/>
          <w:szCs w:val="20"/>
          <w:lang w:eastAsia="es-CR"/>
        </w:rPr>
        <w:t>E</w:t>
      </w:r>
      <w:r w:rsidRPr="002964A7">
        <w:rPr>
          <w:rFonts w:ascii="Verdana" w:hAnsi="Verdana"/>
          <w:sz w:val="20"/>
          <w:szCs w:val="20"/>
          <w:lang w:eastAsia="es-CR"/>
        </w:rPr>
        <w:t>xtrajudiciales en Santa Bárbara”,</w:t>
      </w:r>
      <w:r w:rsidRPr="002964A7">
        <w:rPr>
          <w:rFonts w:ascii="Verdana" w:hAnsi="Verdana"/>
          <w:b/>
          <w:sz w:val="20"/>
          <w:szCs w:val="20"/>
          <w:lang w:eastAsia="es-CR"/>
        </w:rPr>
        <w:t xml:space="preserve"> </w:t>
      </w:r>
      <w:r w:rsidRPr="002964A7">
        <w:rPr>
          <w:rFonts w:ascii="Verdana" w:hAnsi="Verdana"/>
          <w:sz w:val="20"/>
          <w:szCs w:val="20"/>
          <w:lang w:eastAsia="es-CR"/>
        </w:rPr>
        <w:t>lo cual fue considerado en la decisión de la Sala Penal Nacional</w:t>
      </w:r>
      <w:r w:rsidRPr="002964A7">
        <w:rPr>
          <w:rFonts w:ascii="Verdana" w:hAnsi="Verdana"/>
          <w:b/>
          <w:sz w:val="20"/>
          <w:szCs w:val="20"/>
          <w:lang w:eastAsia="es-CR"/>
        </w:rPr>
        <w:t xml:space="preserve"> </w:t>
      </w:r>
      <w:r w:rsidRPr="002964A7">
        <w:rPr>
          <w:rFonts w:ascii="Verdana" w:hAnsi="Verdana"/>
          <w:sz w:val="20"/>
          <w:szCs w:val="20"/>
          <w:lang w:eastAsia="es-CR"/>
        </w:rPr>
        <w:t xml:space="preserve">y debió haber sido tomado en cuenta por la Comisión y los representantes. </w:t>
      </w:r>
      <w:r w:rsidRPr="002964A7">
        <w:rPr>
          <w:rFonts w:ascii="Verdana" w:hAnsi="Verdana"/>
          <w:sz w:val="20"/>
          <w:szCs w:val="20"/>
        </w:rPr>
        <w:t>Por otra parte, señaló que el presunto robo de bienes y quema de viviendas se encontraría fuera del marco fáctico del caso.</w:t>
      </w:r>
    </w:p>
    <w:p w:rsidR="00EA6EE3" w:rsidRPr="002964A7" w:rsidRDefault="00EA6EE3" w:rsidP="00EA6EE3">
      <w:pPr>
        <w:autoSpaceDE w:val="0"/>
        <w:autoSpaceDN w:val="0"/>
        <w:adjustRightInd w:val="0"/>
        <w:spacing w:after="0" w:line="240" w:lineRule="auto"/>
        <w:contextualSpacing/>
        <w:jc w:val="both"/>
        <w:rPr>
          <w:rFonts w:ascii="Verdana" w:hAnsi="Verdana"/>
          <w:b/>
          <w:sz w:val="20"/>
          <w:szCs w:val="20"/>
          <w:lang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rPr>
      </w:pPr>
      <w:r w:rsidRPr="002964A7">
        <w:rPr>
          <w:rFonts w:ascii="Verdana" w:hAnsi="Verdana"/>
          <w:sz w:val="20"/>
          <w:szCs w:val="20"/>
        </w:rPr>
        <w:t>Sin perjuicio de lo anterior, el Perú señaló que “la alusión [en el reconocimiento efectuado ante la Comisión] a otros instrumentos internacionales que no forman parte del sistema interamericano fue sólo referencial […], por lo que éstos no resultan de aplicación directa en el presente caso, observándose</w:t>
      </w:r>
      <w:r w:rsidR="004D0BB2">
        <w:rPr>
          <w:rFonts w:ascii="Verdana" w:hAnsi="Verdana"/>
          <w:sz w:val="20"/>
          <w:szCs w:val="20"/>
        </w:rPr>
        <w:t xml:space="preserve"> […]</w:t>
      </w:r>
      <w:r w:rsidRPr="002964A7">
        <w:rPr>
          <w:rFonts w:ascii="Verdana" w:hAnsi="Verdana"/>
          <w:sz w:val="20"/>
          <w:szCs w:val="20"/>
        </w:rPr>
        <w:t xml:space="preserve"> que la Corte […] no cuenta con </w:t>
      </w:r>
      <w:r w:rsidRPr="002964A7">
        <w:rPr>
          <w:rFonts w:ascii="Verdana" w:eastAsia="Times New Roman" w:hAnsi="Verdana"/>
          <w:sz w:val="20"/>
          <w:szCs w:val="20"/>
        </w:rPr>
        <w:t>competencia</w:t>
      </w:r>
      <w:r w:rsidRPr="002964A7">
        <w:rPr>
          <w:rFonts w:ascii="Verdana" w:hAnsi="Verdana"/>
          <w:sz w:val="20"/>
          <w:szCs w:val="20"/>
        </w:rPr>
        <w:t xml:space="preserve"> para declarar la vulneración de disposiciones conten</w:t>
      </w:r>
      <w:r w:rsidR="00DF4D3C" w:rsidRPr="002964A7">
        <w:rPr>
          <w:rFonts w:ascii="Verdana" w:hAnsi="Verdana"/>
          <w:sz w:val="20"/>
          <w:szCs w:val="20"/>
        </w:rPr>
        <w:t>id</w:t>
      </w:r>
      <w:r w:rsidRPr="002964A7">
        <w:rPr>
          <w:rFonts w:ascii="Verdana" w:hAnsi="Verdana"/>
          <w:sz w:val="20"/>
          <w:szCs w:val="20"/>
        </w:rPr>
        <w:t>as en aquellos tratados”</w:t>
      </w:r>
      <w:r w:rsidRPr="002964A7">
        <w:rPr>
          <w:rFonts w:ascii="Verdana" w:hAnsi="Verdana"/>
          <w:sz w:val="20"/>
          <w:szCs w:val="20"/>
          <w:vertAlign w:val="superscript"/>
        </w:rPr>
        <w:footnoteReference w:id="5"/>
      </w:r>
      <w:r w:rsidRPr="002964A7">
        <w:rPr>
          <w:rFonts w:ascii="Verdana" w:hAnsi="Verdana"/>
          <w:sz w:val="20"/>
          <w:szCs w:val="20"/>
        </w:rPr>
        <w:t>.</w:t>
      </w:r>
    </w:p>
    <w:p w:rsidR="00EA6EE3" w:rsidRPr="002964A7" w:rsidRDefault="00EA6EE3" w:rsidP="00EA6EE3">
      <w:pPr>
        <w:autoSpaceDE w:val="0"/>
        <w:autoSpaceDN w:val="0"/>
        <w:adjustRightInd w:val="0"/>
        <w:spacing w:after="0" w:line="240" w:lineRule="auto"/>
        <w:contextualSpacing/>
        <w:jc w:val="both"/>
        <w:rPr>
          <w:rFonts w:ascii="Verdana" w:eastAsia="Calibri" w:hAnsi="Verdana"/>
          <w:b/>
          <w:sz w:val="20"/>
          <w:szCs w:val="20"/>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rPr>
      </w:pPr>
      <w:r w:rsidRPr="002964A7">
        <w:rPr>
          <w:rFonts w:ascii="Verdana" w:hAnsi="Verdana"/>
          <w:sz w:val="20"/>
          <w:szCs w:val="20"/>
          <w:lang w:eastAsia="es-CR"/>
        </w:rPr>
        <w:t xml:space="preserve">Por otra parte, señaló que la Comisión en su Informe de </w:t>
      </w:r>
      <w:r w:rsidR="00204E9A">
        <w:rPr>
          <w:rFonts w:ascii="Verdana" w:hAnsi="Verdana"/>
          <w:sz w:val="20"/>
          <w:szCs w:val="20"/>
          <w:lang w:eastAsia="es-CR"/>
        </w:rPr>
        <w:t xml:space="preserve">Admisibilidad y </w:t>
      </w:r>
      <w:r w:rsidRPr="002964A7">
        <w:rPr>
          <w:rFonts w:ascii="Verdana" w:hAnsi="Verdana"/>
          <w:sz w:val="20"/>
          <w:szCs w:val="20"/>
          <w:lang w:eastAsia="es-CR"/>
        </w:rPr>
        <w:t xml:space="preserve">Fondo no alegó la </w:t>
      </w:r>
      <w:r w:rsidRPr="002964A7">
        <w:rPr>
          <w:rFonts w:ascii="Verdana" w:eastAsia="Times New Roman" w:hAnsi="Verdana"/>
          <w:sz w:val="20"/>
          <w:szCs w:val="20"/>
        </w:rPr>
        <w:t>vulneración</w:t>
      </w:r>
      <w:r w:rsidRPr="002964A7">
        <w:rPr>
          <w:rFonts w:ascii="Verdana" w:hAnsi="Verdana"/>
          <w:sz w:val="20"/>
          <w:szCs w:val="20"/>
          <w:lang w:eastAsia="es-CR"/>
        </w:rPr>
        <w:t xml:space="preserve"> del artículo 11 de la Convención que argumentan los representantes, por lo que </w:t>
      </w:r>
      <w:r w:rsidR="00335E16">
        <w:rPr>
          <w:rFonts w:ascii="Verdana" w:hAnsi="Verdana"/>
          <w:sz w:val="20"/>
          <w:szCs w:val="20"/>
          <w:lang w:eastAsia="es-CR"/>
        </w:rPr>
        <w:t>e</w:t>
      </w:r>
      <w:r w:rsidRPr="002964A7">
        <w:rPr>
          <w:rFonts w:ascii="Verdana" w:hAnsi="Verdana"/>
          <w:sz w:val="20"/>
          <w:szCs w:val="20"/>
          <w:lang w:eastAsia="es-CR"/>
        </w:rPr>
        <w:t>stos “est[arían] extendiendo el conjunto de derechos que la [Comisión] entiende fueron afectados por parte del Estado peruano”</w:t>
      </w:r>
      <w:r w:rsidRPr="002964A7">
        <w:rPr>
          <w:rFonts w:ascii="Verdana" w:hAnsi="Verdana"/>
          <w:sz w:val="20"/>
          <w:szCs w:val="20"/>
          <w:vertAlign w:val="superscript"/>
          <w:lang w:eastAsia="es-CR"/>
        </w:rPr>
        <w:footnoteReference w:id="6"/>
      </w:r>
      <w:r w:rsidRPr="002964A7">
        <w:rPr>
          <w:rFonts w:ascii="Verdana" w:hAnsi="Verdana"/>
          <w:sz w:val="20"/>
          <w:szCs w:val="20"/>
          <w:lang w:eastAsia="es-CR"/>
        </w:rPr>
        <w:t xml:space="preserve">. </w:t>
      </w:r>
    </w:p>
    <w:p w:rsidR="00EA6EE3" w:rsidRPr="002964A7" w:rsidRDefault="00EA6EE3" w:rsidP="00EA6EE3">
      <w:pPr>
        <w:autoSpaceDE w:val="0"/>
        <w:autoSpaceDN w:val="0"/>
        <w:adjustRightInd w:val="0"/>
        <w:spacing w:after="0" w:line="240" w:lineRule="auto"/>
        <w:ind w:right="15"/>
        <w:jc w:val="both"/>
        <w:rPr>
          <w:rFonts w:ascii="Verdana" w:hAnsi="Verdana"/>
          <w:sz w:val="20"/>
          <w:szCs w:val="20"/>
          <w:lang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 xml:space="preserve">En razón de lo anterior, el Perú solicitó a la Corte que “considere el </w:t>
      </w:r>
      <w:r w:rsidRPr="002964A7">
        <w:rPr>
          <w:rFonts w:ascii="Verdana" w:eastAsia="Times New Roman" w:hAnsi="Verdana"/>
          <w:sz w:val="20"/>
          <w:szCs w:val="20"/>
        </w:rPr>
        <w:t>reconocimiento</w:t>
      </w:r>
      <w:r w:rsidRPr="002964A7">
        <w:rPr>
          <w:rFonts w:ascii="Verdana" w:hAnsi="Verdana"/>
          <w:sz w:val="20"/>
          <w:szCs w:val="20"/>
          <w:lang w:eastAsia="es-CR"/>
        </w:rPr>
        <w:t xml:space="preserve"> del Estado en los términos antes referidos y relacionados a la afectación del Derecho a la vida, Derecho a la integridad personal, Derecho a la libertad personal y Derechos del niño, </w:t>
      </w:r>
      <w:r w:rsidRPr="002964A7">
        <w:rPr>
          <w:rFonts w:ascii="Verdana" w:hAnsi="Verdana"/>
          <w:sz w:val="20"/>
          <w:szCs w:val="20"/>
        </w:rPr>
        <w:t>establecidos en los artículos 4, 5, 7 y 19 de la Convención Americana”.</w:t>
      </w:r>
      <w:r w:rsidRPr="002964A7">
        <w:rPr>
          <w:rFonts w:ascii="Verdana" w:hAnsi="Verdana"/>
          <w:sz w:val="20"/>
          <w:szCs w:val="20"/>
          <w:lang w:eastAsia="es-CR"/>
        </w:rPr>
        <w:t xml:space="preserve"> Lo anterior, según el Estado, “debiera ser diferenciado en estricto de la exigibilidad de la imputación de responsabilidad internacional del Estado peruano por hechos acontecidos y sobre los cuales se ha reconocido las vulneraciones antes señaladas[,] pues para [el Estado] las </w:t>
      </w:r>
      <w:r w:rsidRPr="002964A7">
        <w:rPr>
          <w:rFonts w:ascii="Verdana" w:hAnsi="Verdana"/>
          <w:sz w:val="20"/>
          <w:szCs w:val="20"/>
          <w:lang w:eastAsia="es-CR"/>
        </w:rPr>
        <w:lastRenderedPageBreak/>
        <w:t xml:space="preserve">autoridades competentes de la administración de justicia nacional no omitieron su deber de investigación y procesamiento de los imputados </w:t>
      </w:r>
      <w:r w:rsidRPr="002964A7">
        <w:rPr>
          <w:rFonts w:ascii="Verdana" w:hAnsi="Verdana"/>
          <w:sz w:val="20"/>
          <w:szCs w:val="20"/>
        </w:rPr>
        <w:t>(más allá de falencias alegadas por la</w:t>
      </w:r>
      <w:r w:rsidRPr="002964A7">
        <w:rPr>
          <w:rFonts w:ascii="Verdana" w:hAnsi="Verdana"/>
          <w:sz w:val="20"/>
          <w:szCs w:val="20"/>
          <w:lang w:eastAsia="es-CR"/>
        </w:rPr>
        <w:t xml:space="preserve"> </w:t>
      </w:r>
      <w:r w:rsidRPr="002964A7">
        <w:rPr>
          <w:rFonts w:ascii="Verdana" w:hAnsi="Verdana"/>
          <w:sz w:val="20"/>
          <w:szCs w:val="20"/>
        </w:rPr>
        <w:t xml:space="preserve">[Comisión] </w:t>
      </w:r>
      <w:r w:rsidRPr="002964A7">
        <w:rPr>
          <w:rFonts w:ascii="Verdana" w:hAnsi="Verdana" w:cs="Arial"/>
          <w:sz w:val="20"/>
          <w:szCs w:val="20"/>
        </w:rPr>
        <w:t xml:space="preserve">y </w:t>
      </w:r>
      <w:r w:rsidRPr="002964A7">
        <w:rPr>
          <w:rFonts w:ascii="Verdana" w:hAnsi="Verdana"/>
          <w:sz w:val="20"/>
          <w:szCs w:val="20"/>
        </w:rPr>
        <w:t xml:space="preserve">los representantes de las presuntas víctimas) </w:t>
      </w:r>
      <w:r w:rsidRPr="002964A7">
        <w:rPr>
          <w:rFonts w:ascii="Verdana" w:hAnsi="Verdana"/>
          <w:sz w:val="20"/>
          <w:szCs w:val="20"/>
          <w:lang w:eastAsia="es-CR"/>
        </w:rPr>
        <w:t>relacionado con la obligación de garantía de los derechos mencionados y es consciente del deber de reparación que surge a razón de las violaciones”.</w:t>
      </w:r>
      <w:r w:rsidRPr="002964A7">
        <w:rPr>
          <w:rFonts w:ascii="Verdana" w:hAnsi="Verdana"/>
          <w:b/>
          <w:sz w:val="20"/>
          <w:szCs w:val="20"/>
          <w:lang w:eastAsia="es-CR"/>
        </w:rPr>
        <w:t xml:space="preserve"> </w:t>
      </w:r>
      <w:r w:rsidRPr="002964A7">
        <w:rPr>
          <w:rFonts w:ascii="Verdana" w:hAnsi="Verdana"/>
          <w:sz w:val="20"/>
          <w:szCs w:val="20"/>
          <w:lang w:eastAsia="es-CR"/>
        </w:rPr>
        <w:t>En la audiencia pública, el Perú señaló que “el reconocimiento para mantener la línea, justamente, vinculada con lo que el Estado planteó ante la Comisión Interamericana va en la línea de los artículos 4</w:t>
      </w:r>
      <w:r w:rsidR="004D0BB2">
        <w:rPr>
          <w:rFonts w:ascii="Verdana" w:hAnsi="Verdana"/>
          <w:sz w:val="20"/>
          <w:szCs w:val="20"/>
          <w:lang w:eastAsia="es-CR"/>
        </w:rPr>
        <w:t>, 5</w:t>
      </w:r>
      <w:r w:rsidRPr="002964A7">
        <w:rPr>
          <w:rFonts w:ascii="Verdana" w:hAnsi="Verdana"/>
          <w:sz w:val="20"/>
          <w:szCs w:val="20"/>
          <w:lang w:eastAsia="es-CR"/>
        </w:rPr>
        <w:t xml:space="preserve"> y 7 de la Convención”.</w:t>
      </w:r>
    </w:p>
    <w:p w:rsidR="00EA6EE3" w:rsidRPr="002964A7" w:rsidRDefault="00EA6EE3" w:rsidP="00EA6EE3">
      <w:pPr>
        <w:autoSpaceDE w:val="0"/>
        <w:autoSpaceDN w:val="0"/>
        <w:adjustRightInd w:val="0"/>
        <w:spacing w:after="0" w:line="240" w:lineRule="auto"/>
        <w:contextualSpacing/>
        <w:jc w:val="both"/>
        <w:rPr>
          <w:rFonts w:ascii="Verdana" w:hAnsi="Verdana"/>
          <w:sz w:val="20"/>
          <w:szCs w:val="20"/>
          <w:lang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 xml:space="preserve">Ahora bien, en sus alegatos finales escritos, el Estado señaló que, sin perjuicio del reconocimiento de la afectación de derechos realizada ante la Comisión y posteriormente confirmado por los órganos jurisdiccionales internos, no procede que la Corte determine y declare la responsabilidad internacional del Estado por la vulneración de los derechos contenidos en los artículos 4, 5, 7 y 19 de la Convención, </w:t>
      </w:r>
      <w:r w:rsidR="00DF4D3C" w:rsidRPr="00E15C93">
        <w:rPr>
          <w:rFonts w:ascii="Verdana" w:hAnsi="Verdana"/>
          <w:sz w:val="20"/>
          <w:szCs w:val="20"/>
          <w:lang w:eastAsia="es-CR"/>
        </w:rPr>
        <w:t xml:space="preserve">con </w:t>
      </w:r>
      <w:r w:rsidRPr="002A58A7">
        <w:rPr>
          <w:rFonts w:ascii="Verdana" w:hAnsi="Verdana"/>
          <w:sz w:val="20"/>
          <w:szCs w:val="20"/>
          <w:lang w:eastAsia="es-CR"/>
        </w:rPr>
        <w:t xml:space="preserve">base </w:t>
      </w:r>
      <w:r w:rsidR="00DF4D3C" w:rsidRPr="002A58A7">
        <w:rPr>
          <w:rFonts w:ascii="Verdana" w:hAnsi="Verdana"/>
          <w:sz w:val="20"/>
          <w:szCs w:val="20"/>
          <w:lang w:eastAsia="es-CR"/>
        </w:rPr>
        <w:t>en e</w:t>
      </w:r>
      <w:r w:rsidRPr="002A58A7">
        <w:rPr>
          <w:rFonts w:ascii="Verdana" w:hAnsi="Verdana"/>
          <w:sz w:val="20"/>
          <w:szCs w:val="20"/>
          <w:lang w:eastAsia="es-CR"/>
        </w:rPr>
        <w:t xml:space="preserve">l respeto irrestricto del principio de subsidiariedad o complementariedad en el </w:t>
      </w:r>
      <w:r w:rsidR="00407957">
        <w:rPr>
          <w:rFonts w:ascii="Verdana" w:hAnsi="Verdana"/>
          <w:sz w:val="20"/>
          <w:szCs w:val="20"/>
          <w:lang w:eastAsia="es-CR"/>
        </w:rPr>
        <w:t>s</w:t>
      </w:r>
      <w:r w:rsidRPr="002A58A7">
        <w:rPr>
          <w:rFonts w:ascii="Verdana" w:hAnsi="Verdana"/>
          <w:sz w:val="20"/>
          <w:szCs w:val="20"/>
          <w:lang w:eastAsia="es-CR"/>
        </w:rPr>
        <w:t xml:space="preserve">istema </w:t>
      </w:r>
      <w:r w:rsidR="00407957">
        <w:rPr>
          <w:rFonts w:ascii="Verdana" w:hAnsi="Verdana"/>
          <w:sz w:val="20"/>
          <w:szCs w:val="20"/>
          <w:lang w:eastAsia="es-CR"/>
        </w:rPr>
        <w:t>i</w:t>
      </w:r>
      <w:r w:rsidRPr="002A58A7">
        <w:rPr>
          <w:rFonts w:ascii="Verdana" w:hAnsi="Verdana"/>
          <w:sz w:val="20"/>
          <w:szCs w:val="20"/>
          <w:lang w:eastAsia="es-CR"/>
        </w:rPr>
        <w:t>nteramericano</w:t>
      </w:r>
      <w:r w:rsidRPr="002964A7">
        <w:rPr>
          <w:rFonts w:ascii="Verdana" w:hAnsi="Verdana"/>
          <w:sz w:val="20"/>
          <w:szCs w:val="20"/>
          <w:lang w:eastAsia="es-CR"/>
        </w:rPr>
        <w:t>.</w:t>
      </w:r>
      <w:r w:rsidRPr="002964A7">
        <w:rPr>
          <w:rFonts w:ascii="Verdana" w:hAnsi="Verdana"/>
          <w:b/>
          <w:sz w:val="20"/>
          <w:szCs w:val="20"/>
          <w:lang w:eastAsia="es-CR"/>
        </w:rPr>
        <w:t xml:space="preserve"> </w:t>
      </w:r>
      <w:r w:rsidRPr="002964A7">
        <w:rPr>
          <w:rFonts w:ascii="Verdana" w:hAnsi="Verdana"/>
          <w:sz w:val="20"/>
          <w:szCs w:val="20"/>
          <w:lang w:eastAsia="es-CR"/>
        </w:rPr>
        <w:t>Según el Perú, para el momento de la declaración del reconocimiento del Estado ante la Comisión, aún no se había emitido una resolución judicial final sobre los hechos.</w:t>
      </w:r>
      <w:r w:rsidRPr="002964A7">
        <w:rPr>
          <w:rFonts w:ascii="Verdana" w:hAnsi="Verdana"/>
          <w:b/>
          <w:sz w:val="20"/>
          <w:szCs w:val="20"/>
          <w:lang w:eastAsia="es-CR"/>
        </w:rPr>
        <w:t xml:space="preserve"> </w:t>
      </w:r>
      <w:r w:rsidRPr="002964A7">
        <w:rPr>
          <w:rFonts w:ascii="Verdana" w:hAnsi="Verdana"/>
          <w:sz w:val="20"/>
          <w:szCs w:val="20"/>
          <w:lang w:eastAsia="es-CR"/>
        </w:rPr>
        <w:t>Sin embargo, a la fecha todo ello ya se habría realizado a través de la sentencia de la Sala Penal Nacional de 9 de febrero de 2012 y la Ejecutoría Suprema de 29 de mayo de 2013. Con base en ello, solicitó a la Corte que no se pronuncie sobre las violaciones a los derechos mencionados. Asimismo, manifestó que las sentencias emitidas por el Poder Judicial peruano constituyen una medida de reparación para las víctimas del caso.</w:t>
      </w:r>
    </w:p>
    <w:p w:rsidR="00EA6EE3" w:rsidRPr="002964A7" w:rsidRDefault="00EA6EE3" w:rsidP="00EA6EE3">
      <w:pPr>
        <w:autoSpaceDE w:val="0"/>
        <w:autoSpaceDN w:val="0"/>
        <w:adjustRightInd w:val="0"/>
        <w:spacing w:after="0" w:line="240" w:lineRule="auto"/>
        <w:jc w:val="both"/>
        <w:rPr>
          <w:rFonts w:ascii="Verdana" w:hAnsi="Verdana"/>
          <w:sz w:val="20"/>
          <w:szCs w:val="20"/>
          <w:lang w:eastAsia="es-CR"/>
        </w:rPr>
      </w:pPr>
    </w:p>
    <w:p w:rsidR="00EA6EE3" w:rsidRPr="0001084C"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eastAsia="es-CR"/>
        </w:rPr>
      </w:pPr>
      <w:r w:rsidRPr="002964A7">
        <w:rPr>
          <w:rFonts w:ascii="Verdana" w:hAnsi="Verdana" w:cs="Arial"/>
          <w:sz w:val="20"/>
          <w:szCs w:val="20"/>
          <w:lang w:eastAsia="es-CR"/>
        </w:rPr>
        <w:t xml:space="preserve">En su Informe de Admisibilidad y Fondo, la </w:t>
      </w:r>
      <w:r w:rsidRPr="002964A7">
        <w:rPr>
          <w:rFonts w:ascii="Verdana" w:hAnsi="Verdana" w:cs="Arial"/>
          <w:b/>
          <w:i/>
          <w:sz w:val="20"/>
          <w:szCs w:val="20"/>
          <w:lang w:eastAsia="es-CR"/>
        </w:rPr>
        <w:t>Comisión</w:t>
      </w:r>
      <w:r w:rsidRPr="002964A7">
        <w:rPr>
          <w:rFonts w:ascii="Verdana" w:hAnsi="Verdana" w:cs="Arial"/>
          <w:sz w:val="20"/>
          <w:szCs w:val="20"/>
          <w:lang w:eastAsia="es-CR"/>
        </w:rPr>
        <w:t xml:space="preserve"> observó que en la tramitación del caso ante ella, el Estado negó inicialmente los hechos y, posteriormente, en el </w:t>
      </w:r>
      <w:r w:rsidRPr="002964A7">
        <w:rPr>
          <w:rFonts w:ascii="Verdana" w:hAnsi="Verdana" w:cs="HiddenHorzOCR"/>
          <w:sz w:val="20"/>
          <w:szCs w:val="20"/>
          <w:lang w:eastAsia="es-CR"/>
        </w:rPr>
        <w:t xml:space="preserve">año </w:t>
      </w:r>
      <w:r w:rsidRPr="002964A7">
        <w:rPr>
          <w:rFonts w:ascii="Verdana" w:hAnsi="Verdana" w:cs="Arial"/>
          <w:sz w:val="20"/>
          <w:szCs w:val="20"/>
          <w:lang w:eastAsia="es-CR"/>
        </w:rPr>
        <w:t xml:space="preserve">2005, reconoció que “[l]os actos </w:t>
      </w:r>
      <w:r w:rsidRPr="002964A7">
        <w:rPr>
          <w:rFonts w:ascii="Verdana" w:hAnsi="Verdana"/>
          <w:sz w:val="20"/>
          <w:szCs w:val="20"/>
          <w:lang w:eastAsia="es-CR"/>
        </w:rPr>
        <w:t>perpetrados</w:t>
      </w:r>
      <w:r w:rsidRPr="002964A7">
        <w:rPr>
          <w:rFonts w:ascii="Verdana" w:hAnsi="Verdana" w:cs="Arial"/>
          <w:sz w:val="20"/>
          <w:szCs w:val="20"/>
          <w:lang w:eastAsia="es-CR"/>
        </w:rPr>
        <w:t xml:space="preserve"> en la Comunidad de Santa Bárbara constituyen una violación al derecho a la libertad, a la vida y a la integridad física” consagrados, entre otros instrumentos internacionales, en la Convención Americana sobre Derec</w:t>
      </w:r>
      <w:r w:rsidR="00D24205">
        <w:rPr>
          <w:rFonts w:ascii="Verdana" w:hAnsi="Verdana" w:cs="Arial"/>
          <w:sz w:val="20"/>
          <w:szCs w:val="20"/>
          <w:lang w:eastAsia="es-CR"/>
        </w:rPr>
        <w:t>hos Humanos y en la Convención Intera</w:t>
      </w:r>
      <w:r w:rsidRPr="002964A7">
        <w:rPr>
          <w:rFonts w:ascii="Verdana" w:hAnsi="Verdana" w:cs="Arial"/>
          <w:sz w:val="20"/>
          <w:szCs w:val="20"/>
          <w:lang w:eastAsia="es-CR"/>
        </w:rPr>
        <w:t xml:space="preserve">mericana para Prevenir y Sancionar la Tortura, instrumentos internacionales que se encontraban vigentes al momento de la comisión de los hechos. Al respecto, entendió que el Estado reconoció “su responsabilidad por la violación de los artículos 4, 5 y 7 de la Convención Americana, así como de los otros instrumentos invocados”, valoró que el Estado haya aceptado su responsabilidad internacional en relación con estos aspectos del caso y otorgó </w:t>
      </w:r>
      <w:r w:rsidRPr="002964A7">
        <w:rPr>
          <w:rFonts w:ascii="Verdana" w:eastAsia="Times New Roman" w:hAnsi="Verdana"/>
          <w:sz w:val="20"/>
          <w:szCs w:val="20"/>
        </w:rPr>
        <w:t>pleno</w:t>
      </w:r>
      <w:r w:rsidRPr="002964A7">
        <w:rPr>
          <w:rFonts w:ascii="Verdana" w:hAnsi="Verdana" w:cs="Arial"/>
          <w:sz w:val="20"/>
          <w:szCs w:val="20"/>
          <w:lang w:eastAsia="es-CR"/>
        </w:rPr>
        <w:t xml:space="preserve"> efecto a dicho reconocimiento. No obstante, observó que el Estado se refirió a la aceptación de resp</w:t>
      </w:r>
      <w:r w:rsidR="000B7A12">
        <w:rPr>
          <w:rFonts w:ascii="Verdana" w:hAnsi="Verdana" w:cs="Arial"/>
          <w:sz w:val="20"/>
          <w:szCs w:val="20"/>
          <w:lang w:eastAsia="es-CR"/>
        </w:rPr>
        <w:t>onsabilidad en términos generale</w:t>
      </w:r>
      <w:r w:rsidRPr="002964A7">
        <w:rPr>
          <w:rFonts w:ascii="Verdana" w:hAnsi="Verdana" w:cs="Arial"/>
          <w:sz w:val="20"/>
          <w:szCs w:val="20"/>
          <w:lang w:eastAsia="es-CR"/>
        </w:rPr>
        <w:t>s, en relación con 14 de las 15 víctimas, sin que posteriormente el Perú hubiera hecho referencia a dicha aceptación de responsabilidad. Tampoco el Estado había “precisado sobre cuáles hechos específicos se aplica[ba</w:t>
      </w:r>
      <w:r w:rsidR="00597181">
        <w:rPr>
          <w:rFonts w:ascii="Verdana" w:hAnsi="Verdana" w:cs="Arial"/>
          <w:sz w:val="20"/>
          <w:szCs w:val="20"/>
          <w:lang w:eastAsia="es-CR"/>
        </w:rPr>
        <w:t>]”</w:t>
      </w:r>
      <w:r w:rsidRPr="002964A7">
        <w:rPr>
          <w:rFonts w:ascii="Verdana" w:hAnsi="Verdana" w:cs="Arial"/>
          <w:sz w:val="20"/>
          <w:szCs w:val="20"/>
          <w:lang w:eastAsia="es-CR"/>
        </w:rPr>
        <w:t xml:space="preserve"> </w:t>
      </w:r>
      <w:r w:rsidR="005B285D">
        <w:rPr>
          <w:rFonts w:ascii="Verdana" w:hAnsi="Verdana" w:cs="Arial"/>
          <w:sz w:val="20"/>
          <w:szCs w:val="20"/>
          <w:lang w:eastAsia="es-CR"/>
        </w:rPr>
        <w:t>dicho reconocimiento</w:t>
      </w:r>
      <w:r w:rsidRPr="002964A7">
        <w:rPr>
          <w:rFonts w:ascii="Verdana" w:hAnsi="Verdana" w:cs="Arial"/>
          <w:sz w:val="20"/>
          <w:szCs w:val="20"/>
          <w:lang w:eastAsia="es-CR"/>
        </w:rPr>
        <w:t xml:space="preserve"> y no había aceptado responsabilidad en relación con los reclamos presentados respecto de los artículos 8 y 25 de la Convención Americana. </w:t>
      </w:r>
      <w:r w:rsidR="0001084C" w:rsidRPr="00CB2948">
        <w:rPr>
          <w:rFonts w:ascii="Verdana" w:hAnsi="Verdana" w:cs="Arial"/>
          <w:sz w:val="20"/>
          <w:szCs w:val="20"/>
          <w:lang w:eastAsia="es-CR"/>
        </w:rPr>
        <w:t>Asimismo, y en sentido distinto, señaló que</w:t>
      </w:r>
      <w:r w:rsidR="0001084C">
        <w:rPr>
          <w:rFonts w:ascii="Verdana" w:hAnsi="Verdana" w:cs="Arial"/>
          <w:b/>
          <w:sz w:val="20"/>
          <w:szCs w:val="20"/>
          <w:lang w:eastAsia="es-CR"/>
        </w:rPr>
        <w:t xml:space="preserve"> </w:t>
      </w:r>
      <w:r w:rsidR="0001084C">
        <w:rPr>
          <w:rFonts w:ascii="Verdana" w:eastAsia="Calibri" w:hAnsi="Verdana" w:cs="Arial"/>
          <w:sz w:val="20"/>
          <w:szCs w:val="20"/>
        </w:rPr>
        <w:t>en</w:t>
      </w:r>
      <w:r w:rsidR="0001084C" w:rsidRPr="002964A7">
        <w:rPr>
          <w:rFonts w:ascii="Verdana" w:eastAsia="Calibri" w:hAnsi="Verdana" w:cs="Arial"/>
          <w:sz w:val="20"/>
          <w:szCs w:val="20"/>
        </w:rPr>
        <w:t xml:space="preserve"> el marco del trámite ante </w:t>
      </w:r>
      <w:r w:rsidR="0001084C">
        <w:rPr>
          <w:rFonts w:ascii="Verdana" w:eastAsia="Calibri" w:hAnsi="Verdana" w:cs="Arial"/>
          <w:sz w:val="20"/>
          <w:szCs w:val="20"/>
        </w:rPr>
        <w:t>ella</w:t>
      </w:r>
      <w:r w:rsidR="0001084C" w:rsidRPr="002964A7">
        <w:rPr>
          <w:rFonts w:ascii="Verdana" w:eastAsia="Calibri" w:hAnsi="Verdana" w:cs="Arial"/>
          <w:sz w:val="20"/>
          <w:szCs w:val="20"/>
        </w:rPr>
        <w:t xml:space="preserve">, en </w:t>
      </w:r>
      <w:r w:rsidR="0001084C">
        <w:rPr>
          <w:rFonts w:ascii="Verdana" w:eastAsia="Calibri" w:hAnsi="Verdana" w:cs="Arial"/>
          <w:sz w:val="20"/>
          <w:szCs w:val="20"/>
        </w:rPr>
        <w:t>“</w:t>
      </w:r>
      <w:r w:rsidR="0001084C" w:rsidRPr="002964A7">
        <w:rPr>
          <w:rFonts w:ascii="Verdana" w:eastAsia="Calibri" w:hAnsi="Verdana" w:cs="Arial"/>
          <w:sz w:val="20"/>
          <w:szCs w:val="20"/>
        </w:rPr>
        <w:t xml:space="preserve">septiembre de 1991, es decir, dos meses después de ocurridos los hechos, el Estado indicó que se había podido determinar que 14 miembros de la comunidad campesina de Santa Bárbara habían sido retenidos el 4 de julio de 1991 </w:t>
      </w:r>
      <w:r w:rsidR="0001084C" w:rsidRPr="002964A7">
        <w:rPr>
          <w:rFonts w:ascii="Verdana" w:eastAsia="Calibri" w:hAnsi="Verdana"/>
          <w:sz w:val="20"/>
          <w:szCs w:val="20"/>
        </w:rPr>
        <w:t xml:space="preserve">y </w:t>
      </w:r>
      <w:r w:rsidR="0001084C" w:rsidRPr="002964A7">
        <w:rPr>
          <w:rFonts w:ascii="Verdana" w:eastAsia="Calibri" w:hAnsi="Verdana" w:cs="Arial"/>
          <w:sz w:val="20"/>
          <w:szCs w:val="20"/>
        </w:rPr>
        <w:t>que hasta ese momento se encontraban desaparecidos, ya que no se había demostrado que los restos hallados en el sector de Rodeo</w:t>
      </w:r>
      <w:r w:rsidR="00597181">
        <w:rPr>
          <w:rFonts w:ascii="Verdana" w:eastAsia="Calibri" w:hAnsi="Verdana" w:cs="Arial"/>
          <w:sz w:val="20"/>
          <w:szCs w:val="20"/>
        </w:rPr>
        <w:t xml:space="preserve"> P</w:t>
      </w:r>
      <w:r w:rsidR="0001084C" w:rsidRPr="002964A7">
        <w:rPr>
          <w:rFonts w:ascii="Verdana" w:eastAsia="Calibri" w:hAnsi="Verdana" w:cs="Arial"/>
          <w:sz w:val="20"/>
          <w:szCs w:val="20"/>
        </w:rPr>
        <w:t>ampa</w:t>
      </w:r>
      <w:r w:rsidR="0087243E">
        <w:rPr>
          <w:rFonts w:ascii="Verdana" w:eastAsia="Calibri" w:hAnsi="Verdana" w:cs="Arial"/>
          <w:sz w:val="20"/>
          <w:szCs w:val="20"/>
        </w:rPr>
        <w:t xml:space="preserve"> [</w:t>
      </w:r>
      <w:r w:rsidR="0087243E">
        <w:rPr>
          <w:rFonts w:ascii="Verdana" w:eastAsia="Calibri" w:hAnsi="Verdana" w:cs="Arial"/>
          <w:i/>
          <w:sz w:val="20"/>
          <w:szCs w:val="20"/>
        </w:rPr>
        <w:t>sic</w:t>
      </w:r>
      <w:r w:rsidR="0087243E">
        <w:rPr>
          <w:rFonts w:ascii="Verdana" w:eastAsia="Calibri" w:hAnsi="Verdana" w:cs="Arial"/>
          <w:sz w:val="20"/>
          <w:szCs w:val="20"/>
        </w:rPr>
        <w:t>]</w:t>
      </w:r>
      <w:r w:rsidR="0001084C" w:rsidRPr="002964A7">
        <w:rPr>
          <w:rFonts w:ascii="Verdana" w:eastAsia="Calibri" w:hAnsi="Verdana" w:cs="Arial"/>
          <w:sz w:val="20"/>
          <w:szCs w:val="20"/>
        </w:rPr>
        <w:t xml:space="preserve"> pertenecieran a las personas desaparecidas</w:t>
      </w:r>
      <w:r w:rsidR="0001084C">
        <w:rPr>
          <w:rFonts w:ascii="Verdana" w:eastAsia="Calibri" w:hAnsi="Verdana" w:cs="Arial"/>
          <w:sz w:val="20"/>
          <w:szCs w:val="20"/>
        </w:rPr>
        <w:t>”</w:t>
      </w:r>
      <w:r w:rsidR="0001084C" w:rsidRPr="002964A7">
        <w:rPr>
          <w:rFonts w:ascii="Verdana" w:eastAsia="Calibri" w:hAnsi="Verdana" w:cs="Arial"/>
          <w:sz w:val="20"/>
          <w:szCs w:val="20"/>
        </w:rPr>
        <w:t>. Posteriormente, el Estado no hab</w:t>
      </w:r>
      <w:r w:rsidR="0001084C">
        <w:rPr>
          <w:rFonts w:ascii="Verdana" w:eastAsia="Calibri" w:hAnsi="Verdana" w:cs="Arial"/>
          <w:sz w:val="20"/>
          <w:szCs w:val="20"/>
        </w:rPr>
        <w:t>r</w:t>
      </w:r>
      <w:r w:rsidR="0001084C" w:rsidRPr="002964A7">
        <w:rPr>
          <w:rFonts w:ascii="Verdana" w:eastAsia="Calibri" w:hAnsi="Verdana" w:cs="Arial"/>
          <w:sz w:val="20"/>
          <w:szCs w:val="20"/>
        </w:rPr>
        <w:t>ía contradicho la calificación de los hechos del presente caso</w:t>
      </w:r>
      <w:r w:rsidR="0001084C" w:rsidRPr="002964A7">
        <w:rPr>
          <w:rFonts w:ascii="Verdana" w:hAnsi="Verdana" w:cs="Arial"/>
          <w:sz w:val="20"/>
          <w:szCs w:val="20"/>
          <w:lang w:val="es-VE" w:eastAsia="es-CR"/>
        </w:rPr>
        <w:t xml:space="preserve"> </w:t>
      </w:r>
      <w:r w:rsidR="0001084C" w:rsidRPr="002964A7">
        <w:rPr>
          <w:rFonts w:ascii="Verdana" w:eastAsia="Calibri" w:hAnsi="Verdana" w:cs="Arial"/>
          <w:sz w:val="20"/>
          <w:szCs w:val="20"/>
        </w:rPr>
        <w:t>como desaparición forzada.</w:t>
      </w:r>
      <w:r w:rsidR="0001084C">
        <w:rPr>
          <w:rFonts w:ascii="Verdana" w:hAnsi="Verdana"/>
          <w:b/>
          <w:sz w:val="20"/>
          <w:szCs w:val="20"/>
          <w:lang w:eastAsia="es-CR"/>
        </w:rPr>
        <w:t xml:space="preserve"> </w:t>
      </w:r>
      <w:r w:rsidRPr="0001084C">
        <w:rPr>
          <w:rFonts w:ascii="Verdana" w:hAnsi="Verdana"/>
          <w:sz w:val="20"/>
          <w:szCs w:val="20"/>
        </w:rPr>
        <w:t>En la audiencia pública, la Comisión “consider[ó] que existe</w:t>
      </w:r>
      <w:r w:rsidR="00597181">
        <w:rPr>
          <w:rFonts w:ascii="Verdana" w:hAnsi="Verdana"/>
          <w:sz w:val="20"/>
          <w:szCs w:val="20"/>
        </w:rPr>
        <w:t xml:space="preserve"> […]</w:t>
      </w:r>
      <w:r w:rsidRPr="0001084C">
        <w:rPr>
          <w:rFonts w:ascii="Verdana" w:hAnsi="Verdana"/>
          <w:sz w:val="20"/>
          <w:szCs w:val="20"/>
        </w:rPr>
        <w:t xml:space="preserve"> un reconocimiento estatal de los hechos del caso”, ya que el Perú “</w:t>
      </w:r>
      <w:r w:rsidRPr="00FF3875">
        <w:rPr>
          <w:rFonts w:ascii="Verdana" w:hAnsi="Verdana"/>
          <w:sz w:val="20"/>
          <w:szCs w:val="20"/>
          <w:lang w:eastAsia="es-CR"/>
        </w:rPr>
        <w:t>asume como marco fáctico del caso las decisiones de la Sala Penal Nacional y, posteriormente, de la Corte Suprema de Justicia”,</w:t>
      </w:r>
      <w:r w:rsidRPr="00FF3875">
        <w:rPr>
          <w:rFonts w:ascii="Verdana" w:hAnsi="Verdana"/>
          <w:sz w:val="20"/>
          <w:szCs w:val="20"/>
        </w:rPr>
        <w:t xml:space="preserve"> y que dicho reconocimiento debe surtir efectos bajo el Reglamento de la Corte. Asimismo, señaló que “</w:t>
      </w:r>
      <w:r w:rsidRPr="00FF3875">
        <w:rPr>
          <w:rFonts w:ascii="Verdana" w:hAnsi="Verdana"/>
          <w:sz w:val="20"/>
          <w:szCs w:val="20"/>
          <w:lang w:eastAsia="es-CR"/>
        </w:rPr>
        <w:t>corresponde a la […] Corte efectuar la calificación jurídica de los hechos bajo la Convención Americana sin que los artículos invocados po</w:t>
      </w:r>
      <w:r w:rsidRPr="0001084C">
        <w:rPr>
          <w:rFonts w:ascii="Verdana" w:hAnsi="Verdana"/>
          <w:sz w:val="20"/>
          <w:szCs w:val="20"/>
          <w:lang w:eastAsia="es-CR"/>
        </w:rPr>
        <w:t>r el Estado limiten esa calificación”.</w:t>
      </w:r>
    </w:p>
    <w:p w:rsidR="00EA6EE3" w:rsidRPr="002964A7" w:rsidRDefault="00EA6EE3" w:rsidP="00EA6EE3">
      <w:pPr>
        <w:spacing w:after="0" w:line="240" w:lineRule="auto"/>
        <w:contextualSpacing/>
        <w:jc w:val="both"/>
        <w:rPr>
          <w:rFonts w:ascii="Verdana" w:eastAsia="Calibri" w:hAnsi="Verdana" w:cs="Arial"/>
          <w:b/>
          <w:strike/>
          <w:sz w:val="20"/>
          <w:szCs w:val="20"/>
          <w:lang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2964A7">
        <w:rPr>
          <w:rFonts w:ascii="Verdana" w:hAnsi="Verdana" w:cs="Arial"/>
          <w:sz w:val="20"/>
          <w:szCs w:val="20"/>
          <w:lang w:eastAsia="es-CR"/>
        </w:rPr>
        <w:t xml:space="preserve">En su escrito de solicitudes y argumentos, los </w:t>
      </w:r>
      <w:r w:rsidRPr="002964A7">
        <w:rPr>
          <w:rFonts w:ascii="Verdana" w:hAnsi="Verdana" w:cs="Arial"/>
          <w:b/>
          <w:i/>
          <w:sz w:val="20"/>
          <w:szCs w:val="20"/>
          <w:lang w:eastAsia="es-CR"/>
        </w:rPr>
        <w:t>representantes</w:t>
      </w:r>
      <w:r w:rsidRPr="002964A7">
        <w:rPr>
          <w:rFonts w:ascii="Verdana" w:hAnsi="Verdana" w:cs="Arial"/>
          <w:sz w:val="20"/>
          <w:szCs w:val="20"/>
          <w:lang w:eastAsia="es-CR"/>
        </w:rPr>
        <w:t xml:space="preserve"> solicitaron que la Corte </w:t>
      </w:r>
      <w:r w:rsidRPr="002964A7">
        <w:rPr>
          <w:rFonts w:ascii="Verdana" w:hAnsi="Verdana" w:cs="Arial"/>
          <w:sz w:val="20"/>
          <w:szCs w:val="20"/>
        </w:rPr>
        <w:t xml:space="preserve">a la hora de valorar la responsabilidad internacional del Estado tome en cuenta el reconocimiento de responsabilidad presentado por </w:t>
      </w:r>
      <w:r w:rsidR="00082D5B">
        <w:rPr>
          <w:rFonts w:ascii="Verdana" w:hAnsi="Verdana" w:cs="Arial"/>
          <w:sz w:val="20"/>
          <w:szCs w:val="20"/>
        </w:rPr>
        <w:t>e</w:t>
      </w:r>
      <w:r w:rsidRPr="002964A7">
        <w:rPr>
          <w:rFonts w:ascii="Verdana" w:hAnsi="Verdana" w:cs="Arial"/>
          <w:sz w:val="20"/>
          <w:szCs w:val="20"/>
        </w:rPr>
        <w:t xml:space="preserve">ste ante la Comisión, y que aún en el caso en que la Corte considere que el mismo hace cesar la controversia acerca de parte de este proceso, desarrolle </w:t>
      </w:r>
      <w:r w:rsidRPr="002964A7">
        <w:rPr>
          <w:rFonts w:ascii="Verdana" w:hAnsi="Verdana" w:cs="Arial"/>
          <w:i/>
          <w:sz w:val="20"/>
          <w:szCs w:val="20"/>
        </w:rPr>
        <w:t>in extenso</w:t>
      </w:r>
      <w:r w:rsidRPr="002964A7">
        <w:rPr>
          <w:rFonts w:ascii="Verdana" w:hAnsi="Verdana" w:cs="Arial"/>
          <w:sz w:val="20"/>
          <w:szCs w:val="20"/>
        </w:rPr>
        <w:t xml:space="preserve"> los hechos a los que se refiere este caso, así como los derechos que fueron violados a raíz</w:t>
      </w:r>
      <w:r w:rsidRPr="002964A7">
        <w:rPr>
          <w:rFonts w:ascii="Verdana" w:hAnsi="Verdana" w:cs="Arial"/>
          <w:sz w:val="20"/>
          <w:szCs w:val="20"/>
          <w:lang w:eastAsia="es-CR"/>
        </w:rPr>
        <w:t xml:space="preserve"> </w:t>
      </w:r>
      <w:r w:rsidRPr="002964A7">
        <w:rPr>
          <w:rFonts w:ascii="Verdana" w:hAnsi="Verdana" w:cs="Arial"/>
          <w:sz w:val="20"/>
          <w:szCs w:val="20"/>
        </w:rPr>
        <w:t>de su ocurrencia, por cuanto dicho análisis “constituye una forma de reparación para las víctimas y sus familiares y, a su vez, contribuye a la preservación de la memoria histórica, a evitar que se repitan hechos similares y a satisfacer, en suma, los fines de</w:t>
      </w:r>
      <w:r w:rsidRPr="002964A7">
        <w:rPr>
          <w:rFonts w:ascii="Verdana" w:hAnsi="Verdana" w:cs="Arial"/>
          <w:sz w:val="20"/>
          <w:szCs w:val="20"/>
          <w:lang w:eastAsia="es-CR"/>
        </w:rPr>
        <w:t xml:space="preserve"> la </w:t>
      </w:r>
      <w:r w:rsidRPr="002964A7">
        <w:rPr>
          <w:rFonts w:ascii="Verdana" w:hAnsi="Verdana" w:cs="Arial"/>
          <w:sz w:val="20"/>
          <w:szCs w:val="20"/>
        </w:rPr>
        <w:t>jurisdicción interamericana sobre derechos humanos”.</w:t>
      </w:r>
      <w:r w:rsidR="00597181">
        <w:rPr>
          <w:rFonts w:ascii="Verdana" w:hAnsi="Verdana" w:cs="Arial"/>
          <w:b/>
          <w:sz w:val="20"/>
          <w:szCs w:val="20"/>
          <w:lang w:eastAsia="es-CR"/>
        </w:rPr>
        <w:t xml:space="preserve"> </w:t>
      </w:r>
      <w:r w:rsidRPr="002964A7">
        <w:rPr>
          <w:rFonts w:ascii="Verdana" w:hAnsi="Verdana"/>
          <w:sz w:val="20"/>
          <w:szCs w:val="20"/>
          <w:lang w:eastAsia="es-CR"/>
        </w:rPr>
        <w:t>En la audiencia, los representantes recordaron que “frente a un reconocimiento de responsabilidad, como el que hizo el Estado, aún compete a la Corte realizar una calificación jurídica” de los hechos del caso.</w:t>
      </w:r>
      <w:r w:rsidRPr="002964A7">
        <w:rPr>
          <w:rFonts w:ascii="Verdana" w:hAnsi="Verdana" w:cs="Arial"/>
          <w:sz w:val="20"/>
          <w:szCs w:val="20"/>
          <w:lang w:eastAsia="es-CR"/>
        </w:rPr>
        <w:t xml:space="preserve"> En sus alegatos finales escritos señalaron que</w:t>
      </w:r>
      <w:r w:rsidR="004E1B9B">
        <w:rPr>
          <w:rFonts w:ascii="Verdana" w:hAnsi="Verdana" w:cs="Arial"/>
          <w:sz w:val="20"/>
          <w:szCs w:val="20"/>
          <w:lang w:eastAsia="es-CR"/>
        </w:rPr>
        <w:t>,</w:t>
      </w:r>
      <w:r w:rsidRPr="002964A7">
        <w:rPr>
          <w:rFonts w:ascii="Verdana" w:hAnsi="Verdana" w:cs="Arial"/>
          <w:sz w:val="20"/>
          <w:szCs w:val="20"/>
          <w:lang w:eastAsia="es-CR"/>
        </w:rPr>
        <w:t xml:space="preserve"> a</w:t>
      </w:r>
      <w:r w:rsidR="00FB1CE8" w:rsidRPr="002964A7">
        <w:rPr>
          <w:rFonts w:ascii="Verdana" w:hAnsi="Verdana" w:cs="Arial"/>
          <w:sz w:val="20"/>
          <w:szCs w:val="20"/>
          <w:lang w:eastAsia="es-CR"/>
        </w:rPr>
        <w:t xml:space="preserve">nte la pregunta del Juez Ferrer </w:t>
      </w:r>
      <w:r w:rsidRPr="002964A7">
        <w:rPr>
          <w:rFonts w:ascii="Verdana" w:hAnsi="Verdana" w:cs="Arial"/>
          <w:sz w:val="20"/>
          <w:szCs w:val="20"/>
          <w:lang w:eastAsia="es-CR"/>
        </w:rPr>
        <w:t>M</w:t>
      </w:r>
      <w:r w:rsidR="00FB1CE8" w:rsidRPr="002964A7">
        <w:rPr>
          <w:rFonts w:ascii="Verdana" w:hAnsi="Verdana" w:cs="Arial"/>
          <w:sz w:val="20"/>
          <w:szCs w:val="20"/>
          <w:lang w:eastAsia="es-CR"/>
        </w:rPr>
        <w:t>a</w:t>
      </w:r>
      <w:r w:rsidRPr="002964A7">
        <w:rPr>
          <w:rFonts w:ascii="Verdana" w:hAnsi="Verdana" w:cs="Arial"/>
          <w:sz w:val="20"/>
          <w:szCs w:val="20"/>
          <w:lang w:eastAsia="es-CR"/>
        </w:rPr>
        <w:t>c</w:t>
      </w:r>
      <w:r w:rsidR="00FB1CE8" w:rsidRPr="002964A7">
        <w:rPr>
          <w:rFonts w:ascii="Verdana" w:hAnsi="Verdana" w:cs="Arial"/>
          <w:sz w:val="20"/>
          <w:szCs w:val="20"/>
          <w:lang w:eastAsia="es-CR"/>
        </w:rPr>
        <w:t>-</w:t>
      </w:r>
      <w:r w:rsidRPr="002964A7">
        <w:rPr>
          <w:rFonts w:ascii="Verdana" w:hAnsi="Verdana" w:cs="Arial"/>
          <w:sz w:val="20"/>
          <w:szCs w:val="20"/>
          <w:lang w:eastAsia="es-CR"/>
        </w:rPr>
        <w:t>Gregor, durante la audiencia pública el Estado reconoció como violados los artículos 4, 5 y 7 de la Convención. Asimismo, sostuvieron que el Estado no controvirtió los hechos centrales del caso y que no puede invocar el reconocimiento con la finalidad de limitar el alcance del examen de los derechos violados.</w:t>
      </w:r>
    </w:p>
    <w:p w:rsidR="00EA6EE3" w:rsidRPr="002964A7" w:rsidRDefault="00EA6EE3" w:rsidP="001154F9">
      <w:pPr>
        <w:pStyle w:val="Heading3"/>
        <w:numPr>
          <w:ilvl w:val="0"/>
          <w:numId w:val="18"/>
        </w:numPr>
        <w:rPr>
          <w:lang w:eastAsia="es-CR"/>
        </w:rPr>
      </w:pPr>
      <w:bookmarkStart w:id="52" w:name="_Toc421864924"/>
      <w:bookmarkStart w:id="53" w:name="_Toc423102505"/>
      <w:bookmarkStart w:id="54" w:name="_Toc433387459"/>
      <w:r w:rsidRPr="002964A7">
        <w:rPr>
          <w:lang w:eastAsia="es-CR"/>
        </w:rPr>
        <w:t>Consideraciones de la Corte</w:t>
      </w:r>
      <w:bookmarkEnd w:id="52"/>
      <w:bookmarkEnd w:id="53"/>
      <w:bookmarkEnd w:id="54"/>
      <w:r w:rsidRPr="002964A7">
        <w:rPr>
          <w:lang w:eastAsia="es-CR"/>
        </w:rPr>
        <w:t xml:space="preserve"> </w:t>
      </w:r>
    </w:p>
    <w:p w:rsidR="00EA6EE3" w:rsidRPr="00637BF1" w:rsidRDefault="00EA6EE3" w:rsidP="00EA6EE3">
      <w:pPr>
        <w:autoSpaceDE w:val="0"/>
        <w:autoSpaceDN w:val="0"/>
        <w:adjustRightInd w:val="0"/>
        <w:spacing w:after="0" w:line="240" w:lineRule="auto"/>
        <w:ind w:right="15"/>
        <w:jc w:val="both"/>
        <w:rPr>
          <w:rFonts w:ascii="Verdana" w:hAnsi="Verdana"/>
          <w:b/>
          <w:i/>
          <w:sz w:val="16"/>
          <w:szCs w:val="20"/>
          <w:lang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lang w:val="es-AR" w:eastAsia="es-CR"/>
        </w:rPr>
        <w:t>De conformidad con los artículos 62 y 64 del Reglamento</w:t>
      </w:r>
      <w:r w:rsidRPr="002964A7">
        <w:rPr>
          <w:rFonts w:ascii="Verdana" w:hAnsi="Verdana"/>
          <w:spacing w:val="-2"/>
          <w:sz w:val="20"/>
          <w:szCs w:val="20"/>
          <w:vertAlign w:val="superscript"/>
          <w:lang w:val="es-AR" w:eastAsia="es-CR"/>
        </w:rPr>
        <w:footnoteReference w:id="7"/>
      </w:r>
      <w:r w:rsidRPr="002964A7">
        <w:rPr>
          <w:rFonts w:ascii="Verdana" w:hAnsi="Verdana"/>
          <w:spacing w:val="-2"/>
          <w:sz w:val="20"/>
          <w:szCs w:val="20"/>
          <w:lang w:val="es-AR" w:eastAsia="es-CR"/>
        </w:rPr>
        <w:t xml:space="preserve">, y en ejercicio de sus poderes de tutela judicial internacional de derechos humanos, cuestión de orden público internacional que trasciende la voluntad de las partes, </w:t>
      </w:r>
      <w:r w:rsidR="00597181" w:rsidRPr="002964A7">
        <w:rPr>
          <w:rFonts w:ascii="Verdana" w:hAnsi="Verdana"/>
          <w:spacing w:val="-2"/>
          <w:sz w:val="20"/>
          <w:szCs w:val="20"/>
          <w:lang w:val="es-AR" w:eastAsia="es-CR"/>
        </w:rPr>
        <w:t>corresponde</w:t>
      </w:r>
      <w:r w:rsidRPr="002964A7">
        <w:rPr>
          <w:rFonts w:ascii="Verdana" w:hAnsi="Verdana"/>
          <w:spacing w:val="-2"/>
          <w:sz w:val="20"/>
          <w:szCs w:val="20"/>
          <w:lang w:val="es-AR" w:eastAsia="es-CR"/>
        </w:rPr>
        <w:t xml:space="preserve"> a este Tribunal velar porque los actos de reconocimiento de responsabilidad resulten aceptables para los fines que busca cumplir el sistema interamericano. Esta tarea no se limita únicamente a constatar, registrar o tomar nota del reconocimiento efectuado por el Estado, o a verificar las condiciones formales de los mencionados actos, sino que los debe confrontar con la naturaleza y gravedad de las violaciones alegadas, las exigencias e interés de la justicia, las circunstancias particulares del caso concreto y la actitud y posición de las partes</w:t>
      </w:r>
      <w:r w:rsidRPr="002964A7">
        <w:rPr>
          <w:rFonts w:ascii="Verdana" w:hAnsi="Verdana"/>
          <w:spacing w:val="-2"/>
          <w:sz w:val="20"/>
          <w:szCs w:val="20"/>
          <w:vertAlign w:val="superscript"/>
          <w:lang w:val="es-AR" w:eastAsia="es-CR"/>
        </w:rPr>
        <w:footnoteReference w:id="8"/>
      </w:r>
      <w:r w:rsidRPr="002964A7">
        <w:rPr>
          <w:rFonts w:ascii="Verdana" w:hAnsi="Verdana"/>
          <w:spacing w:val="-2"/>
          <w:sz w:val="20"/>
          <w:szCs w:val="20"/>
          <w:lang w:val="es-AR" w:eastAsia="es-CR"/>
        </w:rPr>
        <w:t>, de manera tal que pueda precisar, en cuanto sea posible y en el ejercicio de su competencia, la verdad de lo acontecido</w:t>
      </w:r>
      <w:r w:rsidRPr="002964A7">
        <w:rPr>
          <w:rFonts w:ascii="Verdana" w:hAnsi="Verdana"/>
          <w:spacing w:val="-2"/>
          <w:sz w:val="20"/>
          <w:szCs w:val="20"/>
          <w:vertAlign w:val="superscript"/>
          <w:lang w:val="es-AR" w:eastAsia="es-CR"/>
        </w:rPr>
        <w:footnoteReference w:id="9"/>
      </w:r>
      <w:r w:rsidRPr="002964A7">
        <w:rPr>
          <w:rFonts w:ascii="Verdana" w:hAnsi="Verdana"/>
          <w:spacing w:val="-2"/>
          <w:sz w:val="20"/>
          <w:szCs w:val="20"/>
          <w:lang w:val="es-AR" w:eastAsia="es-CR"/>
        </w:rPr>
        <w:t>. La</w:t>
      </w:r>
      <w:r w:rsidRPr="002964A7">
        <w:rPr>
          <w:rFonts w:ascii="Verdana" w:hAnsi="Verdana"/>
          <w:spacing w:val="-2"/>
          <w:sz w:val="20"/>
          <w:szCs w:val="20"/>
          <w:lang w:eastAsia="es-CR"/>
        </w:rPr>
        <w:t xml:space="preserve"> </w:t>
      </w:r>
      <w:r w:rsidRPr="002964A7">
        <w:rPr>
          <w:rFonts w:ascii="Verdana" w:hAnsi="Verdana"/>
          <w:spacing w:val="-2"/>
          <w:sz w:val="20"/>
          <w:szCs w:val="20"/>
          <w:lang w:val="es-AR" w:eastAsia="es-CR"/>
        </w:rPr>
        <w:t>Corte advierte que el reconocimiento de hechos y violaciones puntuales y específicos puede tener efectos y consecuencias en el análisis que haga este Tribunal sobre los demás hechos y violaciones alegados en un mismo caso, en la medida en que todos forman parte de un mismo conjunto de circunstancias.</w:t>
      </w:r>
    </w:p>
    <w:p w:rsidR="00EA6EE3" w:rsidRPr="002964A7" w:rsidRDefault="00EA6EE3" w:rsidP="00EA6EE3">
      <w:pPr>
        <w:spacing w:after="0" w:line="240" w:lineRule="auto"/>
        <w:contextualSpacing/>
        <w:jc w:val="both"/>
        <w:rPr>
          <w:rFonts w:ascii="Verdana" w:eastAsia="Calibri" w:hAnsi="Verdana"/>
          <w:spacing w:val="-2"/>
          <w:sz w:val="20"/>
          <w:szCs w:val="20"/>
        </w:rPr>
      </w:pPr>
    </w:p>
    <w:p w:rsidR="00EA6EE3" w:rsidRDefault="00EA6EE3" w:rsidP="001154F9">
      <w:pPr>
        <w:pStyle w:val="ListParagraph"/>
        <w:numPr>
          <w:ilvl w:val="0"/>
          <w:numId w:val="7"/>
        </w:numPr>
        <w:spacing w:line="240" w:lineRule="auto"/>
        <w:ind w:left="0" w:firstLine="0"/>
        <w:jc w:val="both"/>
        <w:rPr>
          <w:iCs/>
          <w:lang w:eastAsia="es-CR"/>
        </w:rPr>
      </w:pPr>
      <w:r w:rsidRPr="00C2531C">
        <w:rPr>
          <w:rFonts w:ascii="Verdana" w:hAnsi="Verdana"/>
          <w:sz w:val="20"/>
          <w:szCs w:val="20"/>
        </w:rPr>
        <w:t xml:space="preserve">En cuanto a los hechos del presente caso, el </w:t>
      </w:r>
      <w:r w:rsidRPr="00C2531C">
        <w:rPr>
          <w:rFonts w:ascii="Verdana" w:hAnsi="Verdana"/>
          <w:sz w:val="20"/>
          <w:szCs w:val="20"/>
          <w:lang w:eastAsia="es-CR"/>
        </w:rPr>
        <w:t xml:space="preserve">Estado </w:t>
      </w:r>
      <w:r w:rsidR="00571CC6" w:rsidRPr="00C2531C">
        <w:rPr>
          <w:rFonts w:ascii="Verdana" w:hAnsi="Verdana"/>
          <w:sz w:val="20"/>
          <w:szCs w:val="20"/>
          <w:lang w:eastAsia="es-CR"/>
        </w:rPr>
        <w:t xml:space="preserve">los </w:t>
      </w:r>
      <w:r w:rsidRPr="00C2531C">
        <w:rPr>
          <w:rFonts w:ascii="Verdana" w:hAnsi="Verdana"/>
          <w:spacing w:val="-2"/>
          <w:sz w:val="20"/>
          <w:szCs w:val="20"/>
          <w:lang w:val="es-AR" w:eastAsia="es-CR"/>
        </w:rPr>
        <w:t>reconoció</w:t>
      </w:r>
      <w:r w:rsidRPr="00C2531C">
        <w:rPr>
          <w:rFonts w:ascii="Verdana" w:hAnsi="Verdana"/>
          <w:sz w:val="20"/>
          <w:szCs w:val="20"/>
          <w:lang w:eastAsia="es-CR"/>
        </w:rPr>
        <w:t xml:space="preserve"> en los términos establecidos en la </w:t>
      </w:r>
      <w:r w:rsidR="00407957">
        <w:rPr>
          <w:rFonts w:ascii="Verdana" w:hAnsi="Verdana"/>
          <w:sz w:val="20"/>
          <w:szCs w:val="20"/>
          <w:lang w:val="es-AR" w:eastAsia="es-CR"/>
        </w:rPr>
        <w:t>s</w:t>
      </w:r>
      <w:r w:rsidRPr="00C2531C">
        <w:rPr>
          <w:rFonts w:ascii="Verdana" w:hAnsi="Verdana"/>
          <w:sz w:val="20"/>
          <w:szCs w:val="20"/>
          <w:lang w:val="es-AR" w:eastAsia="es-CR"/>
        </w:rPr>
        <w:t>entencia</w:t>
      </w:r>
      <w:r w:rsidRPr="00C2531C">
        <w:rPr>
          <w:rFonts w:ascii="Verdana" w:hAnsi="Verdana"/>
          <w:sz w:val="20"/>
          <w:szCs w:val="20"/>
          <w:lang w:eastAsia="es-CR"/>
        </w:rPr>
        <w:t xml:space="preserve"> de la Sala Penal Nacional de 9 de febrero de 2012 y la Ejecutoría Suprema de 29 de </w:t>
      </w:r>
      <w:r w:rsidRPr="00C2531C">
        <w:rPr>
          <w:rFonts w:ascii="Verdana" w:hAnsi="Verdana"/>
          <w:spacing w:val="-2"/>
          <w:sz w:val="20"/>
          <w:szCs w:val="20"/>
          <w:lang w:val="es-AR" w:eastAsia="es-CR"/>
        </w:rPr>
        <w:t>mayo</w:t>
      </w:r>
      <w:r w:rsidRPr="00C2531C">
        <w:rPr>
          <w:rFonts w:ascii="Verdana" w:hAnsi="Verdana"/>
          <w:sz w:val="20"/>
          <w:szCs w:val="20"/>
          <w:lang w:eastAsia="es-CR"/>
        </w:rPr>
        <w:t xml:space="preserve"> de 2013. Es decir, no admitió de manera específica todos los hechos </w:t>
      </w:r>
      <w:r w:rsidRPr="00C2531C">
        <w:rPr>
          <w:rFonts w:ascii="Verdana" w:hAnsi="Verdana"/>
          <w:sz w:val="20"/>
          <w:szCs w:val="20"/>
          <w:lang w:val="es-MX" w:eastAsia="es-CR"/>
        </w:rPr>
        <w:t>descritos en el Informe de</w:t>
      </w:r>
      <w:r w:rsidR="004E1B9B">
        <w:rPr>
          <w:rFonts w:ascii="Verdana" w:hAnsi="Verdana"/>
          <w:sz w:val="20"/>
          <w:szCs w:val="20"/>
          <w:lang w:val="es-MX" w:eastAsia="es-CR"/>
        </w:rPr>
        <w:t xml:space="preserve"> Admisibilidad y</w:t>
      </w:r>
      <w:r w:rsidRPr="00C2531C">
        <w:rPr>
          <w:rFonts w:ascii="Verdana" w:hAnsi="Verdana"/>
          <w:sz w:val="20"/>
          <w:szCs w:val="20"/>
          <w:lang w:val="es-MX" w:eastAsia="es-CR"/>
        </w:rPr>
        <w:t xml:space="preserve"> Fondo de la Comisión o en el </w:t>
      </w:r>
      <w:r w:rsidRPr="00C2531C">
        <w:rPr>
          <w:rFonts w:ascii="Verdana" w:hAnsi="Verdana"/>
          <w:sz w:val="20"/>
          <w:szCs w:val="20"/>
          <w:lang w:val="es-MX" w:eastAsia="es-CR"/>
        </w:rPr>
        <w:lastRenderedPageBreak/>
        <w:t>escrito de solicitudes y argumentos de los representantes</w:t>
      </w:r>
      <w:r w:rsidRPr="00C2531C">
        <w:rPr>
          <w:rFonts w:ascii="Verdana" w:hAnsi="Verdana"/>
          <w:sz w:val="20"/>
          <w:szCs w:val="20"/>
          <w:lang w:eastAsia="es-CR"/>
        </w:rPr>
        <w:t>. No obstante, como lo ha hecho en otros casos</w:t>
      </w:r>
      <w:r w:rsidRPr="002964A7">
        <w:rPr>
          <w:vertAlign w:val="superscript"/>
          <w:lang w:eastAsia="es-CR"/>
        </w:rPr>
        <w:footnoteReference w:id="10"/>
      </w:r>
      <w:r w:rsidRPr="00C2531C">
        <w:rPr>
          <w:rFonts w:ascii="Verdana" w:hAnsi="Verdana"/>
          <w:sz w:val="20"/>
          <w:szCs w:val="20"/>
          <w:lang w:eastAsia="es-CR"/>
        </w:rPr>
        <w:t>,</w:t>
      </w:r>
      <w:r w:rsidRPr="00C2531C">
        <w:rPr>
          <w:rFonts w:ascii="Verdana" w:eastAsia="Calibri" w:hAnsi="Verdana"/>
          <w:sz w:val="20"/>
          <w:szCs w:val="20"/>
        </w:rPr>
        <w:t xml:space="preserve"> </w:t>
      </w:r>
      <w:r w:rsidRPr="00C2531C">
        <w:rPr>
          <w:rFonts w:ascii="Verdana" w:hAnsi="Verdana"/>
          <w:sz w:val="20"/>
          <w:szCs w:val="20"/>
          <w:lang w:eastAsia="es-CR"/>
        </w:rPr>
        <w:t xml:space="preserve">este Tribunal entiende que el Perú admitió los siguientes hechos: </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i.</w:t>
      </w:r>
      <w:r w:rsidRPr="00C94FC4">
        <w:rPr>
          <w:rFonts w:ascii="Verdana" w:hAnsi="Verdana"/>
          <w:iCs/>
          <w:sz w:val="18"/>
          <w:szCs w:val="20"/>
          <w:lang w:eastAsia="es-CR"/>
        </w:rPr>
        <w:tab/>
        <w:t>el Plan Operativo denominado “Apolonia" fue diseñado como parte de la política estatal de combatir la subversión en la Provincia y Departamento de Huancavelica, siendo elaborado por la Jefatura Político Militar de Huancavelica, con el fin específico de incursionar en la localidad de Rodeopampa, comunidad de Santa Bárbara;</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ii.</w:t>
      </w:r>
      <w:r w:rsidRPr="00C94FC4">
        <w:rPr>
          <w:rFonts w:ascii="Verdana" w:hAnsi="Verdana"/>
          <w:iCs/>
          <w:sz w:val="18"/>
          <w:szCs w:val="20"/>
          <w:lang w:eastAsia="es-CR"/>
        </w:rPr>
        <w:tab/>
        <w:t>la misión del Plan Operativo “Apolonia” era capturar y/o destruir “delincuentes terroristas”;</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iii.</w:t>
      </w:r>
      <w:r w:rsidRPr="00C94FC4">
        <w:rPr>
          <w:rFonts w:ascii="Verdana" w:hAnsi="Verdana"/>
          <w:iCs/>
          <w:sz w:val="18"/>
          <w:szCs w:val="20"/>
          <w:lang w:eastAsia="es-CR"/>
        </w:rPr>
        <w:tab/>
        <w:t>en la ejecución del Plan Apolonia, se ordenó la participación de dos patrullas militares, una perteneciente a la base contrasubversiva de Lircay y, la otra</w:t>
      </w:r>
      <w:r w:rsidR="00135704">
        <w:rPr>
          <w:rFonts w:ascii="Verdana" w:hAnsi="Verdana"/>
          <w:iCs/>
          <w:sz w:val="18"/>
          <w:szCs w:val="20"/>
          <w:lang w:eastAsia="es-CR"/>
        </w:rPr>
        <w:t>,</w:t>
      </w:r>
      <w:r w:rsidRPr="00C94FC4">
        <w:rPr>
          <w:rFonts w:ascii="Verdana" w:hAnsi="Verdana"/>
          <w:iCs/>
          <w:sz w:val="18"/>
          <w:szCs w:val="20"/>
          <w:lang w:eastAsia="es-CR"/>
        </w:rPr>
        <w:t xml:space="preserve"> a la base contrasubversiva de Huancavelica;</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iv.</w:t>
      </w:r>
      <w:r w:rsidRPr="00C94FC4">
        <w:rPr>
          <w:rFonts w:ascii="Verdana" w:hAnsi="Verdana"/>
          <w:iCs/>
          <w:sz w:val="18"/>
          <w:szCs w:val="20"/>
          <w:lang w:eastAsia="es-CR"/>
        </w:rPr>
        <w:tab/>
        <w:t>las únicas personas que se encontraron en Rodeopampa eran pobladores desarmados que conformaban grupos familiares, y la mayoría de ellos eran mujeres y niños;</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v.</w:t>
      </w:r>
      <w:r w:rsidRPr="00C94FC4">
        <w:rPr>
          <w:rFonts w:ascii="Verdana" w:hAnsi="Verdana"/>
          <w:iCs/>
          <w:sz w:val="18"/>
          <w:szCs w:val="20"/>
          <w:lang w:eastAsia="es-CR"/>
        </w:rPr>
        <w:tab/>
        <w:t>la ruta que tomó la patrulla Escorpio con 14 detenidos es la que conduce a la mina “Misteriosa” o “Vallarón”, la misma que se encuentra en el camino de Rodeopampa a la base de Lircay;</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vi.</w:t>
      </w:r>
      <w:r w:rsidRPr="00C94FC4">
        <w:rPr>
          <w:rFonts w:ascii="Verdana" w:hAnsi="Verdana"/>
          <w:iCs/>
          <w:sz w:val="18"/>
          <w:szCs w:val="20"/>
          <w:lang w:eastAsia="es-CR"/>
        </w:rPr>
        <w:tab/>
        <w:t>“el jefe de la patrulla ‘Escorpio’, Bendezú Vargas, al recibir la información del hallazgo de dinamita, dio la orden de subir a todos los detenidos sin excepción hasta la bocamina, entre los que se encontraban un anciano de 65 años, mujeres, y niños”;</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vii.</w:t>
      </w:r>
      <w:r w:rsidRPr="00C94FC4">
        <w:rPr>
          <w:rFonts w:ascii="Verdana" w:hAnsi="Verdana"/>
          <w:iCs/>
          <w:sz w:val="18"/>
          <w:szCs w:val="20"/>
          <w:lang w:eastAsia="es-CR"/>
        </w:rPr>
        <w:tab/>
        <w:t xml:space="preserve">“el trato y eliminación de las víctimas en las circunstancias en que tuvo lugar, amarradas y previamente introducidas en el socavón de la mina, constituye </w:t>
      </w:r>
      <w:r w:rsidR="00652860">
        <w:rPr>
          <w:rFonts w:ascii="Verdana" w:hAnsi="Verdana"/>
          <w:iCs/>
          <w:sz w:val="18"/>
          <w:szCs w:val="20"/>
          <w:lang w:eastAsia="es-CR"/>
        </w:rPr>
        <w:t xml:space="preserve">[una] </w:t>
      </w:r>
      <w:r w:rsidRPr="00C94FC4">
        <w:rPr>
          <w:rFonts w:ascii="Verdana" w:hAnsi="Verdana"/>
          <w:iCs/>
          <w:sz w:val="18"/>
          <w:szCs w:val="20"/>
          <w:lang w:eastAsia="es-CR"/>
        </w:rPr>
        <w:t>grave afectación a su condición humana, y por ende a su dignidad”;</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viii.</w:t>
      </w:r>
      <w:r w:rsidRPr="00C94FC4">
        <w:rPr>
          <w:rFonts w:ascii="Verdana" w:hAnsi="Verdana"/>
          <w:iCs/>
          <w:sz w:val="18"/>
          <w:szCs w:val="20"/>
          <w:lang w:eastAsia="es-CR"/>
        </w:rPr>
        <w:tab/>
        <w:t>“la detención y eliminación de las víctimas, fue indiscriminada, ya que no se consideró que se trataba de miembros de la población civil, los mismos que se encontraban desarmados, e indefensos ante la superioridad de la patrulla militar armada. Y […] siete de las víctimas eran niños muy pequeños, los que gozan de especial protección legal”;</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ix.</w:t>
      </w:r>
      <w:r w:rsidRPr="00C94FC4">
        <w:rPr>
          <w:rFonts w:ascii="Verdana" w:hAnsi="Verdana"/>
          <w:iCs/>
          <w:sz w:val="18"/>
          <w:szCs w:val="20"/>
          <w:lang w:eastAsia="es-CR"/>
        </w:rPr>
        <w:tab/>
        <w:t>los nombres y edades de las 14 víctimas mencionadas;</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x.</w:t>
      </w:r>
      <w:r w:rsidRPr="00C94FC4">
        <w:rPr>
          <w:rFonts w:ascii="Verdana" w:hAnsi="Verdana"/>
          <w:iCs/>
          <w:sz w:val="18"/>
          <w:szCs w:val="20"/>
          <w:lang w:eastAsia="es-CR"/>
        </w:rPr>
        <w:tab/>
        <w:t>“el ex soldado Elihoref Huamaní Vergara, también fue eliminado con las víctimas antes mencionadas”;</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xi.</w:t>
      </w:r>
      <w:r w:rsidRPr="00C94FC4">
        <w:rPr>
          <w:rFonts w:ascii="Verdana" w:hAnsi="Verdana"/>
          <w:iCs/>
          <w:sz w:val="18"/>
          <w:szCs w:val="20"/>
          <w:lang w:eastAsia="es-CR"/>
        </w:rPr>
        <w:tab/>
      </w:r>
      <w:r w:rsidR="007A6A54">
        <w:rPr>
          <w:rFonts w:ascii="Verdana" w:hAnsi="Verdana"/>
          <w:iCs/>
          <w:sz w:val="18"/>
          <w:szCs w:val="20"/>
          <w:lang w:eastAsia="es-CR"/>
        </w:rPr>
        <w:t>“</w:t>
      </w:r>
      <w:r w:rsidRPr="00C94FC4">
        <w:rPr>
          <w:rFonts w:ascii="Verdana" w:hAnsi="Verdana"/>
          <w:iCs/>
          <w:sz w:val="18"/>
          <w:szCs w:val="20"/>
          <w:lang w:eastAsia="es-CR"/>
        </w:rPr>
        <w:t>el propósito de subir a los detenidos a la mina, amarrados, evidenciaba claramente que era para asesinarlos”;</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xii.</w:t>
      </w:r>
      <w:r w:rsidRPr="00C94FC4">
        <w:rPr>
          <w:rFonts w:ascii="Verdana" w:hAnsi="Verdana"/>
          <w:iCs/>
          <w:sz w:val="18"/>
          <w:szCs w:val="20"/>
          <w:lang w:eastAsia="es-CR"/>
        </w:rPr>
        <w:tab/>
        <w:t xml:space="preserve">los detenidos “fueron </w:t>
      </w:r>
      <w:r w:rsidR="00135704" w:rsidRPr="00C94FC4">
        <w:rPr>
          <w:rFonts w:ascii="Verdana" w:hAnsi="Verdana"/>
          <w:iCs/>
          <w:sz w:val="18"/>
          <w:szCs w:val="20"/>
          <w:lang w:eastAsia="es-CR"/>
        </w:rPr>
        <w:t>asesinad</w:t>
      </w:r>
      <w:r w:rsidR="00135704">
        <w:rPr>
          <w:rFonts w:ascii="Verdana" w:hAnsi="Verdana"/>
          <w:iCs/>
          <w:sz w:val="18"/>
          <w:szCs w:val="20"/>
          <w:lang w:eastAsia="es-CR"/>
        </w:rPr>
        <w:t>[o]</w:t>
      </w:r>
      <w:r w:rsidR="00135704" w:rsidRPr="00C94FC4">
        <w:rPr>
          <w:rFonts w:ascii="Verdana" w:hAnsi="Verdana"/>
          <w:iCs/>
          <w:sz w:val="18"/>
          <w:szCs w:val="20"/>
          <w:lang w:eastAsia="es-CR"/>
        </w:rPr>
        <w:t xml:space="preserve">s </w:t>
      </w:r>
      <w:r w:rsidRPr="00C94FC4">
        <w:rPr>
          <w:rFonts w:ascii="Verdana" w:hAnsi="Verdana"/>
          <w:iCs/>
          <w:sz w:val="18"/>
          <w:szCs w:val="20"/>
          <w:lang w:eastAsia="es-CR"/>
        </w:rPr>
        <w:t>por disparos de fusil FAL, armamento utilizado por el Ejército. […C]asi de inmediato se hizo detonar en la mina donde habían sido ultimados los agraviados, de una carga a dos cargas de dinamita con el propósito de eliminar las evidencias. Se destruyó gran parte de los cuerpos de las víctimas, y se encontró en la diligencia de inspección judicial, únicamente restos humanos</w:t>
      </w:r>
      <w:r w:rsidR="007A6A54">
        <w:rPr>
          <w:rFonts w:ascii="Verdana" w:hAnsi="Verdana"/>
          <w:iCs/>
          <w:sz w:val="18"/>
          <w:szCs w:val="20"/>
          <w:lang w:eastAsia="es-CR"/>
        </w:rPr>
        <w:t>”</w:t>
      </w:r>
      <w:r w:rsidRPr="00C94FC4">
        <w:rPr>
          <w:rFonts w:ascii="Verdana" w:hAnsi="Verdana"/>
          <w:iCs/>
          <w:sz w:val="18"/>
          <w:szCs w:val="20"/>
          <w:lang w:eastAsia="es-CR"/>
        </w:rPr>
        <w:t>, y</w:t>
      </w:r>
    </w:p>
    <w:p w:rsidR="00C2531C" w:rsidRPr="00C94FC4" w:rsidRDefault="00C2531C" w:rsidP="00C2531C">
      <w:pPr>
        <w:autoSpaceDE w:val="0"/>
        <w:autoSpaceDN w:val="0"/>
        <w:adjustRightInd w:val="0"/>
        <w:spacing w:after="0" w:line="240" w:lineRule="auto"/>
        <w:ind w:left="720"/>
        <w:jc w:val="both"/>
        <w:rPr>
          <w:rFonts w:ascii="Verdana" w:hAnsi="Verdana"/>
          <w:iCs/>
          <w:sz w:val="18"/>
          <w:szCs w:val="20"/>
          <w:lang w:eastAsia="es-CR"/>
        </w:rPr>
      </w:pPr>
      <w:r w:rsidRPr="00C94FC4">
        <w:rPr>
          <w:rFonts w:ascii="Verdana" w:hAnsi="Verdana"/>
          <w:iCs/>
          <w:sz w:val="18"/>
          <w:szCs w:val="20"/>
          <w:lang w:eastAsia="es-CR"/>
        </w:rPr>
        <w:t>xiii.</w:t>
      </w:r>
      <w:r w:rsidRPr="00C94FC4">
        <w:rPr>
          <w:rFonts w:ascii="Verdana" w:hAnsi="Verdana"/>
          <w:iCs/>
          <w:sz w:val="18"/>
          <w:szCs w:val="20"/>
          <w:lang w:eastAsia="es-CR"/>
        </w:rPr>
        <w:tab/>
        <w:t xml:space="preserve">los detenidos “fueron dinamitados con la finalidad de ocultar las huellas del crimen perpetrado”. </w:t>
      </w:r>
    </w:p>
    <w:p w:rsidR="00C2531C" w:rsidRPr="00C2531C" w:rsidRDefault="00C2531C" w:rsidP="00C2531C">
      <w:pPr>
        <w:autoSpaceDE w:val="0"/>
        <w:autoSpaceDN w:val="0"/>
        <w:adjustRightInd w:val="0"/>
        <w:spacing w:after="0" w:line="240" w:lineRule="auto"/>
        <w:jc w:val="both"/>
        <w:rPr>
          <w:rFonts w:ascii="Verdana" w:hAnsi="Verdana"/>
          <w:iCs/>
          <w:sz w:val="20"/>
          <w:szCs w:val="20"/>
          <w:lang w:eastAsia="es-CR"/>
        </w:rPr>
      </w:pPr>
    </w:p>
    <w:p w:rsidR="00EA6EE3" w:rsidRPr="00E05E8B" w:rsidRDefault="00E05E8B" w:rsidP="001154F9">
      <w:pPr>
        <w:pStyle w:val="ListParagraph"/>
        <w:numPr>
          <w:ilvl w:val="0"/>
          <w:numId w:val="7"/>
        </w:numPr>
        <w:autoSpaceDE w:val="0"/>
        <w:autoSpaceDN w:val="0"/>
        <w:adjustRightInd w:val="0"/>
        <w:spacing w:after="0" w:line="240" w:lineRule="auto"/>
        <w:ind w:left="0" w:firstLine="0"/>
        <w:jc w:val="both"/>
        <w:rPr>
          <w:rFonts w:ascii="Verdana" w:hAnsi="Verdana"/>
          <w:iCs/>
          <w:sz w:val="20"/>
          <w:szCs w:val="20"/>
          <w:lang w:eastAsia="es-CR"/>
        </w:rPr>
      </w:pPr>
      <w:r w:rsidRPr="00E05E8B">
        <w:rPr>
          <w:rFonts w:ascii="Verdana" w:hAnsi="Verdana"/>
          <w:iCs/>
          <w:sz w:val="20"/>
          <w:szCs w:val="20"/>
          <w:lang w:eastAsia="es-CR"/>
        </w:rPr>
        <w:t xml:space="preserve">Por tanto, ha cesado la controversia respecto a esos hechos. </w:t>
      </w:r>
      <w:r w:rsidR="00EA6EE3" w:rsidRPr="00E05E8B">
        <w:rPr>
          <w:rFonts w:ascii="Verdana" w:hAnsi="Verdana"/>
          <w:iCs/>
          <w:sz w:val="20"/>
          <w:szCs w:val="20"/>
          <w:lang w:eastAsia="es-CR"/>
        </w:rPr>
        <w:t xml:space="preserve">Por otra parte, se mantiene la controversia respecto de: i) los presuntos robos de bienes y quema de viviendas de las víctimas; ii) las denuncias interpuestas con </w:t>
      </w:r>
      <w:r w:rsidR="00EA6EE3" w:rsidRPr="00E05E8B">
        <w:rPr>
          <w:rFonts w:ascii="Verdana" w:eastAsia="Times New Roman" w:hAnsi="Verdana"/>
          <w:sz w:val="20"/>
          <w:szCs w:val="20"/>
        </w:rPr>
        <w:t>posterioridad</w:t>
      </w:r>
      <w:r w:rsidR="00EA6EE3" w:rsidRPr="00E05E8B">
        <w:rPr>
          <w:rFonts w:ascii="Verdana" w:hAnsi="Verdana"/>
          <w:iCs/>
          <w:sz w:val="20"/>
          <w:szCs w:val="20"/>
          <w:lang w:eastAsia="es-CR"/>
        </w:rPr>
        <w:t xml:space="preserve"> a los hechos y las respuestas de las autoridades estatales frente </w:t>
      </w:r>
      <w:r w:rsidR="005A30B4" w:rsidRPr="00E05E8B">
        <w:rPr>
          <w:rFonts w:ascii="Verdana" w:hAnsi="Verdana"/>
          <w:iCs/>
          <w:sz w:val="20"/>
          <w:szCs w:val="20"/>
          <w:lang w:eastAsia="es-CR"/>
        </w:rPr>
        <w:t xml:space="preserve">a </w:t>
      </w:r>
      <w:r w:rsidR="00EA6EE3" w:rsidRPr="00E05E8B">
        <w:rPr>
          <w:rFonts w:ascii="Verdana" w:hAnsi="Verdana"/>
          <w:iCs/>
          <w:sz w:val="20"/>
          <w:szCs w:val="20"/>
          <w:lang w:eastAsia="es-CR"/>
        </w:rPr>
        <w:t>las mismas; iii) la forma en que se llevaron a cabo las investigaciones realizadas sobre lo sucedido</w:t>
      </w:r>
      <w:r w:rsidR="005A30B4" w:rsidRPr="00E05E8B">
        <w:rPr>
          <w:rFonts w:ascii="Verdana" w:hAnsi="Verdana"/>
          <w:iCs/>
          <w:sz w:val="20"/>
          <w:szCs w:val="20"/>
          <w:lang w:eastAsia="es-CR"/>
        </w:rPr>
        <w:t>,</w:t>
      </w:r>
      <w:r w:rsidR="00EA6EE3" w:rsidRPr="00E05E8B">
        <w:rPr>
          <w:rFonts w:ascii="Verdana" w:hAnsi="Verdana"/>
          <w:iCs/>
          <w:sz w:val="20"/>
          <w:szCs w:val="20"/>
          <w:lang w:eastAsia="es-CR"/>
        </w:rPr>
        <w:t xml:space="preserve"> la recuperación </w:t>
      </w:r>
      <w:r w:rsidR="0074266F" w:rsidRPr="00E05E8B">
        <w:rPr>
          <w:rFonts w:ascii="Verdana" w:hAnsi="Verdana"/>
          <w:iCs/>
          <w:sz w:val="20"/>
          <w:szCs w:val="20"/>
          <w:lang w:eastAsia="es-CR"/>
        </w:rPr>
        <w:t xml:space="preserve">e identificación </w:t>
      </w:r>
      <w:r w:rsidR="00EA6EE3" w:rsidRPr="00E05E8B">
        <w:rPr>
          <w:rFonts w:ascii="Verdana" w:hAnsi="Verdana"/>
          <w:iCs/>
          <w:sz w:val="20"/>
          <w:szCs w:val="20"/>
          <w:lang w:eastAsia="es-CR"/>
        </w:rPr>
        <w:t xml:space="preserve">de los </w:t>
      </w:r>
      <w:r w:rsidR="0074266F" w:rsidRPr="00E05E8B">
        <w:rPr>
          <w:rFonts w:ascii="Verdana" w:hAnsi="Verdana"/>
          <w:iCs/>
          <w:sz w:val="20"/>
          <w:szCs w:val="20"/>
          <w:lang w:eastAsia="es-CR"/>
        </w:rPr>
        <w:t>restos</w:t>
      </w:r>
      <w:r w:rsidR="005A30B4" w:rsidRPr="00E05E8B">
        <w:rPr>
          <w:rFonts w:ascii="Verdana" w:hAnsi="Verdana"/>
          <w:iCs/>
          <w:sz w:val="20"/>
          <w:szCs w:val="20"/>
          <w:lang w:eastAsia="es-CR"/>
        </w:rPr>
        <w:t xml:space="preserve"> y </w:t>
      </w:r>
      <w:r w:rsidR="005A30B4" w:rsidRPr="00E05E8B">
        <w:rPr>
          <w:rFonts w:ascii="Verdana" w:hAnsi="Verdana"/>
          <w:sz w:val="20"/>
          <w:szCs w:val="20"/>
        </w:rPr>
        <w:t>los procedimientos forenses</w:t>
      </w:r>
      <w:r w:rsidR="00EA6EE3" w:rsidRPr="00E05E8B">
        <w:rPr>
          <w:rFonts w:ascii="Verdana" w:hAnsi="Verdana"/>
          <w:iCs/>
          <w:sz w:val="20"/>
          <w:szCs w:val="20"/>
          <w:lang w:eastAsia="es-CR"/>
        </w:rPr>
        <w:t xml:space="preserve">; iv) </w:t>
      </w:r>
      <w:r w:rsidR="0027717C" w:rsidRPr="00E05E8B">
        <w:rPr>
          <w:rFonts w:ascii="Verdana" w:hAnsi="Verdana"/>
          <w:iCs/>
          <w:sz w:val="20"/>
          <w:szCs w:val="20"/>
          <w:lang w:eastAsia="es-CR"/>
        </w:rPr>
        <w:t>la supuesta existencia de</w:t>
      </w:r>
      <w:r w:rsidR="0027717C" w:rsidRPr="00E05E8B">
        <w:rPr>
          <w:rFonts w:ascii="Verdana" w:hAnsi="Verdana"/>
          <w:sz w:val="20"/>
          <w:szCs w:val="20"/>
          <w:lang w:val="es-GT"/>
        </w:rPr>
        <w:t xml:space="preserve"> una serie de </w:t>
      </w:r>
      <w:r w:rsidR="0027717C" w:rsidRPr="00E05E8B">
        <w:rPr>
          <w:rFonts w:ascii="Verdana" w:hAnsi="Verdana" w:cs="Arial"/>
          <w:sz w:val="20"/>
          <w:szCs w:val="20"/>
        </w:rPr>
        <w:t>mecanismos</w:t>
      </w:r>
      <w:r w:rsidR="0027717C" w:rsidRPr="00E05E8B">
        <w:rPr>
          <w:rFonts w:ascii="Verdana" w:hAnsi="Verdana"/>
          <w:sz w:val="20"/>
          <w:szCs w:val="20"/>
          <w:lang w:val="es-GT"/>
        </w:rPr>
        <w:t xml:space="preserve"> de encubrimiento que tuvieron un claro carácter deliberado y que incluyen, por lo menos</w:t>
      </w:r>
      <w:r w:rsidR="005A30B4" w:rsidRPr="00E05E8B">
        <w:rPr>
          <w:rFonts w:ascii="Verdana" w:hAnsi="Verdana"/>
          <w:sz w:val="20"/>
          <w:szCs w:val="20"/>
          <w:lang w:val="es-GT"/>
        </w:rPr>
        <w:t>,</w:t>
      </w:r>
      <w:r w:rsidR="0027717C" w:rsidRPr="00E05E8B">
        <w:rPr>
          <w:rFonts w:ascii="Verdana" w:hAnsi="Verdana"/>
          <w:sz w:val="20"/>
          <w:szCs w:val="20"/>
          <w:lang w:val="es-GT"/>
        </w:rPr>
        <w:t xml:space="preserve"> la negación de las detenciones</w:t>
      </w:r>
      <w:r w:rsidR="00C31EED">
        <w:rPr>
          <w:rFonts w:ascii="Verdana" w:hAnsi="Verdana"/>
          <w:sz w:val="20"/>
          <w:szCs w:val="20"/>
          <w:lang w:val="es-GT"/>
        </w:rPr>
        <w:t>,</w:t>
      </w:r>
      <w:r w:rsidR="0027717C" w:rsidRPr="00E05E8B">
        <w:rPr>
          <w:rFonts w:ascii="Verdana" w:hAnsi="Verdana"/>
          <w:sz w:val="20"/>
          <w:szCs w:val="20"/>
          <w:lang w:val="es-GT"/>
        </w:rPr>
        <w:t xml:space="preserve"> el uso de dinamita en múltiples oportunidades y durante los primeros diez días de ocurridos los hechos en la mina abandonada llamada “Misteriosa” o “Vallarón” como un mecanismo </w:t>
      </w:r>
      <w:r w:rsidR="0027717C" w:rsidRPr="00E05E8B">
        <w:rPr>
          <w:rFonts w:ascii="Verdana" w:hAnsi="Verdana" w:cs="Arial"/>
          <w:sz w:val="20"/>
          <w:szCs w:val="20"/>
          <w:lang w:val="es-GT"/>
        </w:rPr>
        <w:t>para destruir las evidencias de lo ocurrido</w:t>
      </w:r>
      <w:r w:rsidR="00C31EED">
        <w:rPr>
          <w:rFonts w:ascii="Verdana" w:hAnsi="Verdana"/>
          <w:sz w:val="20"/>
          <w:szCs w:val="20"/>
          <w:lang w:val="es-GT"/>
        </w:rPr>
        <w:t>,</w:t>
      </w:r>
      <w:r w:rsidR="0027717C" w:rsidRPr="00E05E8B">
        <w:rPr>
          <w:rFonts w:ascii="Verdana" w:hAnsi="Verdana"/>
          <w:spacing w:val="-2"/>
          <w:sz w:val="20"/>
          <w:szCs w:val="20"/>
          <w:lang w:val="es-GT"/>
        </w:rPr>
        <w:t xml:space="preserve"> </w:t>
      </w:r>
      <w:r w:rsidR="0027717C" w:rsidRPr="00E05E8B">
        <w:rPr>
          <w:rFonts w:ascii="Verdana" w:hAnsi="Verdana"/>
          <w:sz w:val="20"/>
          <w:szCs w:val="20"/>
          <w:lang w:val="es-GT"/>
        </w:rPr>
        <w:t>hostigamientos y detenciones de comuneros que denunciaron los hechos, y amenazas a operadores judiciales</w:t>
      </w:r>
      <w:r w:rsidR="003B3E60" w:rsidRPr="00E05E8B">
        <w:rPr>
          <w:rFonts w:ascii="Verdana" w:hAnsi="Verdana"/>
          <w:sz w:val="20"/>
          <w:szCs w:val="20"/>
          <w:lang w:val="es-GT"/>
        </w:rPr>
        <w:t xml:space="preserve">, y </w:t>
      </w:r>
      <w:r w:rsidR="0074266F" w:rsidRPr="00E05E8B">
        <w:rPr>
          <w:rFonts w:ascii="Verdana" w:hAnsi="Verdana"/>
          <w:sz w:val="20"/>
          <w:szCs w:val="20"/>
          <w:lang w:val="es-GT"/>
        </w:rPr>
        <w:t xml:space="preserve">v) </w:t>
      </w:r>
      <w:r w:rsidR="0074266F" w:rsidRPr="00E05E8B">
        <w:rPr>
          <w:rFonts w:ascii="Verdana" w:hAnsi="Verdana"/>
          <w:sz w:val="20"/>
          <w:szCs w:val="20"/>
        </w:rPr>
        <w:t>la</w:t>
      </w:r>
      <w:r w:rsidR="00C31EED">
        <w:rPr>
          <w:rFonts w:ascii="Verdana" w:hAnsi="Verdana"/>
          <w:sz w:val="20"/>
          <w:szCs w:val="20"/>
        </w:rPr>
        <w:t xml:space="preserve"> presunta</w:t>
      </w:r>
      <w:r w:rsidR="0074266F" w:rsidRPr="00E05E8B">
        <w:rPr>
          <w:rFonts w:ascii="Verdana" w:hAnsi="Verdana"/>
          <w:sz w:val="20"/>
          <w:szCs w:val="20"/>
        </w:rPr>
        <w:t xml:space="preserve"> falta de debida diligencia e irregularidades en la captura de los procesados ausentes</w:t>
      </w:r>
      <w:r w:rsidR="00C2531C" w:rsidRPr="00E05E8B">
        <w:rPr>
          <w:rFonts w:ascii="Verdana" w:hAnsi="Verdana"/>
          <w:sz w:val="20"/>
          <w:szCs w:val="20"/>
        </w:rPr>
        <w:t>.</w:t>
      </w:r>
    </w:p>
    <w:p w:rsidR="00EA6EE3" w:rsidRPr="002964A7" w:rsidRDefault="00EA6EE3" w:rsidP="00EA6EE3">
      <w:pPr>
        <w:spacing w:after="0" w:line="240" w:lineRule="auto"/>
        <w:contextualSpacing/>
        <w:jc w:val="both"/>
        <w:rPr>
          <w:rFonts w:ascii="Verdana" w:eastAsia="Calibri" w:hAnsi="Verdana"/>
          <w:spacing w:val="-2"/>
          <w:sz w:val="20"/>
          <w:szCs w:val="20"/>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 xml:space="preserve">En suma, el reconocimiento efectuado por el Estado constituye una aceptación parcial de </w:t>
      </w:r>
      <w:r w:rsidRPr="002964A7">
        <w:rPr>
          <w:rFonts w:ascii="Verdana" w:eastAsia="Times New Roman" w:hAnsi="Verdana"/>
          <w:sz w:val="20"/>
          <w:szCs w:val="20"/>
        </w:rPr>
        <w:t>los</w:t>
      </w:r>
      <w:r w:rsidRPr="002964A7">
        <w:rPr>
          <w:rFonts w:ascii="Verdana" w:hAnsi="Verdana"/>
          <w:sz w:val="20"/>
          <w:szCs w:val="20"/>
          <w:lang w:eastAsia="es-CR"/>
        </w:rPr>
        <w:t xml:space="preserve"> hechos</w:t>
      </w:r>
      <w:r w:rsidR="008D33E0">
        <w:rPr>
          <w:rFonts w:ascii="Verdana" w:hAnsi="Verdana"/>
          <w:sz w:val="20"/>
          <w:szCs w:val="20"/>
          <w:lang w:eastAsia="es-CR"/>
        </w:rPr>
        <w:t>.</w:t>
      </w:r>
      <w:r w:rsidRPr="002964A7">
        <w:rPr>
          <w:rFonts w:ascii="Verdana" w:hAnsi="Verdana"/>
          <w:sz w:val="20"/>
          <w:szCs w:val="20"/>
          <w:lang w:eastAsia="es-CR"/>
        </w:rPr>
        <w:t xml:space="preserve"> Sin perjuicio de ello, en</w:t>
      </w:r>
      <w:r w:rsidRPr="002964A7">
        <w:rPr>
          <w:rFonts w:ascii="Verdana" w:hAnsi="Verdana"/>
          <w:sz w:val="20"/>
          <w:szCs w:val="20"/>
          <w:lang w:eastAsia="es-ES"/>
        </w:rPr>
        <w:t xml:space="preserve"> consideración de la gravedad de los hechos, la Corte procederá </w:t>
      </w:r>
      <w:r w:rsidR="0041252F" w:rsidRPr="00597181">
        <w:rPr>
          <w:rFonts w:ascii="Verdana" w:hAnsi="Verdana"/>
          <w:sz w:val="20"/>
          <w:szCs w:val="20"/>
          <w:lang w:eastAsia="es-ES"/>
        </w:rPr>
        <w:t>en su oportunidad</w:t>
      </w:r>
      <w:r w:rsidR="0041252F" w:rsidRPr="0041252F">
        <w:rPr>
          <w:rFonts w:ascii="Verdana" w:hAnsi="Verdana"/>
          <w:sz w:val="20"/>
          <w:szCs w:val="20"/>
          <w:lang w:eastAsia="es-ES"/>
        </w:rPr>
        <w:t xml:space="preserve"> </w:t>
      </w:r>
      <w:r w:rsidRPr="002964A7">
        <w:rPr>
          <w:rFonts w:ascii="Verdana" w:hAnsi="Verdana"/>
          <w:sz w:val="20"/>
          <w:szCs w:val="20"/>
          <w:lang w:eastAsia="es-ES"/>
        </w:rPr>
        <w:t xml:space="preserve">a </w:t>
      </w:r>
      <w:r w:rsidRPr="002964A7">
        <w:rPr>
          <w:rFonts w:ascii="Verdana" w:hAnsi="Verdana" w:cs="Arial"/>
          <w:sz w:val="20"/>
          <w:szCs w:val="20"/>
          <w:lang w:eastAsia="es-CR"/>
        </w:rPr>
        <w:t>establecer aqu</w:t>
      </w:r>
      <w:r w:rsidR="00C31EED">
        <w:rPr>
          <w:rFonts w:ascii="Verdana" w:hAnsi="Verdana" w:cs="Arial"/>
          <w:sz w:val="20"/>
          <w:szCs w:val="20"/>
          <w:lang w:eastAsia="es-CR"/>
        </w:rPr>
        <w:t>e</w:t>
      </w:r>
      <w:r w:rsidRPr="002964A7">
        <w:rPr>
          <w:rFonts w:ascii="Verdana" w:hAnsi="Verdana" w:cs="Arial"/>
          <w:sz w:val="20"/>
          <w:szCs w:val="20"/>
          <w:lang w:eastAsia="es-CR"/>
        </w:rPr>
        <w:t>llos que generaron la responsabilidad estatal, así como el contexto en el cual se enmarcaron los mismos</w:t>
      </w:r>
      <w:r w:rsidRPr="002964A7">
        <w:rPr>
          <w:rFonts w:ascii="Verdana" w:hAnsi="Verdana"/>
          <w:sz w:val="20"/>
          <w:szCs w:val="20"/>
          <w:lang w:eastAsia="es-ES"/>
        </w:rPr>
        <w:t xml:space="preserve">, </w:t>
      </w:r>
      <w:r w:rsidRPr="002964A7">
        <w:rPr>
          <w:rFonts w:ascii="Verdana" w:hAnsi="Verdana"/>
          <w:sz w:val="20"/>
          <w:szCs w:val="20"/>
          <w:lang w:eastAsia="es-CR"/>
        </w:rPr>
        <w:t>t</w:t>
      </w:r>
      <w:r w:rsidRPr="002964A7">
        <w:rPr>
          <w:rFonts w:ascii="Verdana" w:hAnsi="Verdana"/>
          <w:sz w:val="20"/>
          <w:szCs w:val="20"/>
          <w:lang w:eastAsia="es-ES"/>
        </w:rPr>
        <w:t>oda vez que ello contribuye a la reparación de las víctimas, a evitar que se repitan hechos similares y a satisfacer, en suma, los fines de la jurisdicción interamericana sobre derechos humanos</w:t>
      </w:r>
      <w:r w:rsidRPr="002964A7">
        <w:rPr>
          <w:rFonts w:ascii="Verdana" w:hAnsi="Verdana"/>
          <w:sz w:val="20"/>
          <w:szCs w:val="20"/>
          <w:vertAlign w:val="superscript"/>
          <w:lang w:eastAsia="es-ES"/>
        </w:rPr>
        <w:footnoteReference w:id="11"/>
      </w:r>
      <w:r w:rsidRPr="002964A7">
        <w:rPr>
          <w:rFonts w:ascii="Verdana" w:hAnsi="Verdana"/>
          <w:sz w:val="20"/>
          <w:szCs w:val="20"/>
          <w:lang w:eastAsia="es-ES"/>
        </w:rPr>
        <w:t>.</w:t>
      </w:r>
    </w:p>
    <w:p w:rsidR="00EA6EE3" w:rsidRPr="002964A7" w:rsidRDefault="00EA6EE3" w:rsidP="00EA6EE3">
      <w:pPr>
        <w:tabs>
          <w:tab w:val="left" w:pos="567"/>
        </w:tabs>
        <w:spacing w:after="0" w:line="240" w:lineRule="auto"/>
        <w:jc w:val="both"/>
        <w:rPr>
          <w:rFonts w:ascii="Verdana" w:eastAsia="Calibri" w:hAnsi="Verdana"/>
          <w:spacing w:val="-2"/>
          <w:sz w:val="20"/>
          <w:szCs w:val="20"/>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PR" w:eastAsia="es-CR"/>
        </w:rPr>
      </w:pPr>
      <w:r w:rsidRPr="002964A7">
        <w:rPr>
          <w:rFonts w:ascii="Verdana" w:hAnsi="Verdana"/>
          <w:sz w:val="20"/>
          <w:szCs w:val="20"/>
          <w:lang w:eastAsia="es-CR"/>
        </w:rPr>
        <w:t xml:space="preserve">Por otra parte, en cuanto a los alegatos de derecho esgrimidos por las partes, la Corte </w:t>
      </w:r>
      <w:r w:rsidRPr="002964A7">
        <w:rPr>
          <w:rFonts w:ascii="Verdana" w:eastAsia="Times New Roman" w:hAnsi="Verdana"/>
          <w:sz w:val="20"/>
          <w:szCs w:val="20"/>
        </w:rPr>
        <w:t>recuerda</w:t>
      </w:r>
      <w:r w:rsidRPr="002964A7">
        <w:rPr>
          <w:rFonts w:ascii="Verdana" w:hAnsi="Verdana"/>
          <w:sz w:val="20"/>
          <w:szCs w:val="20"/>
          <w:lang w:eastAsia="es-CR"/>
        </w:rPr>
        <w:t xml:space="preserve"> que ha aplicado el principio de </w:t>
      </w:r>
      <w:r w:rsidRPr="002964A7">
        <w:rPr>
          <w:rFonts w:ascii="Verdana" w:hAnsi="Verdana"/>
          <w:i/>
          <w:sz w:val="20"/>
          <w:szCs w:val="20"/>
          <w:lang w:eastAsia="es-CR"/>
        </w:rPr>
        <w:t xml:space="preserve">estoppel </w:t>
      </w:r>
      <w:r w:rsidRPr="002964A7">
        <w:rPr>
          <w:rFonts w:ascii="Verdana" w:hAnsi="Verdana"/>
          <w:sz w:val="20"/>
          <w:szCs w:val="20"/>
          <w:lang w:eastAsia="es-CR"/>
        </w:rPr>
        <w:t xml:space="preserve">para otorgar plenos alcances a los reconocimientos de </w:t>
      </w:r>
      <w:r w:rsidRPr="002964A7">
        <w:rPr>
          <w:rFonts w:ascii="Verdana" w:hAnsi="Verdana"/>
          <w:sz w:val="20"/>
          <w:szCs w:val="20"/>
          <w:lang w:val="es-MX"/>
        </w:rPr>
        <w:t>responsabilidad</w:t>
      </w:r>
      <w:r w:rsidRPr="002964A7">
        <w:rPr>
          <w:rFonts w:ascii="Verdana" w:hAnsi="Verdana"/>
          <w:sz w:val="20"/>
          <w:szCs w:val="20"/>
          <w:lang w:eastAsia="es-CR"/>
        </w:rPr>
        <w:t xml:space="preserve"> efectuados por Estados, que luego pretendieron desconocer en etapas posteriores del proceso</w:t>
      </w:r>
      <w:r w:rsidR="00B9112A">
        <w:rPr>
          <w:rFonts w:ascii="Verdana" w:hAnsi="Verdana"/>
          <w:sz w:val="20"/>
          <w:szCs w:val="20"/>
          <w:lang w:eastAsia="es-CR"/>
        </w:rPr>
        <w:t xml:space="preserve"> interamericano</w:t>
      </w:r>
      <w:r w:rsidRPr="002964A7">
        <w:rPr>
          <w:rFonts w:ascii="Verdana" w:hAnsi="Verdana"/>
          <w:sz w:val="20"/>
          <w:szCs w:val="20"/>
          <w:lang w:eastAsia="es-CR"/>
        </w:rPr>
        <w:t>,</w:t>
      </w:r>
      <w:r w:rsidR="00B9112A">
        <w:rPr>
          <w:rFonts w:ascii="Verdana" w:hAnsi="Verdana"/>
          <w:sz w:val="20"/>
          <w:szCs w:val="20"/>
          <w:lang w:eastAsia="es-CR"/>
        </w:rPr>
        <w:t xml:space="preserve"> ya sea ante la Comisión o la Corte,</w:t>
      </w:r>
      <w:r w:rsidRPr="002964A7">
        <w:rPr>
          <w:rFonts w:ascii="Verdana" w:hAnsi="Verdana"/>
          <w:sz w:val="20"/>
          <w:szCs w:val="20"/>
          <w:lang w:eastAsia="es-CR"/>
        </w:rPr>
        <w:t xml:space="preserve"> incluso en casos contra el Perú</w:t>
      </w:r>
      <w:r w:rsidRPr="002964A7">
        <w:rPr>
          <w:rFonts w:ascii="Verdana" w:hAnsi="Verdana"/>
          <w:sz w:val="20"/>
          <w:szCs w:val="20"/>
          <w:vertAlign w:val="superscript"/>
          <w:lang w:eastAsia="es-CR"/>
        </w:rPr>
        <w:footnoteReference w:id="12"/>
      </w:r>
      <w:r w:rsidRPr="002964A7">
        <w:rPr>
          <w:rFonts w:ascii="Verdana" w:hAnsi="Verdana"/>
          <w:sz w:val="20"/>
          <w:szCs w:val="20"/>
          <w:lang w:eastAsia="es-CR"/>
        </w:rPr>
        <w:t xml:space="preserve">. </w:t>
      </w:r>
      <w:r w:rsidRPr="002964A7">
        <w:rPr>
          <w:rFonts w:ascii="Verdana" w:hAnsi="Verdana" w:cs="Verdana"/>
          <w:spacing w:val="1"/>
          <w:sz w:val="20"/>
          <w:szCs w:val="20"/>
          <w:lang w:val="es-MX"/>
        </w:rPr>
        <w:t>A</w:t>
      </w:r>
      <w:r w:rsidRPr="002964A7">
        <w:rPr>
          <w:rFonts w:ascii="Verdana" w:hAnsi="Verdana" w:cs="Verdana"/>
          <w:sz w:val="20"/>
          <w:szCs w:val="20"/>
          <w:lang w:val="es-MX"/>
        </w:rPr>
        <w:t>l</w:t>
      </w:r>
      <w:r w:rsidRPr="002964A7">
        <w:rPr>
          <w:rFonts w:ascii="Verdana" w:hAnsi="Verdana" w:cs="Verdana"/>
          <w:spacing w:val="24"/>
          <w:sz w:val="20"/>
          <w:szCs w:val="20"/>
          <w:lang w:val="es-MX"/>
        </w:rPr>
        <w:t xml:space="preserve"> </w:t>
      </w:r>
      <w:r w:rsidRPr="002964A7">
        <w:rPr>
          <w:rFonts w:ascii="Verdana" w:hAnsi="Verdana" w:cs="Verdana"/>
          <w:spacing w:val="4"/>
          <w:sz w:val="20"/>
          <w:szCs w:val="20"/>
          <w:lang w:val="es-MX"/>
        </w:rPr>
        <w:t>r</w:t>
      </w:r>
      <w:r w:rsidRPr="002964A7">
        <w:rPr>
          <w:rFonts w:ascii="Verdana" w:hAnsi="Verdana" w:cs="Verdana"/>
          <w:spacing w:val="-1"/>
          <w:sz w:val="20"/>
          <w:szCs w:val="20"/>
          <w:lang w:val="es-MX"/>
        </w:rPr>
        <w:t>e</w:t>
      </w:r>
      <w:r w:rsidRPr="002964A7">
        <w:rPr>
          <w:rFonts w:ascii="Verdana" w:hAnsi="Verdana" w:cs="Verdana"/>
          <w:spacing w:val="4"/>
          <w:sz w:val="20"/>
          <w:szCs w:val="20"/>
          <w:lang w:val="es-MX"/>
        </w:rPr>
        <w:t>s</w:t>
      </w:r>
      <w:r w:rsidRPr="002964A7">
        <w:rPr>
          <w:rFonts w:ascii="Verdana" w:hAnsi="Verdana" w:cs="Verdana"/>
          <w:spacing w:val="1"/>
          <w:sz w:val="20"/>
          <w:szCs w:val="20"/>
          <w:lang w:val="es-MX"/>
        </w:rPr>
        <w:t>p</w:t>
      </w:r>
      <w:r w:rsidRPr="002964A7">
        <w:rPr>
          <w:rFonts w:ascii="Verdana" w:hAnsi="Verdana" w:cs="Verdana"/>
          <w:spacing w:val="-1"/>
          <w:sz w:val="20"/>
          <w:szCs w:val="20"/>
          <w:lang w:val="es-MX"/>
        </w:rPr>
        <w:t>ec</w:t>
      </w:r>
      <w:r w:rsidRPr="002964A7">
        <w:rPr>
          <w:rFonts w:ascii="Verdana" w:hAnsi="Verdana" w:cs="Verdana"/>
          <w:spacing w:val="1"/>
          <w:sz w:val="20"/>
          <w:szCs w:val="20"/>
          <w:lang w:val="es-MX"/>
        </w:rPr>
        <w:t>to</w:t>
      </w:r>
      <w:r w:rsidRPr="002964A7">
        <w:rPr>
          <w:rFonts w:ascii="Verdana" w:hAnsi="Verdana" w:cs="Verdana"/>
          <w:sz w:val="20"/>
          <w:szCs w:val="20"/>
          <w:lang w:val="es-MX"/>
        </w:rPr>
        <w:t>,</w:t>
      </w:r>
      <w:r w:rsidRPr="002964A7">
        <w:rPr>
          <w:rFonts w:ascii="Verdana" w:hAnsi="Verdana" w:cs="Verdana"/>
          <w:spacing w:val="21"/>
          <w:sz w:val="20"/>
          <w:szCs w:val="20"/>
          <w:lang w:val="es-MX"/>
        </w:rPr>
        <w:t xml:space="preserve"> </w:t>
      </w:r>
      <w:r w:rsidRPr="002964A7">
        <w:rPr>
          <w:rFonts w:ascii="Verdana" w:hAnsi="Verdana" w:cs="Verdana"/>
          <w:spacing w:val="-2"/>
          <w:sz w:val="20"/>
          <w:szCs w:val="20"/>
          <w:lang w:val="es-MX"/>
        </w:rPr>
        <w:t>l</w:t>
      </w:r>
      <w:r w:rsidRPr="002964A7">
        <w:rPr>
          <w:rFonts w:ascii="Verdana" w:hAnsi="Verdana" w:cs="Verdana"/>
          <w:sz w:val="20"/>
          <w:szCs w:val="20"/>
          <w:lang w:val="es-MX"/>
        </w:rPr>
        <w:t xml:space="preserve">a </w:t>
      </w:r>
      <w:r w:rsidRPr="002964A7">
        <w:rPr>
          <w:rFonts w:ascii="Verdana" w:hAnsi="Verdana" w:cs="Verdana"/>
          <w:spacing w:val="3"/>
          <w:position w:val="-1"/>
          <w:sz w:val="20"/>
          <w:szCs w:val="20"/>
          <w:lang w:val="es-MX"/>
        </w:rPr>
        <w:t>C</w:t>
      </w:r>
      <w:r w:rsidRPr="002964A7">
        <w:rPr>
          <w:rFonts w:ascii="Verdana" w:hAnsi="Verdana" w:cs="Verdana"/>
          <w:spacing w:val="-1"/>
          <w:position w:val="-1"/>
          <w:sz w:val="20"/>
          <w:szCs w:val="20"/>
          <w:lang w:val="es-MX"/>
        </w:rPr>
        <w:t>o</w:t>
      </w:r>
      <w:r w:rsidRPr="002964A7">
        <w:rPr>
          <w:rFonts w:ascii="Verdana" w:hAnsi="Verdana" w:cs="Verdana"/>
          <w:spacing w:val="1"/>
          <w:position w:val="-1"/>
          <w:sz w:val="20"/>
          <w:szCs w:val="20"/>
          <w:lang w:val="es-MX"/>
        </w:rPr>
        <w:t>rt</w:t>
      </w:r>
      <w:r w:rsidRPr="002964A7">
        <w:rPr>
          <w:rFonts w:ascii="Verdana" w:hAnsi="Verdana" w:cs="Verdana"/>
          <w:position w:val="-1"/>
          <w:sz w:val="20"/>
          <w:szCs w:val="20"/>
          <w:lang w:val="es-MX"/>
        </w:rPr>
        <w:t>e</w:t>
      </w:r>
      <w:r w:rsidRPr="002964A7">
        <w:rPr>
          <w:rFonts w:ascii="Verdana" w:hAnsi="Verdana" w:cs="Verdana"/>
          <w:spacing w:val="-2"/>
          <w:position w:val="-1"/>
          <w:sz w:val="20"/>
          <w:szCs w:val="20"/>
          <w:lang w:val="es-MX"/>
        </w:rPr>
        <w:t xml:space="preserve"> </w:t>
      </w:r>
      <w:r w:rsidRPr="002964A7">
        <w:rPr>
          <w:rFonts w:ascii="Verdana" w:hAnsi="Verdana" w:cs="Verdana"/>
          <w:spacing w:val="1"/>
          <w:position w:val="-1"/>
          <w:sz w:val="20"/>
          <w:szCs w:val="20"/>
          <w:lang w:val="es-MX"/>
        </w:rPr>
        <w:t>r</w:t>
      </w:r>
      <w:r w:rsidRPr="002964A7">
        <w:rPr>
          <w:rFonts w:ascii="Verdana" w:hAnsi="Verdana" w:cs="Verdana"/>
          <w:spacing w:val="-1"/>
          <w:position w:val="-1"/>
          <w:sz w:val="20"/>
          <w:szCs w:val="20"/>
          <w:lang w:val="es-MX"/>
        </w:rPr>
        <w:t>e</w:t>
      </w:r>
      <w:r w:rsidRPr="002964A7">
        <w:rPr>
          <w:rFonts w:ascii="Verdana" w:hAnsi="Verdana" w:cs="Verdana"/>
          <w:spacing w:val="2"/>
          <w:position w:val="-1"/>
          <w:sz w:val="20"/>
          <w:szCs w:val="20"/>
          <w:lang w:val="es-MX"/>
        </w:rPr>
        <w:t>c</w:t>
      </w:r>
      <w:r w:rsidRPr="002964A7">
        <w:rPr>
          <w:rFonts w:ascii="Verdana" w:hAnsi="Verdana" w:cs="Verdana"/>
          <w:spacing w:val="-1"/>
          <w:position w:val="-1"/>
          <w:sz w:val="20"/>
          <w:szCs w:val="20"/>
          <w:lang w:val="es-MX"/>
        </w:rPr>
        <w:t>ue</w:t>
      </w:r>
      <w:r w:rsidRPr="002964A7">
        <w:rPr>
          <w:rFonts w:ascii="Verdana" w:hAnsi="Verdana" w:cs="Verdana"/>
          <w:spacing w:val="4"/>
          <w:position w:val="-1"/>
          <w:sz w:val="20"/>
          <w:szCs w:val="20"/>
          <w:lang w:val="es-MX"/>
        </w:rPr>
        <w:t>r</w:t>
      </w:r>
      <w:r w:rsidRPr="002964A7">
        <w:rPr>
          <w:rFonts w:ascii="Verdana" w:hAnsi="Verdana" w:cs="Verdana"/>
          <w:spacing w:val="-2"/>
          <w:position w:val="-1"/>
          <w:sz w:val="20"/>
          <w:szCs w:val="20"/>
          <w:lang w:val="es-MX"/>
        </w:rPr>
        <w:t>d</w:t>
      </w:r>
      <w:r w:rsidRPr="002964A7">
        <w:rPr>
          <w:rFonts w:ascii="Verdana" w:hAnsi="Verdana" w:cs="Verdana"/>
          <w:position w:val="-1"/>
          <w:sz w:val="20"/>
          <w:szCs w:val="20"/>
          <w:lang w:val="es-MX"/>
        </w:rPr>
        <w:t>a</w:t>
      </w:r>
      <w:r w:rsidRPr="002964A7">
        <w:rPr>
          <w:rFonts w:ascii="Verdana" w:hAnsi="Verdana" w:cs="Verdana"/>
          <w:spacing w:val="-2"/>
          <w:position w:val="-1"/>
          <w:sz w:val="20"/>
          <w:szCs w:val="20"/>
          <w:lang w:val="es-MX"/>
        </w:rPr>
        <w:t xml:space="preserve"> </w:t>
      </w:r>
      <w:r w:rsidRPr="002964A7">
        <w:rPr>
          <w:rFonts w:ascii="Verdana" w:hAnsi="Verdana" w:cs="Verdana"/>
          <w:spacing w:val="1"/>
          <w:position w:val="-1"/>
          <w:sz w:val="20"/>
          <w:szCs w:val="20"/>
          <w:lang w:val="es-MX"/>
        </w:rPr>
        <w:t>qu</w:t>
      </w:r>
      <w:r w:rsidRPr="002964A7">
        <w:rPr>
          <w:rFonts w:ascii="Verdana" w:hAnsi="Verdana" w:cs="Verdana"/>
          <w:position w:val="-1"/>
          <w:sz w:val="20"/>
          <w:szCs w:val="20"/>
          <w:lang w:val="es-MX"/>
        </w:rPr>
        <w:t>e</w:t>
      </w:r>
      <w:r w:rsidRPr="002964A7">
        <w:rPr>
          <w:rFonts w:ascii="Verdana" w:hAnsi="Verdana" w:cs="Verdana"/>
          <w:spacing w:val="-1"/>
          <w:position w:val="-1"/>
          <w:sz w:val="20"/>
          <w:szCs w:val="20"/>
          <w:lang w:val="es-MX"/>
        </w:rPr>
        <w:t xml:space="preserve"> </w:t>
      </w:r>
      <w:r w:rsidRPr="002964A7">
        <w:rPr>
          <w:rFonts w:ascii="Verdana" w:hAnsi="Verdana" w:cs="Verdana"/>
          <w:spacing w:val="2"/>
          <w:position w:val="-1"/>
          <w:sz w:val="20"/>
          <w:szCs w:val="20"/>
          <w:lang w:val="es-MX"/>
        </w:rPr>
        <w:t>s</w:t>
      </w:r>
      <w:r w:rsidRPr="002964A7">
        <w:rPr>
          <w:rFonts w:ascii="Verdana" w:hAnsi="Verdana" w:cs="Verdana"/>
          <w:spacing w:val="1"/>
          <w:position w:val="-1"/>
          <w:sz w:val="20"/>
          <w:szCs w:val="20"/>
          <w:lang w:val="es-MX"/>
        </w:rPr>
        <w:t>eg</w:t>
      </w:r>
      <w:r w:rsidRPr="002964A7">
        <w:rPr>
          <w:rFonts w:ascii="Verdana" w:hAnsi="Verdana" w:cs="Verdana"/>
          <w:spacing w:val="-1"/>
          <w:position w:val="-1"/>
          <w:sz w:val="20"/>
          <w:szCs w:val="20"/>
          <w:lang w:val="es-MX"/>
        </w:rPr>
        <w:t>ú</w:t>
      </w:r>
      <w:r w:rsidRPr="002964A7">
        <w:rPr>
          <w:rFonts w:ascii="Verdana" w:hAnsi="Verdana" w:cs="Verdana"/>
          <w:position w:val="-1"/>
          <w:sz w:val="20"/>
          <w:szCs w:val="20"/>
          <w:lang w:val="es-MX"/>
        </w:rPr>
        <w:t>n</w:t>
      </w:r>
      <w:r w:rsidRPr="002964A7">
        <w:rPr>
          <w:rFonts w:ascii="Verdana" w:hAnsi="Verdana" w:cs="Verdana"/>
          <w:spacing w:val="1"/>
          <w:position w:val="-1"/>
          <w:sz w:val="20"/>
          <w:szCs w:val="20"/>
          <w:lang w:val="es-MX"/>
        </w:rPr>
        <w:t xml:space="preserve"> </w:t>
      </w:r>
      <w:r w:rsidRPr="002964A7">
        <w:rPr>
          <w:rFonts w:ascii="Verdana" w:hAnsi="Verdana" w:cs="Verdana"/>
          <w:spacing w:val="-2"/>
          <w:position w:val="-1"/>
          <w:sz w:val="20"/>
          <w:szCs w:val="20"/>
          <w:lang w:val="es-MX"/>
        </w:rPr>
        <w:t>l</w:t>
      </w:r>
      <w:r w:rsidRPr="002964A7">
        <w:rPr>
          <w:rFonts w:ascii="Verdana" w:hAnsi="Verdana" w:cs="Verdana"/>
          <w:position w:val="-1"/>
          <w:sz w:val="20"/>
          <w:szCs w:val="20"/>
          <w:lang w:val="es-MX"/>
        </w:rPr>
        <w:t>a</w:t>
      </w:r>
      <w:r w:rsidRPr="002964A7">
        <w:rPr>
          <w:rFonts w:ascii="Verdana" w:hAnsi="Verdana" w:cs="Verdana"/>
          <w:spacing w:val="5"/>
          <w:position w:val="-1"/>
          <w:sz w:val="20"/>
          <w:szCs w:val="20"/>
          <w:lang w:val="es-MX"/>
        </w:rPr>
        <w:t xml:space="preserve"> </w:t>
      </w:r>
      <w:r w:rsidRPr="002964A7">
        <w:rPr>
          <w:rFonts w:ascii="Verdana" w:hAnsi="Verdana" w:cs="Verdana"/>
          <w:spacing w:val="-2"/>
          <w:position w:val="-1"/>
          <w:sz w:val="20"/>
          <w:szCs w:val="20"/>
          <w:lang w:val="es-MX"/>
        </w:rPr>
        <w:t>p</w:t>
      </w:r>
      <w:r w:rsidRPr="002964A7">
        <w:rPr>
          <w:rFonts w:ascii="Verdana" w:hAnsi="Verdana" w:cs="Verdana"/>
          <w:spacing w:val="1"/>
          <w:position w:val="-1"/>
          <w:sz w:val="20"/>
          <w:szCs w:val="20"/>
          <w:lang w:val="es-MX"/>
        </w:rPr>
        <w:t>r</w:t>
      </w:r>
      <w:r w:rsidRPr="002964A7">
        <w:rPr>
          <w:rFonts w:ascii="Verdana" w:hAnsi="Verdana" w:cs="Verdana"/>
          <w:position w:val="-1"/>
          <w:sz w:val="20"/>
          <w:szCs w:val="20"/>
          <w:lang w:val="es-MX"/>
        </w:rPr>
        <w:t>á</w:t>
      </w:r>
      <w:r w:rsidRPr="002964A7">
        <w:rPr>
          <w:rFonts w:ascii="Verdana" w:hAnsi="Verdana" w:cs="Verdana"/>
          <w:spacing w:val="-1"/>
          <w:position w:val="-1"/>
          <w:sz w:val="20"/>
          <w:szCs w:val="20"/>
          <w:lang w:val="es-MX"/>
        </w:rPr>
        <w:t>c</w:t>
      </w:r>
      <w:r w:rsidRPr="002964A7">
        <w:rPr>
          <w:rFonts w:ascii="Verdana" w:hAnsi="Verdana" w:cs="Verdana"/>
          <w:spacing w:val="3"/>
          <w:position w:val="-1"/>
          <w:sz w:val="20"/>
          <w:szCs w:val="20"/>
          <w:lang w:val="es-MX"/>
        </w:rPr>
        <w:t>t</w:t>
      </w:r>
      <w:r w:rsidRPr="002964A7">
        <w:rPr>
          <w:rFonts w:ascii="Verdana" w:hAnsi="Verdana" w:cs="Verdana"/>
          <w:spacing w:val="-2"/>
          <w:position w:val="-1"/>
          <w:sz w:val="20"/>
          <w:szCs w:val="20"/>
          <w:lang w:val="es-MX"/>
        </w:rPr>
        <w:t>i</w:t>
      </w:r>
      <w:r w:rsidRPr="002964A7">
        <w:rPr>
          <w:rFonts w:ascii="Verdana" w:hAnsi="Verdana" w:cs="Verdana"/>
          <w:spacing w:val="-1"/>
          <w:position w:val="-1"/>
          <w:sz w:val="20"/>
          <w:szCs w:val="20"/>
          <w:lang w:val="es-MX"/>
        </w:rPr>
        <w:t>c</w:t>
      </w:r>
      <w:r w:rsidRPr="002964A7">
        <w:rPr>
          <w:rFonts w:ascii="Verdana" w:hAnsi="Verdana" w:cs="Verdana"/>
          <w:position w:val="-1"/>
          <w:sz w:val="20"/>
          <w:szCs w:val="20"/>
          <w:lang w:val="es-MX"/>
        </w:rPr>
        <w:t>a</w:t>
      </w:r>
      <w:r w:rsidRPr="002964A7">
        <w:rPr>
          <w:rFonts w:ascii="Verdana" w:hAnsi="Verdana" w:cs="Verdana"/>
          <w:spacing w:val="1"/>
          <w:position w:val="-1"/>
          <w:sz w:val="20"/>
          <w:szCs w:val="20"/>
          <w:lang w:val="es-MX"/>
        </w:rPr>
        <w:t xml:space="preserve"> </w:t>
      </w:r>
      <w:r w:rsidRPr="002964A7">
        <w:rPr>
          <w:rFonts w:ascii="Verdana" w:hAnsi="Verdana" w:cs="Verdana"/>
          <w:spacing w:val="-2"/>
          <w:position w:val="-1"/>
          <w:sz w:val="20"/>
          <w:szCs w:val="20"/>
          <w:lang w:val="es-MX"/>
        </w:rPr>
        <w:t>i</w:t>
      </w:r>
      <w:r w:rsidRPr="002964A7">
        <w:rPr>
          <w:rFonts w:ascii="Verdana" w:hAnsi="Verdana" w:cs="Verdana"/>
          <w:spacing w:val="-1"/>
          <w:position w:val="-1"/>
          <w:sz w:val="20"/>
          <w:szCs w:val="20"/>
          <w:lang w:val="es-MX"/>
        </w:rPr>
        <w:t>n</w:t>
      </w:r>
      <w:r w:rsidRPr="002964A7">
        <w:rPr>
          <w:rFonts w:ascii="Verdana" w:hAnsi="Verdana" w:cs="Verdana"/>
          <w:spacing w:val="3"/>
          <w:position w:val="-1"/>
          <w:sz w:val="20"/>
          <w:szCs w:val="20"/>
          <w:lang w:val="es-MX"/>
        </w:rPr>
        <w:t>t</w:t>
      </w:r>
      <w:r w:rsidRPr="002964A7">
        <w:rPr>
          <w:rFonts w:ascii="Verdana" w:hAnsi="Verdana" w:cs="Verdana"/>
          <w:spacing w:val="-1"/>
          <w:position w:val="-1"/>
          <w:sz w:val="20"/>
          <w:szCs w:val="20"/>
          <w:lang w:val="es-MX"/>
        </w:rPr>
        <w:t>e</w:t>
      </w:r>
      <w:r w:rsidRPr="002964A7">
        <w:rPr>
          <w:rFonts w:ascii="Verdana" w:hAnsi="Verdana" w:cs="Verdana"/>
          <w:spacing w:val="1"/>
          <w:position w:val="-1"/>
          <w:sz w:val="20"/>
          <w:szCs w:val="20"/>
          <w:lang w:val="es-MX"/>
        </w:rPr>
        <w:t>r</w:t>
      </w:r>
      <w:r w:rsidRPr="002964A7">
        <w:rPr>
          <w:rFonts w:ascii="Verdana" w:hAnsi="Verdana" w:cs="Verdana"/>
          <w:spacing w:val="-1"/>
          <w:position w:val="-1"/>
          <w:sz w:val="20"/>
          <w:szCs w:val="20"/>
          <w:lang w:val="es-MX"/>
        </w:rPr>
        <w:t>n</w:t>
      </w:r>
      <w:r w:rsidRPr="002964A7">
        <w:rPr>
          <w:rFonts w:ascii="Verdana" w:hAnsi="Verdana" w:cs="Verdana"/>
          <w:spacing w:val="3"/>
          <w:position w:val="-1"/>
          <w:sz w:val="20"/>
          <w:szCs w:val="20"/>
          <w:lang w:val="es-MX"/>
        </w:rPr>
        <w:t>a</w:t>
      </w:r>
      <w:r w:rsidRPr="002964A7">
        <w:rPr>
          <w:rFonts w:ascii="Verdana" w:hAnsi="Verdana" w:cs="Verdana"/>
          <w:spacing w:val="2"/>
          <w:position w:val="-1"/>
          <w:sz w:val="20"/>
          <w:szCs w:val="20"/>
          <w:lang w:val="es-MX"/>
        </w:rPr>
        <w:t>c</w:t>
      </w:r>
      <w:r w:rsidRPr="002964A7">
        <w:rPr>
          <w:rFonts w:ascii="Verdana" w:hAnsi="Verdana" w:cs="Verdana"/>
          <w:spacing w:val="-2"/>
          <w:position w:val="-1"/>
          <w:sz w:val="20"/>
          <w:szCs w:val="20"/>
          <w:lang w:val="es-MX"/>
        </w:rPr>
        <w:t>i</w:t>
      </w:r>
      <w:r w:rsidRPr="002964A7">
        <w:rPr>
          <w:rFonts w:ascii="Verdana" w:hAnsi="Verdana" w:cs="Verdana"/>
          <w:spacing w:val="1"/>
          <w:position w:val="-1"/>
          <w:sz w:val="20"/>
          <w:szCs w:val="20"/>
          <w:lang w:val="es-MX"/>
        </w:rPr>
        <w:t>o</w:t>
      </w:r>
      <w:r w:rsidRPr="002964A7">
        <w:rPr>
          <w:rFonts w:ascii="Verdana" w:hAnsi="Verdana" w:cs="Verdana"/>
          <w:spacing w:val="-1"/>
          <w:position w:val="-1"/>
          <w:sz w:val="20"/>
          <w:szCs w:val="20"/>
          <w:lang w:val="es-MX"/>
        </w:rPr>
        <w:t>n</w:t>
      </w:r>
      <w:r w:rsidRPr="002964A7">
        <w:rPr>
          <w:rFonts w:ascii="Verdana" w:hAnsi="Verdana" w:cs="Verdana"/>
          <w:spacing w:val="3"/>
          <w:position w:val="-1"/>
          <w:sz w:val="20"/>
          <w:szCs w:val="20"/>
          <w:lang w:val="es-MX"/>
        </w:rPr>
        <w:t>a</w:t>
      </w:r>
      <w:r w:rsidRPr="002964A7">
        <w:rPr>
          <w:rFonts w:ascii="Verdana" w:hAnsi="Verdana" w:cs="Verdana"/>
          <w:spacing w:val="-2"/>
          <w:position w:val="-1"/>
          <w:sz w:val="20"/>
          <w:szCs w:val="20"/>
          <w:lang w:val="es-MX"/>
        </w:rPr>
        <w:t>l</w:t>
      </w:r>
      <w:r w:rsidRPr="002964A7">
        <w:rPr>
          <w:rFonts w:ascii="Verdana" w:hAnsi="Verdana" w:cs="Verdana"/>
          <w:position w:val="-1"/>
          <w:sz w:val="20"/>
          <w:szCs w:val="20"/>
          <w:lang w:val="es-MX"/>
        </w:rPr>
        <w:t>,</w:t>
      </w:r>
      <w:r w:rsidRPr="002964A7">
        <w:rPr>
          <w:rFonts w:ascii="Verdana" w:hAnsi="Verdana" w:cs="Verdana"/>
          <w:spacing w:val="-8"/>
          <w:position w:val="-1"/>
          <w:sz w:val="20"/>
          <w:szCs w:val="20"/>
          <w:lang w:val="es-MX"/>
        </w:rPr>
        <w:t xml:space="preserve"> </w:t>
      </w:r>
      <w:r w:rsidRPr="002964A7">
        <w:rPr>
          <w:rFonts w:ascii="Verdana" w:hAnsi="Verdana" w:cs="Verdana"/>
          <w:spacing w:val="2"/>
          <w:position w:val="-1"/>
          <w:sz w:val="20"/>
          <w:szCs w:val="20"/>
          <w:lang w:val="es-MX"/>
        </w:rPr>
        <w:t>c</w:t>
      </w:r>
      <w:r w:rsidRPr="002964A7">
        <w:rPr>
          <w:rFonts w:ascii="Verdana" w:hAnsi="Verdana" w:cs="Verdana"/>
          <w:spacing w:val="-1"/>
          <w:position w:val="-1"/>
          <w:sz w:val="20"/>
          <w:szCs w:val="20"/>
          <w:lang w:val="es-MX"/>
        </w:rPr>
        <w:t>u</w:t>
      </w:r>
      <w:r w:rsidRPr="002964A7">
        <w:rPr>
          <w:rFonts w:ascii="Verdana" w:hAnsi="Verdana" w:cs="Verdana"/>
          <w:position w:val="-1"/>
          <w:sz w:val="20"/>
          <w:szCs w:val="20"/>
          <w:lang w:val="es-MX"/>
        </w:rPr>
        <w:t>a</w:t>
      </w:r>
      <w:r w:rsidRPr="002964A7">
        <w:rPr>
          <w:rFonts w:ascii="Verdana" w:hAnsi="Verdana" w:cs="Verdana"/>
          <w:spacing w:val="1"/>
          <w:position w:val="-1"/>
          <w:sz w:val="20"/>
          <w:szCs w:val="20"/>
          <w:lang w:val="es-MX"/>
        </w:rPr>
        <w:t>nd</w:t>
      </w:r>
      <w:r w:rsidRPr="002964A7">
        <w:rPr>
          <w:rFonts w:ascii="Verdana" w:hAnsi="Verdana" w:cs="Verdana"/>
          <w:position w:val="-1"/>
          <w:sz w:val="20"/>
          <w:szCs w:val="20"/>
          <w:lang w:val="es-MX"/>
        </w:rPr>
        <w:t>o</w:t>
      </w:r>
      <w:r w:rsidRPr="002964A7">
        <w:rPr>
          <w:rFonts w:ascii="Verdana" w:hAnsi="Verdana" w:cs="Verdana"/>
          <w:spacing w:val="-2"/>
          <w:position w:val="-1"/>
          <w:sz w:val="20"/>
          <w:szCs w:val="20"/>
          <w:lang w:val="es-MX"/>
        </w:rPr>
        <w:t xml:space="preserve"> </w:t>
      </w:r>
      <w:r w:rsidRPr="002964A7">
        <w:rPr>
          <w:rFonts w:ascii="Verdana" w:hAnsi="Verdana" w:cs="Verdana"/>
          <w:spacing w:val="1"/>
          <w:position w:val="-1"/>
          <w:sz w:val="20"/>
          <w:szCs w:val="20"/>
          <w:lang w:val="es-MX"/>
        </w:rPr>
        <w:t>u</w:t>
      </w:r>
      <w:r w:rsidRPr="002964A7">
        <w:rPr>
          <w:rFonts w:ascii="Verdana" w:hAnsi="Verdana" w:cs="Verdana"/>
          <w:spacing w:val="-1"/>
          <w:position w:val="-1"/>
          <w:sz w:val="20"/>
          <w:szCs w:val="20"/>
          <w:lang w:val="es-MX"/>
        </w:rPr>
        <w:t>n</w:t>
      </w:r>
      <w:r w:rsidRPr="002964A7">
        <w:rPr>
          <w:rFonts w:ascii="Verdana" w:hAnsi="Verdana" w:cs="Verdana"/>
          <w:position w:val="-1"/>
          <w:sz w:val="20"/>
          <w:szCs w:val="20"/>
          <w:lang w:val="es-MX"/>
        </w:rPr>
        <w:t>a</w:t>
      </w:r>
      <w:r w:rsidRPr="002964A7">
        <w:rPr>
          <w:rFonts w:ascii="Verdana" w:hAnsi="Verdana" w:cs="Verdana"/>
          <w:spacing w:val="3"/>
          <w:position w:val="-1"/>
          <w:sz w:val="20"/>
          <w:szCs w:val="20"/>
          <w:lang w:val="es-MX"/>
        </w:rPr>
        <w:t xml:space="preserve"> </w:t>
      </w:r>
      <w:r w:rsidRPr="002964A7">
        <w:rPr>
          <w:rFonts w:ascii="Verdana" w:hAnsi="Verdana" w:cs="Verdana"/>
          <w:spacing w:val="-2"/>
          <w:position w:val="-1"/>
          <w:sz w:val="20"/>
          <w:szCs w:val="20"/>
          <w:lang w:val="es-MX"/>
        </w:rPr>
        <w:t>p</w:t>
      </w:r>
      <w:r w:rsidRPr="002964A7">
        <w:rPr>
          <w:rFonts w:ascii="Verdana" w:hAnsi="Verdana" w:cs="Verdana"/>
          <w:position w:val="-1"/>
          <w:sz w:val="20"/>
          <w:szCs w:val="20"/>
          <w:lang w:val="es-MX"/>
        </w:rPr>
        <w:t>a</w:t>
      </w:r>
      <w:r w:rsidRPr="002964A7">
        <w:rPr>
          <w:rFonts w:ascii="Verdana" w:hAnsi="Verdana" w:cs="Verdana"/>
          <w:spacing w:val="1"/>
          <w:position w:val="-1"/>
          <w:sz w:val="20"/>
          <w:szCs w:val="20"/>
          <w:lang w:val="es-MX"/>
        </w:rPr>
        <w:t>rt</w:t>
      </w:r>
      <w:r w:rsidRPr="002964A7">
        <w:rPr>
          <w:rFonts w:ascii="Verdana" w:hAnsi="Verdana" w:cs="Verdana"/>
          <w:position w:val="-1"/>
          <w:sz w:val="20"/>
          <w:szCs w:val="20"/>
          <w:lang w:val="es-MX"/>
        </w:rPr>
        <w:t xml:space="preserve">e </w:t>
      </w:r>
      <w:r w:rsidRPr="002964A7">
        <w:rPr>
          <w:rFonts w:ascii="Verdana" w:hAnsi="Verdana" w:cs="Verdana"/>
          <w:spacing w:val="1"/>
          <w:position w:val="-1"/>
          <w:sz w:val="20"/>
          <w:szCs w:val="20"/>
          <w:lang w:val="es-MX"/>
        </w:rPr>
        <w:t>e</w:t>
      </w:r>
      <w:r w:rsidRPr="002964A7">
        <w:rPr>
          <w:rFonts w:ascii="Verdana" w:hAnsi="Verdana" w:cs="Verdana"/>
          <w:position w:val="-1"/>
          <w:sz w:val="20"/>
          <w:szCs w:val="20"/>
          <w:lang w:val="es-MX"/>
        </w:rPr>
        <w:t>n</w:t>
      </w:r>
      <w:r w:rsidRPr="002964A7">
        <w:rPr>
          <w:rFonts w:ascii="Verdana" w:hAnsi="Verdana" w:cs="Verdana"/>
          <w:spacing w:val="3"/>
          <w:position w:val="-1"/>
          <w:sz w:val="20"/>
          <w:szCs w:val="20"/>
          <w:lang w:val="es-MX"/>
        </w:rPr>
        <w:t xml:space="preserve"> </w:t>
      </w:r>
      <w:r w:rsidRPr="002964A7">
        <w:rPr>
          <w:rFonts w:ascii="Verdana" w:hAnsi="Verdana" w:cs="Verdana"/>
          <w:spacing w:val="1"/>
          <w:position w:val="-1"/>
          <w:sz w:val="20"/>
          <w:szCs w:val="20"/>
          <w:lang w:val="es-MX"/>
        </w:rPr>
        <w:t>u</w:t>
      </w:r>
      <w:r w:rsidRPr="002964A7">
        <w:rPr>
          <w:rFonts w:ascii="Verdana" w:hAnsi="Verdana" w:cs="Verdana"/>
          <w:position w:val="-1"/>
          <w:sz w:val="20"/>
          <w:szCs w:val="20"/>
          <w:lang w:val="es-MX"/>
        </w:rPr>
        <w:t>n</w:t>
      </w:r>
      <w:r w:rsidRPr="002964A7">
        <w:rPr>
          <w:rFonts w:ascii="Verdana" w:hAnsi="Verdana" w:cs="Verdana"/>
          <w:spacing w:val="2"/>
          <w:position w:val="-1"/>
          <w:sz w:val="20"/>
          <w:szCs w:val="20"/>
          <w:lang w:val="es-MX"/>
        </w:rPr>
        <w:t xml:space="preserve"> </w:t>
      </w:r>
      <w:r w:rsidRPr="002964A7">
        <w:rPr>
          <w:rFonts w:ascii="Verdana" w:hAnsi="Verdana" w:cs="Verdana"/>
          <w:spacing w:val="1"/>
          <w:position w:val="-1"/>
          <w:sz w:val="20"/>
          <w:szCs w:val="20"/>
          <w:lang w:val="es-MX"/>
        </w:rPr>
        <w:t>l</w:t>
      </w:r>
      <w:r w:rsidRPr="002964A7">
        <w:rPr>
          <w:rFonts w:ascii="Verdana" w:hAnsi="Verdana" w:cs="Verdana"/>
          <w:spacing w:val="-2"/>
          <w:position w:val="-1"/>
          <w:sz w:val="20"/>
          <w:szCs w:val="20"/>
          <w:lang w:val="es-MX"/>
        </w:rPr>
        <w:t>i</w:t>
      </w:r>
      <w:r w:rsidRPr="002964A7">
        <w:rPr>
          <w:rFonts w:ascii="Verdana" w:hAnsi="Verdana" w:cs="Verdana"/>
          <w:spacing w:val="3"/>
          <w:position w:val="-1"/>
          <w:sz w:val="20"/>
          <w:szCs w:val="20"/>
          <w:lang w:val="es-MX"/>
        </w:rPr>
        <w:t>t</w:t>
      </w:r>
      <w:r w:rsidRPr="002964A7">
        <w:rPr>
          <w:rFonts w:ascii="Verdana" w:hAnsi="Verdana" w:cs="Verdana"/>
          <w:spacing w:val="-2"/>
          <w:position w:val="-1"/>
          <w:sz w:val="20"/>
          <w:szCs w:val="20"/>
          <w:lang w:val="es-MX"/>
        </w:rPr>
        <w:t>i</w:t>
      </w:r>
      <w:r w:rsidRPr="002964A7">
        <w:rPr>
          <w:rFonts w:ascii="Verdana" w:hAnsi="Verdana" w:cs="Verdana"/>
          <w:spacing w:val="1"/>
          <w:position w:val="-1"/>
          <w:sz w:val="20"/>
          <w:szCs w:val="20"/>
          <w:lang w:val="es-MX"/>
        </w:rPr>
        <w:t>gi</w:t>
      </w:r>
      <w:r w:rsidRPr="002964A7">
        <w:rPr>
          <w:rFonts w:ascii="Verdana" w:hAnsi="Verdana" w:cs="Verdana"/>
          <w:position w:val="-1"/>
          <w:sz w:val="20"/>
          <w:szCs w:val="20"/>
          <w:lang w:val="es-MX"/>
        </w:rPr>
        <w:t xml:space="preserve">o </w:t>
      </w:r>
      <w:r w:rsidRPr="002964A7">
        <w:rPr>
          <w:rFonts w:ascii="Verdana" w:hAnsi="Verdana" w:cs="Verdana"/>
          <w:spacing w:val="-1"/>
          <w:position w:val="-1"/>
          <w:sz w:val="20"/>
          <w:szCs w:val="20"/>
          <w:lang w:val="es-MX"/>
        </w:rPr>
        <w:t>h</w:t>
      </w:r>
      <w:r w:rsidRPr="002964A7">
        <w:rPr>
          <w:rFonts w:ascii="Verdana" w:hAnsi="Verdana" w:cs="Verdana"/>
          <w:position w:val="-1"/>
          <w:sz w:val="20"/>
          <w:szCs w:val="20"/>
          <w:lang w:val="es-MX"/>
        </w:rPr>
        <w:t>a</w:t>
      </w:r>
      <w:r w:rsidRPr="002964A7">
        <w:rPr>
          <w:rFonts w:ascii="Verdana" w:hAnsi="Verdana" w:cs="Verdana"/>
          <w:spacing w:val="4"/>
          <w:position w:val="-1"/>
          <w:sz w:val="20"/>
          <w:szCs w:val="20"/>
          <w:lang w:val="es-MX"/>
        </w:rPr>
        <w:t xml:space="preserve"> </w:t>
      </w:r>
      <w:r w:rsidRPr="002964A7">
        <w:rPr>
          <w:rFonts w:ascii="Verdana" w:hAnsi="Verdana"/>
          <w:sz w:val="20"/>
          <w:szCs w:val="20"/>
          <w:lang w:eastAsia="es-CR"/>
        </w:rPr>
        <w:t>adoptado</w:t>
      </w:r>
      <w:r w:rsidRPr="002964A7">
        <w:rPr>
          <w:rFonts w:ascii="Verdana" w:hAnsi="Verdana" w:cs="Verdana"/>
          <w:spacing w:val="-2"/>
          <w:position w:val="-1"/>
          <w:sz w:val="20"/>
          <w:szCs w:val="20"/>
          <w:lang w:val="es-MX"/>
        </w:rPr>
        <w:t xml:space="preserve"> </w:t>
      </w:r>
      <w:r w:rsidRPr="002964A7">
        <w:rPr>
          <w:rFonts w:ascii="Verdana" w:hAnsi="Verdana" w:cs="Verdana"/>
          <w:spacing w:val="-1"/>
          <w:sz w:val="20"/>
          <w:szCs w:val="20"/>
          <w:lang w:val="es-MX"/>
        </w:rPr>
        <w:t>u</w:t>
      </w:r>
      <w:r w:rsidRPr="002964A7">
        <w:rPr>
          <w:rFonts w:ascii="Verdana" w:hAnsi="Verdana" w:cs="Verdana"/>
          <w:spacing w:val="1"/>
          <w:sz w:val="20"/>
          <w:szCs w:val="20"/>
          <w:lang w:val="es-MX"/>
        </w:rPr>
        <w:t>n</w:t>
      </w:r>
      <w:r w:rsidRPr="002964A7">
        <w:rPr>
          <w:rFonts w:ascii="Verdana" w:hAnsi="Verdana" w:cs="Verdana"/>
          <w:sz w:val="20"/>
          <w:szCs w:val="20"/>
          <w:lang w:val="es-MX"/>
        </w:rPr>
        <w:t>a</w:t>
      </w:r>
      <w:r w:rsidRPr="002964A7">
        <w:rPr>
          <w:rFonts w:ascii="Verdana" w:hAnsi="Verdana" w:cs="Verdana"/>
          <w:spacing w:val="27"/>
          <w:sz w:val="20"/>
          <w:szCs w:val="20"/>
          <w:lang w:val="es-MX"/>
        </w:rPr>
        <w:t xml:space="preserve"> </w:t>
      </w:r>
      <w:r w:rsidRPr="002964A7">
        <w:rPr>
          <w:rFonts w:ascii="Verdana" w:hAnsi="Verdana" w:cs="Verdana"/>
          <w:sz w:val="20"/>
          <w:szCs w:val="20"/>
          <w:lang w:val="es-MX"/>
        </w:rPr>
        <w:t>a</w:t>
      </w:r>
      <w:r w:rsidRPr="002964A7">
        <w:rPr>
          <w:rFonts w:ascii="Verdana" w:hAnsi="Verdana" w:cs="Verdana"/>
          <w:spacing w:val="-1"/>
          <w:sz w:val="20"/>
          <w:szCs w:val="20"/>
          <w:lang w:val="es-MX"/>
        </w:rPr>
        <w:t>c</w:t>
      </w:r>
      <w:r w:rsidRPr="002964A7">
        <w:rPr>
          <w:rFonts w:ascii="Verdana" w:hAnsi="Verdana" w:cs="Verdana"/>
          <w:spacing w:val="3"/>
          <w:sz w:val="20"/>
          <w:szCs w:val="20"/>
          <w:lang w:val="es-MX"/>
        </w:rPr>
        <w:t>t</w:t>
      </w:r>
      <w:r w:rsidRPr="002964A7">
        <w:rPr>
          <w:rFonts w:ascii="Verdana" w:hAnsi="Verdana" w:cs="Verdana"/>
          <w:spacing w:val="-2"/>
          <w:sz w:val="20"/>
          <w:szCs w:val="20"/>
          <w:lang w:val="es-MX"/>
        </w:rPr>
        <w:t>i</w:t>
      </w:r>
      <w:r w:rsidRPr="002964A7">
        <w:rPr>
          <w:rFonts w:ascii="Verdana" w:hAnsi="Verdana" w:cs="Verdana"/>
          <w:spacing w:val="3"/>
          <w:sz w:val="20"/>
          <w:szCs w:val="20"/>
          <w:lang w:val="es-MX"/>
        </w:rPr>
        <w:t>t</w:t>
      </w:r>
      <w:r w:rsidRPr="002964A7">
        <w:rPr>
          <w:rFonts w:ascii="Verdana" w:hAnsi="Verdana" w:cs="Verdana"/>
          <w:spacing w:val="1"/>
          <w:sz w:val="20"/>
          <w:szCs w:val="20"/>
          <w:lang w:val="es-MX"/>
        </w:rPr>
        <w:t>u</w:t>
      </w:r>
      <w:r w:rsidRPr="002964A7">
        <w:rPr>
          <w:rFonts w:ascii="Verdana" w:hAnsi="Verdana" w:cs="Verdana"/>
          <w:sz w:val="20"/>
          <w:szCs w:val="20"/>
          <w:lang w:val="es-MX"/>
        </w:rPr>
        <w:t>d</w:t>
      </w:r>
      <w:r w:rsidRPr="002964A7">
        <w:rPr>
          <w:rFonts w:ascii="Verdana" w:hAnsi="Verdana" w:cs="Verdana"/>
          <w:spacing w:val="24"/>
          <w:sz w:val="20"/>
          <w:szCs w:val="20"/>
          <w:lang w:val="es-MX"/>
        </w:rPr>
        <w:t xml:space="preserve"> </w:t>
      </w:r>
      <w:r w:rsidRPr="002964A7">
        <w:rPr>
          <w:rFonts w:ascii="Verdana" w:hAnsi="Verdana" w:cs="Verdana"/>
          <w:spacing w:val="1"/>
          <w:sz w:val="20"/>
          <w:szCs w:val="20"/>
          <w:lang w:val="es-MX"/>
        </w:rPr>
        <w:t>d</w:t>
      </w:r>
      <w:r w:rsidRPr="002964A7">
        <w:rPr>
          <w:rFonts w:ascii="Verdana" w:hAnsi="Verdana" w:cs="Verdana"/>
          <w:spacing w:val="-1"/>
          <w:sz w:val="20"/>
          <w:szCs w:val="20"/>
          <w:lang w:val="es-MX"/>
        </w:rPr>
        <w:t>e</w:t>
      </w:r>
      <w:r w:rsidRPr="002964A7">
        <w:rPr>
          <w:rFonts w:ascii="Verdana" w:hAnsi="Verdana" w:cs="Verdana"/>
          <w:spacing w:val="1"/>
          <w:sz w:val="20"/>
          <w:szCs w:val="20"/>
          <w:lang w:val="es-MX"/>
        </w:rPr>
        <w:t>t</w:t>
      </w:r>
      <w:r w:rsidRPr="002964A7">
        <w:rPr>
          <w:rFonts w:ascii="Verdana" w:hAnsi="Verdana" w:cs="Verdana"/>
          <w:spacing w:val="-1"/>
          <w:sz w:val="20"/>
          <w:szCs w:val="20"/>
          <w:lang w:val="es-MX"/>
        </w:rPr>
        <w:t>e</w:t>
      </w:r>
      <w:r w:rsidRPr="002964A7">
        <w:rPr>
          <w:rFonts w:ascii="Verdana" w:hAnsi="Verdana" w:cs="Verdana"/>
          <w:spacing w:val="1"/>
          <w:sz w:val="20"/>
          <w:szCs w:val="20"/>
          <w:lang w:val="es-MX"/>
        </w:rPr>
        <w:t>r</w:t>
      </w:r>
      <w:r w:rsidRPr="002964A7">
        <w:rPr>
          <w:rFonts w:ascii="Verdana" w:hAnsi="Verdana" w:cs="Verdana"/>
          <w:spacing w:val="3"/>
          <w:sz w:val="20"/>
          <w:szCs w:val="20"/>
          <w:lang w:val="es-MX"/>
        </w:rPr>
        <w:t>m</w:t>
      </w:r>
      <w:r w:rsidRPr="002964A7">
        <w:rPr>
          <w:rFonts w:ascii="Verdana" w:hAnsi="Verdana" w:cs="Verdana"/>
          <w:spacing w:val="-2"/>
          <w:sz w:val="20"/>
          <w:szCs w:val="20"/>
          <w:lang w:val="es-MX"/>
        </w:rPr>
        <w:t>i</w:t>
      </w:r>
      <w:r w:rsidRPr="002964A7">
        <w:rPr>
          <w:rFonts w:ascii="Verdana" w:hAnsi="Verdana" w:cs="Verdana"/>
          <w:spacing w:val="1"/>
          <w:sz w:val="20"/>
          <w:szCs w:val="20"/>
          <w:lang w:val="es-MX"/>
        </w:rPr>
        <w:t>n</w:t>
      </w:r>
      <w:r w:rsidRPr="002964A7">
        <w:rPr>
          <w:rFonts w:ascii="Verdana" w:hAnsi="Verdana" w:cs="Verdana"/>
          <w:sz w:val="20"/>
          <w:szCs w:val="20"/>
          <w:lang w:val="es-MX"/>
        </w:rPr>
        <w:t>a</w:t>
      </w:r>
      <w:r w:rsidRPr="002964A7">
        <w:rPr>
          <w:rFonts w:ascii="Verdana" w:hAnsi="Verdana" w:cs="Verdana"/>
          <w:spacing w:val="1"/>
          <w:sz w:val="20"/>
          <w:szCs w:val="20"/>
          <w:lang w:val="es-MX"/>
        </w:rPr>
        <w:t>d</w:t>
      </w:r>
      <w:r w:rsidRPr="002964A7">
        <w:rPr>
          <w:rFonts w:ascii="Verdana" w:hAnsi="Verdana" w:cs="Verdana"/>
          <w:sz w:val="20"/>
          <w:szCs w:val="20"/>
          <w:lang w:val="es-MX"/>
        </w:rPr>
        <w:t>a</w:t>
      </w:r>
      <w:r w:rsidRPr="002964A7">
        <w:rPr>
          <w:rFonts w:ascii="Verdana" w:hAnsi="Verdana" w:cs="Verdana"/>
          <w:spacing w:val="18"/>
          <w:sz w:val="20"/>
          <w:szCs w:val="20"/>
          <w:lang w:val="es-MX"/>
        </w:rPr>
        <w:t xml:space="preserve"> </w:t>
      </w:r>
      <w:r w:rsidRPr="002964A7">
        <w:rPr>
          <w:rFonts w:ascii="Verdana" w:hAnsi="Verdana" w:cs="Verdana"/>
          <w:spacing w:val="1"/>
          <w:sz w:val="20"/>
          <w:szCs w:val="20"/>
          <w:lang w:val="es-MX"/>
        </w:rPr>
        <w:t>qu</w:t>
      </w:r>
      <w:r w:rsidRPr="002964A7">
        <w:rPr>
          <w:rFonts w:ascii="Verdana" w:hAnsi="Verdana" w:cs="Verdana"/>
          <w:sz w:val="20"/>
          <w:szCs w:val="20"/>
          <w:lang w:val="es-MX"/>
        </w:rPr>
        <w:t>e</w:t>
      </w:r>
      <w:r w:rsidRPr="002964A7">
        <w:rPr>
          <w:rFonts w:ascii="Verdana" w:hAnsi="Verdana" w:cs="Verdana"/>
          <w:spacing w:val="25"/>
          <w:sz w:val="20"/>
          <w:szCs w:val="20"/>
          <w:lang w:val="es-MX"/>
        </w:rPr>
        <w:t xml:space="preserve"> </w:t>
      </w:r>
      <w:r w:rsidRPr="002964A7">
        <w:rPr>
          <w:rFonts w:ascii="Verdana" w:hAnsi="Verdana" w:cs="Verdana"/>
          <w:spacing w:val="4"/>
          <w:sz w:val="20"/>
          <w:szCs w:val="20"/>
          <w:lang w:val="es-MX"/>
        </w:rPr>
        <w:t>r</w:t>
      </w:r>
      <w:r w:rsidRPr="002964A7">
        <w:rPr>
          <w:rFonts w:ascii="Verdana" w:hAnsi="Verdana" w:cs="Verdana"/>
          <w:spacing w:val="-1"/>
          <w:sz w:val="20"/>
          <w:szCs w:val="20"/>
          <w:lang w:val="es-MX"/>
        </w:rPr>
        <w:t>e</w:t>
      </w:r>
      <w:r w:rsidRPr="002964A7">
        <w:rPr>
          <w:rFonts w:ascii="Verdana" w:hAnsi="Verdana" w:cs="Verdana"/>
          <w:spacing w:val="1"/>
          <w:sz w:val="20"/>
          <w:szCs w:val="20"/>
          <w:lang w:val="es-MX"/>
        </w:rPr>
        <w:t>dun</w:t>
      </w:r>
      <w:r w:rsidRPr="002964A7">
        <w:rPr>
          <w:rFonts w:ascii="Verdana" w:hAnsi="Verdana" w:cs="Verdana"/>
          <w:spacing w:val="-2"/>
          <w:sz w:val="20"/>
          <w:szCs w:val="20"/>
          <w:lang w:val="es-MX"/>
        </w:rPr>
        <w:t>d</w:t>
      </w:r>
      <w:r w:rsidRPr="002964A7">
        <w:rPr>
          <w:rFonts w:ascii="Verdana" w:hAnsi="Verdana" w:cs="Verdana"/>
          <w:sz w:val="20"/>
          <w:szCs w:val="20"/>
          <w:lang w:val="es-MX"/>
        </w:rPr>
        <w:t>a</w:t>
      </w:r>
      <w:r w:rsidRPr="002964A7">
        <w:rPr>
          <w:rFonts w:ascii="Verdana" w:hAnsi="Verdana" w:cs="Verdana"/>
          <w:spacing w:val="25"/>
          <w:sz w:val="20"/>
          <w:szCs w:val="20"/>
          <w:lang w:val="es-MX"/>
        </w:rPr>
        <w:t xml:space="preserve"> </w:t>
      </w:r>
      <w:r w:rsidRPr="002964A7">
        <w:rPr>
          <w:rFonts w:ascii="Verdana" w:hAnsi="Verdana" w:cs="Verdana"/>
          <w:spacing w:val="1"/>
          <w:sz w:val="20"/>
          <w:szCs w:val="20"/>
          <w:lang w:val="es-MX"/>
        </w:rPr>
        <w:t>e</w:t>
      </w:r>
      <w:r w:rsidRPr="002964A7">
        <w:rPr>
          <w:rFonts w:ascii="Verdana" w:hAnsi="Verdana" w:cs="Verdana"/>
          <w:sz w:val="20"/>
          <w:szCs w:val="20"/>
          <w:lang w:val="es-MX"/>
        </w:rPr>
        <w:t>n</w:t>
      </w:r>
      <w:r w:rsidRPr="002964A7">
        <w:rPr>
          <w:rFonts w:ascii="Verdana" w:hAnsi="Verdana" w:cs="Verdana"/>
          <w:spacing w:val="29"/>
          <w:sz w:val="20"/>
          <w:szCs w:val="20"/>
          <w:lang w:val="es-MX"/>
        </w:rPr>
        <w:t xml:space="preserve"> </w:t>
      </w:r>
      <w:r w:rsidR="00663145" w:rsidRPr="002964A7">
        <w:rPr>
          <w:rFonts w:ascii="Verdana" w:hAnsi="Verdana" w:cs="Verdana"/>
          <w:spacing w:val="1"/>
          <w:sz w:val="20"/>
          <w:szCs w:val="20"/>
          <w:lang w:val="es-MX"/>
        </w:rPr>
        <w:t>d</w:t>
      </w:r>
      <w:r w:rsidR="00663145" w:rsidRPr="002964A7">
        <w:rPr>
          <w:rFonts w:ascii="Verdana" w:hAnsi="Verdana" w:cs="Verdana"/>
          <w:spacing w:val="-1"/>
          <w:sz w:val="20"/>
          <w:szCs w:val="20"/>
          <w:lang w:val="es-MX"/>
        </w:rPr>
        <w:t>e</w:t>
      </w:r>
      <w:r w:rsidR="00663145" w:rsidRPr="002964A7">
        <w:rPr>
          <w:rFonts w:ascii="Verdana" w:hAnsi="Verdana" w:cs="Verdana"/>
          <w:spacing w:val="1"/>
          <w:sz w:val="20"/>
          <w:szCs w:val="20"/>
          <w:lang w:val="es-MX"/>
        </w:rPr>
        <w:t>ter</w:t>
      </w:r>
      <w:r w:rsidR="00663145" w:rsidRPr="002964A7">
        <w:rPr>
          <w:rFonts w:ascii="Verdana" w:hAnsi="Verdana" w:cs="Verdana"/>
          <w:spacing w:val="-2"/>
          <w:sz w:val="20"/>
          <w:szCs w:val="20"/>
          <w:lang w:val="es-MX"/>
        </w:rPr>
        <w:t>i</w:t>
      </w:r>
      <w:r w:rsidR="00663145" w:rsidRPr="002964A7">
        <w:rPr>
          <w:rFonts w:ascii="Verdana" w:hAnsi="Verdana" w:cs="Verdana"/>
          <w:spacing w:val="-1"/>
          <w:sz w:val="20"/>
          <w:szCs w:val="20"/>
          <w:lang w:val="es-MX"/>
        </w:rPr>
        <w:t>o</w:t>
      </w:r>
      <w:r w:rsidR="00663145" w:rsidRPr="002964A7">
        <w:rPr>
          <w:rFonts w:ascii="Verdana" w:hAnsi="Verdana" w:cs="Verdana"/>
          <w:spacing w:val="1"/>
          <w:sz w:val="20"/>
          <w:szCs w:val="20"/>
          <w:lang w:val="es-MX"/>
        </w:rPr>
        <w:t>r</w:t>
      </w:r>
      <w:r w:rsidR="00663145" w:rsidRPr="002964A7">
        <w:rPr>
          <w:rFonts w:ascii="Verdana" w:hAnsi="Verdana" w:cs="Verdana"/>
          <w:sz w:val="20"/>
          <w:szCs w:val="20"/>
          <w:lang w:val="es-MX"/>
        </w:rPr>
        <w:t>o</w:t>
      </w:r>
      <w:r w:rsidR="00663145" w:rsidRPr="002964A7">
        <w:rPr>
          <w:rFonts w:ascii="Verdana" w:hAnsi="Verdana" w:cs="Verdana"/>
          <w:spacing w:val="25"/>
          <w:sz w:val="20"/>
          <w:szCs w:val="20"/>
          <w:lang w:val="es-MX"/>
        </w:rPr>
        <w:t xml:space="preserve"> </w:t>
      </w:r>
      <w:r w:rsidRPr="002964A7">
        <w:rPr>
          <w:rFonts w:ascii="Verdana" w:hAnsi="Verdana" w:cs="Verdana"/>
          <w:spacing w:val="-2"/>
          <w:sz w:val="20"/>
          <w:szCs w:val="20"/>
          <w:lang w:val="es-MX"/>
        </w:rPr>
        <w:t>p</w:t>
      </w:r>
      <w:r w:rsidRPr="002964A7">
        <w:rPr>
          <w:rFonts w:ascii="Verdana" w:hAnsi="Verdana" w:cs="Verdana"/>
          <w:spacing w:val="1"/>
          <w:sz w:val="20"/>
          <w:szCs w:val="20"/>
          <w:lang w:val="es-MX"/>
        </w:rPr>
        <w:t>ropi</w:t>
      </w:r>
      <w:r w:rsidRPr="002964A7">
        <w:rPr>
          <w:rFonts w:ascii="Verdana" w:hAnsi="Verdana" w:cs="Verdana"/>
          <w:sz w:val="20"/>
          <w:szCs w:val="20"/>
          <w:lang w:val="es-MX"/>
        </w:rPr>
        <w:t>o</w:t>
      </w:r>
      <w:r w:rsidRPr="002964A7">
        <w:rPr>
          <w:rFonts w:ascii="Verdana" w:hAnsi="Verdana" w:cs="Verdana"/>
          <w:spacing w:val="26"/>
          <w:sz w:val="20"/>
          <w:szCs w:val="20"/>
          <w:lang w:val="es-MX"/>
        </w:rPr>
        <w:t xml:space="preserve"> </w:t>
      </w:r>
      <w:r w:rsidRPr="002964A7">
        <w:rPr>
          <w:rFonts w:ascii="Verdana" w:hAnsi="Verdana" w:cs="Verdana"/>
          <w:sz w:val="20"/>
          <w:szCs w:val="20"/>
          <w:lang w:val="es-MX"/>
        </w:rPr>
        <w:t>o</w:t>
      </w:r>
      <w:r w:rsidRPr="002964A7">
        <w:rPr>
          <w:rFonts w:ascii="Verdana" w:hAnsi="Verdana" w:cs="Verdana"/>
          <w:spacing w:val="31"/>
          <w:sz w:val="20"/>
          <w:szCs w:val="20"/>
          <w:lang w:val="es-MX"/>
        </w:rPr>
        <w:t xml:space="preserve"> </w:t>
      </w:r>
      <w:r w:rsidRPr="002964A7">
        <w:rPr>
          <w:rFonts w:ascii="Verdana" w:hAnsi="Verdana" w:cs="Verdana"/>
          <w:spacing w:val="1"/>
          <w:sz w:val="20"/>
          <w:szCs w:val="20"/>
          <w:lang w:val="es-MX"/>
        </w:rPr>
        <w:t>e</w:t>
      </w:r>
      <w:r w:rsidRPr="002964A7">
        <w:rPr>
          <w:rFonts w:ascii="Verdana" w:hAnsi="Verdana" w:cs="Verdana"/>
          <w:sz w:val="20"/>
          <w:szCs w:val="20"/>
          <w:lang w:val="es-MX"/>
        </w:rPr>
        <w:t>n</w:t>
      </w:r>
      <w:r w:rsidRPr="002964A7">
        <w:rPr>
          <w:rFonts w:ascii="Verdana" w:hAnsi="Verdana" w:cs="Verdana"/>
          <w:spacing w:val="29"/>
          <w:sz w:val="20"/>
          <w:szCs w:val="20"/>
          <w:lang w:val="es-MX"/>
        </w:rPr>
        <w:t xml:space="preserve"> </w:t>
      </w:r>
      <w:r w:rsidR="00663145" w:rsidRPr="002964A7">
        <w:rPr>
          <w:rFonts w:ascii="Verdana" w:hAnsi="Verdana" w:cs="Verdana"/>
          <w:spacing w:val="1"/>
          <w:sz w:val="20"/>
          <w:szCs w:val="20"/>
          <w:lang w:val="es-MX"/>
        </w:rPr>
        <w:t>ben</w:t>
      </w:r>
      <w:r w:rsidR="00663145" w:rsidRPr="002964A7">
        <w:rPr>
          <w:rFonts w:ascii="Verdana" w:hAnsi="Verdana" w:cs="Verdana"/>
          <w:spacing w:val="-1"/>
          <w:sz w:val="20"/>
          <w:szCs w:val="20"/>
          <w:lang w:val="es-MX"/>
        </w:rPr>
        <w:t>e</w:t>
      </w:r>
      <w:r w:rsidR="00663145" w:rsidRPr="002964A7">
        <w:rPr>
          <w:rFonts w:ascii="Verdana" w:hAnsi="Verdana" w:cs="Verdana"/>
          <w:spacing w:val="2"/>
          <w:sz w:val="20"/>
          <w:szCs w:val="20"/>
          <w:lang w:val="es-MX"/>
        </w:rPr>
        <w:t>f</w:t>
      </w:r>
      <w:r w:rsidR="00663145" w:rsidRPr="002964A7">
        <w:rPr>
          <w:rFonts w:ascii="Verdana" w:hAnsi="Verdana" w:cs="Verdana"/>
          <w:spacing w:val="-2"/>
          <w:sz w:val="20"/>
          <w:szCs w:val="20"/>
          <w:lang w:val="es-MX"/>
        </w:rPr>
        <w:t>i</w:t>
      </w:r>
      <w:r w:rsidR="00663145" w:rsidRPr="002964A7">
        <w:rPr>
          <w:rFonts w:ascii="Verdana" w:hAnsi="Verdana" w:cs="Verdana"/>
          <w:spacing w:val="2"/>
          <w:sz w:val="20"/>
          <w:szCs w:val="20"/>
          <w:lang w:val="es-MX"/>
        </w:rPr>
        <w:t>c</w:t>
      </w:r>
      <w:r w:rsidR="00663145" w:rsidRPr="002964A7">
        <w:rPr>
          <w:rFonts w:ascii="Verdana" w:hAnsi="Verdana" w:cs="Verdana"/>
          <w:spacing w:val="1"/>
          <w:sz w:val="20"/>
          <w:szCs w:val="20"/>
          <w:lang w:val="es-MX"/>
        </w:rPr>
        <w:t>i</w:t>
      </w:r>
      <w:r w:rsidR="00663145" w:rsidRPr="002964A7">
        <w:rPr>
          <w:rFonts w:ascii="Verdana" w:hAnsi="Verdana" w:cs="Verdana"/>
          <w:sz w:val="20"/>
          <w:szCs w:val="20"/>
          <w:lang w:val="es-MX"/>
        </w:rPr>
        <w:t>o</w:t>
      </w:r>
      <w:r w:rsidR="00663145" w:rsidRPr="002964A7">
        <w:rPr>
          <w:rFonts w:ascii="Verdana" w:hAnsi="Verdana" w:cs="Verdana"/>
          <w:spacing w:val="23"/>
          <w:sz w:val="20"/>
          <w:szCs w:val="20"/>
          <w:lang w:val="es-MX"/>
        </w:rPr>
        <w:t xml:space="preserve"> </w:t>
      </w:r>
      <w:r w:rsidRPr="002964A7">
        <w:rPr>
          <w:rFonts w:ascii="Verdana" w:hAnsi="Verdana" w:cs="Verdana"/>
          <w:spacing w:val="-2"/>
          <w:sz w:val="20"/>
          <w:szCs w:val="20"/>
          <w:lang w:val="es-MX"/>
        </w:rPr>
        <w:t>d</w:t>
      </w:r>
      <w:r w:rsidRPr="002964A7">
        <w:rPr>
          <w:rFonts w:ascii="Verdana" w:hAnsi="Verdana" w:cs="Verdana"/>
          <w:sz w:val="20"/>
          <w:szCs w:val="20"/>
          <w:lang w:val="es-MX"/>
        </w:rPr>
        <w:t>e</w:t>
      </w:r>
      <w:r w:rsidRPr="002964A7">
        <w:rPr>
          <w:rFonts w:ascii="Verdana" w:hAnsi="Verdana" w:cs="Verdana"/>
          <w:spacing w:val="32"/>
          <w:sz w:val="20"/>
          <w:szCs w:val="20"/>
          <w:lang w:val="es-MX"/>
        </w:rPr>
        <w:t xml:space="preserve"> </w:t>
      </w:r>
      <w:r w:rsidRPr="002964A7">
        <w:rPr>
          <w:rFonts w:ascii="Verdana" w:hAnsi="Verdana" w:cs="Verdana"/>
          <w:spacing w:val="-2"/>
          <w:sz w:val="20"/>
          <w:szCs w:val="20"/>
          <w:lang w:val="es-MX"/>
        </w:rPr>
        <w:t>l</w:t>
      </w:r>
      <w:r w:rsidRPr="002964A7">
        <w:rPr>
          <w:rFonts w:ascii="Verdana" w:hAnsi="Verdana" w:cs="Verdana"/>
          <w:sz w:val="20"/>
          <w:szCs w:val="20"/>
          <w:lang w:val="es-MX"/>
        </w:rPr>
        <w:t>a</w:t>
      </w:r>
      <w:r w:rsidRPr="002964A7">
        <w:rPr>
          <w:rFonts w:ascii="Verdana" w:hAnsi="Verdana" w:cs="Verdana"/>
          <w:spacing w:val="31"/>
          <w:sz w:val="20"/>
          <w:szCs w:val="20"/>
          <w:lang w:val="es-MX"/>
        </w:rPr>
        <w:t xml:space="preserve"> </w:t>
      </w:r>
      <w:r w:rsidRPr="002964A7">
        <w:rPr>
          <w:rFonts w:ascii="Verdana" w:hAnsi="Verdana" w:cs="Verdana"/>
          <w:spacing w:val="-1"/>
          <w:sz w:val="20"/>
          <w:szCs w:val="20"/>
          <w:lang w:val="es-MX"/>
        </w:rPr>
        <w:t>c</w:t>
      </w:r>
      <w:r w:rsidRPr="002964A7">
        <w:rPr>
          <w:rFonts w:ascii="Verdana" w:hAnsi="Verdana" w:cs="Verdana"/>
          <w:spacing w:val="1"/>
          <w:sz w:val="20"/>
          <w:szCs w:val="20"/>
          <w:lang w:val="es-MX"/>
        </w:rPr>
        <w:t>o</w:t>
      </w:r>
      <w:r w:rsidRPr="002964A7">
        <w:rPr>
          <w:rFonts w:ascii="Verdana" w:hAnsi="Verdana" w:cs="Verdana"/>
          <w:spacing w:val="-1"/>
          <w:sz w:val="20"/>
          <w:szCs w:val="20"/>
          <w:lang w:val="es-MX"/>
        </w:rPr>
        <w:t>n</w:t>
      </w:r>
      <w:r w:rsidRPr="002964A7">
        <w:rPr>
          <w:rFonts w:ascii="Verdana" w:hAnsi="Verdana" w:cs="Verdana"/>
          <w:spacing w:val="1"/>
          <w:sz w:val="20"/>
          <w:szCs w:val="20"/>
          <w:lang w:val="es-MX"/>
        </w:rPr>
        <w:t>tr</w:t>
      </w:r>
      <w:r w:rsidRPr="002964A7">
        <w:rPr>
          <w:rFonts w:ascii="Verdana" w:hAnsi="Verdana" w:cs="Verdana"/>
          <w:sz w:val="20"/>
          <w:szCs w:val="20"/>
          <w:lang w:val="es-MX"/>
        </w:rPr>
        <w:t>a</w:t>
      </w:r>
      <w:r w:rsidRPr="002964A7">
        <w:rPr>
          <w:rFonts w:ascii="Verdana" w:hAnsi="Verdana" w:cs="Verdana"/>
          <w:spacing w:val="1"/>
          <w:sz w:val="20"/>
          <w:szCs w:val="20"/>
          <w:lang w:val="es-MX"/>
        </w:rPr>
        <w:t>r</w:t>
      </w:r>
      <w:r w:rsidRPr="002964A7">
        <w:rPr>
          <w:rFonts w:ascii="Verdana" w:hAnsi="Verdana" w:cs="Verdana"/>
          <w:spacing w:val="-2"/>
          <w:sz w:val="20"/>
          <w:szCs w:val="20"/>
          <w:lang w:val="es-MX"/>
        </w:rPr>
        <w:t>i</w:t>
      </w:r>
      <w:r w:rsidRPr="002964A7">
        <w:rPr>
          <w:rFonts w:ascii="Verdana" w:hAnsi="Verdana" w:cs="Verdana"/>
          <w:sz w:val="20"/>
          <w:szCs w:val="20"/>
          <w:lang w:val="es-MX"/>
        </w:rPr>
        <w:t>a,</w:t>
      </w:r>
      <w:r w:rsidRPr="002964A7">
        <w:rPr>
          <w:rFonts w:ascii="Verdana" w:hAnsi="Verdana" w:cs="Verdana"/>
          <w:spacing w:val="22"/>
          <w:sz w:val="20"/>
          <w:szCs w:val="20"/>
          <w:lang w:val="es-MX"/>
        </w:rPr>
        <w:t xml:space="preserve"> </w:t>
      </w:r>
      <w:r w:rsidRPr="002964A7">
        <w:rPr>
          <w:rFonts w:ascii="Verdana" w:hAnsi="Verdana" w:cs="Verdana"/>
          <w:spacing w:val="1"/>
          <w:sz w:val="20"/>
          <w:szCs w:val="20"/>
          <w:lang w:val="es-MX"/>
        </w:rPr>
        <w:t>n</w:t>
      </w:r>
      <w:r w:rsidRPr="002964A7">
        <w:rPr>
          <w:rFonts w:ascii="Verdana" w:hAnsi="Verdana" w:cs="Verdana"/>
          <w:sz w:val="20"/>
          <w:szCs w:val="20"/>
          <w:lang w:val="es-MX"/>
        </w:rPr>
        <w:t xml:space="preserve">o </w:t>
      </w:r>
      <w:r w:rsidRPr="002964A7">
        <w:rPr>
          <w:rFonts w:ascii="Verdana" w:hAnsi="Verdana" w:cs="Verdana"/>
          <w:spacing w:val="1"/>
          <w:sz w:val="20"/>
          <w:szCs w:val="20"/>
          <w:lang w:val="es-MX"/>
        </w:rPr>
        <w:t>p</w:t>
      </w:r>
      <w:r w:rsidRPr="002964A7">
        <w:rPr>
          <w:rFonts w:ascii="Verdana" w:hAnsi="Verdana" w:cs="Verdana"/>
          <w:spacing w:val="-1"/>
          <w:sz w:val="20"/>
          <w:szCs w:val="20"/>
          <w:lang w:val="es-MX"/>
        </w:rPr>
        <w:t>u</w:t>
      </w:r>
      <w:r w:rsidRPr="002964A7">
        <w:rPr>
          <w:rFonts w:ascii="Verdana" w:hAnsi="Verdana" w:cs="Verdana"/>
          <w:spacing w:val="1"/>
          <w:sz w:val="20"/>
          <w:szCs w:val="20"/>
          <w:lang w:val="es-MX"/>
        </w:rPr>
        <w:t>ed</w:t>
      </w:r>
      <w:r w:rsidRPr="002964A7">
        <w:rPr>
          <w:rFonts w:ascii="Verdana" w:hAnsi="Verdana" w:cs="Verdana"/>
          <w:sz w:val="20"/>
          <w:szCs w:val="20"/>
          <w:lang w:val="es-MX"/>
        </w:rPr>
        <w:t>e</w:t>
      </w:r>
      <w:r w:rsidRPr="002964A7">
        <w:rPr>
          <w:rFonts w:ascii="Verdana" w:hAnsi="Verdana" w:cs="Verdana"/>
          <w:spacing w:val="9"/>
          <w:sz w:val="20"/>
          <w:szCs w:val="20"/>
          <w:lang w:val="es-MX"/>
        </w:rPr>
        <w:t xml:space="preserve"> </w:t>
      </w:r>
      <w:r w:rsidRPr="002964A7">
        <w:rPr>
          <w:rFonts w:ascii="Verdana" w:hAnsi="Verdana" w:cs="Verdana"/>
          <w:spacing w:val="1"/>
          <w:sz w:val="20"/>
          <w:szCs w:val="20"/>
          <w:lang w:val="es-MX"/>
        </w:rPr>
        <w:t>lue</w:t>
      </w:r>
      <w:r w:rsidRPr="002964A7">
        <w:rPr>
          <w:rFonts w:ascii="Verdana" w:hAnsi="Verdana" w:cs="Verdana"/>
          <w:spacing w:val="-2"/>
          <w:sz w:val="20"/>
          <w:szCs w:val="20"/>
          <w:lang w:val="es-MX"/>
        </w:rPr>
        <w:t>g</w:t>
      </w:r>
      <w:r w:rsidRPr="002964A7">
        <w:rPr>
          <w:rFonts w:ascii="Verdana" w:hAnsi="Verdana" w:cs="Verdana"/>
          <w:spacing w:val="1"/>
          <w:sz w:val="20"/>
          <w:szCs w:val="20"/>
          <w:lang w:val="es-MX"/>
        </w:rPr>
        <w:t>o</w:t>
      </w:r>
      <w:r w:rsidRPr="002964A7">
        <w:rPr>
          <w:rFonts w:ascii="Verdana" w:hAnsi="Verdana" w:cs="Verdana"/>
          <w:sz w:val="20"/>
          <w:szCs w:val="20"/>
          <w:lang w:val="es-MX"/>
        </w:rPr>
        <w:t>,</w:t>
      </w:r>
      <w:r w:rsidRPr="002964A7">
        <w:rPr>
          <w:rFonts w:ascii="Verdana" w:hAnsi="Verdana" w:cs="Verdana"/>
          <w:spacing w:val="9"/>
          <w:sz w:val="20"/>
          <w:szCs w:val="20"/>
          <w:lang w:val="es-MX"/>
        </w:rPr>
        <w:t xml:space="preserve"> </w:t>
      </w:r>
      <w:r w:rsidRPr="002964A7">
        <w:rPr>
          <w:rFonts w:ascii="Verdana" w:hAnsi="Verdana" w:cs="Verdana"/>
          <w:spacing w:val="1"/>
          <w:sz w:val="20"/>
          <w:szCs w:val="20"/>
          <w:lang w:val="es-MX"/>
        </w:rPr>
        <w:t>e</w:t>
      </w:r>
      <w:r w:rsidRPr="002964A7">
        <w:rPr>
          <w:rFonts w:ascii="Verdana" w:hAnsi="Verdana" w:cs="Verdana"/>
          <w:sz w:val="20"/>
          <w:szCs w:val="20"/>
          <w:lang w:val="es-MX"/>
        </w:rPr>
        <w:t>n</w:t>
      </w:r>
      <w:r w:rsidRPr="002964A7">
        <w:rPr>
          <w:rFonts w:ascii="Verdana" w:hAnsi="Verdana" w:cs="Verdana"/>
          <w:spacing w:val="13"/>
          <w:sz w:val="20"/>
          <w:szCs w:val="20"/>
          <w:lang w:val="es-MX"/>
        </w:rPr>
        <w:t xml:space="preserve"> </w:t>
      </w:r>
      <w:r w:rsidRPr="002964A7">
        <w:rPr>
          <w:rFonts w:ascii="Verdana" w:hAnsi="Verdana" w:cs="Verdana"/>
          <w:sz w:val="20"/>
          <w:szCs w:val="20"/>
          <w:lang w:val="es-MX"/>
        </w:rPr>
        <w:t>v</w:t>
      </w:r>
      <w:r w:rsidRPr="002964A7">
        <w:rPr>
          <w:rFonts w:ascii="Verdana" w:hAnsi="Verdana" w:cs="Verdana"/>
          <w:spacing w:val="-2"/>
          <w:sz w:val="20"/>
          <w:szCs w:val="20"/>
          <w:lang w:val="es-MX"/>
        </w:rPr>
        <w:t>i</w:t>
      </w:r>
      <w:r w:rsidRPr="002964A7">
        <w:rPr>
          <w:rFonts w:ascii="Verdana" w:hAnsi="Verdana" w:cs="Verdana"/>
          <w:spacing w:val="1"/>
          <w:sz w:val="20"/>
          <w:szCs w:val="20"/>
          <w:lang w:val="es-MX"/>
        </w:rPr>
        <w:t>r</w:t>
      </w:r>
      <w:r w:rsidRPr="002964A7">
        <w:rPr>
          <w:rFonts w:ascii="Verdana" w:hAnsi="Verdana" w:cs="Verdana"/>
          <w:spacing w:val="3"/>
          <w:sz w:val="20"/>
          <w:szCs w:val="20"/>
          <w:lang w:val="es-MX"/>
        </w:rPr>
        <w:t>t</w:t>
      </w:r>
      <w:r w:rsidRPr="002964A7">
        <w:rPr>
          <w:rFonts w:ascii="Verdana" w:hAnsi="Verdana" w:cs="Verdana"/>
          <w:spacing w:val="1"/>
          <w:sz w:val="20"/>
          <w:szCs w:val="20"/>
          <w:lang w:val="es-MX"/>
        </w:rPr>
        <w:t>u</w:t>
      </w:r>
      <w:r w:rsidRPr="002964A7">
        <w:rPr>
          <w:rFonts w:ascii="Verdana" w:hAnsi="Verdana" w:cs="Verdana"/>
          <w:sz w:val="20"/>
          <w:szCs w:val="20"/>
          <w:lang w:val="es-MX"/>
        </w:rPr>
        <w:t>d</w:t>
      </w:r>
      <w:r w:rsidRPr="002964A7">
        <w:rPr>
          <w:rFonts w:ascii="Verdana" w:hAnsi="Verdana" w:cs="Verdana"/>
          <w:spacing w:val="8"/>
          <w:sz w:val="20"/>
          <w:szCs w:val="20"/>
          <w:lang w:val="es-MX"/>
        </w:rPr>
        <w:t xml:space="preserve"> </w:t>
      </w:r>
      <w:r w:rsidRPr="002964A7">
        <w:rPr>
          <w:rFonts w:ascii="Verdana" w:hAnsi="Verdana" w:cs="Verdana"/>
          <w:spacing w:val="1"/>
          <w:sz w:val="20"/>
          <w:szCs w:val="20"/>
          <w:lang w:val="es-MX"/>
        </w:rPr>
        <w:t>d</w:t>
      </w:r>
      <w:r w:rsidRPr="002964A7">
        <w:rPr>
          <w:rFonts w:ascii="Verdana" w:hAnsi="Verdana" w:cs="Verdana"/>
          <w:spacing w:val="-1"/>
          <w:sz w:val="20"/>
          <w:szCs w:val="20"/>
          <w:lang w:val="es-MX"/>
        </w:rPr>
        <w:t>e</w:t>
      </w:r>
      <w:r w:rsidRPr="002964A7">
        <w:rPr>
          <w:rFonts w:ascii="Verdana" w:hAnsi="Verdana" w:cs="Verdana"/>
          <w:sz w:val="20"/>
          <w:szCs w:val="20"/>
          <w:lang w:val="es-MX"/>
        </w:rPr>
        <w:t>l</w:t>
      </w:r>
      <w:r w:rsidRPr="002964A7">
        <w:rPr>
          <w:rFonts w:ascii="Verdana" w:hAnsi="Verdana" w:cs="Verdana"/>
          <w:spacing w:val="14"/>
          <w:sz w:val="20"/>
          <w:szCs w:val="20"/>
          <w:lang w:val="es-MX"/>
        </w:rPr>
        <w:t xml:space="preserve"> </w:t>
      </w:r>
      <w:r w:rsidRPr="002964A7">
        <w:rPr>
          <w:rFonts w:ascii="Verdana" w:hAnsi="Verdana" w:cs="Verdana"/>
          <w:spacing w:val="-2"/>
          <w:sz w:val="20"/>
          <w:szCs w:val="20"/>
          <w:lang w:val="es-MX"/>
        </w:rPr>
        <w:t>p</w:t>
      </w:r>
      <w:r w:rsidRPr="002964A7">
        <w:rPr>
          <w:rFonts w:ascii="Verdana" w:hAnsi="Verdana" w:cs="Verdana"/>
          <w:spacing w:val="1"/>
          <w:sz w:val="20"/>
          <w:szCs w:val="20"/>
          <w:lang w:val="es-MX"/>
        </w:rPr>
        <w:t>rin</w:t>
      </w:r>
      <w:r w:rsidRPr="002964A7">
        <w:rPr>
          <w:rFonts w:ascii="Verdana" w:hAnsi="Verdana" w:cs="Verdana"/>
          <w:spacing w:val="-1"/>
          <w:sz w:val="20"/>
          <w:szCs w:val="20"/>
          <w:lang w:val="es-MX"/>
        </w:rPr>
        <w:t>c</w:t>
      </w:r>
      <w:r w:rsidRPr="002964A7">
        <w:rPr>
          <w:rFonts w:ascii="Verdana" w:hAnsi="Verdana" w:cs="Verdana"/>
          <w:spacing w:val="1"/>
          <w:sz w:val="20"/>
          <w:szCs w:val="20"/>
          <w:lang w:val="es-MX"/>
        </w:rPr>
        <w:t>ipi</w:t>
      </w:r>
      <w:r w:rsidRPr="002964A7">
        <w:rPr>
          <w:rFonts w:ascii="Verdana" w:hAnsi="Verdana" w:cs="Verdana"/>
          <w:sz w:val="20"/>
          <w:szCs w:val="20"/>
          <w:lang w:val="es-MX"/>
        </w:rPr>
        <w:t>o</w:t>
      </w:r>
      <w:r w:rsidRPr="002964A7">
        <w:rPr>
          <w:rFonts w:ascii="Verdana" w:hAnsi="Verdana" w:cs="Verdana"/>
          <w:spacing w:val="6"/>
          <w:sz w:val="20"/>
          <w:szCs w:val="20"/>
          <w:lang w:val="es-MX"/>
        </w:rPr>
        <w:t xml:space="preserve"> </w:t>
      </w:r>
      <w:r w:rsidRPr="002964A7">
        <w:rPr>
          <w:rFonts w:ascii="Verdana" w:hAnsi="Verdana" w:cs="Verdana"/>
          <w:spacing w:val="1"/>
          <w:sz w:val="20"/>
          <w:szCs w:val="20"/>
          <w:lang w:val="es-MX"/>
        </w:rPr>
        <w:t>de</w:t>
      </w:r>
      <w:r w:rsidRPr="002964A7">
        <w:rPr>
          <w:rFonts w:ascii="Verdana" w:hAnsi="Verdana" w:cs="Verdana"/>
          <w:sz w:val="20"/>
          <w:szCs w:val="20"/>
          <w:lang w:val="es-MX"/>
        </w:rPr>
        <w:t>l</w:t>
      </w:r>
      <w:r w:rsidRPr="002964A7">
        <w:rPr>
          <w:rFonts w:ascii="Verdana" w:hAnsi="Verdana" w:cs="Verdana"/>
          <w:spacing w:val="11"/>
          <w:sz w:val="20"/>
          <w:szCs w:val="20"/>
          <w:lang w:val="es-MX"/>
        </w:rPr>
        <w:t xml:space="preserve"> </w:t>
      </w:r>
      <w:r w:rsidRPr="002964A7">
        <w:rPr>
          <w:rFonts w:ascii="Verdana" w:hAnsi="Verdana" w:cs="Verdana"/>
          <w:i/>
          <w:spacing w:val="1"/>
          <w:sz w:val="20"/>
          <w:szCs w:val="20"/>
          <w:lang w:val="es-MX"/>
        </w:rPr>
        <w:t>e</w:t>
      </w:r>
      <w:r w:rsidRPr="002964A7">
        <w:rPr>
          <w:rFonts w:ascii="Verdana" w:hAnsi="Verdana" w:cs="Verdana"/>
          <w:i/>
          <w:spacing w:val="-1"/>
          <w:sz w:val="20"/>
          <w:szCs w:val="20"/>
          <w:lang w:val="es-MX"/>
        </w:rPr>
        <w:t>s</w:t>
      </w:r>
      <w:r w:rsidRPr="002964A7">
        <w:rPr>
          <w:rFonts w:ascii="Verdana" w:hAnsi="Verdana" w:cs="Verdana"/>
          <w:i/>
          <w:spacing w:val="1"/>
          <w:sz w:val="20"/>
          <w:szCs w:val="20"/>
          <w:lang w:val="es-MX"/>
        </w:rPr>
        <w:t>toppe</w:t>
      </w:r>
      <w:r w:rsidRPr="002964A7">
        <w:rPr>
          <w:rFonts w:ascii="Verdana" w:hAnsi="Verdana" w:cs="Verdana"/>
          <w:i/>
          <w:spacing w:val="-2"/>
          <w:sz w:val="20"/>
          <w:szCs w:val="20"/>
          <w:lang w:val="es-MX"/>
        </w:rPr>
        <w:t>l</w:t>
      </w:r>
      <w:r w:rsidRPr="002964A7">
        <w:rPr>
          <w:rFonts w:ascii="Verdana" w:hAnsi="Verdana" w:cs="Verdana"/>
          <w:sz w:val="20"/>
          <w:szCs w:val="20"/>
          <w:lang w:val="es-MX"/>
        </w:rPr>
        <w:t>,</w:t>
      </w:r>
      <w:r w:rsidRPr="002964A7">
        <w:rPr>
          <w:rFonts w:ascii="Verdana" w:hAnsi="Verdana" w:cs="Verdana"/>
          <w:spacing w:val="6"/>
          <w:sz w:val="20"/>
          <w:szCs w:val="20"/>
          <w:lang w:val="es-MX"/>
        </w:rPr>
        <w:t xml:space="preserve"> </w:t>
      </w:r>
      <w:r w:rsidRPr="002964A7">
        <w:rPr>
          <w:rFonts w:ascii="Verdana" w:hAnsi="Verdana" w:cs="Verdana"/>
          <w:sz w:val="20"/>
          <w:szCs w:val="20"/>
          <w:lang w:val="es-MX"/>
        </w:rPr>
        <w:t>a</w:t>
      </w:r>
      <w:r w:rsidRPr="002964A7">
        <w:rPr>
          <w:rFonts w:ascii="Verdana" w:hAnsi="Verdana" w:cs="Verdana"/>
          <w:spacing w:val="2"/>
          <w:sz w:val="20"/>
          <w:szCs w:val="20"/>
          <w:lang w:val="es-MX"/>
        </w:rPr>
        <w:t>s</w:t>
      </w:r>
      <w:r w:rsidRPr="002964A7">
        <w:rPr>
          <w:rFonts w:ascii="Verdana" w:hAnsi="Verdana" w:cs="Verdana"/>
          <w:spacing w:val="-1"/>
          <w:sz w:val="20"/>
          <w:szCs w:val="20"/>
          <w:lang w:val="es-MX"/>
        </w:rPr>
        <w:t>u</w:t>
      </w:r>
      <w:r w:rsidRPr="002964A7">
        <w:rPr>
          <w:rFonts w:ascii="Verdana" w:hAnsi="Verdana" w:cs="Verdana"/>
          <w:spacing w:val="3"/>
          <w:sz w:val="20"/>
          <w:szCs w:val="20"/>
          <w:lang w:val="es-MX"/>
        </w:rPr>
        <w:t>m</w:t>
      </w:r>
      <w:r w:rsidRPr="002964A7">
        <w:rPr>
          <w:rFonts w:ascii="Verdana" w:hAnsi="Verdana" w:cs="Verdana"/>
          <w:spacing w:val="-2"/>
          <w:sz w:val="20"/>
          <w:szCs w:val="20"/>
          <w:lang w:val="es-MX"/>
        </w:rPr>
        <w:t>i</w:t>
      </w:r>
      <w:r w:rsidRPr="002964A7">
        <w:rPr>
          <w:rFonts w:ascii="Verdana" w:hAnsi="Verdana" w:cs="Verdana"/>
          <w:sz w:val="20"/>
          <w:szCs w:val="20"/>
          <w:lang w:val="es-MX"/>
        </w:rPr>
        <w:t>r</w:t>
      </w:r>
      <w:r w:rsidRPr="002964A7">
        <w:rPr>
          <w:rFonts w:ascii="Verdana" w:hAnsi="Verdana" w:cs="Verdana"/>
          <w:spacing w:val="10"/>
          <w:sz w:val="20"/>
          <w:szCs w:val="20"/>
          <w:lang w:val="es-MX"/>
        </w:rPr>
        <w:t xml:space="preserve"> </w:t>
      </w:r>
      <w:r w:rsidRPr="002964A7">
        <w:rPr>
          <w:rFonts w:ascii="Verdana" w:hAnsi="Verdana" w:cs="Verdana"/>
          <w:spacing w:val="-1"/>
          <w:sz w:val="20"/>
          <w:szCs w:val="20"/>
          <w:lang w:val="es-MX"/>
        </w:rPr>
        <w:t>o</w:t>
      </w:r>
      <w:r w:rsidRPr="002964A7">
        <w:rPr>
          <w:rFonts w:ascii="Verdana" w:hAnsi="Verdana" w:cs="Verdana"/>
          <w:spacing w:val="3"/>
          <w:sz w:val="20"/>
          <w:szCs w:val="20"/>
          <w:lang w:val="es-MX"/>
        </w:rPr>
        <w:t>t</w:t>
      </w:r>
      <w:r w:rsidRPr="002964A7">
        <w:rPr>
          <w:rFonts w:ascii="Verdana" w:hAnsi="Verdana" w:cs="Verdana"/>
          <w:spacing w:val="1"/>
          <w:sz w:val="20"/>
          <w:szCs w:val="20"/>
          <w:lang w:val="es-MX"/>
        </w:rPr>
        <w:t>r</w:t>
      </w:r>
      <w:r w:rsidRPr="002964A7">
        <w:rPr>
          <w:rFonts w:ascii="Verdana" w:hAnsi="Verdana" w:cs="Verdana"/>
          <w:sz w:val="20"/>
          <w:szCs w:val="20"/>
          <w:lang w:val="es-MX"/>
        </w:rPr>
        <w:t>a</w:t>
      </w:r>
      <w:r w:rsidRPr="002964A7">
        <w:rPr>
          <w:rFonts w:ascii="Verdana" w:hAnsi="Verdana" w:cs="Verdana"/>
          <w:spacing w:val="12"/>
          <w:sz w:val="20"/>
          <w:szCs w:val="20"/>
          <w:lang w:val="es-MX"/>
        </w:rPr>
        <w:t xml:space="preserve"> </w:t>
      </w:r>
      <w:r w:rsidRPr="002964A7">
        <w:rPr>
          <w:rFonts w:ascii="Verdana" w:hAnsi="Verdana" w:cs="Verdana"/>
          <w:spacing w:val="-1"/>
          <w:sz w:val="20"/>
          <w:szCs w:val="20"/>
          <w:lang w:val="es-MX"/>
        </w:rPr>
        <w:t>co</w:t>
      </w:r>
      <w:r w:rsidRPr="002964A7">
        <w:rPr>
          <w:rFonts w:ascii="Verdana" w:hAnsi="Verdana" w:cs="Verdana"/>
          <w:spacing w:val="1"/>
          <w:sz w:val="20"/>
          <w:szCs w:val="20"/>
          <w:lang w:val="es-MX"/>
        </w:rPr>
        <w:t>nd</w:t>
      </w:r>
      <w:r w:rsidRPr="002964A7">
        <w:rPr>
          <w:rFonts w:ascii="Verdana" w:hAnsi="Verdana" w:cs="Verdana"/>
          <w:spacing w:val="-1"/>
          <w:sz w:val="20"/>
          <w:szCs w:val="20"/>
          <w:lang w:val="es-MX"/>
        </w:rPr>
        <w:t>uc</w:t>
      </w:r>
      <w:r w:rsidRPr="002964A7">
        <w:rPr>
          <w:rFonts w:ascii="Verdana" w:hAnsi="Verdana" w:cs="Verdana"/>
          <w:spacing w:val="3"/>
          <w:sz w:val="20"/>
          <w:szCs w:val="20"/>
          <w:lang w:val="es-MX"/>
        </w:rPr>
        <w:t>t</w:t>
      </w:r>
      <w:r w:rsidRPr="002964A7">
        <w:rPr>
          <w:rFonts w:ascii="Verdana" w:hAnsi="Verdana" w:cs="Verdana"/>
          <w:sz w:val="20"/>
          <w:szCs w:val="20"/>
          <w:lang w:val="es-MX"/>
        </w:rPr>
        <w:t>a</w:t>
      </w:r>
      <w:r w:rsidRPr="002964A7">
        <w:rPr>
          <w:rFonts w:ascii="Verdana" w:hAnsi="Verdana" w:cs="Verdana"/>
          <w:spacing w:val="7"/>
          <w:sz w:val="20"/>
          <w:szCs w:val="20"/>
          <w:lang w:val="es-MX"/>
        </w:rPr>
        <w:t xml:space="preserve"> </w:t>
      </w:r>
      <w:r w:rsidRPr="002964A7">
        <w:rPr>
          <w:rFonts w:ascii="Verdana" w:hAnsi="Verdana" w:cs="Verdana"/>
          <w:spacing w:val="-2"/>
          <w:sz w:val="20"/>
          <w:szCs w:val="20"/>
          <w:lang w:val="es-MX"/>
        </w:rPr>
        <w:t>q</w:t>
      </w:r>
      <w:r w:rsidRPr="002964A7">
        <w:rPr>
          <w:rFonts w:ascii="Verdana" w:hAnsi="Verdana" w:cs="Verdana"/>
          <w:spacing w:val="1"/>
          <w:sz w:val="20"/>
          <w:szCs w:val="20"/>
          <w:lang w:val="es-MX"/>
        </w:rPr>
        <w:t>u</w:t>
      </w:r>
      <w:r w:rsidRPr="002964A7">
        <w:rPr>
          <w:rFonts w:ascii="Verdana" w:hAnsi="Verdana" w:cs="Verdana"/>
          <w:sz w:val="20"/>
          <w:szCs w:val="20"/>
          <w:lang w:val="es-MX"/>
        </w:rPr>
        <w:t>e</w:t>
      </w:r>
      <w:r w:rsidRPr="002964A7">
        <w:rPr>
          <w:rFonts w:ascii="Verdana" w:hAnsi="Verdana" w:cs="Verdana"/>
          <w:spacing w:val="11"/>
          <w:sz w:val="20"/>
          <w:szCs w:val="20"/>
          <w:lang w:val="es-MX"/>
        </w:rPr>
        <w:t xml:space="preserve"> </w:t>
      </w:r>
      <w:r w:rsidRPr="002964A7">
        <w:rPr>
          <w:rFonts w:ascii="Verdana" w:hAnsi="Verdana" w:cs="Verdana"/>
          <w:spacing w:val="2"/>
          <w:sz w:val="20"/>
          <w:szCs w:val="20"/>
          <w:lang w:val="es-MX"/>
        </w:rPr>
        <w:t>s</w:t>
      </w:r>
      <w:r w:rsidRPr="002964A7">
        <w:rPr>
          <w:rFonts w:ascii="Verdana" w:hAnsi="Verdana" w:cs="Verdana"/>
          <w:spacing w:val="-1"/>
          <w:sz w:val="20"/>
          <w:szCs w:val="20"/>
          <w:lang w:val="es-MX"/>
        </w:rPr>
        <w:t>e</w:t>
      </w:r>
      <w:r w:rsidRPr="002964A7">
        <w:rPr>
          <w:rFonts w:ascii="Verdana" w:hAnsi="Verdana" w:cs="Verdana"/>
          <w:sz w:val="20"/>
          <w:szCs w:val="20"/>
          <w:lang w:val="es-MX"/>
        </w:rPr>
        <w:t>a</w:t>
      </w:r>
      <w:r w:rsidRPr="002964A7">
        <w:rPr>
          <w:rFonts w:ascii="Verdana" w:hAnsi="Verdana" w:cs="Verdana"/>
          <w:spacing w:val="13"/>
          <w:sz w:val="20"/>
          <w:szCs w:val="20"/>
          <w:lang w:val="es-MX"/>
        </w:rPr>
        <w:t xml:space="preserve"> </w:t>
      </w:r>
      <w:r w:rsidRPr="002964A7">
        <w:rPr>
          <w:rFonts w:ascii="Verdana" w:hAnsi="Verdana" w:cs="Verdana"/>
          <w:spacing w:val="-1"/>
          <w:sz w:val="20"/>
          <w:szCs w:val="20"/>
          <w:lang w:val="es-MX"/>
        </w:rPr>
        <w:t>c</w:t>
      </w:r>
      <w:r w:rsidRPr="002964A7">
        <w:rPr>
          <w:rFonts w:ascii="Verdana" w:hAnsi="Verdana" w:cs="Verdana"/>
          <w:spacing w:val="1"/>
          <w:sz w:val="20"/>
          <w:szCs w:val="20"/>
          <w:lang w:val="es-MX"/>
        </w:rPr>
        <w:t>o</w:t>
      </w:r>
      <w:r w:rsidRPr="002964A7">
        <w:rPr>
          <w:rFonts w:ascii="Verdana" w:hAnsi="Verdana" w:cs="Verdana"/>
          <w:spacing w:val="-1"/>
          <w:sz w:val="20"/>
          <w:szCs w:val="20"/>
          <w:lang w:val="es-MX"/>
        </w:rPr>
        <w:t>n</w:t>
      </w:r>
      <w:r w:rsidRPr="002964A7">
        <w:rPr>
          <w:rFonts w:ascii="Verdana" w:hAnsi="Verdana" w:cs="Verdana"/>
          <w:spacing w:val="1"/>
          <w:sz w:val="20"/>
          <w:szCs w:val="20"/>
          <w:lang w:val="es-MX"/>
        </w:rPr>
        <w:t>tr</w:t>
      </w:r>
      <w:r w:rsidRPr="002964A7">
        <w:rPr>
          <w:rFonts w:ascii="Verdana" w:hAnsi="Verdana" w:cs="Verdana"/>
          <w:spacing w:val="3"/>
          <w:sz w:val="20"/>
          <w:szCs w:val="20"/>
          <w:lang w:val="es-MX"/>
        </w:rPr>
        <w:t>a</w:t>
      </w:r>
      <w:r w:rsidRPr="002964A7">
        <w:rPr>
          <w:rFonts w:ascii="Verdana" w:hAnsi="Verdana" w:cs="Verdana"/>
          <w:spacing w:val="-2"/>
          <w:sz w:val="20"/>
          <w:szCs w:val="20"/>
          <w:lang w:val="es-MX"/>
        </w:rPr>
        <w:t>d</w:t>
      </w:r>
      <w:r w:rsidRPr="002964A7">
        <w:rPr>
          <w:rFonts w:ascii="Verdana" w:hAnsi="Verdana" w:cs="Verdana"/>
          <w:spacing w:val="1"/>
          <w:sz w:val="20"/>
          <w:szCs w:val="20"/>
          <w:lang w:val="es-MX"/>
        </w:rPr>
        <w:t>i</w:t>
      </w:r>
      <w:r w:rsidRPr="002964A7">
        <w:rPr>
          <w:rFonts w:ascii="Verdana" w:hAnsi="Verdana" w:cs="Verdana"/>
          <w:spacing w:val="-1"/>
          <w:sz w:val="20"/>
          <w:szCs w:val="20"/>
          <w:lang w:val="es-MX"/>
        </w:rPr>
        <w:t>c</w:t>
      </w:r>
      <w:r w:rsidRPr="002964A7">
        <w:rPr>
          <w:rFonts w:ascii="Verdana" w:hAnsi="Verdana" w:cs="Verdana"/>
          <w:spacing w:val="1"/>
          <w:sz w:val="20"/>
          <w:szCs w:val="20"/>
          <w:lang w:val="es-MX"/>
        </w:rPr>
        <w:t>t</w:t>
      </w:r>
      <w:r w:rsidRPr="002964A7">
        <w:rPr>
          <w:rFonts w:ascii="Verdana" w:hAnsi="Verdana" w:cs="Verdana"/>
          <w:spacing w:val="-1"/>
          <w:sz w:val="20"/>
          <w:szCs w:val="20"/>
          <w:lang w:val="es-MX"/>
        </w:rPr>
        <w:t>o</w:t>
      </w:r>
      <w:r w:rsidRPr="002964A7">
        <w:rPr>
          <w:rFonts w:ascii="Verdana" w:hAnsi="Verdana" w:cs="Verdana"/>
          <w:spacing w:val="4"/>
          <w:sz w:val="20"/>
          <w:szCs w:val="20"/>
          <w:lang w:val="es-MX"/>
        </w:rPr>
        <w:t>r</w:t>
      </w:r>
      <w:r w:rsidRPr="002964A7">
        <w:rPr>
          <w:rFonts w:ascii="Verdana" w:hAnsi="Verdana" w:cs="Verdana"/>
          <w:spacing w:val="1"/>
          <w:sz w:val="20"/>
          <w:szCs w:val="20"/>
          <w:lang w:val="es-MX"/>
        </w:rPr>
        <w:t>i</w:t>
      </w:r>
      <w:r w:rsidRPr="002964A7">
        <w:rPr>
          <w:rFonts w:ascii="Verdana" w:hAnsi="Verdana" w:cs="Verdana"/>
          <w:sz w:val="20"/>
          <w:szCs w:val="20"/>
          <w:lang w:val="es-MX"/>
        </w:rPr>
        <w:t xml:space="preserve">a </w:t>
      </w:r>
      <w:r w:rsidRPr="002964A7">
        <w:rPr>
          <w:rFonts w:ascii="Verdana" w:hAnsi="Verdana" w:cs="Verdana"/>
          <w:spacing w:val="-1"/>
          <w:sz w:val="20"/>
          <w:szCs w:val="20"/>
          <w:lang w:val="es-MX"/>
        </w:rPr>
        <w:t>c</w:t>
      </w:r>
      <w:r w:rsidRPr="002964A7">
        <w:rPr>
          <w:rFonts w:ascii="Verdana" w:hAnsi="Verdana" w:cs="Verdana"/>
          <w:spacing w:val="1"/>
          <w:sz w:val="20"/>
          <w:szCs w:val="20"/>
          <w:lang w:val="es-MX"/>
        </w:rPr>
        <w:t>o</w:t>
      </w:r>
      <w:r w:rsidRPr="002964A7">
        <w:rPr>
          <w:rFonts w:ascii="Verdana" w:hAnsi="Verdana" w:cs="Verdana"/>
          <w:sz w:val="20"/>
          <w:szCs w:val="20"/>
          <w:lang w:val="es-MX"/>
        </w:rPr>
        <w:t>n</w:t>
      </w:r>
      <w:r w:rsidRPr="002964A7">
        <w:rPr>
          <w:rFonts w:ascii="Verdana" w:hAnsi="Verdana" w:cs="Verdana"/>
          <w:spacing w:val="-1"/>
          <w:sz w:val="20"/>
          <w:szCs w:val="20"/>
          <w:lang w:val="es-MX"/>
        </w:rPr>
        <w:t xml:space="preserve"> </w:t>
      </w:r>
      <w:r w:rsidRPr="002964A7">
        <w:rPr>
          <w:rFonts w:ascii="Verdana" w:hAnsi="Verdana" w:cs="Verdana"/>
          <w:spacing w:val="1"/>
          <w:sz w:val="20"/>
          <w:szCs w:val="20"/>
          <w:lang w:val="es-MX"/>
        </w:rPr>
        <w:t>l</w:t>
      </w:r>
      <w:r w:rsidRPr="002964A7">
        <w:rPr>
          <w:rFonts w:ascii="Verdana" w:hAnsi="Verdana" w:cs="Verdana"/>
          <w:sz w:val="20"/>
          <w:szCs w:val="20"/>
          <w:lang w:val="es-MX"/>
        </w:rPr>
        <w:t>a</w:t>
      </w:r>
      <w:r w:rsidRPr="002964A7">
        <w:rPr>
          <w:rFonts w:ascii="Verdana" w:hAnsi="Verdana" w:cs="Verdana"/>
          <w:spacing w:val="2"/>
          <w:sz w:val="20"/>
          <w:szCs w:val="20"/>
          <w:lang w:val="es-MX"/>
        </w:rPr>
        <w:t xml:space="preserve"> </w:t>
      </w:r>
      <w:r w:rsidRPr="002964A7">
        <w:rPr>
          <w:rFonts w:ascii="Verdana" w:hAnsi="Verdana" w:cs="Verdana"/>
          <w:spacing w:val="-2"/>
          <w:sz w:val="20"/>
          <w:szCs w:val="20"/>
          <w:lang w:val="es-MX"/>
        </w:rPr>
        <w:t>p</w:t>
      </w:r>
      <w:r w:rsidRPr="002964A7">
        <w:rPr>
          <w:rFonts w:ascii="Verdana" w:hAnsi="Verdana" w:cs="Verdana"/>
          <w:spacing w:val="4"/>
          <w:sz w:val="20"/>
          <w:szCs w:val="20"/>
          <w:lang w:val="es-MX"/>
        </w:rPr>
        <w:t>r</w:t>
      </w:r>
      <w:r w:rsidRPr="002964A7">
        <w:rPr>
          <w:rFonts w:ascii="Verdana" w:hAnsi="Verdana" w:cs="Verdana"/>
          <w:spacing w:val="-2"/>
          <w:sz w:val="20"/>
          <w:szCs w:val="20"/>
          <w:lang w:val="es-MX"/>
        </w:rPr>
        <w:t>i</w:t>
      </w:r>
      <w:r w:rsidRPr="002964A7">
        <w:rPr>
          <w:rFonts w:ascii="Verdana" w:hAnsi="Verdana" w:cs="Verdana"/>
          <w:spacing w:val="3"/>
          <w:sz w:val="20"/>
          <w:szCs w:val="20"/>
          <w:lang w:val="es-MX"/>
        </w:rPr>
        <w:t>m</w:t>
      </w:r>
      <w:r w:rsidRPr="002964A7">
        <w:rPr>
          <w:rFonts w:ascii="Verdana" w:hAnsi="Verdana" w:cs="Verdana"/>
          <w:spacing w:val="-1"/>
          <w:sz w:val="20"/>
          <w:szCs w:val="20"/>
          <w:lang w:val="es-MX"/>
        </w:rPr>
        <w:t>e</w:t>
      </w:r>
      <w:r w:rsidRPr="002964A7">
        <w:rPr>
          <w:rFonts w:ascii="Verdana" w:hAnsi="Verdana" w:cs="Verdana"/>
          <w:spacing w:val="1"/>
          <w:sz w:val="20"/>
          <w:szCs w:val="20"/>
          <w:lang w:val="es-MX"/>
        </w:rPr>
        <w:t>r</w:t>
      </w:r>
      <w:r w:rsidRPr="002964A7">
        <w:rPr>
          <w:rFonts w:ascii="Verdana" w:hAnsi="Verdana" w:cs="Verdana"/>
          <w:sz w:val="20"/>
          <w:szCs w:val="20"/>
          <w:lang w:val="es-MX"/>
        </w:rPr>
        <w:t>a</w:t>
      </w:r>
      <w:r w:rsidRPr="002964A7">
        <w:rPr>
          <w:rFonts w:ascii="Verdana" w:hAnsi="Verdana"/>
          <w:sz w:val="20"/>
          <w:szCs w:val="20"/>
          <w:vertAlign w:val="superscript"/>
          <w:lang w:eastAsia="es-CR"/>
        </w:rPr>
        <w:footnoteReference w:id="13"/>
      </w:r>
      <w:r w:rsidRPr="002964A7">
        <w:rPr>
          <w:rFonts w:ascii="Verdana" w:hAnsi="Verdana"/>
          <w:sz w:val="20"/>
          <w:szCs w:val="20"/>
          <w:lang w:val="es-MX"/>
        </w:rPr>
        <w:t xml:space="preserve">. </w:t>
      </w:r>
    </w:p>
    <w:p w:rsidR="00EA6EE3" w:rsidRPr="002964A7" w:rsidRDefault="00EA6EE3" w:rsidP="00EA6EE3">
      <w:pPr>
        <w:spacing w:after="0" w:line="240" w:lineRule="auto"/>
        <w:ind w:left="720"/>
        <w:contextualSpacing/>
        <w:jc w:val="both"/>
        <w:rPr>
          <w:rFonts w:ascii="Verdana" w:hAnsi="Verdana"/>
          <w:spacing w:val="-2"/>
          <w:sz w:val="20"/>
          <w:szCs w:val="20"/>
          <w:lang w:val="es-AR"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MX"/>
        </w:rPr>
      </w:pPr>
      <w:r w:rsidRPr="002964A7">
        <w:rPr>
          <w:rFonts w:ascii="Verdana" w:hAnsi="Verdana"/>
          <w:spacing w:val="-2"/>
          <w:sz w:val="20"/>
          <w:szCs w:val="20"/>
          <w:lang w:val="es-MX" w:eastAsia="es-CR"/>
        </w:rPr>
        <w:t>En el presente caso</w:t>
      </w:r>
      <w:r w:rsidRPr="002964A7">
        <w:rPr>
          <w:rFonts w:ascii="Verdana" w:hAnsi="Verdana"/>
          <w:spacing w:val="-2"/>
          <w:sz w:val="20"/>
          <w:szCs w:val="20"/>
          <w:lang w:val="es-AR" w:eastAsia="es-CR"/>
        </w:rPr>
        <w:t xml:space="preserve">, el Tribunal constata que, mediante escrito de 17 de enero de 2005 presentado ante la </w:t>
      </w:r>
      <w:r w:rsidRPr="002964A7">
        <w:rPr>
          <w:rFonts w:ascii="Verdana" w:hAnsi="Verdana" w:cs="Verdana"/>
          <w:spacing w:val="12"/>
          <w:sz w:val="20"/>
          <w:szCs w:val="20"/>
          <w:lang w:val="es-MX"/>
        </w:rPr>
        <w:t>Comisión</w:t>
      </w:r>
      <w:r w:rsidRPr="002964A7">
        <w:rPr>
          <w:rFonts w:ascii="Verdana" w:hAnsi="Verdana"/>
          <w:spacing w:val="-2"/>
          <w:sz w:val="20"/>
          <w:szCs w:val="20"/>
          <w:lang w:val="es-AR" w:eastAsia="es-CR"/>
        </w:rPr>
        <w:t xml:space="preserve"> Interamericana, el Perú señaló que “[l]os actos perpetrados en la Comunidad de Santa Bárbara constituyen una violación del derecho a la libertad, a la vida y a la integridad física consagrados en la Declaración Universal de los Derechos Humanos, en el Pacto Internacional de Derechos Civiles y Políticos, la Convención Americana sobre Derechos Humanos, la Convención contra la Tortura y otros Tratos o Penas Crueles, Inhumanas o Degradantes y en la Convención </w:t>
      </w:r>
      <w:r w:rsidR="008D33E0">
        <w:rPr>
          <w:rFonts w:ascii="Verdana" w:hAnsi="Verdana"/>
          <w:spacing w:val="-2"/>
          <w:sz w:val="20"/>
          <w:szCs w:val="20"/>
          <w:lang w:val="es-AR" w:eastAsia="es-CR"/>
        </w:rPr>
        <w:t>[Intera]</w:t>
      </w:r>
      <w:r w:rsidRPr="002964A7">
        <w:rPr>
          <w:rFonts w:ascii="Verdana" w:hAnsi="Verdana"/>
          <w:spacing w:val="-2"/>
          <w:sz w:val="20"/>
          <w:szCs w:val="20"/>
          <w:lang w:val="es-AR" w:eastAsia="es-CR"/>
        </w:rPr>
        <w:t>mericana para Prevenir y Sancionar la Tortura, instrumentos internacionales que se encontraban vigentes al momento de la comisión de los hechos”</w:t>
      </w:r>
      <w:r w:rsidRPr="002964A7">
        <w:rPr>
          <w:rFonts w:ascii="Verdana" w:hAnsi="Verdana"/>
          <w:spacing w:val="-2"/>
          <w:sz w:val="20"/>
          <w:szCs w:val="20"/>
          <w:vertAlign w:val="superscript"/>
          <w:lang w:val="es-AR" w:eastAsia="es-CR"/>
        </w:rPr>
        <w:footnoteReference w:id="14"/>
      </w:r>
      <w:r w:rsidRPr="002964A7">
        <w:rPr>
          <w:rFonts w:ascii="Verdana" w:hAnsi="Verdana"/>
          <w:spacing w:val="-2"/>
          <w:sz w:val="20"/>
          <w:szCs w:val="20"/>
          <w:lang w:val="es-AR" w:eastAsia="es-CR"/>
        </w:rPr>
        <w:t xml:space="preserve">. </w:t>
      </w:r>
      <w:r w:rsidRPr="002964A7">
        <w:rPr>
          <w:rFonts w:ascii="Verdana" w:hAnsi="Verdana"/>
          <w:sz w:val="20"/>
          <w:szCs w:val="20"/>
          <w:lang w:val="es-MX"/>
        </w:rPr>
        <w:t>En esos términos, la Comisión Interamericana emitió su Informe de Admisibilidad y Fondo (</w:t>
      </w:r>
      <w:r w:rsidRPr="002964A7">
        <w:rPr>
          <w:rFonts w:ascii="Verdana" w:hAnsi="Verdana"/>
          <w:i/>
          <w:sz w:val="20"/>
          <w:szCs w:val="20"/>
          <w:lang w:val="es-MX"/>
        </w:rPr>
        <w:t xml:space="preserve">supra </w:t>
      </w:r>
      <w:r w:rsidRPr="002964A7">
        <w:rPr>
          <w:rFonts w:ascii="Verdana" w:hAnsi="Verdana"/>
          <w:sz w:val="20"/>
          <w:szCs w:val="20"/>
          <w:lang w:val="es-MX"/>
        </w:rPr>
        <w:t xml:space="preserve">párr. </w:t>
      </w:r>
      <w:r w:rsidR="00597181">
        <w:rPr>
          <w:rFonts w:ascii="Verdana" w:hAnsi="Verdana"/>
          <w:sz w:val="20"/>
          <w:szCs w:val="20"/>
          <w:lang w:val="es-MX"/>
        </w:rPr>
        <w:t>2.b</w:t>
      </w:r>
      <w:r w:rsidRPr="002964A7">
        <w:rPr>
          <w:rFonts w:ascii="Verdana" w:hAnsi="Verdana"/>
          <w:sz w:val="20"/>
          <w:szCs w:val="20"/>
          <w:lang w:val="es-MX"/>
        </w:rPr>
        <w:t>).</w:t>
      </w:r>
    </w:p>
    <w:p w:rsidR="00EA6EE3" w:rsidRPr="002964A7" w:rsidRDefault="00EA6EE3" w:rsidP="00EA6EE3">
      <w:pPr>
        <w:spacing w:after="0" w:line="240" w:lineRule="auto"/>
        <w:ind w:left="360"/>
        <w:contextualSpacing/>
        <w:jc w:val="both"/>
        <w:rPr>
          <w:rFonts w:ascii="Verdana" w:hAnsi="Verdana" w:cs="Arial"/>
          <w:sz w:val="20"/>
          <w:szCs w:val="20"/>
          <w:lang w:val="es-MX"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MX" w:eastAsia="es-CR"/>
        </w:rPr>
      </w:pPr>
      <w:r w:rsidRPr="002964A7">
        <w:rPr>
          <w:rFonts w:ascii="Verdana" w:hAnsi="Verdana"/>
          <w:spacing w:val="-2"/>
          <w:sz w:val="20"/>
          <w:szCs w:val="20"/>
          <w:lang w:val="es-AR" w:eastAsia="es-CR"/>
        </w:rPr>
        <w:t xml:space="preserve">Posteriormente, en su escrito de contestación, el Estado manifestó una posición ambigua al solicitar, por un lado, que la Corte “considere el reconocimiento del Estado” relacionado con la afectación a los derechos a la vida, integridad personal, libertad personal </w:t>
      </w:r>
      <w:r w:rsidRPr="002964A7">
        <w:rPr>
          <w:rFonts w:ascii="Verdana" w:hAnsi="Verdana"/>
          <w:spacing w:val="-2"/>
          <w:sz w:val="20"/>
          <w:szCs w:val="20"/>
          <w:lang w:val="es-AR" w:eastAsia="es-CR"/>
        </w:rPr>
        <w:lastRenderedPageBreak/>
        <w:t xml:space="preserve">y de los niños y, por otro lado, al señalar que esto “debería ser diferenciado en estricto de la </w:t>
      </w:r>
      <w:r w:rsidRPr="002964A7">
        <w:rPr>
          <w:rFonts w:ascii="Verdana" w:eastAsia="Times New Roman" w:hAnsi="Verdana"/>
          <w:sz w:val="20"/>
          <w:szCs w:val="20"/>
        </w:rPr>
        <w:t>exigibilidad</w:t>
      </w:r>
      <w:r w:rsidRPr="002964A7">
        <w:rPr>
          <w:rFonts w:ascii="Verdana" w:hAnsi="Verdana"/>
          <w:spacing w:val="-2"/>
          <w:sz w:val="20"/>
          <w:szCs w:val="20"/>
          <w:lang w:val="es-AR" w:eastAsia="es-CR"/>
        </w:rPr>
        <w:t xml:space="preserve"> de la imputación de responsabilidad internacional del Estado peruano”. No obstante, durante la audiencia pública, reiteró su reconocimiento de vulneraciones a los derechos consagrados en los artículos 4, 5 y 7 de la Convención </w:t>
      </w:r>
      <w:r w:rsidRPr="002964A7">
        <w:rPr>
          <w:rFonts w:ascii="Verdana" w:hAnsi="Verdana"/>
          <w:sz w:val="20"/>
          <w:szCs w:val="20"/>
          <w:lang w:val="es-MX"/>
        </w:rPr>
        <w:t>(</w:t>
      </w:r>
      <w:r w:rsidRPr="002964A7">
        <w:rPr>
          <w:rFonts w:ascii="Verdana" w:hAnsi="Verdana"/>
          <w:i/>
          <w:iCs/>
          <w:sz w:val="20"/>
          <w:szCs w:val="20"/>
          <w:lang w:val="es-MX"/>
        </w:rPr>
        <w:t xml:space="preserve">supra </w:t>
      </w:r>
      <w:r w:rsidRPr="002964A7">
        <w:rPr>
          <w:rFonts w:ascii="Verdana" w:hAnsi="Verdana"/>
          <w:sz w:val="20"/>
          <w:szCs w:val="20"/>
          <w:lang w:val="es-MX"/>
        </w:rPr>
        <w:t xml:space="preserve">párr. </w:t>
      </w:r>
      <w:r w:rsidR="001D742D">
        <w:rPr>
          <w:rFonts w:ascii="Verdana" w:hAnsi="Verdana"/>
          <w:sz w:val="20"/>
          <w:szCs w:val="20"/>
          <w:lang w:val="es-MX"/>
        </w:rPr>
        <w:t>19</w:t>
      </w:r>
      <w:r w:rsidRPr="002964A7">
        <w:rPr>
          <w:rFonts w:ascii="Verdana" w:hAnsi="Verdana"/>
          <w:sz w:val="20"/>
          <w:szCs w:val="20"/>
          <w:lang w:val="es-MX"/>
        </w:rPr>
        <w:t>)</w:t>
      </w:r>
      <w:r w:rsidRPr="002964A7">
        <w:rPr>
          <w:rFonts w:ascii="Verdana" w:hAnsi="Verdana"/>
          <w:spacing w:val="-2"/>
          <w:sz w:val="20"/>
          <w:szCs w:val="20"/>
          <w:lang w:val="es-AR" w:eastAsia="es-CR"/>
        </w:rPr>
        <w:t xml:space="preserve">, y con base en estos dos escritos, tanto la Comisión como los representantes formularon argumentos. </w:t>
      </w:r>
    </w:p>
    <w:p w:rsidR="00EA6EE3" w:rsidRPr="002964A7" w:rsidRDefault="00EA6EE3" w:rsidP="00EA6EE3">
      <w:pPr>
        <w:spacing w:after="0" w:line="240" w:lineRule="auto"/>
        <w:contextualSpacing/>
        <w:jc w:val="both"/>
        <w:rPr>
          <w:rFonts w:ascii="Verdana" w:hAnsi="Verdana" w:cs="Arial"/>
          <w:sz w:val="20"/>
          <w:szCs w:val="20"/>
          <w:lang w:val="es-MX"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ES_tradnl"/>
        </w:rPr>
      </w:pPr>
      <w:r w:rsidRPr="002964A7">
        <w:rPr>
          <w:rFonts w:ascii="Verdana" w:hAnsi="Verdana"/>
          <w:sz w:val="20"/>
          <w:szCs w:val="20"/>
          <w:lang w:val="es-MX"/>
        </w:rPr>
        <w:t xml:space="preserve">No obstante, en sus alegatos finales escritos, el Estado expresó </w:t>
      </w:r>
      <w:r w:rsidRPr="002964A7">
        <w:rPr>
          <w:rFonts w:ascii="Verdana" w:hAnsi="Verdana"/>
          <w:sz w:val="20"/>
          <w:szCs w:val="20"/>
          <w:lang w:val="es-ES_tradnl"/>
        </w:rPr>
        <w:t xml:space="preserve">que no procede que la Corte </w:t>
      </w:r>
      <w:r w:rsidRPr="002964A7">
        <w:rPr>
          <w:rFonts w:ascii="Verdana" w:eastAsia="Times New Roman" w:hAnsi="Verdana"/>
          <w:sz w:val="20"/>
          <w:szCs w:val="20"/>
        </w:rPr>
        <w:t>determine</w:t>
      </w:r>
      <w:r w:rsidRPr="002964A7">
        <w:rPr>
          <w:rFonts w:ascii="Verdana" w:hAnsi="Verdana"/>
          <w:sz w:val="20"/>
          <w:szCs w:val="20"/>
          <w:lang w:val="es-ES_tradnl"/>
        </w:rPr>
        <w:t xml:space="preserve"> y declare la responsabilidad internacional del Estado por la vulneración de los derechos contenidos en los artículos 4, 5, 7 y 19 de la Convención</w:t>
      </w:r>
      <w:r w:rsidRPr="002964A7">
        <w:rPr>
          <w:rFonts w:ascii="Verdana" w:hAnsi="Verdana"/>
          <w:sz w:val="20"/>
          <w:szCs w:val="20"/>
          <w:lang w:val="es-MX"/>
        </w:rPr>
        <w:t>, con</w:t>
      </w:r>
      <w:r w:rsidRPr="002964A7">
        <w:rPr>
          <w:rFonts w:ascii="Verdana" w:hAnsi="Verdana"/>
          <w:sz w:val="20"/>
          <w:szCs w:val="20"/>
          <w:lang w:val="es-ES_tradnl"/>
        </w:rPr>
        <w:t xml:space="preserve"> base en principio de subsidiariedad o complementariedad del sistema interamericano </w:t>
      </w:r>
      <w:r w:rsidRPr="002964A7">
        <w:rPr>
          <w:rFonts w:ascii="Verdana" w:hAnsi="Verdana"/>
          <w:sz w:val="20"/>
          <w:szCs w:val="20"/>
          <w:lang w:val="es-MX"/>
        </w:rPr>
        <w:t>(</w:t>
      </w:r>
      <w:r w:rsidRPr="002964A7">
        <w:rPr>
          <w:rFonts w:ascii="Verdana" w:hAnsi="Verdana"/>
          <w:i/>
          <w:iCs/>
          <w:sz w:val="20"/>
          <w:szCs w:val="20"/>
          <w:lang w:val="es-MX"/>
        </w:rPr>
        <w:t xml:space="preserve">supra </w:t>
      </w:r>
      <w:r w:rsidRPr="002964A7">
        <w:rPr>
          <w:rFonts w:ascii="Verdana" w:hAnsi="Verdana"/>
          <w:sz w:val="20"/>
          <w:szCs w:val="20"/>
          <w:lang w:val="es-MX"/>
        </w:rPr>
        <w:t xml:space="preserve">párr. </w:t>
      </w:r>
      <w:r w:rsidR="001D742D">
        <w:rPr>
          <w:rFonts w:ascii="Verdana" w:hAnsi="Verdana"/>
          <w:sz w:val="20"/>
          <w:szCs w:val="20"/>
          <w:lang w:val="es-MX"/>
        </w:rPr>
        <w:t>20</w:t>
      </w:r>
      <w:r w:rsidRPr="002964A7">
        <w:rPr>
          <w:rFonts w:ascii="Verdana" w:hAnsi="Verdana"/>
          <w:sz w:val="20"/>
          <w:szCs w:val="20"/>
          <w:lang w:val="es-MX"/>
        </w:rPr>
        <w:t>)</w:t>
      </w:r>
      <w:r w:rsidRPr="002964A7">
        <w:rPr>
          <w:rFonts w:ascii="Verdana" w:hAnsi="Verdana" w:cs="Verdana"/>
          <w:sz w:val="20"/>
          <w:szCs w:val="20"/>
          <w:lang w:val="es-MX"/>
        </w:rPr>
        <w:t>.</w:t>
      </w:r>
    </w:p>
    <w:p w:rsidR="00EA6EE3" w:rsidRPr="002964A7" w:rsidRDefault="00EA6EE3" w:rsidP="00EA6EE3">
      <w:pPr>
        <w:spacing w:after="0" w:line="240" w:lineRule="auto"/>
        <w:contextualSpacing/>
        <w:jc w:val="both"/>
        <w:rPr>
          <w:rFonts w:ascii="Verdana" w:eastAsia="Times" w:hAnsi="Verdana"/>
          <w:sz w:val="20"/>
          <w:szCs w:val="20"/>
          <w:lang w:val="es-ES_tradnl"/>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z w:val="20"/>
          <w:szCs w:val="20"/>
          <w:lang w:val="es-PR" w:eastAsia="es-CR"/>
        </w:rPr>
      </w:pPr>
      <w:r w:rsidRPr="002964A7">
        <w:rPr>
          <w:rFonts w:ascii="Verdana" w:hAnsi="Verdana"/>
          <w:sz w:val="20"/>
          <w:szCs w:val="20"/>
          <w:lang w:val="es-MX"/>
        </w:rPr>
        <w:t xml:space="preserve">Al respecto, el Tribunal nota que posiciones ambiguas o ambivalentes en el litigio de un caso </w:t>
      </w:r>
      <w:r w:rsidRPr="002964A7">
        <w:rPr>
          <w:rFonts w:ascii="Verdana" w:eastAsia="Times New Roman" w:hAnsi="Verdana"/>
          <w:sz w:val="20"/>
          <w:szCs w:val="20"/>
        </w:rPr>
        <w:t>por</w:t>
      </w:r>
      <w:r w:rsidRPr="002964A7">
        <w:rPr>
          <w:rFonts w:ascii="Verdana" w:hAnsi="Verdana"/>
          <w:sz w:val="20"/>
          <w:szCs w:val="20"/>
          <w:lang w:val="es-MX"/>
        </w:rPr>
        <w:t xml:space="preserve"> las partes no </w:t>
      </w:r>
      <w:r w:rsidRPr="002964A7">
        <w:rPr>
          <w:rFonts w:ascii="Verdana" w:hAnsi="Verdana"/>
          <w:sz w:val="20"/>
          <w:szCs w:val="20"/>
          <w:lang w:val="es-ES"/>
        </w:rPr>
        <w:t>contribuyen a la realización de los fines del sistema interamericano de protección de los derechos humanos, en particular, el propósito de encontrar soluciones justas a los problemas particulares de un caso</w:t>
      </w:r>
      <w:r w:rsidRPr="002964A7">
        <w:rPr>
          <w:rFonts w:ascii="Verdana" w:hAnsi="Verdana"/>
          <w:sz w:val="20"/>
          <w:szCs w:val="20"/>
          <w:vertAlign w:val="superscript"/>
          <w:lang w:val="es-ES"/>
        </w:rPr>
        <w:footnoteReference w:id="15"/>
      </w:r>
      <w:r w:rsidRPr="002964A7">
        <w:rPr>
          <w:rFonts w:ascii="Verdana" w:hAnsi="Verdana"/>
          <w:sz w:val="20"/>
          <w:szCs w:val="20"/>
          <w:lang w:val="es-ES"/>
        </w:rPr>
        <w:t xml:space="preserve">. Por otra parte, </w:t>
      </w:r>
      <w:r w:rsidRPr="002964A7">
        <w:rPr>
          <w:rFonts w:ascii="Verdana" w:hAnsi="Verdana"/>
          <w:sz w:val="20"/>
          <w:szCs w:val="20"/>
        </w:rPr>
        <w:t>la Corte considera que</w:t>
      </w:r>
      <w:r w:rsidR="00DF4D3C" w:rsidRPr="002964A7">
        <w:rPr>
          <w:rFonts w:ascii="Verdana" w:hAnsi="Verdana"/>
          <w:sz w:val="20"/>
          <w:szCs w:val="20"/>
        </w:rPr>
        <w:t>,</w:t>
      </w:r>
      <w:r w:rsidRPr="002964A7">
        <w:rPr>
          <w:rFonts w:ascii="Verdana" w:hAnsi="Verdana"/>
          <w:sz w:val="20"/>
          <w:szCs w:val="20"/>
        </w:rPr>
        <w:t xml:space="preserve"> en el proceso ante la Comisión</w:t>
      </w:r>
      <w:r w:rsidR="00DF4D3C" w:rsidRPr="002964A7">
        <w:rPr>
          <w:rFonts w:ascii="Verdana" w:hAnsi="Verdana"/>
          <w:sz w:val="20"/>
          <w:szCs w:val="20"/>
        </w:rPr>
        <w:t>,</w:t>
      </w:r>
      <w:r w:rsidRPr="002964A7">
        <w:rPr>
          <w:rFonts w:ascii="Verdana" w:hAnsi="Verdana"/>
          <w:sz w:val="20"/>
          <w:szCs w:val="20"/>
        </w:rPr>
        <w:t xml:space="preserve"> </w:t>
      </w:r>
      <w:r w:rsidR="00DF4D3C" w:rsidRPr="002964A7">
        <w:rPr>
          <w:rFonts w:ascii="Verdana" w:hAnsi="Verdana"/>
          <w:sz w:val="20"/>
          <w:szCs w:val="20"/>
        </w:rPr>
        <w:t xml:space="preserve">el Perú </w:t>
      </w:r>
      <w:r w:rsidRPr="002964A7">
        <w:rPr>
          <w:rFonts w:ascii="Verdana" w:hAnsi="Verdana"/>
          <w:sz w:val="20"/>
          <w:szCs w:val="20"/>
        </w:rPr>
        <w:t>reconoció algunas de las violaciones alegadas por la Comisión y los representantes</w:t>
      </w:r>
      <w:r w:rsidR="00DF4D3C" w:rsidRPr="002964A7">
        <w:rPr>
          <w:rFonts w:ascii="Verdana" w:hAnsi="Verdana"/>
          <w:sz w:val="20"/>
          <w:szCs w:val="20"/>
        </w:rPr>
        <w:t xml:space="preserve"> y </w:t>
      </w:r>
      <w:r w:rsidRPr="002964A7">
        <w:rPr>
          <w:rFonts w:ascii="Verdana" w:hAnsi="Verdana"/>
          <w:sz w:val="20"/>
          <w:szCs w:val="20"/>
        </w:rPr>
        <w:t>gener</w:t>
      </w:r>
      <w:r w:rsidR="00DF4D3C" w:rsidRPr="002964A7">
        <w:rPr>
          <w:rFonts w:ascii="Verdana" w:hAnsi="Verdana"/>
          <w:sz w:val="20"/>
          <w:szCs w:val="20"/>
        </w:rPr>
        <w:t>ó,</w:t>
      </w:r>
      <w:r w:rsidRPr="002964A7">
        <w:rPr>
          <w:rFonts w:ascii="Verdana" w:hAnsi="Verdana"/>
          <w:sz w:val="20"/>
          <w:szCs w:val="20"/>
        </w:rPr>
        <w:t xml:space="preserve"> consecuentemente, efectos jurídicos sobre los cuales </w:t>
      </w:r>
      <w:r w:rsidR="00335E16">
        <w:rPr>
          <w:rFonts w:ascii="Verdana" w:hAnsi="Verdana"/>
          <w:sz w:val="20"/>
          <w:szCs w:val="20"/>
        </w:rPr>
        <w:t>e</w:t>
      </w:r>
      <w:r w:rsidRPr="002964A7">
        <w:rPr>
          <w:rFonts w:ascii="Verdana" w:hAnsi="Verdana"/>
          <w:sz w:val="20"/>
          <w:szCs w:val="20"/>
        </w:rPr>
        <w:t xml:space="preserve">stos actuaron. Por ende, la conducta contradictoria que pretende asumir el Estado en el trámite del caso ante esta Corte </w:t>
      </w:r>
      <w:r w:rsidR="00DF4D3C" w:rsidRPr="002964A7">
        <w:rPr>
          <w:rFonts w:ascii="Verdana" w:hAnsi="Verdana"/>
          <w:sz w:val="20"/>
          <w:szCs w:val="20"/>
        </w:rPr>
        <w:t>es contraria al</w:t>
      </w:r>
      <w:r w:rsidRPr="002964A7">
        <w:rPr>
          <w:rFonts w:ascii="Verdana" w:hAnsi="Verdana"/>
          <w:sz w:val="20"/>
          <w:szCs w:val="20"/>
        </w:rPr>
        <w:t xml:space="preserve"> principio de </w:t>
      </w:r>
      <w:r w:rsidRPr="002964A7">
        <w:rPr>
          <w:rFonts w:ascii="Verdana" w:hAnsi="Verdana"/>
          <w:i/>
          <w:sz w:val="20"/>
          <w:szCs w:val="20"/>
        </w:rPr>
        <w:t>estoppel</w:t>
      </w:r>
      <w:r w:rsidR="00DF4D3C" w:rsidRPr="002964A7">
        <w:rPr>
          <w:rFonts w:ascii="Verdana" w:hAnsi="Verdana"/>
          <w:i/>
          <w:sz w:val="20"/>
          <w:szCs w:val="20"/>
        </w:rPr>
        <w:t xml:space="preserve">, </w:t>
      </w:r>
      <w:r w:rsidR="00DF4D3C" w:rsidRPr="002964A7">
        <w:rPr>
          <w:rFonts w:ascii="Verdana" w:hAnsi="Verdana"/>
          <w:sz w:val="20"/>
          <w:szCs w:val="20"/>
        </w:rPr>
        <w:t>razón por la cual</w:t>
      </w:r>
      <w:r w:rsidRPr="002964A7">
        <w:rPr>
          <w:rFonts w:ascii="Verdana" w:hAnsi="Verdana"/>
          <w:sz w:val="20"/>
          <w:szCs w:val="20"/>
          <w:lang w:val="es-MX"/>
        </w:rPr>
        <w:t xml:space="preserve"> no</w:t>
      </w:r>
      <w:r w:rsidR="00DF4D3C" w:rsidRPr="002964A7">
        <w:rPr>
          <w:rFonts w:ascii="Verdana" w:hAnsi="Verdana"/>
          <w:sz w:val="20"/>
          <w:szCs w:val="20"/>
          <w:lang w:val="es-MX"/>
        </w:rPr>
        <w:t xml:space="preserve"> se</w:t>
      </w:r>
      <w:r w:rsidRPr="002964A7">
        <w:rPr>
          <w:rFonts w:ascii="Verdana" w:hAnsi="Verdana"/>
          <w:sz w:val="20"/>
          <w:szCs w:val="20"/>
          <w:lang w:val="es-MX"/>
        </w:rPr>
        <w:t xml:space="preserve"> dará efectos jurídicos al </w:t>
      </w:r>
      <w:r w:rsidR="00345AD2">
        <w:rPr>
          <w:rFonts w:ascii="Verdana" w:hAnsi="Verdana"/>
          <w:sz w:val="20"/>
          <w:szCs w:val="20"/>
          <w:lang w:val="es-MX"/>
        </w:rPr>
        <w:t xml:space="preserve">pretendido </w:t>
      </w:r>
      <w:r w:rsidRPr="002964A7">
        <w:rPr>
          <w:rFonts w:ascii="Verdana" w:hAnsi="Verdana"/>
          <w:sz w:val="20"/>
          <w:szCs w:val="20"/>
          <w:lang w:val="es-MX"/>
        </w:rPr>
        <w:t xml:space="preserve">desconocimiento </w:t>
      </w:r>
      <w:r w:rsidR="00DF4D3C" w:rsidRPr="002964A7">
        <w:rPr>
          <w:rFonts w:ascii="Verdana" w:hAnsi="Verdana"/>
          <w:sz w:val="20"/>
          <w:szCs w:val="20"/>
          <w:lang w:val="es-MX"/>
        </w:rPr>
        <w:t xml:space="preserve">efectuado por el Estado </w:t>
      </w:r>
      <w:r w:rsidRPr="002964A7">
        <w:rPr>
          <w:rFonts w:ascii="Verdana" w:hAnsi="Verdana"/>
          <w:sz w:val="20"/>
          <w:szCs w:val="20"/>
          <w:lang w:val="es-MX"/>
        </w:rPr>
        <w:t>de la violación de</w:t>
      </w:r>
      <w:r w:rsidR="00DF4D3C" w:rsidRPr="002964A7">
        <w:rPr>
          <w:rFonts w:ascii="Verdana" w:hAnsi="Verdana"/>
          <w:sz w:val="20"/>
          <w:szCs w:val="20"/>
          <w:lang w:val="es-MX"/>
        </w:rPr>
        <w:t xml:space="preserve"> </w:t>
      </w:r>
      <w:r w:rsidRPr="002964A7">
        <w:rPr>
          <w:rFonts w:ascii="Verdana" w:hAnsi="Verdana"/>
          <w:sz w:val="20"/>
          <w:szCs w:val="20"/>
          <w:lang w:val="es-MX"/>
        </w:rPr>
        <w:t>l</w:t>
      </w:r>
      <w:r w:rsidR="00DF4D3C" w:rsidRPr="002964A7">
        <w:rPr>
          <w:rFonts w:ascii="Verdana" w:hAnsi="Verdana"/>
          <w:sz w:val="20"/>
          <w:szCs w:val="20"/>
          <w:lang w:val="es-MX"/>
        </w:rPr>
        <w:t>os</w:t>
      </w:r>
      <w:r w:rsidRPr="002964A7">
        <w:rPr>
          <w:rFonts w:ascii="Verdana" w:hAnsi="Verdana"/>
          <w:sz w:val="20"/>
          <w:szCs w:val="20"/>
          <w:lang w:val="es-MX"/>
        </w:rPr>
        <w:t xml:space="preserve"> derecho</w:t>
      </w:r>
      <w:r w:rsidR="00DF4D3C" w:rsidRPr="002964A7">
        <w:rPr>
          <w:rFonts w:ascii="Verdana" w:hAnsi="Verdana"/>
          <w:sz w:val="20"/>
          <w:szCs w:val="20"/>
          <w:lang w:val="es-MX"/>
        </w:rPr>
        <w:t>s mencionados</w:t>
      </w:r>
      <w:r w:rsidRPr="002964A7">
        <w:rPr>
          <w:rFonts w:ascii="Verdana" w:hAnsi="Verdana"/>
          <w:sz w:val="20"/>
          <w:szCs w:val="20"/>
          <w:lang w:val="es-MX"/>
        </w:rPr>
        <w:t>.</w:t>
      </w:r>
    </w:p>
    <w:p w:rsidR="00EA6EE3" w:rsidRPr="002964A7" w:rsidRDefault="00EA6EE3" w:rsidP="00EA6EE3">
      <w:pPr>
        <w:spacing w:after="0" w:line="240" w:lineRule="auto"/>
        <w:contextualSpacing/>
        <w:jc w:val="both"/>
        <w:rPr>
          <w:rFonts w:ascii="Verdana" w:eastAsia="Calibri" w:hAnsi="Verdana"/>
          <w:sz w:val="20"/>
          <w:szCs w:val="20"/>
          <w:lang w:val="es-PR" w:eastAsia="es-CR"/>
        </w:rPr>
      </w:pPr>
    </w:p>
    <w:p w:rsidR="00EA6EE3" w:rsidRPr="002964A7" w:rsidRDefault="00DF4D3C"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En consonancia con</w:t>
      </w:r>
      <w:r w:rsidR="00EA6EE3" w:rsidRPr="002964A7">
        <w:rPr>
          <w:rFonts w:ascii="Verdana" w:hAnsi="Verdana"/>
          <w:sz w:val="20"/>
          <w:szCs w:val="20"/>
          <w:lang w:eastAsia="es-CR"/>
        </w:rPr>
        <w:t xml:space="preserve"> lo anterior, la Corte considera que el Estado reconoció la violación de los derechos a la vida, integridad personal y libertad personal</w:t>
      </w:r>
      <w:r w:rsidR="00A43195">
        <w:rPr>
          <w:rFonts w:ascii="Verdana" w:hAnsi="Verdana"/>
          <w:sz w:val="20"/>
          <w:szCs w:val="20"/>
          <w:lang w:eastAsia="es-CR"/>
        </w:rPr>
        <w:t>,</w:t>
      </w:r>
      <w:r w:rsidR="00EA6EE3" w:rsidRPr="002964A7">
        <w:rPr>
          <w:rFonts w:ascii="Verdana" w:hAnsi="Verdana"/>
          <w:sz w:val="20"/>
          <w:szCs w:val="20"/>
          <w:lang w:eastAsia="es-CR"/>
        </w:rPr>
        <w:t xml:space="preserve"> establecidos en los artículos 4, 5 y 7 de la Convención, en perjuicio de Francisco Hilario Torres, Dionicia Quispe Ma</w:t>
      </w:r>
      <w:r w:rsidR="00597181">
        <w:rPr>
          <w:rFonts w:ascii="Verdana" w:hAnsi="Verdana"/>
          <w:sz w:val="20"/>
          <w:szCs w:val="20"/>
          <w:lang w:eastAsia="es-CR"/>
        </w:rPr>
        <w:t>l</w:t>
      </w:r>
      <w:r w:rsidR="009275B6">
        <w:rPr>
          <w:rFonts w:ascii="Verdana" w:hAnsi="Verdana"/>
          <w:sz w:val="20"/>
          <w:szCs w:val="20"/>
          <w:lang w:eastAsia="es-CR"/>
        </w:rPr>
        <w:t>l</w:t>
      </w:r>
      <w:r w:rsidR="00EA6EE3" w:rsidRPr="002964A7">
        <w:rPr>
          <w:rFonts w:ascii="Verdana" w:hAnsi="Verdana"/>
          <w:sz w:val="20"/>
          <w:szCs w:val="20"/>
          <w:lang w:eastAsia="es-CR"/>
        </w:rPr>
        <w:t xml:space="preserve">qui, Antonia Hilario Quispe, Magdalena Hilario, Mercedes Carhuapoma de la Cruz, </w:t>
      </w:r>
      <w:r w:rsidR="00EA6EE3" w:rsidRPr="002964A7">
        <w:rPr>
          <w:rFonts w:ascii="Verdana" w:hAnsi="Verdana"/>
          <w:sz w:val="20"/>
          <w:szCs w:val="20"/>
          <w:lang w:val="es-GT" w:eastAsia="es-CR"/>
        </w:rPr>
        <w:t>Ramón Hilario Morán, Dionicia Guillén Riveros y</w:t>
      </w:r>
      <w:r w:rsidR="00EA6EE3" w:rsidRPr="002964A7">
        <w:rPr>
          <w:rFonts w:ascii="Verdana" w:eastAsia="Times New Roman" w:hAnsi="Verdana" w:cs="Arial"/>
          <w:sz w:val="20"/>
          <w:szCs w:val="20"/>
          <w:lang w:val="es-GT"/>
        </w:rPr>
        <w:t xml:space="preserve"> </w:t>
      </w:r>
      <w:r w:rsidR="00EA6EE3" w:rsidRPr="002964A7">
        <w:rPr>
          <w:rFonts w:ascii="Verdana" w:hAnsi="Verdana"/>
          <w:sz w:val="20"/>
          <w:szCs w:val="20"/>
          <w:lang w:val="es-GT" w:eastAsia="es-CR"/>
        </w:rPr>
        <w:t>Elihoref Hu</w:t>
      </w:r>
      <w:r w:rsidR="006A27C5">
        <w:rPr>
          <w:rFonts w:ascii="Verdana" w:hAnsi="Verdana"/>
          <w:sz w:val="20"/>
          <w:szCs w:val="20"/>
          <w:lang w:val="es-GT" w:eastAsia="es-CR"/>
        </w:rPr>
        <w:t>a</w:t>
      </w:r>
      <w:r w:rsidR="00EA6EE3" w:rsidRPr="002964A7">
        <w:rPr>
          <w:rFonts w:ascii="Verdana" w:hAnsi="Verdana"/>
          <w:sz w:val="20"/>
          <w:szCs w:val="20"/>
          <w:lang w:val="es-GT" w:eastAsia="es-CR"/>
        </w:rPr>
        <w:t xml:space="preserve">maní Vergara. También reconoció la violación de dichos artículos, así como del derecho a la especial protección de los niños y las niñas consagrado en el artículo 19 de la Convención, en perjuicio de </w:t>
      </w:r>
      <w:r w:rsidR="00EA6EE3" w:rsidRPr="002964A7">
        <w:rPr>
          <w:rFonts w:ascii="Verdana" w:hAnsi="Verdana"/>
          <w:sz w:val="20"/>
          <w:szCs w:val="20"/>
          <w:lang w:eastAsia="es-CR"/>
        </w:rPr>
        <w:t>Yes</w:t>
      </w:r>
      <w:r w:rsidR="00597181">
        <w:rPr>
          <w:rFonts w:ascii="Verdana" w:hAnsi="Verdana"/>
          <w:sz w:val="20"/>
          <w:szCs w:val="20"/>
          <w:lang w:eastAsia="es-CR"/>
        </w:rPr>
        <w:t>s</w:t>
      </w:r>
      <w:r w:rsidR="00EA6EE3" w:rsidRPr="002964A7">
        <w:rPr>
          <w:rFonts w:ascii="Verdana" w:hAnsi="Verdana"/>
          <w:sz w:val="20"/>
          <w:szCs w:val="20"/>
          <w:lang w:eastAsia="es-CR"/>
        </w:rPr>
        <w:t>enia, Miriam e Edith Osnayo Hilario, Alex Jorge Hila</w:t>
      </w:r>
      <w:r w:rsidR="00FB1CE8" w:rsidRPr="002964A7">
        <w:rPr>
          <w:rFonts w:ascii="Verdana" w:hAnsi="Verdana"/>
          <w:sz w:val="20"/>
          <w:szCs w:val="20"/>
          <w:lang w:eastAsia="es-CR"/>
        </w:rPr>
        <w:t>rio, Wilmer Hilario Carh</w:t>
      </w:r>
      <w:r w:rsidR="00EA6EE3" w:rsidRPr="002964A7">
        <w:rPr>
          <w:rFonts w:ascii="Verdana" w:hAnsi="Verdana"/>
          <w:sz w:val="20"/>
          <w:szCs w:val="20"/>
          <w:lang w:eastAsia="es-CR"/>
        </w:rPr>
        <w:t xml:space="preserve">uapoma, </w:t>
      </w:r>
      <w:r w:rsidR="00EA6EE3" w:rsidRPr="002964A7">
        <w:rPr>
          <w:rFonts w:ascii="Verdana" w:hAnsi="Verdana" w:cs="Arial"/>
          <w:sz w:val="20"/>
          <w:szCs w:val="20"/>
          <w:lang w:val="es-GT" w:eastAsia="es-CR"/>
        </w:rPr>
        <w:t>Raúl y Héctor Hilario Guillén.</w:t>
      </w:r>
      <w:r w:rsidR="00EA6EE3" w:rsidRPr="002964A7">
        <w:rPr>
          <w:rFonts w:ascii="Verdana" w:hAnsi="Verdana"/>
          <w:spacing w:val="-2"/>
          <w:sz w:val="20"/>
          <w:szCs w:val="20"/>
          <w:lang w:val="es-ES_tradnl"/>
        </w:rPr>
        <w:t xml:space="preserve"> El Tribunal decide aceptar el reconocimiento </w:t>
      </w:r>
      <w:r w:rsidR="00B063F2">
        <w:rPr>
          <w:rFonts w:ascii="Verdana" w:hAnsi="Verdana"/>
          <w:spacing w:val="-2"/>
          <w:sz w:val="20"/>
          <w:szCs w:val="20"/>
          <w:lang w:val="es-ES_tradnl"/>
        </w:rPr>
        <w:t xml:space="preserve">parcial </w:t>
      </w:r>
      <w:r w:rsidR="00EA6EE3" w:rsidRPr="002964A7">
        <w:rPr>
          <w:rFonts w:ascii="Verdana" w:hAnsi="Verdana"/>
          <w:spacing w:val="-2"/>
          <w:sz w:val="20"/>
          <w:szCs w:val="20"/>
          <w:lang w:val="es-ES_tradnl"/>
        </w:rPr>
        <w:t>de responsabilidad formulado por el Estado.</w:t>
      </w:r>
    </w:p>
    <w:p w:rsidR="00EA6EE3" w:rsidRPr="002964A7" w:rsidRDefault="00EA6EE3" w:rsidP="00EA6EE3">
      <w:pPr>
        <w:tabs>
          <w:tab w:val="left" w:pos="720"/>
        </w:tabs>
        <w:spacing w:after="0" w:line="240" w:lineRule="auto"/>
        <w:ind w:right="-90"/>
        <w:jc w:val="both"/>
        <w:rPr>
          <w:rFonts w:ascii="Verdana" w:hAnsi="Verdana"/>
          <w:sz w:val="20"/>
          <w:szCs w:val="20"/>
          <w:lang w:eastAsia="es-CR"/>
        </w:rPr>
      </w:pPr>
    </w:p>
    <w:p w:rsidR="00EA6EE3" w:rsidRPr="002964A7" w:rsidRDefault="00EA6EE3"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ES_tradnl"/>
        </w:rPr>
        <w:t xml:space="preserve">Sin perjuicio de ello, la Corte nota que subsiste la controversia en cuanto a la calificación jurídica de los hechos del caso como ejecución </w:t>
      </w:r>
      <w:r w:rsidR="00597181">
        <w:rPr>
          <w:rFonts w:ascii="Verdana" w:hAnsi="Verdana"/>
          <w:spacing w:val="-2"/>
          <w:sz w:val="20"/>
          <w:szCs w:val="20"/>
          <w:lang w:val="es-ES_tradnl"/>
        </w:rPr>
        <w:t>extra</w:t>
      </w:r>
      <w:r w:rsidRPr="002964A7">
        <w:rPr>
          <w:rFonts w:ascii="Verdana" w:hAnsi="Verdana"/>
          <w:spacing w:val="-2"/>
          <w:sz w:val="20"/>
          <w:szCs w:val="20"/>
          <w:lang w:val="es-ES_tradnl"/>
        </w:rPr>
        <w:t xml:space="preserve">judicial o desaparición forzada y el alcance de las violaciones a la Convención señaladas en el párrafo anterior. También subsiste la controversia respecto a las alegadas violaciones de los artículos </w:t>
      </w:r>
      <w:r w:rsidR="007E1E0F">
        <w:rPr>
          <w:rFonts w:ascii="Verdana" w:hAnsi="Verdana"/>
          <w:spacing w:val="-2"/>
          <w:sz w:val="20"/>
          <w:szCs w:val="20"/>
          <w:lang w:val="es-ES_tradnl"/>
        </w:rPr>
        <w:t xml:space="preserve">2, </w:t>
      </w:r>
      <w:r w:rsidRPr="002964A7">
        <w:rPr>
          <w:rFonts w:ascii="Verdana" w:hAnsi="Verdana"/>
          <w:spacing w:val="-2"/>
          <w:sz w:val="20"/>
          <w:szCs w:val="20"/>
          <w:lang w:val="es-ES_tradnl"/>
        </w:rPr>
        <w:t xml:space="preserve">3, 11, 13, 17, 21 y 8 y 25 de la Convención Americana, así como respecto de </w:t>
      </w:r>
      <w:r w:rsidR="00DF61E8" w:rsidRPr="002964A7">
        <w:rPr>
          <w:rFonts w:ascii="Verdana" w:hAnsi="Verdana"/>
          <w:spacing w:val="-2"/>
          <w:sz w:val="20"/>
          <w:szCs w:val="20"/>
          <w:lang w:val="es-ES_tradnl"/>
        </w:rPr>
        <w:t xml:space="preserve">la violación del artículo 5 en perjuicio de los familiares de las víctimas y </w:t>
      </w:r>
      <w:r w:rsidRPr="002964A7">
        <w:rPr>
          <w:rFonts w:ascii="Verdana" w:hAnsi="Verdana"/>
          <w:spacing w:val="-2"/>
          <w:sz w:val="20"/>
          <w:szCs w:val="20"/>
          <w:lang w:val="es-ES_tradnl"/>
        </w:rPr>
        <w:t>las pretensiones de las partes en materia de reparación.</w:t>
      </w:r>
      <w:r w:rsidR="00E67B4E">
        <w:rPr>
          <w:rFonts w:ascii="Verdana" w:hAnsi="Verdana"/>
          <w:spacing w:val="-2"/>
          <w:sz w:val="20"/>
          <w:szCs w:val="20"/>
          <w:lang w:val="es-ES_tradnl"/>
        </w:rPr>
        <w:t xml:space="preserve"> También existe controversia respecto a las alegadas violaciones de </w:t>
      </w:r>
      <w:r w:rsidR="00E67B4E" w:rsidRPr="00CB2948">
        <w:rPr>
          <w:rFonts w:ascii="Verdana" w:hAnsi="Verdana"/>
          <w:spacing w:val="-2"/>
          <w:sz w:val="20"/>
          <w:szCs w:val="20"/>
          <w:lang w:val="es-ES_tradnl"/>
        </w:rPr>
        <w:t xml:space="preserve">los artículos </w:t>
      </w:r>
      <w:r w:rsidR="00E05542">
        <w:rPr>
          <w:rFonts w:ascii="Verdana" w:hAnsi="Verdana"/>
          <w:spacing w:val="-2"/>
          <w:sz w:val="20"/>
          <w:szCs w:val="20"/>
          <w:lang w:val="es-ES_tradnl"/>
        </w:rPr>
        <w:t xml:space="preserve">1, </w:t>
      </w:r>
      <w:r w:rsidR="00E67B4E" w:rsidRPr="00CB2948">
        <w:rPr>
          <w:rFonts w:ascii="Verdana" w:hAnsi="Verdana"/>
          <w:spacing w:val="-2"/>
          <w:sz w:val="20"/>
          <w:szCs w:val="20"/>
          <w:lang w:val="es-ES_tradnl"/>
        </w:rPr>
        <w:t xml:space="preserve">6 y 8 de la Convención Interamericana para Prevenir y Sancionar la Tortura y </w:t>
      </w:r>
      <w:r w:rsidR="006A4429">
        <w:rPr>
          <w:rFonts w:ascii="Verdana" w:hAnsi="Verdana"/>
          <w:spacing w:val="-2"/>
          <w:sz w:val="20"/>
          <w:szCs w:val="20"/>
          <w:lang w:val="es-ES_tradnl"/>
        </w:rPr>
        <w:t>los</w:t>
      </w:r>
      <w:r w:rsidR="00E67B4E" w:rsidRPr="00CB2948">
        <w:rPr>
          <w:rFonts w:ascii="Verdana" w:hAnsi="Verdana"/>
          <w:spacing w:val="-2"/>
          <w:sz w:val="20"/>
          <w:szCs w:val="20"/>
          <w:lang w:val="es-ES_tradnl"/>
        </w:rPr>
        <w:t xml:space="preserve"> artículo</w:t>
      </w:r>
      <w:r w:rsidR="006A4429">
        <w:rPr>
          <w:rFonts w:ascii="Verdana" w:hAnsi="Verdana"/>
          <w:spacing w:val="-2"/>
          <w:sz w:val="20"/>
          <w:szCs w:val="20"/>
          <w:lang w:val="es-ES_tradnl"/>
        </w:rPr>
        <w:t>s</w:t>
      </w:r>
      <w:r w:rsidR="00E67B4E" w:rsidRPr="00CB2948">
        <w:rPr>
          <w:rFonts w:ascii="Verdana" w:hAnsi="Verdana"/>
          <w:spacing w:val="-2"/>
          <w:sz w:val="20"/>
          <w:szCs w:val="20"/>
          <w:lang w:val="es-ES_tradnl"/>
        </w:rPr>
        <w:t xml:space="preserve"> </w:t>
      </w:r>
      <w:r w:rsidR="006A4429">
        <w:rPr>
          <w:rFonts w:ascii="Verdana" w:hAnsi="Verdana"/>
          <w:spacing w:val="-2"/>
          <w:sz w:val="20"/>
          <w:szCs w:val="20"/>
          <w:lang w:val="es-ES_tradnl"/>
        </w:rPr>
        <w:t xml:space="preserve">I y </w:t>
      </w:r>
      <w:r w:rsidR="00E67B4E" w:rsidRPr="00CB2948">
        <w:rPr>
          <w:rFonts w:ascii="Verdana" w:hAnsi="Verdana"/>
          <w:spacing w:val="-2"/>
          <w:sz w:val="20"/>
          <w:szCs w:val="20"/>
          <w:lang w:val="es-ES_tradnl"/>
        </w:rPr>
        <w:t>III de la Convención Interamericana sobre Desaparición Forzada de Personas</w:t>
      </w:r>
      <w:r w:rsidR="00E67B4E">
        <w:rPr>
          <w:rFonts w:ascii="Verdana" w:hAnsi="Verdana"/>
          <w:spacing w:val="-2"/>
          <w:sz w:val="20"/>
          <w:szCs w:val="20"/>
          <w:lang w:val="es-ES_tradnl"/>
        </w:rPr>
        <w:t xml:space="preserve">. </w:t>
      </w:r>
      <w:r w:rsidRPr="002964A7">
        <w:rPr>
          <w:rFonts w:ascii="Verdana" w:hAnsi="Verdana"/>
          <w:spacing w:val="-2"/>
          <w:sz w:val="20"/>
          <w:szCs w:val="20"/>
          <w:lang w:val="es-ES_tradnl"/>
        </w:rPr>
        <w:t>Estas controversias serán analizadas en los capítulos correspondientes de esta Sentencia.</w:t>
      </w:r>
    </w:p>
    <w:p w:rsidR="003A4D8C" w:rsidRPr="003A4D8C" w:rsidRDefault="003A4D8C" w:rsidP="001154F9">
      <w:pPr>
        <w:pStyle w:val="Heading1"/>
        <w:rPr>
          <w:rFonts w:eastAsia="Calibri"/>
          <w:sz w:val="16"/>
        </w:rPr>
      </w:pPr>
      <w:bookmarkStart w:id="55" w:name="_Toc421548999"/>
      <w:bookmarkStart w:id="56" w:name="_Toc421549288"/>
      <w:bookmarkStart w:id="57" w:name="_Toc421864925"/>
      <w:bookmarkStart w:id="58" w:name="_Toc423102506"/>
      <w:bookmarkStart w:id="59" w:name="_Toc433387460"/>
    </w:p>
    <w:p w:rsidR="003A4D8C" w:rsidRPr="003A4D8C" w:rsidRDefault="003A4D8C" w:rsidP="001154F9">
      <w:pPr>
        <w:pStyle w:val="Heading1"/>
        <w:rPr>
          <w:rFonts w:eastAsia="Calibri"/>
          <w:sz w:val="16"/>
        </w:rPr>
      </w:pPr>
    </w:p>
    <w:p w:rsidR="00DD356C" w:rsidRPr="002964A7" w:rsidRDefault="00DD356C" w:rsidP="001154F9">
      <w:pPr>
        <w:pStyle w:val="Heading1"/>
        <w:rPr>
          <w:rFonts w:eastAsia="Calibri"/>
        </w:rPr>
      </w:pPr>
      <w:r w:rsidRPr="002964A7">
        <w:rPr>
          <w:rFonts w:eastAsia="Calibri"/>
        </w:rPr>
        <w:t>V</w:t>
      </w:r>
      <w:bookmarkEnd w:id="55"/>
      <w:bookmarkEnd w:id="56"/>
      <w:bookmarkEnd w:id="57"/>
      <w:bookmarkEnd w:id="58"/>
      <w:bookmarkEnd w:id="59"/>
    </w:p>
    <w:p w:rsidR="00DD356C" w:rsidRPr="002964A7" w:rsidRDefault="00DD356C" w:rsidP="001154F9">
      <w:pPr>
        <w:pStyle w:val="Heading1"/>
        <w:rPr>
          <w:rFonts w:eastAsia="Calibri"/>
        </w:rPr>
      </w:pPr>
      <w:bookmarkStart w:id="60" w:name="_Toc421864926"/>
      <w:bookmarkStart w:id="61" w:name="_Toc423102507"/>
      <w:bookmarkStart w:id="62" w:name="_Toc433387461"/>
      <w:r w:rsidRPr="002964A7">
        <w:rPr>
          <w:rFonts w:eastAsia="Calibri"/>
        </w:rPr>
        <w:t>EXCEPCIONES PRELIMINARES</w:t>
      </w:r>
      <w:bookmarkEnd w:id="60"/>
      <w:bookmarkEnd w:id="61"/>
      <w:bookmarkEnd w:id="62"/>
    </w:p>
    <w:p w:rsidR="00DD356C" w:rsidRPr="002964A7" w:rsidRDefault="00DD356C" w:rsidP="00DD356C">
      <w:pPr>
        <w:spacing w:after="0" w:line="240" w:lineRule="auto"/>
        <w:rPr>
          <w:rFonts w:ascii="Verdana" w:eastAsia="Calibri" w:hAnsi="Verdana"/>
          <w:sz w:val="20"/>
          <w:szCs w:val="20"/>
        </w:rPr>
      </w:pPr>
    </w:p>
    <w:p w:rsidR="00DD356C" w:rsidRPr="002964A7"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ES_tradnl"/>
        </w:rPr>
        <w:t xml:space="preserve">El Estado interpuso cuatro “excepciones preliminares”, a saber: i) “Excepción a la falta de agotamiento de recursos internos”; ii) “Excepción </w:t>
      </w:r>
      <w:r w:rsidRPr="006C40EA">
        <w:rPr>
          <w:rFonts w:ascii="Verdana" w:hAnsi="Verdana"/>
          <w:i/>
          <w:spacing w:val="-2"/>
          <w:sz w:val="20"/>
          <w:szCs w:val="20"/>
          <w:lang w:val="es-ES_tradnl"/>
        </w:rPr>
        <w:t>ratione materiae</w:t>
      </w:r>
      <w:r w:rsidRPr="002964A7">
        <w:rPr>
          <w:rFonts w:ascii="Verdana" w:hAnsi="Verdana"/>
          <w:spacing w:val="-2"/>
          <w:sz w:val="20"/>
          <w:szCs w:val="20"/>
          <w:lang w:val="es-ES_tradnl"/>
        </w:rPr>
        <w:t xml:space="preserve"> respecto a la Convención Interamericana sobre Desaparición Forzada y sobre la calificación de los hechos en el Informe de</w:t>
      </w:r>
      <w:r w:rsidR="006C40EA">
        <w:rPr>
          <w:rFonts w:ascii="Verdana" w:hAnsi="Verdana"/>
          <w:spacing w:val="-2"/>
          <w:sz w:val="20"/>
          <w:szCs w:val="20"/>
          <w:lang w:val="es-ES_tradnl"/>
        </w:rPr>
        <w:t xml:space="preserve"> [Admisibilidad</w:t>
      </w:r>
      <w:r w:rsidR="003319AF">
        <w:rPr>
          <w:rFonts w:ascii="Verdana" w:hAnsi="Verdana"/>
          <w:spacing w:val="-2"/>
          <w:sz w:val="20"/>
          <w:szCs w:val="20"/>
          <w:lang w:val="es-ES_tradnl"/>
        </w:rPr>
        <w:t xml:space="preserve"> y</w:t>
      </w:r>
      <w:r w:rsidR="006C40EA">
        <w:rPr>
          <w:rFonts w:ascii="Verdana" w:hAnsi="Verdana"/>
          <w:spacing w:val="-2"/>
          <w:sz w:val="20"/>
          <w:szCs w:val="20"/>
          <w:lang w:val="es-ES_tradnl"/>
        </w:rPr>
        <w:t>]</w:t>
      </w:r>
      <w:r w:rsidRPr="002964A7">
        <w:rPr>
          <w:rFonts w:ascii="Verdana" w:hAnsi="Verdana"/>
          <w:spacing w:val="-2"/>
          <w:sz w:val="20"/>
          <w:szCs w:val="20"/>
          <w:lang w:val="es-ES_tradnl"/>
        </w:rPr>
        <w:t xml:space="preserve"> Fondo de la [Comisión]”; iii) “Improcedencia en cuanto a la formulación de nuevos argumentos presentados por los representantes no planteados por la Comisión en su Informe de</w:t>
      </w:r>
      <w:r w:rsidR="00EB6970">
        <w:rPr>
          <w:rFonts w:ascii="Verdana" w:hAnsi="Verdana"/>
          <w:spacing w:val="-2"/>
          <w:sz w:val="20"/>
          <w:szCs w:val="20"/>
          <w:lang w:val="es-ES_tradnl"/>
        </w:rPr>
        <w:t xml:space="preserve"> [Admisibilidad y]</w:t>
      </w:r>
      <w:r w:rsidRPr="002964A7">
        <w:rPr>
          <w:rFonts w:ascii="Verdana" w:hAnsi="Verdana"/>
          <w:spacing w:val="-2"/>
          <w:sz w:val="20"/>
          <w:szCs w:val="20"/>
          <w:lang w:val="es-ES_tradnl"/>
        </w:rPr>
        <w:t xml:space="preserve"> Fondo: inclusión de Marcelina Guillén Riveros” como presunta víctima; </w:t>
      </w:r>
      <w:r w:rsidR="00FA362A" w:rsidRPr="002964A7">
        <w:rPr>
          <w:rFonts w:ascii="Verdana" w:hAnsi="Verdana"/>
          <w:spacing w:val="-2"/>
          <w:sz w:val="20"/>
          <w:szCs w:val="20"/>
          <w:lang w:val="es-ES_tradnl"/>
        </w:rPr>
        <w:t>y</w:t>
      </w:r>
      <w:r w:rsidRPr="002964A7">
        <w:rPr>
          <w:rFonts w:ascii="Verdana" w:hAnsi="Verdana"/>
          <w:spacing w:val="-2"/>
          <w:sz w:val="20"/>
          <w:szCs w:val="20"/>
          <w:lang w:val="es-ES_tradnl"/>
        </w:rPr>
        <w:t xml:space="preserve"> iv) “Improcedencia en cuanto a la formulación de nuevos argumentos presentados por los representantes no planteados por la Comisión en su Informe de </w:t>
      </w:r>
      <w:r w:rsidR="00EB6970">
        <w:rPr>
          <w:rFonts w:ascii="Verdana" w:hAnsi="Verdana"/>
          <w:spacing w:val="-2"/>
          <w:sz w:val="20"/>
          <w:szCs w:val="20"/>
          <w:lang w:val="es-ES_tradnl"/>
        </w:rPr>
        <w:t xml:space="preserve">[Admisibilidad y] </w:t>
      </w:r>
      <w:r w:rsidRPr="002964A7">
        <w:rPr>
          <w:rFonts w:ascii="Verdana" w:hAnsi="Verdana"/>
          <w:spacing w:val="-2"/>
          <w:sz w:val="20"/>
          <w:szCs w:val="20"/>
          <w:lang w:val="es-ES_tradnl"/>
        </w:rPr>
        <w:t>Fondo: supuesta afectación del derecho a la propiedad y la prohibición de injerencias arbitrarias en la vida familiar”.</w:t>
      </w:r>
    </w:p>
    <w:p w:rsidR="00DD356C" w:rsidRPr="002964A7" w:rsidRDefault="00DD356C" w:rsidP="00DD356C">
      <w:pPr>
        <w:spacing w:after="0" w:line="240" w:lineRule="auto"/>
        <w:rPr>
          <w:rFonts w:ascii="Verdana" w:eastAsia="Calibri" w:hAnsi="Verdana"/>
          <w:sz w:val="20"/>
          <w:szCs w:val="20"/>
        </w:rPr>
      </w:pPr>
    </w:p>
    <w:p w:rsidR="00DD356C" w:rsidRPr="002964A7"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rPr>
        <w:t>Atendiendo a la naturaleza de los argumentos formulados por el Estado, la Corte los considerará en las partes pertinentes de la presente Sentencia. Consiguientemente, s</w:t>
      </w:r>
      <w:r w:rsidR="005E414F">
        <w:rPr>
          <w:rFonts w:ascii="Verdana" w:hAnsi="Verdana"/>
          <w:sz w:val="20"/>
          <w:szCs w:val="20"/>
        </w:rPr>
        <w:t>o</w:t>
      </w:r>
      <w:r w:rsidRPr="002964A7">
        <w:rPr>
          <w:rFonts w:ascii="Verdana" w:hAnsi="Verdana"/>
          <w:sz w:val="20"/>
          <w:szCs w:val="20"/>
        </w:rPr>
        <w:t>lo considerará como excepciones preliminares l</w:t>
      </w:r>
      <w:r w:rsidR="00597181">
        <w:rPr>
          <w:rFonts w:ascii="Verdana" w:hAnsi="Verdana"/>
          <w:sz w:val="20"/>
          <w:szCs w:val="20"/>
        </w:rPr>
        <w:t>a</w:t>
      </w:r>
      <w:r w:rsidRPr="002964A7">
        <w:rPr>
          <w:rFonts w:ascii="Verdana" w:hAnsi="Verdana"/>
          <w:sz w:val="20"/>
          <w:szCs w:val="20"/>
        </w:rPr>
        <w:t xml:space="preserve">s que tienen o podrían tener el carácter de tales, es decir, de objeciones que tienen </w:t>
      </w:r>
      <w:r w:rsidRPr="002964A7">
        <w:rPr>
          <w:rFonts w:ascii="Verdana" w:hAnsi="Verdana"/>
          <w:spacing w:val="-2"/>
          <w:sz w:val="20"/>
          <w:szCs w:val="20"/>
          <w:lang w:val="es-ES_tradnl"/>
        </w:rPr>
        <w:t>carácter</w:t>
      </w:r>
      <w:r w:rsidRPr="002964A7">
        <w:rPr>
          <w:rFonts w:ascii="Verdana" w:hAnsi="Verdana"/>
          <w:sz w:val="20"/>
          <w:szCs w:val="20"/>
        </w:rPr>
        <w:t xml:space="preserve"> previo y tienden a impedir el análisis del fondo de un asunto cuestionado, mediante la objeción de la admisibilidad de un caso o la competencia de la Corte para conocer de un determinado caso o de alguno de sus aspectos, ya sea en razón de la persona, materia, tiempo o lugar, siempre y cuando dichos planteamientos tengan el carácter de preliminares</w:t>
      </w:r>
      <w:r w:rsidRPr="002964A7">
        <w:rPr>
          <w:rFonts w:ascii="Verdana" w:hAnsi="Verdana"/>
          <w:sz w:val="20"/>
          <w:szCs w:val="20"/>
          <w:vertAlign w:val="superscript"/>
        </w:rPr>
        <w:footnoteReference w:id="16"/>
      </w:r>
      <w:r w:rsidRPr="002964A7">
        <w:rPr>
          <w:rFonts w:ascii="Verdana" w:hAnsi="Verdana"/>
          <w:sz w:val="20"/>
          <w:szCs w:val="20"/>
        </w:rPr>
        <w:t>. Si estos planteamientos no pudieran ser considerados sin entrar a analizar previamente el fondo de un caso, no pueden ser analizados mediante una excepción preliminar</w:t>
      </w:r>
      <w:r w:rsidRPr="002964A7">
        <w:rPr>
          <w:rFonts w:ascii="Verdana" w:hAnsi="Verdana"/>
          <w:sz w:val="20"/>
          <w:szCs w:val="20"/>
          <w:vertAlign w:val="superscript"/>
        </w:rPr>
        <w:footnoteReference w:id="17"/>
      </w:r>
      <w:r w:rsidRPr="002964A7">
        <w:rPr>
          <w:rFonts w:ascii="Verdana" w:hAnsi="Verdana"/>
          <w:sz w:val="20"/>
          <w:szCs w:val="20"/>
        </w:rPr>
        <w:t xml:space="preserve">. </w:t>
      </w:r>
    </w:p>
    <w:p w:rsidR="00DD356C" w:rsidRPr="002964A7" w:rsidRDefault="00DD356C" w:rsidP="00DD356C">
      <w:pPr>
        <w:pStyle w:val="Estilo5"/>
        <w:spacing w:after="0" w:line="240" w:lineRule="auto"/>
        <w:rPr>
          <w:sz w:val="20"/>
          <w:szCs w:val="20"/>
        </w:rPr>
      </w:pPr>
    </w:p>
    <w:p w:rsidR="00DD356C" w:rsidRPr="002964A7"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lang w:val="es-GT"/>
        </w:rPr>
        <w:t>Por ello, s</w:t>
      </w:r>
      <w:r w:rsidR="005E414F">
        <w:rPr>
          <w:rFonts w:ascii="Verdana" w:hAnsi="Verdana"/>
          <w:sz w:val="20"/>
          <w:szCs w:val="20"/>
          <w:lang w:val="es-GT"/>
        </w:rPr>
        <w:t>o</w:t>
      </w:r>
      <w:r w:rsidRPr="002964A7">
        <w:rPr>
          <w:rFonts w:ascii="Verdana" w:hAnsi="Verdana"/>
          <w:sz w:val="20"/>
          <w:szCs w:val="20"/>
          <w:lang w:val="es-GT"/>
        </w:rPr>
        <w:t>l</w:t>
      </w:r>
      <w:r w:rsidR="00A72F64">
        <w:rPr>
          <w:rFonts w:ascii="Verdana" w:hAnsi="Verdana"/>
          <w:sz w:val="20"/>
          <w:szCs w:val="20"/>
          <w:lang w:val="es-GT"/>
        </w:rPr>
        <w:t>amente</w:t>
      </w:r>
      <w:r w:rsidRPr="002964A7">
        <w:rPr>
          <w:rFonts w:ascii="Verdana" w:hAnsi="Verdana"/>
          <w:sz w:val="20"/>
          <w:szCs w:val="20"/>
          <w:lang w:val="es-GT"/>
        </w:rPr>
        <w:t xml:space="preserve"> considerará </w:t>
      </w:r>
      <w:r w:rsidRPr="002964A7">
        <w:rPr>
          <w:rFonts w:ascii="Verdana" w:hAnsi="Verdana"/>
          <w:sz w:val="20"/>
          <w:szCs w:val="20"/>
        </w:rPr>
        <w:t>en</w:t>
      </w:r>
      <w:r w:rsidRPr="002964A7">
        <w:rPr>
          <w:rFonts w:ascii="Verdana" w:hAnsi="Verdana"/>
          <w:sz w:val="20"/>
          <w:szCs w:val="20"/>
          <w:lang w:val="es-GT"/>
        </w:rPr>
        <w:t xml:space="preserve"> el presente capítulo los argumentos </w:t>
      </w:r>
      <w:r w:rsidRPr="002964A7">
        <w:rPr>
          <w:rFonts w:ascii="Verdana" w:hAnsi="Verdana"/>
          <w:spacing w:val="-2"/>
          <w:sz w:val="20"/>
          <w:szCs w:val="20"/>
          <w:lang w:val="es-ES_tradnl"/>
        </w:rPr>
        <w:t>indicados</w:t>
      </w:r>
      <w:r w:rsidRPr="002964A7">
        <w:rPr>
          <w:rFonts w:ascii="Verdana" w:hAnsi="Verdana"/>
          <w:sz w:val="20"/>
          <w:szCs w:val="20"/>
          <w:lang w:val="es-GT"/>
        </w:rPr>
        <w:t xml:space="preserve"> </w:t>
      </w:r>
      <w:r w:rsidRPr="002964A7">
        <w:rPr>
          <w:rFonts w:ascii="Verdana" w:hAnsi="Verdana"/>
          <w:i/>
          <w:sz w:val="20"/>
          <w:szCs w:val="20"/>
          <w:lang w:val="es-GT"/>
        </w:rPr>
        <w:t xml:space="preserve">supra </w:t>
      </w:r>
      <w:r w:rsidRPr="002964A7">
        <w:rPr>
          <w:rFonts w:ascii="Verdana" w:hAnsi="Verdana"/>
          <w:sz w:val="20"/>
          <w:szCs w:val="20"/>
          <w:lang w:val="es-GT"/>
        </w:rPr>
        <w:t xml:space="preserve">con los literales i) y ii). Los argumentos indicados con los literales iii) y iv) serán analizados en el capítulo siguiente, relativo a las consideraciones previas. </w:t>
      </w:r>
    </w:p>
    <w:p w:rsidR="00DD356C" w:rsidRPr="003A4D8C" w:rsidRDefault="00DD356C" w:rsidP="001154F9">
      <w:pPr>
        <w:pStyle w:val="Estilo2"/>
        <w:rPr>
          <w:sz w:val="16"/>
          <w:lang w:val="es-MX"/>
        </w:rPr>
      </w:pPr>
    </w:p>
    <w:p w:rsidR="00DD356C" w:rsidRPr="002964A7" w:rsidRDefault="001154F9" w:rsidP="001154F9">
      <w:pPr>
        <w:pStyle w:val="Heading3"/>
        <w:rPr>
          <w:rFonts w:eastAsia="Calibri"/>
          <w:lang w:val="es-CO"/>
        </w:rPr>
      </w:pPr>
      <w:bookmarkStart w:id="63" w:name="_Toc421864927"/>
      <w:bookmarkStart w:id="64" w:name="_Toc423102508"/>
      <w:bookmarkStart w:id="65" w:name="_Toc433387462"/>
      <w:r>
        <w:t xml:space="preserve">A. </w:t>
      </w:r>
      <w:r w:rsidR="00DD356C" w:rsidRPr="002964A7">
        <w:rPr>
          <w:rFonts w:eastAsia="Calibri"/>
        </w:rPr>
        <w:t>Excepción a la falta de agotamiento de recursos internos</w:t>
      </w:r>
      <w:bookmarkEnd w:id="63"/>
      <w:bookmarkEnd w:id="64"/>
      <w:bookmarkEnd w:id="65"/>
    </w:p>
    <w:p w:rsidR="00DD356C" w:rsidRPr="002964A7" w:rsidRDefault="00DD356C" w:rsidP="001154F9">
      <w:pPr>
        <w:pStyle w:val="Heading3"/>
        <w:rPr>
          <w:rFonts w:eastAsia="Calibri"/>
          <w:lang w:val="es-CO"/>
        </w:rPr>
      </w:pPr>
      <w:bookmarkStart w:id="66" w:name="_Toc421864928"/>
      <w:bookmarkStart w:id="67" w:name="_Toc423102509"/>
      <w:bookmarkStart w:id="68" w:name="_Toc433387463"/>
      <w:r w:rsidRPr="002964A7">
        <w:rPr>
          <w:rFonts w:eastAsia="Calibri"/>
          <w:lang w:val="es-CO"/>
        </w:rPr>
        <w:t>A.1. Argumentos de las partes</w:t>
      </w:r>
      <w:bookmarkEnd w:id="66"/>
      <w:bookmarkEnd w:id="67"/>
      <w:r w:rsidR="00EC60DE" w:rsidRPr="00EC60DE">
        <w:rPr>
          <w:rFonts w:eastAsia="Calibri"/>
          <w:lang w:val="es-CO"/>
        </w:rPr>
        <w:t xml:space="preserve"> </w:t>
      </w:r>
      <w:r w:rsidR="00EC60DE" w:rsidRPr="002964A7">
        <w:rPr>
          <w:rFonts w:eastAsia="Calibri"/>
          <w:lang w:val="es-CO"/>
        </w:rPr>
        <w:t>y la Comisión</w:t>
      </w:r>
      <w:bookmarkEnd w:id="68"/>
      <w:r w:rsidR="00EC60DE" w:rsidRPr="002964A7">
        <w:rPr>
          <w:rFonts w:eastAsia="Calibri"/>
          <w:lang w:val="es-CO"/>
        </w:rPr>
        <w:t xml:space="preserve"> </w:t>
      </w:r>
    </w:p>
    <w:p w:rsidR="00DD356C" w:rsidRPr="002964A7" w:rsidRDefault="00DD356C" w:rsidP="00DD356C">
      <w:pPr>
        <w:spacing w:after="0" w:line="240" w:lineRule="auto"/>
        <w:jc w:val="both"/>
        <w:rPr>
          <w:rFonts w:ascii="Verdana" w:hAnsi="Verdana"/>
          <w:sz w:val="20"/>
          <w:szCs w:val="20"/>
          <w:lang w:val="es-CO"/>
        </w:rPr>
      </w:pPr>
    </w:p>
    <w:p w:rsidR="00DD356C" w:rsidRPr="002964A7"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rPr>
        <w:t xml:space="preserve">El </w:t>
      </w:r>
      <w:r w:rsidRPr="002964A7">
        <w:rPr>
          <w:rFonts w:ascii="Verdana" w:hAnsi="Verdana"/>
          <w:b/>
          <w:i/>
          <w:sz w:val="20"/>
          <w:szCs w:val="20"/>
        </w:rPr>
        <w:t>Estado</w:t>
      </w:r>
      <w:r w:rsidRPr="002964A7">
        <w:rPr>
          <w:rFonts w:ascii="Verdana" w:hAnsi="Verdana"/>
          <w:sz w:val="20"/>
          <w:szCs w:val="20"/>
        </w:rPr>
        <w:t xml:space="preserve"> alegó que, con base en el artículo 34 del Reglamento de la Comisión aprobado el 8 de abril de 1980, y el artículo 46.2 de la Convención, la petición “debió haber sido declarada inadmisible por la Comisión Interamericana[</w:t>
      </w:r>
      <w:r w:rsidR="006C1D92">
        <w:rPr>
          <w:rFonts w:ascii="Verdana" w:hAnsi="Verdana"/>
          <w:sz w:val="20"/>
          <w:szCs w:val="20"/>
        </w:rPr>
        <w:t>,] [</w:t>
      </w:r>
      <w:r w:rsidRPr="002964A7">
        <w:rPr>
          <w:rFonts w:ascii="Verdana" w:hAnsi="Verdana"/>
          <w:sz w:val="20"/>
          <w:szCs w:val="20"/>
        </w:rPr>
        <w:t xml:space="preserve">…] debido a que fue interpuesta a los 21 días de sucedidos los </w:t>
      </w:r>
      <w:r w:rsidRPr="002964A7">
        <w:rPr>
          <w:rFonts w:ascii="Verdana" w:hAnsi="Verdana"/>
          <w:sz w:val="20"/>
          <w:szCs w:val="20"/>
          <w:lang w:val="es-ES"/>
        </w:rPr>
        <w:t>hechos</w:t>
      </w:r>
      <w:r w:rsidRPr="002964A7">
        <w:rPr>
          <w:rFonts w:ascii="Verdana" w:hAnsi="Verdana"/>
          <w:sz w:val="20"/>
          <w:szCs w:val="20"/>
        </w:rPr>
        <w:t>, cuando no se habían agotado los mecanismos que la jurisdicción nacional proporcionaba a los recurrentes […]”. Asimismo, indicó que “desde un primer momento los peticionarios no respetaron la naturaleza subsidiaria del sistema de protección supranacional”, ya que acudieron a la Comisión sin contar con ninguna resolución o decisión que permita conocer si se materializaba alguna de las excepciones que estaban establecidas para el no agotamiento de los recursos internos. Al respecto, sostuvo que a la fecha que se presentó la denuncia ante la Comisión aún estaba en curso el inicio de las investigaciones,</w:t>
      </w:r>
      <w:r w:rsidRPr="002964A7">
        <w:rPr>
          <w:rFonts w:ascii="Verdana" w:hAnsi="Verdana"/>
          <w:b/>
          <w:sz w:val="20"/>
          <w:szCs w:val="20"/>
        </w:rPr>
        <w:t xml:space="preserve"> </w:t>
      </w:r>
      <w:r w:rsidRPr="002964A7">
        <w:rPr>
          <w:rFonts w:ascii="Verdana" w:hAnsi="Verdana"/>
          <w:sz w:val="20"/>
          <w:szCs w:val="20"/>
        </w:rPr>
        <w:t xml:space="preserve">y la Comisión tuvo conocimiento de ello. En consecuencia, solicitó a la Corte que declare fundada la excepción preliminar. </w:t>
      </w:r>
    </w:p>
    <w:p w:rsidR="00DD356C" w:rsidRPr="002964A7" w:rsidRDefault="00DD356C" w:rsidP="00DD356C">
      <w:pPr>
        <w:spacing w:after="0" w:line="240" w:lineRule="auto"/>
        <w:jc w:val="both"/>
        <w:rPr>
          <w:rFonts w:ascii="Verdana" w:hAnsi="Verdana"/>
          <w:sz w:val="20"/>
          <w:szCs w:val="20"/>
        </w:rPr>
      </w:pPr>
    </w:p>
    <w:p w:rsidR="00DD356C" w:rsidRPr="002964A7"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cs="Arial"/>
          <w:b/>
          <w:sz w:val="20"/>
          <w:szCs w:val="20"/>
        </w:rPr>
      </w:pPr>
      <w:r w:rsidRPr="002964A7">
        <w:rPr>
          <w:rFonts w:ascii="Verdana" w:hAnsi="Verdana" w:cs="Arial"/>
          <w:sz w:val="20"/>
          <w:szCs w:val="20"/>
        </w:rPr>
        <w:t xml:space="preserve">La </w:t>
      </w:r>
      <w:r w:rsidRPr="002964A7">
        <w:rPr>
          <w:rFonts w:ascii="Verdana" w:hAnsi="Verdana" w:cs="Arial"/>
          <w:b/>
          <w:i/>
          <w:sz w:val="20"/>
          <w:szCs w:val="20"/>
        </w:rPr>
        <w:t>Comisión</w:t>
      </w:r>
      <w:r w:rsidRPr="002964A7">
        <w:rPr>
          <w:rFonts w:ascii="Verdana" w:hAnsi="Verdana" w:cs="Arial"/>
          <w:sz w:val="20"/>
          <w:szCs w:val="20"/>
        </w:rPr>
        <w:t xml:space="preserve"> observó que la excepción de falta de agotamiento de recursos internos fue presentada oportunamente por parte del Estado. Sin embargo, advirtió que el Perú centró su excepción ante la Corte en la situación vigente al </w:t>
      </w:r>
      <w:r w:rsidRPr="002964A7">
        <w:rPr>
          <w:rFonts w:ascii="Verdana" w:hAnsi="Verdana"/>
          <w:sz w:val="20"/>
          <w:szCs w:val="20"/>
          <w:lang w:val="es-GT"/>
        </w:rPr>
        <w:t>momento</w:t>
      </w:r>
      <w:r w:rsidRPr="002964A7">
        <w:rPr>
          <w:rFonts w:ascii="Verdana" w:hAnsi="Verdana" w:cs="Arial"/>
          <w:sz w:val="20"/>
          <w:szCs w:val="20"/>
        </w:rPr>
        <w:t xml:space="preserve"> en que se recibió la petición. Al respecto, la Comisión explicó </w:t>
      </w:r>
      <w:r w:rsidRPr="002964A7">
        <w:rPr>
          <w:rFonts w:ascii="Verdana" w:hAnsi="Verdana"/>
          <w:spacing w:val="-2"/>
          <w:sz w:val="20"/>
          <w:szCs w:val="20"/>
          <w:lang w:val="es-ES_tradnl"/>
        </w:rPr>
        <w:t>que</w:t>
      </w:r>
      <w:r w:rsidRPr="002964A7">
        <w:rPr>
          <w:rFonts w:ascii="Verdana" w:hAnsi="Verdana" w:cs="Arial"/>
          <w:sz w:val="20"/>
          <w:szCs w:val="20"/>
        </w:rPr>
        <w:t xml:space="preserve"> las razones que fundamentan su criterio consolidado durante décadas de analizar el requisito de agotamiento de los recursos internos a la luz de la situación al momento de emitir el informe de admisibilidad, tienen que ver con que en un número importante de casos se presentan modificaciones y/o actualizaciones sobre la situación de cumplimiento de los requisitos de admisibilidad. Señaló que conforme a la Convención y las </w:t>
      </w:r>
      <w:r w:rsidR="00597181">
        <w:rPr>
          <w:rFonts w:ascii="Verdana" w:hAnsi="Verdana" w:cs="Arial"/>
          <w:sz w:val="20"/>
          <w:szCs w:val="20"/>
        </w:rPr>
        <w:t>r</w:t>
      </w:r>
      <w:r w:rsidRPr="002964A7">
        <w:rPr>
          <w:rFonts w:ascii="Verdana" w:hAnsi="Verdana" w:cs="Arial"/>
          <w:sz w:val="20"/>
          <w:szCs w:val="20"/>
        </w:rPr>
        <w:t>eglas aplicables, la etapa de admisibilidad tiene precisamente el fin que los Estados presenten información adicional sobre la idoneidad y efectividad de los recursos internos, cuando las peticiones se basan en argumentos sobre la aplicabilidad de las excepciones a la regla de agotamiento previo de los recursos internos. La evaluación de toda esta información culmina al momento de tomar la decisión sobre la admisibilidad de la petición. Destacó que toda la información que se recibe con posterioridad a la petición inicial es estrictamente sometida a contradictorio. Asimismo, sostuvo que la posición del Estado riñe con el propio texto del artículo 46.2.c de la Convención, el cual supone, necesariamente, la existencia de procesos paralelos a nivel interno e interamericano. Con base en lo anterior, tomando en cuenta que al momento de analizar el requisito de agotamiento de los recursos internos en el presente caso ya habían transcurrido 20 años de los hechos sin que se hubiera emitido decisión judicial alguna, la Comisión consideró aplicable la excepción de retardo injustificado establecida en el artículo 46.2.c de la Convención Americana.</w:t>
      </w:r>
    </w:p>
    <w:p w:rsidR="00DD356C" w:rsidRPr="002964A7" w:rsidRDefault="00DD356C" w:rsidP="00DD356C">
      <w:pPr>
        <w:spacing w:after="0" w:line="240" w:lineRule="auto"/>
        <w:jc w:val="both"/>
        <w:rPr>
          <w:rFonts w:ascii="Verdana" w:eastAsia="Calibri" w:hAnsi="Verdana" w:cs="Arial"/>
          <w:b/>
          <w:sz w:val="20"/>
          <w:szCs w:val="20"/>
        </w:rPr>
      </w:pPr>
    </w:p>
    <w:p w:rsidR="00DD356C" w:rsidRPr="002964A7"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cs="Arial"/>
          <w:sz w:val="20"/>
          <w:szCs w:val="20"/>
        </w:rPr>
        <w:t xml:space="preserve">Asimismo, de manera </w:t>
      </w:r>
      <w:r w:rsidRPr="002964A7">
        <w:rPr>
          <w:rFonts w:ascii="Verdana" w:hAnsi="Verdana"/>
          <w:sz w:val="20"/>
          <w:szCs w:val="20"/>
          <w:lang w:val="es-GT"/>
        </w:rPr>
        <w:t>subsidiaria</w:t>
      </w:r>
      <w:r w:rsidRPr="002964A7">
        <w:rPr>
          <w:rFonts w:ascii="Verdana" w:hAnsi="Verdana" w:cs="Arial"/>
          <w:sz w:val="20"/>
          <w:szCs w:val="20"/>
        </w:rPr>
        <w:t>, la Comisión se refirió en la audiencia pública “</w:t>
      </w:r>
      <w:r w:rsidRPr="002964A7">
        <w:rPr>
          <w:rFonts w:ascii="Verdana" w:hAnsi="Verdana"/>
          <w:sz w:val="20"/>
          <w:szCs w:val="20"/>
        </w:rPr>
        <w:t xml:space="preserve">a la situación vigente en Perú al momento en que [la] petición fue presentada […] y record[ó] que en casos de desaparición forzada el recurso idóneo que deben ofrecer los Estados es la búsqueda inmediata y diligente de la persona con el doble objetivo de esclarecer los hechos [y…] de proteger e impedir que se materialice una afectación a la integridad personal y a la vida de una persona. Cuando la petición fue presentada a la Comisión, ya [se habría] registrado, por lo menos, cinco denuncias de personas y comuneros que habían presentado los hechos ante las autoridades internas, sin embargo, ninguna de estas denuncias mereció ni la apertura de una investigación de manera inmediata, ni la realización de búsquedas también inmediatas […]. También se había presentado un recurso de </w:t>
      </w:r>
      <w:r w:rsidRPr="002964A7">
        <w:rPr>
          <w:rFonts w:ascii="Verdana" w:hAnsi="Verdana"/>
          <w:i/>
          <w:sz w:val="20"/>
          <w:szCs w:val="20"/>
        </w:rPr>
        <w:t>hábeas corpus</w:t>
      </w:r>
      <w:r w:rsidRPr="002964A7">
        <w:rPr>
          <w:rFonts w:ascii="Verdana" w:hAnsi="Verdana"/>
          <w:sz w:val="20"/>
          <w:szCs w:val="20"/>
        </w:rPr>
        <w:t xml:space="preserve"> y este recurso tampoco resultó idóneo ni dio una respuesta inmediata y efectiva. Esta falta de efectividad de los recursos intentados, incluso al momento de la presentación de la petición, [sería] el fiel reflejo del clima generalizado de ineficacia del Ministerio Público y del Poder Judicial que la propia Comisión pudo verificar en una visita </w:t>
      </w:r>
      <w:r w:rsidRPr="002964A7">
        <w:rPr>
          <w:rFonts w:ascii="Verdana" w:hAnsi="Verdana"/>
          <w:i/>
          <w:sz w:val="20"/>
          <w:szCs w:val="20"/>
        </w:rPr>
        <w:t>in loco</w:t>
      </w:r>
      <w:r w:rsidRPr="002964A7">
        <w:rPr>
          <w:rFonts w:ascii="Verdana" w:hAnsi="Verdana"/>
          <w:sz w:val="20"/>
          <w:szCs w:val="20"/>
        </w:rPr>
        <w:t xml:space="preserve"> que realizó al Estado de Perú, […] tres meses después de perpetrados los hechos […] y que se encuentra claramente reflejado en el informe de país de 1993 […]”. </w:t>
      </w:r>
      <w:r w:rsidRPr="002964A7">
        <w:rPr>
          <w:rFonts w:ascii="Verdana" w:hAnsi="Verdana" w:cs="Arial"/>
          <w:sz w:val="20"/>
          <w:szCs w:val="20"/>
        </w:rPr>
        <w:t xml:space="preserve">Por todo lo anterior, la Comisión solicitó que la excepción preliminar interpuesta sea declarada improcedente. </w:t>
      </w:r>
    </w:p>
    <w:p w:rsidR="00DD356C" w:rsidRPr="002964A7" w:rsidRDefault="00DD356C" w:rsidP="00DD356C">
      <w:pPr>
        <w:spacing w:after="0" w:line="240" w:lineRule="auto"/>
        <w:jc w:val="both"/>
        <w:rPr>
          <w:rFonts w:ascii="Verdana" w:eastAsia="Calibri" w:hAnsi="Verdana" w:cs="Arial"/>
          <w:b/>
          <w:sz w:val="20"/>
          <w:szCs w:val="20"/>
        </w:rPr>
      </w:pPr>
    </w:p>
    <w:p w:rsidR="00DD356C"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2964A7">
        <w:rPr>
          <w:rFonts w:ascii="Verdana" w:hAnsi="Verdana"/>
          <w:sz w:val="20"/>
          <w:szCs w:val="20"/>
        </w:rPr>
        <w:t xml:space="preserve">Los </w:t>
      </w:r>
      <w:r w:rsidRPr="002964A7">
        <w:rPr>
          <w:rFonts w:ascii="Verdana" w:hAnsi="Verdana"/>
          <w:b/>
          <w:i/>
          <w:sz w:val="20"/>
          <w:szCs w:val="20"/>
        </w:rPr>
        <w:t>representantes</w:t>
      </w:r>
      <w:r w:rsidRPr="002964A7">
        <w:rPr>
          <w:rFonts w:ascii="Verdana" w:hAnsi="Verdana"/>
          <w:sz w:val="20"/>
          <w:szCs w:val="20"/>
        </w:rPr>
        <w:t xml:space="preserve"> manifestaron que la Corte debe desestimar esta excepción preliminar por las cinco razones que a continuación se exponen. En primer lugar, </w:t>
      </w:r>
      <w:r w:rsidR="0041138F" w:rsidRPr="002964A7">
        <w:rPr>
          <w:rFonts w:ascii="Verdana" w:hAnsi="Verdana"/>
          <w:sz w:val="20"/>
          <w:szCs w:val="20"/>
        </w:rPr>
        <w:t>argumenta</w:t>
      </w:r>
      <w:r w:rsidR="0041138F">
        <w:rPr>
          <w:rFonts w:ascii="Verdana" w:hAnsi="Verdana"/>
          <w:sz w:val="20"/>
          <w:szCs w:val="20"/>
        </w:rPr>
        <w:t>ron</w:t>
      </w:r>
      <w:r w:rsidR="0041138F" w:rsidRPr="002964A7">
        <w:rPr>
          <w:rFonts w:ascii="Verdana" w:hAnsi="Verdana"/>
          <w:sz w:val="20"/>
          <w:szCs w:val="20"/>
        </w:rPr>
        <w:t xml:space="preserve"> </w:t>
      </w:r>
      <w:r w:rsidRPr="002964A7">
        <w:rPr>
          <w:rFonts w:ascii="Verdana" w:hAnsi="Verdana"/>
          <w:sz w:val="20"/>
          <w:szCs w:val="20"/>
        </w:rPr>
        <w:t xml:space="preserve">que no procede conocer la excepción preliminar porque el Estado no alegó </w:t>
      </w:r>
      <w:r w:rsidR="004B5665">
        <w:rPr>
          <w:rFonts w:ascii="Verdana" w:hAnsi="Verdana"/>
          <w:sz w:val="20"/>
          <w:szCs w:val="20"/>
        </w:rPr>
        <w:t xml:space="preserve">ni se configuró </w:t>
      </w:r>
      <w:r w:rsidRPr="002964A7">
        <w:rPr>
          <w:rFonts w:ascii="Verdana" w:hAnsi="Verdana"/>
          <w:sz w:val="20"/>
          <w:szCs w:val="20"/>
        </w:rPr>
        <w:t xml:space="preserve">un error grave en el procedimiento ante la </w:t>
      </w:r>
      <w:r w:rsidRPr="002964A7">
        <w:rPr>
          <w:rFonts w:ascii="Verdana" w:hAnsi="Verdana"/>
          <w:sz w:val="20"/>
          <w:szCs w:val="20"/>
          <w:lang w:val="es-GT"/>
        </w:rPr>
        <w:t>Comisión</w:t>
      </w:r>
      <w:r w:rsidRPr="002964A7">
        <w:rPr>
          <w:rFonts w:ascii="Verdana" w:hAnsi="Verdana"/>
          <w:sz w:val="20"/>
          <w:szCs w:val="20"/>
        </w:rPr>
        <w:t xml:space="preserve"> que hubiera vulnerado su derecho de defensa. En segundo lugar, indicaron que la excepción interpuesta por el</w:t>
      </w:r>
      <w:r w:rsidR="00597181">
        <w:rPr>
          <w:rFonts w:ascii="Verdana" w:hAnsi="Verdana"/>
          <w:sz w:val="20"/>
          <w:szCs w:val="20"/>
        </w:rPr>
        <w:t xml:space="preserve"> </w:t>
      </w:r>
      <w:r w:rsidRPr="002964A7">
        <w:rPr>
          <w:rFonts w:ascii="Verdana" w:hAnsi="Verdana"/>
          <w:sz w:val="20"/>
          <w:szCs w:val="20"/>
        </w:rPr>
        <w:t>Estado no cumplió con los presupuestos formales y materiales para ser considerada, ya que al momento de interponer dicha excepción ante la Comisión y la Corte no mencionó qué recursos debían haber sido agotados ni las razones por las que los mismos eran adecuados y efectivos.</w:t>
      </w:r>
      <w:r w:rsidRPr="002964A7">
        <w:rPr>
          <w:rFonts w:ascii="Verdana" w:hAnsi="Verdana" w:cs="Arial"/>
          <w:sz w:val="20"/>
          <w:szCs w:val="20"/>
        </w:rPr>
        <w:t xml:space="preserve"> En tercer lugar, los representantes señalaron que ha sido práctica constante de la Comisión analizar los </w:t>
      </w:r>
      <w:r w:rsidRPr="002964A7">
        <w:rPr>
          <w:rFonts w:ascii="Verdana" w:hAnsi="Verdana"/>
          <w:sz w:val="20"/>
          <w:szCs w:val="20"/>
        </w:rPr>
        <w:t>requisitos</w:t>
      </w:r>
      <w:r w:rsidRPr="002964A7">
        <w:rPr>
          <w:rFonts w:ascii="Verdana" w:hAnsi="Verdana" w:cs="Arial"/>
          <w:sz w:val="20"/>
          <w:szCs w:val="20"/>
        </w:rPr>
        <w:t xml:space="preserve"> previstos en los artículos 46 y 47 de la </w:t>
      </w:r>
      <w:r w:rsidRPr="002964A7">
        <w:rPr>
          <w:rFonts w:ascii="Verdana" w:hAnsi="Verdana" w:cs="Arial"/>
          <w:sz w:val="20"/>
          <w:szCs w:val="20"/>
        </w:rPr>
        <w:lastRenderedPageBreak/>
        <w:t xml:space="preserve">Convención a la luz de la situación vigente al momento en el que se pronuncia sobre la admisibilidad o inadmisibilidad. </w:t>
      </w:r>
    </w:p>
    <w:p w:rsidR="00597181" w:rsidRPr="00597181" w:rsidRDefault="00597181" w:rsidP="00597181">
      <w:pPr>
        <w:pStyle w:val="ListParagraph"/>
        <w:rPr>
          <w:rFonts w:ascii="Verdana" w:hAnsi="Verdana" w:cs="Arial"/>
          <w:sz w:val="20"/>
          <w:szCs w:val="20"/>
        </w:rPr>
      </w:pPr>
    </w:p>
    <w:p w:rsidR="00597181" w:rsidRPr="00597181"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VE"/>
        </w:rPr>
      </w:pPr>
      <w:r w:rsidRPr="00597181">
        <w:rPr>
          <w:rFonts w:ascii="Verdana" w:hAnsi="Verdana"/>
          <w:sz w:val="20"/>
          <w:szCs w:val="20"/>
        </w:rPr>
        <w:t>En cuarto lugar, los representantes plantearon que se había configurado la excepción contenida en el artículo 46.2.b de la Convención, dado que en el presente caso el Perú no tomó las medidas adecuadas para remediar las violaciones denunciadas en el momento de la denuncia inicial, ni posteriormente, sin que hasta la actualidad se haya satisfecho el derecho de las víctimas a la verdad, justicia y reparación. Además, alegaron que los familiares de las presuntas víctimas ya tenían</w:t>
      </w:r>
      <w:r w:rsidRPr="00597181">
        <w:rPr>
          <w:rFonts w:ascii="Verdana" w:hAnsi="Verdana"/>
          <w:sz w:val="20"/>
          <w:szCs w:val="20"/>
          <w:lang w:val="es-VE"/>
        </w:rPr>
        <w:t xml:space="preserve"> la certeza de que los recursos presentados serían inefectivos </w:t>
      </w:r>
      <w:r w:rsidRPr="00597181">
        <w:rPr>
          <w:rFonts w:ascii="Verdana" w:hAnsi="Verdana"/>
          <w:sz w:val="20"/>
          <w:szCs w:val="20"/>
        </w:rPr>
        <w:t>antes que la Comisión decidiera sobre la admisibilidad.</w:t>
      </w:r>
    </w:p>
    <w:p w:rsidR="00DD356C" w:rsidRPr="002964A7" w:rsidRDefault="00DD356C" w:rsidP="00DD356C">
      <w:pPr>
        <w:autoSpaceDE w:val="0"/>
        <w:autoSpaceDN w:val="0"/>
        <w:adjustRightInd w:val="0"/>
        <w:spacing w:after="0" w:line="240" w:lineRule="auto"/>
        <w:ind w:right="15"/>
        <w:jc w:val="both"/>
        <w:rPr>
          <w:rFonts w:ascii="Verdana" w:eastAsia="Calibri" w:hAnsi="Verdana"/>
          <w:sz w:val="20"/>
          <w:szCs w:val="20"/>
        </w:rPr>
      </w:pPr>
    </w:p>
    <w:p w:rsidR="00DD356C" w:rsidRPr="001154F9"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cs="Arial"/>
          <w:b/>
          <w:sz w:val="20"/>
          <w:szCs w:val="20"/>
        </w:rPr>
      </w:pPr>
      <w:r w:rsidRPr="002964A7">
        <w:rPr>
          <w:rFonts w:ascii="Verdana" w:hAnsi="Verdana" w:cs="Arial"/>
          <w:sz w:val="20"/>
          <w:szCs w:val="20"/>
        </w:rPr>
        <w:t xml:space="preserve">En quinto lugar, los representantes afirmaron que se configuro la excepción al requisito de previo agotamiento de recursos internos contenida en el artículo 46.2.c de la Convención. Señalaron que no es controvertido que en 1991 se presentaron al menos siete denuncias por los hechos, </w:t>
      </w:r>
      <w:r w:rsidRPr="002964A7">
        <w:rPr>
          <w:rFonts w:ascii="Verdana" w:hAnsi="Verdana"/>
          <w:sz w:val="20"/>
          <w:szCs w:val="20"/>
        </w:rPr>
        <w:t>además</w:t>
      </w:r>
      <w:r w:rsidRPr="002964A7">
        <w:rPr>
          <w:rFonts w:ascii="Verdana" w:hAnsi="Verdana" w:cs="Arial"/>
          <w:sz w:val="20"/>
          <w:szCs w:val="20"/>
        </w:rPr>
        <w:t xml:space="preserve"> de dos recursos de </w:t>
      </w:r>
      <w:r w:rsidRPr="002964A7">
        <w:rPr>
          <w:rFonts w:ascii="Verdana" w:hAnsi="Verdana" w:cs="Arial"/>
          <w:i/>
          <w:sz w:val="20"/>
          <w:szCs w:val="20"/>
        </w:rPr>
        <w:t>habeas corpus</w:t>
      </w:r>
      <w:r w:rsidRPr="002964A7">
        <w:rPr>
          <w:rFonts w:ascii="Verdana" w:hAnsi="Verdana" w:cs="Arial"/>
          <w:sz w:val="20"/>
          <w:szCs w:val="20"/>
        </w:rPr>
        <w:t xml:space="preserve"> que fueron desestimados. Asimismo, identificaron que se habían iniciado dos procesos penales, uno en jurisdicción militar en 1991 y otro en la ordinaria en 1992, y que este último fue archivado por la aplicación de la Ley de Amnistía, siendo recién en 2005 que se dispuso reabrir el </w:t>
      </w:r>
      <w:r w:rsidRPr="002964A7">
        <w:rPr>
          <w:rFonts w:ascii="Verdana" w:hAnsi="Verdana"/>
          <w:sz w:val="20"/>
          <w:szCs w:val="20"/>
        </w:rPr>
        <w:t>caso</w:t>
      </w:r>
      <w:r w:rsidRPr="002964A7">
        <w:rPr>
          <w:rFonts w:ascii="Verdana" w:hAnsi="Verdana" w:cs="Arial"/>
          <w:sz w:val="20"/>
          <w:szCs w:val="20"/>
        </w:rPr>
        <w:t>.</w:t>
      </w:r>
      <w:r w:rsidRPr="002964A7">
        <w:rPr>
          <w:rFonts w:ascii="Verdana" w:hAnsi="Verdana" w:cs="Arial"/>
          <w:b/>
          <w:sz w:val="20"/>
          <w:szCs w:val="20"/>
        </w:rPr>
        <w:t xml:space="preserve"> </w:t>
      </w:r>
      <w:r w:rsidRPr="002964A7">
        <w:rPr>
          <w:rFonts w:ascii="Verdana" w:hAnsi="Verdana" w:cs="Arial"/>
          <w:sz w:val="20"/>
          <w:szCs w:val="20"/>
        </w:rPr>
        <w:t xml:space="preserve">Igualmente, señalaron que al momento de la emisión del Informe de Admisibilidad y Fondo existían dos procesos penales en curso, y que este caso fue presentado ante la Corte “por la falta de avances en la implementación de las recomendaciones de la [Comisión] por parte del Estado”. Así, dicha demora procesal, estrechamente vinculada al fondo del caso, había “drásticamente excedi[do] cualquier plazo razonable </w:t>
      </w:r>
      <w:r w:rsidR="00DD76D2" w:rsidRPr="002964A7">
        <w:rPr>
          <w:rFonts w:ascii="Verdana" w:hAnsi="Verdana" w:cs="Arial"/>
          <w:sz w:val="20"/>
          <w:szCs w:val="20"/>
        </w:rPr>
        <w:t>[…]</w:t>
      </w:r>
      <w:r w:rsidRPr="002964A7">
        <w:rPr>
          <w:rFonts w:ascii="Verdana" w:hAnsi="Verdana" w:cs="Arial"/>
          <w:sz w:val="20"/>
          <w:szCs w:val="20"/>
        </w:rPr>
        <w:t>”. En sus alegatos finales escritos, los representantes sostuvieron, además, que esta excepción preliminar es incompatible con el reconocimiento de responsabilidad efectuado por el Estado, ya que dicho reconocimiento implica en principio la aceptación de la competencia del Tribunal.</w:t>
      </w:r>
    </w:p>
    <w:p w:rsidR="00DD356C" w:rsidRPr="002964A7" w:rsidRDefault="00DD356C" w:rsidP="001154F9">
      <w:pPr>
        <w:pStyle w:val="Heading3"/>
        <w:rPr>
          <w:rFonts w:eastAsia="Calibri"/>
          <w:lang w:val="es-CO"/>
        </w:rPr>
      </w:pPr>
      <w:bookmarkStart w:id="69" w:name="_Toc421864929"/>
      <w:bookmarkStart w:id="70" w:name="_Toc423102510"/>
      <w:bookmarkStart w:id="71" w:name="_Toc433387464"/>
      <w:r w:rsidRPr="002964A7">
        <w:rPr>
          <w:rFonts w:eastAsia="Calibri"/>
          <w:lang w:val="es-CO"/>
        </w:rPr>
        <w:t>A.2. Consideraciones de la Corte</w:t>
      </w:r>
      <w:bookmarkEnd w:id="69"/>
      <w:bookmarkEnd w:id="70"/>
      <w:bookmarkEnd w:id="71"/>
      <w:r w:rsidRPr="002964A7">
        <w:rPr>
          <w:rFonts w:eastAsia="Calibri"/>
          <w:lang w:val="es-CO"/>
        </w:rPr>
        <w:t xml:space="preserve"> </w:t>
      </w:r>
    </w:p>
    <w:p w:rsidR="00DD356C" w:rsidRPr="002964A7" w:rsidRDefault="00DD356C" w:rsidP="00DD356C">
      <w:pPr>
        <w:autoSpaceDE w:val="0"/>
        <w:autoSpaceDN w:val="0"/>
        <w:adjustRightInd w:val="0"/>
        <w:spacing w:after="0" w:line="240" w:lineRule="auto"/>
        <w:ind w:right="15"/>
        <w:jc w:val="both"/>
        <w:rPr>
          <w:rFonts w:ascii="Verdana" w:eastAsia="Calibri" w:hAnsi="Verdana" w:cs="Arial"/>
          <w:b/>
          <w:sz w:val="20"/>
          <w:szCs w:val="20"/>
          <w:lang w:val="es-CO"/>
        </w:rPr>
      </w:pPr>
    </w:p>
    <w:p w:rsidR="00DD356C" w:rsidRPr="002964A7"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bookmarkStart w:id="72" w:name="_Ref419395286"/>
      <w:r w:rsidRPr="002964A7">
        <w:rPr>
          <w:rFonts w:ascii="Verdana" w:hAnsi="Verdana"/>
          <w:sz w:val="20"/>
          <w:szCs w:val="20"/>
        </w:rPr>
        <w:t xml:space="preserve">El artículo 46.1.a de la Convención Americana dispone que para determinar la admisibilidad de una petición o comunicación presentada ante la Comisión Interamericana, de conformidad con </w:t>
      </w:r>
      <w:r w:rsidRPr="002964A7">
        <w:rPr>
          <w:rFonts w:ascii="Verdana" w:hAnsi="Verdana" w:cs="Arial"/>
          <w:sz w:val="20"/>
          <w:szCs w:val="20"/>
        </w:rPr>
        <w:t>los</w:t>
      </w:r>
      <w:r w:rsidRPr="002964A7">
        <w:rPr>
          <w:rFonts w:ascii="Verdana" w:hAnsi="Verdana"/>
          <w:sz w:val="20"/>
          <w:szCs w:val="20"/>
        </w:rPr>
        <w:t xml:space="preserve"> artículos 44 o 45 de la Convención, es necesario que se hayan interpuesto y agotado los recursos de la jurisdicción interna, conforme a los principios del Derecho Internacional generalmente reconocidos</w:t>
      </w:r>
      <w:r w:rsidRPr="002964A7">
        <w:rPr>
          <w:rStyle w:val="FootnoteReference"/>
          <w:rFonts w:eastAsiaTheme="minorHAnsi"/>
          <w:szCs w:val="20"/>
        </w:rPr>
        <w:footnoteReference w:id="18"/>
      </w:r>
      <w:r w:rsidRPr="002964A7">
        <w:rPr>
          <w:rFonts w:ascii="Verdana" w:hAnsi="Verdana"/>
          <w:sz w:val="20"/>
          <w:szCs w:val="20"/>
        </w:rPr>
        <w:t>. En este sentido, la Corte ha sostenido que una objeción al ejercicio de su jurisdicción basada en la supuesta falta de agotamiento de los recursos internos debe ser presentada en el momento procesal oportuno, esto es, durante el procedimiento de admisibilidad ante la Comisión</w:t>
      </w:r>
      <w:r w:rsidRPr="002964A7">
        <w:rPr>
          <w:rStyle w:val="FootnoteReference"/>
          <w:rFonts w:eastAsiaTheme="minorHAnsi"/>
          <w:szCs w:val="20"/>
        </w:rPr>
        <w:footnoteReference w:id="19"/>
      </w:r>
      <w:r w:rsidRPr="002964A7">
        <w:rPr>
          <w:rFonts w:ascii="Verdana" w:hAnsi="Verdana"/>
          <w:sz w:val="20"/>
          <w:szCs w:val="20"/>
        </w:rPr>
        <w:t>.</w:t>
      </w:r>
      <w:bookmarkEnd w:id="72"/>
    </w:p>
    <w:p w:rsidR="00DD356C" w:rsidRPr="002964A7" w:rsidRDefault="00DD356C" w:rsidP="00DD356C">
      <w:pPr>
        <w:pStyle w:val="Estilo5"/>
        <w:spacing w:after="0" w:line="240" w:lineRule="auto"/>
        <w:rPr>
          <w:sz w:val="20"/>
          <w:szCs w:val="20"/>
        </w:rPr>
      </w:pPr>
    </w:p>
    <w:p w:rsidR="00DD356C" w:rsidRPr="002964A7"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rPr>
        <w:t xml:space="preserve">En este caso, dentro del procedimiento de admisibilidad ante la Comisión, mediante comunicaciones recibidas por </w:t>
      </w:r>
      <w:r w:rsidR="0018089A">
        <w:rPr>
          <w:rFonts w:ascii="Verdana" w:hAnsi="Verdana"/>
          <w:sz w:val="20"/>
          <w:szCs w:val="20"/>
        </w:rPr>
        <w:t>e</w:t>
      </w:r>
      <w:r w:rsidRPr="002964A7">
        <w:rPr>
          <w:rFonts w:ascii="Verdana" w:hAnsi="Verdana"/>
          <w:sz w:val="20"/>
          <w:szCs w:val="20"/>
        </w:rPr>
        <w:t>sta en fechas de 21 de septiembre de 1992 y 25 de enero, 21 de marzo y 17 de mayo de 2011, el Estado alegó que no se había cumplido con el requisito de agotamiento de recursos internos</w:t>
      </w:r>
      <w:r w:rsidRPr="002964A7">
        <w:rPr>
          <w:rStyle w:val="FootnoteReference"/>
          <w:rFonts w:eastAsiaTheme="minorHAnsi"/>
          <w:szCs w:val="20"/>
        </w:rPr>
        <w:footnoteReference w:id="20"/>
      </w:r>
      <w:r w:rsidRPr="002964A7">
        <w:rPr>
          <w:rFonts w:ascii="Verdana" w:hAnsi="Verdana"/>
          <w:sz w:val="20"/>
          <w:szCs w:val="20"/>
        </w:rPr>
        <w:t xml:space="preserve">. </w:t>
      </w:r>
      <w:r w:rsidR="003558CE">
        <w:rPr>
          <w:rFonts w:ascii="Verdana" w:hAnsi="Verdana"/>
          <w:sz w:val="20"/>
          <w:szCs w:val="20"/>
        </w:rPr>
        <w:t>Posteriormente, e</w:t>
      </w:r>
      <w:r w:rsidR="003558CE" w:rsidRPr="002964A7">
        <w:rPr>
          <w:rFonts w:ascii="Verdana" w:hAnsi="Verdana"/>
          <w:sz w:val="20"/>
          <w:szCs w:val="20"/>
        </w:rPr>
        <w:t xml:space="preserve">l </w:t>
      </w:r>
      <w:r w:rsidRPr="002964A7">
        <w:rPr>
          <w:rFonts w:ascii="Verdana" w:hAnsi="Verdana"/>
          <w:sz w:val="20"/>
          <w:szCs w:val="20"/>
        </w:rPr>
        <w:t xml:space="preserve">Informe de </w:t>
      </w:r>
      <w:r w:rsidRPr="002964A7">
        <w:rPr>
          <w:rFonts w:ascii="Verdana" w:hAnsi="Verdana"/>
          <w:sz w:val="20"/>
          <w:szCs w:val="20"/>
        </w:rPr>
        <w:lastRenderedPageBreak/>
        <w:t xml:space="preserve">Admisibilidad y Fondo de la Comisión fue </w:t>
      </w:r>
      <w:r w:rsidR="00CF182D">
        <w:rPr>
          <w:rFonts w:ascii="Verdana" w:hAnsi="Verdana"/>
          <w:sz w:val="20"/>
          <w:szCs w:val="20"/>
        </w:rPr>
        <w:t xml:space="preserve">emitido </w:t>
      </w:r>
      <w:r w:rsidRPr="002964A7">
        <w:rPr>
          <w:rFonts w:ascii="Verdana" w:hAnsi="Verdana"/>
          <w:sz w:val="20"/>
          <w:szCs w:val="20"/>
        </w:rPr>
        <w:t xml:space="preserve">el </w:t>
      </w:r>
      <w:r w:rsidR="00CF182D">
        <w:rPr>
          <w:rFonts w:ascii="Verdana" w:hAnsi="Verdana"/>
          <w:sz w:val="20"/>
          <w:szCs w:val="20"/>
        </w:rPr>
        <w:t xml:space="preserve">21 </w:t>
      </w:r>
      <w:r w:rsidRPr="002964A7">
        <w:rPr>
          <w:rFonts w:ascii="Verdana" w:hAnsi="Verdana"/>
          <w:sz w:val="20"/>
          <w:szCs w:val="20"/>
        </w:rPr>
        <w:t xml:space="preserve">de </w:t>
      </w:r>
      <w:r w:rsidR="00CF182D">
        <w:rPr>
          <w:rFonts w:ascii="Verdana" w:hAnsi="Verdana"/>
          <w:sz w:val="20"/>
          <w:szCs w:val="20"/>
        </w:rPr>
        <w:t>julio</w:t>
      </w:r>
      <w:r w:rsidRPr="002964A7">
        <w:rPr>
          <w:rFonts w:ascii="Verdana" w:hAnsi="Verdana"/>
          <w:sz w:val="20"/>
          <w:szCs w:val="20"/>
        </w:rPr>
        <w:t xml:space="preserve"> de 2011. Por tanto, la presente excepción preliminar fue planteada en el momento procesal oportuno.</w:t>
      </w:r>
    </w:p>
    <w:p w:rsidR="00DD356C" w:rsidRPr="002964A7" w:rsidRDefault="00DD356C" w:rsidP="00DD356C">
      <w:pPr>
        <w:autoSpaceDE w:val="0"/>
        <w:autoSpaceDN w:val="0"/>
        <w:adjustRightInd w:val="0"/>
        <w:spacing w:after="0" w:line="240" w:lineRule="auto"/>
        <w:ind w:right="15"/>
        <w:jc w:val="both"/>
        <w:rPr>
          <w:rFonts w:ascii="Verdana" w:eastAsia="Calibri" w:hAnsi="Verdana" w:cs="Arial"/>
          <w:b/>
          <w:sz w:val="20"/>
          <w:szCs w:val="20"/>
          <w:lang w:val="es-MX"/>
        </w:rPr>
      </w:pPr>
    </w:p>
    <w:p w:rsidR="0041252F" w:rsidRPr="0041252F" w:rsidRDefault="00DD356C"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PR"/>
        </w:rPr>
      </w:pPr>
      <w:r w:rsidRPr="002964A7">
        <w:rPr>
          <w:rFonts w:ascii="Verdana" w:hAnsi="Verdana"/>
          <w:sz w:val="20"/>
          <w:szCs w:val="20"/>
          <w:lang w:val="es-ES"/>
        </w:rPr>
        <w:t xml:space="preserve">Sin perjuicio de ello, en primer lugar, el Tribunal recuerda que las excepciones preliminares </w:t>
      </w:r>
      <w:r w:rsidRPr="002964A7">
        <w:rPr>
          <w:rFonts w:ascii="Verdana" w:hAnsi="Verdana"/>
          <w:bCs/>
          <w:sz w:val="20"/>
          <w:szCs w:val="20"/>
          <w:lang w:val="es-ES"/>
        </w:rPr>
        <w:t>no pueden limitar, contradecir o vaciar de contenido el reconocimiento de responsabilidad</w:t>
      </w:r>
      <w:r w:rsidRPr="002964A7">
        <w:rPr>
          <w:rFonts w:ascii="Verdana" w:hAnsi="Verdana"/>
          <w:sz w:val="20"/>
          <w:szCs w:val="20"/>
          <w:lang w:val="es-ES"/>
        </w:rPr>
        <w:t xml:space="preserve"> de un Estado</w:t>
      </w:r>
      <w:r w:rsidRPr="002964A7">
        <w:rPr>
          <w:rFonts w:ascii="Verdana" w:hAnsi="Verdana"/>
          <w:sz w:val="20"/>
          <w:szCs w:val="20"/>
          <w:vertAlign w:val="superscript"/>
          <w:lang w:val="es-ES"/>
        </w:rPr>
        <w:footnoteReference w:id="21"/>
      </w:r>
      <w:r w:rsidRPr="002964A7">
        <w:rPr>
          <w:rFonts w:ascii="Verdana" w:hAnsi="Verdana"/>
          <w:sz w:val="20"/>
          <w:szCs w:val="20"/>
          <w:lang w:val="es-ES"/>
        </w:rPr>
        <w:t xml:space="preserve">. En este sentido, </w:t>
      </w:r>
      <w:r w:rsidRPr="002964A7">
        <w:rPr>
          <w:rFonts w:ascii="Verdana" w:hAnsi="Verdana"/>
          <w:sz w:val="20"/>
          <w:szCs w:val="20"/>
        </w:rPr>
        <w:t xml:space="preserve">la Corte hace notar que la excepción preliminar de falta agotamiento de recursos internos interpuesta por el </w:t>
      </w:r>
      <w:r w:rsidR="00280CFC">
        <w:rPr>
          <w:rFonts w:ascii="Verdana" w:hAnsi="Verdana"/>
          <w:sz w:val="20"/>
          <w:szCs w:val="20"/>
        </w:rPr>
        <w:t>Perú</w:t>
      </w:r>
      <w:r w:rsidR="00280CFC" w:rsidRPr="002964A7">
        <w:rPr>
          <w:rFonts w:ascii="Verdana" w:hAnsi="Verdana"/>
          <w:sz w:val="20"/>
          <w:szCs w:val="20"/>
        </w:rPr>
        <w:t xml:space="preserve"> </w:t>
      </w:r>
      <w:r w:rsidRPr="002964A7">
        <w:rPr>
          <w:rFonts w:ascii="Verdana" w:hAnsi="Verdana"/>
          <w:sz w:val="20"/>
          <w:szCs w:val="20"/>
        </w:rPr>
        <w:t>no resultaría compatible con el reconocimiento parcial de responsabilidad efectuado en el presente caso (</w:t>
      </w:r>
      <w:r w:rsidRPr="002964A7">
        <w:rPr>
          <w:rFonts w:ascii="Verdana" w:hAnsi="Verdana"/>
          <w:i/>
          <w:sz w:val="20"/>
          <w:szCs w:val="20"/>
        </w:rPr>
        <w:t xml:space="preserve">supra </w:t>
      </w:r>
      <w:r w:rsidRPr="002964A7">
        <w:rPr>
          <w:rFonts w:ascii="Verdana" w:hAnsi="Verdana"/>
          <w:sz w:val="20"/>
          <w:szCs w:val="20"/>
        </w:rPr>
        <w:t>párr</w:t>
      </w:r>
      <w:r w:rsidR="00597181">
        <w:rPr>
          <w:rFonts w:ascii="Verdana" w:hAnsi="Verdana"/>
          <w:sz w:val="20"/>
          <w:szCs w:val="20"/>
        </w:rPr>
        <w:t xml:space="preserve">s. </w:t>
      </w:r>
      <w:r w:rsidR="00CF597C">
        <w:rPr>
          <w:rFonts w:ascii="Verdana" w:hAnsi="Verdana"/>
          <w:sz w:val="20"/>
          <w:szCs w:val="20"/>
        </w:rPr>
        <w:t>23</w:t>
      </w:r>
      <w:r w:rsidR="00597181">
        <w:rPr>
          <w:rFonts w:ascii="Verdana" w:hAnsi="Verdana"/>
          <w:sz w:val="20"/>
          <w:szCs w:val="20"/>
        </w:rPr>
        <w:t xml:space="preserve"> a </w:t>
      </w:r>
      <w:r w:rsidR="00CF597C">
        <w:rPr>
          <w:rFonts w:ascii="Verdana" w:hAnsi="Verdana"/>
          <w:sz w:val="20"/>
          <w:szCs w:val="20"/>
        </w:rPr>
        <w:t>33</w:t>
      </w:r>
      <w:r w:rsidRPr="002964A7">
        <w:rPr>
          <w:rFonts w:ascii="Verdana" w:hAnsi="Verdana"/>
          <w:sz w:val="20"/>
          <w:szCs w:val="20"/>
        </w:rPr>
        <w:t xml:space="preserve">), ya que, de declararse procedente, sustraería todos los hechos y violaciones admitidas por </w:t>
      </w:r>
      <w:r w:rsidR="0018089A">
        <w:rPr>
          <w:rFonts w:ascii="Verdana" w:hAnsi="Verdana"/>
          <w:sz w:val="20"/>
          <w:szCs w:val="20"/>
        </w:rPr>
        <w:t>e</w:t>
      </w:r>
      <w:r w:rsidRPr="002964A7">
        <w:rPr>
          <w:rFonts w:ascii="Verdana" w:hAnsi="Verdana"/>
          <w:sz w:val="20"/>
          <w:szCs w:val="20"/>
        </w:rPr>
        <w:t xml:space="preserve">ste de la jurisdicción del Tribunal. </w:t>
      </w:r>
    </w:p>
    <w:p w:rsidR="0041252F" w:rsidRPr="0041252F" w:rsidRDefault="0041252F" w:rsidP="0041252F">
      <w:pPr>
        <w:pStyle w:val="ListParagraph"/>
        <w:rPr>
          <w:rFonts w:ascii="Verdana" w:hAnsi="Verdana"/>
          <w:sz w:val="20"/>
          <w:szCs w:val="20"/>
        </w:rPr>
      </w:pPr>
    </w:p>
    <w:p w:rsidR="00DD356C" w:rsidRPr="002964A7" w:rsidRDefault="00AF5F6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PR"/>
        </w:rPr>
      </w:pPr>
      <w:r>
        <w:rPr>
          <w:rFonts w:ascii="Verdana" w:hAnsi="Verdana"/>
          <w:sz w:val="20"/>
          <w:szCs w:val="20"/>
        </w:rPr>
        <w:t xml:space="preserve">Aunado a ello, </w:t>
      </w:r>
      <w:r w:rsidR="00DD356C" w:rsidRPr="002964A7">
        <w:rPr>
          <w:rFonts w:ascii="Verdana" w:hAnsi="Verdana"/>
          <w:sz w:val="20"/>
          <w:szCs w:val="20"/>
        </w:rPr>
        <w:t xml:space="preserve">la Corte recuerda que, para que proceda una excepción preliminar </w:t>
      </w:r>
      <w:r w:rsidR="00597181">
        <w:rPr>
          <w:rFonts w:ascii="Verdana" w:hAnsi="Verdana"/>
          <w:sz w:val="20"/>
          <w:szCs w:val="20"/>
        </w:rPr>
        <w:t>sobre</w:t>
      </w:r>
      <w:r w:rsidR="00DD356C" w:rsidRPr="002964A7">
        <w:rPr>
          <w:rFonts w:ascii="Verdana" w:hAnsi="Verdana"/>
          <w:sz w:val="20"/>
          <w:szCs w:val="20"/>
        </w:rPr>
        <w:t xml:space="preserve"> la falta de </w:t>
      </w:r>
      <w:r w:rsidR="00DD356C" w:rsidRPr="002964A7">
        <w:rPr>
          <w:rFonts w:ascii="Verdana" w:eastAsia="Batang" w:hAnsi="Verdana"/>
          <w:spacing w:val="-4"/>
          <w:sz w:val="20"/>
          <w:szCs w:val="20"/>
          <w:lang w:eastAsia="es-MX"/>
        </w:rPr>
        <w:t>agotamiento</w:t>
      </w:r>
      <w:r w:rsidR="00DD356C" w:rsidRPr="002964A7">
        <w:rPr>
          <w:rFonts w:ascii="Verdana" w:hAnsi="Verdana"/>
          <w:sz w:val="20"/>
          <w:szCs w:val="20"/>
        </w:rPr>
        <w:t xml:space="preserve"> de los recursos internos, el Estado que presenta esta excepción debe especificar los recursos internos que aún no se han agotado, y demostrar que estos recursos se encontraban disponibles y eran adecuados, idóneos y efectivos</w:t>
      </w:r>
      <w:r w:rsidR="00DD356C" w:rsidRPr="002964A7">
        <w:rPr>
          <w:rFonts w:ascii="Verdana" w:hAnsi="Verdana"/>
          <w:sz w:val="20"/>
          <w:szCs w:val="20"/>
          <w:vertAlign w:val="superscript"/>
          <w:lang w:val="en-US"/>
        </w:rPr>
        <w:footnoteReference w:id="22"/>
      </w:r>
      <w:r w:rsidR="00DD356C" w:rsidRPr="002964A7">
        <w:rPr>
          <w:rFonts w:ascii="Verdana" w:hAnsi="Verdana"/>
          <w:sz w:val="20"/>
          <w:szCs w:val="20"/>
        </w:rPr>
        <w:t xml:space="preserve">. De esta forma, no es tarea de la Corte, ni de la Comisión, identificar </w:t>
      </w:r>
      <w:r w:rsidR="00DD356C" w:rsidRPr="002964A7">
        <w:rPr>
          <w:rFonts w:ascii="Verdana" w:hAnsi="Verdana"/>
          <w:i/>
          <w:iCs/>
          <w:sz w:val="20"/>
          <w:szCs w:val="20"/>
        </w:rPr>
        <w:t xml:space="preserve">ex officio </w:t>
      </w:r>
      <w:r w:rsidR="00DD356C" w:rsidRPr="002964A7">
        <w:rPr>
          <w:rFonts w:ascii="Verdana" w:hAnsi="Verdana"/>
          <w:sz w:val="20"/>
          <w:szCs w:val="20"/>
        </w:rPr>
        <w:t>cuáles son los recursos internos pendientes de agotamiento. El Tribunal resalta que no compete a los órganos internacionales subsanar la falta de precisión de los alegatos del Estado</w:t>
      </w:r>
      <w:r w:rsidR="00DD356C" w:rsidRPr="002964A7">
        <w:rPr>
          <w:rFonts w:ascii="Verdana" w:hAnsi="Verdana"/>
          <w:sz w:val="20"/>
          <w:szCs w:val="20"/>
          <w:vertAlign w:val="superscript"/>
          <w:lang w:val="en-US"/>
        </w:rPr>
        <w:footnoteReference w:id="23"/>
      </w:r>
      <w:r w:rsidR="00DD356C" w:rsidRPr="002964A7">
        <w:rPr>
          <w:rFonts w:ascii="Verdana" w:hAnsi="Verdana"/>
          <w:sz w:val="20"/>
          <w:szCs w:val="20"/>
        </w:rPr>
        <w:t>.</w:t>
      </w:r>
      <w:r w:rsidRPr="00AF5F6E">
        <w:rPr>
          <w:rFonts w:ascii="Verdana" w:hAnsi="Verdana"/>
          <w:sz w:val="20"/>
          <w:szCs w:val="20"/>
        </w:rPr>
        <w:t xml:space="preserve"> </w:t>
      </w:r>
      <w:r>
        <w:rPr>
          <w:rFonts w:ascii="Verdana" w:hAnsi="Verdana"/>
          <w:sz w:val="20"/>
          <w:szCs w:val="20"/>
        </w:rPr>
        <w:t>Al respecto, la Corte constata que</w:t>
      </w:r>
      <w:r w:rsidRPr="002964A7">
        <w:rPr>
          <w:rFonts w:ascii="Verdana" w:hAnsi="Verdana"/>
          <w:sz w:val="20"/>
          <w:szCs w:val="20"/>
        </w:rPr>
        <w:t xml:space="preserve"> el Perú no especificó por qué los recursos</w:t>
      </w:r>
      <w:r>
        <w:rPr>
          <w:rFonts w:ascii="Verdana" w:hAnsi="Verdana"/>
          <w:sz w:val="20"/>
          <w:szCs w:val="20"/>
        </w:rPr>
        <w:t xml:space="preserve"> o procesos</w:t>
      </w:r>
      <w:r w:rsidRPr="002964A7">
        <w:rPr>
          <w:rFonts w:ascii="Verdana" w:hAnsi="Verdana"/>
          <w:sz w:val="20"/>
          <w:szCs w:val="20"/>
        </w:rPr>
        <w:t xml:space="preserve"> mencionados </w:t>
      </w:r>
      <w:r>
        <w:rPr>
          <w:rFonts w:ascii="Verdana" w:hAnsi="Verdana"/>
          <w:sz w:val="20"/>
          <w:szCs w:val="20"/>
        </w:rPr>
        <w:t>en sus escritos de 21 de septiembre de 1992</w:t>
      </w:r>
      <w:r w:rsidR="00280CFC">
        <w:rPr>
          <w:rStyle w:val="FootnoteReference"/>
          <w:rFonts w:eastAsiaTheme="minorHAnsi"/>
          <w:szCs w:val="20"/>
        </w:rPr>
        <w:footnoteReference w:id="24"/>
      </w:r>
      <w:r>
        <w:rPr>
          <w:rFonts w:ascii="Verdana" w:hAnsi="Verdana"/>
          <w:sz w:val="20"/>
          <w:szCs w:val="20"/>
        </w:rPr>
        <w:t xml:space="preserve"> y </w:t>
      </w:r>
      <w:r w:rsidRPr="002964A7">
        <w:rPr>
          <w:rFonts w:ascii="Verdana" w:hAnsi="Verdana"/>
          <w:sz w:val="20"/>
          <w:szCs w:val="20"/>
        </w:rPr>
        <w:t>25 de enero, 21 de marzo y 17 de mayo de 2011</w:t>
      </w:r>
      <w:r w:rsidR="00280CFC">
        <w:rPr>
          <w:rStyle w:val="FootnoteReference"/>
          <w:rFonts w:eastAsiaTheme="minorHAnsi"/>
          <w:szCs w:val="20"/>
        </w:rPr>
        <w:footnoteReference w:id="25"/>
      </w:r>
      <w:r w:rsidRPr="002964A7">
        <w:rPr>
          <w:rFonts w:ascii="Verdana" w:hAnsi="Verdana"/>
          <w:sz w:val="20"/>
          <w:szCs w:val="20"/>
        </w:rPr>
        <w:t xml:space="preserve"> serían, a su juicio, adecuados, idóneos y efectivos. Por tanto, la Corte considera que el Estado no cumplió con los requisitos </w:t>
      </w:r>
      <w:r w:rsidR="0049496A">
        <w:rPr>
          <w:rFonts w:ascii="Verdana" w:hAnsi="Verdana"/>
          <w:sz w:val="20"/>
          <w:szCs w:val="20"/>
        </w:rPr>
        <w:t>materiales</w:t>
      </w:r>
      <w:r w:rsidRPr="002964A7">
        <w:rPr>
          <w:rFonts w:ascii="Verdana" w:hAnsi="Verdana"/>
          <w:sz w:val="20"/>
          <w:szCs w:val="20"/>
        </w:rPr>
        <w:t xml:space="preserve"> para la presentación de esta excepción preliminar.</w:t>
      </w:r>
      <w:r w:rsidR="00280CFC">
        <w:rPr>
          <w:rFonts w:ascii="Verdana" w:hAnsi="Verdana"/>
          <w:sz w:val="20"/>
          <w:szCs w:val="20"/>
        </w:rPr>
        <w:t xml:space="preserve"> </w:t>
      </w:r>
      <w:r w:rsidR="00DD356C" w:rsidRPr="002964A7">
        <w:rPr>
          <w:rFonts w:ascii="Verdana" w:hAnsi="Verdana"/>
          <w:sz w:val="20"/>
          <w:szCs w:val="20"/>
          <w:lang w:val="es-ES_tradnl" w:eastAsia="es-ES"/>
        </w:rPr>
        <w:t xml:space="preserve">Por </w:t>
      </w:r>
      <w:r w:rsidR="00E023E5">
        <w:rPr>
          <w:rFonts w:ascii="Verdana" w:hAnsi="Verdana"/>
          <w:sz w:val="20"/>
          <w:szCs w:val="20"/>
          <w:lang w:val="es-ES_tradnl" w:eastAsia="es-ES"/>
        </w:rPr>
        <w:t>todo lo anterior</w:t>
      </w:r>
      <w:r w:rsidR="00DD356C" w:rsidRPr="002964A7">
        <w:rPr>
          <w:rFonts w:ascii="Verdana" w:hAnsi="Verdana"/>
          <w:sz w:val="20"/>
          <w:szCs w:val="20"/>
          <w:lang w:val="es-ES_tradnl" w:eastAsia="es-ES"/>
        </w:rPr>
        <w:t>, la Corte desestima la excepción preliminar</w:t>
      </w:r>
      <w:r w:rsidR="00A175DE">
        <w:rPr>
          <w:rFonts w:ascii="Verdana" w:hAnsi="Verdana"/>
          <w:sz w:val="20"/>
          <w:szCs w:val="20"/>
          <w:lang w:val="es-ES_tradnl" w:eastAsia="es-ES"/>
        </w:rPr>
        <w:t xml:space="preserve"> de falta de agotamiento de los recursos internos</w:t>
      </w:r>
      <w:r w:rsidR="00DD356C" w:rsidRPr="002964A7">
        <w:rPr>
          <w:rFonts w:ascii="Verdana" w:hAnsi="Verdana"/>
          <w:sz w:val="20"/>
          <w:szCs w:val="20"/>
          <w:lang w:val="es-ES_tradnl" w:eastAsia="es-ES"/>
        </w:rPr>
        <w:t>.</w:t>
      </w:r>
      <w:r w:rsidR="00DD356C" w:rsidRPr="002964A7">
        <w:rPr>
          <w:rFonts w:ascii="Verdana" w:hAnsi="Verdana"/>
          <w:sz w:val="20"/>
          <w:szCs w:val="20"/>
          <w:lang w:val="es-PR"/>
        </w:rPr>
        <w:t xml:space="preserve"> </w:t>
      </w:r>
    </w:p>
    <w:p w:rsidR="00DD356C" w:rsidRPr="003A4D8C" w:rsidRDefault="00DD356C" w:rsidP="00DD356C">
      <w:pPr>
        <w:pStyle w:val="Estilo5"/>
        <w:spacing w:after="0" w:line="240" w:lineRule="auto"/>
        <w:rPr>
          <w:sz w:val="16"/>
          <w:szCs w:val="20"/>
        </w:rPr>
      </w:pPr>
    </w:p>
    <w:p w:rsidR="00D10529" w:rsidRPr="002964A7" w:rsidRDefault="001154F9" w:rsidP="00836D0F">
      <w:pPr>
        <w:pStyle w:val="Heading3"/>
        <w:spacing w:line="240" w:lineRule="auto"/>
        <w:jc w:val="both"/>
        <w:rPr>
          <w:rFonts w:eastAsia="Calibri"/>
          <w:lang w:eastAsia="es-CR"/>
        </w:rPr>
      </w:pPr>
      <w:bookmarkStart w:id="73" w:name="_Toc421864930"/>
      <w:bookmarkStart w:id="74" w:name="_Toc423102511"/>
      <w:bookmarkStart w:id="75" w:name="_Toc433387465"/>
      <w:r>
        <w:rPr>
          <w:rFonts w:eastAsia="Calibri"/>
          <w:lang w:val="es-MX" w:eastAsia="es-CR"/>
        </w:rPr>
        <w:t>B.</w:t>
      </w:r>
      <w:r w:rsidR="00206B57" w:rsidRPr="002964A7">
        <w:rPr>
          <w:rFonts w:eastAsia="Calibri"/>
          <w:lang w:val="es-MX" w:eastAsia="es-CR"/>
        </w:rPr>
        <w:t xml:space="preserve"> </w:t>
      </w:r>
      <w:r w:rsidR="00D10529" w:rsidRPr="002964A7">
        <w:rPr>
          <w:rFonts w:eastAsia="Calibri"/>
          <w:lang w:eastAsia="es-CR"/>
        </w:rPr>
        <w:t xml:space="preserve">Excepción </w:t>
      </w:r>
      <w:r w:rsidR="00D10529" w:rsidRPr="002964A7">
        <w:rPr>
          <w:rFonts w:eastAsia="Calibri"/>
          <w:i/>
          <w:lang w:eastAsia="es-CR"/>
        </w:rPr>
        <w:t>ratione materiae</w:t>
      </w:r>
      <w:r w:rsidR="00D10529" w:rsidRPr="002964A7">
        <w:rPr>
          <w:rFonts w:eastAsia="Calibri"/>
          <w:lang w:eastAsia="es-CR"/>
        </w:rPr>
        <w:t xml:space="preserve"> respecto a la Convención Interamericana sobre Desaparición Forzada</w:t>
      </w:r>
      <w:bookmarkEnd w:id="73"/>
      <w:bookmarkEnd w:id="74"/>
      <w:r w:rsidR="00AF55CF">
        <w:rPr>
          <w:rFonts w:eastAsia="Calibri"/>
          <w:lang w:eastAsia="es-CR"/>
        </w:rPr>
        <w:t xml:space="preserve"> </w:t>
      </w:r>
      <w:r w:rsidR="00AF55CF" w:rsidRPr="002964A7">
        <w:rPr>
          <w:rFonts w:eastAsia="Calibri" w:cs="Arial"/>
          <w:lang w:val="es-ES_tradnl"/>
        </w:rPr>
        <w:t>de Personas</w:t>
      </w:r>
      <w:bookmarkEnd w:id="75"/>
    </w:p>
    <w:p w:rsidR="00D10529" w:rsidRPr="002964A7" w:rsidRDefault="00D10529" w:rsidP="001154F9">
      <w:pPr>
        <w:pStyle w:val="Heading3"/>
        <w:rPr>
          <w:rFonts w:eastAsia="Calibri"/>
          <w:lang w:val="es-CO" w:eastAsia="es-CR"/>
        </w:rPr>
      </w:pPr>
      <w:bookmarkStart w:id="76" w:name="_Toc421864931"/>
      <w:bookmarkStart w:id="77" w:name="_Toc423102512"/>
      <w:bookmarkStart w:id="78" w:name="_Toc433387466"/>
      <w:r w:rsidRPr="002964A7">
        <w:rPr>
          <w:rFonts w:eastAsia="Calibri"/>
          <w:lang w:val="es-CO" w:eastAsia="es-CR"/>
        </w:rPr>
        <w:t>B.1. Argumentos de las partes</w:t>
      </w:r>
      <w:bookmarkEnd w:id="76"/>
      <w:bookmarkEnd w:id="77"/>
      <w:bookmarkEnd w:id="78"/>
      <w:r w:rsidR="001D3F9A">
        <w:rPr>
          <w:rFonts w:eastAsia="Calibri"/>
          <w:lang w:val="es-CO" w:eastAsia="es-CR"/>
        </w:rPr>
        <w:t xml:space="preserve"> y la Comisión</w:t>
      </w:r>
    </w:p>
    <w:p w:rsidR="00D10529" w:rsidRPr="002964A7" w:rsidRDefault="00D10529" w:rsidP="003412BB">
      <w:pPr>
        <w:spacing w:after="0" w:line="240" w:lineRule="auto"/>
        <w:ind w:left="851" w:hanging="851"/>
        <w:jc w:val="both"/>
        <w:rPr>
          <w:rFonts w:ascii="Verdana" w:eastAsia="Calibri" w:hAnsi="Verdana" w:cs="Arial"/>
          <w:b/>
          <w:sz w:val="20"/>
          <w:szCs w:val="20"/>
          <w:lang w:val="es-CO" w:eastAsia="es-CR"/>
        </w:rPr>
      </w:pPr>
    </w:p>
    <w:p w:rsidR="00D10529" w:rsidRPr="002964A7" w:rsidRDefault="00D10529"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z w:val="20"/>
          <w:szCs w:val="20"/>
          <w:lang w:val="es-ES_tradnl"/>
        </w:rPr>
      </w:pPr>
      <w:r w:rsidRPr="002964A7">
        <w:rPr>
          <w:rFonts w:ascii="Verdana" w:eastAsia="Calibri" w:hAnsi="Verdana" w:cs="Arial"/>
          <w:sz w:val="20"/>
          <w:szCs w:val="20"/>
          <w:lang w:val="es-ES_tradnl"/>
        </w:rPr>
        <w:t xml:space="preserve">El </w:t>
      </w:r>
      <w:r w:rsidRPr="002964A7">
        <w:rPr>
          <w:rFonts w:ascii="Verdana" w:eastAsia="Calibri" w:hAnsi="Verdana" w:cs="Arial"/>
          <w:b/>
          <w:i/>
          <w:sz w:val="20"/>
          <w:szCs w:val="20"/>
          <w:lang w:val="es-ES_tradnl"/>
        </w:rPr>
        <w:t>Estado</w:t>
      </w:r>
      <w:r w:rsidRPr="002964A7">
        <w:rPr>
          <w:rFonts w:ascii="Verdana" w:eastAsia="Calibri" w:hAnsi="Verdana" w:cs="Arial"/>
          <w:sz w:val="20"/>
          <w:szCs w:val="20"/>
          <w:lang w:val="es-ES_tradnl"/>
        </w:rPr>
        <w:t xml:space="preserve"> señaló que la Convención Interamericana sobre Desaparición Forzada de Personas no es de aplicación al presente caso, pues los hechos alegados han sido materia de un proceso penal en sede </w:t>
      </w:r>
      <w:r w:rsidRPr="002964A7">
        <w:rPr>
          <w:rFonts w:ascii="Verdana" w:eastAsia="Calibri" w:hAnsi="Verdana" w:cs="Arial"/>
          <w:sz w:val="20"/>
          <w:szCs w:val="20"/>
          <w:lang w:val="es-PR"/>
        </w:rPr>
        <w:t>nacional</w:t>
      </w:r>
      <w:r w:rsidRPr="002964A7">
        <w:rPr>
          <w:rFonts w:ascii="Verdana" w:eastAsia="Calibri" w:hAnsi="Verdana" w:cs="Arial"/>
          <w:sz w:val="20"/>
          <w:szCs w:val="20"/>
          <w:lang w:val="es-ES_tradnl"/>
        </w:rPr>
        <w:t xml:space="preserve"> por la comisión del delito de homicidio calificado, con las agravantes de ferocidad y gran crueldad, y no por la comisión del delito de </w:t>
      </w:r>
      <w:r w:rsidRPr="002964A7">
        <w:rPr>
          <w:rFonts w:ascii="Verdana" w:hAnsi="Verdana"/>
          <w:sz w:val="20"/>
          <w:szCs w:val="20"/>
        </w:rPr>
        <w:t>desaparición</w:t>
      </w:r>
      <w:r w:rsidRPr="002964A7">
        <w:rPr>
          <w:rFonts w:ascii="Verdana" w:eastAsia="Calibri" w:hAnsi="Verdana" w:cs="Arial"/>
          <w:sz w:val="20"/>
          <w:szCs w:val="20"/>
          <w:lang w:val="es-ES_tradnl"/>
        </w:rPr>
        <w:t xml:space="preserve"> forzada. En consecuencia, la Corte no podría </w:t>
      </w:r>
      <w:r w:rsidRPr="002964A7">
        <w:rPr>
          <w:rFonts w:ascii="Verdana" w:hAnsi="Verdana"/>
          <w:sz w:val="20"/>
          <w:szCs w:val="20"/>
          <w:lang w:val="es-ES_tradnl" w:eastAsia="es-ES"/>
        </w:rPr>
        <w:t>ejercer</w:t>
      </w:r>
      <w:r w:rsidRPr="002964A7">
        <w:rPr>
          <w:rFonts w:ascii="Verdana" w:eastAsia="Calibri" w:hAnsi="Verdana" w:cs="Arial"/>
          <w:sz w:val="20"/>
          <w:szCs w:val="20"/>
          <w:lang w:val="es-ES_tradnl"/>
        </w:rPr>
        <w:t xml:space="preserve"> su competencia contenciosa para declarar una violación a las normas del referido tratado. En este mismo </w:t>
      </w:r>
      <w:r w:rsidRPr="002964A7">
        <w:rPr>
          <w:rFonts w:ascii="Verdana" w:eastAsia="Calibri" w:hAnsi="Verdana" w:cs="Arial"/>
          <w:sz w:val="20"/>
          <w:szCs w:val="20"/>
          <w:lang w:val="es-ES_tradnl"/>
        </w:rPr>
        <w:lastRenderedPageBreak/>
        <w:t xml:space="preserve">sentido, en la audiencia pública, </w:t>
      </w:r>
      <w:r w:rsidRPr="002964A7">
        <w:rPr>
          <w:rFonts w:ascii="Verdana" w:eastAsia="Calibri" w:hAnsi="Verdana"/>
          <w:sz w:val="20"/>
          <w:szCs w:val="20"/>
          <w:lang w:val="es-PR"/>
        </w:rPr>
        <w:t xml:space="preserve">el Estado solicitó a la Corte que evalúe la aplicación del principio de complementariedad al presente caso, dado que “existe un pronunciamiento definitivo del Poder Judicial peruano sobre los hechos del caso y donde […] se establecen altas reparaciones económicas tomando en cuenta los estándares en sede interna”. Así, argumentó que la aplicación de dicho principio en el caso </w:t>
      </w:r>
      <w:r w:rsidRPr="002964A7">
        <w:rPr>
          <w:rFonts w:ascii="Verdana" w:eastAsia="Calibri" w:hAnsi="Verdana"/>
          <w:i/>
          <w:sz w:val="20"/>
          <w:szCs w:val="20"/>
          <w:lang w:val="es-PR"/>
        </w:rPr>
        <w:t xml:space="preserve">Zulema Tarazona y otros Vs. Perú </w:t>
      </w:r>
      <w:r w:rsidRPr="002964A7">
        <w:rPr>
          <w:rFonts w:ascii="Verdana" w:eastAsia="Calibri" w:hAnsi="Verdana"/>
          <w:sz w:val="20"/>
          <w:szCs w:val="20"/>
          <w:lang w:val="es-PR"/>
        </w:rPr>
        <w:t xml:space="preserve">implicó que la Corte no se pronunciara sobre el fondo de la controversia, “lo cual se aproxima más a un pronunciamiento preliminar sobre la competencia de la Corte para conocer un caso”. </w:t>
      </w:r>
      <w:r w:rsidRPr="002964A7">
        <w:rPr>
          <w:rFonts w:ascii="Verdana" w:eastAsia="Calibri" w:hAnsi="Verdana" w:cs="Arial"/>
          <w:sz w:val="20"/>
          <w:szCs w:val="20"/>
          <w:lang w:val="es-ES_tradnl"/>
        </w:rPr>
        <w:t xml:space="preserve">Igualmente, recordó que en el </w:t>
      </w:r>
      <w:r w:rsidRPr="002964A7">
        <w:rPr>
          <w:rFonts w:ascii="Verdana" w:eastAsia="Calibri" w:hAnsi="Verdana" w:cs="Arial"/>
          <w:i/>
          <w:sz w:val="20"/>
          <w:szCs w:val="20"/>
          <w:lang w:val="es-ES_tradnl"/>
        </w:rPr>
        <w:t>Caso J. Vs. Perú</w:t>
      </w:r>
      <w:r w:rsidRPr="002964A7">
        <w:rPr>
          <w:rFonts w:ascii="Verdana" w:eastAsia="Calibri" w:hAnsi="Verdana" w:cs="Arial"/>
          <w:sz w:val="20"/>
          <w:szCs w:val="20"/>
          <w:lang w:val="es-ES_tradnl"/>
        </w:rPr>
        <w:t xml:space="preserve"> la Corte señaló que la calificación jurídica de los hechos </w:t>
      </w:r>
      <w:r w:rsidRPr="002964A7">
        <w:rPr>
          <w:rFonts w:ascii="Verdana" w:eastAsia="Calibri" w:hAnsi="Verdana" w:cs="Arial"/>
          <w:sz w:val="20"/>
          <w:szCs w:val="20"/>
          <w:lang w:val="es-GT"/>
        </w:rPr>
        <w:t>correspondía</w:t>
      </w:r>
      <w:r w:rsidRPr="002964A7">
        <w:rPr>
          <w:rFonts w:ascii="Verdana" w:eastAsia="Calibri" w:hAnsi="Verdana" w:cs="Arial"/>
          <w:sz w:val="20"/>
          <w:szCs w:val="20"/>
          <w:lang w:val="es-ES_tradnl"/>
        </w:rPr>
        <w:t xml:space="preserve"> al Estado. </w:t>
      </w:r>
      <w:r w:rsidRPr="002964A7">
        <w:rPr>
          <w:rFonts w:ascii="Verdana" w:eastAsia="Calibri" w:hAnsi="Verdana"/>
          <w:sz w:val="20"/>
          <w:szCs w:val="20"/>
          <w:lang w:val="es-PR"/>
        </w:rPr>
        <w:t>Además, sostuvo que “no hubo cuestionamiento alguno de los abogados de las presuntas víctimas respecto a la forma en que fueron calificados los hechos” a nivel interno. Finalmente, destacó que tanto el Ministerio P</w:t>
      </w:r>
      <w:r w:rsidR="00597181">
        <w:rPr>
          <w:rFonts w:ascii="Verdana" w:eastAsia="Calibri" w:hAnsi="Verdana"/>
          <w:sz w:val="20"/>
          <w:szCs w:val="20"/>
          <w:lang w:val="es-PR"/>
        </w:rPr>
        <w:t>ú</w:t>
      </w:r>
      <w:r w:rsidRPr="002964A7">
        <w:rPr>
          <w:rFonts w:ascii="Verdana" w:eastAsia="Calibri" w:hAnsi="Verdana"/>
          <w:sz w:val="20"/>
          <w:szCs w:val="20"/>
          <w:lang w:val="es-PR"/>
        </w:rPr>
        <w:t xml:space="preserve">blico como el Poder Judicial y la Comisión de la Verdad y Reconciliación calificaron los hechos del caso como ejecución extrajudicial. </w:t>
      </w:r>
      <w:r w:rsidRPr="002964A7">
        <w:rPr>
          <w:rFonts w:ascii="Verdana" w:eastAsia="Calibri" w:hAnsi="Verdana" w:cs="Arial"/>
          <w:sz w:val="20"/>
          <w:szCs w:val="20"/>
          <w:lang w:val="es-ES_tradnl"/>
        </w:rPr>
        <w:t xml:space="preserve">Por todo lo anterior, el Estado solicitó a la Corte que declare fundada la excepción preliminar en razón de la materia respecto a dicho tratado. </w:t>
      </w:r>
    </w:p>
    <w:p w:rsidR="00D10529" w:rsidRPr="002964A7" w:rsidRDefault="00D10529" w:rsidP="00D10529">
      <w:pPr>
        <w:autoSpaceDE w:val="0"/>
        <w:autoSpaceDN w:val="0"/>
        <w:adjustRightInd w:val="0"/>
        <w:spacing w:after="0" w:line="240" w:lineRule="auto"/>
        <w:ind w:right="15"/>
        <w:jc w:val="both"/>
        <w:rPr>
          <w:rFonts w:ascii="Verdana" w:eastAsia="Calibri" w:hAnsi="Verdana" w:cs="Arial"/>
          <w:b/>
          <w:sz w:val="20"/>
          <w:szCs w:val="20"/>
          <w:lang w:val="es-ES_tradnl" w:eastAsia="es-CR"/>
        </w:rPr>
      </w:pPr>
    </w:p>
    <w:p w:rsidR="00D10529" w:rsidRPr="001154F9" w:rsidRDefault="00D10529"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b/>
          <w:sz w:val="20"/>
          <w:szCs w:val="20"/>
        </w:rPr>
      </w:pPr>
      <w:r w:rsidRPr="002964A7">
        <w:rPr>
          <w:rFonts w:ascii="Verdana" w:eastAsia="Calibri" w:hAnsi="Verdana" w:cs="Arial"/>
          <w:sz w:val="20"/>
          <w:szCs w:val="20"/>
          <w:lang w:val="es-PR"/>
        </w:rPr>
        <w:t xml:space="preserve">La </w:t>
      </w:r>
      <w:r w:rsidRPr="002964A7">
        <w:rPr>
          <w:rFonts w:ascii="Verdana" w:eastAsia="Calibri" w:hAnsi="Verdana" w:cs="Arial"/>
          <w:b/>
          <w:i/>
          <w:sz w:val="20"/>
          <w:szCs w:val="20"/>
          <w:lang w:val="es-PR"/>
        </w:rPr>
        <w:t>Comisión</w:t>
      </w:r>
      <w:r w:rsidRPr="002964A7">
        <w:rPr>
          <w:rFonts w:ascii="Verdana" w:eastAsia="Calibri" w:hAnsi="Verdana" w:cs="Arial"/>
          <w:sz w:val="20"/>
          <w:szCs w:val="20"/>
          <w:lang w:val="es-PR"/>
        </w:rPr>
        <w:t xml:space="preserve"> y los </w:t>
      </w:r>
      <w:r w:rsidRPr="002964A7">
        <w:rPr>
          <w:rFonts w:ascii="Verdana" w:eastAsia="Calibri" w:hAnsi="Verdana"/>
          <w:b/>
          <w:i/>
          <w:sz w:val="20"/>
          <w:szCs w:val="20"/>
          <w:lang w:val="es-PR"/>
        </w:rPr>
        <w:t>representantes</w:t>
      </w:r>
      <w:r w:rsidRPr="002964A7">
        <w:rPr>
          <w:rFonts w:ascii="Verdana" w:eastAsia="Calibri" w:hAnsi="Verdana"/>
          <w:sz w:val="20"/>
          <w:szCs w:val="20"/>
          <w:lang w:val="es-PR"/>
        </w:rPr>
        <w:t xml:space="preserve"> </w:t>
      </w:r>
      <w:r w:rsidRPr="002964A7">
        <w:rPr>
          <w:rFonts w:ascii="Verdana" w:eastAsia="Calibri" w:hAnsi="Verdana" w:cs="Arial"/>
          <w:sz w:val="20"/>
          <w:szCs w:val="20"/>
          <w:lang w:val="es-PR"/>
        </w:rPr>
        <w:t>sostuvieron que el Estado pretendía objetar la competencia de la Corte sobre la base de su</w:t>
      </w:r>
      <w:r w:rsidRPr="002964A7">
        <w:rPr>
          <w:rFonts w:ascii="Verdana" w:eastAsia="Calibri" w:hAnsi="Verdana"/>
          <w:sz w:val="20"/>
          <w:szCs w:val="20"/>
          <w:lang w:val="es-PR"/>
        </w:rPr>
        <w:t xml:space="preserve"> </w:t>
      </w:r>
      <w:r w:rsidRPr="002964A7">
        <w:rPr>
          <w:rFonts w:ascii="Verdana" w:eastAsia="Calibri" w:hAnsi="Verdana" w:cs="Arial"/>
          <w:sz w:val="20"/>
          <w:szCs w:val="20"/>
          <w:lang w:val="es-PR"/>
        </w:rPr>
        <w:t xml:space="preserve">desacuerdo con la calificación de los hechos </w:t>
      </w:r>
      <w:r w:rsidRPr="002964A7">
        <w:rPr>
          <w:rFonts w:ascii="Verdana" w:hAnsi="Verdana"/>
          <w:sz w:val="20"/>
          <w:szCs w:val="20"/>
          <w:lang w:val="es-ES_tradnl" w:eastAsia="es-ES"/>
        </w:rPr>
        <w:t>como</w:t>
      </w:r>
      <w:r w:rsidRPr="002964A7">
        <w:rPr>
          <w:rFonts w:ascii="Verdana" w:eastAsia="Calibri" w:hAnsi="Verdana" w:cs="Arial"/>
          <w:sz w:val="20"/>
          <w:szCs w:val="20"/>
          <w:lang w:val="es-PR"/>
        </w:rPr>
        <w:t xml:space="preserve"> desaparición </w:t>
      </w:r>
      <w:r w:rsidRPr="002964A7">
        <w:rPr>
          <w:rFonts w:ascii="Verdana" w:hAnsi="Verdana"/>
          <w:sz w:val="20"/>
          <w:szCs w:val="20"/>
        </w:rPr>
        <w:t>forzada</w:t>
      </w:r>
      <w:r w:rsidRPr="002964A7">
        <w:rPr>
          <w:rFonts w:ascii="Verdana" w:eastAsia="Calibri" w:hAnsi="Verdana" w:cs="Arial"/>
          <w:sz w:val="20"/>
          <w:szCs w:val="20"/>
          <w:lang w:val="es-PR"/>
        </w:rPr>
        <w:t xml:space="preserve"> de personas, lo cual corresponde al fondo del asunto.</w:t>
      </w:r>
      <w:r w:rsidRPr="002964A7">
        <w:rPr>
          <w:rFonts w:ascii="Verdana" w:eastAsia="Calibri" w:hAnsi="Verdana"/>
          <w:sz w:val="20"/>
          <w:szCs w:val="20"/>
          <w:lang w:val="es-PR"/>
        </w:rPr>
        <w:t xml:space="preserve"> </w:t>
      </w:r>
      <w:r w:rsidRPr="002964A7">
        <w:rPr>
          <w:rFonts w:ascii="Verdana" w:eastAsia="Calibri" w:hAnsi="Verdana" w:cs="Arial"/>
          <w:sz w:val="20"/>
          <w:szCs w:val="20"/>
          <w:lang w:val="es-PR"/>
        </w:rPr>
        <w:t xml:space="preserve">En </w:t>
      </w:r>
      <w:r w:rsidRPr="002964A7">
        <w:rPr>
          <w:rFonts w:ascii="Verdana" w:eastAsia="Calibri" w:hAnsi="Verdana" w:cs="Arial"/>
          <w:sz w:val="20"/>
          <w:szCs w:val="20"/>
          <w:lang w:val="es-ES_tradnl"/>
        </w:rPr>
        <w:t>virtud</w:t>
      </w:r>
      <w:r w:rsidRPr="002964A7">
        <w:rPr>
          <w:rFonts w:ascii="Verdana" w:eastAsia="Calibri" w:hAnsi="Verdana" w:cs="Arial"/>
          <w:sz w:val="20"/>
          <w:szCs w:val="20"/>
          <w:lang w:val="es-PR"/>
        </w:rPr>
        <w:t xml:space="preserve"> de lo anterior, solicitaron a la Corte que declare que los argumentos planteados por el Estado no constituyen una excepción preliminar y, por lo tanto, resultan improcedentes.</w:t>
      </w:r>
    </w:p>
    <w:p w:rsidR="001154F9" w:rsidRPr="00707F81" w:rsidRDefault="001154F9" w:rsidP="001154F9">
      <w:pPr>
        <w:pStyle w:val="ListParagraph"/>
        <w:autoSpaceDE w:val="0"/>
        <w:autoSpaceDN w:val="0"/>
        <w:adjustRightInd w:val="0"/>
        <w:spacing w:after="0" w:line="240" w:lineRule="auto"/>
        <w:ind w:left="0"/>
        <w:jc w:val="both"/>
        <w:rPr>
          <w:rFonts w:ascii="Verdana" w:eastAsia="Calibri" w:hAnsi="Verdana" w:cs="Arial"/>
          <w:b/>
          <w:sz w:val="20"/>
          <w:szCs w:val="20"/>
        </w:rPr>
      </w:pPr>
    </w:p>
    <w:p w:rsidR="00D10529" w:rsidRPr="002964A7" w:rsidRDefault="00D10529" w:rsidP="001154F9">
      <w:pPr>
        <w:pStyle w:val="Estilo2"/>
        <w:rPr>
          <w:lang w:eastAsia="es-CR"/>
        </w:rPr>
      </w:pPr>
      <w:bookmarkStart w:id="79" w:name="_Toc421864932"/>
      <w:bookmarkStart w:id="80" w:name="_Toc423102513"/>
      <w:r w:rsidRPr="002964A7">
        <w:rPr>
          <w:lang w:eastAsia="es-CR"/>
        </w:rPr>
        <w:t>B.2</w:t>
      </w:r>
      <w:r w:rsidR="001A291F">
        <w:rPr>
          <w:lang w:eastAsia="es-CR"/>
        </w:rPr>
        <w:t>.</w:t>
      </w:r>
      <w:r w:rsidRPr="002964A7">
        <w:rPr>
          <w:lang w:eastAsia="es-CR"/>
        </w:rPr>
        <w:t xml:space="preserve"> Consideraciones de la Corte</w:t>
      </w:r>
      <w:bookmarkEnd w:id="79"/>
      <w:bookmarkEnd w:id="80"/>
    </w:p>
    <w:p w:rsidR="00FF3875" w:rsidRPr="00CB2948" w:rsidRDefault="004C2B33"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z w:val="20"/>
          <w:szCs w:val="20"/>
          <w:lang w:val="es-GT"/>
        </w:rPr>
      </w:pPr>
      <w:r w:rsidRPr="00F2787B">
        <w:rPr>
          <w:rFonts w:ascii="Verdana" w:eastAsia="Calibri" w:hAnsi="Verdana"/>
          <w:sz w:val="20"/>
          <w:szCs w:val="20"/>
          <w:lang w:val="es-GT"/>
        </w:rPr>
        <w:t>El Perú ra</w:t>
      </w:r>
      <w:r w:rsidR="00681BD2">
        <w:rPr>
          <w:rFonts w:ascii="Verdana" w:eastAsia="Calibri" w:hAnsi="Verdana"/>
          <w:sz w:val="20"/>
          <w:szCs w:val="20"/>
          <w:lang w:val="es-GT"/>
        </w:rPr>
        <w:t>t</w:t>
      </w:r>
      <w:r w:rsidRPr="00F2787B">
        <w:rPr>
          <w:rFonts w:ascii="Verdana" w:eastAsia="Calibri" w:hAnsi="Verdana"/>
          <w:sz w:val="20"/>
          <w:szCs w:val="20"/>
          <w:lang w:val="es-GT"/>
        </w:rPr>
        <w:t xml:space="preserve">ificó la </w:t>
      </w:r>
      <w:r w:rsidR="000111DF" w:rsidRPr="00F2787B">
        <w:rPr>
          <w:rFonts w:ascii="Verdana" w:hAnsi="Verdana"/>
          <w:spacing w:val="-2"/>
          <w:sz w:val="20"/>
          <w:szCs w:val="20"/>
          <w:lang w:val="es-PR"/>
        </w:rPr>
        <w:t>Convención Interamericana sobre Desaparición Forzada de Personas (</w:t>
      </w:r>
      <w:r w:rsidR="00D729E3">
        <w:rPr>
          <w:rFonts w:ascii="Verdana" w:hAnsi="Verdana"/>
          <w:spacing w:val="-2"/>
          <w:sz w:val="20"/>
          <w:szCs w:val="20"/>
          <w:lang w:val="es-PR"/>
        </w:rPr>
        <w:t>en adelante “</w:t>
      </w:r>
      <w:r w:rsidR="000111DF" w:rsidRPr="00F2787B">
        <w:rPr>
          <w:rFonts w:ascii="Verdana" w:hAnsi="Verdana"/>
          <w:spacing w:val="-2"/>
          <w:sz w:val="20"/>
          <w:szCs w:val="20"/>
          <w:lang w:val="es-PR"/>
        </w:rPr>
        <w:t>CIDFP</w:t>
      </w:r>
      <w:r w:rsidR="00D729E3">
        <w:rPr>
          <w:rFonts w:ascii="Verdana" w:hAnsi="Verdana"/>
          <w:spacing w:val="-2"/>
          <w:sz w:val="20"/>
          <w:szCs w:val="20"/>
          <w:lang w:val="es-PR"/>
        </w:rPr>
        <w:t>”</w:t>
      </w:r>
      <w:r w:rsidR="000111DF" w:rsidRPr="00F2787B">
        <w:rPr>
          <w:rFonts w:ascii="Verdana" w:hAnsi="Verdana"/>
          <w:spacing w:val="-2"/>
          <w:sz w:val="20"/>
          <w:szCs w:val="20"/>
          <w:lang w:val="es-PR"/>
        </w:rPr>
        <w:t xml:space="preserve">) el 8 de febrero de 2002. </w:t>
      </w:r>
      <w:r w:rsidR="00FF3875" w:rsidRPr="00F2787B">
        <w:rPr>
          <w:rFonts w:ascii="Verdana" w:hAnsi="Verdana"/>
          <w:spacing w:val="-2"/>
          <w:sz w:val="20"/>
          <w:szCs w:val="20"/>
        </w:rPr>
        <w:t xml:space="preserve">Los alegatos del Estado respecto de esta excepción preliminar cuestionan la competencia material de la Corte respecto de esa Convención Interamericana, </w:t>
      </w:r>
      <w:r w:rsidR="00FF3875" w:rsidRPr="00F2787B">
        <w:rPr>
          <w:rFonts w:ascii="Verdana" w:hAnsi="Verdana"/>
          <w:spacing w:val="-2"/>
          <w:sz w:val="20"/>
          <w:szCs w:val="20"/>
          <w:lang w:val="es-ES_tradnl"/>
        </w:rPr>
        <w:t xml:space="preserve">al sostener que </w:t>
      </w:r>
      <w:r w:rsidR="00FF3875" w:rsidRPr="00F2787B">
        <w:rPr>
          <w:rFonts w:ascii="Verdana" w:hAnsi="Verdana" w:cs="Arial"/>
          <w:bCs/>
          <w:spacing w:val="-2"/>
          <w:sz w:val="20"/>
          <w:szCs w:val="20"/>
          <w:lang w:val="es-ES_tradnl" w:eastAsia="es-CR"/>
        </w:rPr>
        <w:t xml:space="preserve">la Corte no puede ejercer su competencia contenciosa para declarar una violación a las normas del referido instrumento internacional por hechos que, de acuerdo al Estado, </w:t>
      </w:r>
      <w:r w:rsidR="000111DF" w:rsidRPr="00F2787B">
        <w:rPr>
          <w:rFonts w:ascii="Verdana" w:hAnsi="Verdana" w:cs="Arial"/>
          <w:bCs/>
          <w:spacing w:val="-2"/>
          <w:sz w:val="20"/>
          <w:szCs w:val="20"/>
          <w:lang w:val="es-ES_tradnl" w:eastAsia="es-CR"/>
        </w:rPr>
        <w:t>habrían sido calificados por el poder judicial peruano como ejecuciones extrajudiciales</w:t>
      </w:r>
      <w:r w:rsidR="00FF3875" w:rsidRPr="00F2787B">
        <w:rPr>
          <w:rFonts w:ascii="Verdana" w:hAnsi="Verdana" w:cs="Arial"/>
          <w:bCs/>
          <w:spacing w:val="-2"/>
          <w:sz w:val="20"/>
          <w:szCs w:val="20"/>
          <w:lang w:val="es-ES_tradnl" w:eastAsia="es-CR"/>
        </w:rPr>
        <w:t xml:space="preserve">. </w:t>
      </w:r>
      <w:r w:rsidR="00FF3875" w:rsidRPr="00F2787B">
        <w:rPr>
          <w:rFonts w:ascii="Verdana" w:hAnsi="Verdana"/>
          <w:spacing w:val="-2"/>
          <w:sz w:val="20"/>
          <w:szCs w:val="20"/>
          <w:lang w:eastAsia="es-CR"/>
        </w:rPr>
        <w:t>El artículo XIII de la Convención Interamericana sobre Desaparición Forzada</w:t>
      </w:r>
      <w:r w:rsidR="00A027DB">
        <w:rPr>
          <w:rFonts w:ascii="Verdana" w:hAnsi="Verdana"/>
          <w:spacing w:val="-2"/>
          <w:sz w:val="20"/>
          <w:szCs w:val="20"/>
          <w:lang w:eastAsia="es-CR"/>
        </w:rPr>
        <w:t xml:space="preserve"> de Personas</w:t>
      </w:r>
      <w:r w:rsidR="00FF3875" w:rsidRPr="00F2787B">
        <w:rPr>
          <w:rFonts w:ascii="Verdana" w:hAnsi="Verdana"/>
          <w:spacing w:val="-2"/>
          <w:sz w:val="20"/>
          <w:szCs w:val="20"/>
          <w:lang w:eastAsia="es-CR"/>
        </w:rPr>
        <w:t>, en relación con el artículo 62 de la Convención Americana</w:t>
      </w:r>
      <w:r w:rsidR="00FF3875" w:rsidRPr="00F2787B">
        <w:rPr>
          <w:rFonts w:ascii="Verdana" w:hAnsi="Verdana"/>
          <w:spacing w:val="-2"/>
          <w:sz w:val="20"/>
          <w:szCs w:val="20"/>
          <w:lang w:val="es-ES_tradnl" w:eastAsia="es-CR"/>
        </w:rPr>
        <w:t>, fija la facultad de la Corte para conocer de los asuntos relacionados con el cumplimiento de los compromisos contraídos por los Estados Partes en dicho instrumento</w:t>
      </w:r>
      <w:r w:rsidR="00FF3875" w:rsidRPr="00F2787B">
        <w:rPr>
          <w:rFonts w:ascii="Verdana" w:hAnsi="Verdana"/>
          <w:sz w:val="20"/>
          <w:szCs w:val="20"/>
          <w:vertAlign w:val="superscript"/>
          <w:lang w:val="es-ES_tradnl" w:eastAsia="es-CR"/>
        </w:rPr>
        <w:footnoteReference w:id="26"/>
      </w:r>
      <w:r w:rsidR="00FF3875" w:rsidRPr="00F2787B">
        <w:rPr>
          <w:rFonts w:ascii="Verdana" w:hAnsi="Verdana"/>
          <w:spacing w:val="-2"/>
          <w:sz w:val="20"/>
          <w:szCs w:val="20"/>
          <w:lang w:val="es-ES_tradnl" w:eastAsia="es-CR"/>
        </w:rPr>
        <w:t xml:space="preserve">. Dicho artículo </w:t>
      </w:r>
      <w:r w:rsidR="00A027DB">
        <w:rPr>
          <w:rFonts w:ascii="Verdana" w:hAnsi="Verdana"/>
          <w:spacing w:val="-2"/>
          <w:sz w:val="20"/>
          <w:szCs w:val="20"/>
          <w:lang w:val="es-ES_tradnl" w:eastAsia="es-CR"/>
        </w:rPr>
        <w:t xml:space="preserve">de la CIDFP </w:t>
      </w:r>
      <w:r w:rsidR="00FF3875" w:rsidRPr="00F2787B">
        <w:rPr>
          <w:rFonts w:ascii="Verdana" w:hAnsi="Verdana"/>
          <w:spacing w:val="-2"/>
          <w:sz w:val="20"/>
          <w:szCs w:val="20"/>
          <w:lang w:val="es-ES_tradnl" w:eastAsia="es-CR"/>
        </w:rPr>
        <w:t>establece que:</w:t>
      </w:r>
    </w:p>
    <w:p w:rsidR="00FF3875" w:rsidRPr="00CB2948" w:rsidRDefault="00FF3875" w:rsidP="00CB2948">
      <w:pPr>
        <w:widowControl w:val="0"/>
        <w:tabs>
          <w:tab w:val="left" w:pos="567"/>
        </w:tabs>
        <w:adjustRightInd w:val="0"/>
        <w:spacing w:before="120" w:after="0" w:line="240" w:lineRule="auto"/>
        <w:ind w:left="567" w:right="616"/>
        <w:jc w:val="both"/>
        <w:textAlignment w:val="baseline"/>
        <w:rPr>
          <w:rFonts w:ascii="Verdana" w:hAnsi="Verdana"/>
          <w:i/>
          <w:spacing w:val="-2"/>
          <w:sz w:val="16"/>
          <w:szCs w:val="16"/>
          <w:lang w:eastAsia="es-CR"/>
        </w:rPr>
      </w:pPr>
      <w:r w:rsidRPr="00CB2948">
        <w:rPr>
          <w:rFonts w:ascii="Verdana" w:hAnsi="Verdana"/>
          <w:spacing w:val="-2"/>
          <w:sz w:val="16"/>
          <w:szCs w:val="16"/>
          <w:lang w:eastAsia="es-CR"/>
        </w:rPr>
        <w:t xml:space="preserve">Para los efectos de la presente Convención, el trámite de las peticiones o comunicaciones presentadas ante la Comisión Interamericana de Derechos Humanos en que se </w:t>
      </w:r>
      <w:r w:rsidRPr="00CB2948">
        <w:rPr>
          <w:rFonts w:ascii="Verdana" w:hAnsi="Verdana"/>
          <w:i/>
          <w:spacing w:val="-2"/>
          <w:sz w:val="16"/>
          <w:szCs w:val="16"/>
          <w:lang w:eastAsia="es-CR"/>
        </w:rPr>
        <w:t>alegue la desaparición forzada de personas</w:t>
      </w:r>
      <w:r w:rsidRPr="00CB2948">
        <w:rPr>
          <w:rFonts w:ascii="Verdana" w:hAnsi="Verdana"/>
          <w:spacing w:val="-2"/>
          <w:sz w:val="16"/>
          <w:szCs w:val="16"/>
          <w:lang w:eastAsia="es-CR"/>
        </w:rPr>
        <w:t xml:space="preserve"> estará sujeto a los procedimientos establecidos en la Convención Americana sobre Derechos Humanos, y en los Estatutos y Reglamentos de la Comisión y de la Corte Interamericana de Derechos Humanos, incluso las normas relativas a medidas cautelares (</w:t>
      </w:r>
      <w:r w:rsidRPr="00CB2948">
        <w:rPr>
          <w:rFonts w:ascii="Verdana" w:hAnsi="Verdana"/>
          <w:i/>
          <w:spacing w:val="-2"/>
          <w:sz w:val="16"/>
          <w:szCs w:val="16"/>
          <w:lang w:eastAsia="es-CR"/>
        </w:rPr>
        <w:t>énfasis añadido).</w:t>
      </w:r>
    </w:p>
    <w:p w:rsidR="00FF3875" w:rsidRPr="004C2B33" w:rsidRDefault="00FF3875" w:rsidP="00CB2948">
      <w:pPr>
        <w:pStyle w:val="ListParagraph"/>
        <w:autoSpaceDE w:val="0"/>
        <w:autoSpaceDN w:val="0"/>
        <w:adjustRightInd w:val="0"/>
        <w:spacing w:after="0" w:line="240" w:lineRule="auto"/>
        <w:ind w:left="0"/>
        <w:jc w:val="both"/>
        <w:rPr>
          <w:rFonts w:ascii="Verdana" w:eastAsia="Calibri" w:hAnsi="Verdana"/>
          <w:sz w:val="20"/>
          <w:szCs w:val="20"/>
          <w:lang w:val="es-GT"/>
        </w:rPr>
      </w:pPr>
    </w:p>
    <w:p w:rsidR="00D10529" w:rsidRPr="002964A7" w:rsidRDefault="000111DF"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z w:val="20"/>
          <w:szCs w:val="20"/>
          <w:lang w:val="es-GT"/>
        </w:rPr>
      </w:pPr>
      <w:r>
        <w:rPr>
          <w:rFonts w:ascii="Verdana" w:eastAsia="Calibri" w:hAnsi="Verdana" w:cs="Arial"/>
          <w:sz w:val="20"/>
          <w:szCs w:val="20"/>
          <w:lang w:val="es-GT"/>
        </w:rPr>
        <w:t>Por tanto, el alegato de que lo ocurrido en el presente caso pudiere constituir una desaparición forzada es suficiente para que la Corte ejerza su competencia para conocer de una posible violación de dicha convención</w:t>
      </w:r>
      <w:r>
        <w:rPr>
          <w:rStyle w:val="FootnoteReference"/>
          <w:rFonts w:eastAsia="Calibri" w:cs="Arial"/>
          <w:szCs w:val="20"/>
          <w:lang w:val="es-GT"/>
        </w:rPr>
        <w:footnoteReference w:id="27"/>
      </w:r>
      <w:r>
        <w:rPr>
          <w:rFonts w:ascii="Verdana" w:eastAsia="Calibri" w:hAnsi="Verdana" w:cs="Arial"/>
          <w:sz w:val="20"/>
          <w:szCs w:val="20"/>
          <w:lang w:val="es-GT"/>
        </w:rPr>
        <w:t xml:space="preserve">. </w:t>
      </w:r>
      <w:r w:rsidR="00F2787B">
        <w:rPr>
          <w:rFonts w:ascii="Verdana" w:eastAsia="Calibri" w:hAnsi="Verdana" w:cs="Arial"/>
          <w:sz w:val="20"/>
          <w:szCs w:val="20"/>
          <w:lang w:val="es-GT"/>
        </w:rPr>
        <w:t>E</w:t>
      </w:r>
      <w:r w:rsidR="00D10529" w:rsidRPr="002964A7">
        <w:rPr>
          <w:rFonts w:ascii="Verdana" w:eastAsia="Calibri" w:hAnsi="Verdana" w:cs="Arial"/>
          <w:sz w:val="20"/>
          <w:szCs w:val="20"/>
          <w:lang w:val="es-GT"/>
        </w:rPr>
        <w:t xml:space="preserve">n este caso, tanto la calificación de los hechos como desapariciones forzadas o ejecuciones extrajudiciales, como la efectividad de la investigación desarrollada al respecto, son cuestiones que forman parte de la controversia del caso. Por tanto, </w:t>
      </w:r>
      <w:r w:rsidR="0057261B" w:rsidRPr="002964A7">
        <w:rPr>
          <w:rFonts w:ascii="Verdana" w:eastAsia="Calibri" w:hAnsi="Verdana" w:cs="Arial"/>
          <w:sz w:val="20"/>
          <w:szCs w:val="20"/>
          <w:lang w:val="es-GT"/>
        </w:rPr>
        <w:t>dado</w:t>
      </w:r>
      <w:r w:rsidR="00D10529" w:rsidRPr="002964A7">
        <w:rPr>
          <w:rFonts w:ascii="Verdana" w:eastAsia="Calibri" w:hAnsi="Verdana"/>
          <w:sz w:val="20"/>
          <w:szCs w:val="20"/>
          <w:lang w:val="es-AR"/>
        </w:rPr>
        <w:t xml:space="preserve"> que la aplicabilidad o no de la CIDFP a los hechos del caso no puede ser considerada sin establecer los hechos y analizar el fondo del asunto, </w:t>
      </w:r>
      <w:r w:rsidR="00D10529" w:rsidRPr="002964A7">
        <w:rPr>
          <w:rFonts w:ascii="Verdana" w:eastAsia="Calibri" w:hAnsi="Verdana"/>
          <w:sz w:val="20"/>
          <w:szCs w:val="20"/>
          <w:lang w:val="es-AR"/>
        </w:rPr>
        <w:lastRenderedPageBreak/>
        <w:t>tampoco puede ser analizada esta cuestión mediante una excepción preliminar</w:t>
      </w:r>
      <w:r w:rsidR="00D10529" w:rsidRPr="002964A7">
        <w:rPr>
          <w:rFonts w:ascii="Verdana" w:eastAsia="Calibri" w:hAnsi="Verdana"/>
          <w:sz w:val="20"/>
          <w:szCs w:val="20"/>
          <w:vertAlign w:val="superscript"/>
          <w:lang w:val="es-AR"/>
        </w:rPr>
        <w:footnoteReference w:id="28"/>
      </w:r>
      <w:r w:rsidR="00D10529" w:rsidRPr="002964A7">
        <w:rPr>
          <w:rFonts w:ascii="Verdana" w:eastAsia="Calibri" w:hAnsi="Verdana"/>
          <w:sz w:val="20"/>
          <w:szCs w:val="20"/>
          <w:lang w:val="es-GT"/>
        </w:rPr>
        <w:t xml:space="preserve">. </w:t>
      </w:r>
      <w:r w:rsidR="00D10529" w:rsidRPr="002964A7">
        <w:rPr>
          <w:rFonts w:ascii="Verdana" w:eastAsia="Calibri" w:hAnsi="Verdana" w:cs="Arial"/>
          <w:sz w:val="20"/>
          <w:szCs w:val="20"/>
          <w:lang w:val="es-GT"/>
        </w:rPr>
        <w:t xml:space="preserve">Dicho análisis se realizará en los capítulos correspondientes de esta Sentencia. </w:t>
      </w:r>
    </w:p>
    <w:p w:rsidR="00D10529" w:rsidRPr="002964A7" w:rsidRDefault="00D10529" w:rsidP="00D10529">
      <w:pPr>
        <w:spacing w:after="0" w:line="240" w:lineRule="auto"/>
        <w:ind w:left="720"/>
        <w:contextualSpacing/>
        <w:rPr>
          <w:rFonts w:ascii="Verdana" w:eastAsia="Calibri" w:hAnsi="Verdana" w:cs="Arial"/>
          <w:sz w:val="20"/>
          <w:szCs w:val="20"/>
          <w:lang w:val="es-GT"/>
        </w:rPr>
      </w:pPr>
    </w:p>
    <w:p w:rsidR="002968CE" w:rsidRPr="00C94FC4" w:rsidRDefault="002968C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PR"/>
        </w:rPr>
      </w:pPr>
      <w:r w:rsidRPr="00C94FC4">
        <w:rPr>
          <w:rFonts w:ascii="Verdana" w:eastAsia="Calibri" w:hAnsi="Verdana" w:cs="Arial"/>
          <w:sz w:val="20"/>
          <w:szCs w:val="20"/>
          <w:lang w:val="es-GT"/>
        </w:rPr>
        <w:t xml:space="preserve">Dentro del ámbito de su jurisdicción, corresponde a la Corte Interamericana </w:t>
      </w:r>
      <w:r w:rsidRPr="00C94FC4">
        <w:rPr>
          <w:rFonts w:ascii="Verdana" w:eastAsia="Calibri" w:hAnsi="Verdana"/>
          <w:sz w:val="20"/>
          <w:szCs w:val="20"/>
          <w:lang w:val="es-ES"/>
        </w:rPr>
        <w:t xml:space="preserve">evaluar las acciones u omisiones de agentes </w:t>
      </w:r>
      <w:r w:rsidRPr="00C94FC4">
        <w:rPr>
          <w:rFonts w:ascii="Verdana" w:hAnsi="Verdana"/>
          <w:sz w:val="20"/>
          <w:szCs w:val="20"/>
          <w:lang w:val="es-ES_tradnl" w:eastAsia="es-ES"/>
        </w:rPr>
        <w:t>estatales</w:t>
      </w:r>
      <w:r w:rsidRPr="00C94FC4">
        <w:rPr>
          <w:rFonts w:ascii="Verdana" w:eastAsia="Calibri" w:hAnsi="Verdana"/>
          <w:sz w:val="20"/>
          <w:szCs w:val="20"/>
          <w:lang w:val="es-ES"/>
        </w:rPr>
        <w:t xml:space="preserve"> en los casos ante ella, según la prueba presentada por las partes</w:t>
      </w:r>
      <w:r w:rsidRPr="00C94FC4">
        <w:rPr>
          <w:rFonts w:ascii="Verdana" w:eastAsia="Calibri" w:hAnsi="Verdana"/>
          <w:sz w:val="20"/>
          <w:szCs w:val="20"/>
          <w:lang w:val="es-GT"/>
        </w:rPr>
        <w:t xml:space="preserve">, y calificar las mismas de conformidad con la Convención </w:t>
      </w:r>
      <w:r w:rsidRPr="00C94FC4">
        <w:rPr>
          <w:rFonts w:ascii="Verdana" w:eastAsia="Calibri" w:hAnsi="Verdana" w:cs="Arial"/>
          <w:sz w:val="20"/>
          <w:szCs w:val="20"/>
          <w:lang w:val="es-GT"/>
        </w:rPr>
        <w:t>Americana</w:t>
      </w:r>
      <w:r w:rsidRPr="00C94FC4">
        <w:rPr>
          <w:rFonts w:ascii="Verdana" w:eastAsia="Calibri" w:hAnsi="Verdana"/>
          <w:sz w:val="20"/>
          <w:szCs w:val="20"/>
          <w:lang w:val="es-GT"/>
        </w:rPr>
        <w:t xml:space="preserve"> y demás tratados interamericanos que le otorgan competencia, a fin de determinar si el Estado ha incurrido en responsabilidad internacional</w:t>
      </w:r>
      <w:r w:rsidRPr="00C94FC4">
        <w:rPr>
          <w:vertAlign w:val="superscript"/>
          <w:lang w:val="en-US"/>
        </w:rPr>
        <w:footnoteReference w:id="29"/>
      </w:r>
      <w:r w:rsidRPr="00C94FC4">
        <w:rPr>
          <w:rFonts w:ascii="Verdana" w:eastAsia="Calibri" w:hAnsi="Verdana"/>
          <w:sz w:val="20"/>
          <w:szCs w:val="20"/>
          <w:lang w:val="es-ES"/>
        </w:rPr>
        <w:t xml:space="preserve">. </w:t>
      </w:r>
      <w:r w:rsidRPr="00C94FC4">
        <w:rPr>
          <w:rFonts w:ascii="Verdana" w:hAnsi="Verdana" w:cs="Arial"/>
          <w:sz w:val="20"/>
          <w:szCs w:val="20"/>
          <w:lang w:val="es-ES_tradnl"/>
        </w:rPr>
        <w:t>Además, cabe recordar que no corresponde a la Corte analizar las hipótesis de autoría manejadas durante la investigación de los hechos y en consecuencia determinar responsabilidades individuales, cuya definición compete a los tribunales penales internos</w:t>
      </w:r>
      <w:r w:rsidRPr="00C94FC4">
        <w:rPr>
          <w:vertAlign w:val="superscript"/>
        </w:rPr>
        <w:footnoteReference w:id="30"/>
      </w:r>
      <w:r w:rsidRPr="00C94FC4">
        <w:rPr>
          <w:rFonts w:ascii="Verdana" w:hAnsi="Verdana" w:cs="Arial"/>
          <w:sz w:val="20"/>
          <w:szCs w:val="20"/>
          <w:lang w:val="es-ES_tradnl"/>
        </w:rPr>
        <w:t xml:space="preserve">.   </w:t>
      </w:r>
    </w:p>
    <w:p w:rsidR="002968CE" w:rsidRDefault="002968CE" w:rsidP="002968CE">
      <w:pPr>
        <w:pStyle w:val="ListParagraph"/>
        <w:autoSpaceDE w:val="0"/>
        <w:autoSpaceDN w:val="0"/>
        <w:adjustRightInd w:val="0"/>
        <w:spacing w:after="0" w:line="240" w:lineRule="auto"/>
        <w:ind w:left="0"/>
        <w:jc w:val="both"/>
        <w:rPr>
          <w:rFonts w:ascii="Verdana" w:eastAsia="Calibri" w:hAnsi="Verdana" w:cs="Arial"/>
          <w:b/>
          <w:sz w:val="20"/>
          <w:szCs w:val="20"/>
          <w:u w:val="single"/>
          <w:lang w:val="es-PR"/>
        </w:rPr>
      </w:pPr>
    </w:p>
    <w:p w:rsidR="00D10529" w:rsidRPr="002964A7" w:rsidRDefault="00D10529"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z w:val="20"/>
          <w:szCs w:val="20"/>
          <w:lang w:val="es-ES_tradnl"/>
        </w:rPr>
      </w:pPr>
      <w:r w:rsidRPr="002964A7">
        <w:rPr>
          <w:rFonts w:ascii="Verdana" w:eastAsia="Calibri" w:hAnsi="Verdana" w:cs="Arial"/>
          <w:sz w:val="20"/>
          <w:szCs w:val="20"/>
          <w:lang w:val="es-GT"/>
        </w:rPr>
        <w:t xml:space="preserve">En </w:t>
      </w:r>
      <w:r w:rsidRPr="002964A7">
        <w:rPr>
          <w:rFonts w:ascii="Verdana" w:hAnsi="Verdana"/>
          <w:sz w:val="20"/>
          <w:szCs w:val="20"/>
          <w:lang w:val="es-ES_tradnl" w:eastAsia="es-ES"/>
        </w:rPr>
        <w:t>razón</w:t>
      </w:r>
      <w:r w:rsidRPr="002964A7">
        <w:rPr>
          <w:rFonts w:ascii="Verdana" w:eastAsia="Calibri" w:hAnsi="Verdana" w:cs="Arial"/>
          <w:sz w:val="20"/>
          <w:szCs w:val="20"/>
          <w:lang w:val="es-GT"/>
        </w:rPr>
        <w:t xml:space="preserve"> de lo </w:t>
      </w:r>
      <w:r w:rsidRPr="002964A7">
        <w:rPr>
          <w:rFonts w:ascii="Verdana" w:hAnsi="Verdana"/>
          <w:sz w:val="20"/>
          <w:szCs w:val="20"/>
        </w:rPr>
        <w:t>expuesto</w:t>
      </w:r>
      <w:r w:rsidRPr="002964A7">
        <w:rPr>
          <w:rFonts w:ascii="Verdana" w:eastAsia="Calibri" w:hAnsi="Verdana" w:cs="Arial"/>
          <w:sz w:val="20"/>
          <w:szCs w:val="20"/>
          <w:lang w:val="es-GT"/>
        </w:rPr>
        <w:t xml:space="preserve">, la Corte </w:t>
      </w:r>
      <w:r w:rsidR="00F050AE">
        <w:rPr>
          <w:rFonts w:ascii="Verdana" w:eastAsia="Calibri" w:hAnsi="Verdana" w:cs="Arial"/>
          <w:sz w:val="20"/>
          <w:szCs w:val="20"/>
          <w:lang w:val="es-GT"/>
        </w:rPr>
        <w:t>desestima</w:t>
      </w:r>
      <w:r w:rsidRPr="002964A7">
        <w:rPr>
          <w:rFonts w:ascii="Verdana" w:eastAsia="Calibri" w:hAnsi="Verdana" w:cs="Arial"/>
          <w:sz w:val="20"/>
          <w:szCs w:val="20"/>
          <w:lang w:val="es-GT"/>
        </w:rPr>
        <w:t xml:space="preserve"> la excepción preliminar interpuesta por el Estado. </w:t>
      </w:r>
    </w:p>
    <w:p w:rsidR="00D10529" w:rsidRPr="002964A7" w:rsidRDefault="00D10529" w:rsidP="001154F9">
      <w:pPr>
        <w:pStyle w:val="Heading1"/>
      </w:pPr>
    </w:p>
    <w:p w:rsidR="00EA6EE3" w:rsidRPr="002964A7" w:rsidRDefault="00DB51A6" w:rsidP="001154F9">
      <w:pPr>
        <w:pStyle w:val="Heading1"/>
        <w:rPr>
          <w:lang w:eastAsia="es-CR"/>
        </w:rPr>
      </w:pPr>
      <w:bookmarkStart w:id="81" w:name="_Toc421549296"/>
      <w:bookmarkStart w:id="82" w:name="_Toc421864933"/>
      <w:bookmarkStart w:id="83" w:name="_Toc423102514"/>
      <w:bookmarkStart w:id="84" w:name="_Toc433387467"/>
      <w:r w:rsidRPr="002964A7">
        <w:rPr>
          <w:lang w:eastAsia="es-CR"/>
        </w:rPr>
        <w:t>VI</w:t>
      </w:r>
      <w:bookmarkEnd w:id="81"/>
      <w:bookmarkEnd w:id="82"/>
      <w:bookmarkEnd w:id="83"/>
      <w:bookmarkEnd w:id="84"/>
    </w:p>
    <w:p w:rsidR="00DB51A6" w:rsidRPr="002964A7" w:rsidRDefault="00DB51A6" w:rsidP="001154F9">
      <w:pPr>
        <w:pStyle w:val="Heading1"/>
        <w:rPr>
          <w:lang w:eastAsia="es-CR"/>
        </w:rPr>
      </w:pPr>
      <w:bookmarkStart w:id="85" w:name="_Toc421864934"/>
      <w:bookmarkStart w:id="86" w:name="_Toc423102515"/>
      <w:bookmarkStart w:id="87" w:name="_Toc433387468"/>
      <w:r w:rsidRPr="002964A7">
        <w:rPr>
          <w:lang w:eastAsia="es-CR"/>
        </w:rPr>
        <w:t>CUESTIONES PREVIAS</w:t>
      </w:r>
      <w:bookmarkEnd w:id="85"/>
      <w:bookmarkEnd w:id="86"/>
      <w:bookmarkEnd w:id="87"/>
    </w:p>
    <w:p w:rsidR="00BB0281" w:rsidRPr="002964A7" w:rsidRDefault="001154F9" w:rsidP="005A69BF">
      <w:pPr>
        <w:pStyle w:val="Heading3"/>
        <w:spacing w:line="240" w:lineRule="auto"/>
        <w:jc w:val="both"/>
        <w:rPr>
          <w:rFonts w:eastAsia="Calibri"/>
          <w:lang w:val="es-ES"/>
        </w:rPr>
      </w:pPr>
      <w:bookmarkStart w:id="88" w:name="_Toc421864935"/>
      <w:bookmarkStart w:id="89" w:name="_Toc423102516"/>
      <w:bookmarkStart w:id="90" w:name="_Toc433387469"/>
      <w:r>
        <w:rPr>
          <w:lang w:val="es-ES"/>
        </w:rPr>
        <w:t xml:space="preserve">A. </w:t>
      </w:r>
      <w:r w:rsidR="00BB0281" w:rsidRPr="002964A7">
        <w:rPr>
          <w:rFonts w:eastAsia="Calibri"/>
          <w:lang w:val="es-ES"/>
        </w:rPr>
        <w:t>Inclusión de Marcelina Guillén Riveros como presunta víctima por parte de los representantes</w:t>
      </w:r>
      <w:bookmarkEnd w:id="88"/>
      <w:bookmarkEnd w:id="89"/>
      <w:bookmarkEnd w:id="90"/>
    </w:p>
    <w:p w:rsidR="00BB0281" w:rsidRPr="002964A7" w:rsidRDefault="00BB0281" w:rsidP="001154F9">
      <w:pPr>
        <w:pStyle w:val="Heading3"/>
        <w:rPr>
          <w:rFonts w:eastAsia="Calibri"/>
          <w:lang w:val="es-CO"/>
        </w:rPr>
      </w:pPr>
      <w:bookmarkStart w:id="91" w:name="_Toc421864936"/>
      <w:bookmarkStart w:id="92" w:name="_Toc423102517"/>
      <w:bookmarkStart w:id="93" w:name="_Toc433387470"/>
      <w:r w:rsidRPr="002964A7">
        <w:rPr>
          <w:rFonts w:eastAsia="Calibri"/>
          <w:lang w:val="es-CO"/>
        </w:rPr>
        <w:t>A.1. Argumentos de las partes</w:t>
      </w:r>
      <w:bookmarkEnd w:id="91"/>
      <w:bookmarkEnd w:id="92"/>
      <w:r w:rsidR="002F3431" w:rsidRPr="002F3431">
        <w:rPr>
          <w:rFonts w:eastAsia="Calibri"/>
          <w:lang w:val="es-CO"/>
        </w:rPr>
        <w:t xml:space="preserve"> </w:t>
      </w:r>
      <w:r w:rsidR="002F3431">
        <w:rPr>
          <w:rFonts w:eastAsia="Calibri"/>
          <w:lang w:val="es-CO"/>
        </w:rPr>
        <w:t xml:space="preserve">y </w:t>
      </w:r>
      <w:r w:rsidR="002F3431" w:rsidRPr="002964A7">
        <w:rPr>
          <w:rFonts w:eastAsia="Calibri"/>
          <w:lang w:val="es-CO"/>
        </w:rPr>
        <w:t>la Comisión</w:t>
      </w:r>
      <w:bookmarkEnd w:id="93"/>
    </w:p>
    <w:p w:rsidR="00BB0281" w:rsidRPr="00FA7441" w:rsidRDefault="00BB0281" w:rsidP="00BB0281">
      <w:pPr>
        <w:autoSpaceDE w:val="0"/>
        <w:autoSpaceDN w:val="0"/>
        <w:adjustRightInd w:val="0"/>
        <w:spacing w:after="0" w:line="240" w:lineRule="auto"/>
        <w:ind w:right="15"/>
        <w:jc w:val="both"/>
        <w:rPr>
          <w:rFonts w:ascii="Verdana" w:eastAsia="Calibri" w:hAnsi="Verdana" w:cs="Arial"/>
          <w:sz w:val="16"/>
          <w:szCs w:val="20"/>
          <w:lang w:val="es-CO"/>
        </w:rPr>
      </w:pPr>
    </w:p>
    <w:p w:rsidR="000645F5" w:rsidRPr="000645F5"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ES"/>
        </w:rPr>
      </w:pPr>
      <w:r w:rsidRPr="002964A7">
        <w:rPr>
          <w:rFonts w:ascii="Verdana" w:hAnsi="Verdana"/>
          <w:sz w:val="20"/>
          <w:szCs w:val="20"/>
          <w:lang w:val="es-PR"/>
        </w:rPr>
        <w:t xml:space="preserve">El </w:t>
      </w:r>
      <w:r w:rsidRPr="002964A7">
        <w:rPr>
          <w:rFonts w:ascii="Verdana" w:hAnsi="Verdana"/>
          <w:b/>
          <w:i/>
          <w:sz w:val="20"/>
          <w:szCs w:val="20"/>
          <w:lang w:val="es-PR"/>
        </w:rPr>
        <w:t>Estado</w:t>
      </w:r>
      <w:r w:rsidRPr="002964A7">
        <w:rPr>
          <w:rFonts w:ascii="Verdana" w:hAnsi="Verdana"/>
          <w:sz w:val="20"/>
          <w:szCs w:val="20"/>
          <w:lang w:val="es-PR"/>
        </w:rPr>
        <w:t xml:space="preserve"> argumentó, con base en el artículo 35.1 del Reglamento de la Corte, que la señora Marcelina Guillén Riveros no fue incluida en el listado de presuntas víctimas identificadas por la Comisión en su Informe de </w:t>
      </w:r>
      <w:r w:rsidR="00DB4357">
        <w:rPr>
          <w:rFonts w:ascii="Verdana" w:hAnsi="Verdana"/>
          <w:sz w:val="20"/>
          <w:szCs w:val="20"/>
          <w:lang w:val="es-PR"/>
        </w:rPr>
        <w:t xml:space="preserve">Admisibilidad y </w:t>
      </w:r>
      <w:r w:rsidRPr="002964A7">
        <w:rPr>
          <w:rFonts w:ascii="Verdana" w:hAnsi="Verdana"/>
          <w:sz w:val="20"/>
          <w:szCs w:val="20"/>
          <w:lang w:val="es-PR"/>
        </w:rPr>
        <w:t xml:space="preserve">Fondo ni en su escrito de presentación del caso ante la Corte. Como consecuencia, para garantizar el derecho de defensa del Estado, no podría ser considerada como presunta víctima ante este Tribunal. </w:t>
      </w:r>
      <w:r w:rsidRPr="002964A7">
        <w:rPr>
          <w:rFonts w:ascii="Verdana" w:hAnsi="Verdana"/>
          <w:sz w:val="20"/>
          <w:szCs w:val="20"/>
          <w:lang w:val="es-ES"/>
        </w:rPr>
        <w:t>Aunado a lo anterior, señaló que los representantes no han presentado la resolución judicial o notarial que la acredite como “única heredera o derechohabiente” en un proceso o procedimiento de sucesión intestada, o en su caso, como “heredera universal”</w:t>
      </w:r>
      <w:r w:rsidRPr="002964A7">
        <w:rPr>
          <w:rFonts w:ascii="Verdana" w:hAnsi="Verdana"/>
          <w:b/>
          <w:sz w:val="20"/>
          <w:szCs w:val="20"/>
          <w:lang w:val="es-ES"/>
        </w:rPr>
        <w:t xml:space="preserve"> </w:t>
      </w:r>
      <w:r w:rsidRPr="002964A7">
        <w:rPr>
          <w:rFonts w:ascii="Verdana" w:hAnsi="Verdana"/>
          <w:sz w:val="20"/>
          <w:szCs w:val="20"/>
          <w:lang w:val="es-ES"/>
        </w:rPr>
        <w:t>de la familia Guillén Riveros. En consecuencia, solicitó que declare improcedente la inclusión de la señora Marcelina Guillén Riveros como presunta víctima en el presente caso.</w:t>
      </w:r>
      <w:r w:rsidR="00563EAB" w:rsidRPr="00FA7441">
        <w:rPr>
          <w:rFonts w:ascii="Verdana" w:hAnsi="Verdana"/>
          <w:sz w:val="20"/>
          <w:szCs w:val="20"/>
          <w:lang w:val="es-ES"/>
        </w:rPr>
        <w:t xml:space="preserve"> </w:t>
      </w:r>
      <w:r w:rsidRPr="002964A7">
        <w:rPr>
          <w:rFonts w:ascii="Verdana" w:hAnsi="Verdana"/>
          <w:sz w:val="20"/>
          <w:szCs w:val="20"/>
          <w:lang w:val="es-ES"/>
        </w:rPr>
        <w:t xml:space="preserve">En sus alegatos finales escritos, el Perú señaló que este argumento respecto del artículo 35.1 es consistente con la línea jurisprudencial de la Corte y con el artículo 50 de la </w:t>
      </w:r>
      <w:r w:rsidR="00563EAB">
        <w:rPr>
          <w:rFonts w:ascii="Verdana" w:hAnsi="Verdana"/>
          <w:sz w:val="20"/>
          <w:szCs w:val="20"/>
          <w:lang w:val="es-ES"/>
        </w:rPr>
        <w:t>Convención</w:t>
      </w:r>
      <w:r w:rsidRPr="002964A7">
        <w:rPr>
          <w:rFonts w:ascii="Verdana" w:hAnsi="Verdana"/>
          <w:sz w:val="20"/>
          <w:szCs w:val="20"/>
          <w:lang w:val="es-ES"/>
        </w:rPr>
        <w:t>. Asimismo, sostuvo que “el present</w:t>
      </w:r>
      <w:r w:rsidR="00563EAB">
        <w:rPr>
          <w:rFonts w:ascii="Verdana" w:hAnsi="Verdana"/>
          <w:sz w:val="20"/>
          <w:szCs w:val="20"/>
          <w:lang w:val="es-ES"/>
        </w:rPr>
        <w:t>e</w:t>
      </w:r>
      <w:r w:rsidRPr="002964A7">
        <w:rPr>
          <w:rFonts w:ascii="Verdana" w:hAnsi="Verdana"/>
          <w:sz w:val="20"/>
          <w:szCs w:val="20"/>
          <w:lang w:val="es-ES"/>
        </w:rPr>
        <w:t xml:space="preserve"> caso no se trata de uno de los supuestos” señalados en el artículo 35.2 del Reglamento, sin indicar por qué.</w:t>
      </w:r>
    </w:p>
    <w:p w:rsidR="000645F5" w:rsidRPr="000645F5" w:rsidRDefault="000645F5" w:rsidP="000645F5">
      <w:pPr>
        <w:pStyle w:val="ListParagraph"/>
        <w:autoSpaceDE w:val="0"/>
        <w:autoSpaceDN w:val="0"/>
        <w:adjustRightInd w:val="0"/>
        <w:spacing w:after="0" w:line="240" w:lineRule="auto"/>
        <w:ind w:left="0"/>
        <w:jc w:val="both"/>
        <w:rPr>
          <w:rFonts w:ascii="Verdana" w:hAnsi="Verdana"/>
          <w:b/>
          <w:sz w:val="20"/>
          <w:szCs w:val="20"/>
          <w:lang w:val="es-ES"/>
        </w:rPr>
      </w:pPr>
    </w:p>
    <w:p w:rsidR="00BB0281" w:rsidRPr="00563EAB" w:rsidRDefault="00BB0281" w:rsidP="001154F9">
      <w:pPr>
        <w:pStyle w:val="ListParagraph"/>
        <w:numPr>
          <w:ilvl w:val="0"/>
          <w:numId w:val="7"/>
        </w:numPr>
        <w:autoSpaceDE w:val="0"/>
        <w:autoSpaceDN w:val="0"/>
        <w:adjustRightInd w:val="0"/>
        <w:spacing w:after="0" w:line="240" w:lineRule="auto"/>
        <w:ind w:left="0" w:firstLine="0"/>
        <w:jc w:val="both"/>
        <w:rPr>
          <w:rFonts w:ascii="Arial" w:hAnsi="Arial" w:cs="Arial"/>
          <w:sz w:val="21"/>
          <w:szCs w:val="21"/>
        </w:rPr>
      </w:pPr>
      <w:r w:rsidRPr="000645F5">
        <w:rPr>
          <w:rFonts w:ascii="Verdana" w:hAnsi="Verdana"/>
          <w:sz w:val="20"/>
          <w:szCs w:val="20"/>
          <w:lang w:val="es-ES"/>
        </w:rPr>
        <w:t xml:space="preserve">Los </w:t>
      </w:r>
      <w:r w:rsidRPr="000645F5">
        <w:rPr>
          <w:rFonts w:ascii="Verdana" w:hAnsi="Verdana"/>
          <w:b/>
          <w:i/>
          <w:sz w:val="20"/>
          <w:szCs w:val="20"/>
          <w:lang w:val="es-ES"/>
        </w:rPr>
        <w:t>representantes</w:t>
      </w:r>
      <w:r w:rsidRPr="000645F5">
        <w:rPr>
          <w:rFonts w:ascii="Verdana" w:hAnsi="Verdana"/>
          <w:sz w:val="20"/>
          <w:szCs w:val="20"/>
          <w:lang w:val="es-ES"/>
        </w:rPr>
        <w:t xml:space="preserve"> solicitaron a la Corte incluir a la señora Marcelina Guillén Riveros como presunta víctima en el caso. Explicaron que, a causa de dificultades inherentes al caso, </w:t>
      </w:r>
      <w:r w:rsidR="00335E16">
        <w:rPr>
          <w:rFonts w:ascii="Verdana" w:eastAsia="Calibri" w:hAnsi="Verdana" w:cs="Arial"/>
          <w:sz w:val="20"/>
          <w:szCs w:val="20"/>
          <w:lang w:val="es-GT"/>
        </w:rPr>
        <w:t>ella</w:t>
      </w:r>
      <w:r w:rsidRPr="000645F5">
        <w:rPr>
          <w:rFonts w:ascii="Verdana" w:hAnsi="Verdana"/>
          <w:sz w:val="20"/>
          <w:szCs w:val="20"/>
          <w:lang w:val="es-ES"/>
        </w:rPr>
        <w:t xml:space="preserve"> </w:t>
      </w:r>
      <w:r w:rsidRPr="000645F5">
        <w:rPr>
          <w:rFonts w:ascii="Verdana" w:hAnsi="Verdana"/>
          <w:sz w:val="20"/>
          <w:szCs w:val="20"/>
        </w:rPr>
        <w:t>no</w:t>
      </w:r>
      <w:r w:rsidRPr="000645F5">
        <w:rPr>
          <w:rFonts w:ascii="Verdana" w:hAnsi="Verdana"/>
          <w:sz w:val="20"/>
          <w:szCs w:val="20"/>
          <w:lang w:val="es-ES"/>
        </w:rPr>
        <w:t xml:space="preserve"> se enteró del proceso internacional que </w:t>
      </w:r>
      <w:r w:rsidR="005B6344" w:rsidRPr="000645F5">
        <w:rPr>
          <w:rFonts w:ascii="Verdana" w:hAnsi="Verdana"/>
          <w:sz w:val="20"/>
          <w:szCs w:val="20"/>
          <w:lang w:val="es-ES"/>
        </w:rPr>
        <w:t>lleva</w:t>
      </w:r>
      <w:r w:rsidR="005B6344">
        <w:rPr>
          <w:rFonts w:ascii="Verdana" w:hAnsi="Verdana"/>
          <w:sz w:val="20"/>
          <w:szCs w:val="20"/>
          <w:lang w:val="es-ES"/>
        </w:rPr>
        <w:t>ron</w:t>
      </w:r>
      <w:r w:rsidR="005B6344" w:rsidRPr="000645F5">
        <w:rPr>
          <w:rFonts w:ascii="Verdana" w:hAnsi="Verdana"/>
          <w:sz w:val="20"/>
          <w:szCs w:val="20"/>
          <w:lang w:val="es-ES"/>
        </w:rPr>
        <w:t xml:space="preserve"> </w:t>
      </w:r>
      <w:r w:rsidR="005B6344">
        <w:rPr>
          <w:rFonts w:ascii="Verdana" w:hAnsi="Verdana"/>
          <w:sz w:val="20"/>
          <w:szCs w:val="20"/>
          <w:lang w:val="es-ES"/>
        </w:rPr>
        <w:t xml:space="preserve">a cabo </w:t>
      </w:r>
      <w:r w:rsidRPr="000645F5">
        <w:rPr>
          <w:rFonts w:ascii="Verdana" w:hAnsi="Verdana"/>
          <w:sz w:val="20"/>
          <w:szCs w:val="20"/>
          <w:lang w:val="es-ES"/>
        </w:rPr>
        <w:t>las otras presuntas víctimas sino hasta después de la emisión del Informe de</w:t>
      </w:r>
      <w:r w:rsidR="005B6344">
        <w:rPr>
          <w:rFonts w:ascii="Verdana" w:hAnsi="Verdana"/>
          <w:sz w:val="20"/>
          <w:szCs w:val="20"/>
          <w:lang w:val="es-ES"/>
        </w:rPr>
        <w:t xml:space="preserve"> Admisibilidad y</w:t>
      </w:r>
      <w:r w:rsidRPr="000645F5">
        <w:rPr>
          <w:rFonts w:ascii="Verdana" w:hAnsi="Verdana"/>
          <w:sz w:val="20"/>
          <w:szCs w:val="20"/>
          <w:lang w:val="es-ES"/>
        </w:rPr>
        <w:t xml:space="preserve"> Fondo. </w:t>
      </w:r>
      <w:r w:rsidR="005B6344">
        <w:rPr>
          <w:rFonts w:ascii="Verdana" w:hAnsi="Verdana"/>
          <w:sz w:val="20"/>
          <w:szCs w:val="20"/>
          <w:lang w:val="es-ES"/>
        </w:rPr>
        <w:t>Dichas</w:t>
      </w:r>
      <w:r w:rsidR="005B6344" w:rsidRPr="000645F5">
        <w:rPr>
          <w:rFonts w:ascii="Verdana" w:hAnsi="Verdana"/>
          <w:sz w:val="20"/>
          <w:szCs w:val="20"/>
          <w:lang w:val="es-ES"/>
        </w:rPr>
        <w:t xml:space="preserve"> </w:t>
      </w:r>
      <w:r w:rsidRPr="000645F5">
        <w:rPr>
          <w:rFonts w:ascii="Verdana" w:hAnsi="Verdana"/>
          <w:sz w:val="20"/>
          <w:szCs w:val="20"/>
          <w:lang w:val="es-ES"/>
        </w:rPr>
        <w:t>dificultades consistirían en</w:t>
      </w:r>
      <w:r w:rsidR="00C4660D">
        <w:rPr>
          <w:rFonts w:ascii="Verdana" w:hAnsi="Verdana"/>
          <w:sz w:val="20"/>
          <w:szCs w:val="20"/>
          <w:lang w:val="es-ES"/>
        </w:rPr>
        <w:t xml:space="preserve"> lo </w:t>
      </w:r>
      <w:r w:rsidR="005B6344">
        <w:rPr>
          <w:rFonts w:ascii="Verdana" w:hAnsi="Verdana"/>
          <w:sz w:val="20"/>
          <w:szCs w:val="20"/>
          <w:lang w:val="es-ES"/>
        </w:rPr>
        <w:t>siguiente</w:t>
      </w:r>
      <w:r w:rsidRPr="000645F5">
        <w:rPr>
          <w:rFonts w:ascii="Verdana" w:hAnsi="Verdana"/>
          <w:sz w:val="20"/>
          <w:szCs w:val="20"/>
          <w:lang w:val="es-ES"/>
        </w:rPr>
        <w:t>: los hechos del caso</w:t>
      </w:r>
      <w:r w:rsidR="00563EAB" w:rsidRPr="000645F5">
        <w:rPr>
          <w:rFonts w:ascii="Verdana" w:hAnsi="Verdana" w:cs="Arial"/>
          <w:sz w:val="20"/>
          <w:szCs w:val="20"/>
          <w:lang w:val="es-ES"/>
        </w:rPr>
        <w:t xml:space="preserve"> relacionados</w:t>
      </w:r>
      <w:r w:rsidRPr="000645F5">
        <w:rPr>
          <w:rFonts w:ascii="Verdana" w:hAnsi="Verdana" w:cs="Arial"/>
          <w:sz w:val="20"/>
          <w:szCs w:val="20"/>
          <w:lang w:val="es-ES"/>
        </w:rPr>
        <w:t xml:space="preserve"> con graves violaciones de derechos humanos en perjuicio de 15 personas y sus familiares; las características del área</w:t>
      </w:r>
      <w:r w:rsidR="004769DF">
        <w:rPr>
          <w:rFonts w:ascii="Verdana" w:hAnsi="Verdana" w:cs="Arial"/>
          <w:sz w:val="20"/>
          <w:szCs w:val="20"/>
          <w:lang w:val="es-ES"/>
        </w:rPr>
        <w:t>,</w:t>
      </w:r>
      <w:r w:rsidR="005B6344">
        <w:rPr>
          <w:rFonts w:ascii="Verdana" w:hAnsi="Verdana" w:cs="Arial"/>
          <w:sz w:val="20"/>
          <w:szCs w:val="20"/>
          <w:lang w:val="es-ES"/>
        </w:rPr>
        <w:t xml:space="preserve"> </w:t>
      </w:r>
      <w:r w:rsidR="00FA7441">
        <w:rPr>
          <w:rFonts w:ascii="Verdana" w:hAnsi="Verdana" w:cs="Arial"/>
          <w:sz w:val="20"/>
          <w:szCs w:val="20"/>
          <w:lang w:val="es-ES"/>
        </w:rPr>
        <w:t xml:space="preserve">una </w:t>
      </w:r>
      <w:r w:rsidRPr="000645F5">
        <w:rPr>
          <w:rFonts w:ascii="Verdana" w:hAnsi="Verdana" w:cs="Arial"/>
          <w:sz w:val="20"/>
          <w:szCs w:val="20"/>
          <w:lang w:val="es-ES"/>
        </w:rPr>
        <w:t>zona rural del Perú</w:t>
      </w:r>
      <w:r w:rsidR="00FA7441">
        <w:rPr>
          <w:rFonts w:ascii="Verdana" w:hAnsi="Verdana" w:cs="Arial"/>
          <w:sz w:val="20"/>
          <w:szCs w:val="20"/>
          <w:lang w:val="es-ES"/>
        </w:rPr>
        <w:t xml:space="preserve"> en la cual existen</w:t>
      </w:r>
      <w:r w:rsidR="00FA7441" w:rsidRPr="000645F5">
        <w:rPr>
          <w:rFonts w:ascii="Verdana" w:hAnsi="Verdana" w:cs="Arial"/>
          <w:sz w:val="20"/>
          <w:szCs w:val="20"/>
          <w:lang w:val="es-ES"/>
        </w:rPr>
        <w:t xml:space="preserve"> serias dificultades logísticas para mantener el contacto entre miembros de una misma comunidad</w:t>
      </w:r>
      <w:r w:rsidR="002664BB">
        <w:rPr>
          <w:rFonts w:ascii="Verdana" w:hAnsi="Verdana" w:cs="Arial"/>
          <w:sz w:val="20"/>
          <w:szCs w:val="20"/>
          <w:lang w:val="es-ES"/>
        </w:rPr>
        <w:t>, ya que</w:t>
      </w:r>
      <w:r w:rsidR="00563EAB" w:rsidRPr="000645F5">
        <w:rPr>
          <w:rFonts w:ascii="Verdana" w:hAnsi="Verdana" w:cs="Arial"/>
          <w:sz w:val="20"/>
          <w:szCs w:val="20"/>
          <w:lang w:val="es-ES"/>
        </w:rPr>
        <w:t xml:space="preserve"> </w:t>
      </w:r>
      <w:r w:rsidR="00563EAB" w:rsidRPr="000645F5">
        <w:rPr>
          <w:rFonts w:ascii="Verdana" w:hAnsi="Verdana" w:cs="Arial"/>
          <w:sz w:val="20"/>
          <w:szCs w:val="20"/>
        </w:rPr>
        <w:t xml:space="preserve">los </w:t>
      </w:r>
      <w:r w:rsidR="00563EAB" w:rsidRPr="000645F5">
        <w:rPr>
          <w:rFonts w:ascii="Verdana" w:hAnsi="Verdana" w:cs="Arial"/>
          <w:sz w:val="20"/>
          <w:szCs w:val="20"/>
        </w:rPr>
        <w:lastRenderedPageBreak/>
        <w:t>tiempos requeridos para trasladarse de una estancia o comunicarse con un vecino o familiar que vive en una casa de campo sin luz, teléfono y transporte, pueden ser largos</w:t>
      </w:r>
      <w:r w:rsidR="00FA7441">
        <w:rPr>
          <w:rFonts w:ascii="Verdana" w:hAnsi="Verdana" w:cs="Arial"/>
          <w:sz w:val="20"/>
          <w:szCs w:val="20"/>
          <w:lang w:val="es-ES"/>
        </w:rPr>
        <w:t xml:space="preserve">, </w:t>
      </w:r>
      <w:r w:rsidRPr="000645F5">
        <w:rPr>
          <w:rFonts w:ascii="Verdana" w:hAnsi="Verdana" w:cs="Arial"/>
          <w:sz w:val="20"/>
          <w:szCs w:val="20"/>
          <w:lang w:val="es-ES"/>
        </w:rPr>
        <w:t xml:space="preserve">y </w:t>
      </w:r>
      <w:r w:rsidRPr="000645F5">
        <w:rPr>
          <w:rFonts w:ascii="Verdana" w:hAnsi="Verdana"/>
          <w:sz w:val="20"/>
          <w:szCs w:val="20"/>
          <w:lang w:val="es-ES"/>
        </w:rPr>
        <w:t xml:space="preserve">la ruptura entre los miembros de la comunidad que habría ocurrido como consecuencia de los hechos. Por otra parte, señalaron que la identificación de la señora Marcelina Guillén como presunta víctima en el presente caso </w:t>
      </w:r>
      <w:r w:rsidRPr="000645F5">
        <w:rPr>
          <w:rFonts w:ascii="Verdana" w:hAnsi="Verdana" w:cs="Arial"/>
          <w:sz w:val="20"/>
          <w:szCs w:val="20"/>
          <w:lang w:val="es-ES"/>
        </w:rPr>
        <w:t>no afectaría el derecho de defensa del Estado, sobre todo en vista de que el Perú aceptó su responsabilidad internacional respecto de su hermana, Dioni</w:t>
      </w:r>
      <w:r w:rsidR="002664BB">
        <w:rPr>
          <w:rFonts w:ascii="Verdana" w:hAnsi="Verdana" w:cs="Arial"/>
          <w:sz w:val="20"/>
          <w:szCs w:val="20"/>
          <w:lang w:val="es-ES"/>
        </w:rPr>
        <w:t>c</w:t>
      </w:r>
      <w:r w:rsidRPr="000645F5">
        <w:rPr>
          <w:rFonts w:ascii="Verdana" w:hAnsi="Verdana" w:cs="Arial"/>
          <w:sz w:val="20"/>
          <w:szCs w:val="20"/>
          <w:lang w:val="es-ES"/>
        </w:rPr>
        <w:t xml:space="preserve">ia Guillén Riveros, y tuvo pleno conocimiento de la inclusión de sus padres como víctimas identificadas en la demanda. En sus alegatos finales escritos, los representantes alegaron que la señora </w:t>
      </w:r>
      <w:r w:rsidR="002664BB">
        <w:rPr>
          <w:rFonts w:ascii="Verdana" w:hAnsi="Verdana" w:cs="Arial"/>
          <w:sz w:val="20"/>
          <w:szCs w:val="20"/>
          <w:lang w:val="es-ES"/>
        </w:rPr>
        <w:t xml:space="preserve">Marcelina </w:t>
      </w:r>
      <w:r w:rsidRPr="000645F5">
        <w:rPr>
          <w:rFonts w:ascii="Verdana" w:hAnsi="Verdana" w:cs="Arial"/>
          <w:sz w:val="20"/>
          <w:szCs w:val="20"/>
          <w:lang w:val="es-ES"/>
        </w:rPr>
        <w:t>Guillén Riveros estuvo entre las personas detenidas y amenazadas de muerte por efectivos militares en 1991 mientras dinamitaron la mina, y que el ejército s</w:t>
      </w:r>
      <w:r w:rsidR="005E414F">
        <w:rPr>
          <w:rFonts w:ascii="Verdana" w:hAnsi="Verdana" w:cs="Arial"/>
          <w:sz w:val="20"/>
          <w:szCs w:val="20"/>
          <w:lang w:val="es-ES"/>
        </w:rPr>
        <w:t>o</w:t>
      </w:r>
      <w:r w:rsidRPr="000645F5">
        <w:rPr>
          <w:rFonts w:ascii="Verdana" w:hAnsi="Verdana" w:cs="Arial"/>
          <w:sz w:val="20"/>
          <w:szCs w:val="20"/>
          <w:lang w:val="es-ES"/>
        </w:rPr>
        <w:t>l</w:t>
      </w:r>
      <w:r w:rsidR="00890371">
        <w:rPr>
          <w:rFonts w:ascii="Verdana" w:hAnsi="Verdana" w:cs="Arial"/>
          <w:sz w:val="20"/>
          <w:szCs w:val="20"/>
          <w:lang w:val="es-ES"/>
        </w:rPr>
        <w:t>amente</w:t>
      </w:r>
      <w:r w:rsidRPr="000645F5">
        <w:rPr>
          <w:rFonts w:ascii="Verdana" w:hAnsi="Verdana" w:cs="Arial"/>
          <w:sz w:val="20"/>
          <w:szCs w:val="20"/>
          <w:lang w:val="es-ES"/>
        </w:rPr>
        <w:t xml:space="preserve"> los dej</w:t>
      </w:r>
      <w:r w:rsidR="00563EAB" w:rsidRPr="000645F5">
        <w:rPr>
          <w:rFonts w:ascii="Verdana" w:hAnsi="Verdana" w:cs="Arial"/>
          <w:sz w:val="20"/>
          <w:szCs w:val="20"/>
          <w:lang w:val="es-ES"/>
        </w:rPr>
        <w:t>ó</w:t>
      </w:r>
      <w:r w:rsidRPr="000645F5">
        <w:rPr>
          <w:rFonts w:ascii="Verdana" w:hAnsi="Verdana" w:cs="Arial"/>
          <w:sz w:val="20"/>
          <w:szCs w:val="20"/>
          <w:lang w:val="es-ES"/>
        </w:rPr>
        <w:t xml:space="preserve"> ir bajo</w:t>
      </w:r>
      <w:r w:rsidR="00563EAB" w:rsidRPr="000645F5">
        <w:rPr>
          <w:rFonts w:ascii="Verdana" w:hAnsi="Verdana" w:cs="Arial"/>
          <w:sz w:val="20"/>
          <w:szCs w:val="20"/>
          <w:lang w:val="es-ES"/>
        </w:rPr>
        <w:t xml:space="preserve"> la</w:t>
      </w:r>
      <w:r w:rsidRPr="000645F5">
        <w:rPr>
          <w:rFonts w:ascii="Verdana" w:hAnsi="Verdana" w:cs="Arial"/>
          <w:sz w:val="20"/>
          <w:szCs w:val="20"/>
          <w:lang w:val="es-ES"/>
        </w:rPr>
        <w:t xml:space="preserve"> promesa</w:t>
      </w:r>
      <w:r w:rsidR="00563EAB" w:rsidRPr="000645F5">
        <w:rPr>
          <w:rFonts w:ascii="Verdana" w:hAnsi="Verdana" w:cs="Arial"/>
          <w:sz w:val="20"/>
          <w:szCs w:val="20"/>
          <w:lang w:val="es-ES"/>
        </w:rPr>
        <w:t xml:space="preserve"> </w:t>
      </w:r>
      <w:r w:rsidRPr="000645F5">
        <w:rPr>
          <w:rFonts w:ascii="Verdana" w:hAnsi="Verdana" w:cs="Arial"/>
          <w:sz w:val="20"/>
          <w:szCs w:val="20"/>
          <w:lang w:val="es-ES"/>
        </w:rPr>
        <w:t>que afirmarían que no pasó nada en la mina. Según los representantes, el efecto amedrentador de este hecho “presentó serias complicaciones para que ella mantuviera contacto con los otros familiares de las víctimas y la comunidad en general”.</w:t>
      </w:r>
      <w:r w:rsidRPr="002964A7">
        <w:rPr>
          <w:rFonts w:cs="Arial"/>
          <w:lang w:val="es-ES"/>
        </w:rPr>
        <w:t xml:space="preserve"> </w:t>
      </w:r>
    </w:p>
    <w:p w:rsidR="00BB0281" w:rsidRPr="002964A7" w:rsidRDefault="00BB0281" w:rsidP="00BB0281">
      <w:pPr>
        <w:autoSpaceDE w:val="0"/>
        <w:autoSpaceDN w:val="0"/>
        <w:adjustRightInd w:val="0"/>
        <w:spacing w:after="0" w:line="240" w:lineRule="auto"/>
        <w:ind w:right="15"/>
        <w:contextualSpacing/>
        <w:jc w:val="both"/>
        <w:rPr>
          <w:rFonts w:ascii="Verdana" w:hAnsi="Verdana" w:cs="Arial"/>
          <w:sz w:val="20"/>
          <w:szCs w:val="20"/>
          <w:lang w:val="es-ES"/>
        </w:rPr>
      </w:pPr>
    </w:p>
    <w:p w:rsidR="00BB0281" w:rsidRPr="001154F9"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cs="Arial"/>
          <w:b/>
          <w:sz w:val="20"/>
          <w:szCs w:val="20"/>
        </w:rPr>
      </w:pPr>
      <w:r w:rsidRPr="002964A7">
        <w:rPr>
          <w:rFonts w:ascii="Verdana" w:hAnsi="Verdana" w:cs="Arial"/>
          <w:sz w:val="20"/>
          <w:szCs w:val="20"/>
          <w:lang w:val="es-ES"/>
        </w:rPr>
        <w:t xml:space="preserve">La </w:t>
      </w:r>
      <w:r w:rsidRPr="002964A7">
        <w:rPr>
          <w:rFonts w:ascii="Verdana" w:hAnsi="Verdana" w:cs="Arial"/>
          <w:b/>
          <w:i/>
          <w:sz w:val="20"/>
          <w:szCs w:val="20"/>
          <w:lang w:val="es-ES"/>
        </w:rPr>
        <w:t>Comisión</w:t>
      </w:r>
      <w:r w:rsidRPr="002964A7">
        <w:rPr>
          <w:rFonts w:ascii="Verdana" w:hAnsi="Verdana" w:cs="Arial"/>
          <w:sz w:val="20"/>
          <w:szCs w:val="20"/>
          <w:lang w:val="es-ES"/>
        </w:rPr>
        <w:t xml:space="preserve"> observó que si bien el artículo 35.1 del Reglamento hace referencia a la identificación de las víctimas en el Informe de Fondo, esta regla no es de </w:t>
      </w:r>
      <w:r w:rsidRPr="002964A7">
        <w:rPr>
          <w:rFonts w:ascii="Verdana" w:hAnsi="Verdana"/>
          <w:sz w:val="20"/>
          <w:szCs w:val="20"/>
          <w:lang w:val="es-ES"/>
        </w:rPr>
        <w:t>carácter</w:t>
      </w:r>
      <w:r w:rsidRPr="002964A7">
        <w:rPr>
          <w:rFonts w:ascii="Verdana" w:hAnsi="Verdana" w:cs="Arial"/>
          <w:sz w:val="20"/>
          <w:szCs w:val="20"/>
          <w:lang w:val="es-ES"/>
        </w:rPr>
        <w:t xml:space="preserve"> absoluto, pues el artículo 35.2 del mismo </w:t>
      </w:r>
      <w:r w:rsidR="00FD0420">
        <w:rPr>
          <w:rFonts w:ascii="Verdana" w:hAnsi="Verdana" w:cs="Arial"/>
          <w:sz w:val="20"/>
          <w:szCs w:val="20"/>
          <w:lang w:val="es-ES"/>
        </w:rPr>
        <w:t>instrumento</w:t>
      </w:r>
      <w:r w:rsidR="00FD0420" w:rsidRPr="002964A7">
        <w:rPr>
          <w:rFonts w:ascii="Verdana" w:hAnsi="Verdana" w:cs="Arial"/>
          <w:sz w:val="20"/>
          <w:szCs w:val="20"/>
          <w:lang w:val="es-ES"/>
        </w:rPr>
        <w:t xml:space="preserve"> </w:t>
      </w:r>
      <w:r w:rsidRPr="002964A7">
        <w:rPr>
          <w:rFonts w:ascii="Verdana" w:hAnsi="Verdana" w:cs="Arial"/>
          <w:sz w:val="20"/>
          <w:szCs w:val="20"/>
          <w:lang w:val="es-ES"/>
        </w:rPr>
        <w:t xml:space="preserve">indica la existencia de situaciones especiales en las cuales ello no es posible. Sobre esta base, consideró que, debido a la </w:t>
      </w:r>
      <w:r w:rsidRPr="002964A7">
        <w:rPr>
          <w:rFonts w:ascii="Verdana" w:eastAsia="Calibri" w:hAnsi="Verdana" w:cs="Arial"/>
          <w:sz w:val="20"/>
          <w:szCs w:val="20"/>
          <w:lang w:val="es-GT"/>
        </w:rPr>
        <w:t>naturaleza</w:t>
      </w:r>
      <w:r w:rsidRPr="002964A7">
        <w:rPr>
          <w:rFonts w:ascii="Verdana" w:hAnsi="Verdana" w:cs="Arial"/>
          <w:sz w:val="20"/>
          <w:szCs w:val="20"/>
          <w:lang w:val="es-ES"/>
        </w:rPr>
        <w:t xml:space="preserve"> propia del caso, la explicación aportada por los </w:t>
      </w:r>
      <w:r w:rsidRPr="002964A7">
        <w:rPr>
          <w:rFonts w:ascii="Verdana" w:hAnsi="Verdana"/>
          <w:sz w:val="20"/>
          <w:szCs w:val="20"/>
          <w:lang w:val="es-PR"/>
        </w:rPr>
        <w:t>representantes</w:t>
      </w:r>
      <w:r w:rsidRPr="002964A7">
        <w:rPr>
          <w:rFonts w:ascii="Verdana" w:hAnsi="Verdana" w:cs="Arial"/>
          <w:sz w:val="20"/>
          <w:szCs w:val="20"/>
          <w:lang w:val="es-ES"/>
        </w:rPr>
        <w:t xml:space="preserve"> resultaba razonable. Además, argumentó que la </w:t>
      </w:r>
      <w:r w:rsidRPr="002964A7">
        <w:rPr>
          <w:rFonts w:ascii="Verdana" w:hAnsi="Verdana"/>
          <w:sz w:val="20"/>
          <w:szCs w:val="20"/>
          <w:lang w:val="es-ES"/>
        </w:rPr>
        <w:t>alegada</w:t>
      </w:r>
      <w:r w:rsidRPr="002964A7">
        <w:rPr>
          <w:rFonts w:ascii="Verdana" w:hAnsi="Verdana" w:cs="Arial"/>
          <w:sz w:val="20"/>
          <w:szCs w:val="20"/>
          <w:lang w:val="es-ES"/>
        </w:rPr>
        <w:t xml:space="preserve"> afectación al derecho de defensa del Estado no se encontraba justificada en tanto </w:t>
      </w:r>
      <w:r w:rsidR="002F3431">
        <w:rPr>
          <w:rFonts w:ascii="Verdana" w:hAnsi="Verdana" w:cs="Arial"/>
          <w:sz w:val="20"/>
          <w:szCs w:val="20"/>
          <w:lang w:val="es-ES"/>
        </w:rPr>
        <w:t>e</w:t>
      </w:r>
      <w:r w:rsidRPr="002964A7">
        <w:rPr>
          <w:rFonts w:ascii="Verdana" w:hAnsi="Verdana" w:cs="Arial"/>
          <w:sz w:val="20"/>
          <w:szCs w:val="20"/>
          <w:lang w:val="es-ES"/>
        </w:rPr>
        <w:t>ste contaba con múltiples oportunidades en el trámite ante la Corte para defenderse. En virtud de lo anterior, solicitó a la Corte “que desestime esta excepción preliminar”.</w:t>
      </w:r>
    </w:p>
    <w:p w:rsidR="00BB0281" w:rsidRPr="002964A7" w:rsidRDefault="00BB0281" w:rsidP="001154F9">
      <w:pPr>
        <w:pStyle w:val="Heading3"/>
        <w:rPr>
          <w:lang w:val="es-ES"/>
        </w:rPr>
      </w:pPr>
      <w:bookmarkStart w:id="94" w:name="_Toc421864937"/>
      <w:bookmarkStart w:id="95" w:name="_Toc423102518"/>
      <w:bookmarkStart w:id="96" w:name="_Toc433387471"/>
      <w:r w:rsidRPr="002964A7">
        <w:rPr>
          <w:lang w:val="es-ES"/>
        </w:rPr>
        <w:t>A.2. Consideraciones de la Corte</w:t>
      </w:r>
      <w:bookmarkEnd w:id="94"/>
      <w:bookmarkEnd w:id="95"/>
      <w:bookmarkEnd w:id="96"/>
    </w:p>
    <w:p w:rsidR="00BB0281" w:rsidRPr="002964A7" w:rsidRDefault="00BB0281" w:rsidP="00BB0281">
      <w:pPr>
        <w:autoSpaceDE w:val="0"/>
        <w:autoSpaceDN w:val="0"/>
        <w:adjustRightInd w:val="0"/>
        <w:spacing w:after="0" w:line="240" w:lineRule="auto"/>
        <w:ind w:right="15"/>
        <w:contextualSpacing/>
        <w:jc w:val="both"/>
        <w:rPr>
          <w:rFonts w:ascii="Verdana" w:hAnsi="Verdana" w:cs="Arial"/>
          <w:sz w:val="20"/>
          <w:szCs w:val="20"/>
          <w:lang w:val="es-ES"/>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ES"/>
        </w:rPr>
      </w:pPr>
      <w:r w:rsidRPr="002964A7">
        <w:rPr>
          <w:rFonts w:ascii="Verdana" w:hAnsi="Verdana" w:cs="Arial"/>
          <w:sz w:val="20"/>
          <w:szCs w:val="20"/>
        </w:rPr>
        <w:t>La Corte recuerda que las presuntas víctimas deben estar señaladas en el Informe de Fondo de la Comisión, emitido según el artículo 50 de la Convención</w:t>
      </w:r>
      <w:r w:rsidRPr="002964A7">
        <w:rPr>
          <w:rFonts w:ascii="Verdana" w:hAnsi="Verdana" w:cs="Arial"/>
          <w:sz w:val="20"/>
          <w:szCs w:val="20"/>
          <w:vertAlign w:val="superscript"/>
        </w:rPr>
        <w:footnoteReference w:id="31"/>
      </w:r>
      <w:r w:rsidRPr="002964A7">
        <w:rPr>
          <w:rFonts w:ascii="Verdana" w:hAnsi="Verdana" w:cs="Arial"/>
          <w:sz w:val="20"/>
          <w:szCs w:val="20"/>
        </w:rPr>
        <w:t xml:space="preserve">. El artículo 35.1 del Reglamento de este Tribunal dispone que el caso será sometido a la Corte mediante la presentación de dicho Informe, el cual deberá contener “la identificación de las </w:t>
      </w:r>
      <w:r w:rsidRPr="002964A7">
        <w:rPr>
          <w:rFonts w:ascii="Verdana" w:hAnsi="Verdana"/>
          <w:sz w:val="20"/>
          <w:szCs w:val="20"/>
        </w:rPr>
        <w:t>presuntas</w:t>
      </w:r>
      <w:r w:rsidRPr="002964A7">
        <w:rPr>
          <w:rFonts w:ascii="Verdana" w:hAnsi="Verdana" w:cs="Arial"/>
          <w:sz w:val="20"/>
          <w:szCs w:val="20"/>
        </w:rPr>
        <w:t xml:space="preserve"> víctimas”. De conformidad con dicha norma, corresponde a la Comisión y no a este Tribunal identificar con precisión y en la debida oportunidad procesal a las presuntas víctimas en un caso ante la Corte</w:t>
      </w:r>
      <w:r w:rsidRPr="002964A7">
        <w:rPr>
          <w:rFonts w:ascii="Verdana" w:hAnsi="Verdana" w:cs="Arial"/>
          <w:sz w:val="20"/>
          <w:szCs w:val="20"/>
          <w:vertAlign w:val="superscript"/>
        </w:rPr>
        <w:footnoteReference w:id="32"/>
      </w:r>
      <w:r w:rsidRPr="002964A7">
        <w:rPr>
          <w:rFonts w:ascii="Verdana" w:hAnsi="Verdana" w:cs="Arial"/>
          <w:sz w:val="20"/>
          <w:szCs w:val="20"/>
        </w:rPr>
        <w:t>. La seguridad jurídica exige, como regla general, que todas las presuntas víctimas estén debidamente identificadas en el Informe de Fondo, no siendo posible añadir nuevas presuntas víctimas luego del mismo, salvo en la circunstancia excepcional contemplada en el artículo 35.2 del Reglamento de la Corte</w:t>
      </w:r>
      <w:r w:rsidRPr="002964A7">
        <w:rPr>
          <w:rFonts w:ascii="Verdana" w:hAnsi="Verdana" w:cs="Arial"/>
          <w:sz w:val="20"/>
          <w:szCs w:val="20"/>
          <w:vertAlign w:val="superscript"/>
        </w:rPr>
        <w:footnoteReference w:id="33"/>
      </w:r>
      <w:r w:rsidRPr="002964A7">
        <w:rPr>
          <w:rFonts w:ascii="Verdana" w:hAnsi="Verdana" w:cs="Arial"/>
          <w:sz w:val="20"/>
          <w:szCs w:val="20"/>
        </w:rPr>
        <w:t>.</w:t>
      </w:r>
    </w:p>
    <w:p w:rsidR="00BB0281" w:rsidRPr="002964A7" w:rsidRDefault="00BB0281" w:rsidP="00BB0281">
      <w:pPr>
        <w:autoSpaceDE w:val="0"/>
        <w:autoSpaceDN w:val="0"/>
        <w:adjustRightInd w:val="0"/>
        <w:spacing w:after="0" w:line="240" w:lineRule="auto"/>
        <w:ind w:right="15"/>
        <w:contextualSpacing/>
        <w:jc w:val="both"/>
        <w:rPr>
          <w:rFonts w:ascii="Verdana" w:hAnsi="Verdana" w:cs="Arial"/>
          <w:sz w:val="20"/>
          <w:szCs w:val="20"/>
          <w:lang w:val="es-ES"/>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ES"/>
        </w:rPr>
      </w:pPr>
      <w:r w:rsidRPr="002964A7">
        <w:rPr>
          <w:rFonts w:ascii="Verdana" w:hAnsi="Verdana" w:cs="Arial"/>
          <w:sz w:val="20"/>
          <w:szCs w:val="20"/>
          <w:lang w:val="es-ES"/>
        </w:rPr>
        <w:t xml:space="preserve">Por otro lado, el Tribunal </w:t>
      </w:r>
      <w:r w:rsidRPr="006C105A">
        <w:rPr>
          <w:rFonts w:ascii="Verdana" w:hAnsi="Verdana" w:cs="Arial"/>
          <w:sz w:val="20"/>
          <w:szCs w:val="20"/>
          <w:lang w:val="es-ES"/>
        </w:rPr>
        <w:t xml:space="preserve">recuerda que, de conformidad con el artículo 35.2 del Reglamento, “[c]uando </w:t>
      </w:r>
      <w:r w:rsidR="006C105A" w:rsidRPr="006C105A">
        <w:rPr>
          <w:rFonts w:ascii="Verdana" w:hAnsi="Verdana"/>
          <w:sz w:val="20"/>
          <w:szCs w:val="20"/>
        </w:rPr>
        <w:t>se justificare que no fue posible identificar a alguna o algunas presuntas víctimas de los hechos del caso por tratarse de casos de violaciones masivas o colectivas, el Tribunal decidirá en su oportunidad si las considera víctimas</w:t>
      </w:r>
      <w:r w:rsidRPr="006C105A">
        <w:rPr>
          <w:rFonts w:ascii="Verdana" w:hAnsi="Verdana" w:cs="Arial"/>
          <w:sz w:val="20"/>
          <w:szCs w:val="20"/>
          <w:lang w:val="es-ES"/>
        </w:rPr>
        <w:t>”. En su jurisprudencia al respecto</w:t>
      </w:r>
      <w:r w:rsidRPr="002964A7">
        <w:rPr>
          <w:rFonts w:ascii="Verdana" w:hAnsi="Verdana" w:cs="Arial"/>
          <w:sz w:val="20"/>
          <w:szCs w:val="20"/>
          <w:lang w:val="es-ES"/>
        </w:rPr>
        <w:t>, la Corte ha evaluado la aplicación del artículo 35.2 del Reglamento con base en las características particulares de cada caso</w:t>
      </w:r>
      <w:r w:rsidRPr="002964A7">
        <w:rPr>
          <w:rFonts w:ascii="Verdana" w:hAnsi="Verdana" w:cs="Arial"/>
          <w:sz w:val="20"/>
          <w:szCs w:val="20"/>
          <w:vertAlign w:val="superscript"/>
          <w:lang w:val="es-ES"/>
        </w:rPr>
        <w:footnoteReference w:id="34"/>
      </w:r>
      <w:r w:rsidRPr="002964A7">
        <w:rPr>
          <w:rFonts w:ascii="Verdana" w:hAnsi="Verdana" w:cs="Arial"/>
          <w:sz w:val="20"/>
          <w:szCs w:val="20"/>
          <w:lang w:val="es-ES"/>
        </w:rPr>
        <w:t xml:space="preserve">, y ha subrayado </w:t>
      </w:r>
      <w:r w:rsidRPr="002964A7">
        <w:rPr>
          <w:rFonts w:ascii="Verdana" w:hAnsi="Verdana" w:cs="Arial"/>
          <w:sz w:val="20"/>
          <w:szCs w:val="20"/>
          <w:lang w:val="es-ES"/>
        </w:rPr>
        <w:lastRenderedPageBreak/>
        <w:t>que no es su propósito “trabar con formalismos el desarrollo del proceso sino, por el contrario, acercar la definición que se dé en la Sentencia a la exigencia de justicia”</w:t>
      </w:r>
      <w:r w:rsidRPr="002964A7">
        <w:rPr>
          <w:rFonts w:ascii="Verdana" w:hAnsi="Verdana" w:cs="Arial"/>
          <w:sz w:val="20"/>
          <w:szCs w:val="20"/>
          <w:vertAlign w:val="superscript"/>
          <w:lang w:val="es-ES"/>
        </w:rPr>
        <w:footnoteReference w:id="35"/>
      </w:r>
      <w:r w:rsidRPr="002964A7">
        <w:rPr>
          <w:rFonts w:ascii="Verdana" w:hAnsi="Verdana" w:cs="Arial"/>
          <w:sz w:val="20"/>
          <w:szCs w:val="20"/>
          <w:lang w:val="es-ES"/>
        </w:rPr>
        <w:t>. Así, la Corte ha aplicado el artículo 35.2 en casos masivos o colectivos con dificultades para identificar o contactar a todas las presuntas víctimas, por ejemplo, debido a la presencia de un conflicto armado</w:t>
      </w:r>
      <w:r w:rsidRPr="002964A7">
        <w:rPr>
          <w:rFonts w:ascii="Verdana" w:hAnsi="Verdana" w:cs="Arial"/>
          <w:sz w:val="20"/>
          <w:szCs w:val="20"/>
          <w:vertAlign w:val="superscript"/>
          <w:lang w:val="es-ES"/>
        </w:rPr>
        <w:footnoteReference w:id="36"/>
      </w:r>
      <w:r w:rsidRPr="002964A7">
        <w:rPr>
          <w:rFonts w:ascii="Verdana" w:hAnsi="Verdana" w:cs="Arial"/>
          <w:sz w:val="20"/>
          <w:szCs w:val="20"/>
          <w:lang w:val="es-ES"/>
        </w:rPr>
        <w:t>, el desplazamiento</w:t>
      </w:r>
      <w:r w:rsidRPr="002964A7">
        <w:rPr>
          <w:rFonts w:ascii="Verdana" w:hAnsi="Verdana" w:cs="Arial"/>
          <w:sz w:val="20"/>
          <w:szCs w:val="20"/>
          <w:vertAlign w:val="superscript"/>
          <w:lang w:val="es-ES"/>
        </w:rPr>
        <w:footnoteReference w:id="37"/>
      </w:r>
      <w:r w:rsidRPr="002964A7">
        <w:rPr>
          <w:rFonts w:ascii="Verdana" w:hAnsi="Verdana" w:cs="Arial"/>
          <w:sz w:val="20"/>
          <w:szCs w:val="20"/>
          <w:lang w:val="es-ES"/>
        </w:rPr>
        <w:t xml:space="preserve"> o la quema de los cuerpos de las presuntas víctimas</w:t>
      </w:r>
      <w:r w:rsidRPr="002964A7">
        <w:rPr>
          <w:rFonts w:ascii="Verdana" w:hAnsi="Verdana" w:cs="Arial"/>
          <w:sz w:val="20"/>
          <w:szCs w:val="20"/>
          <w:vertAlign w:val="superscript"/>
          <w:lang w:val="es-ES"/>
        </w:rPr>
        <w:footnoteReference w:id="38"/>
      </w:r>
      <w:r w:rsidRPr="002964A7">
        <w:rPr>
          <w:rFonts w:ascii="Verdana" w:hAnsi="Verdana" w:cs="Arial"/>
          <w:sz w:val="20"/>
          <w:szCs w:val="20"/>
          <w:lang w:val="es-ES"/>
        </w:rPr>
        <w:t>, o en casos en que familias enteras han sido des</w:t>
      </w:r>
      <w:r w:rsidR="00A71298">
        <w:rPr>
          <w:rFonts w:ascii="Verdana" w:hAnsi="Verdana" w:cs="Arial"/>
          <w:sz w:val="20"/>
          <w:szCs w:val="20"/>
          <w:lang w:val="es-ES"/>
        </w:rPr>
        <w:t>a</w:t>
      </w:r>
      <w:r w:rsidRPr="002964A7">
        <w:rPr>
          <w:rFonts w:ascii="Verdana" w:hAnsi="Verdana" w:cs="Arial"/>
          <w:sz w:val="20"/>
          <w:szCs w:val="20"/>
          <w:lang w:val="es-ES"/>
        </w:rPr>
        <w:t>parecidas, por lo que no habría nadie que pudiera hablar por ellos</w:t>
      </w:r>
      <w:r w:rsidRPr="002964A7">
        <w:rPr>
          <w:rFonts w:ascii="Verdana" w:hAnsi="Verdana" w:cs="Arial"/>
          <w:sz w:val="20"/>
          <w:szCs w:val="20"/>
          <w:vertAlign w:val="superscript"/>
          <w:lang w:val="es-ES"/>
        </w:rPr>
        <w:footnoteReference w:id="39"/>
      </w:r>
      <w:r w:rsidRPr="002964A7">
        <w:rPr>
          <w:rFonts w:ascii="Verdana" w:hAnsi="Verdana" w:cs="Arial"/>
          <w:sz w:val="20"/>
          <w:szCs w:val="20"/>
          <w:lang w:val="es-ES"/>
        </w:rPr>
        <w:t>. También ha tomado en cuenta la dificultad de acceder al área donde ocurrieron los hechos</w:t>
      </w:r>
      <w:r w:rsidRPr="002964A7">
        <w:rPr>
          <w:rFonts w:ascii="Verdana" w:hAnsi="Verdana" w:cs="Arial"/>
          <w:sz w:val="20"/>
          <w:szCs w:val="20"/>
          <w:vertAlign w:val="superscript"/>
          <w:lang w:val="es-ES"/>
        </w:rPr>
        <w:footnoteReference w:id="40"/>
      </w:r>
      <w:r w:rsidRPr="002964A7">
        <w:rPr>
          <w:rFonts w:ascii="Verdana" w:hAnsi="Verdana" w:cs="Arial"/>
          <w:sz w:val="20"/>
          <w:szCs w:val="20"/>
          <w:lang w:val="es-ES"/>
        </w:rPr>
        <w:t>, la falta de registros respecto de los habitantes del lugar</w:t>
      </w:r>
      <w:r w:rsidRPr="002964A7">
        <w:rPr>
          <w:rFonts w:ascii="Verdana" w:hAnsi="Verdana" w:cs="Arial"/>
          <w:sz w:val="20"/>
          <w:szCs w:val="20"/>
          <w:vertAlign w:val="superscript"/>
          <w:lang w:val="es-ES"/>
        </w:rPr>
        <w:footnoteReference w:id="41"/>
      </w:r>
      <w:r w:rsidRPr="002964A7">
        <w:rPr>
          <w:rFonts w:ascii="Verdana" w:hAnsi="Verdana" w:cs="Arial"/>
          <w:sz w:val="20"/>
          <w:szCs w:val="20"/>
          <w:lang w:val="es-ES"/>
        </w:rPr>
        <w:t xml:space="preserve"> y el transcurso del tiempo</w:t>
      </w:r>
      <w:r w:rsidRPr="002964A7">
        <w:rPr>
          <w:rFonts w:ascii="Verdana" w:hAnsi="Verdana" w:cs="Arial"/>
          <w:sz w:val="20"/>
          <w:szCs w:val="20"/>
          <w:vertAlign w:val="superscript"/>
          <w:lang w:val="es-ES"/>
        </w:rPr>
        <w:footnoteReference w:id="42"/>
      </w:r>
      <w:r w:rsidRPr="002964A7">
        <w:rPr>
          <w:rFonts w:ascii="Verdana" w:hAnsi="Verdana" w:cs="Arial"/>
          <w:sz w:val="20"/>
          <w:szCs w:val="20"/>
          <w:lang w:val="es-ES"/>
        </w:rPr>
        <w:t xml:space="preserve">, así como características particulares de las presuntas víctimas del caso, por ejemplo, cuando </w:t>
      </w:r>
      <w:r w:rsidR="00335E16">
        <w:rPr>
          <w:rFonts w:ascii="Verdana" w:hAnsi="Verdana" w:cs="Arial"/>
          <w:sz w:val="20"/>
          <w:szCs w:val="20"/>
          <w:lang w:val="es-ES"/>
        </w:rPr>
        <w:t>e</w:t>
      </w:r>
      <w:r w:rsidRPr="002964A7">
        <w:rPr>
          <w:rFonts w:ascii="Verdana" w:hAnsi="Verdana" w:cs="Arial"/>
          <w:sz w:val="20"/>
          <w:szCs w:val="20"/>
          <w:lang w:val="es-ES"/>
        </w:rPr>
        <w:t>stas han conformado clanes familiares con nombres y apellidos similares</w:t>
      </w:r>
      <w:r w:rsidRPr="002964A7">
        <w:rPr>
          <w:rFonts w:ascii="Verdana" w:hAnsi="Verdana" w:cs="Arial"/>
          <w:sz w:val="20"/>
          <w:szCs w:val="20"/>
          <w:vertAlign w:val="superscript"/>
          <w:lang w:val="es-ES"/>
        </w:rPr>
        <w:footnoteReference w:id="43"/>
      </w:r>
      <w:r w:rsidRPr="002964A7">
        <w:rPr>
          <w:rFonts w:ascii="Verdana" w:hAnsi="Verdana" w:cs="Arial"/>
          <w:sz w:val="20"/>
          <w:szCs w:val="20"/>
          <w:lang w:val="es-ES"/>
        </w:rPr>
        <w:t>, o al tratarse de migrantes</w:t>
      </w:r>
      <w:r w:rsidRPr="002964A7">
        <w:rPr>
          <w:rFonts w:ascii="Verdana" w:hAnsi="Verdana" w:cs="Arial"/>
          <w:sz w:val="20"/>
          <w:szCs w:val="20"/>
          <w:vertAlign w:val="superscript"/>
          <w:lang w:val="es-ES"/>
        </w:rPr>
        <w:footnoteReference w:id="44"/>
      </w:r>
      <w:r w:rsidRPr="002964A7">
        <w:rPr>
          <w:rFonts w:ascii="Verdana" w:hAnsi="Verdana" w:cs="Arial"/>
          <w:sz w:val="20"/>
          <w:szCs w:val="20"/>
          <w:lang w:val="es-ES"/>
        </w:rPr>
        <w:t>. Igualmente, ha considerado la conducta del Estado, por ejemplo, cuando existen alegatos de que la falta de investigación contribuyó a la incompleta identificación de las presuntas víctimas</w:t>
      </w:r>
      <w:r w:rsidRPr="002964A7">
        <w:rPr>
          <w:rFonts w:ascii="Verdana" w:hAnsi="Verdana" w:cs="Arial"/>
          <w:sz w:val="20"/>
          <w:szCs w:val="20"/>
          <w:vertAlign w:val="superscript"/>
          <w:lang w:val="es-ES"/>
        </w:rPr>
        <w:footnoteReference w:id="45"/>
      </w:r>
      <w:r w:rsidRPr="002964A7">
        <w:rPr>
          <w:rFonts w:ascii="Verdana" w:hAnsi="Verdana" w:cs="Arial"/>
          <w:sz w:val="20"/>
          <w:szCs w:val="20"/>
          <w:lang w:val="es-ES"/>
        </w:rPr>
        <w:t xml:space="preserve">. </w:t>
      </w:r>
    </w:p>
    <w:p w:rsidR="00BB0281" w:rsidRPr="002964A7" w:rsidRDefault="00BB0281" w:rsidP="00BB0281">
      <w:pPr>
        <w:autoSpaceDE w:val="0"/>
        <w:autoSpaceDN w:val="0"/>
        <w:adjustRightInd w:val="0"/>
        <w:spacing w:after="0" w:line="240" w:lineRule="auto"/>
        <w:ind w:right="15"/>
        <w:contextualSpacing/>
        <w:jc w:val="both"/>
        <w:rPr>
          <w:rFonts w:ascii="Verdana" w:hAnsi="Verdana" w:cs="Arial"/>
          <w:b/>
          <w:sz w:val="20"/>
          <w:szCs w:val="20"/>
          <w:lang w:val="es-ES"/>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ES"/>
        </w:rPr>
      </w:pPr>
      <w:r w:rsidRPr="002964A7">
        <w:rPr>
          <w:rFonts w:ascii="Verdana" w:hAnsi="Verdana" w:cs="Arial"/>
          <w:sz w:val="20"/>
          <w:szCs w:val="20"/>
          <w:lang w:val="es-ES"/>
        </w:rPr>
        <w:t>El presente caso es colectivo</w:t>
      </w:r>
      <w:r w:rsidR="007A11AE">
        <w:rPr>
          <w:rFonts w:ascii="Verdana" w:hAnsi="Verdana" w:cs="Arial"/>
          <w:sz w:val="20"/>
          <w:szCs w:val="20"/>
          <w:lang w:val="es-ES"/>
        </w:rPr>
        <w:t xml:space="preserve"> e</w:t>
      </w:r>
      <w:r w:rsidR="007A11AE" w:rsidRPr="002964A7">
        <w:rPr>
          <w:rFonts w:ascii="Verdana" w:hAnsi="Verdana" w:cs="Arial"/>
          <w:sz w:val="20"/>
          <w:szCs w:val="20"/>
          <w:lang w:val="es-ES"/>
        </w:rPr>
        <w:t xml:space="preserve"> </w:t>
      </w:r>
      <w:r w:rsidRPr="002964A7">
        <w:rPr>
          <w:rFonts w:ascii="Verdana" w:hAnsi="Verdana" w:cs="Arial"/>
          <w:sz w:val="20"/>
          <w:szCs w:val="20"/>
          <w:lang w:val="es-ES"/>
        </w:rPr>
        <w:t>involucra a 28 presuntas víctimas</w:t>
      </w:r>
      <w:r w:rsidR="00FE737B">
        <w:rPr>
          <w:rFonts w:ascii="Verdana" w:hAnsi="Verdana" w:cs="Arial"/>
          <w:sz w:val="20"/>
          <w:szCs w:val="20"/>
          <w:lang w:val="es-ES"/>
        </w:rPr>
        <w:t xml:space="preserve"> señaladas en el Informe de Admisibilidad y Fondo, así como a Marcelina Guillén Riveros</w:t>
      </w:r>
      <w:r w:rsidRPr="002964A7">
        <w:rPr>
          <w:rFonts w:ascii="Verdana" w:hAnsi="Verdana" w:cs="Arial"/>
          <w:sz w:val="20"/>
          <w:szCs w:val="20"/>
          <w:lang w:val="es-ES"/>
        </w:rPr>
        <w:t xml:space="preserve">. </w:t>
      </w:r>
      <w:r w:rsidR="00BD34B3">
        <w:rPr>
          <w:rFonts w:ascii="Verdana" w:hAnsi="Verdana" w:cs="Arial"/>
          <w:sz w:val="20"/>
          <w:szCs w:val="20"/>
          <w:lang w:val="es-ES"/>
        </w:rPr>
        <w:t>Además</w:t>
      </w:r>
      <w:r w:rsidRPr="002964A7">
        <w:rPr>
          <w:rFonts w:ascii="Verdana" w:hAnsi="Verdana" w:cs="Arial"/>
          <w:sz w:val="20"/>
          <w:szCs w:val="20"/>
          <w:lang w:val="es-ES"/>
        </w:rPr>
        <w:t>, la Corte nota que los hechos del caso tuvieron lugar durante un conflicto armado (</w:t>
      </w:r>
      <w:r w:rsidR="00B27331">
        <w:rPr>
          <w:rFonts w:ascii="Verdana" w:hAnsi="Verdana" w:cs="Arial"/>
          <w:i/>
          <w:sz w:val="20"/>
          <w:szCs w:val="20"/>
          <w:lang w:val="es-ES"/>
        </w:rPr>
        <w:t>infra</w:t>
      </w:r>
      <w:r w:rsidRPr="002964A7">
        <w:rPr>
          <w:rFonts w:ascii="Verdana" w:hAnsi="Verdana" w:cs="Arial"/>
          <w:i/>
          <w:sz w:val="20"/>
          <w:szCs w:val="20"/>
          <w:lang w:val="es-ES"/>
        </w:rPr>
        <w:t xml:space="preserve"> </w:t>
      </w:r>
      <w:r w:rsidRPr="002964A7">
        <w:rPr>
          <w:rFonts w:ascii="Verdana" w:hAnsi="Verdana" w:cs="Arial"/>
          <w:sz w:val="20"/>
          <w:szCs w:val="20"/>
          <w:lang w:val="es-ES"/>
        </w:rPr>
        <w:t xml:space="preserve">párr. </w:t>
      </w:r>
      <w:r w:rsidR="00B27331">
        <w:rPr>
          <w:rFonts w:ascii="Verdana" w:hAnsi="Verdana" w:cs="Arial"/>
          <w:sz w:val="20"/>
          <w:szCs w:val="20"/>
          <w:lang w:val="es-GT"/>
        </w:rPr>
        <w:t>85</w:t>
      </w:r>
      <w:r w:rsidRPr="002964A7">
        <w:rPr>
          <w:rFonts w:ascii="Verdana" w:hAnsi="Verdana" w:cs="Arial"/>
          <w:sz w:val="20"/>
          <w:szCs w:val="20"/>
          <w:lang w:val="es-GT"/>
        </w:rPr>
        <w:t>)</w:t>
      </w:r>
      <w:r w:rsidRPr="002964A7">
        <w:rPr>
          <w:rFonts w:ascii="Verdana" w:hAnsi="Verdana" w:cs="Arial"/>
          <w:sz w:val="20"/>
          <w:szCs w:val="20"/>
          <w:lang w:val="es-ES"/>
        </w:rPr>
        <w:t xml:space="preserve"> y que, según declaró la señora </w:t>
      </w:r>
      <w:r w:rsidR="000C1682">
        <w:rPr>
          <w:rFonts w:ascii="Verdana" w:hAnsi="Verdana" w:cs="Arial"/>
          <w:sz w:val="20"/>
          <w:szCs w:val="20"/>
          <w:lang w:val="es-ES"/>
        </w:rPr>
        <w:t xml:space="preserve">Marcelina </w:t>
      </w:r>
      <w:r w:rsidRPr="002964A7">
        <w:rPr>
          <w:rFonts w:ascii="Verdana" w:hAnsi="Verdana" w:cs="Arial"/>
          <w:sz w:val="20"/>
          <w:szCs w:val="20"/>
          <w:lang w:val="es-ES"/>
        </w:rPr>
        <w:t xml:space="preserve">Guillén Riveros, </w:t>
      </w:r>
      <w:r w:rsidR="00BD34B3">
        <w:rPr>
          <w:rFonts w:ascii="Verdana" w:hAnsi="Verdana" w:cs="Arial"/>
          <w:sz w:val="20"/>
          <w:szCs w:val="20"/>
          <w:lang w:val="es-ES"/>
        </w:rPr>
        <w:t>e</w:t>
      </w:r>
      <w:r w:rsidRPr="002964A7">
        <w:rPr>
          <w:rFonts w:ascii="Verdana" w:hAnsi="Verdana" w:cs="Arial"/>
          <w:sz w:val="20"/>
          <w:szCs w:val="20"/>
          <w:lang w:val="es-ES"/>
        </w:rPr>
        <w:t>sta vive en un lugar rural</w:t>
      </w:r>
      <w:r w:rsidR="00CF6FA9">
        <w:rPr>
          <w:rFonts w:ascii="Verdana" w:hAnsi="Verdana" w:cs="Arial"/>
          <w:sz w:val="20"/>
          <w:szCs w:val="20"/>
          <w:lang w:val="es-ES"/>
        </w:rPr>
        <w:t xml:space="preserve"> y </w:t>
      </w:r>
      <w:r w:rsidR="00747EC6" w:rsidRPr="002964A7">
        <w:rPr>
          <w:rFonts w:ascii="Verdana" w:hAnsi="Verdana" w:cs="Arial"/>
          <w:sz w:val="20"/>
          <w:szCs w:val="20"/>
          <w:lang w:val="es-ES"/>
        </w:rPr>
        <w:t>lejos de donde vivía su hermana</w:t>
      </w:r>
      <w:r w:rsidR="00747EC6">
        <w:rPr>
          <w:rFonts w:ascii="Verdana" w:hAnsi="Verdana" w:cs="Arial"/>
          <w:sz w:val="20"/>
          <w:szCs w:val="20"/>
          <w:lang w:val="es-ES"/>
        </w:rPr>
        <w:t xml:space="preserve"> </w:t>
      </w:r>
      <w:r w:rsidR="00747EC6" w:rsidRPr="002964A7">
        <w:rPr>
          <w:rFonts w:ascii="Verdana" w:hAnsi="Verdana" w:cs="Arial"/>
          <w:sz w:val="20"/>
          <w:szCs w:val="20"/>
          <w:lang w:val="es-ES"/>
        </w:rPr>
        <w:t>Dioni</w:t>
      </w:r>
      <w:r w:rsidR="00BD34B3">
        <w:rPr>
          <w:rFonts w:ascii="Verdana" w:hAnsi="Verdana" w:cs="Arial"/>
          <w:sz w:val="20"/>
          <w:szCs w:val="20"/>
          <w:lang w:val="es-ES"/>
        </w:rPr>
        <w:t>c</w:t>
      </w:r>
      <w:r w:rsidR="00747EC6" w:rsidRPr="002964A7">
        <w:rPr>
          <w:rFonts w:ascii="Verdana" w:hAnsi="Verdana" w:cs="Arial"/>
          <w:sz w:val="20"/>
          <w:szCs w:val="20"/>
          <w:lang w:val="es-ES"/>
        </w:rPr>
        <w:t>ia Guillén Riveros</w:t>
      </w:r>
      <w:r w:rsidR="00747EC6">
        <w:rPr>
          <w:rFonts w:ascii="Verdana" w:hAnsi="Verdana" w:cs="Arial"/>
          <w:sz w:val="20"/>
          <w:szCs w:val="20"/>
          <w:lang w:val="es-ES"/>
        </w:rPr>
        <w:t>,</w:t>
      </w:r>
      <w:r w:rsidRPr="002964A7">
        <w:rPr>
          <w:rFonts w:ascii="Verdana" w:hAnsi="Verdana" w:cs="Arial"/>
          <w:sz w:val="20"/>
          <w:szCs w:val="20"/>
          <w:lang w:val="es-ES"/>
        </w:rPr>
        <w:t xml:space="preserve"> con serios obstáculos tecnológicos, logísticos y </w:t>
      </w:r>
      <w:r w:rsidRPr="002964A7">
        <w:rPr>
          <w:rFonts w:ascii="Verdana" w:hAnsi="Verdana"/>
          <w:sz w:val="20"/>
          <w:szCs w:val="20"/>
        </w:rPr>
        <w:t>de</w:t>
      </w:r>
      <w:r w:rsidRPr="002964A7">
        <w:rPr>
          <w:rFonts w:ascii="Verdana" w:hAnsi="Verdana" w:cs="Arial"/>
          <w:sz w:val="20"/>
          <w:szCs w:val="20"/>
          <w:lang w:val="es-ES"/>
        </w:rPr>
        <w:t xml:space="preserve"> modo de vida para la comunicación.</w:t>
      </w:r>
      <w:r w:rsidRPr="002964A7">
        <w:rPr>
          <w:rFonts w:ascii="Verdana" w:hAnsi="Verdana" w:cs="Arial"/>
          <w:b/>
          <w:sz w:val="20"/>
          <w:szCs w:val="20"/>
          <w:lang w:val="es-ES"/>
        </w:rPr>
        <w:t xml:space="preserve"> </w:t>
      </w:r>
      <w:r w:rsidRPr="002964A7">
        <w:rPr>
          <w:rFonts w:ascii="Verdana" w:hAnsi="Verdana" w:cs="Arial"/>
          <w:sz w:val="20"/>
          <w:szCs w:val="20"/>
          <w:lang w:val="es-ES"/>
        </w:rPr>
        <w:t xml:space="preserve">Aunado a ello, a la fecha de la </w:t>
      </w:r>
      <w:r w:rsidR="00F50F29" w:rsidRPr="002964A7">
        <w:rPr>
          <w:rFonts w:ascii="Verdana" w:hAnsi="Verdana" w:cs="Arial"/>
          <w:sz w:val="20"/>
          <w:szCs w:val="20"/>
          <w:lang w:val="es-ES"/>
        </w:rPr>
        <w:t>emisión</w:t>
      </w:r>
      <w:r w:rsidRPr="002964A7">
        <w:rPr>
          <w:rFonts w:ascii="Verdana" w:hAnsi="Verdana" w:cs="Arial"/>
          <w:sz w:val="20"/>
          <w:szCs w:val="20"/>
          <w:lang w:val="es-GT"/>
        </w:rPr>
        <w:t xml:space="preserve"> </w:t>
      </w:r>
      <w:r w:rsidRPr="002964A7">
        <w:rPr>
          <w:rFonts w:ascii="Verdana" w:eastAsia="Calibri" w:hAnsi="Verdana" w:cs="Arial"/>
          <w:sz w:val="20"/>
          <w:szCs w:val="20"/>
          <w:lang w:val="es-GT"/>
        </w:rPr>
        <w:t>del</w:t>
      </w:r>
      <w:r w:rsidRPr="002964A7">
        <w:rPr>
          <w:rFonts w:ascii="Verdana" w:hAnsi="Verdana" w:cs="Arial"/>
          <w:sz w:val="20"/>
          <w:szCs w:val="20"/>
          <w:lang w:val="es-GT"/>
        </w:rPr>
        <w:t xml:space="preserve"> </w:t>
      </w:r>
      <w:r w:rsidRPr="002964A7">
        <w:rPr>
          <w:rFonts w:ascii="Verdana" w:hAnsi="Verdana" w:cs="Arial"/>
          <w:sz w:val="20"/>
          <w:szCs w:val="20"/>
          <w:lang w:val="es-ES"/>
        </w:rPr>
        <w:t>Informe de</w:t>
      </w:r>
      <w:r w:rsidR="00E4506D">
        <w:rPr>
          <w:rFonts w:ascii="Verdana" w:hAnsi="Verdana" w:cs="Arial"/>
          <w:sz w:val="20"/>
          <w:szCs w:val="20"/>
          <w:lang w:val="es-ES"/>
        </w:rPr>
        <w:t xml:space="preserve"> Admisibilidad y</w:t>
      </w:r>
      <w:r w:rsidRPr="002964A7">
        <w:rPr>
          <w:rFonts w:ascii="Verdana" w:hAnsi="Verdana" w:cs="Arial"/>
          <w:sz w:val="20"/>
          <w:szCs w:val="20"/>
          <w:lang w:val="es-ES"/>
        </w:rPr>
        <w:t xml:space="preserve"> Fondo en 2011, los parientes de la señora </w:t>
      </w:r>
      <w:r w:rsidR="000C1682">
        <w:rPr>
          <w:rFonts w:ascii="Verdana" w:hAnsi="Verdana" w:cs="Arial"/>
          <w:sz w:val="20"/>
          <w:szCs w:val="20"/>
          <w:lang w:val="es-ES"/>
        </w:rPr>
        <w:t xml:space="preserve">Marcelina </w:t>
      </w:r>
      <w:r w:rsidRPr="002964A7">
        <w:rPr>
          <w:rFonts w:ascii="Verdana" w:hAnsi="Verdana" w:cs="Arial"/>
          <w:sz w:val="20"/>
          <w:szCs w:val="20"/>
          <w:lang w:val="es-ES"/>
        </w:rPr>
        <w:t>Guillén Riveros identificados en el caso (Justiniano Guillén Ccanto y Victoria Riveros Valencia</w:t>
      </w:r>
      <w:r w:rsidR="00442B5D">
        <w:rPr>
          <w:rFonts w:ascii="Verdana" w:hAnsi="Verdana" w:cs="Arial"/>
          <w:sz w:val="20"/>
          <w:szCs w:val="20"/>
          <w:lang w:val="es-ES"/>
        </w:rPr>
        <w:t>, padre y madre de aquella</w:t>
      </w:r>
      <w:r w:rsidRPr="002964A7">
        <w:rPr>
          <w:rFonts w:ascii="Verdana" w:hAnsi="Verdana" w:cs="Arial"/>
          <w:sz w:val="20"/>
          <w:szCs w:val="20"/>
          <w:lang w:val="es-ES"/>
        </w:rPr>
        <w:t xml:space="preserve">) habían muerto, lo cual dificultaría </w:t>
      </w:r>
      <w:r w:rsidR="00F50F29" w:rsidRPr="002964A7">
        <w:rPr>
          <w:rFonts w:ascii="Verdana" w:hAnsi="Verdana" w:cs="Arial"/>
          <w:sz w:val="20"/>
          <w:szCs w:val="20"/>
          <w:lang w:val="es-ES"/>
        </w:rPr>
        <w:t>aún más su identificación</w:t>
      </w:r>
      <w:r w:rsidRPr="002964A7">
        <w:rPr>
          <w:rFonts w:ascii="Verdana" w:hAnsi="Verdana" w:cs="Arial"/>
          <w:sz w:val="20"/>
          <w:szCs w:val="20"/>
          <w:vertAlign w:val="superscript"/>
          <w:lang w:val="es-ES"/>
        </w:rPr>
        <w:footnoteReference w:id="46"/>
      </w:r>
      <w:r w:rsidR="00F50F29" w:rsidRPr="002964A7">
        <w:rPr>
          <w:rFonts w:ascii="Verdana" w:hAnsi="Verdana" w:cs="Arial"/>
          <w:sz w:val="20"/>
          <w:szCs w:val="20"/>
          <w:lang w:val="es-ES"/>
        </w:rPr>
        <w:t>.</w:t>
      </w:r>
      <w:r w:rsidRPr="002964A7">
        <w:rPr>
          <w:rFonts w:ascii="Verdana" w:hAnsi="Verdana" w:cs="Arial"/>
          <w:sz w:val="20"/>
          <w:szCs w:val="20"/>
          <w:lang w:val="es-ES"/>
        </w:rPr>
        <w:t xml:space="preserve"> </w:t>
      </w:r>
      <w:r w:rsidRPr="002964A7">
        <w:rPr>
          <w:rFonts w:ascii="Verdana" w:hAnsi="Verdana" w:cs="Arial"/>
          <w:sz w:val="20"/>
          <w:szCs w:val="20"/>
          <w:lang w:val="es-ES"/>
        </w:rPr>
        <w:lastRenderedPageBreak/>
        <w:t xml:space="preserve">En este contexto, el Tribunal estima razonable que hubiese sido complejo identificar </w:t>
      </w:r>
      <w:r w:rsidR="000C1682">
        <w:rPr>
          <w:rFonts w:ascii="Verdana" w:hAnsi="Verdana" w:cs="Arial"/>
          <w:sz w:val="20"/>
          <w:szCs w:val="20"/>
          <w:lang w:val="es-ES"/>
        </w:rPr>
        <w:t>a</w:t>
      </w:r>
      <w:r w:rsidRPr="002964A7">
        <w:rPr>
          <w:rFonts w:ascii="Verdana" w:hAnsi="Verdana" w:cs="Arial"/>
          <w:sz w:val="20"/>
          <w:szCs w:val="20"/>
          <w:lang w:val="es-ES"/>
        </w:rPr>
        <w:t xml:space="preserve"> </w:t>
      </w:r>
      <w:r w:rsidR="000C1682">
        <w:rPr>
          <w:rFonts w:ascii="Verdana" w:hAnsi="Verdana" w:cs="Arial"/>
          <w:sz w:val="20"/>
          <w:szCs w:val="20"/>
          <w:lang w:val="es-ES"/>
        </w:rPr>
        <w:t xml:space="preserve">Marcelina </w:t>
      </w:r>
      <w:r w:rsidRPr="002964A7">
        <w:rPr>
          <w:rFonts w:ascii="Verdana" w:hAnsi="Verdana" w:cs="Arial"/>
          <w:sz w:val="20"/>
          <w:szCs w:val="20"/>
          <w:lang w:val="es-ES"/>
        </w:rPr>
        <w:t xml:space="preserve">Guillén </w:t>
      </w:r>
      <w:r w:rsidR="009A23C2" w:rsidRPr="002964A7">
        <w:rPr>
          <w:rFonts w:ascii="Verdana" w:hAnsi="Verdana" w:cs="Arial"/>
          <w:sz w:val="20"/>
          <w:szCs w:val="20"/>
          <w:lang w:val="es-ES"/>
        </w:rPr>
        <w:t xml:space="preserve">Riveros </w:t>
      </w:r>
      <w:r w:rsidRPr="002964A7">
        <w:rPr>
          <w:rFonts w:ascii="Verdana" w:hAnsi="Verdana" w:cs="Arial"/>
          <w:sz w:val="20"/>
          <w:szCs w:val="20"/>
          <w:lang w:val="es-ES"/>
        </w:rPr>
        <w:t xml:space="preserve">como presunta víctima. Por tanto, en aplicación del artículo 35.2 del Reglamento, </w:t>
      </w:r>
      <w:r w:rsidR="009A23C2">
        <w:rPr>
          <w:rFonts w:ascii="Verdana" w:hAnsi="Verdana" w:cs="Arial"/>
          <w:sz w:val="20"/>
          <w:szCs w:val="20"/>
          <w:lang w:val="es-ES"/>
        </w:rPr>
        <w:t>esta</w:t>
      </w:r>
      <w:r w:rsidR="009A23C2" w:rsidRPr="002964A7">
        <w:rPr>
          <w:rFonts w:ascii="Verdana" w:hAnsi="Verdana" w:cs="Arial"/>
          <w:sz w:val="20"/>
          <w:szCs w:val="20"/>
          <w:lang w:val="es-ES"/>
        </w:rPr>
        <w:t xml:space="preserve"> </w:t>
      </w:r>
      <w:r w:rsidRPr="002964A7">
        <w:rPr>
          <w:rFonts w:ascii="Verdana" w:hAnsi="Verdana" w:cs="Arial"/>
          <w:sz w:val="20"/>
          <w:szCs w:val="20"/>
          <w:lang w:val="es-ES"/>
        </w:rPr>
        <w:t>Corte</w:t>
      </w:r>
      <w:r w:rsidR="009A23C2">
        <w:rPr>
          <w:rFonts w:ascii="Verdana" w:hAnsi="Verdana" w:cs="Arial"/>
          <w:sz w:val="20"/>
          <w:szCs w:val="20"/>
          <w:lang w:val="es-ES"/>
        </w:rPr>
        <w:t xml:space="preserve"> la</w:t>
      </w:r>
      <w:r w:rsidRPr="002964A7">
        <w:rPr>
          <w:rFonts w:ascii="Verdana" w:hAnsi="Verdana" w:cs="Arial"/>
          <w:sz w:val="20"/>
          <w:szCs w:val="20"/>
          <w:lang w:val="es-ES"/>
        </w:rPr>
        <w:t xml:space="preserve"> considerará como presunta víctima del caso. </w:t>
      </w:r>
    </w:p>
    <w:p w:rsidR="00BB0281" w:rsidRPr="002964A7" w:rsidRDefault="00BB0281" w:rsidP="00BB0281">
      <w:pPr>
        <w:autoSpaceDE w:val="0"/>
        <w:autoSpaceDN w:val="0"/>
        <w:adjustRightInd w:val="0"/>
        <w:spacing w:after="0" w:line="240" w:lineRule="auto"/>
        <w:ind w:right="15"/>
        <w:jc w:val="both"/>
        <w:rPr>
          <w:rFonts w:ascii="Verdana" w:hAnsi="Verdana" w:cs="Arial"/>
          <w:sz w:val="20"/>
          <w:szCs w:val="20"/>
          <w:lang w:val="es-ES"/>
        </w:rPr>
      </w:pPr>
    </w:p>
    <w:p w:rsidR="00BB0281" w:rsidRPr="002964A7" w:rsidRDefault="001154F9" w:rsidP="001154F9">
      <w:pPr>
        <w:pStyle w:val="Heading3"/>
        <w:rPr>
          <w:lang w:val="es-ES"/>
        </w:rPr>
      </w:pPr>
      <w:bookmarkStart w:id="97" w:name="_Toc421864938"/>
      <w:bookmarkStart w:id="98" w:name="_Toc423102519"/>
      <w:bookmarkStart w:id="99" w:name="_Toc433387472"/>
      <w:r>
        <w:rPr>
          <w:lang w:val="es-ES"/>
        </w:rPr>
        <w:t xml:space="preserve">B. </w:t>
      </w:r>
      <w:r w:rsidR="00BB0281" w:rsidRPr="002964A7">
        <w:rPr>
          <w:lang w:val="es-ES"/>
        </w:rPr>
        <w:t>Sobre la presunta víctima Marino Huamaní Vergara</w:t>
      </w:r>
      <w:bookmarkEnd w:id="97"/>
      <w:bookmarkEnd w:id="98"/>
      <w:bookmarkEnd w:id="99"/>
    </w:p>
    <w:p w:rsidR="00BB0281" w:rsidRPr="002964A7" w:rsidRDefault="00BB0281" w:rsidP="00BB0281">
      <w:pPr>
        <w:spacing w:after="0" w:line="240" w:lineRule="auto"/>
        <w:contextualSpacing/>
        <w:jc w:val="both"/>
        <w:rPr>
          <w:rFonts w:ascii="Verdana" w:hAnsi="Verdana"/>
          <w:b/>
          <w:sz w:val="20"/>
          <w:szCs w:val="20"/>
          <w:lang w:val="es-ES"/>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ES"/>
        </w:rPr>
      </w:pPr>
      <w:r w:rsidRPr="002964A7">
        <w:rPr>
          <w:rFonts w:ascii="Verdana" w:hAnsi="Verdana"/>
          <w:sz w:val="20"/>
          <w:szCs w:val="20"/>
          <w:lang w:val="es-ES"/>
        </w:rPr>
        <w:t xml:space="preserve">En la audiencia pública y sus alegatos finales escritos, el </w:t>
      </w:r>
      <w:r w:rsidRPr="002964A7">
        <w:rPr>
          <w:rFonts w:ascii="Verdana" w:hAnsi="Verdana"/>
          <w:b/>
          <w:i/>
          <w:sz w:val="20"/>
          <w:szCs w:val="20"/>
          <w:lang w:val="es-ES"/>
        </w:rPr>
        <w:t>Estado</w:t>
      </w:r>
      <w:r w:rsidRPr="002964A7">
        <w:rPr>
          <w:rFonts w:ascii="Verdana" w:hAnsi="Verdana"/>
          <w:sz w:val="20"/>
          <w:szCs w:val="20"/>
          <w:lang w:val="es-ES"/>
        </w:rPr>
        <w:t xml:space="preserve"> solicitó que la Corte declarara el retiro </w:t>
      </w:r>
      <w:r w:rsidRPr="002964A7">
        <w:rPr>
          <w:rFonts w:ascii="Verdana" w:eastAsia="Calibri" w:hAnsi="Verdana" w:cs="Arial"/>
          <w:sz w:val="20"/>
          <w:szCs w:val="20"/>
          <w:lang w:val="es-GT"/>
        </w:rPr>
        <w:t>del</w:t>
      </w:r>
      <w:r w:rsidRPr="002964A7">
        <w:rPr>
          <w:rFonts w:ascii="Verdana" w:hAnsi="Verdana"/>
          <w:sz w:val="20"/>
          <w:szCs w:val="20"/>
          <w:lang w:val="es-ES"/>
        </w:rPr>
        <w:t xml:space="preserve"> señor Marino Hu</w:t>
      </w:r>
      <w:r w:rsidR="00FB1CE8" w:rsidRPr="002964A7">
        <w:rPr>
          <w:rFonts w:ascii="Verdana" w:hAnsi="Verdana"/>
          <w:sz w:val="20"/>
          <w:szCs w:val="20"/>
          <w:lang w:val="es-ES"/>
        </w:rPr>
        <w:t>a</w:t>
      </w:r>
      <w:r w:rsidRPr="002964A7">
        <w:rPr>
          <w:rFonts w:ascii="Verdana" w:hAnsi="Verdana"/>
          <w:sz w:val="20"/>
          <w:szCs w:val="20"/>
          <w:lang w:val="es-ES"/>
        </w:rPr>
        <w:t>maní Vergara como presunta víctima del caso</w:t>
      </w:r>
      <w:r w:rsidR="00DD57C4">
        <w:rPr>
          <w:rFonts w:ascii="Verdana" w:hAnsi="Verdana"/>
          <w:sz w:val="20"/>
          <w:szCs w:val="20"/>
          <w:lang w:val="es-ES"/>
        </w:rPr>
        <w:t>, ya que mediante escrito de 12 de enero de 2015 los</w:t>
      </w:r>
      <w:r w:rsidR="00335E16">
        <w:rPr>
          <w:rFonts w:ascii="Verdana" w:hAnsi="Verdana"/>
          <w:sz w:val="20"/>
          <w:szCs w:val="20"/>
          <w:lang w:val="es-ES"/>
        </w:rPr>
        <w:t xml:space="preserve"> representantes informaron que e</w:t>
      </w:r>
      <w:r w:rsidR="00DD57C4">
        <w:rPr>
          <w:rFonts w:ascii="Verdana" w:hAnsi="Verdana"/>
          <w:sz w:val="20"/>
          <w:szCs w:val="20"/>
          <w:lang w:val="es-ES"/>
        </w:rPr>
        <w:t>ste “ha expresado que, por razones personales, no desea participar en el litigio del caso”</w:t>
      </w:r>
      <w:r w:rsidRPr="002964A7">
        <w:rPr>
          <w:rFonts w:ascii="Verdana" w:hAnsi="Verdana"/>
          <w:sz w:val="20"/>
          <w:szCs w:val="20"/>
          <w:lang w:val="es-ES"/>
        </w:rPr>
        <w:t>.</w:t>
      </w:r>
      <w:r w:rsidR="00DD57C4">
        <w:rPr>
          <w:rFonts w:ascii="Verdana" w:hAnsi="Verdana"/>
          <w:sz w:val="20"/>
          <w:szCs w:val="20"/>
          <w:lang w:val="es-ES"/>
        </w:rPr>
        <w:t xml:space="preserve"> Según el Perú, “se trata por tanto de una decisión unilateral, libre y voluntaria que debe ser tomada en cuenta por la Corte […] al momento de resolver”.</w:t>
      </w:r>
    </w:p>
    <w:p w:rsidR="00BB0281" w:rsidRPr="002964A7" w:rsidRDefault="00BB0281" w:rsidP="00BB0281">
      <w:pPr>
        <w:autoSpaceDE w:val="0"/>
        <w:autoSpaceDN w:val="0"/>
        <w:adjustRightInd w:val="0"/>
        <w:spacing w:after="0" w:line="240" w:lineRule="auto"/>
        <w:ind w:right="15"/>
        <w:contextualSpacing/>
        <w:jc w:val="both"/>
        <w:rPr>
          <w:rFonts w:ascii="Verdana" w:hAnsi="Verdana"/>
          <w:sz w:val="20"/>
          <w:szCs w:val="20"/>
          <w:lang w:val="es-ES"/>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ES"/>
        </w:rPr>
      </w:pPr>
      <w:r w:rsidRPr="002964A7">
        <w:rPr>
          <w:rFonts w:ascii="Verdana" w:hAnsi="Verdana"/>
          <w:sz w:val="20"/>
          <w:szCs w:val="20"/>
          <w:lang w:val="es-ES"/>
        </w:rPr>
        <w:t xml:space="preserve">Al respecto, esta Corte </w:t>
      </w:r>
      <w:r w:rsidR="004D0DEB" w:rsidRPr="002964A7">
        <w:rPr>
          <w:rFonts w:ascii="Verdana" w:hAnsi="Verdana"/>
          <w:sz w:val="20"/>
          <w:szCs w:val="20"/>
          <w:lang w:val="es-ES"/>
        </w:rPr>
        <w:t>constat</w:t>
      </w:r>
      <w:r w:rsidR="004D0DEB">
        <w:rPr>
          <w:rFonts w:ascii="Verdana" w:hAnsi="Verdana"/>
          <w:sz w:val="20"/>
          <w:szCs w:val="20"/>
          <w:lang w:val="es-ES"/>
        </w:rPr>
        <w:t>ó</w:t>
      </w:r>
      <w:r w:rsidR="004D0DEB" w:rsidRPr="002964A7">
        <w:rPr>
          <w:rFonts w:ascii="Verdana" w:hAnsi="Verdana"/>
          <w:sz w:val="20"/>
          <w:szCs w:val="20"/>
          <w:lang w:val="es-ES"/>
        </w:rPr>
        <w:t xml:space="preserve"> </w:t>
      </w:r>
      <w:r w:rsidRPr="002964A7">
        <w:rPr>
          <w:rFonts w:ascii="Verdana" w:hAnsi="Verdana"/>
          <w:sz w:val="20"/>
          <w:szCs w:val="20"/>
          <w:lang w:val="es-ES"/>
        </w:rPr>
        <w:t xml:space="preserve">que Marino Huamaní Vergara fue identificado en el Informe de </w:t>
      </w:r>
      <w:r w:rsidRPr="002964A7">
        <w:rPr>
          <w:rFonts w:ascii="Verdana" w:hAnsi="Verdana"/>
          <w:sz w:val="20"/>
          <w:szCs w:val="20"/>
        </w:rPr>
        <w:t>Admisibilidad</w:t>
      </w:r>
      <w:r w:rsidRPr="002964A7">
        <w:rPr>
          <w:rFonts w:ascii="Verdana" w:hAnsi="Verdana"/>
          <w:sz w:val="20"/>
          <w:szCs w:val="20"/>
          <w:lang w:val="es-ES"/>
        </w:rPr>
        <w:t xml:space="preserve"> y Fondo como presunta víctima y, en la Resolución del Presidente del </w:t>
      </w:r>
      <w:r w:rsidRPr="002964A7">
        <w:rPr>
          <w:rFonts w:ascii="Verdana" w:eastAsia="Calibri" w:hAnsi="Verdana" w:cs="Arial"/>
          <w:sz w:val="20"/>
          <w:szCs w:val="20"/>
          <w:lang w:val="es-GT"/>
        </w:rPr>
        <w:t>Tribunal</w:t>
      </w:r>
      <w:r w:rsidRPr="002964A7">
        <w:rPr>
          <w:rFonts w:ascii="Verdana" w:hAnsi="Verdana"/>
          <w:sz w:val="20"/>
          <w:szCs w:val="20"/>
          <w:lang w:val="es-ES"/>
        </w:rPr>
        <w:t xml:space="preserve"> de 4 de </w:t>
      </w:r>
      <w:r w:rsidRPr="002964A7">
        <w:rPr>
          <w:rFonts w:ascii="Verdana" w:hAnsi="Verdana" w:cs="Arial"/>
          <w:sz w:val="20"/>
          <w:szCs w:val="20"/>
          <w:lang w:val="es-ES"/>
        </w:rPr>
        <w:t>diciembre</w:t>
      </w:r>
      <w:r w:rsidRPr="002964A7">
        <w:rPr>
          <w:rFonts w:ascii="Verdana" w:hAnsi="Verdana"/>
          <w:sz w:val="20"/>
          <w:szCs w:val="20"/>
          <w:lang w:val="es-ES"/>
        </w:rPr>
        <w:t xml:space="preserve"> de 2014, la Corte ordenó que aqu</w:t>
      </w:r>
      <w:r w:rsidR="00250F1C">
        <w:rPr>
          <w:rFonts w:ascii="Verdana" w:hAnsi="Verdana"/>
          <w:sz w:val="20"/>
          <w:szCs w:val="20"/>
          <w:lang w:val="es-ES"/>
        </w:rPr>
        <w:t>e</w:t>
      </w:r>
      <w:r w:rsidRPr="002964A7">
        <w:rPr>
          <w:rFonts w:ascii="Verdana" w:hAnsi="Verdana"/>
          <w:sz w:val="20"/>
          <w:szCs w:val="20"/>
          <w:lang w:val="es-ES"/>
        </w:rPr>
        <w:t>l declarara ante fedatario público acerca del caso</w:t>
      </w:r>
      <w:r w:rsidRPr="002964A7">
        <w:rPr>
          <w:rFonts w:ascii="Verdana" w:hAnsi="Verdana"/>
          <w:sz w:val="20"/>
          <w:szCs w:val="20"/>
          <w:vertAlign w:val="superscript"/>
          <w:lang w:val="es-ES"/>
        </w:rPr>
        <w:footnoteReference w:id="47"/>
      </w:r>
      <w:r w:rsidRPr="002964A7">
        <w:rPr>
          <w:rFonts w:ascii="Verdana" w:hAnsi="Verdana"/>
          <w:sz w:val="20"/>
          <w:szCs w:val="20"/>
          <w:lang w:val="es-ES"/>
        </w:rPr>
        <w:t>. Mediante un escrito de fecha 12 de enero de 2015, titulado “Remisión de affidávits</w:t>
      </w:r>
      <w:r w:rsidRPr="002964A7">
        <w:rPr>
          <w:rFonts w:ascii="Verdana" w:hAnsi="Verdana"/>
          <w:i/>
          <w:sz w:val="20"/>
          <w:szCs w:val="20"/>
          <w:lang w:val="es-ES"/>
        </w:rPr>
        <w:t xml:space="preserve"> </w:t>
      </w:r>
      <w:r w:rsidRPr="002964A7">
        <w:rPr>
          <w:rFonts w:ascii="Verdana" w:hAnsi="Verdana"/>
          <w:sz w:val="20"/>
          <w:szCs w:val="20"/>
          <w:lang w:val="es-ES"/>
        </w:rPr>
        <w:t>y peritajes formalizados vía correo electrónico”, los representantes informaron que el señor Huamaní había expresado que “no desea[ba] participar en el litigio del caso</w:t>
      </w:r>
      <w:r w:rsidR="00FF6858" w:rsidRPr="002964A7">
        <w:rPr>
          <w:rFonts w:ascii="Verdana" w:hAnsi="Verdana"/>
          <w:sz w:val="20"/>
          <w:szCs w:val="20"/>
          <w:lang w:val="es-ES"/>
        </w:rPr>
        <w:t>”</w:t>
      </w:r>
      <w:r w:rsidR="00FF6858">
        <w:rPr>
          <w:rFonts w:ascii="Verdana" w:hAnsi="Verdana"/>
          <w:sz w:val="20"/>
          <w:szCs w:val="20"/>
          <w:lang w:val="es-ES"/>
        </w:rPr>
        <w:t>,</w:t>
      </w:r>
      <w:r w:rsidR="00FF6858" w:rsidRPr="002964A7">
        <w:rPr>
          <w:rFonts w:ascii="Verdana" w:hAnsi="Verdana"/>
          <w:sz w:val="20"/>
          <w:szCs w:val="20"/>
          <w:lang w:val="es-ES"/>
        </w:rPr>
        <w:t xml:space="preserve"> </w:t>
      </w:r>
      <w:r w:rsidR="00FF6858">
        <w:rPr>
          <w:rFonts w:ascii="Verdana" w:hAnsi="Verdana"/>
          <w:sz w:val="20"/>
          <w:szCs w:val="20"/>
          <w:lang w:val="es-ES"/>
        </w:rPr>
        <w:t>por lo que</w:t>
      </w:r>
      <w:r w:rsidRPr="002964A7">
        <w:rPr>
          <w:rFonts w:ascii="Verdana" w:hAnsi="Verdana"/>
          <w:sz w:val="20"/>
          <w:szCs w:val="20"/>
          <w:lang w:val="es-ES"/>
        </w:rPr>
        <w:t xml:space="preserve"> “no fue posible obtener su affidávit</w:t>
      </w:r>
      <w:r w:rsidR="00FF6858">
        <w:rPr>
          <w:rFonts w:ascii="Verdana" w:hAnsi="Verdana"/>
          <w:sz w:val="20"/>
          <w:szCs w:val="20"/>
          <w:lang w:val="es-ES"/>
        </w:rPr>
        <w:t>”</w:t>
      </w:r>
      <w:r w:rsidR="00093749">
        <w:rPr>
          <w:rFonts w:ascii="Verdana" w:hAnsi="Verdana"/>
          <w:sz w:val="20"/>
          <w:szCs w:val="20"/>
          <w:lang w:val="es-ES"/>
        </w:rPr>
        <w:t>,</w:t>
      </w:r>
      <w:r w:rsidR="00FF6858">
        <w:rPr>
          <w:rFonts w:ascii="Verdana" w:hAnsi="Verdana"/>
          <w:sz w:val="20"/>
          <w:szCs w:val="20"/>
          <w:lang w:val="es-ES"/>
        </w:rPr>
        <w:t xml:space="preserve"> y </w:t>
      </w:r>
      <w:r w:rsidRPr="002964A7">
        <w:rPr>
          <w:rFonts w:ascii="Verdana" w:hAnsi="Verdana"/>
          <w:sz w:val="20"/>
          <w:szCs w:val="20"/>
          <w:lang w:val="es-ES"/>
        </w:rPr>
        <w:t xml:space="preserve">retiraron su propuesta que </w:t>
      </w:r>
      <w:r w:rsidR="00FF6858">
        <w:rPr>
          <w:rFonts w:ascii="Verdana" w:hAnsi="Verdana"/>
          <w:sz w:val="20"/>
          <w:szCs w:val="20"/>
          <w:lang w:val="es-ES"/>
        </w:rPr>
        <w:t>“</w:t>
      </w:r>
      <w:r w:rsidRPr="002964A7">
        <w:rPr>
          <w:rFonts w:ascii="Verdana" w:hAnsi="Verdana"/>
          <w:sz w:val="20"/>
          <w:szCs w:val="20"/>
          <w:lang w:val="es-ES"/>
        </w:rPr>
        <w:t xml:space="preserve">declarara en este proceso internacional”. </w:t>
      </w:r>
    </w:p>
    <w:p w:rsidR="00BB0281" w:rsidRPr="002964A7" w:rsidRDefault="00BB0281" w:rsidP="00BB0281">
      <w:pPr>
        <w:spacing w:after="0" w:line="240" w:lineRule="auto"/>
        <w:ind w:left="720"/>
        <w:contextualSpacing/>
        <w:jc w:val="both"/>
        <w:rPr>
          <w:rFonts w:ascii="Verdana" w:hAnsi="Verdana"/>
          <w:sz w:val="20"/>
          <w:szCs w:val="20"/>
          <w:lang w:val="es-ES"/>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ES"/>
        </w:rPr>
      </w:pPr>
      <w:r w:rsidRPr="002964A7">
        <w:rPr>
          <w:rFonts w:ascii="Verdana" w:hAnsi="Verdana"/>
          <w:sz w:val="20"/>
          <w:szCs w:val="20"/>
          <w:lang w:val="es-ES"/>
        </w:rPr>
        <w:t xml:space="preserve">En </w:t>
      </w:r>
      <w:r w:rsidRPr="002964A7">
        <w:rPr>
          <w:rFonts w:ascii="Verdana" w:hAnsi="Verdana" w:cs="Arial"/>
          <w:sz w:val="20"/>
          <w:szCs w:val="20"/>
          <w:lang w:val="es-ES"/>
        </w:rPr>
        <w:t>este</w:t>
      </w:r>
      <w:r w:rsidRPr="002964A7">
        <w:rPr>
          <w:rFonts w:ascii="Verdana" w:hAnsi="Verdana"/>
          <w:sz w:val="20"/>
          <w:szCs w:val="20"/>
          <w:lang w:val="es-ES"/>
        </w:rPr>
        <w:t xml:space="preserve"> contexto, no quedó claro si, al indicar que no deseaba “participar en el litigo del caso”, el señor Huamaní</w:t>
      </w:r>
      <w:r w:rsidR="00F45ABC">
        <w:rPr>
          <w:rFonts w:ascii="Verdana" w:hAnsi="Verdana"/>
          <w:sz w:val="20"/>
          <w:szCs w:val="20"/>
          <w:lang w:val="es-ES"/>
        </w:rPr>
        <w:t xml:space="preserve"> </w:t>
      </w:r>
      <w:r w:rsidR="00F45ABC" w:rsidRPr="002964A7">
        <w:rPr>
          <w:rFonts w:ascii="Verdana" w:hAnsi="Verdana"/>
          <w:sz w:val="20"/>
          <w:szCs w:val="20"/>
          <w:lang w:val="es-ES"/>
        </w:rPr>
        <w:t>Vergara</w:t>
      </w:r>
      <w:r w:rsidRPr="002964A7">
        <w:rPr>
          <w:rFonts w:ascii="Verdana" w:hAnsi="Verdana"/>
          <w:sz w:val="20"/>
          <w:szCs w:val="20"/>
          <w:lang w:val="es-ES"/>
        </w:rPr>
        <w:t xml:space="preserve"> procuraba retirarse del caso como presunta víctima o meramente solicitaba no participar en su litigio a través de la presentación de una declaración rendida ante fedatario público. Durante la audiencia pública, los representantes </w:t>
      </w:r>
      <w:r w:rsidRPr="002964A7">
        <w:rPr>
          <w:rFonts w:ascii="Verdana" w:hAnsi="Verdana"/>
          <w:sz w:val="20"/>
          <w:szCs w:val="20"/>
        </w:rPr>
        <w:t>sostuvieron</w:t>
      </w:r>
      <w:r w:rsidRPr="002964A7">
        <w:rPr>
          <w:rFonts w:ascii="Verdana" w:hAnsi="Verdana"/>
          <w:sz w:val="20"/>
          <w:szCs w:val="20"/>
          <w:lang w:val="es-ES"/>
        </w:rPr>
        <w:t xml:space="preserve"> que “</w:t>
      </w:r>
      <w:r w:rsidRPr="002964A7">
        <w:rPr>
          <w:rFonts w:ascii="Verdana" w:hAnsi="Verdana"/>
          <w:sz w:val="20"/>
          <w:szCs w:val="20"/>
          <w:lang w:val="es-ES_tradnl"/>
        </w:rPr>
        <w:t>la víctima Huamaní Vergara señaló […] que no quería continuar con el proceso por temor, por la circunstancia personal que [él] vivía”.</w:t>
      </w:r>
      <w:r w:rsidRPr="002964A7">
        <w:rPr>
          <w:rFonts w:ascii="Verdana" w:hAnsi="Verdana"/>
          <w:sz w:val="20"/>
          <w:szCs w:val="20"/>
          <w:lang w:val="es-ES"/>
        </w:rPr>
        <w:t xml:space="preserve"> Finalmente, en sus alegatos finales escritos, los representantes indicaron que “</w:t>
      </w:r>
      <w:r w:rsidRPr="002964A7">
        <w:rPr>
          <w:rFonts w:ascii="Verdana" w:hAnsi="Verdana"/>
          <w:sz w:val="20"/>
          <w:szCs w:val="20"/>
          <w:lang w:val="es-PR"/>
        </w:rPr>
        <w:t>el señor Huamaní expresó su temor que se vería expuesto a represalias, hostigamiento o presiones desde el Estado si participa</w:t>
      </w:r>
      <w:r w:rsidR="00DC5729">
        <w:rPr>
          <w:rFonts w:ascii="Verdana" w:hAnsi="Verdana"/>
          <w:sz w:val="20"/>
          <w:szCs w:val="20"/>
          <w:lang w:val="es-PR"/>
        </w:rPr>
        <w:t>b</w:t>
      </w:r>
      <w:r w:rsidRPr="002964A7">
        <w:rPr>
          <w:rFonts w:ascii="Verdana" w:hAnsi="Verdana"/>
          <w:sz w:val="20"/>
          <w:szCs w:val="20"/>
          <w:lang w:val="es-PR"/>
        </w:rPr>
        <w:t>a en este litigio”</w:t>
      </w:r>
      <w:r w:rsidR="00DC5729">
        <w:rPr>
          <w:rFonts w:ascii="Verdana" w:hAnsi="Verdana"/>
          <w:sz w:val="20"/>
          <w:szCs w:val="20"/>
          <w:lang w:val="es-PR"/>
        </w:rPr>
        <w:t>, pero</w:t>
      </w:r>
      <w:r w:rsidRPr="002964A7">
        <w:rPr>
          <w:rFonts w:ascii="Verdana" w:hAnsi="Verdana"/>
          <w:sz w:val="20"/>
          <w:szCs w:val="20"/>
          <w:lang w:val="es-PR"/>
        </w:rPr>
        <w:t xml:space="preserve"> especificaron que “</w:t>
      </w:r>
      <w:r w:rsidRPr="002964A7">
        <w:rPr>
          <w:rFonts w:ascii="Verdana" w:hAnsi="Verdana"/>
          <w:sz w:val="20"/>
          <w:szCs w:val="20"/>
          <w:lang w:val="es-ES"/>
        </w:rPr>
        <w:t>el señor Marino Huamaní Vergara sigue siendo una víctima del caso, independiente de su participación o no como declarante”.</w:t>
      </w:r>
    </w:p>
    <w:p w:rsidR="00FD315B" w:rsidRPr="002964A7" w:rsidRDefault="00FD315B" w:rsidP="00FD315B">
      <w:pPr>
        <w:pStyle w:val="ListParagraph"/>
        <w:autoSpaceDE w:val="0"/>
        <w:autoSpaceDN w:val="0"/>
        <w:adjustRightInd w:val="0"/>
        <w:spacing w:after="0" w:line="240" w:lineRule="auto"/>
        <w:ind w:left="0"/>
        <w:jc w:val="both"/>
        <w:rPr>
          <w:rFonts w:ascii="Verdana" w:hAnsi="Verdana"/>
          <w:sz w:val="20"/>
          <w:szCs w:val="20"/>
          <w:lang w:val="es-ES"/>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ES"/>
        </w:rPr>
      </w:pPr>
      <w:r w:rsidRPr="002964A7">
        <w:rPr>
          <w:rFonts w:ascii="Verdana" w:hAnsi="Verdana"/>
          <w:sz w:val="20"/>
          <w:szCs w:val="20"/>
          <w:lang w:val="es-ES"/>
        </w:rPr>
        <w:t xml:space="preserve">Como lo ha hecho </w:t>
      </w:r>
      <w:r w:rsidRPr="002964A7">
        <w:rPr>
          <w:rFonts w:ascii="Verdana" w:hAnsi="Verdana"/>
          <w:sz w:val="20"/>
          <w:szCs w:val="20"/>
        </w:rPr>
        <w:t>en</w:t>
      </w:r>
      <w:r w:rsidRPr="002964A7">
        <w:rPr>
          <w:rFonts w:ascii="Verdana" w:hAnsi="Verdana"/>
          <w:sz w:val="20"/>
          <w:szCs w:val="20"/>
          <w:lang w:val="es-ES"/>
        </w:rPr>
        <w:t xml:space="preserve"> casos anteriores</w:t>
      </w:r>
      <w:r w:rsidRPr="002964A7">
        <w:rPr>
          <w:rFonts w:ascii="Verdana" w:hAnsi="Verdana"/>
          <w:spacing w:val="-2"/>
          <w:sz w:val="20"/>
          <w:szCs w:val="20"/>
          <w:vertAlign w:val="superscript"/>
          <w:lang w:val="en-US"/>
        </w:rPr>
        <w:footnoteReference w:id="48"/>
      </w:r>
      <w:r w:rsidRPr="002964A7">
        <w:rPr>
          <w:rFonts w:ascii="Verdana" w:hAnsi="Verdana"/>
          <w:sz w:val="20"/>
          <w:szCs w:val="20"/>
          <w:lang w:val="es-ES"/>
        </w:rPr>
        <w:t xml:space="preserve">, la Corte toma en cuenta la voluntad de la presunta víctima identificada en el Informe de Admisibilidad y Fondo de la Comisión. En este caso, la Corte considera que la voluntad del señor Marino </w:t>
      </w:r>
      <w:r w:rsidRPr="002964A7">
        <w:rPr>
          <w:rFonts w:ascii="Verdana" w:hAnsi="Verdana"/>
          <w:sz w:val="20"/>
          <w:szCs w:val="20"/>
          <w:lang w:val="es-ES_tradnl"/>
        </w:rPr>
        <w:t>Huamaní Vergara</w:t>
      </w:r>
      <w:r w:rsidRPr="002964A7">
        <w:rPr>
          <w:rFonts w:ascii="Verdana" w:hAnsi="Verdana"/>
          <w:sz w:val="20"/>
          <w:szCs w:val="20"/>
          <w:lang w:val="es-ES"/>
        </w:rPr>
        <w:t xml:space="preserve">, expresada a través de sus representantes, es continuar como presunta víctima del caso y, en </w:t>
      </w:r>
      <w:r w:rsidRPr="002964A7">
        <w:rPr>
          <w:rFonts w:ascii="Verdana" w:eastAsia="Calibri" w:hAnsi="Verdana" w:cs="Arial"/>
          <w:sz w:val="20"/>
          <w:szCs w:val="20"/>
          <w:lang w:val="es-GT"/>
        </w:rPr>
        <w:t>consecuencia</w:t>
      </w:r>
      <w:r w:rsidRPr="002964A7">
        <w:rPr>
          <w:rFonts w:ascii="Verdana" w:hAnsi="Verdana"/>
          <w:sz w:val="20"/>
          <w:szCs w:val="20"/>
          <w:lang w:val="es-ES"/>
        </w:rPr>
        <w:t xml:space="preserve">, lo considerará como tal. </w:t>
      </w:r>
    </w:p>
    <w:p w:rsidR="0017158F" w:rsidRPr="003A4D8C" w:rsidRDefault="0017158F" w:rsidP="00726DBA">
      <w:pPr>
        <w:spacing w:after="0" w:line="240" w:lineRule="auto"/>
        <w:contextualSpacing/>
        <w:jc w:val="both"/>
        <w:rPr>
          <w:rFonts w:ascii="Verdana" w:eastAsia="Calibri" w:hAnsi="Verdana"/>
          <w:b/>
          <w:sz w:val="14"/>
          <w:szCs w:val="20"/>
          <w:lang w:eastAsia="es-CR"/>
        </w:rPr>
      </w:pPr>
    </w:p>
    <w:p w:rsidR="00BB0281" w:rsidRPr="002964A7" w:rsidRDefault="001154F9" w:rsidP="00836D0F">
      <w:pPr>
        <w:pStyle w:val="Heading3"/>
        <w:spacing w:line="240" w:lineRule="auto"/>
        <w:jc w:val="both"/>
        <w:rPr>
          <w:rFonts w:eastAsia="Calibri"/>
          <w:lang w:eastAsia="es-CR"/>
        </w:rPr>
      </w:pPr>
      <w:bookmarkStart w:id="100" w:name="_Toc421864939"/>
      <w:bookmarkStart w:id="101" w:name="_Toc423102520"/>
      <w:bookmarkStart w:id="102" w:name="_Toc433387473"/>
      <w:r>
        <w:rPr>
          <w:lang w:eastAsia="es-CR"/>
        </w:rPr>
        <w:t xml:space="preserve">C. </w:t>
      </w:r>
      <w:r w:rsidR="00BB0281" w:rsidRPr="002964A7">
        <w:rPr>
          <w:rFonts w:eastAsia="Calibri"/>
          <w:lang w:eastAsia="es-CR"/>
        </w:rPr>
        <w:t>Improcedencia en cuanto a la formulación de nuevos hechos y/o argumentos presentados por los representantes de las presuntas víctimas no planteados por la Comisión en su Informe de</w:t>
      </w:r>
      <w:r w:rsidR="00E907AE">
        <w:rPr>
          <w:rFonts w:eastAsia="Calibri"/>
          <w:lang w:eastAsia="es-CR"/>
        </w:rPr>
        <w:t xml:space="preserve"> Admisibilidad y</w:t>
      </w:r>
      <w:r w:rsidR="00BB0281" w:rsidRPr="002964A7">
        <w:rPr>
          <w:rFonts w:eastAsia="Calibri"/>
          <w:lang w:eastAsia="es-CR"/>
        </w:rPr>
        <w:t xml:space="preserve"> Fondo: supuesta afectación del derecho a la propiedad y la prohibición de injerencias arbitrarias en la vida familiar (artículos 21 y 11.2 de la Convención Americana)</w:t>
      </w:r>
      <w:bookmarkEnd w:id="100"/>
      <w:bookmarkEnd w:id="101"/>
      <w:bookmarkEnd w:id="102"/>
    </w:p>
    <w:p w:rsidR="00BB0281" w:rsidRPr="002964A7" w:rsidRDefault="00BB0281" w:rsidP="001154F9">
      <w:pPr>
        <w:pStyle w:val="Heading3"/>
        <w:rPr>
          <w:rFonts w:eastAsia="Calibri"/>
          <w:lang w:val="es-CO" w:eastAsia="es-CR"/>
        </w:rPr>
      </w:pPr>
      <w:bookmarkStart w:id="103" w:name="_Toc421864940"/>
      <w:bookmarkStart w:id="104" w:name="_Toc423102521"/>
      <w:bookmarkStart w:id="105" w:name="_Toc433387474"/>
      <w:r w:rsidRPr="002964A7">
        <w:rPr>
          <w:rFonts w:eastAsia="Calibri"/>
          <w:lang w:val="es-CO" w:eastAsia="es-CR"/>
        </w:rPr>
        <w:t>C.1. Argumentos de las partes</w:t>
      </w:r>
      <w:bookmarkEnd w:id="103"/>
      <w:bookmarkEnd w:id="104"/>
      <w:r w:rsidR="00A252B8">
        <w:rPr>
          <w:rFonts w:eastAsia="Calibri"/>
          <w:lang w:val="es-CO" w:eastAsia="es-CR"/>
        </w:rPr>
        <w:t xml:space="preserve"> y</w:t>
      </w:r>
      <w:r w:rsidR="00A252B8" w:rsidRPr="00A252B8">
        <w:rPr>
          <w:rFonts w:eastAsia="Calibri"/>
          <w:lang w:val="es-CO" w:eastAsia="es-CR"/>
        </w:rPr>
        <w:t xml:space="preserve"> </w:t>
      </w:r>
      <w:r w:rsidR="00A252B8" w:rsidRPr="002964A7">
        <w:rPr>
          <w:rFonts w:eastAsia="Calibri"/>
          <w:lang w:val="es-CO" w:eastAsia="es-CR"/>
        </w:rPr>
        <w:t>la Comisión</w:t>
      </w:r>
      <w:bookmarkEnd w:id="105"/>
    </w:p>
    <w:p w:rsidR="00BB0281" w:rsidRPr="002964A7" w:rsidRDefault="00BB0281" w:rsidP="00BB0281">
      <w:pPr>
        <w:spacing w:after="0" w:line="240" w:lineRule="auto"/>
        <w:jc w:val="both"/>
        <w:rPr>
          <w:rFonts w:ascii="Verdana" w:eastAsia="Calibri" w:hAnsi="Verdana"/>
          <w:b/>
          <w:sz w:val="20"/>
          <w:szCs w:val="20"/>
          <w:lang w:val="es-CO" w:eastAsia="es-CR"/>
        </w:rPr>
      </w:pPr>
    </w:p>
    <w:p w:rsidR="000645F5"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cs="Arial"/>
          <w:sz w:val="20"/>
          <w:szCs w:val="20"/>
          <w:lang w:eastAsia="es-CR"/>
        </w:rPr>
        <w:lastRenderedPageBreak/>
        <w:t xml:space="preserve">El </w:t>
      </w:r>
      <w:r w:rsidRPr="002964A7">
        <w:rPr>
          <w:rFonts w:ascii="Verdana" w:hAnsi="Verdana" w:cs="Arial"/>
          <w:b/>
          <w:i/>
          <w:sz w:val="20"/>
          <w:szCs w:val="20"/>
          <w:lang w:eastAsia="es-CR"/>
        </w:rPr>
        <w:t>Estado</w:t>
      </w:r>
      <w:r w:rsidRPr="002964A7">
        <w:rPr>
          <w:rFonts w:ascii="Verdana" w:hAnsi="Verdana" w:cs="Arial"/>
          <w:sz w:val="20"/>
          <w:szCs w:val="20"/>
          <w:lang w:eastAsia="es-CR"/>
        </w:rPr>
        <w:t xml:space="preserve"> señaló que la Comisión incumplió con el artículo 35.3 del Reglamento, pues “no indic[ó] cuáles de los hechos contenidos en el Informe [de Fondo] somet[ió] a la </w:t>
      </w:r>
      <w:r w:rsidRPr="002964A7">
        <w:rPr>
          <w:rFonts w:ascii="Verdana" w:hAnsi="Verdana"/>
          <w:sz w:val="20"/>
          <w:szCs w:val="20"/>
        </w:rPr>
        <w:t>consideración</w:t>
      </w:r>
      <w:r w:rsidRPr="002964A7">
        <w:rPr>
          <w:rFonts w:ascii="Verdana" w:hAnsi="Verdana" w:cs="Arial"/>
          <w:sz w:val="20"/>
          <w:szCs w:val="20"/>
          <w:lang w:eastAsia="es-CR"/>
        </w:rPr>
        <w:t xml:space="preserve"> de la Corte”. Asimismo, sostuvo que </w:t>
      </w:r>
      <w:r w:rsidRPr="002964A7">
        <w:rPr>
          <w:rFonts w:ascii="Verdana" w:hAnsi="Verdana"/>
          <w:sz w:val="20"/>
          <w:szCs w:val="20"/>
          <w:lang w:eastAsia="es-CR"/>
        </w:rPr>
        <w:t xml:space="preserve">la Comisión no hizo mayor énfasis de lo concerniente al alegado robo de animales en el acápite “A. Consideraciones sobre los hechos: hechos probados” de su Informe de </w:t>
      </w:r>
      <w:r w:rsidR="00EE57FB">
        <w:rPr>
          <w:rFonts w:ascii="Verdana" w:hAnsi="Verdana"/>
          <w:sz w:val="20"/>
          <w:szCs w:val="20"/>
          <w:lang w:eastAsia="es-CR"/>
        </w:rPr>
        <w:t xml:space="preserve">Admisibilidad y </w:t>
      </w:r>
      <w:r w:rsidRPr="002964A7">
        <w:rPr>
          <w:rFonts w:ascii="Verdana" w:hAnsi="Verdana"/>
          <w:sz w:val="20"/>
          <w:szCs w:val="20"/>
          <w:lang w:eastAsia="es-CR"/>
        </w:rPr>
        <w:t xml:space="preserve">Fondo, ni lo consideró dentro de sus “Consideraciones de Derecho”. Sin embargo, los hechos presentados por los representantes en su escrito de solicitudes y argumentos que podrían constituir violaciones a los artículos 21 y 11.2 de la Convención, serían sustancialmente mayores a lo establecido por la Comisión, sin que puedan considerarse como hechos que expliquen, contextualicen o aclaren los hechos considerados como probados por la Comisión en su Informe de </w:t>
      </w:r>
      <w:r w:rsidR="003B2865">
        <w:rPr>
          <w:rFonts w:ascii="Verdana" w:hAnsi="Verdana"/>
          <w:sz w:val="20"/>
          <w:szCs w:val="20"/>
          <w:lang w:eastAsia="es-CR"/>
        </w:rPr>
        <w:t xml:space="preserve">Admisibilidad y </w:t>
      </w:r>
      <w:r w:rsidRPr="002964A7">
        <w:rPr>
          <w:rFonts w:ascii="Verdana" w:hAnsi="Verdana"/>
          <w:sz w:val="20"/>
          <w:szCs w:val="20"/>
          <w:lang w:eastAsia="es-CR"/>
        </w:rPr>
        <w:t>Fondo. Por lo anterior, señaló que la presente excepción preliminar debe declararse fundada y solicitó a la Corte “sustraer del presente proceso todo el conjunto de hechos</w:t>
      </w:r>
      <w:r w:rsidR="006F224A">
        <w:rPr>
          <w:rFonts w:ascii="Verdana" w:hAnsi="Verdana"/>
          <w:sz w:val="20"/>
          <w:szCs w:val="20"/>
          <w:lang w:eastAsia="es-CR"/>
        </w:rPr>
        <w:t>”</w:t>
      </w:r>
      <w:r w:rsidRPr="002964A7">
        <w:rPr>
          <w:rFonts w:ascii="Verdana" w:hAnsi="Verdana"/>
          <w:sz w:val="20"/>
          <w:szCs w:val="20"/>
          <w:lang w:eastAsia="es-CR"/>
        </w:rPr>
        <w:t xml:space="preserve"> </w:t>
      </w:r>
      <w:r w:rsidR="00916F47">
        <w:rPr>
          <w:rFonts w:ascii="Verdana" w:hAnsi="Verdana"/>
          <w:sz w:val="20"/>
          <w:szCs w:val="20"/>
          <w:lang w:eastAsia="es-CR"/>
        </w:rPr>
        <w:t xml:space="preserve">expuestos en </w:t>
      </w:r>
      <w:r w:rsidRPr="002964A7">
        <w:rPr>
          <w:rFonts w:ascii="Verdana" w:hAnsi="Verdana"/>
          <w:sz w:val="20"/>
          <w:szCs w:val="20"/>
          <w:lang w:eastAsia="es-CR"/>
        </w:rPr>
        <w:t xml:space="preserve">el escrito de solicitudes y argumentos </w:t>
      </w:r>
      <w:r w:rsidR="00916F47">
        <w:rPr>
          <w:rFonts w:ascii="Verdana" w:hAnsi="Verdana"/>
          <w:sz w:val="20"/>
          <w:szCs w:val="20"/>
          <w:lang w:eastAsia="es-CR"/>
        </w:rPr>
        <w:t>“</w:t>
      </w:r>
      <w:r w:rsidRPr="002964A7">
        <w:rPr>
          <w:rFonts w:ascii="Verdana" w:hAnsi="Verdana"/>
          <w:sz w:val="20"/>
          <w:szCs w:val="20"/>
          <w:lang w:eastAsia="es-CR"/>
        </w:rPr>
        <w:t xml:space="preserve">que apunten a probar la supuesta violación al derecho a la propiedad y la </w:t>
      </w:r>
      <w:r w:rsidR="00916F47">
        <w:rPr>
          <w:rFonts w:ascii="Verdana" w:hAnsi="Verdana"/>
          <w:sz w:val="20"/>
          <w:szCs w:val="20"/>
          <w:lang w:eastAsia="es-CR"/>
        </w:rPr>
        <w:t>[</w:t>
      </w:r>
      <w:r w:rsidR="006F224A">
        <w:rPr>
          <w:rFonts w:ascii="Verdana" w:hAnsi="Verdana"/>
          <w:sz w:val="20"/>
          <w:szCs w:val="20"/>
          <w:lang w:eastAsia="es-CR"/>
        </w:rPr>
        <w:t>alegada</w:t>
      </w:r>
      <w:r w:rsidR="00916F47">
        <w:rPr>
          <w:rFonts w:ascii="Verdana" w:hAnsi="Verdana"/>
          <w:sz w:val="20"/>
          <w:szCs w:val="20"/>
          <w:lang w:eastAsia="es-CR"/>
        </w:rPr>
        <w:t>]</w:t>
      </w:r>
      <w:r w:rsidR="006F224A" w:rsidRPr="002964A7">
        <w:rPr>
          <w:rFonts w:ascii="Verdana" w:hAnsi="Verdana"/>
          <w:sz w:val="20"/>
          <w:szCs w:val="20"/>
          <w:lang w:eastAsia="es-CR"/>
        </w:rPr>
        <w:t xml:space="preserve"> </w:t>
      </w:r>
      <w:r w:rsidRPr="002964A7">
        <w:rPr>
          <w:rFonts w:ascii="Verdana" w:hAnsi="Verdana"/>
          <w:sz w:val="20"/>
          <w:szCs w:val="20"/>
          <w:lang w:eastAsia="es-CR"/>
        </w:rPr>
        <w:t>injerencia a la vida privada familiar</w:t>
      </w:r>
      <w:r w:rsidR="00916F47">
        <w:rPr>
          <w:rFonts w:ascii="Verdana" w:hAnsi="Verdana"/>
          <w:sz w:val="20"/>
          <w:szCs w:val="20"/>
          <w:lang w:eastAsia="es-CR"/>
        </w:rPr>
        <w:t xml:space="preserve"> </w:t>
      </w:r>
      <w:r w:rsidR="00916F47">
        <w:rPr>
          <w:rFonts w:ascii="Verdana" w:hAnsi="Verdana"/>
          <w:sz w:val="20"/>
          <w:szCs w:val="20"/>
        </w:rPr>
        <w:t>en perjuicio de las presuntas víctimas, dado que no respeta la delimitación del marco fáctico considerado por la [Comisión]</w:t>
      </w:r>
      <w:r w:rsidR="00916F47">
        <w:rPr>
          <w:rFonts w:ascii="Verdana" w:hAnsi="Verdana"/>
          <w:sz w:val="20"/>
          <w:szCs w:val="20"/>
          <w:lang w:eastAsia="es-CR"/>
        </w:rPr>
        <w:t>”</w:t>
      </w:r>
      <w:r w:rsidRPr="002964A7">
        <w:rPr>
          <w:rFonts w:ascii="Verdana" w:hAnsi="Verdana"/>
          <w:sz w:val="20"/>
          <w:szCs w:val="20"/>
          <w:lang w:eastAsia="es-CR"/>
        </w:rPr>
        <w:t>.</w:t>
      </w:r>
      <w:r w:rsidR="00916F47">
        <w:rPr>
          <w:rFonts w:ascii="Verdana" w:hAnsi="Verdana"/>
          <w:sz w:val="20"/>
          <w:szCs w:val="20"/>
          <w:lang w:eastAsia="es-CR"/>
        </w:rPr>
        <w:t xml:space="preserve"> </w:t>
      </w:r>
    </w:p>
    <w:p w:rsidR="00916F47" w:rsidRDefault="00916F47" w:rsidP="00ED1EDB">
      <w:pPr>
        <w:pStyle w:val="ListParagraph"/>
        <w:autoSpaceDE w:val="0"/>
        <w:autoSpaceDN w:val="0"/>
        <w:adjustRightInd w:val="0"/>
        <w:spacing w:after="0" w:line="240" w:lineRule="auto"/>
        <w:ind w:left="0"/>
        <w:jc w:val="both"/>
        <w:rPr>
          <w:rFonts w:ascii="Verdana" w:hAnsi="Verdana"/>
          <w:sz w:val="20"/>
          <w:szCs w:val="20"/>
          <w:lang w:eastAsia="es-CR"/>
        </w:rPr>
      </w:pPr>
    </w:p>
    <w:p w:rsidR="000645F5" w:rsidRPr="000645F5" w:rsidRDefault="00BB0281" w:rsidP="001154F9">
      <w:pPr>
        <w:pStyle w:val="ListParagraph"/>
        <w:numPr>
          <w:ilvl w:val="0"/>
          <w:numId w:val="7"/>
        </w:numPr>
        <w:autoSpaceDE w:val="0"/>
        <w:autoSpaceDN w:val="0"/>
        <w:adjustRightInd w:val="0"/>
        <w:spacing w:after="0" w:line="240" w:lineRule="auto"/>
        <w:ind w:left="0" w:firstLine="0"/>
        <w:jc w:val="both"/>
        <w:rPr>
          <w:rFonts w:eastAsia="Calibri"/>
          <w:b/>
          <w:lang w:eastAsia="es-CR"/>
        </w:rPr>
      </w:pPr>
      <w:r w:rsidRPr="000645F5">
        <w:rPr>
          <w:rFonts w:ascii="Verdana" w:hAnsi="Verdana"/>
          <w:sz w:val="20"/>
          <w:szCs w:val="20"/>
          <w:lang w:eastAsia="es-CR"/>
        </w:rPr>
        <w:t xml:space="preserve">La </w:t>
      </w:r>
      <w:r w:rsidRPr="000645F5">
        <w:rPr>
          <w:rFonts w:ascii="Verdana" w:hAnsi="Verdana"/>
          <w:b/>
          <w:i/>
          <w:sz w:val="20"/>
          <w:szCs w:val="20"/>
          <w:lang w:eastAsia="es-CR"/>
        </w:rPr>
        <w:t>Comisión</w:t>
      </w:r>
      <w:r w:rsidRPr="000645F5">
        <w:rPr>
          <w:rFonts w:ascii="Verdana" w:hAnsi="Verdana"/>
          <w:sz w:val="20"/>
          <w:szCs w:val="20"/>
          <w:lang w:eastAsia="es-CR"/>
        </w:rPr>
        <w:t xml:space="preserve"> señaló que el planteamiento del Estado no podría ser revisado sin entrar en el análisis de fondo del caso, particularmente de los hechos que fueron dados por probados por la Comisión en su Informe de Admisibilidad y Fondo. Sin perjuicio de ello, recordó que en dicho Informe, tanto en la posición de los peticionarios como en los apartes subsiguientes, se hizo referencia al robo de ganado y a hechos que razonablemente pueden entenderse explicados y aclarados por los representantes. En virtud de lo anterior, solicitó a la Corte que desestime esta “excepción preliminar” planteada por el Estado.</w:t>
      </w:r>
      <w:r w:rsidR="00563EAB" w:rsidRPr="002964A7" w:rsidDel="00563EAB">
        <w:rPr>
          <w:b/>
          <w:lang w:eastAsia="es-CR"/>
        </w:rPr>
        <w:t xml:space="preserve"> </w:t>
      </w:r>
    </w:p>
    <w:p w:rsidR="00BB0281" w:rsidRPr="002964A7" w:rsidRDefault="00BB0281" w:rsidP="000645F5">
      <w:pPr>
        <w:pStyle w:val="ListParagraph"/>
        <w:autoSpaceDE w:val="0"/>
        <w:autoSpaceDN w:val="0"/>
        <w:adjustRightInd w:val="0"/>
        <w:spacing w:after="0" w:line="240" w:lineRule="auto"/>
        <w:ind w:left="0"/>
        <w:jc w:val="both"/>
        <w:rPr>
          <w:rFonts w:eastAsia="Calibri"/>
          <w:b/>
          <w:lang w:eastAsia="es-CR"/>
        </w:rPr>
      </w:pPr>
    </w:p>
    <w:p w:rsidR="00BB0281"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 xml:space="preserve">Los </w:t>
      </w:r>
      <w:r w:rsidRPr="002964A7">
        <w:rPr>
          <w:rFonts w:ascii="Verdana" w:hAnsi="Verdana" w:cs="Arial"/>
          <w:b/>
          <w:i/>
          <w:sz w:val="20"/>
          <w:szCs w:val="20"/>
          <w:lang w:eastAsia="es-CR"/>
        </w:rPr>
        <w:t>representantes</w:t>
      </w:r>
      <w:r w:rsidRPr="002964A7">
        <w:rPr>
          <w:rFonts w:ascii="Verdana" w:hAnsi="Verdana"/>
          <w:sz w:val="20"/>
          <w:szCs w:val="20"/>
          <w:lang w:eastAsia="es-CR"/>
        </w:rPr>
        <w:t xml:space="preserve"> solicitaron a la Corte desestimar la solicitud del Estado y admitir los hechos presentados por la Comisión y los peticionarios en su totalidad, para su eventual estudio en la etapa de fondo, ya que los hechos que sustentarían las violaciones del derecho a la propiedad fueron debidamente incluidos y documentados en el Informe de </w:t>
      </w:r>
      <w:r w:rsidR="006E5203">
        <w:rPr>
          <w:rFonts w:ascii="Verdana" w:hAnsi="Verdana"/>
          <w:sz w:val="20"/>
          <w:szCs w:val="20"/>
          <w:lang w:eastAsia="es-CR"/>
        </w:rPr>
        <w:t xml:space="preserve">Admisibilidad y </w:t>
      </w:r>
      <w:r w:rsidRPr="002964A7">
        <w:rPr>
          <w:rFonts w:ascii="Verdana" w:hAnsi="Verdana"/>
          <w:sz w:val="20"/>
          <w:szCs w:val="20"/>
          <w:lang w:eastAsia="es-CR"/>
        </w:rPr>
        <w:t>Fondo de la Comisión. Señalaron que la Comisión incluyó “diversas informaciones y citas en su Informe en referencia a las afectaciones al derecho a la propiedad de las víctimas, inclusive diversas citas específicas al Informe Final de la [CVR] y los expedientes judiciales internos del caso”. Añadieron que</w:t>
      </w:r>
      <w:r w:rsidR="00AD6123">
        <w:rPr>
          <w:rFonts w:ascii="Verdana" w:hAnsi="Verdana"/>
          <w:sz w:val="20"/>
          <w:szCs w:val="20"/>
          <w:lang w:eastAsia="es-CR"/>
        </w:rPr>
        <w:t>,</w:t>
      </w:r>
      <w:r w:rsidRPr="002964A7">
        <w:rPr>
          <w:rFonts w:ascii="Verdana" w:hAnsi="Verdana"/>
          <w:sz w:val="20"/>
          <w:szCs w:val="20"/>
          <w:lang w:eastAsia="es-CR"/>
        </w:rPr>
        <w:t xml:space="preserve"> en su argumentación</w:t>
      </w:r>
      <w:r w:rsidR="00AD6123">
        <w:rPr>
          <w:rFonts w:ascii="Verdana" w:hAnsi="Verdana"/>
          <w:sz w:val="20"/>
          <w:szCs w:val="20"/>
          <w:lang w:eastAsia="es-CR"/>
        </w:rPr>
        <w:t>,</w:t>
      </w:r>
      <w:r w:rsidRPr="002964A7">
        <w:rPr>
          <w:rFonts w:ascii="Verdana" w:hAnsi="Verdana"/>
          <w:sz w:val="20"/>
          <w:szCs w:val="20"/>
          <w:lang w:eastAsia="es-CR"/>
        </w:rPr>
        <w:t xml:space="preserve"> los representantes no se apartaron de la versión de los hechos descrita en el Informe de la Comisión y sus anexos y, en cualquier caso, las fuentes que citaron fueron incorporadas como anexos al Informe de la Comisión. Al respecto, explicaron que han citado estos mismos anexos textualmente, mientras la Comisión presentó una versión resumida de los mismos, anexándolos a su Informe, no obstante, ello no presenta justificación alguna para la sustracción de estos hechos de la demanda, como pretendería el Estado. Finalmente, advirtieron que “el Estado pretende desconocer las conclusiones emitidas por sus propias autoridades judiciales al respecto, así como las conclusiones específicas del Informe Final de la [CVR]”.</w:t>
      </w:r>
    </w:p>
    <w:p w:rsidR="00BB0281" w:rsidRPr="002964A7" w:rsidRDefault="00BB0281" w:rsidP="001154F9">
      <w:pPr>
        <w:pStyle w:val="Heading3"/>
        <w:rPr>
          <w:rFonts w:eastAsia="Calibri"/>
          <w:lang w:val="es-CO" w:eastAsia="es-CR"/>
        </w:rPr>
      </w:pPr>
      <w:bookmarkStart w:id="106" w:name="_Toc421864941"/>
      <w:bookmarkStart w:id="107" w:name="_Toc423102522"/>
      <w:bookmarkStart w:id="108" w:name="_Toc433387475"/>
      <w:r w:rsidRPr="002964A7">
        <w:rPr>
          <w:rFonts w:eastAsia="Calibri"/>
          <w:lang w:val="es-CO" w:eastAsia="es-CR"/>
        </w:rPr>
        <w:t>C.2. Consideraciones de la Corte</w:t>
      </w:r>
      <w:bookmarkEnd w:id="106"/>
      <w:bookmarkEnd w:id="107"/>
      <w:bookmarkEnd w:id="108"/>
    </w:p>
    <w:p w:rsidR="00BB0281" w:rsidRPr="002964A7" w:rsidRDefault="00BB0281" w:rsidP="00BB0281">
      <w:pPr>
        <w:autoSpaceDE w:val="0"/>
        <w:autoSpaceDN w:val="0"/>
        <w:adjustRightInd w:val="0"/>
        <w:spacing w:after="0" w:line="240" w:lineRule="auto"/>
        <w:ind w:right="15"/>
        <w:contextualSpacing/>
        <w:jc w:val="both"/>
        <w:rPr>
          <w:rFonts w:ascii="Verdana" w:eastAsia="Calibri" w:hAnsi="Verdana"/>
          <w:sz w:val="20"/>
          <w:szCs w:val="20"/>
          <w:lang w:eastAsia="es-CR"/>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 xml:space="preserve">En primer lugar, en cuanto al alegato del Estado relativo a que la Comisión incumplió con el artículo 35.3 del Reglamento de la Corte porque </w:t>
      </w:r>
      <w:r w:rsidRPr="002964A7">
        <w:rPr>
          <w:rFonts w:ascii="Verdana" w:hAnsi="Verdana" w:cs="Arial"/>
          <w:sz w:val="20"/>
          <w:szCs w:val="20"/>
          <w:lang w:eastAsia="es-CR"/>
        </w:rPr>
        <w:t>“no indic[ó] cuáles de los hechos contenidos en el Informe [de</w:t>
      </w:r>
      <w:r w:rsidR="00F57BF6">
        <w:rPr>
          <w:rFonts w:ascii="Verdana" w:hAnsi="Verdana" w:cs="Arial"/>
          <w:sz w:val="20"/>
          <w:szCs w:val="20"/>
          <w:lang w:eastAsia="es-CR"/>
        </w:rPr>
        <w:t xml:space="preserve"> Admisibilidad y</w:t>
      </w:r>
      <w:r w:rsidRPr="002964A7">
        <w:rPr>
          <w:rFonts w:ascii="Verdana" w:hAnsi="Verdana" w:cs="Arial"/>
          <w:sz w:val="20"/>
          <w:szCs w:val="20"/>
          <w:lang w:eastAsia="es-CR"/>
        </w:rPr>
        <w:t xml:space="preserve"> Fondo…] somet[ió] a la consideración de la Corte”</w:t>
      </w:r>
      <w:r w:rsidRPr="002964A7">
        <w:rPr>
          <w:rFonts w:ascii="Verdana" w:hAnsi="Verdana"/>
          <w:sz w:val="20"/>
          <w:szCs w:val="20"/>
          <w:lang w:eastAsia="es-CR"/>
        </w:rPr>
        <w:t xml:space="preserve">, el Tribunal entiende que, al indicar la Comisión que “decidió someter el presente caso a la Corte </w:t>
      </w:r>
      <w:r w:rsidRPr="002964A7">
        <w:rPr>
          <w:rFonts w:ascii="Verdana" w:hAnsi="Verdana"/>
          <w:sz w:val="20"/>
          <w:szCs w:val="20"/>
        </w:rPr>
        <w:t>Interamericana</w:t>
      </w:r>
      <w:r w:rsidRPr="002964A7">
        <w:rPr>
          <w:rFonts w:ascii="Verdana" w:hAnsi="Verdana"/>
          <w:sz w:val="20"/>
          <w:szCs w:val="20"/>
          <w:lang w:eastAsia="es-CR"/>
        </w:rPr>
        <w:t xml:space="preserve"> por la necesidad de obtención de justicia para las </w:t>
      </w:r>
      <w:r w:rsidR="006E5203">
        <w:rPr>
          <w:rFonts w:ascii="Verdana" w:hAnsi="Verdana"/>
          <w:sz w:val="20"/>
          <w:szCs w:val="20"/>
          <w:lang w:eastAsia="es-CR"/>
        </w:rPr>
        <w:t xml:space="preserve">[presuntas] </w:t>
      </w:r>
      <w:r w:rsidRPr="002964A7">
        <w:rPr>
          <w:rFonts w:ascii="Verdana" w:hAnsi="Verdana"/>
          <w:sz w:val="20"/>
          <w:szCs w:val="20"/>
          <w:lang w:eastAsia="es-CR"/>
        </w:rPr>
        <w:t>víctimas”,</w:t>
      </w:r>
      <w:r w:rsidR="00563EAB">
        <w:rPr>
          <w:rFonts w:ascii="Verdana" w:hAnsi="Verdana"/>
          <w:sz w:val="20"/>
          <w:szCs w:val="20"/>
          <w:lang w:eastAsia="es-CR"/>
        </w:rPr>
        <w:t xml:space="preserve"> </w:t>
      </w:r>
      <w:r w:rsidRPr="002964A7">
        <w:rPr>
          <w:rFonts w:ascii="Verdana" w:hAnsi="Verdana"/>
          <w:sz w:val="20"/>
          <w:szCs w:val="20"/>
          <w:lang w:eastAsia="es-CR"/>
        </w:rPr>
        <w:t>sin excl</w:t>
      </w:r>
      <w:r w:rsidR="00096918" w:rsidRPr="002964A7">
        <w:rPr>
          <w:rFonts w:ascii="Verdana" w:hAnsi="Verdana"/>
          <w:sz w:val="20"/>
          <w:szCs w:val="20"/>
          <w:lang w:eastAsia="es-CR"/>
        </w:rPr>
        <w:t xml:space="preserve">uir expresamente hecho alguno, </w:t>
      </w:r>
      <w:r w:rsidR="00F57BF6">
        <w:rPr>
          <w:rFonts w:ascii="Verdana" w:hAnsi="Verdana"/>
          <w:sz w:val="20"/>
          <w:szCs w:val="20"/>
          <w:lang w:eastAsia="es-CR"/>
        </w:rPr>
        <w:t>e</w:t>
      </w:r>
      <w:r w:rsidRPr="002964A7">
        <w:rPr>
          <w:rFonts w:ascii="Verdana" w:hAnsi="Verdana"/>
          <w:sz w:val="20"/>
          <w:szCs w:val="20"/>
          <w:lang w:eastAsia="es-CR"/>
        </w:rPr>
        <w:t>sta evidentemente</w:t>
      </w:r>
      <w:r w:rsidRPr="002964A7" w:rsidDel="00EB4A01">
        <w:rPr>
          <w:rFonts w:ascii="Verdana" w:hAnsi="Verdana"/>
          <w:sz w:val="20"/>
          <w:szCs w:val="20"/>
          <w:lang w:eastAsia="es-CR"/>
        </w:rPr>
        <w:t xml:space="preserve"> </w:t>
      </w:r>
      <w:r w:rsidRPr="002964A7">
        <w:rPr>
          <w:rFonts w:ascii="Verdana" w:hAnsi="Verdana"/>
          <w:sz w:val="20"/>
          <w:szCs w:val="20"/>
          <w:lang w:eastAsia="es-CR"/>
        </w:rPr>
        <w:t xml:space="preserve">sometió todos los hechos del caso a consideración del Tribunal, en aplicación de artículo </w:t>
      </w:r>
      <w:r w:rsidRPr="002964A7">
        <w:rPr>
          <w:rFonts w:ascii="Verdana" w:hAnsi="Verdana"/>
          <w:sz w:val="20"/>
          <w:szCs w:val="20"/>
          <w:lang w:eastAsia="es-CR"/>
        </w:rPr>
        <w:lastRenderedPageBreak/>
        <w:t xml:space="preserve">35.1 del Reglamento, el cual dispone que “[e]l caso será sometido a la Corte mediante la presentación del informe </w:t>
      </w:r>
      <w:r w:rsidRPr="002964A7">
        <w:rPr>
          <w:rFonts w:ascii="Verdana" w:hAnsi="Verdana" w:cs="Arial"/>
          <w:sz w:val="20"/>
          <w:szCs w:val="20"/>
          <w:lang w:eastAsia="es-CR"/>
        </w:rPr>
        <w:t xml:space="preserve">[…] </w:t>
      </w:r>
      <w:r w:rsidRPr="002964A7">
        <w:rPr>
          <w:rFonts w:ascii="Verdana" w:hAnsi="Verdana"/>
          <w:sz w:val="20"/>
          <w:szCs w:val="20"/>
          <w:lang w:eastAsia="es-CR"/>
        </w:rPr>
        <w:t xml:space="preserve">que contenga todos los hechos supuestamente violatorios </w:t>
      </w:r>
      <w:r w:rsidRPr="002964A7">
        <w:rPr>
          <w:rFonts w:ascii="Verdana" w:hAnsi="Verdana" w:cs="Arial"/>
          <w:sz w:val="20"/>
          <w:szCs w:val="20"/>
          <w:lang w:eastAsia="es-CR"/>
        </w:rPr>
        <w:t>[…]</w:t>
      </w:r>
      <w:r w:rsidRPr="002964A7">
        <w:rPr>
          <w:rFonts w:ascii="Verdana" w:hAnsi="Verdana"/>
          <w:sz w:val="20"/>
          <w:szCs w:val="20"/>
          <w:lang w:eastAsia="es-CR"/>
        </w:rPr>
        <w:t xml:space="preserve">”. </w:t>
      </w:r>
    </w:p>
    <w:p w:rsidR="00BB0281" w:rsidRPr="002964A7" w:rsidRDefault="00BB0281" w:rsidP="00BB0281">
      <w:pPr>
        <w:autoSpaceDE w:val="0"/>
        <w:autoSpaceDN w:val="0"/>
        <w:adjustRightInd w:val="0"/>
        <w:spacing w:after="0" w:line="240" w:lineRule="auto"/>
        <w:ind w:right="15"/>
        <w:contextualSpacing/>
        <w:jc w:val="both"/>
        <w:rPr>
          <w:rFonts w:ascii="Verdana" w:eastAsia="Calibri" w:hAnsi="Verdana"/>
          <w:sz w:val="20"/>
          <w:szCs w:val="20"/>
          <w:lang w:eastAsia="es-CR"/>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 xml:space="preserve">En segundo lugar, en cuanto a la solicitud del Estado de que el Tribunal excluya del presente proceso </w:t>
      </w:r>
      <w:r w:rsidRPr="002964A7">
        <w:rPr>
          <w:rFonts w:ascii="Verdana" w:hAnsi="Verdana"/>
          <w:sz w:val="20"/>
          <w:szCs w:val="20"/>
        </w:rPr>
        <w:t>todo</w:t>
      </w:r>
      <w:r w:rsidRPr="002964A7">
        <w:rPr>
          <w:rFonts w:ascii="Verdana" w:hAnsi="Verdana"/>
          <w:sz w:val="20"/>
          <w:szCs w:val="20"/>
          <w:lang w:eastAsia="es-CR"/>
        </w:rPr>
        <w:t xml:space="preserve"> el conjunto de hechos del escrito de solicitudes y argumento</w:t>
      </w:r>
      <w:r w:rsidR="00CF0FCA" w:rsidRPr="002964A7">
        <w:rPr>
          <w:rFonts w:ascii="Verdana" w:hAnsi="Verdana"/>
          <w:sz w:val="20"/>
          <w:szCs w:val="20"/>
          <w:lang w:eastAsia="es-CR"/>
        </w:rPr>
        <w:t>s</w:t>
      </w:r>
      <w:r w:rsidRPr="002964A7">
        <w:rPr>
          <w:rFonts w:ascii="Verdana" w:hAnsi="Verdana"/>
          <w:sz w:val="20"/>
          <w:szCs w:val="20"/>
          <w:lang w:eastAsia="es-CR"/>
        </w:rPr>
        <w:t xml:space="preserve"> que apunten a probar la supuesta violación al derecho a la propiedad y la no injerencia a la vida privada familiar, esta Corte recuerda que el marco fáctico del proceso ante la Corte se encuentra constituido por los hechos contenidos en el Informe de</w:t>
      </w:r>
      <w:r w:rsidR="000D05FF">
        <w:rPr>
          <w:rFonts w:ascii="Verdana" w:hAnsi="Verdana"/>
          <w:sz w:val="20"/>
          <w:szCs w:val="20"/>
          <w:lang w:eastAsia="es-CR"/>
        </w:rPr>
        <w:t xml:space="preserve"> Admisibilidad y</w:t>
      </w:r>
      <w:r w:rsidRPr="002964A7">
        <w:rPr>
          <w:rFonts w:ascii="Verdana" w:hAnsi="Verdana"/>
          <w:sz w:val="20"/>
          <w:szCs w:val="20"/>
          <w:lang w:eastAsia="es-CR"/>
        </w:rPr>
        <w:t xml:space="preserve"> Fondo sometidos a su consideración. En consecuencia, no es admisible que las partes aleguen nuevos hechos distintos de los contenidos en dicho informe sin perjuicio de exponer aquellos que permitan explicar, aclarar o desestimar los que hayan sido mencionados en el mismo y hayan sido sometidos a consideración de la Corte. La excepción a este principio son los hechos que se califican como supervinientes, siempre que se encuentren ligados a los hechos del caso</w:t>
      </w:r>
      <w:r w:rsidRPr="002964A7">
        <w:rPr>
          <w:rFonts w:ascii="Verdana" w:hAnsi="Verdana"/>
          <w:sz w:val="20"/>
          <w:szCs w:val="20"/>
          <w:vertAlign w:val="superscript"/>
          <w:lang w:val="es-AR"/>
        </w:rPr>
        <w:footnoteReference w:id="49"/>
      </w:r>
      <w:r w:rsidRPr="002964A7">
        <w:rPr>
          <w:rFonts w:ascii="Verdana" w:hAnsi="Verdana"/>
          <w:sz w:val="20"/>
          <w:szCs w:val="20"/>
          <w:lang w:eastAsia="es-CR"/>
        </w:rPr>
        <w:t xml:space="preserve">. </w:t>
      </w:r>
    </w:p>
    <w:p w:rsidR="00BB0281" w:rsidRPr="002964A7" w:rsidRDefault="00BB0281" w:rsidP="00BB0281">
      <w:pPr>
        <w:autoSpaceDE w:val="0"/>
        <w:autoSpaceDN w:val="0"/>
        <w:adjustRightInd w:val="0"/>
        <w:spacing w:after="0" w:line="240" w:lineRule="auto"/>
        <w:ind w:right="15"/>
        <w:contextualSpacing/>
        <w:jc w:val="both"/>
        <w:rPr>
          <w:rFonts w:ascii="Verdana" w:eastAsia="Calibri" w:hAnsi="Verdana"/>
          <w:sz w:val="20"/>
          <w:szCs w:val="20"/>
          <w:lang w:eastAsia="es-CR"/>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Al respecto, la Corte constat</w:t>
      </w:r>
      <w:r w:rsidR="00427D9C">
        <w:rPr>
          <w:rFonts w:ascii="Verdana" w:hAnsi="Verdana"/>
          <w:sz w:val="20"/>
          <w:szCs w:val="20"/>
          <w:lang w:eastAsia="es-CR"/>
        </w:rPr>
        <w:t>ó</w:t>
      </w:r>
      <w:r w:rsidRPr="002964A7">
        <w:rPr>
          <w:rFonts w:ascii="Verdana" w:hAnsi="Verdana"/>
          <w:sz w:val="20"/>
          <w:szCs w:val="20"/>
          <w:lang w:eastAsia="es-CR"/>
        </w:rPr>
        <w:t xml:space="preserve"> que en el presente caso, la Comisión estableció</w:t>
      </w:r>
      <w:r w:rsidR="00C8250D">
        <w:rPr>
          <w:rFonts w:ascii="Verdana" w:hAnsi="Verdana"/>
          <w:sz w:val="20"/>
          <w:szCs w:val="20"/>
          <w:lang w:eastAsia="es-CR"/>
        </w:rPr>
        <w:t xml:space="preserve"> en los párrafos 109 y 111 de</w:t>
      </w:r>
      <w:r w:rsidRPr="002964A7">
        <w:rPr>
          <w:rFonts w:ascii="Verdana" w:hAnsi="Verdana"/>
          <w:sz w:val="20"/>
          <w:szCs w:val="20"/>
          <w:lang w:eastAsia="es-CR"/>
        </w:rPr>
        <w:t xml:space="preserve"> su Informe de</w:t>
      </w:r>
      <w:r w:rsidR="000D05FF">
        <w:rPr>
          <w:rFonts w:ascii="Verdana" w:hAnsi="Verdana"/>
          <w:sz w:val="20"/>
          <w:szCs w:val="20"/>
          <w:lang w:eastAsia="es-CR"/>
        </w:rPr>
        <w:t xml:space="preserve"> Admis</w:t>
      </w:r>
      <w:r w:rsidR="00980238">
        <w:rPr>
          <w:rFonts w:ascii="Verdana" w:hAnsi="Verdana"/>
          <w:sz w:val="20"/>
          <w:szCs w:val="20"/>
          <w:lang w:eastAsia="es-CR"/>
        </w:rPr>
        <w:t>i</w:t>
      </w:r>
      <w:r w:rsidR="000D05FF">
        <w:rPr>
          <w:rFonts w:ascii="Verdana" w:hAnsi="Verdana"/>
          <w:sz w:val="20"/>
          <w:szCs w:val="20"/>
          <w:lang w:eastAsia="es-CR"/>
        </w:rPr>
        <w:t>bilidad y</w:t>
      </w:r>
      <w:r w:rsidRPr="002964A7">
        <w:rPr>
          <w:rFonts w:ascii="Verdana" w:hAnsi="Verdana"/>
          <w:sz w:val="20"/>
          <w:szCs w:val="20"/>
          <w:lang w:eastAsia="es-CR"/>
        </w:rPr>
        <w:t xml:space="preserve"> Fondo las siguientes consideraciones de hecho: i) “[l]os efectivos militares allanaron las viviendas de los señores Francisco Hilario Torres y Ramón Hilario Moran, ubicadas en el sector de Laccaypampa perteneciente al sector de Rodeo Pampa, […] donde después […] causar[on] destrozos y [se] apoderar[on] de animales y otros bienes”, y ii) “al llegar al lugar </w:t>
      </w:r>
      <w:r w:rsidR="00D72F5B">
        <w:rPr>
          <w:rFonts w:ascii="Verdana" w:hAnsi="Verdana"/>
          <w:sz w:val="20"/>
          <w:szCs w:val="20"/>
          <w:lang w:eastAsia="es-CR"/>
        </w:rPr>
        <w:t>[Zósimo Hilario Quispe junto co</w:t>
      </w:r>
      <w:r w:rsidR="006A27C5">
        <w:rPr>
          <w:rFonts w:ascii="Verdana" w:hAnsi="Verdana"/>
          <w:sz w:val="20"/>
          <w:szCs w:val="20"/>
          <w:lang w:eastAsia="es-CR"/>
        </w:rPr>
        <w:t>n</w:t>
      </w:r>
      <w:r w:rsidR="00D72F5B">
        <w:rPr>
          <w:rFonts w:ascii="Verdana" w:hAnsi="Verdana"/>
          <w:sz w:val="20"/>
          <w:szCs w:val="20"/>
          <w:lang w:eastAsia="es-CR"/>
        </w:rPr>
        <w:t xml:space="preserve"> algunos comisionados de la comunidad,] </w:t>
      </w:r>
      <w:r w:rsidRPr="002964A7">
        <w:rPr>
          <w:rFonts w:ascii="Verdana" w:hAnsi="Verdana"/>
          <w:sz w:val="20"/>
          <w:szCs w:val="20"/>
          <w:lang w:eastAsia="es-CR"/>
        </w:rPr>
        <w:t xml:space="preserve">se encontraron con casas quemadas, alimentos, ropa y otros enseres regados en el piso”. Asimismo, estableció las siguientes </w:t>
      </w:r>
      <w:r w:rsidRPr="002964A7">
        <w:rPr>
          <w:rFonts w:ascii="Verdana" w:hAnsi="Verdana"/>
          <w:sz w:val="20"/>
          <w:szCs w:val="20"/>
        </w:rPr>
        <w:t>consideraciones</w:t>
      </w:r>
      <w:r w:rsidRPr="002964A7">
        <w:rPr>
          <w:rFonts w:ascii="Verdana" w:hAnsi="Verdana"/>
          <w:sz w:val="20"/>
          <w:szCs w:val="20"/>
          <w:lang w:eastAsia="es-CR"/>
        </w:rPr>
        <w:t xml:space="preserve"> de derecho</w:t>
      </w:r>
      <w:r w:rsidR="00C8250D">
        <w:rPr>
          <w:rFonts w:ascii="Verdana" w:hAnsi="Verdana"/>
          <w:sz w:val="20"/>
          <w:szCs w:val="20"/>
          <w:lang w:eastAsia="es-CR"/>
        </w:rPr>
        <w:t xml:space="preserve"> en los párrafos</w:t>
      </w:r>
      <w:r w:rsidR="00210EFA">
        <w:rPr>
          <w:rFonts w:ascii="Verdana" w:hAnsi="Verdana"/>
          <w:sz w:val="20"/>
          <w:szCs w:val="20"/>
          <w:lang w:eastAsia="es-CR"/>
        </w:rPr>
        <w:t xml:space="preserve"> 184</w:t>
      </w:r>
      <w:r w:rsidR="00C8250D">
        <w:rPr>
          <w:rFonts w:ascii="Verdana" w:hAnsi="Verdana"/>
          <w:sz w:val="20"/>
          <w:szCs w:val="20"/>
          <w:lang w:eastAsia="es-CR"/>
        </w:rPr>
        <w:t xml:space="preserve"> </w:t>
      </w:r>
      <w:r w:rsidR="008A6C0E">
        <w:rPr>
          <w:rFonts w:ascii="Verdana" w:hAnsi="Verdana"/>
          <w:sz w:val="20"/>
          <w:szCs w:val="20"/>
          <w:lang w:eastAsia="es-CR"/>
        </w:rPr>
        <w:t xml:space="preserve">y 224 </w:t>
      </w:r>
      <w:r w:rsidR="00C8250D">
        <w:rPr>
          <w:rFonts w:ascii="Verdana" w:hAnsi="Verdana"/>
          <w:sz w:val="20"/>
          <w:szCs w:val="20"/>
          <w:lang w:eastAsia="es-CR"/>
        </w:rPr>
        <w:t xml:space="preserve">de dicho </w:t>
      </w:r>
      <w:r w:rsidR="00427D9C">
        <w:rPr>
          <w:rFonts w:ascii="Verdana" w:hAnsi="Verdana"/>
          <w:sz w:val="20"/>
          <w:szCs w:val="20"/>
          <w:lang w:eastAsia="es-CR"/>
        </w:rPr>
        <w:t>I</w:t>
      </w:r>
      <w:r w:rsidR="00C8250D">
        <w:rPr>
          <w:rFonts w:ascii="Verdana" w:hAnsi="Verdana"/>
          <w:sz w:val="20"/>
          <w:szCs w:val="20"/>
          <w:lang w:eastAsia="es-CR"/>
        </w:rPr>
        <w:t>nforme</w:t>
      </w:r>
      <w:r w:rsidRPr="002964A7">
        <w:rPr>
          <w:rFonts w:ascii="Verdana" w:hAnsi="Verdana"/>
          <w:sz w:val="20"/>
          <w:szCs w:val="20"/>
          <w:lang w:eastAsia="es-CR"/>
        </w:rPr>
        <w:t xml:space="preserve">: i) “el día 4 de julio de 1991, la patrulla </w:t>
      </w:r>
      <w:r w:rsidR="00980238">
        <w:rPr>
          <w:rFonts w:ascii="Verdana" w:hAnsi="Verdana"/>
          <w:sz w:val="20"/>
          <w:szCs w:val="20"/>
          <w:lang w:eastAsia="es-CR"/>
        </w:rPr>
        <w:t>‘</w:t>
      </w:r>
      <w:r w:rsidRPr="002964A7">
        <w:rPr>
          <w:rFonts w:ascii="Verdana" w:hAnsi="Verdana"/>
          <w:sz w:val="20"/>
          <w:szCs w:val="20"/>
          <w:lang w:eastAsia="es-CR"/>
        </w:rPr>
        <w:t>Escorpio</w:t>
      </w:r>
      <w:r w:rsidR="00980238">
        <w:rPr>
          <w:rFonts w:ascii="Verdana" w:hAnsi="Verdana"/>
          <w:sz w:val="20"/>
          <w:szCs w:val="20"/>
          <w:lang w:eastAsia="es-CR"/>
        </w:rPr>
        <w:t>’</w:t>
      </w:r>
      <w:r w:rsidR="00980238" w:rsidRPr="002964A7">
        <w:rPr>
          <w:rFonts w:ascii="Verdana" w:hAnsi="Verdana"/>
          <w:sz w:val="20"/>
          <w:szCs w:val="20"/>
          <w:lang w:eastAsia="es-CR"/>
        </w:rPr>
        <w:t xml:space="preserve">, </w:t>
      </w:r>
      <w:r w:rsidRPr="002964A7">
        <w:rPr>
          <w:rFonts w:ascii="Verdana" w:hAnsi="Verdana"/>
          <w:sz w:val="20"/>
          <w:szCs w:val="20"/>
          <w:lang w:eastAsia="es-CR"/>
        </w:rPr>
        <w:t xml:space="preserve">en ejecución del operativo </w:t>
      </w:r>
      <w:r w:rsidR="00980238">
        <w:rPr>
          <w:rFonts w:ascii="Verdana" w:hAnsi="Verdana"/>
          <w:sz w:val="20"/>
          <w:szCs w:val="20"/>
          <w:lang w:eastAsia="es-CR"/>
        </w:rPr>
        <w:t>‘</w:t>
      </w:r>
      <w:r w:rsidRPr="002964A7">
        <w:rPr>
          <w:rFonts w:ascii="Verdana" w:hAnsi="Verdana"/>
          <w:sz w:val="20"/>
          <w:szCs w:val="20"/>
          <w:lang w:eastAsia="es-CR"/>
        </w:rPr>
        <w:t>Apolonia</w:t>
      </w:r>
      <w:r w:rsidR="00980238">
        <w:rPr>
          <w:rFonts w:ascii="Verdana" w:hAnsi="Verdana"/>
          <w:sz w:val="20"/>
          <w:szCs w:val="20"/>
          <w:lang w:eastAsia="es-CR"/>
        </w:rPr>
        <w:t>’</w:t>
      </w:r>
      <w:r w:rsidR="00980238" w:rsidRPr="002964A7">
        <w:rPr>
          <w:rFonts w:ascii="Verdana" w:hAnsi="Verdana"/>
          <w:sz w:val="20"/>
          <w:szCs w:val="20"/>
          <w:lang w:eastAsia="es-CR"/>
        </w:rPr>
        <w:t xml:space="preserve"> </w:t>
      </w:r>
      <w:r w:rsidRPr="002964A7">
        <w:rPr>
          <w:rFonts w:ascii="Verdana" w:hAnsi="Verdana"/>
          <w:sz w:val="20"/>
          <w:szCs w:val="20"/>
          <w:lang w:eastAsia="es-CR"/>
        </w:rPr>
        <w:t xml:space="preserve">[…], allanó las viviendas de los señores Francisco Hilario Torres y Ramón Hilario Morán”, y ii) “el señor Zósimo Hilario Quispe se enteró el 6 de julio de 1991, que […] su vivienda había sido quemada. Igualmente la [Comisión] ha dado por probado que de la otra vivienda allanada se llevaron </w:t>
      </w:r>
      <w:r w:rsidR="008A6C0E">
        <w:rPr>
          <w:rFonts w:ascii="Verdana" w:hAnsi="Verdana"/>
          <w:sz w:val="20"/>
          <w:szCs w:val="20"/>
          <w:lang w:eastAsia="es-CR"/>
        </w:rPr>
        <w:t xml:space="preserve">junto </w:t>
      </w:r>
      <w:r w:rsidRPr="002964A7">
        <w:rPr>
          <w:rFonts w:ascii="Verdana" w:hAnsi="Verdana"/>
          <w:sz w:val="20"/>
          <w:szCs w:val="20"/>
          <w:lang w:eastAsia="es-CR"/>
        </w:rPr>
        <w:t xml:space="preserve">al señor Ramón Hilario Morán </w:t>
      </w:r>
      <w:r w:rsidR="008A6C0E">
        <w:rPr>
          <w:rFonts w:ascii="Verdana" w:hAnsi="Verdana"/>
          <w:sz w:val="20"/>
          <w:szCs w:val="20"/>
          <w:lang w:eastAsia="es-CR"/>
        </w:rPr>
        <w:t>[</w:t>
      </w:r>
      <w:r w:rsidR="004B0332">
        <w:rPr>
          <w:rFonts w:ascii="Verdana" w:hAnsi="Verdana"/>
          <w:sz w:val="20"/>
          <w:szCs w:val="20"/>
          <w:lang w:eastAsia="es-CR"/>
        </w:rPr>
        <w:t xml:space="preserve">también </w:t>
      </w:r>
      <w:r w:rsidR="008A6C0E">
        <w:rPr>
          <w:rFonts w:ascii="Verdana" w:hAnsi="Verdana"/>
          <w:sz w:val="20"/>
          <w:szCs w:val="20"/>
          <w:lang w:eastAsia="es-CR"/>
        </w:rPr>
        <w:t xml:space="preserve">a </w:t>
      </w:r>
      <w:r w:rsidRPr="002964A7">
        <w:rPr>
          <w:rFonts w:ascii="Verdana" w:hAnsi="Verdana"/>
          <w:sz w:val="20"/>
          <w:szCs w:val="20"/>
          <w:lang w:eastAsia="es-CR"/>
        </w:rPr>
        <w:t>su familia]”</w:t>
      </w:r>
      <w:r w:rsidRPr="00210EFA">
        <w:rPr>
          <w:rFonts w:ascii="Verdana" w:hAnsi="Verdana"/>
          <w:sz w:val="20"/>
          <w:szCs w:val="20"/>
          <w:lang w:eastAsia="es-CR"/>
        </w:rPr>
        <w:t>.</w:t>
      </w:r>
      <w:r w:rsidRPr="002964A7">
        <w:rPr>
          <w:rFonts w:ascii="Verdana" w:hAnsi="Verdana"/>
          <w:sz w:val="20"/>
          <w:szCs w:val="20"/>
          <w:lang w:eastAsia="es-CR"/>
        </w:rPr>
        <w:t xml:space="preserve"> </w:t>
      </w:r>
    </w:p>
    <w:p w:rsidR="00BB0281" w:rsidRPr="002964A7" w:rsidRDefault="00BB0281" w:rsidP="00BB0281">
      <w:pPr>
        <w:autoSpaceDE w:val="0"/>
        <w:autoSpaceDN w:val="0"/>
        <w:adjustRightInd w:val="0"/>
        <w:spacing w:after="0" w:line="240" w:lineRule="auto"/>
        <w:ind w:right="15"/>
        <w:contextualSpacing/>
        <w:jc w:val="both"/>
        <w:rPr>
          <w:rFonts w:ascii="Verdana" w:eastAsia="Calibri" w:hAnsi="Verdana"/>
          <w:sz w:val="20"/>
          <w:szCs w:val="20"/>
          <w:lang w:eastAsia="es-CR"/>
        </w:rPr>
      </w:pPr>
    </w:p>
    <w:p w:rsidR="00BB0281" w:rsidRPr="002964A7"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 xml:space="preserve">Por su parte, los </w:t>
      </w:r>
      <w:r w:rsidRPr="002964A7">
        <w:rPr>
          <w:rFonts w:ascii="Verdana" w:hAnsi="Verdana"/>
          <w:sz w:val="20"/>
          <w:szCs w:val="20"/>
        </w:rPr>
        <w:t>representantes</w:t>
      </w:r>
      <w:r w:rsidRPr="002964A7">
        <w:rPr>
          <w:rFonts w:ascii="Verdana" w:hAnsi="Verdana"/>
          <w:b/>
          <w:sz w:val="20"/>
          <w:szCs w:val="20"/>
          <w:lang w:eastAsia="es-CR"/>
        </w:rPr>
        <w:t xml:space="preserve"> </w:t>
      </w:r>
      <w:r w:rsidRPr="002964A7">
        <w:rPr>
          <w:rFonts w:ascii="Verdana" w:hAnsi="Verdana"/>
          <w:sz w:val="20"/>
          <w:szCs w:val="20"/>
          <w:lang w:eastAsia="es-CR"/>
        </w:rPr>
        <w:t xml:space="preserve">alegaron que, en el marco del operativo militar </w:t>
      </w:r>
      <w:r w:rsidRPr="002964A7">
        <w:rPr>
          <w:rFonts w:ascii="Verdana" w:hAnsi="Verdana" w:cs="Arial"/>
          <w:sz w:val="20"/>
          <w:szCs w:val="20"/>
        </w:rPr>
        <w:t xml:space="preserve">"Apolonia", </w:t>
      </w:r>
      <w:r w:rsidRPr="002964A7">
        <w:rPr>
          <w:rFonts w:ascii="Verdana" w:hAnsi="Verdana"/>
          <w:sz w:val="20"/>
          <w:szCs w:val="20"/>
          <w:lang w:eastAsia="es-CR"/>
        </w:rPr>
        <w:t>agentes estatales robaron dinero, ganado, víveres y otras propiedades de valor que encontraron en las viviendas de los señores Francisco Hilario Torres y Ramón Hilario Moran, detallando lo supuestamente robado,</w:t>
      </w:r>
      <w:r w:rsidRPr="002964A7" w:rsidDel="00F115FA">
        <w:rPr>
          <w:rFonts w:ascii="Verdana" w:hAnsi="Verdana"/>
          <w:sz w:val="20"/>
          <w:szCs w:val="20"/>
          <w:lang w:eastAsia="es-CR"/>
        </w:rPr>
        <w:t xml:space="preserve"> </w:t>
      </w:r>
      <w:r w:rsidRPr="002964A7">
        <w:rPr>
          <w:rFonts w:ascii="Verdana" w:hAnsi="Verdana" w:cs="Arial"/>
          <w:sz w:val="20"/>
          <w:szCs w:val="20"/>
        </w:rPr>
        <w:t>y sostuvieron que dichos agentes incendiaron las viviendas</w:t>
      </w:r>
      <w:r w:rsidRPr="002964A7">
        <w:rPr>
          <w:rFonts w:ascii="Verdana" w:hAnsi="Verdana"/>
          <w:sz w:val="20"/>
          <w:szCs w:val="20"/>
          <w:lang w:eastAsia="es-CR"/>
        </w:rPr>
        <w:t>.</w:t>
      </w:r>
    </w:p>
    <w:p w:rsidR="00BB0281" w:rsidRPr="002964A7" w:rsidRDefault="00BB0281" w:rsidP="00BB0281">
      <w:pPr>
        <w:autoSpaceDE w:val="0"/>
        <w:autoSpaceDN w:val="0"/>
        <w:adjustRightInd w:val="0"/>
        <w:spacing w:after="0" w:line="240" w:lineRule="auto"/>
        <w:ind w:right="15"/>
        <w:contextualSpacing/>
        <w:jc w:val="both"/>
        <w:rPr>
          <w:rFonts w:ascii="Verdana" w:eastAsia="Calibri" w:hAnsi="Verdana"/>
          <w:sz w:val="20"/>
          <w:szCs w:val="20"/>
          <w:lang w:eastAsia="es-CR"/>
        </w:rPr>
      </w:pPr>
    </w:p>
    <w:p w:rsidR="00BB0281" w:rsidRDefault="00BB0281"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sz w:val="20"/>
          <w:szCs w:val="20"/>
          <w:lang w:eastAsia="es-CR"/>
        </w:rPr>
        <w:t xml:space="preserve">De este modo, la Corte concluye que los hechos alegados por los representantes explican y aclararan los hechos de destrozo y sustracción de animales y otros bienes y de destrucción </w:t>
      </w:r>
      <w:r w:rsidR="00125F0A" w:rsidRPr="002964A7">
        <w:rPr>
          <w:rFonts w:ascii="Verdana" w:hAnsi="Verdana"/>
          <w:sz w:val="20"/>
          <w:szCs w:val="20"/>
          <w:lang w:eastAsia="es-CR"/>
        </w:rPr>
        <w:t xml:space="preserve">y quema </w:t>
      </w:r>
      <w:r w:rsidRPr="002964A7">
        <w:rPr>
          <w:rFonts w:ascii="Verdana" w:hAnsi="Verdana"/>
          <w:sz w:val="20"/>
          <w:szCs w:val="20"/>
          <w:lang w:eastAsia="es-CR"/>
        </w:rPr>
        <w:t xml:space="preserve">de viviendas por parte de agentes estatales mencionados en el Informe de </w:t>
      </w:r>
      <w:r w:rsidR="006A08AD">
        <w:rPr>
          <w:rFonts w:ascii="Verdana" w:hAnsi="Verdana"/>
          <w:sz w:val="20"/>
          <w:szCs w:val="20"/>
          <w:lang w:eastAsia="es-CR"/>
        </w:rPr>
        <w:t xml:space="preserve">Admisibilidad y </w:t>
      </w:r>
      <w:r w:rsidRPr="002964A7">
        <w:rPr>
          <w:rFonts w:ascii="Verdana" w:hAnsi="Verdana"/>
          <w:sz w:val="20"/>
          <w:szCs w:val="20"/>
          <w:lang w:eastAsia="es-CR"/>
        </w:rPr>
        <w:t xml:space="preserve">Fondo de la Comisión. En consecuencia, la Corte no estima </w:t>
      </w:r>
      <w:r w:rsidRPr="002964A7">
        <w:rPr>
          <w:rFonts w:ascii="Verdana" w:hAnsi="Verdana"/>
          <w:sz w:val="20"/>
          <w:szCs w:val="20"/>
        </w:rPr>
        <w:t>procedente</w:t>
      </w:r>
      <w:r w:rsidRPr="002964A7">
        <w:rPr>
          <w:rFonts w:ascii="Verdana" w:hAnsi="Verdana"/>
          <w:sz w:val="20"/>
          <w:szCs w:val="20"/>
          <w:lang w:eastAsia="es-CR"/>
        </w:rPr>
        <w:t xml:space="preserve"> la objeción del Estado. Los hechos alegados por los representantes en cuanto al presunto robo y destrucción de bienes </w:t>
      </w:r>
      <w:r w:rsidR="002B2A7E" w:rsidRPr="002964A7">
        <w:rPr>
          <w:rFonts w:ascii="Verdana" w:hAnsi="Verdana"/>
          <w:sz w:val="20"/>
          <w:szCs w:val="20"/>
          <w:lang w:eastAsia="es-CR"/>
        </w:rPr>
        <w:t xml:space="preserve">y quema de viviendas </w:t>
      </w:r>
      <w:r w:rsidRPr="002964A7">
        <w:rPr>
          <w:rFonts w:ascii="Verdana" w:hAnsi="Verdana"/>
          <w:sz w:val="20"/>
          <w:szCs w:val="20"/>
          <w:lang w:eastAsia="es-CR"/>
        </w:rPr>
        <w:t xml:space="preserve">se considerarán parte del marco fáctico, y la Corte los analizará en los capítulos correspondientes. </w:t>
      </w:r>
    </w:p>
    <w:p w:rsidR="005A69BF" w:rsidRDefault="005A69BF" w:rsidP="001154F9">
      <w:pPr>
        <w:pStyle w:val="Heading3"/>
        <w:rPr>
          <w:lang w:eastAsia="es-CR"/>
        </w:rPr>
      </w:pPr>
      <w:bookmarkStart w:id="109" w:name="_Toc423102523"/>
      <w:bookmarkStart w:id="110" w:name="_Toc433387476"/>
    </w:p>
    <w:p w:rsidR="005A69BF" w:rsidRDefault="005A69BF" w:rsidP="005A69BF">
      <w:pPr>
        <w:pStyle w:val="Heading3"/>
        <w:spacing w:before="0" w:line="240" w:lineRule="auto"/>
        <w:rPr>
          <w:lang w:eastAsia="es-CR"/>
        </w:rPr>
      </w:pPr>
    </w:p>
    <w:p w:rsidR="005A69BF" w:rsidRPr="005A69BF" w:rsidRDefault="005A69BF" w:rsidP="005A69BF">
      <w:pPr>
        <w:rPr>
          <w:lang w:eastAsia="es-CR"/>
        </w:rPr>
      </w:pPr>
    </w:p>
    <w:p w:rsidR="000E70CA" w:rsidRPr="000E70CA" w:rsidRDefault="001154F9" w:rsidP="005A69BF">
      <w:pPr>
        <w:pStyle w:val="Heading3"/>
        <w:spacing w:before="0"/>
        <w:rPr>
          <w:lang w:eastAsia="es-CR"/>
        </w:rPr>
      </w:pPr>
      <w:r>
        <w:rPr>
          <w:lang w:eastAsia="es-CR"/>
        </w:rPr>
        <w:lastRenderedPageBreak/>
        <w:t xml:space="preserve">D. </w:t>
      </w:r>
      <w:r w:rsidR="009C6334">
        <w:rPr>
          <w:lang w:eastAsia="es-CR"/>
        </w:rPr>
        <w:t>Delimitación de la c</w:t>
      </w:r>
      <w:r w:rsidR="000E70CA">
        <w:rPr>
          <w:lang w:eastAsia="es-CR"/>
        </w:rPr>
        <w:t>ontroversia</w:t>
      </w:r>
      <w:bookmarkEnd w:id="109"/>
      <w:bookmarkEnd w:id="110"/>
    </w:p>
    <w:p w:rsidR="000E70CA" w:rsidRPr="002964A7" w:rsidRDefault="000E70CA" w:rsidP="00CB2948">
      <w:pPr>
        <w:pStyle w:val="ListParagraph"/>
        <w:autoSpaceDE w:val="0"/>
        <w:autoSpaceDN w:val="0"/>
        <w:adjustRightInd w:val="0"/>
        <w:spacing w:after="0" w:line="240" w:lineRule="auto"/>
        <w:ind w:left="0"/>
        <w:jc w:val="both"/>
        <w:rPr>
          <w:rFonts w:ascii="Verdana" w:hAnsi="Verdana"/>
          <w:sz w:val="20"/>
          <w:szCs w:val="20"/>
          <w:lang w:eastAsia="es-CR"/>
        </w:rPr>
      </w:pPr>
    </w:p>
    <w:p w:rsidR="000E70CA" w:rsidRPr="00CB2948" w:rsidRDefault="000E70CA"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Pr>
          <w:rFonts w:ascii="Verdana" w:hAnsi="Verdana"/>
          <w:sz w:val="20"/>
          <w:szCs w:val="20"/>
          <w:lang w:eastAsia="es-CR"/>
        </w:rPr>
        <w:t>D</w:t>
      </w:r>
      <w:r w:rsidRPr="002964A7">
        <w:rPr>
          <w:rFonts w:ascii="Verdana" w:hAnsi="Verdana"/>
          <w:sz w:val="20"/>
          <w:szCs w:val="20"/>
          <w:lang w:eastAsia="es-CR"/>
        </w:rPr>
        <w:t xml:space="preserve">urante la audiencia pública y en sus alegatos finales escritos </w:t>
      </w:r>
      <w:r w:rsidR="005E434D">
        <w:rPr>
          <w:rFonts w:ascii="Verdana" w:hAnsi="Verdana"/>
          <w:sz w:val="20"/>
          <w:szCs w:val="20"/>
          <w:lang w:eastAsia="es-CR"/>
        </w:rPr>
        <w:t xml:space="preserve">el Perú </w:t>
      </w:r>
      <w:r w:rsidRPr="002964A7">
        <w:rPr>
          <w:rFonts w:ascii="Verdana" w:hAnsi="Verdana"/>
          <w:sz w:val="20"/>
          <w:szCs w:val="20"/>
          <w:lang w:eastAsia="es-CR"/>
        </w:rPr>
        <w:t xml:space="preserve">sostuvo que la alegada omisión del Estado de entregar los resultados de las </w:t>
      </w:r>
      <w:r w:rsidRPr="002964A7">
        <w:rPr>
          <w:rFonts w:ascii="Verdana" w:hAnsi="Verdana" w:cs="Univers"/>
          <w:sz w:val="20"/>
          <w:szCs w:val="20"/>
          <w:lang w:val="es-ES_tradnl" w:eastAsia="es-CR"/>
        </w:rPr>
        <w:t>pruebas</w:t>
      </w:r>
      <w:r w:rsidRPr="002964A7">
        <w:rPr>
          <w:rFonts w:ascii="Verdana" w:hAnsi="Verdana"/>
          <w:sz w:val="20"/>
          <w:szCs w:val="20"/>
          <w:lang w:eastAsia="es-CR"/>
        </w:rPr>
        <w:t xml:space="preserve"> de ADN y las acciones forenses realizadas a partir del año 2009 no se relacionan con los hechos centrales de la presente controversia y tampoco podrían dar lugar a una responsabilidad internacional estatal, pues tanto la Comisión como los representantes los identificaron no como un acto violatorio de la Convención sino como una medida de reparación propuesta en cuanto a que el Estado debía adoptar una serie de acciones orientadas a la identificación final de los restos óseos.</w:t>
      </w:r>
    </w:p>
    <w:p w:rsidR="000E70CA" w:rsidRPr="00CB2948" w:rsidRDefault="000E70CA" w:rsidP="00CB2948">
      <w:pPr>
        <w:pStyle w:val="ListParagraph"/>
        <w:autoSpaceDE w:val="0"/>
        <w:autoSpaceDN w:val="0"/>
        <w:adjustRightInd w:val="0"/>
        <w:spacing w:after="0" w:line="240" w:lineRule="auto"/>
        <w:ind w:left="0"/>
        <w:jc w:val="both"/>
        <w:rPr>
          <w:rFonts w:ascii="Verdana" w:hAnsi="Verdana" w:cs="Arial"/>
          <w:sz w:val="20"/>
          <w:szCs w:val="20"/>
        </w:rPr>
      </w:pPr>
    </w:p>
    <w:p w:rsidR="000E70CA" w:rsidRPr="002964A7" w:rsidRDefault="001D50F2"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Pr>
          <w:rFonts w:ascii="Verdana" w:hAnsi="Verdana" w:cs="Arial"/>
          <w:sz w:val="20"/>
          <w:szCs w:val="20"/>
        </w:rPr>
        <w:t xml:space="preserve">La Corte considera </w:t>
      </w:r>
      <w:r w:rsidR="001A152F">
        <w:rPr>
          <w:rFonts w:ascii="Verdana" w:hAnsi="Verdana" w:cs="Arial"/>
          <w:sz w:val="20"/>
          <w:szCs w:val="20"/>
        </w:rPr>
        <w:t>que</w:t>
      </w:r>
      <w:r w:rsidR="000E70CA" w:rsidRPr="002964A7">
        <w:rPr>
          <w:rFonts w:ascii="Verdana" w:hAnsi="Verdana" w:cs="Arial"/>
          <w:sz w:val="20"/>
          <w:szCs w:val="20"/>
        </w:rPr>
        <w:t xml:space="preserve"> </w:t>
      </w:r>
      <w:r w:rsidR="000148C5">
        <w:rPr>
          <w:rFonts w:ascii="Verdana" w:hAnsi="Verdana" w:cs="Arial"/>
          <w:sz w:val="20"/>
          <w:szCs w:val="20"/>
        </w:rPr>
        <w:t>los argumentos del Estado en cuanto al marco fáctico del caso resulta</w:t>
      </w:r>
      <w:r w:rsidR="005E337A">
        <w:rPr>
          <w:rFonts w:ascii="Verdana" w:hAnsi="Verdana" w:cs="Arial"/>
          <w:sz w:val="20"/>
          <w:szCs w:val="20"/>
        </w:rPr>
        <w:t>n</w:t>
      </w:r>
      <w:r w:rsidR="000148C5">
        <w:rPr>
          <w:rFonts w:ascii="Verdana" w:hAnsi="Verdana" w:cs="Arial"/>
          <w:sz w:val="20"/>
          <w:szCs w:val="20"/>
        </w:rPr>
        <w:t xml:space="preserve"> extemporáneo</w:t>
      </w:r>
      <w:r w:rsidR="005E337A">
        <w:rPr>
          <w:rFonts w:ascii="Verdana" w:hAnsi="Verdana" w:cs="Arial"/>
          <w:sz w:val="20"/>
          <w:szCs w:val="20"/>
        </w:rPr>
        <w:t>s</w:t>
      </w:r>
      <w:r w:rsidR="000148C5">
        <w:rPr>
          <w:rFonts w:ascii="Verdana" w:hAnsi="Verdana" w:cs="Arial"/>
          <w:sz w:val="20"/>
          <w:szCs w:val="20"/>
        </w:rPr>
        <w:t xml:space="preserve">. Sin perjuicio de ello, la Corte nota que </w:t>
      </w:r>
      <w:r w:rsidR="000E70CA" w:rsidRPr="002964A7">
        <w:rPr>
          <w:rFonts w:ascii="Verdana" w:hAnsi="Verdana" w:cs="Arial"/>
          <w:sz w:val="20"/>
          <w:szCs w:val="20"/>
        </w:rPr>
        <w:t>el Estado pretende excluir del análisis jurídico de</w:t>
      </w:r>
      <w:r w:rsidR="000148C5">
        <w:rPr>
          <w:rFonts w:ascii="Verdana" w:hAnsi="Verdana" w:cs="Arial"/>
          <w:sz w:val="20"/>
          <w:szCs w:val="20"/>
        </w:rPr>
        <w:t>l caso</w:t>
      </w:r>
      <w:r w:rsidR="000E70CA" w:rsidRPr="002964A7">
        <w:rPr>
          <w:rFonts w:ascii="Verdana" w:hAnsi="Verdana" w:cs="Arial"/>
          <w:sz w:val="20"/>
          <w:szCs w:val="20"/>
        </w:rPr>
        <w:t xml:space="preserve"> una parte de hechos que han sido argumentados como constitutivos de las alegadas desaparici</w:t>
      </w:r>
      <w:r w:rsidR="000E70CA">
        <w:rPr>
          <w:rFonts w:ascii="Verdana" w:hAnsi="Verdana" w:cs="Arial"/>
          <w:sz w:val="20"/>
          <w:szCs w:val="20"/>
        </w:rPr>
        <w:t xml:space="preserve">ones forzadas de las víctimas. Al respecto, </w:t>
      </w:r>
      <w:r w:rsidR="000148C5">
        <w:rPr>
          <w:rFonts w:ascii="Verdana" w:hAnsi="Verdana" w:cs="Arial"/>
          <w:sz w:val="20"/>
          <w:szCs w:val="20"/>
        </w:rPr>
        <w:t>el Tribunal</w:t>
      </w:r>
      <w:r w:rsidR="000E70CA" w:rsidRPr="002964A7">
        <w:rPr>
          <w:rFonts w:ascii="Verdana" w:hAnsi="Verdana" w:cs="Arial"/>
          <w:sz w:val="20"/>
          <w:szCs w:val="20"/>
        </w:rPr>
        <w:t xml:space="preserve"> </w:t>
      </w:r>
      <w:r w:rsidR="001445D3" w:rsidRPr="002964A7">
        <w:rPr>
          <w:rFonts w:ascii="Verdana" w:hAnsi="Verdana" w:cs="Arial"/>
          <w:sz w:val="20"/>
          <w:szCs w:val="20"/>
        </w:rPr>
        <w:t>constat</w:t>
      </w:r>
      <w:r w:rsidR="001445D3">
        <w:rPr>
          <w:rFonts w:ascii="Verdana" w:hAnsi="Verdana" w:cs="Arial"/>
          <w:sz w:val="20"/>
          <w:szCs w:val="20"/>
        </w:rPr>
        <w:t>ó</w:t>
      </w:r>
      <w:r w:rsidR="001445D3" w:rsidRPr="002964A7">
        <w:rPr>
          <w:rFonts w:ascii="Verdana" w:hAnsi="Verdana" w:cs="Arial"/>
          <w:sz w:val="20"/>
          <w:szCs w:val="20"/>
        </w:rPr>
        <w:t xml:space="preserve"> </w:t>
      </w:r>
      <w:r w:rsidR="000E70CA" w:rsidRPr="002964A7">
        <w:rPr>
          <w:rFonts w:ascii="Verdana" w:hAnsi="Verdana" w:cs="Arial"/>
          <w:sz w:val="20"/>
          <w:szCs w:val="20"/>
        </w:rPr>
        <w:t xml:space="preserve">que </w:t>
      </w:r>
      <w:r w:rsidR="000E70CA" w:rsidRPr="002964A7">
        <w:rPr>
          <w:rFonts w:ascii="Verdana" w:hAnsi="Verdana"/>
          <w:sz w:val="20"/>
          <w:szCs w:val="20"/>
          <w:lang w:eastAsia="es-CR"/>
        </w:rPr>
        <w:t>en los párrafos 169, 170, 187 y 251 d</w:t>
      </w:r>
      <w:r w:rsidR="000E70CA" w:rsidRPr="002964A7">
        <w:rPr>
          <w:rFonts w:ascii="Verdana" w:hAnsi="Verdana"/>
          <w:spacing w:val="-2"/>
          <w:sz w:val="20"/>
          <w:szCs w:val="20"/>
          <w:lang w:eastAsia="es-CR"/>
        </w:rPr>
        <w:t>el</w:t>
      </w:r>
      <w:r w:rsidR="000E70CA" w:rsidRPr="002964A7">
        <w:rPr>
          <w:rFonts w:ascii="Verdana" w:hAnsi="Verdana" w:cs="Verdana"/>
          <w:spacing w:val="-2"/>
          <w:sz w:val="20"/>
          <w:szCs w:val="20"/>
          <w:lang w:eastAsia="es-CR"/>
        </w:rPr>
        <w:t xml:space="preserve"> </w:t>
      </w:r>
      <w:r w:rsidR="000E70CA" w:rsidRPr="002964A7">
        <w:rPr>
          <w:rFonts w:ascii="Verdana" w:hAnsi="Verdana"/>
          <w:spacing w:val="-2"/>
          <w:sz w:val="20"/>
          <w:szCs w:val="20"/>
          <w:lang w:eastAsia="es-CR"/>
        </w:rPr>
        <w:t xml:space="preserve">Informe de Admisibilidad y Fondo </w:t>
      </w:r>
      <w:r w:rsidR="000E70CA" w:rsidRPr="002964A7">
        <w:rPr>
          <w:rFonts w:ascii="Verdana" w:hAnsi="Verdana"/>
          <w:sz w:val="20"/>
          <w:szCs w:val="20"/>
          <w:lang w:eastAsia="es-CR"/>
        </w:rPr>
        <w:t xml:space="preserve">de 21 de julio de 2011, </w:t>
      </w:r>
      <w:r w:rsidR="000E70CA" w:rsidRPr="002964A7">
        <w:rPr>
          <w:rFonts w:ascii="Verdana" w:hAnsi="Verdana"/>
          <w:spacing w:val="-2"/>
          <w:sz w:val="20"/>
          <w:szCs w:val="20"/>
          <w:lang w:eastAsia="es-CR"/>
        </w:rPr>
        <w:t xml:space="preserve">la Comisión se refirió a los siguientes aspectos en su análisis sobre el fondo del caso: </w:t>
      </w:r>
      <w:r w:rsidR="000E70CA" w:rsidRPr="002964A7">
        <w:rPr>
          <w:rFonts w:ascii="Verdana" w:hAnsi="Verdana"/>
          <w:sz w:val="20"/>
          <w:szCs w:val="20"/>
          <w:lang w:eastAsia="es-CR"/>
        </w:rPr>
        <w:t xml:space="preserve">las acciones forenses realizadas en el año 2010 consistentes en la exhumación de restos en el interior de la mina </w:t>
      </w:r>
      <w:r w:rsidR="00744A4B">
        <w:rPr>
          <w:rFonts w:ascii="Verdana" w:hAnsi="Verdana"/>
          <w:sz w:val="20"/>
          <w:szCs w:val="20"/>
          <w:lang w:eastAsia="es-CR"/>
        </w:rPr>
        <w:t>“</w:t>
      </w:r>
      <w:r w:rsidR="000E70CA" w:rsidRPr="002964A7">
        <w:rPr>
          <w:rFonts w:ascii="Verdana" w:hAnsi="Verdana"/>
          <w:sz w:val="20"/>
          <w:szCs w:val="20"/>
          <w:lang w:eastAsia="es-CR"/>
        </w:rPr>
        <w:t>Misteriosa</w:t>
      </w:r>
      <w:r w:rsidR="00744A4B">
        <w:rPr>
          <w:rFonts w:ascii="Verdana" w:hAnsi="Verdana"/>
          <w:sz w:val="20"/>
          <w:szCs w:val="20"/>
          <w:lang w:eastAsia="es-CR"/>
        </w:rPr>
        <w:t>”</w:t>
      </w:r>
      <w:r w:rsidR="000E70CA" w:rsidRPr="002964A7">
        <w:rPr>
          <w:rFonts w:ascii="Verdana" w:hAnsi="Verdana"/>
          <w:sz w:val="20"/>
          <w:szCs w:val="20"/>
          <w:lang w:eastAsia="es-CR"/>
        </w:rPr>
        <w:t>; los informes forenses realizados al respecto; la toma de muestras de sangre y saliva a familiares de las víctimas para proceder al examen de ADN, y la omisión de entregar los resultados de las pruebas de ADN en el año 2010. E</w:t>
      </w:r>
      <w:r w:rsidR="000E70CA" w:rsidRPr="002964A7">
        <w:rPr>
          <w:rFonts w:ascii="Verdana" w:hAnsi="Verdana"/>
          <w:spacing w:val="-2"/>
          <w:sz w:val="20"/>
          <w:szCs w:val="20"/>
          <w:lang w:eastAsia="es-CR"/>
        </w:rPr>
        <w:t>s claro entonces que estos elementos son parte del marco fáctico del caso</w:t>
      </w:r>
      <w:r w:rsidR="000E70CA" w:rsidRPr="002964A7">
        <w:rPr>
          <w:rFonts w:ascii="Verdana" w:hAnsi="Verdana"/>
          <w:sz w:val="20"/>
          <w:szCs w:val="20"/>
          <w:lang w:eastAsia="es-CR"/>
        </w:rPr>
        <w:t xml:space="preserve"> y, por tanto, serán considerados por la Corte.</w:t>
      </w:r>
    </w:p>
    <w:p w:rsidR="00EA6EE3" w:rsidRPr="00CB2948" w:rsidRDefault="00EA6EE3" w:rsidP="009C6334">
      <w:pPr>
        <w:pStyle w:val="Heading1"/>
        <w:rPr>
          <w:szCs w:val="20"/>
          <w:lang w:val="es-CR"/>
        </w:rPr>
      </w:pPr>
    </w:p>
    <w:p w:rsidR="00106A1E" w:rsidRPr="002964A7" w:rsidRDefault="00106A1E" w:rsidP="001154F9">
      <w:pPr>
        <w:pStyle w:val="Heading1"/>
      </w:pPr>
      <w:bookmarkStart w:id="111" w:name="_Toc421549305"/>
      <w:bookmarkStart w:id="112" w:name="_Toc421864942"/>
      <w:bookmarkStart w:id="113" w:name="_Toc423102524"/>
      <w:bookmarkStart w:id="114" w:name="_Toc433387477"/>
      <w:r w:rsidRPr="002964A7">
        <w:t>VII</w:t>
      </w:r>
      <w:bookmarkEnd w:id="111"/>
      <w:bookmarkEnd w:id="112"/>
      <w:bookmarkEnd w:id="113"/>
      <w:bookmarkEnd w:id="114"/>
    </w:p>
    <w:p w:rsidR="00106A1E" w:rsidRPr="002964A7" w:rsidRDefault="00106A1E" w:rsidP="001154F9">
      <w:pPr>
        <w:pStyle w:val="Heading1"/>
      </w:pPr>
      <w:bookmarkStart w:id="115" w:name="_Toc421864943"/>
      <w:bookmarkStart w:id="116" w:name="_Toc423102525"/>
      <w:bookmarkStart w:id="117" w:name="_Toc433387478"/>
      <w:r w:rsidRPr="002964A7">
        <w:t>PRUEBA</w:t>
      </w:r>
      <w:bookmarkEnd w:id="115"/>
      <w:bookmarkEnd w:id="116"/>
      <w:bookmarkEnd w:id="117"/>
    </w:p>
    <w:p w:rsidR="00106A1E" w:rsidRPr="002964A7" w:rsidRDefault="003E6C3E" w:rsidP="001154F9">
      <w:pPr>
        <w:pStyle w:val="Heading3"/>
        <w:rPr>
          <w:lang w:eastAsia="es-ES"/>
        </w:rPr>
      </w:pPr>
      <w:bookmarkStart w:id="118" w:name="_Toc433387479"/>
      <w:bookmarkStart w:id="119" w:name="_Toc395022465"/>
      <w:bookmarkStart w:id="120" w:name="_Toc406580656"/>
      <w:r>
        <w:rPr>
          <w:lang w:eastAsia="es-ES"/>
        </w:rPr>
        <w:t>A</w:t>
      </w:r>
      <w:r w:rsidR="001154F9">
        <w:rPr>
          <w:lang w:eastAsia="es-ES"/>
        </w:rPr>
        <w:t xml:space="preserve">. </w:t>
      </w:r>
      <w:bookmarkStart w:id="121" w:name="_Toc423102526"/>
      <w:r w:rsidR="00106A1E" w:rsidRPr="002964A7">
        <w:rPr>
          <w:lang w:eastAsia="es-ES"/>
        </w:rPr>
        <w:t>Prueba documental, testimonial y pericial</w:t>
      </w:r>
      <w:bookmarkEnd w:id="118"/>
      <w:bookmarkEnd w:id="121"/>
    </w:p>
    <w:p w:rsidR="00106A1E" w:rsidRPr="002964A7" w:rsidRDefault="00106A1E" w:rsidP="00106A1E">
      <w:pPr>
        <w:spacing w:after="0" w:line="240" w:lineRule="auto"/>
        <w:ind w:right="18"/>
        <w:contextualSpacing/>
        <w:jc w:val="both"/>
        <w:rPr>
          <w:rFonts w:ascii="Verdana" w:eastAsia="Calibri" w:hAnsi="Verdana" w:cs="Arial"/>
          <w:spacing w:val="-2"/>
          <w:sz w:val="20"/>
          <w:szCs w:val="20"/>
          <w:lang w:val="es-BO" w:eastAsia="es-ES"/>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eastAsia="es-ES"/>
        </w:rPr>
      </w:pPr>
      <w:r w:rsidRPr="002964A7">
        <w:rPr>
          <w:rFonts w:ascii="Verdana" w:hAnsi="Verdana" w:cs="Arial"/>
          <w:spacing w:val="-2"/>
          <w:sz w:val="20"/>
          <w:szCs w:val="20"/>
          <w:lang w:eastAsia="es-ES"/>
        </w:rPr>
        <w:t>La Corte recibió diversos documentos presentados como prueba por la Comisión y las partes, adjuntos a sus escritos principales (</w:t>
      </w:r>
      <w:r w:rsidRPr="002964A7">
        <w:rPr>
          <w:rFonts w:ascii="Verdana" w:hAnsi="Verdana" w:cs="Arial"/>
          <w:i/>
          <w:spacing w:val="-2"/>
          <w:sz w:val="20"/>
          <w:szCs w:val="20"/>
          <w:lang w:eastAsia="es-ES"/>
        </w:rPr>
        <w:t>supra</w:t>
      </w:r>
      <w:r w:rsidRPr="002964A7">
        <w:rPr>
          <w:rFonts w:ascii="Verdana" w:hAnsi="Verdana" w:cs="Arial"/>
          <w:spacing w:val="-2"/>
          <w:sz w:val="20"/>
          <w:szCs w:val="20"/>
          <w:lang w:eastAsia="es-ES"/>
        </w:rPr>
        <w:t xml:space="preserve"> párrs. </w:t>
      </w:r>
      <w:r>
        <w:rPr>
          <w:rFonts w:ascii="Verdana" w:hAnsi="Verdana" w:cs="Arial"/>
          <w:spacing w:val="-2"/>
          <w:sz w:val="20"/>
          <w:szCs w:val="20"/>
          <w:lang w:eastAsia="es-ES"/>
        </w:rPr>
        <w:t>4, 7 y 8</w:t>
      </w:r>
      <w:r w:rsidRPr="002964A7">
        <w:rPr>
          <w:rFonts w:ascii="Verdana" w:hAnsi="Verdana" w:cs="Arial"/>
          <w:spacing w:val="-2"/>
          <w:sz w:val="20"/>
          <w:szCs w:val="20"/>
          <w:lang w:eastAsia="es-ES"/>
        </w:rPr>
        <w:t xml:space="preserve">). De igual forma, recibió del Estado </w:t>
      </w:r>
      <w:r w:rsidRPr="002964A7">
        <w:rPr>
          <w:rFonts w:ascii="Verdana" w:hAnsi="Verdana" w:cs="Arial"/>
          <w:sz w:val="20"/>
          <w:szCs w:val="20"/>
          <w:lang w:eastAsia="es-CR"/>
        </w:rPr>
        <w:t>documentos</w:t>
      </w:r>
      <w:r w:rsidRPr="002964A7">
        <w:rPr>
          <w:rFonts w:ascii="Verdana" w:hAnsi="Verdana" w:cs="Arial"/>
          <w:spacing w:val="-2"/>
          <w:sz w:val="20"/>
          <w:szCs w:val="20"/>
          <w:lang w:eastAsia="es-ES"/>
        </w:rPr>
        <w:t xml:space="preserve"> solicitados por la Corte como prueba para mejor resolver. También recibió las declaraciones rendidas ante fedatario público (affidávit)</w:t>
      </w:r>
      <w:r w:rsidRPr="002964A7">
        <w:rPr>
          <w:rFonts w:ascii="Verdana" w:hAnsi="Verdana" w:cs="Arial"/>
          <w:sz w:val="20"/>
          <w:szCs w:val="20"/>
          <w:vertAlign w:val="superscript"/>
        </w:rPr>
        <w:footnoteReference w:id="50"/>
      </w:r>
      <w:r w:rsidRPr="002964A7">
        <w:rPr>
          <w:rFonts w:ascii="Verdana" w:hAnsi="Verdana" w:cs="Arial"/>
          <w:spacing w:val="-2"/>
          <w:sz w:val="20"/>
          <w:szCs w:val="20"/>
          <w:lang w:eastAsia="es-ES"/>
        </w:rPr>
        <w:t xml:space="preserve"> de Gabriella Citroni y Fredy Armando Peccerelli Monterroso, peritos propuestos por la Comisión, así como </w:t>
      </w:r>
      <w:r w:rsidRPr="002964A7">
        <w:rPr>
          <w:rFonts w:ascii="Verdana" w:hAnsi="Verdana" w:cs="Arial"/>
          <w:spacing w:val="-2"/>
          <w:sz w:val="20"/>
          <w:szCs w:val="20"/>
        </w:rPr>
        <w:t xml:space="preserve">las declaraciones de los peritos Ronald Alex Gamarra Herrera, Miryam Rebeca Rivera Holguín, Alejandro Valencia Villa y Jaime Mario Urrutia Ceruti, </w:t>
      </w:r>
      <w:r>
        <w:rPr>
          <w:rFonts w:ascii="Verdana" w:hAnsi="Verdana" w:cs="Arial"/>
          <w:spacing w:val="-2"/>
          <w:sz w:val="20"/>
          <w:szCs w:val="20"/>
        </w:rPr>
        <w:t>y</w:t>
      </w:r>
      <w:r w:rsidRPr="002964A7">
        <w:rPr>
          <w:rFonts w:ascii="Verdana" w:hAnsi="Verdana" w:cs="Arial"/>
          <w:spacing w:val="-2"/>
          <w:sz w:val="20"/>
          <w:szCs w:val="20"/>
        </w:rPr>
        <w:t xml:space="preserve"> de las presuntas víctimas Zósimo Hilario Quispe, Marcelo Hilario Quispe, Gregorio Hilario Quispe, Víctor Carhuapoma de la Cruz, Abilio Hilario Quispe y </w:t>
      </w:r>
      <w:r w:rsidRPr="002964A7">
        <w:rPr>
          <w:rFonts w:ascii="Verdana" w:hAnsi="Verdana" w:cs="Arial"/>
          <w:sz w:val="20"/>
          <w:szCs w:val="20"/>
        </w:rPr>
        <w:t>Marcelina Guillen Riveros</w:t>
      </w:r>
      <w:r w:rsidRPr="002964A7">
        <w:rPr>
          <w:rFonts w:ascii="Verdana" w:hAnsi="Verdana" w:cs="Arial"/>
          <w:spacing w:val="-2"/>
          <w:sz w:val="20"/>
          <w:szCs w:val="20"/>
        </w:rPr>
        <w:t xml:space="preserve">, todos ellos propuestos por los representantes. Igualmente, recibió la declaración del testigo </w:t>
      </w:r>
      <w:r w:rsidRPr="002964A7">
        <w:rPr>
          <w:rFonts w:ascii="Verdana" w:hAnsi="Verdana" w:cs="Arial"/>
          <w:sz w:val="20"/>
          <w:szCs w:val="20"/>
        </w:rPr>
        <w:t>Rurik Jurqi Medina Tapi</w:t>
      </w:r>
      <w:r>
        <w:rPr>
          <w:rFonts w:ascii="Verdana" w:hAnsi="Verdana" w:cs="Arial"/>
          <w:sz w:val="20"/>
          <w:szCs w:val="20"/>
        </w:rPr>
        <w:t>a</w:t>
      </w:r>
      <w:r w:rsidRPr="002964A7">
        <w:rPr>
          <w:rFonts w:ascii="Verdana" w:hAnsi="Verdana" w:cs="Arial"/>
          <w:sz w:val="20"/>
          <w:szCs w:val="20"/>
        </w:rPr>
        <w:t xml:space="preserve">, </w:t>
      </w:r>
      <w:r w:rsidRPr="002964A7">
        <w:rPr>
          <w:rFonts w:ascii="Verdana" w:hAnsi="Verdana" w:cs="Arial"/>
          <w:spacing w:val="-2"/>
          <w:sz w:val="20"/>
          <w:szCs w:val="20"/>
        </w:rPr>
        <w:t xml:space="preserve">propuesto por el Estado. En cuanto a la prueba rendida en audiencia pública, la Corte escuchó el testimonio del señor Zenón Cirilo Osnayo Tunque y el peritaje de </w:t>
      </w:r>
      <w:r w:rsidRPr="002964A7">
        <w:rPr>
          <w:rFonts w:ascii="Verdana" w:hAnsi="Verdana" w:cs="Arial"/>
          <w:bCs/>
          <w:iCs/>
          <w:sz w:val="20"/>
          <w:szCs w:val="20"/>
          <w:lang w:val="es-ES"/>
        </w:rPr>
        <w:t>José Pablo Baraybar do Carmo</w:t>
      </w:r>
      <w:r w:rsidRPr="002964A7">
        <w:rPr>
          <w:rFonts w:ascii="Verdana" w:hAnsi="Verdana" w:cs="Arial"/>
          <w:spacing w:val="-2"/>
          <w:sz w:val="20"/>
          <w:szCs w:val="20"/>
        </w:rPr>
        <w:t>, propuestos por los representantes, así como el</w:t>
      </w:r>
      <w:r w:rsidRPr="002964A7">
        <w:rPr>
          <w:rFonts w:ascii="Verdana" w:hAnsi="Verdana" w:cs="Arial"/>
          <w:spacing w:val="-2"/>
          <w:sz w:val="20"/>
          <w:szCs w:val="20"/>
          <w:lang w:eastAsia="es-ES"/>
        </w:rPr>
        <w:t xml:space="preserve"> testimonio </w:t>
      </w:r>
      <w:r w:rsidRPr="002964A7">
        <w:rPr>
          <w:rFonts w:ascii="Verdana" w:hAnsi="Verdana" w:cs="Arial"/>
          <w:spacing w:val="-2"/>
          <w:sz w:val="20"/>
          <w:szCs w:val="20"/>
        </w:rPr>
        <w:t xml:space="preserve">del señor </w:t>
      </w:r>
      <w:r w:rsidRPr="002964A7">
        <w:rPr>
          <w:rFonts w:ascii="Verdana" w:hAnsi="Verdana" w:cs="Arial"/>
          <w:sz w:val="20"/>
          <w:szCs w:val="20"/>
        </w:rPr>
        <w:t>Luis Alberto Rueda Curimania</w:t>
      </w:r>
      <w:r w:rsidRPr="002964A7">
        <w:rPr>
          <w:rFonts w:ascii="Verdana" w:hAnsi="Verdana" w:cs="Arial"/>
          <w:spacing w:val="-2"/>
          <w:sz w:val="20"/>
          <w:szCs w:val="20"/>
        </w:rPr>
        <w:t xml:space="preserve">, testigo propuesto por el Estado. Durante la audiencia pública el perito </w:t>
      </w:r>
      <w:r w:rsidRPr="002964A7">
        <w:rPr>
          <w:rFonts w:ascii="Verdana" w:hAnsi="Verdana" w:cs="Arial"/>
          <w:bCs/>
          <w:iCs/>
          <w:sz w:val="20"/>
          <w:szCs w:val="20"/>
          <w:lang w:val="es-ES"/>
        </w:rPr>
        <w:t>José Pablo Baraybar do Carmo</w:t>
      </w:r>
      <w:r w:rsidRPr="002964A7">
        <w:rPr>
          <w:rFonts w:ascii="Verdana" w:hAnsi="Verdana" w:cs="Arial"/>
          <w:spacing w:val="-2"/>
          <w:sz w:val="20"/>
          <w:szCs w:val="20"/>
        </w:rPr>
        <w:t xml:space="preserve"> presentó de manera escrita su informe pericial. Finalmente, la Corte recibió documentos presentados por el Estado y los representantes adjuntos a sus respectivos alegatos finales escritos.</w:t>
      </w:r>
    </w:p>
    <w:p w:rsidR="00106A1E" w:rsidRPr="002964A7" w:rsidRDefault="009C4733" w:rsidP="001154F9">
      <w:pPr>
        <w:pStyle w:val="Heading3"/>
      </w:pPr>
      <w:bookmarkStart w:id="122" w:name="_Toc423102527"/>
      <w:bookmarkStart w:id="123" w:name="_Toc433387480"/>
      <w:r>
        <w:lastRenderedPageBreak/>
        <w:t>B</w:t>
      </w:r>
      <w:r w:rsidR="001154F9">
        <w:t xml:space="preserve">. </w:t>
      </w:r>
      <w:r w:rsidR="00106A1E" w:rsidRPr="002964A7">
        <w:t>Admisión de la prueba</w:t>
      </w:r>
      <w:bookmarkEnd w:id="122"/>
      <w:bookmarkEnd w:id="123"/>
    </w:p>
    <w:p w:rsidR="00106A1E" w:rsidRPr="002964A7" w:rsidRDefault="00106A1E" w:rsidP="00106A1E">
      <w:pPr>
        <w:spacing w:after="0" w:line="240" w:lineRule="auto"/>
        <w:contextualSpacing/>
        <w:jc w:val="both"/>
        <w:rPr>
          <w:rFonts w:ascii="Verdana" w:hAnsi="Verdana" w:cs="Arial"/>
          <w:spacing w:val="-2"/>
          <w:sz w:val="20"/>
          <w:szCs w:val="20"/>
          <w:lang w:eastAsia="es-ES"/>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eastAsia="es-ES"/>
        </w:rPr>
      </w:pPr>
      <w:r w:rsidRPr="002964A7">
        <w:rPr>
          <w:rFonts w:ascii="Verdana" w:hAnsi="Verdana" w:cs="Arial"/>
          <w:spacing w:val="-2"/>
          <w:sz w:val="20"/>
          <w:szCs w:val="20"/>
          <w:lang w:eastAsia="es-ES"/>
        </w:rPr>
        <w:t>El Tribunal admite los documentos presentados en la debida oportunidad procesal por las partes y la Comisión, y cuya admisibilidad no fue controvertida ni objetada</w:t>
      </w:r>
      <w:r w:rsidRPr="002964A7">
        <w:rPr>
          <w:rFonts w:ascii="Verdana" w:hAnsi="Verdana" w:cs="Arial"/>
          <w:spacing w:val="-2"/>
          <w:sz w:val="20"/>
          <w:szCs w:val="20"/>
          <w:vertAlign w:val="superscript"/>
        </w:rPr>
        <w:footnoteReference w:id="51"/>
      </w:r>
      <w:r w:rsidRPr="002964A7">
        <w:rPr>
          <w:rFonts w:ascii="Verdana" w:hAnsi="Verdana" w:cs="Arial"/>
          <w:spacing w:val="-2"/>
          <w:sz w:val="20"/>
          <w:szCs w:val="20"/>
          <w:lang w:eastAsia="es-ES"/>
        </w:rPr>
        <w:t xml:space="preserve">. Los documentos solicitados por la Corte que fueron aportados por el Estado con posterioridad a la audiencia pública son incorporados al acervo probatorio en aplicación del artículo 58 del </w:t>
      </w:r>
      <w:r w:rsidRPr="002964A7">
        <w:rPr>
          <w:rFonts w:ascii="Verdana" w:hAnsi="Verdana" w:cs="Arial"/>
          <w:sz w:val="20"/>
          <w:szCs w:val="20"/>
          <w:lang w:eastAsia="es-CR"/>
        </w:rPr>
        <w:t>Reglamento</w:t>
      </w:r>
      <w:r w:rsidRPr="002964A7">
        <w:rPr>
          <w:rFonts w:ascii="Verdana" w:hAnsi="Verdana" w:cs="Arial"/>
          <w:spacing w:val="-2"/>
          <w:sz w:val="20"/>
          <w:szCs w:val="20"/>
          <w:lang w:eastAsia="es-ES"/>
        </w:rPr>
        <w:t>. Además, la Corte observa que tanto los representantes como el Estado presentaron documentos junto con sus alegatos finales escritos de fecha posterior a la presentación de los escritos de solicitudes y argumentos y contestación, respectivamente, los cuales son incorporados al acervo probatorio de conformidad con el artículo 57.2 del Reglamento.</w:t>
      </w:r>
    </w:p>
    <w:p w:rsidR="00106A1E" w:rsidRPr="002964A7" w:rsidRDefault="00106A1E" w:rsidP="00106A1E">
      <w:pPr>
        <w:spacing w:after="0" w:line="240" w:lineRule="auto"/>
        <w:contextualSpacing/>
        <w:jc w:val="both"/>
        <w:rPr>
          <w:rFonts w:ascii="Verdana" w:hAnsi="Verdana" w:cs="Arial"/>
          <w:spacing w:val="-2"/>
          <w:sz w:val="20"/>
          <w:szCs w:val="20"/>
          <w:lang w:eastAsia="es-ES"/>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eastAsia="es-ES"/>
        </w:rPr>
      </w:pPr>
      <w:r w:rsidRPr="002964A7">
        <w:rPr>
          <w:rFonts w:ascii="Verdana" w:hAnsi="Verdana" w:cs="Arial"/>
          <w:spacing w:val="-2"/>
          <w:sz w:val="20"/>
          <w:szCs w:val="20"/>
          <w:lang w:eastAsia="es-ES"/>
        </w:rPr>
        <w:t xml:space="preserve">En cuanto a las notas de prensa presentadas por la Comisión y el Estado, la Corte ha considerado que podrán ser apreciadas cuando recojan hechos públicos y notorios o declaraciones de funcionarios del Estado, o cuando corroboren aspectos relacionados con el caso. En </w:t>
      </w:r>
      <w:r w:rsidRPr="002964A7">
        <w:rPr>
          <w:rFonts w:ascii="Verdana" w:hAnsi="Verdana" w:cs="Arial"/>
          <w:sz w:val="20"/>
          <w:szCs w:val="20"/>
          <w:lang w:eastAsia="es-CR"/>
        </w:rPr>
        <w:t>consecuencia</w:t>
      </w:r>
      <w:r w:rsidRPr="002964A7">
        <w:rPr>
          <w:rFonts w:ascii="Verdana" w:hAnsi="Verdana" w:cs="Arial"/>
          <w:spacing w:val="-2"/>
          <w:sz w:val="20"/>
          <w:szCs w:val="20"/>
          <w:lang w:eastAsia="es-ES"/>
        </w:rPr>
        <w:t>, la Corte decide admitir los documentos que se encuentren completos o que, por lo menos, permitan constatar su fuente y fecha de publicación</w:t>
      </w:r>
      <w:r w:rsidRPr="002964A7">
        <w:rPr>
          <w:rFonts w:ascii="Verdana" w:hAnsi="Verdana" w:cs="Arial"/>
          <w:spacing w:val="-2"/>
          <w:sz w:val="20"/>
          <w:szCs w:val="20"/>
          <w:vertAlign w:val="superscript"/>
          <w:lang w:eastAsia="es-ES"/>
        </w:rPr>
        <w:footnoteReference w:id="52"/>
      </w:r>
      <w:r w:rsidRPr="002964A7">
        <w:rPr>
          <w:rFonts w:ascii="Verdana" w:hAnsi="Verdana" w:cs="Arial"/>
          <w:spacing w:val="-2"/>
          <w:sz w:val="20"/>
          <w:szCs w:val="20"/>
          <w:lang w:eastAsia="es-ES"/>
        </w:rPr>
        <w:t xml:space="preserve">. </w:t>
      </w:r>
      <w:r w:rsidRPr="002964A7">
        <w:rPr>
          <w:rFonts w:ascii="Verdana" w:hAnsi="Verdana" w:cs="Arial"/>
          <w:spacing w:val="-2"/>
          <w:sz w:val="20"/>
          <w:szCs w:val="20"/>
          <w:lang w:eastAsia="es-MX"/>
        </w:rPr>
        <w:t xml:space="preserve">Igualmente, </w:t>
      </w:r>
      <w:r w:rsidRPr="002964A7">
        <w:rPr>
          <w:rFonts w:ascii="Verdana" w:hAnsi="Verdana"/>
          <w:sz w:val="20"/>
          <w:szCs w:val="20"/>
          <w:lang w:eastAsia="es-CR"/>
        </w:rPr>
        <w:t>respecto</w:t>
      </w:r>
      <w:r w:rsidRPr="002964A7">
        <w:rPr>
          <w:rFonts w:ascii="Verdana" w:hAnsi="Verdana" w:cs="Arial"/>
          <w:spacing w:val="-2"/>
          <w:sz w:val="20"/>
          <w:szCs w:val="20"/>
          <w:lang w:eastAsia="es-MX"/>
        </w:rPr>
        <w:t xml:space="preserve"> de algunos documentos señalados por las partes y la Comisión por </w:t>
      </w:r>
      <w:r w:rsidRPr="002964A7">
        <w:rPr>
          <w:rFonts w:ascii="Verdana" w:hAnsi="Verdana" w:cs="Arial"/>
          <w:spacing w:val="-2"/>
          <w:sz w:val="20"/>
          <w:szCs w:val="20"/>
          <w:lang w:eastAsia="es-ES"/>
        </w:rPr>
        <w:t>medio</w:t>
      </w:r>
      <w:r w:rsidRPr="002964A7">
        <w:rPr>
          <w:rFonts w:ascii="Verdana" w:hAnsi="Verdana" w:cs="Arial"/>
          <w:spacing w:val="-2"/>
          <w:sz w:val="20"/>
          <w:szCs w:val="20"/>
          <w:lang w:eastAsia="es-MX"/>
        </w:rPr>
        <w:t xml:space="preserve"> de enlaces </w:t>
      </w:r>
      <w:r w:rsidRPr="002964A7">
        <w:rPr>
          <w:rFonts w:ascii="Verdana" w:hAnsi="Verdana" w:cs="Arial"/>
          <w:spacing w:val="-2"/>
          <w:sz w:val="20"/>
          <w:szCs w:val="20"/>
          <w:lang w:eastAsia="es-ES"/>
        </w:rPr>
        <w:t>electrónicos</w:t>
      </w:r>
      <w:r w:rsidRPr="002964A7">
        <w:rPr>
          <w:rFonts w:ascii="Verdana" w:hAnsi="Verdana" w:cs="Arial"/>
          <w:spacing w:val="-2"/>
          <w:sz w:val="20"/>
          <w:szCs w:val="20"/>
          <w:lang w:eastAsia="es-MX"/>
        </w:rPr>
        <w:t xml:space="preserve">, si una parte proporciona al menos el enlace electrónico directo del documento que cita como prueba y es posible acceder a </w:t>
      </w:r>
      <w:r w:rsidR="00335E16">
        <w:rPr>
          <w:rFonts w:ascii="Verdana" w:hAnsi="Verdana" w:cs="Arial"/>
          <w:spacing w:val="-2"/>
          <w:sz w:val="20"/>
          <w:szCs w:val="20"/>
          <w:lang w:eastAsia="es-MX"/>
        </w:rPr>
        <w:t>e</w:t>
      </w:r>
      <w:r w:rsidRPr="002964A7">
        <w:rPr>
          <w:rFonts w:ascii="Verdana" w:hAnsi="Verdana" w:cs="Arial"/>
          <w:spacing w:val="-2"/>
          <w:sz w:val="20"/>
          <w:szCs w:val="20"/>
          <w:lang w:eastAsia="es-MX"/>
        </w:rPr>
        <w:t xml:space="preserve">ste hasta el momento de la emisión de la Sentencia respectiva, no se ve afectada la seguridad jurídica ni el equilibrio procesal, </w:t>
      </w:r>
      <w:r w:rsidRPr="002964A7">
        <w:rPr>
          <w:rFonts w:ascii="Verdana" w:hAnsi="Verdana" w:cs="Arial"/>
          <w:spacing w:val="-2"/>
          <w:sz w:val="20"/>
          <w:szCs w:val="20"/>
          <w:lang w:eastAsia="es-ES"/>
        </w:rPr>
        <w:t>porque</w:t>
      </w:r>
      <w:r w:rsidRPr="002964A7">
        <w:rPr>
          <w:rFonts w:ascii="Verdana" w:hAnsi="Verdana" w:cs="Arial"/>
          <w:spacing w:val="-2"/>
          <w:sz w:val="20"/>
          <w:szCs w:val="20"/>
          <w:lang w:eastAsia="es-MX"/>
        </w:rPr>
        <w:t xml:space="preserve"> es inmediatamente </w:t>
      </w:r>
      <w:r w:rsidRPr="002964A7">
        <w:rPr>
          <w:rFonts w:ascii="Verdana" w:hAnsi="Verdana" w:cs="Arial"/>
          <w:spacing w:val="-2"/>
          <w:sz w:val="20"/>
          <w:szCs w:val="20"/>
          <w:lang w:eastAsia="es-ES"/>
        </w:rPr>
        <w:t>localizable</w:t>
      </w:r>
      <w:r w:rsidRPr="002964A7">
        <w:rPr>
          <w:rFonts w:ascii="Verdana" w:hAnsi="Verdana" w:cs="Arial"/>
          <w:spacing w:val="-2"/>
          <w:sz w:val="20"/>
          <w:szCs w:val="20"/>
          <w:lang w:eastAsia="es-MX"/>
        </w:rPr>
        <w:t xml:space="preserve"> por la Corte y por las otras partes</w:t>
      </w:r>
      <w:r w:rsidRPr="002964A7">
        <w:rPr>
          <w:rFonts w:ascii="Verdana" w:hAnsi="Verdana" w:cs="Arial"/>
          <w:spacing w:val="-2"/>
          <w:sz w:val="20"/>
          <w:szCs w:val="20"/>
          <w:vertAlign w:val="superscript"/>
          <w:lang w:eastAsia="es-MX"/>
        </w:rPr>
        <w:footnoteReference w:id="53"/>
      </w:r>
      <w:r w:rsidRPr="002964A7">
        <w:rPr>
          <w:rFonts w:ascii="Verdana" w:hAnsi="Verdana" w:cs="Arial"/>
          <w:spacing w:val="-2"/>
          <w:sz w:val="20"/>
          <w:szCs w:val="20"/>
          <w:lang w:eastAsia="es-MX"/>
        </w:rPr>
        <w:t xml:space="preserve">. </w:t>
      </w:r>
    </w:p>
    <w:p w:rsidR="00106A1E" w:rsidRPr="002964A7" w:rsidRDefault="00106A1E" w:rsidP="00106A1E">
      <w:pPr>
        <w:spacing w:after="0" w:line="240" w:lineRule="auto"/>
        <w:contextualSpacing/>
        <w:jc w:val="both"/>
        <w:rPr>
          <w:rFonts w:ascii="Verdana" w:hAnsi="Verdana" w:cs="Arial"/>
          <w:spacing w:val="-2"/>
          <w:sz w:val="20"/>
          <w:szCs w:val="20"/>
          <w:lang w:eastAsia="es-ES"/>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eastAsia="es-ES"/>
        </w:rPr>
      </w:pPr>
      <w:r w:rsidRPr="002964A7">
        <w:rPr>
          <w:rFonts w:ascii="Verdana" w:hAnsi="Verdana" w:cs="Arial"/>
          <w:sz w:val="20"/>
          <w:szCs w:val="20"/>
        </w:rPr>
        <w:t xml:space="preserve">Los </w:t>
      </w:r>
      <w:r w:rsidRPr="002964A7">
        <w:rPr>
          <w:rFonts w:ascii="Verdana" w:hAnsi="Verdana" w:cs="Arial"/>
          <w:sz w:val="20"/>
          <w:szCs w:val="20"/>
          <w:lang w:eastAsia="es-CR"/>
        </w:rPr>
        <w:t>representantes</w:t>
      </w:r>
      <w:r w:rsidRPr="002964A7">
        <w:rPr>
          <w:rFonts w:ascii="Verdana" w:hAnsi="Verdana" w:cs="Arial"/>
          <w:sz w:val="20"/>
          <w:szCs w:val="20"/>
        </w:rPr>
        <w:t xml:space="preserve"> remitieron </w:t>
      </w:r>
      <w:r>
        <w:rPr>
          <w:rFonts w:ascii="Verdana" w:hAnsi="Verdana" w:cs="Arial"/>
          <w:sz w:val="20"/>
          <w:szCs w:val="20"/>
        </w:rPr>
        <w:t>con</w:t>
      </w:r>
      <w:r w:rsidRPr="002964A7">
        <w:rPr>
          <w:rFonts w:ascii="Verdana" w:hAnsi="Verdana" w:cs="Arial"/>
          <w:sz w:val="20"/>
          <w:szCs w:val="20"/>
        </w:rPr>
        <w:t xml:space="preserve"> sus alegatos finales </w:t>
      </w:r>
      <w:r w:rsidRPr="002964A7">
        <w:rPr>
          <w:rFonts w:ascii="Verdana" w:hAnsi="Verdana" w:cs="Arial"/>
          <w:spacing w:val="-2"/>
          <w:sz w:val="20"/>
          <w:szCs w:val="20"/>
          <w:lang w:eastAsia="es-ES"/>
        </w:rPr>
        <w:t xml:space="preserve">documentos que forman parte del expediente de la Comisión, los cuales </w:t>
      </w:r>
      <w:r w:rsidRPr="002964A7">
        <w:rPr>
          <w:rFonts w:ascii="Verdana" w:hAnsi="Verdana" w:cs="Arial"/>
          <w:sz w:val="20"/>
          <w:szCs w:val="20"/>
          <w:lang w:val="es-CO" w:eastAsia="es-ES"/>
        </w:rPr>
        <w:t xml:space="preserve">fueron incorporados de conformidad con el artículo 35.d del Reglamento, así como </w:t>
      </w:r>
      <w:r w:rsidRPr="002964A7">
        <w:rPr>
          <w:rFonts w:ascii="Verdana" w:hAnsi="Verdana" w:cs="Arial"/>
          <w:sz w:val="20"/>
          <w:szCs w:val="20"/>
        </w:rPr>
        <w:t xml:space="preserve">documentos incorporados por la perita </w:t>
      </w:r>
      <w:r w:rsidR="00631AB5">
        <w:rPr>
          <w:rFonts w:ascii="Verdana" w:hAnsi="Verdana" w:cs="Arial"/>
          <w:sz w:val="20"/>
          <w:szCs w:val="20"/>
        </w:rPr>
        <w:t>Miryam</w:t>
      </w:r>
      <w:r w:rsidR="00631AB5" w:rsidRPr="002964A7">
        <w:rPr>
          <w:rFonts w:ascii="Verdana" w:hAnsi="Verdana" w:cs="Arial"/>
          <w:sz w:val="20"/>
          <w:szCs w:val="20"/>
        </w:rPr>
        <w:t xml:space="preserve"> </w:t>
      </w:r>
      <w:r w:rsidRPr="002964A7">
        <w:rPr>
          <w:rFonts w:ascii="Verdana" w:hAnsi="Verdana" w:cs="Arial"/>
          <w:sz w:val="20"/>
          <w:szCs w:val="20"/>
        </w:rPr>
        <w:t xml:space="preserve">Rivera Holguin en su dictamen rendido </w:t>
      </w:r>
      <w:r w:rsidRPr="002964A7">
        <w:rPr>
          <w:rFonts w:ascii="Verdana" w:hAnsi="Verdana" w:cs="Arial"/>
          <w:spacing w:val="-2"/>
          <w:sz w:val="20"/>
          <w:szCs w:val="20"/>
          <w:lang w:eastAsia="es-ES"/>
        </w:rPr>
        <w:t>ante fedatario público (affidávit)</w:t>
      </w:r>
      <w:r w:rsidRPr="002964A7">
        <w:rPr>
          <w:rFonts w:ascii="Verdana" w:hAnsi="Verdana" w:cs="Arial"/>
          <w:sz w:val="20"/>
          <w:szCs w:val="20"/>
          <w:lang w:val="es-CO" w:eastAsia="es-ES"/>
        </w:rPr>
        <w:t>.</w:t>
      </w:r>
      <w:r w:rsidRPr="002964A7">
        <w:rPr>
          <w:rFonts w:ascii="Verdana" w:hAnsi="Verdana" w:cs="Arial"/>
          <w:sz w:val="20"/>
          <w:szCs w:val="20"/>
          <w:lang w:val="es-ES"/>
        </w:rPr>
        <w:t xml:space="preserve"> Es decir, dichas pruebas formaban parte del acervo probatorio con anterioridad a los alegatos finales escritos</w:t>
      </w:r>
      <w:r>
        <w:rPr>
          <w:rFonts w:ascii="Verdana" w:hAnsi="Verdana" w:cs="Arial"/>
          <w:sz w:val="20"/>
          <w:szCs w:val="20"/>
          <w:lang w:val="es-ES"/>
        </w:rPr>
        <w:t xml:space="preserve"> y </w:t>
      </w:r>
      <w:r w:rsidR="0008081B">
        <w:rPr>
          <w:rFonts w:ascii="Verdana" w:hAnsi="Verdana" w:cs="Arial"/>
          <w:sz w:val="20"/>
          <w:szCs w:val="20"/>
          <w:lang w:val="es-ES"/>
        </w:rPr>
        <w:t>son</w:t>
      </w:r>
      <w:r>
        <w:rPr>
          <w:rFonts w:ascii="Verdana" w:hAnsi="Verdana" w:cs="Arial"/>
          <w:sz w:val="20"/>
          <w:szCs w:val="20"/>
          <w:lang w:val="es-ES"/>
        </w:rPr>
        <w:t xml:space="preserve"> admitida</w:t>
      </w:r>
      <w:r w:rsidR="0008081B">
        <w:rPr>
          <w:rFonts w:ascii="Verdana" w:hAnsi="Verdana" w:cs="Arial"/>
          <w:sz w:val="20"/>
          <w:szCs w:val="20"/>
          <w:lang w:val="es-ES"/>
        </w:rPr>
        <w:t>s</w:t>
      </w:r>
      <w:r w:rsidRPr="002964A7">
        <w:rPr>
          <w:rFonts w:ascii="Verdana" w:hAnsi="Verdana" w:cs="Arial"/>
          <w:sz w:val="20"/>
          <w:szCs w:val="20"/>
          <w:lang w:val="es-ES"/>
        </w:rPr>
        <w:t>.</w:t>
      </w:r>
      <w:r w:rsidRPr="002964A7">
        <w:rPr>
          <w:rFonts w:ascii="Verdana" w:hAnsi="Verdana" w:cs="Arial"/>
          <w:spacing w:val="-2"/>
          <w:sz w:val="20"/>
          <w:szCs w:val="20"/>
          <w:lang w:eastAsia="es-ES"/>
        </w:rPr>
        <w:t xml:space="preserve"> Por otro lado, </w:t>
      </w:r>
      <w:r w:rsidRPr="002964A7">
        <w:rPr>
          <w:rFonts w:ascii="Verdana" w:hAnsi="Verdana" w:cs="Arial"/>
          <w:sz w:val="20"/>
          <w:szCs w:val="20"/>
          <w:lang w:eastAsia="es-MX"/>
        </w:rPr>
        <w:t xml:space="preserve">el Estado y los representantes remitieron </w:t>
      </w:r>
      <w:r w:rsidRPr="002964A7">
        <w:rPr>
          <w:rFonts w:ascii="Verdana" w:hAnsi="Verdana" w:cs="Arial"/>
          <w:sz w:val="20"/>
          <w:szCs w:val="20"/>
          <w:lang w:eastAsia="es-CR"/>
        </w:rPr>
        <w:t>junto con sus alegatos finales escritos</w:t>
      </w:r>
      <w:r>
        <w:rPr>
          <w:rFonts w:ascii="Verdana" w:hAnsi="Verdana" w:cs="Arial"/>
          <w:sz w:val="20"/>
          <w:szCs w:val="20"/>
          <w:lang w:eastAsia="es-CR"/>
        </w:rPr>
        <w:t>,</w:t>
      </w:r>
      <w:r w:rsidRPr="002964A7">
        <w:rPr>
          <w:rFonts w:ascii="Verdana" w:hAnsi="Verdana" w:cs="Arial"/>
          <w:sz w:val="20"/>
          <w:szCs w:val="20"/>
          <w:lang w:eastAsia="es-MX"/>
        </w:rPr>
        <w:t xml:space="preserve"> </w:t>
      </w:r>
      <w:r w:rsidRPr="002964A7">
        <w:rPr>
          <w:rFonts w:ascii="Verdana" w:hAnsi="Verdana" w:cs="Arial"/>
          <w:sz w:val="20"/>
          <w:szCs w:val="20"/>
        </w:rPr>
        <w:t>pruebas no solicitadas por la Corte o su Presidente</w:t>
      </w:r>
      <w:r w:rsidRPr="002964A7">
        <w:rPr>
          <w:rFonts w:ascii="Verdana" w:hAnsi="Verdana" w:cs="Arial"/>
          <w:sz w:val="20"/>
          <w:szCs w:val="20"/>
          <w:lang w:eastAsia="es-CR"/>
        </w:rPr>
        <w:t xml:space="preserve">, </w:t>
      </w:r>
      <w:r w:rsidRPr="002964A7">
        <w:rPr>
          <w:rFonts w:ascii="Verdana" w:hAnsi="Verdana" w:cs="Arial"/>
          <w:sz w:val="20"/>
          <w:szCs w:val="20"/>
          <w:lang w:eastAsia="es-MX"/>
        </w:rPr>
        <w:t>sin indicar justificación alguna con respecto a su remisión posterior a sus escritos de solicitudes y argumentos, y de contestación, respectivamente</w:t>
      </w:r>
      <w:r w:rsidRPr="002964A7">
        <w:rPr>
          <w:rFonts w:ascii="Verdana" w:hAnsi="Verdana" w:cs="Arial"/>
          <w:sz w:val="20"/>
          <w:szCs w:val="20"/>
          <w:vertAlign w:val="superscript"/>
          <w:lang w:eastAsia="es-MX"/>
        </w:rPr>
        <w:footnoteReference w:id="54"/>
      </w:r>
      <w:r w:rsidRPr="002964A7">
        <w:rPr>
          <w:rFonts w:ascii="Verdana" w:hAnsi="Verdana" w:cs="Arial"/>
          <w:sz w:val="20"/>
          <w:szCs w:val="20"/>
        </w:rPr>
        <w:t xml:space="preserve">. En razón de su extemporaneidad y que no procede ninguna de las causales de excepción </w:t>
      </w:r>
      <w:r w:rsidRPr="002964A7">
        <w:rPr>
          <w:rFonts w:ascii="Verdana" w:hAnsi="Verdana" w:cs="Arial"/>
          <w:sz w:val="20"/>
          <w:szCs w:val="20"/>
          <w:lang w:eastAsia="es-MX"/>
        </w:rPr>
        <w:t>establecidas en el artículo 57.2 del Reglamento</w:t>
      </w:r>
      <w:r w:rsidRPr="002964A7">
        <w:rPr>
          <w:rFonts w:ascii="Verdana" w:hAnsi="Verdana" w:cs="Arial"/>
          <w:sz w:val="20"/>
          <w:szCs w:val="20"/>
        </w:rPr>
        <w:t>, la Corte considera que no corresponde admitir los referidos documentos.</w:t>
      </w:r>
    </w:p>
    <w:p w:rsidR="00106A1E" w:rsidRPr="002964A7" w:rsidRDefault="00106A1E" w:rsidP="00106A1E">
      <w:pPr>
        <w:spacing w:after="0" w:line="240" w:lineRule="auto"/>
        <w:rPr>
          <w:rFonts w:ascii="Verdana" w:eastAsia="Calibri" w:hAnsi="Verdana" w:cs="Arial"/>
          <w:spacing w:val="-2"/>
          <w:sz w:val="20"/>
          <w:szCs w:val="20"/>
          <w:lang w:val="es-BO" w:eastAsia="es-MX"/>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z w:val="20"/>
          <w:szCs w:val="20"/>
        </w:rPr>
      </w:pPr>
      <w:r w:rsidRPr="002964A7">
        <w:rPr>
          <w:rFonts w:ascii="Verdana" w:eastAsia="Calibri" w:hAnsi="Verdana" w:cs="Arial"/>
          <w:sz w:val="20"/>
          <w:szCs w:val="20"/>
        </w:rPr>
        <w:t xml:space="preserve">Durante su exposición en el </w:t>
      </w:r>
      <w:r w:rsidRPr="002964A7">
        <w:rPr>
          <w:rFonts w:ascii="Verdana" w:hAnsi="Verdana" w:cs="Arial"/>
          <w:sz w:val="20"/>
          <w:szCs w:val="20"/>
          <w:lang w:eastAsia="es-CR"/>
        </w:rPr>
        <w:t>transcurso</w:t>
      </w:r>
      <w:r w:rsidRPr="002964A7">
        <w:rPr>
          <w:rFonts w:ascii="Verdana" w:eastAsia="Calibri" w:hAnsi="Verdana" w:cs="Arial"/>
          <w:sz w:val="20"/>
          <w:szCs w:val="20"/>
        </w:rPr>
        <w:t xml:space="preserve"> de la audiencia pública (</w:t>
      </w:r>
      <w:r w:rsidRPr="002964A7">
        <w:rPr>
          <w:rFonts w:ascii="Verdana" w:eastAsia="Calibri" w:hAnsi="Verdana" w:cs="Arial"/>
          <w:i/>
          <w:iCs/>
          <w:sz w:val="20"/>
          <w:szCs w:val="20"/>
        </w:rPr>
        <w:t xml:space="preserve">supra </w:t>
      </w:r>
      <w:r w:rsidRPr="002964A7">
        <w:rPr>
          <w:rFonts w:ascii="Verdana" w:eastAsia="Calibri" w:hAnsi="Verdana" w:cs="Arial"/>
          <w:sz w:val="20"/>
          <w:szCs w:val="20"/>
        </w:rPr>
        <w:t xml:space="preserve">párr. </w:t>
      </w:r>
      <w:r>
        <w:rPr>
          <w:rFonts w:ascii="Verdana" w:eastAsia="Calibri" w:hAnsi="Verdana" w:cs="Arial"/>
          <w:sz w:val="20"/>
          <w:szCs w:val="20"/>
        </w:rPr>
        <w:t>10</w:t>
      </w:r>
      <w:r w:rsidRPr="002964A7">
        <w:rPr>
          <w:rFonts w:ascii="Verdana" w:eastAsia="Calibri" w:hAnsi="Verdana" w:cs="Arial"/>
          <w:sz w:val="20"/>
          <w:szCs w:val="20"/>
        </w:rPr>
        <w:t xml:space="preserve">), el testigo Luis Alberto Rueda Curimania presentó ocho fotografías y el libro titulado “Equipo Forense Especializado (EFE), Álbum Fotográfico de prendas Caso: ‘Cabitos’”. En sus alegatos finales el Estado remitió nuevamente las mencionadas fotografías. Los representantes </w:t>
      </w:r>
      <w:r w:rsidRPr="002964A7">
        <w:rPr>
          <w:rFonts w:ascii="Verdana" w:hAnsi="Verdana"/>
          <w:sz w:val="20"/>
          <w:szCs w:val="20"/>
          <w:lang w:eastAsia="es-CR"/>
        </w:rPr>
        <w:t>objetaron</w:t>
      </w:r>
      <w:r w:rsidRPr="002964A7">
        <w:rPr>
          <w:rFonts w:ascii="Verdana" w:eastAsia="Calibri" w:hAnsi="Verdana" w:cs="Arial"/>
          <w:sz w:val="20"/>
          <w:szCs w:val="20"/>
        </w:rPr>
        <w:t xml:space="preserve"> la admisibilidad de las fotografías numeradas como 1 y 2, por </w:t>
      </w:r>
      <w:r w:rsidRPr="002964A7">
        <w:rPr>
          <w:rFonts w:ascii="Verdana" w:eastAsia="Calibri" w:hAnsi="Verdana" w:cs="Arial"/>
          <w:sz w:val="20"/>
          <w:szCs w:val="20"/>
        </w:rPr>
        <w:lastRenderedPageBreak/>
        <w:t xml:space="preserve">considerar que no guardan relación alguna con el presente caso. También objetaron las fotografías numeradas del 3 al 7, toda vez que no habrían sido ofrecidas en su debida oportunidad procesal, por lo que serían extemporáneas. No objetaron la foto numerada como 8. Además, indicaron que el señor Rueda Curimania “solo tiene conocimiento de la realización de la intervención realizada por el Equipo Forense Especializado que se inició a fines de 2009” y que “desconoce las diligencias [forenses] realizadas en el año 2011”, por lo que solicitaron a la Corte que solo considere “los señalamientos del testigo Luis Rueda dentro del marco del objeto de su testimonio”. Finalmente, objetaron la admisibilidad del libro entregado, toda vez que tampoco guardaría relación alguna con el caso concreto, habría sido presentado de manera extemporánea y no constituiría </w:t>
      </w:r>
      <w:r>
        <w:rPr>
          <w:rFonts w:ascii="Verdana" w:eastAsia="Calibri" w:hAnsi="Verdana" w:cs="Arial"/>
          <w:sz w:val="20"/>
          <w:szCs w:val="20"/>
        </w:rPr>
        <w:t xml:space="preserve">un </w:t>
      </w:r>
      <w:r w:rsidRPr="002964A7">
        <w:rPr>
          <w:rFonts w:ascii="Verdana" w:eastAsia="Calibri" w:hAnsi="Verdana" w:cs="Arial"/>
          <w:sz w:val="20"/>
          <w:szCs w:val="20"/>
        </w:rPr>
        <w:t xml:space="preserve">hecho superviniente. </w:t>
      </w:r>
    </w:p>
    <w:p w:rsidR="00106A1E" w:rsidRPr="002964A7" w:rsidRDefault="00106A1E" w:rsidP="00106A1E">
      <w:pPr>
        <w:spacing w:after="0" w:line="240" w:lineRule="auto"/>
        <w:ind w:left="720"/>
        <w:contextualSpacing/>
        <w:rPr>
          <w:rFonts w:ascii="Verdana" w:hAnsi="Verdana" w:cs="Arial"/>
          <w:sz w:val="20"/>
          <w:szCs w:val="20"/>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z w:val="20"/>
          <w:szCs w:val="20"/>
        </w:rPr>
      </w:pPr>
      <w:r w:rsidRPr="002964A7">
        <w:rPr>
          <w:rFonts w:ascii="Verdana" w:eastAsia="Calibri" w:hAnsi="Verdana" w:cs="Arial"/>
          <w:sz w:val="20"/>
          <w:szCs w:val="20"/>
        </w:rPr>
        <w:t xml:space="preserve">En primer lugar, en relación con las fotografías aportadas por el testigo Rueda Curimania, la Corte considera que las fotografías numeradas como 1 y 2, tal como lo explicó el testigo, pertenecen a una investigación de otro caso, por lo cual no son admitidas. Por otro lado, las fotografías numeradas del 3 al 8, se relacionan con los hechos del presente caso e integraron la exposición en audiencia pública del testimonio </w:t>
      </w:r>
      <w:r w:rsidRPr="002964A7">
        <w:rPr>
          <w:rFonts w:ascii="Verdana" w:hAnsi="Verdana" w:cs="Arial"/>
          <w:sz w:val="20"/>
          <w:szCs w:val="20"/>
          <w:lang w:eastAsia="es-MX"/>
        </w:rPr>
        <w:t>del</w:t>
      </w:r>
      <w:r w:rsidRPr="002964A7">
        <w:rPr>
          <w:rFonts w:ascii="Verdana" w:eastAsia="Calibri" w:hAnsi="Verdana" w:cs="Arial"/>
          <w:sz w:val="20"/>
          <w:szCs w:val="20"/>
        </w:rPr>
        <w:t xml:space="preserve"> señor Rueda Curimania, por tanto, son admitidas. En segundo lugar, debido a que el libro titulado “Equipo Forense Especializado (EFE), Álbum Fotográfico de prendas Caso: ‘Cabitos’” no guarda relación con el presente caso, no será considerado parte del acervo probatorio. Finalmente, la Corte admite dicho testimonio en la medida que se ajuste al objeto establecido en la Resolución del Presidente de la Corte de </w:t>
      </w:r>
      <w:r w:rsidRPr="002964A7">
        <w:rPr>
          <w:rFonts w:ascii="Verdana" w:eastAsia="Calibri" w:hAnsi="Verdana" w:cs="Arial"/>
          <w:bCs/>
          <w:sz w:val="20"/>
          <w:szCs w:val="20"/>
        </w:rPr>
        <w:t>4 de diciembre de 2014</w:t>
      </w:r>
      <w:r>
        <w:rPr>
          <w:rFonts w:ascii="Verdana" w:eastAsia="Calibri" w:hAnsi="Verdana" w:cs="Arial"/>
          <w:bCs/>
          <w:sz w:val="20"/>
          <w:szCs w:val="20"/>
        </w:rPr>
        <w:t xml:space="preserve"> </w:t>
      </w:r>
      <w:r w:rsidRPr="002964A7">
        <w:rPr>
          <w:rFonts w:ascii="Verdana" w:eastAsia="Calibri" w:hAnsi="Verdana" w:cs="Arial"/>
          <w:bCs/>
          <w:sz w:val="20"/>
          <w:szCs w:val="20"/>
          <w:shd w:val="clear" w:color="auto" w:fill="FFFFFF"/>
        </w:rPr>
        <w:t>(</w:t>
      </w:r>
      <w:r w:rsidRPr="002964A7">
        <w:rPr>
          <w:rFonts w:ascii="Verdana" w:eastAsia="Calibri" w:hAnsi="Verdana" w:cs="Arial"/>
          <w:bCs/>
          <w:i/>
          <w:sz w:val="20"/>
          <w:szCs w:val="20"/>
          <w:shd w:val="clear" w:color="auto" w:fill="FFFFFF"/>
        </w:rPr>
        <w:t>supra</w:t>
      </w:r>
      <w:r>
        <w:rPr>
          <w:rFonts w:ascii="Verdana" w:eastAsia="Calibri" w:hAnsi="Verdana" w:cs="Arial"/>
          <w:bCs/>
          <w:sz w:val="20"/>
          <w:szCs w:val="20"/>
          <w:shd w:val="clear" w:color="auto" w:fill="FFFFFF"/>
        </w:rPr>
        <w:t xml:space="preserve"> párr. 10</w:t>
      </w:r>
      <w:r w:rsidRPr="002964A7">
        <w:rPr>
          <w:rFonts w:ascii="Verdana" w:eastAsia="Calibri" w:hAnsi="Verdana" w:cs="Arial"/>
          <w:bCs/>
          <w:sz w:val="20"/>
          <w:szCs w:val="20"/>
          <w:shd w:val="clear" w:color="auto" w:fill="FFFFFF"/>
        </w:rPr>
        <w:t>)</w:t>
      </w:r>
      <w:r w:rsidRPr="002964A7">
        <w:rPr>
          <w:rFonts w:ascii="Verdana" w:eastAsia="Calibri" w:hAnsi="Verdana" w:cs="Arial"/>
          <w:bCs/>
          <w:sz w:val="20"/>
          <w:szCs w:val="20"/>
        </w:rPr>
        <w:t>.</w:t>
      </w:r>
    </w:p>
    <w:p w:rsidR="00106A1E" w:rsidRPr="002964A7" w:rsidRDefault="00106A1E" w:rsidP="00106A1E">
      <w:pPr>
        <w:spacing w:after="0" w:line="240" w:lineRule="auto"/>
        <w:contextualSpacing/>
        <w:jc w:val="both"/>
        <w:rPr>
          <w:rFonts w:ascii="Verdana" w:eastAsia="Calibri" w:hAnsi="Verdana" w:cs="Arial"/>
          <w:spacing w:val="-2"/>
          <w:sz w:val="20"/>
          <w:szCs w:val="20"/>
          <w:lang w:eastAsia="es-MX"/>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z w:val="20"/>
          <w:szCs w:val="20"/>
        </w:rPr>
      </w:pPr>
      <w:r w:rsidRPr="002964A7">
        <w:rPr>
          <w:rFonts w:ascii="Verdana" w:eastAsia="Calibri" w:hAnsi="Verdana" w:cs="Arial"/>
          <w:sz w:val="20"/>
          <w:szCs w:val="20"/>
        </w:rPr>
        <w:t xml:space="preserve">En sus alegatos finales escritos, el Estado presentó observaciones </w:t>
      </w:r>
      <w:r w:rsidRPr="002964A7">
        <w:rPr>
          <w:rFonts w:ascii="Verdana" w:eastAsia="Calibri" w:hAnsi="Verdana" w:cs="Arial"/>
          <w:sz w:val="20"/>
          <w:szCs w:val="20"/>
          <w:lang w:eastAsia="es-ES"/>
        </w:rPr>
        <w:t>respecto de la pertinencia, alcance, contenido, veracidad y credibilidad de los dictámenes pericial</w:t>
      </w:r>
      <w:r>
        <w:rPr>
          <w:rFonts w:ascii="Verdana" w:eastAsia="Calibri" w:hAnsi="Verdana" w:cs="Arial"/>
          <w:sz w:val="20"/>
          <w:szCs w:val="20"/>
          <w:lang w:eastAsia="es-ES"/>
        </w:rPr>
        <w:t>es</w:t>
      </w:r>
      <w:r w:rsidRPr="002964A7">
        <w:rPr>
          <w:rFonts w:ascii="Verdana" w:eastAsia="Calibri" w:hAnsi="Verdana" w:cs="Arial"/>
          <w:sz w:val="20"/>
          <w:szCs w:val="20"/>
          <w:lang w:eastAsia="es-ES"/>
        </w:rPr>
        <w:t xml:space="preserve"> </w:t>
      </w:r>
      <w:r w:rsidRPr="002964A7">
        <w:rPr>
          <w:rFonts w:ascii="Verdana" w:eastAsia="Calibri" w:hAnsi="Verdana" w:cs="Arial"/>
          <w:sz w:val="20"/>
          <w:szCs w:val="20"/>
        </w:rPr>
        <w:t xml:space="preserve">elaborados por </w:t>
      </w:r>
      <w:r w:rsidR="00631AB5">
        <w:rPr>
          <w:rFonts w:ascii="Verdana" w:hAnsi="Verdana"/>
          <w:sz w:val="20"/>
          <w:szCs w:val="20"/>
          <w:lang w:eastAsia="es-CR"/>
        </w:rPr>
        <w:t>Miryam</w:t>
      </w:r>
      <w:r w:rsidR="00631AB5" w:rsidRPr="002964A7">
        <w:rPr>
          <w:rFonts w:ascii="Verdana" w:eastAsia="Calibri" w:hAnsi="Verdana" w:cs="Arial"/>
          <w:sz w:val="20"/>
          <w:szCs w:val="20"/>
        </w:rPr>
        <w:t xml:space="preserve"> </w:t>
      </w:r>
      <w:r w:rsidRPr="002964A7">
        <w:rPr>
          <w:rFonts w:ascii="Verdana" w:eastAsia="Calibri" w:hAnsi="Verdana" w:cs="Arial"/>
          <w:sz w:val="20"/>
          <w:szCs w:val="20"/>
        </w:rPr>
        <w:t xml:space="preserve">Rivera Holguin, Gabriela Citroni, Ronald Gamarra, Alejandro Valencia Villa y Jose Pablo Baraybar. La Corte hace notar que las observaciones relacionadas con todos los peritajes anteriores tienen relación con el peso y alcances probatorios de los mismos, pero no afectan la admisibilidad de la prueba. </w:t>
      </w:r>
    </w:p>
    <w:p w:rsidR="00106A1E" w:rsidRDefault="00106A1E" w:rsidP="00106A1E">
      <w:pPr>
        <w:autoSpaceDE w:val="0"/>
        <w:autoSpaceDN w:val="0"/>
        <w:adjustRightInd w:val="0"/>
        <w:spacing w:after="0" w:line="240" w:lineRule="auto"/>
        <w:jc w:val="both"/>
        <w:rPr>
          <w:rFonts w:ascii="Verdana" w:eastAsia="Calibri" w:hAnsi="Verdana" w:cs="Arial"/>
          <w:sz w:val="20"/>
          <w:szCs w:val="20"/>
        </w:rPr>
      </w:pPr>
    </w:p>
    <w:p w:rsidR="00106A1E" w:rsidRPr="00783C65"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z w:val="20"/>
          <w:szCs w:val="20"/>
        </w:rPr>
      </w:pPr>
      <w:r>
        <w:rPr>
          <w:rFonts w:ascii="Verdana" w:eastAsia="Calibri" w:hAnsi="Verdana" w:cs="Arial"/>
          <w:sz w:val="20"/>
          <w:szCs w:val="20"/>
        </w:rPr>
        <w:t>Por otra parte</w:t>
      </w:r>
      <w:r w:rsidRPr="002964A7">
        <w:rPr>
          <w:rFonts w:ascii="Verdana" w:eastAsia="Calibri" w:hAnsi="Verdana" w:cs="Arial"/>
          <w:sz w:val="20"/>
          <w:szCs w:val="20"/>
        </w:rPr>
        <w:t xml:space="preserve">, en sus alegatos finales escritos, el Estado </w:t>
      </w:r>
      <w:r w:rsidRPr="002964A7">
        <w:rPr>
          <w:rFonts w:ascii="Verdana" w:eastAsia="Calibri" w:hAnsi="Verdana" w:cs="Arial"/>
          <w:sz w:val="20"/>
          <w:szCs w:val="20"/>
          <w:lang w:val="es-ES"/>
        </w:rPr>
        <w:t>argumentó que “tampoco debe ser tomada en cuenta la declaración [</w:t>
      </w:r>
      <w:r w:rsidRPr="002964A7">
        <w:rPr>
          <w:rFonts w:ascii="Verdana" w:eastAsia="Calibri" w:hAnsi="Verdana" w:cs="Arial"/>
          <w:iCs/>
          <w:sz w:val="20"/>
          <w:szCs w:val="20"/>
          <w:lang w:val="es-ES"/>
        </w:rPr>
        <w:t>de la señora</w:t>
      </w:r>
      <w:r w:rsidRPr="002964A7">
        <w:rPr>
          <w:rFonts w:ascii="Verdana" w:eastAsia="Calibri" w:hAnsi="Verdana" w:cs="Arial"/>
          <w:sz w:val="20"/>
          <w:szCs w:val="20"/>
          <w:lang w:val="es-ES"/>
        </w:rPr>
        <w:t xml:space="preserve"> </w:t>
      </w:r>
      <w:r w:rsidRPr="002964A7">
        <w:rPr>
          <w:rFonts w:ascii="Verdana" w:eastAsia="Calibri" w:hAnsi="Verdana" w:cs="Arial"/>
          <w:sz w:val="20"/>
          <w:szCs w:val="20"/>
        </w:rPr>
        <w:t xml:space="preserve">Marcelina Guillen Riveros]”, pues al “no ser incluida” en el Informe de Fondo de la Comisión “no puede ser considerada como presunta víctima”. Además, sostuvo que la “evaluación psicológica” elaborada por </w:t>
      </w:r>
      <w:r w:rsidR="00631AB5">
        <w:rPr>
          <w:rFonts w:ascii="Verdana" w:hAnsi="Verdana"/>
          <w:sz w:val="20"/>
          <w:szCs w:val="20"/>
          <w:lang w:eastAsia="es-CR"/>
        </w:rPr>
        <w:t>Miryam</w:t>
      </w:r>
      <w:r w:rsidR="00631AB5" w:rsidRPr="002964A7">
        <w:rPr>
          <w:rFonts w:ascii="Verdana" w:eastAsia="Calibri" w:hAnsi="Verdana" w:cs="Arial"/>
          <w:sz w:val="20"/>
          <w:szCs w:val="20"/>
        </w:rPr>
        <w:t xml:space="preserve"> </w:t>
      </w:r>
      <w:r w:rsidRPr="002964A7">
        <w:rPr>
          <w:rFonts w:ascii="Verdana" w:eastAsia="Calibri" w:hAnsi="Verdana" w:cs="Arial"/>
          <w:sz w:val="20"/>
          <w:szCs w:val="20"/>
        </w:rPr>
        <w:t xml:space="preserve">Rivera Holguin a dicha persona “no debe ser examinada ni </w:t>
      </w:r>
      <w:r w:rsidRPr="002964A7">
        <w:rPr>
          <w:rFonts w:ascii="Verdana" w:hAnsi="Verdana" w:cs="Arial"/>
          <w:sz w:val="20"/>
          <w:szCs w:val="20"/>
          <w:lang w:eastAsia="es-MX"/>
        </w:rPr>
        <w:t>valorada</w:t>
      </w:r>
      <w:r w:rsidRPr="002964A7">
        <w:rPr>
          <w:rFonts w:ascii="Verdana" w:eastAsia="Calibri" w:hAnsi="Verdana" w:cs="Arial"/>
          <w:sz w:val="20"/>
          <w:szCs w:val="20"/>
        </w:rPr>
        <w:t xml:space="preserve"> por la Corte”, ya que el Estado “ha solicitado que esta persona no sea considerada en calidad de presunta víctima”. La Corte considera que las objeciones presentadas por el Estado respecto a la declaración de la señora Marcelina Guillen Riveros y el objeto del peritaje de la señora </w:t>
      </w:r>
      <w:r w:rsidR="00631AB5">
        <w:rPr>
          <w:rFonts w:ascii="Verdana" w:hAnsi="Verdana"/>
          <w:sz w:val="20"/>
          <w:szCs w:val="20"/>
          <w:lang w:eastAsia="es-CR"/>
        </w:rPr>
        <w:t>Miryam</w:t>
      </w:r>
      <w:r w:rsidR="00631AB5" w:rsidRPr="002964A7">
        <w:rPr>
          <w:rFonts w:ascii="Verdana" w:eastAsia="Calibri" w:hAnsi="Verdana" w:cs="Arial"/>
          <w:sz w:val="20"/>
          <w:szCs w:val="20"/>
        </w:rPr>
        <w:t xml:space="preserve"> </w:t>
      </w:r>
      <w:r w:rsidRPr="002964A7">
        <w:rPr>
          <w:rFonts w:ascii="Verdana" w:eastAsia="Calibri" w:hAnsi="Verdana" w:cs="Arial"/>
          <w:sz w:val="20"/>
          <w:szCs w:val="20"/>
        </w:rPr>
        <w:t xml:space="preserve">Rivera Holguin son extemporáneas, y que dichas declaraciones fueron oportunamente admitidas y sus objetos determinados mediante la Resolución del Presidente de </w:t>
      </w:r>
      <w:r w:rsidRPr="002964A7">
        <w:rPr>
          <w:rFonts w:ascii="Verdana" w:eastAsia="Calibri" w:hAnsi="Verdana" w:cs="Arial"/>
          <w:bCs/>
          <w:sz w:val="20"/>
          <w:szCs w:val="20"/>
          <w:shd w:val="clear" w:color="auto" w:fill="FFFFFF"/>
        </w:rPr>
        <w:t>4 de diciembre de 2014</w:t>
      </w:r>
      <w:r w:rsidRPr="00783C65">
        <w:rPr>
          <w:rFonts w:ascii="Verdana" w:hAnsi="Verdana"/>
          <w:sz w:val="20"/>
        </w:rPr>
        <w:t>.</w:t>
      </w:r>
    </w:p>
    <w:p w:rsidR="00106A1E" w:rsidRPr="002964A7" w:rsidRDefault="00106A1E" w:rsidP="00106A1E">
      <w:pPr>
        <w:autoSpaceDE w:val="0"/>
        <w:autoSpaceDN w:val="0"/>
        <w:adjustRightInd w:val="0"/>
        <w:spacing w:after="0" w:line="240" w:lineRule="auto"/>
        <w:jc w:val="both"/>
        <w:rPr>
          <w:rFonts w:ascii="Verdana" w:eastAsia="Calibri" w:hAnsi="Verdana" w:cs="Arial"/>
          <w:sz w:val="20"/>
          <w:szCs w:val="20"/>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z w:val="20"/>
          <w:szCs w:val="20"/>
        </w:rPr>
      </w:pPr>
      <w:r w:rsidRPr="002964A7">
        <w:rPr>
          <w:rFonts w:ascii="Verdana" w:eastAsia="Calibri" w:hAnsi="Verdana" w:cs="Arial"/>
          <w:sz w:val="20"/>
          <w:szCs w:val="20"/>
        </w:rPr>
        <w:t>La Corte estima pertinente admitir las declaraciones y dictámenes rendidos en audiencia pública y mediante declaraciones ante fedatario público, en cuanto se ajusten al objeto definido por el Presidente en la Resolución que ordenó recibirlos y al objeto del presente caso</w:t>
      </w:r>
      <w:r w:rsidRPr="002964A7">
        <w:rPr>
          <w:rFonts w:ascii="Verdana" w:eastAsia="Calibri" w:hAnsi="Verdana" w:cs="Arial"/>
          <w:sz w:val="20"/>
          <w:szCs w:val="20"/>
          <w:vertAlign w:val="superscript"/>
        </w:rPr>
        <w:footnoteReference w:id="55"/>
      </w:r>
      <w:r w:rsidRPr="002964A7">
        <w:rPr>
          <w:rFonts w:ascii="Verdana" w:eastAsia="Calibri" w:hAnsi="Verdana" w:cs="Arial"/>
          <w:sz w:val="20"/>
          <w:szCs w:val="20"/>
        </w:rPr>
        <w:t xml:space="preserve">. </w:t>
      </w:r>
      <w:r w:rsidRPr="002964A7">
        <w:rPr>
          <w:rFonts w:ascii="Verdana" w:eastAsia="Calibri" w:hAnsi="Verdana" w:cs="Arial"/>
          <w:spacing w:val="-2"/>
          <w:sz w:val="20"/>
          <w:szCs w:val="20"/>
        </w:rPr>
        <w:t xml:space="preserve">Durante la audiencia pública el perito </w:t>
      </w:r>
      <w:r w:rsidRPr="002964A7">
        <w:rPr>
          <w:rFonts w:ascii="Verdana" w:eastAsia="Calibri" w:hAnsi="Verdana" w:cs="Arial"/>
          <w:bCs/>
          <w:iCs/>
          <w:sz w:val="20"/>
          <w:szCs w:val="20"/>
          <w:lang w:val="es-ES"/>
        </w:rPr>
        <w:t>José Pablo Baraybar do Carmo</w:t>
      </w:r>
      <w:r w:rsidRPr="002964A7">
        <w:rPr>
          <w:rFonts w:ascii="Verdana" w:eastAsia="Calibri" w:hAnsi="Verdana" w:cs="Arial"/>
          <w:spacing w:val="-2"/>
          <w:sz w:val="20"/>
          <w:szCs w:val="20"/>
        </w:rPr>
        <w:t xml:space="preserve"> presentó de manera escrita su informe pericial</w:t>
      </w:r>
      <w:r w:rsidRPr="002964A7">
        <w:rPr>
          <w:rFonts w:ascii="Verdana" w:eastAsia="Calibri" w:hAnsi="Verdana" w:cs="Arial"/>
          <w:sz w:val="20"/>
          <w:szCs w:val="20"/>
        </w:rPr>
        <w:t xml:space="preserve">, el cual fue trasladado a las partes a fin de que presentaran las observaciones que estimaran pertinentes en sus alegatos finales escritos. La Corte constata que dicho documento, el cual no fue impugnado, se refiere al objeto oportunamente definido por su Presidente para dicho dictamen pericial y es útil </w:t>
      </w:r>
      <w:r w:rsidRPr="002964A7">
        <w:rPr>
          <w:rFonts w:ascii="Verdana" w:eastAsia="Calibri" w:hAnsi="Verdana" w:cs="Arial"/>
          <w:sz w:val="20"/>
          <w:szCs w:val="20"/>
        </w:rPr>
        <w:lastRenderedPageBreak/>
        <w:t xml:space="preserve">para la valoración de las controversias planteadas en el presente caso, por lo que es admitido con base en el artículo 58 del Reglamento. </w:t>
      </w:r>
    </w:p>
    <w:p w:rsidR="00106A1E" w:rsidRPr="002964A7" w:rsidRDefault="009C4733" w:rsidP="001154F9">
      <w:pPr>
        <w:pStyle w:val="Heading3"/>
      </w:pPr>
      <w:bookmarkStart w:id="124" w:name="_Toc423102528"/>
      <w:bookmarkStart w:id="125" w:name="_Toc433387481"/>
      <w:r>
        <w:t>C</w:t>
      </w:r>
      <w:r w:rsidR="001154F9">
        <w:t xml:space="preserve">. </w:t>
      </w:r>
      <w:r w:rsidR="00106A1E" w:rsidRPr="002964A7">
        <w:t>Valoración de la prueba</w:t>
      </w:r>
      <w:bookmarkEnd w:id="124"/>
      <w:bookmarkEnd w:id="125"/>
    </w:p>
    <w:p w:rsidR="00106A1E" w:rsidRPr="002964A7" w:rsidRDefault="00106A1E" w:rsidP="00106A1E">
      <w:pPr>
        <w:spacing w:after="0" w:line="240" w:lineRule="auto"/>
        <w:contextualSpacing/>
        <w:jc w:val="both"/>
        <w:rPr>
          <w:rFonts w:ascii="Verdana" w:eastAsia="Calibri" w:hAnsi="Verdana" w:cs="Arial"/>
          <w:sz w:val="20"/>
          <w:szCs w:val="20"/>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z w:val="20"/>
          <w:szCs w:val="20"/>
        </w:rPr>
      </w:pPr>
      <w:r w:rsidRPr="002964A7">
        <w:rPr>
          <w:rFonts w:ascii="Verdana" w:eastAsia="Calibri" w:hAnsi="Verdana" w:cs="Arial"/>
          <w:sz w:val="20"/>
          <w:szCs w:val="20"/>
        </w:rPr>
        <w:t xml:space="preserve">Con base en lo establecido en los artículos 46, 47, 48, 50, 51, 57 y 58 del Reglamento, así </w:t>
      </w:r>
      <w:r w:rsidRPr="002964A7">
        <w:rPr>
          <w:rFonts w:ascii="Verdana" w:hAnsi="Verdana"/>
          <w:sz w:val="20"/>
          <w:szCs w:val="20"/>
          <w:lang w:eastAsia="es-CR"/>
        </w:rPr>
        <w:t>como</w:t>
      </w:r>
      <w:r w:rsidRPr="002964A7">
        <w:rPr>
          <w:rFonts w:ascii="Verdana" w:eastAsia="Calibri" w:hAnsi="Verdana" w:cs="Arial"/>
          <w:sz w:val="20"/>
          <w:szCs w:val="20"/>
        </w:rPr>
        <w:t xml:space="preserve"> en su jurisprudencia constante en materia de prueba y su apreciación, la Corte examinará y valorará los elementos probatorios admitidos en el subacápite anterior (</w:t>
      </w:r>
      <w:r w:rsidRPr="002964A7">
        <w:rPr>
          <w:rFonts w:ascii="Verdana" w:eastAsia="Calibri" w:hAnsi="Verdana" w:cs="Arial"/>
          <w:i/>
          <w:sz w:val="20"/>
          <w:szCs w:val="20"/>
        </w:rPr>
        <w:t>supra</w:t>
      </w:r>
      <w:r w:rsidRPr="002964A7">
        <w:rPr>
          <w:rFonts w:ascii="Verdana" w:eastAsia="Calibri" w:hAnsi="Verdana" w:cs="Arial"/>
          <w:sz w:val="20"/>
          <w:szCs w:val="20"/>
        </w:rPr>
        <w:t xml:space="preserve"> párrs. </w:t>
      </w:r>
      <w:r>
        <w:rPr>
          <w:rFonts w:ascii="Verdana" w:eastAsia="Calibri" w:hAnsi="Verdana" w:cs="Arial"/>
          <w:sz w:val="20"/>
          <w:szCs w:val="20"/>
        </w:rPr>
        <w:t>74 a 81</w:t>
      </w:r>
      <w:r w:rsidRPr="002964A7">
        <w:rPr>
          <w:rFonts w:ascii="Verdana" w:eastAsia="Calibri" w:hAnsi="Verdana" w:cs="Arial"/>
          <w:sz w:val="20"/>
          <w:szCs w:val="20"/>
        </w:rPr>
        <w:t>). Para ello se sujeta a los principios de la sana crítica, dentro del marco normativo correspondiente y teniendo en cuenta el conjunto del acervo probatorio y lo alegado en la causa. Asimismo, las declaraciones rendidas por las presuntas víctimas serán valoradas dentro del conjunto de las pruebas del proceso en la medida en que pueden proporcionar mayor información sobre las presuntas violaciones y sus consecuencias</w:t>
      </w:r>
      <w:r w:rsidRPr="002964A7">
        <w:rPr>
          <w:rFonts w:ascii="Verdana" w:hAnsi="Verdana" w:cs="Arial"/>
          <w:spacing w:val="-2"/>
          <w:sz w:val="20"/>
          <w:szCs w:val="20"/>
          <w:vertAlign w:val="superscript"/>
        </w:rPr>
        <w:footnoteReference w:id="56"/>
      </w:r>
      <w:r w:rsidRPr="002964A7">
        <w:rPr>
          <w:rFonts w:ascii="Verdana" w:eastAsia="Calibri" w:hAnsi="Verdana" w:cs="Arial"/>
          <w:sz w:val="20"/>
          <w:szCs w:val="20"/>
        </w:rPr>
        <w:t>.</w:t>
      </w:r>
    </w:p>
    <w:bookmarkEnd w:id="119"/>
    <w:bookmarkEnd w:id="120"/>
    <w:p w:rsidR="00106A1E" w:rsidRPr="002964A7" w:rsidRDefault="00106A1E" w:rsidP="00106A1E">
      <w:pPr>
        <w:pStyle w:val="ListParagraph"/>
        <w:autoSpaceDE w:val="0"/>
        <w:autoSpaceDN w:val="0"/>
        <w:adjustRightInd w:val="0"/>
        <w:spacing w:after="0" w:line="240" w:lineRule="auto"/>
        <w:ind w:left="0"/>
        <w:jc w:val="both"/>
        <w:rPr>
          <w:rFonts w:ascii="Verdana" w:hAnsi="Verdana" w:cs="Arial"/>
          <w:sz w:val="20"/>
          <w:szCs w:val="20"/>
        </w:rPr>
      </w:pPr>
    </w:p>
    <w:p w:rsidR="00106A1E" w:rsidRPr="002964A7" w:rsidRDefault="00106A1E" w:rsidP="001154F9">
      <w:pPr>
        <w:pStyle w:val="Heading1"/>
      </w:pPr>
      <w:bookmarkStart w:id="126" w:name="_Toc421549310"/>
      <w:bookmarkStart w:id="127" w:name="_Toc421864947"/>
      <w:bookmarkStart w:id="128" w:name="_Toc423102529"/>
      <w:bookmarkStart w:id="129" w:name="_Toc433387482"/>
      <w:r w:rsidRPr="002964A7">
        <w:t>VIII</w:t>
      </w:r>
      <w:bookmarkEnd w:id="126"/>
      <w:bookmarkEnd w:id="127"/>
      <w:bookmarkEnd w:id="128"/>
      <w:bookmarkEnd w:id="129"/>
    </w:p>
    <w:p w:rsidR="00106A1E" w:rsidRPr="002964A7" w:rsidRDefault="00106A1E" w:rsidP="001154F9">
      <w:pPr>
        <w:pStyle w:val="Heading1"/>
        <w:rPr>
          <w:rFonts w:eastAsia="Calibri"/>
          <w:spacing w:val="-2"/>
          <w:lang w:val="en-US"/>
        </w:rPr>
      </w:pPr>
      <w:bookmarkStart w:id="130" w:name="_Toc421864948"/>
      <w:bookmarkStart w:id="131" w:name="_Toc423102530"/>
      <w:bookmarkStart w:id="132" w:name="_Toc433387483"/>
      <w:r w:rsidRPr="002964A7">
        <w:rPr>
          <w:rFonts w:eastAsia="Calibri"/>
          <w:spacing w:val="-2"/>
          <w:lang w:val="en-US"/>
        </w:rPr>
        <w:t>HECHOS</w:t>
      </w:r>
      <w:bookmarkEnd w:id="130"/>
      <w:bookmarkEnd w:id="131"/>
      <w:bookmarkEnd w:id="132"/>
    </w:p>
    <w:p w:rsidR="00106A1E" w:rsidRPr="002964A7" w:rsidRDefault="00106A1E" w:rsidP="00106A1E">
      <w:pPr>
        <w:spacing w:after="0" w:line="240" w:lineRule="auto"/>
        <w:jc w:val="both"/>
        <w:rPr>
          <w:rFonts w:ascii="Verdana" w:eastAsia="Calibri" w:hAnsi="Verdana"/>
          <w:b/>
          <w:spacing w:val="-2"/>
          <w:sz w:val="20"/>
          <w:szCs w:val="20"/>
          <w:lang w:val="en-US"/>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672E38">
        <w:rPr>
          <w:rFonts w:ascii="Verdana" w:hAnsi="Verdana" w:cs="Arial"/>
          <w:spacing w:val="-2"/>
          <w:sz w:val="20"/>
          <w:szCs w:val="20"/>
          <w:lang w:val="es-GT"/>
        </w:rPr>
        <w:t xml:space="preserve">En este </w:t>
      </w:r>
      <w:r w:rsidRPr="00672E38">
        <w:rPr>
          <w:rFonts w:ascii="Verdana" w:hAnsi="Verdana" w:cs="Arial"/>
          <w:spacing w:val="-2"/>
          <w:sz w:val="20"/>
          <w:szCs w:val="20"/>
        </w:rPr>
        <w:t>capítulo</w:t>
      </w:r>
      <w:r w:rsidRPr="00672E38">
        <w:rPr>
          <w:rFonts w:ascii="Verdana" w:hAnsi="Verdana" w:cs="Arial"/>
          <w:spacing w:val="-2"/>
          <w:sz w:val="20"/>
          <w:szCs w:val="20"/>
          <w:lang w:val="es-GT"/>
        </w:rPr>
        <w:t xml:space="preserve"> la Corte se referirá a los siguientes hechos </w:t>
      </w:r>
      <w:r w:rsidRPr="00F25D7A">
        <w:rPr>
          <w:rFonts w:ascii="Verdana" w:hAnsi="Verdana" w:cs="Arial"/>
          <w:spacing w:val="-2"/>
          <w:sz w:val="20"/>
          <w:szCs w:val="20"/>
          <w:lang w:val="es-GT"/>
        </w:rPr>
        <w:t>que se encuentran</w:t>
      </w:r>
      <w:r w:rsidRPr="00672E38">
        <w:rPr>
          <w:rFonts w:ascii="Verdana" w:hAnsi="Verdana" w:cs="Arial"/>
          <w:spacing w:val="-2"/>
          <w:sz w:val="20"/>
          <w:szCs w:val="20"/>
          <w:lang w:val="es-GT"/>
        </w:rPr>
        <w:t xml:space="preserve"> probados en el presente caso: a) </w:t>
      </w:r>
      <w:r w:rsidRPr="00672E38">
        <w:rPr>
          <w:rFonts w:ascii="Verdana" w:hAnsi="Verdana" w:cs="Arial"/>
          <w:iCs/>
          <w:spacing w:val="-2"/>
          <w:sz w:val="20"/>
          <w:szCs w:val="20"/>
          <w:lang w:val="es-GT"/>
        </w:rPr>
        <w:t xml:space="preserve">las familias </w:t>
      </w:r>
      <w:r w:rsidRPr="00672E38">
        <w:rPr>
          <w:rFonts w:ascii="Verdana" w:hAnsi="Verdana" w:cs="Arial"/>
          <w:spacing w:val="-2"/>
          <w:sz w:val="20"/>
          <w:szCs w:val="20"/>
          <w:lang w:val="es-GT"/>
        </w:rPr>
        <w:t xml:space="preserve">a las que se refiere el presente caso; b) </w:t>
      </w:r>
      <w:r w:rsidRPr="009B172D">
        <w:rPr>
          <w:rFonts w:ascii="Verdana" w:hAnsi="Verdana" w:cs="Arial"/>
          <w:spacing w:val="-2"/>
          <w:sz w:val="20"/>
          <w:szCs w:val="20"/>
          <w:lang w:val="es-GT"/>
        </w:rPr>
        <w:t>el contexto en el que ocurrieron los hechos</w:t>
      </w:r>
      <w:r w:rsidRPr="00F25D7A">
        <w:rPr>
          <w:rFonts w:ascii="Verdana" w:hAnsi="Verdana" w:cs="Arial"/>
          <w:spacing w:val="-2"/>
          <w:sz w:val="20"/>
          <w:szCs w:val="20"/>
          <w:lang w:val="es-GT"/>
        </w:rPr>
        <w:t>;</w:t>
      </w:r>
      <w:r w:rsidRPr="00672E38">
        <w:rPr>
          <w:rFonts w:ascii="Verdana" w:hAnsi="Verdana" w:cs="Arial"/>
          <w:spacing w:val="-2"/>
          <w:sz w:val="20"/>
          <w:szCs w:val="20"/>
          <w:lang w:val="es-GT"/>
        </w:rPr>
        <w:t xml:space="preserve"> </w:t>
      </w:r>
      <w:r w:rsidRPr="00447299">
        <w:rPr>
          <w:rFonts w:ascii="Verdana" w:hAnsi="Verdana" w:cs="Arial"/>
          <w:spacing w:val="-2"/>
          <w:sz w:val="20"/>
          <w:szCs w:val="20"/>
          <w:lang w:val="es-GT"/>
        </w:rPr>
        <w:t>c) los hechos ocurridos en la comunidad campesina de Santa Bárbara</w:t>
      </w:r>
      <w:r>
        <w:rPr>
          <w:rFonts w:ascii="Verdana" w:hAnsi="Verdana" w:cs="Arial"/>
          <w:spacing w:val="-2"/>
          <w:sz w:val="20"/>
          <w:szCs w:val="20"/>
          <w:lang w:val="es-GT"/>
        </w:rPr>
        <w:t>;</w:t>
      </w:r>
      <w:r w:rsidRPr="00447299">
        <w:rPr>
          <w:rFonts w:ascii="Verdana" w:hAnsi="Verdana" w:cs="Arial"/>
          <w:spacing w:val="-2"/>
          <w:sz w:val="20"/>
          <w:szCs w:val="20"/>
          <w:lang w:val="es-GT"/>
        </w:rPr>
        <w:t xml:space="preserve"> d) las </w:t>
      </w:r>
      <w:r w:rsidRPr="00447299">
        <w:rPr>
          <w:rFonts w:ascii="Verdana" w:hAnsi="Verdana"/>
          <w:iCs/>
          <w:sz w:val="20"/>
          <w:szCs w:val="20"/>
          <w:lang w:val="es-GT"/>
        </w:rPr>
        <w:t>denuncias</w:t>
      </w:r>
      <w:r w:rsidRPr="00447299">
        <w:rPr>
          <w:rFonts w:ascii="Verdana" w:hAnsi="Verdana"/>
          <w:sz w:val="20"/>
          <w:szCs w:val="20"/>
          <w:lang w:val="es-GT"/>
        </w:rPr>
        <w:t xml:space="preserve"> interpuestas, así como</w:t>
      </w:r>
      <w:r>
        <w:rPr>
          <w:rFonts w:ascii="Verdana" w:hAnsi="Verdana"/>
          <w:sz w:val="20"/>
          <w:szCs w:val="20"/>
          <w:lang w:val="es-GT"/>
        </w:rPr>
        <w:t xml:space="preserve"> la</w:t>
      </w:r>
      <w:r w:rsidRPr="00447299">
        <w:rPr>
          <w:rFonts w:ascii="Verdana" w:hAnsi="Verdana"/>
          <w:sz w:val="20"/>
          <w:szCs w:val="20"/>
          <w:lang w:val="es-GT"/>
        </w:rPr>
        <w:t xml:space="preserve"> diligencia de levantamiento de restos humanos y evidencias encontradas; e) </w:t>
      </w:r>
      <w:r w:rsidRPr="00447299">
        <w:rPr>
          <w:rFonts w:ascii="Verdana" w:hAnsi="Verdana" w:cs="Arial"/>
          <w:spacing w:val="-2"/>
          <w:sz w:val="20"/>
          <w:szCs w:val="20"/>
          <w:lang w:val="es-GT"/>
        </w:rPr>
        <w:t>la</w:t>
      </w:r>
      <w:r>
        <w:rPr>
          <w:rFonts w:ascii="Verdana" w:hAnsi="Verdana" w:cs="Arial"/>
          <w:spacing w:val="-2"/>
          <w:sz w:val="20"/>
          <w:szCs w:val="20"/>
          <w:lang w:val="es-GT"/>
        </w:rPr>
        <w:t>s</w:t>
      </w:r>
      <w:r w:rsidRPr="00447299">
        <w:rPr>
          <w:rFonts w:ascii="Verdana" w:hAnsi="Verdana" w:cs="Arial"/>
          <w:spacing w:val="-2"/>
          <w:sz w:val="20"/>
          <w:szCs w:val="20"/>
          <w:lang w:val="es-GT"/>
        </w:rPr>
        <w:t xml:space="preserve"> </w:t>
      </w:r>
      <w:r>
        <w:rPr>
          <w:rFonts w:ascii="Verdana" w:hAnsi="Verdana"/>
          <w:sz w:val="20"/>
          <w:szCs w:val="20"/>
          <w:lang w:val="es-GT"/>
        </w:rPr>
        <w:t>investigacio</w:t>
      </w:r>
      <w:r w:rsidRPr="00447299">
        <w:rPr>
          <w:rFonts w:ascii="Verdana" w:hAnsi="Verdana"/>
          <w:sz w:val="20"/>
          <w:szCs w:val="20"/>
          <w:lang w:val="es-GT"/>
        </w:rPr>
        <w:t>n</w:t>
      </w:r>
      <w:r>
        <w:rPr>
          <w:rFonts w:ascii="Verdana" w:hAnsi="Verdana"/>
          <w:sz w:val="20"/>
          <w:szCs w:val="20"/>
          <w:lang w:val="es-GT"/>
        </w:rPr>
        <w:t>es</w:t>
      </w:r>
      <w:r w:rsidRPr="00447299">
        <w:rPr>
          <w:rFonts w:ascii="Verdana" w:hAnsi="Verdana"/>
          <w:sz w:val="20"/>
          <w:szCs w:val="20"/>
          <w:lang w:val="es-GT"/>
        </w:rPr>
        <w:t xml:space="preserve"> y procesos judiciales abiertos por los hechos del caso, y f) </w:t>
      </w:r>
      <w:r w:rsidRPr="00447299">
        <w:rPr>
          <w:rFonts w:ascii="Verdana" w:hAnsi="Verdana" w:cs="Arial"/>
          <w:spacing w:val="-2"/>
          <w:sz w:val="20"/>
          <w:szCs w:val="20"/>
          <w:lang w:val="es-GT"/>
        </w:rPr>
        <w:t xml:space="preserve">las </w:t>
      </w:r>
      <w:r w:rsidRPr="00447299">
        <w:rPr>
          <w:rFonts w:ascii="Verdana" w:hAnsi="Verdana"/>
          <w:sz w:val="20"/>
          <w:szCs w:val="20"/>
          <w:lang w:val="es-GT"/>
        </w:rPr>
        <w:t xml:space="preserve">diligencias relacionadas con la búsqueda, recuperación e identificación de los restos óseos humanos efectuadas por el Estado. </w:t>
      </w:r>
      <w:r>
        <w:rPr>
          <w:rFonts w:ascii="Verdana" w:eastAsia="Times New Roman" w:hAnsi="Verdana" w:cs="Times New Roman"/>
          <w:bCs/>
          <w:iCs/>
          <w:sz w:val="20"/>
          <w:szCs w:val="20"/>
          <w:lang w:val="es-GT"/>
        </w:rPr>
        <w:t>L</w:t>
      </w:r>
      <w:r w:rsidRPr="00447299">
        <w:rPr>
          <w:rFonts w:ascii="Verdana" w:hAnsi="Verdana" w:cs="Arial"/>
          <w:spacing w:val="-2"/>
          <w:sz w:val="20"/>
          <w:szCs w:val="20"/>
          <w:lang w:val="es-GT"/>
        </w:rPr>
        <w:t xml:space="preserve">a calificación jurídica de los hechos se establecerá en el fondo de </w:t>
      </w:r>
      <w:r>
        <w:rPr>
          <w:rFonts w:ascii="Verdana" w:hAnsi="Verdana" w:cs="Arial"/>
          <w:spacing w:val="-2"/>
          <w:sz w:val="20"/>
          <w:szCs w:val="20"/>
          <w:lang w:val="es-GT"/>
        </w:rPr>
        <w:t xml:space="preserve">la </w:t>
      </w:r>
      <w:r w:rsidRPr="00447299">
        <w:rPr>
          <w:rFonts w:ascii="Verdana" w:hAnsi="Verdana" w:cs="Arial"/>
          <w:spacing w:val="-2"/>
          <w:sz w:val="20"/>
          <w:szCs w:val="20"/>
          <w:lang w:val="es-GT"/>
        </w:rPr>
        <w:t>Sentencia</w:t>
      </w:r>
      <w:r>
        <w:rPr>
          <w:rFonts w:ascii="Verdana" w:hAnsi="Verdana" w:cs="Arial"/>
          <w:sz w:val="20"/>
          <w:szCs w:val="20"/>
          <w:lang w:val="es-GT"/>
        </w:rPr>
        <w:t>.</w:t>
      </w:r>
    </w:p>
    <w:p w:rsidR="00106A1E" w:rsidRPr="002964A7" w:rsidRDefault="00106A1E" w:rsidP="001154F9">
      <w:pPr>
        <w:pStyle w:val="Heading3"/>
        <w:rPr>
          <w:lang w:val="es-GT"/>
        </w:rPr>
      </w:pPr>
      <w:bookmarkStart w:id="133" w:name="_Toc423102531"/>
      <w:bookmarkStart w:id="134" w:name="_Toc433387484"/>
      <w:r>
        <w:rPr>
          <w:lang w:val="es-GT"/>
        </w:rPr>
        <w:t>A</w:t>
      </w:r>
      <w:r w:rsidR="00100E10">
        <w:rPr>
          <w:lang w:val="es-GT"/>
        </w:rPr>
        <w:t>.</w:t>
      </w:r>
      <w:r w:rsidRPr="002964A7">
        <w:rPr>
          <w:lang w:val="es-GT"/>
        </w:rPr>
        <w:t xml:space="preserve"> Las familias a las que se refiere el presente caso</w:t>
      </w:r>
      <w:bookmarkEnd w:id="133"/>
      <w:bookmarkEnd w:id="134"/>
    </w:p>
    <w:p w:rsidR="00106A1E" w:rsidRPr="002964A7" w:rsidRDefault="00106A1E" w:rsidP="00106A1E">
      <w:pPr>
        <w:autoSpaceDE w:val="0"/>
        <w:autoSpaceDN w:val="0"/>
        <w:adjustRightInd w:val="0"/>
        <w:spacing w:after="0" w:line="240" w:lineRule="auto"/>
        <w:ind w:right="15"/>
        <w:jc w:val="both"/>
        <w:rPr>
          <w:rFonts w:ascii="Verdana" w:hAnsi="Verdana" w:cs="Arial"/>
          <w:sz w:val="20"/>
          <w:szCs w:val="20"/>
          <w:lang w:val="es-GT"/>
        </w:rPr>
      </w:pPr>
    </w:p>
    <w:p w:rsidR="00106A1E" w:rsidRPr="00D540FA"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sz w:val="20"/>
          <w:szCs w:val="20"/>
          <w:lang w:val="es-GT"/>
        </w:rPr>
        <w:t xml:space="preserve">Es un </w:t>
      </w:r>
      <w:r w:rsidRPr="002964A7">
        <w:rPr>
          <w:rFonts w:ascii="Verdana" w:hAnsi="Verdana" w:cs="Arial"/>
          <w:sz w:val="20"/>
          <w:szCs w:val="20"/>
          <w:lang w:val="es-GT"/>
        </w:rPr>
        <w:t>hecho</w:t>
      </w:r>
      <w:r w:rsidRPr="002964A7">
        <w:rPr>
          <w:rFonts w:ascii="Verdana" w:hAnsi="Verdana"/>
          <w:sz w:val="20"/>
          <w:szCs w:val="20"/>
          <w:lang w:val="es-GT"/>
        </w:rPr>
        <w:t xml:space="preserve"> no controvertido y consistente con la prueba</w:t>
      </w:r>
      <w:r w:rsidRPr="002964A7">
        <w:rPr>
          <w:rFonts w:ascii="Verdana" w:eastAsia="Times New Roman" w:hAnsi="Verdana" w:cs="Arial"/>
          <w:sz w:val="20"/>
          <w:szCs w:val="20"/>
          <w:vertAlign w:val="superscript"/>
          <w:lang w:val="en-US"/>
        </w:rPr>
        <w:footnoteReference w:id="57"/>
      </w:r>
      <w:r w:rsidRPr="002964A7">
        <w:rPr>
          <w:rFonts w:ascii="Verdana" w:hAnsi="Verdana"/>
          <w:sz w:val="20"/>
          <w:szCs w:val="20"/>
          <w:lang w:val="es-GT"/>
        </w:rPr>
        <w:t xml:space="preserve"> que el presente caso se refiere a </w:t>
      </w:r>
      <w:r w:rsidRPr="00D540FA">
        <w:rPr>
          <w:rFonts w:ascii="Verdana" w:hAnsi="Verdana"/>
          <w:sz w:val="20"/>
          <w:szCs w:val="20"/>
          <w:lang w:val="es-GT"/>
        </w:rPr>
        <w:t xml:space="preserve">lo sucedido a </w:t>
      </w:r>
      <w:r w:rsidRPr="00BE041F">
        <w:rPr>
          <w:rFonts w:ascii="Verdana" w:hAnsi="Verdana"/>
          <w:sz w:val="20"/>
          <w:szCs w:val="20"/>
          <w:lang w:val="es-GT"/>
        </w:rPr>
        <w:t xml:space="preserve">dos grupos familiares, así como al señor </w:t>
      </w:r>
      <w:r w:rsidRPr="00BE041F">
        <w:rPr>
          <w:rFonts w:ascii="Verdana" w:hAnsi="Verdana" w:cs="Arial"/>
          <w:sz w:val="20"/>
          <w:szCs w:val="20"/>
          <w:lang w:val="es-GT"/>
        </w:rPr>
        <w:t>Elihoref Hu</w:t>
      </w:r>
      <w:r w:rsidR="00884B9C">
        <w:rPr>
          <w:rFonts w:ascii="Verdana" w:hAnsi="Verdana" w:cs="Arial"/>
          <w:sz w:val="20"/>
          <w:szCs w:val="20"/>
          <w:lang w:val="es-GT"/>
        </w:rPr>
        <w:t>a</w:t>
      </w:r>
      <w:r w:rsidRPr="00BE041F">
        <w:rPr>
          <w:rFonts w:ascii="Verdana" w:hAnsi="Verdana" w:cs="Arial"/>
          <w:sz w:val="20"/>
          <w:szCs w:val="20"/>
          <w:lang w:val="es-GT"/>
        </w:rPr>
        <w:t xml:space="preserve">maní Vergara (de </w:t>
      </w:r>
      <w:r w:rsidRPr="00BE041F">
        <w:rPr>
          <w:rFonts w:ascii="Verdana" w:hAnsi="Verdana"/>
          <w:sz w:val="20"/>
          <w:szCs w:val="20"/>
          <w:lang w:val="es-GT"/>
        </w:rPr>
        <w:t>22 años de edad)</w:t>
      </w:r>
      <w:r w:rsidRPr="00BE041F">
        <w:rPr>
          <w:rFonts w:ascii="Verdana" w:hAnsi="Verdana" w:cs="Arial"/>
          <w:sz w:val="20"/>
          <w:szCs w:val="20"/>
          <w:vertAlign w:val="superscript"/>
          <w:lang w:val="en-US"/>
        </w:rPr>
        <w:footnoteReference w:id="58"/>
      </w:r>
      <w:r>
        <w:rPr>
          <w:rFonts w:ascii="Verdana" w:hAnsi="Verdana"/>
          <w:sz w:val="20"/>
          <w:szCs w:val="20"/>
          <w:lang w:val="es-GT"/>
        </w:rPr>
        <w:t>:</w:t>
      </w:r>
    </w:p>
    <w:p w:rsidR="00106A1E" w:rsidRPr="002964A7" w:rsidRDefault="00106A1E" w:rsidP="00106A1E">
      <w:pPr>
        <w:autoSpaceDE w:val="0"/>
        <w:autoSpaceDN w:val="0"/>
        <w:adjustRightInd w:val="0"/>
        <w:spacing w:after="0" w:line="240" w:lineRule="auto"/>
        <w:ind w:right="15"/>
        <w:contextualSpacing/>
        <w:jc w:val="both"/>
        <w:rPr>
          <w:rFonts w:ascii="Verdana" w:hAnsi="Verdana" w:cs="Arial"/>
          <w:sz w:val="20"/>
          <w:szCs w:val="20"/>
          <w:lang w:val="es-GT"/>
        </w:rPr>
      </w:pPr>
      <w:r>
        <w:rPr>
          <w:rFonts w:ascii="Verdana" w:hAnsi="Verdana" w:cs="Arial"/>
          <w:noProof/>
          <w:sz w:val="20"/>
          <w:szCs w:val="20"/>
          <w:lang w:val="es-ES" w:eastAsia="es-ES"/>
        </w:rPr>
        <mc:AlternateContent>
          <mc:Choice Requires="wpi">
            <w:drawing>
              <wp:anchor distT="8955" distB="9315" distL="123255" distR="123615" simplePos="0" relativeHeight="251659264" behindDoc="0" locked="0" layoutInCell="1" allowOverlap="1" wp14:anchorId="22F157BF" wp14:editId="1FBFFCA0">
                <wp:simplePos x="0" y="0"/>
                <wp:positionH relativeFrom="column">
                  <wp:posOffset>1717040</wp:posOffset>
                </wp:positionH>
                <wp:positionV relativeFrom="paragraph">
                  <wp:posOffset>37465</wp:posOffset>
                </wp:positionV>
                <wp:extent cx="635" cy="635"/>
                <wp:effectExtent l="19050" t="19050" r="18415" b="18415"/>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34.75pt;margin-top:2.5pt;width:.95pt;height:.95pt;z-index:251659264;visibility:visible;mso-wrap-style:square;mso-width-percent:0;mso-height-percent:0;mso-wrap-distance-left:3.42375mm;mso-wrap-distance-top:.24875mm;mso-wrap-distance-right:3.43375mm;mso-wrap-distance-bottom:.258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">
                <v:imagedata r:id="rId13" o:title=""/>
                <v:path arrowok="t"/>
              </v:shape>
            </w:pict>
          </mc:Fallback>
        </mc:AlternateContent>
      </w:r>
    </w:p>
    <w:p w:rsidR="00106A1E" w:rsidRPr="002964A7" w:rsidRDefault="00106A1E" w:rsidP="001154F9">
      <w:pPr>
        <w:numPr>
          <w:ilvl w:val="0"/>
          <w:numId w:val="8"/>
        </w:numPr>
        <w:autoSpaceDE w:val="0"/>
        <w:autoSpaceDN w:val="0"/>
        <w:adjustRightInd w:val="0"/>
        <w:spacing w:after="0" w:line="240" w:lineRule="auto"/>
        <w:ind w:left="540" w:right="15"/>
        <w:contextualSpacing/>
        <w:jc w:val="both"/>
        <w:rPr>
          <w:rFonts w:ascii="Verdana" w:hAnsi="Verdana" w:cs="Arial"/>
          <w:sz w:val="20"/>
          <w:szCs w:val="20"/>
          <w:lang w:val="es-GT"/>
        </w:rPr>
      </w:pPr>
      <w:r w:rsidRPr="002964A7">
        <w:rPr>
          <w:rFonts w:ascii="Verdana" w:hAnsi="Verdana"/>
          <w:sz w:val="20"/>
          <w:szCs w:val="20"/>
          <w:lang w:val="es-GT"/>
        </w:rPr>
        <w:lastRenderedPageBreak/>
        <w:t>El primer</w:t>
      </w:r>
      <w:r>
        <w:rPr>
          <w:rFonts w:ascii="Verdana" w:hAnsi="Verdana"/>
          <w:sz w:val="20"/>
          <w:szCs w:val="20"/>
          <w:lang w:val="es-GT"/>
        </w:rPr>
        <w:t xml:space="preserve"> grupo familiar</w:t>
      </w:r>
      <w:r w:rsidRPr="002964A7">
        <w:rPr>
          <w:rFonts w:ascii="Verdana" w:hAnsi="Verdana"/>
          <w:sz w:val="20"/>
          <w:szCs w:val="20"/>
          <w:lang w:val="es-GT"/>
        </w:rPr>
        <w:t>, conformado por tres generaciones, el cual al momento de los hechos se encontraba constituido de la siguiente forma: Francisco Hilario Torres</w:t>
      </w:r>
      <w:r w:rsidRPr="002964A7">
        <w:rPr>
          <w:rFonts w:ascii="Verdana" w:hAnsi="Verdana" w:cs="Arial"/>
          <w:sz w:val="20"/>
          <w:szCs w:val="20"/>
          <w:lang w:val="es-GT"/>
        </w:rPr>
        <w:t xml:space="preserve"> y su esposa </w:t>
      </w:r>
      <w:r w:rsidRPr="002964A7">
        <w:rPr>
          <w:rFonts w:ascii="Verdana" w:hAnsi="Verdana"/>
          <w:sz w:val="20"/>
          <w:szCs w:val="20"/>
          <w:lang w:val="es-GT"/>
        </w:rPr>
        <w:t>Dionicia Quispe Ma</w:t>
      </w:r>
      <w:r>
        <w:rPr>
          <w:rFonts w:ascii="Verdana" w:hAnsi="Verdana"/>
          <w:sz w:val="20"/>
          <w:szCs w:val="20"/>
          <w:lang w:val="es-GT"/>
        </w:rPr>
        <w:t>ll</w:t>
      </w:r>
      <w:r w:rsidRPr="002964A7">
        <w:rPr>
          <w:rFonts w:ascii="Verdana" w:hAnsi="Verdana"/>
          <w:sz w:val="20"/>
          <w:szCs w:val="20"/>
          <w:lang w:val="es-GT"/>
        </w:rPr>
        <w:t>qui</w:t>
      </w:r>
      <w:r w:rsidRPr="002964A7">
        <w:rPr>
          <w:rFonts w:ascii="Verdana" w:hAnsi="Verdana" w:cs="Arial"/>
          <w:sz w:val="20"/>
          <w:szCs w:val="20"/>
          <w:lang w:val="es-GT"/>
        </w:rPr>
        <w:t xml:space="preserve"> </w:t>
      </w:r>
      <w:r w:rsidRPr="002964A7">
        <w:rPr>
          <w:rFonts w:ascii="Verdana" w:hAnsi="Verdana"/>
          <w:sz w:val="20"/>
          <w:szCs w:val="20"/>
          <w:lang w:val="es-GT"/>
        </w:rPr>
        <w:t xml:space="preserve">(de 60 años y 57 años de edad, respectivamente), quienes </w:t>
      </w:r>
      <w:r w:rsidRPr="002964A7">
        <w:rPr>
          <w:rFonts w:ascii="Verdana" w:hAnsi="Verdana" w:cs="Arial"/>
          <w:sz w:val="20"/>
          <w:szCs w:val="20"/>
          <w:lang w:val="es-GT"/>
        </w:rPr>
        <w:t xml:space="preserve">residían en una estancia ubicada en </w:t>
      </w:r>
      <w:r w:rsidRPr="002964A7">
        <w:rPr>
          <w:rFonts w:ascii="Verdana" w:hAnsi="Verdana"/>
          <w:sz w:val="20"/>
          <w:szCs w:val="20"/>
          <w:lang w:val="es-GT"/>
        </w:rPr>
        <w:t>el anexo de Rodeopampa del sector Miguel Pata en Santa Bárbara, Departamento de Huancavelica,</w:t>
      </w:r>
      <w:r w:rsidRPr="002964A7">
        <w:rPr>
          <w:rFonts w:ascii="Verdana" w:hAnsi="Verdana" w:cs="Arial"/>
          <w:sz w:val="20"/>
          <w:szCs w:val="20"/>
          <w:lang w:val="es-GT"/>
        </w:rPr>
        <w:t xml:space="preserve"> con sus </w:t>
      </w:r>
      <w:r>
        <w:rPr>
          <w:rFonts w:ascii="Verdana" w:hAnsi="Verdana" w:cs="Arial"/>
          <w:sz w:val="20"/>
          <w:szCs w:val="20"/>
          <w:lang w:val="es-GT"/>
        </w:rPr>
        <w:t xml:space="preserve">dos </w:t>
      </w:r>
      <w:r w:rsidRPr="002964A7">
        <w:rPr>
          <w:rFonts w:ascii="Verdana" w:hAnsi="Verdana" w:cs="Arial"/>
          <w:sz w:val="20"/>
          <w:szCs w:val="20"/>
          <w:lang w:val="es-GT"/>
        </w:rPr>
        <w:t xml:space="preserve">hijas e hijo, Antonia, Magdalena y Marcelo, todos de apellido Hilario Quispe, y con las respectivas familias de </w:t>
      </w:r>
      <w:r>
        <w:rPr>
          <w:rFonts w:ascii="Verdana" w:hAnsi="Verdana" w:cs="Arial"/>
          <w:sz w:val="20"/>
          <w:szCs w:val="20"/>
          <w:lang w:val="es-GT"/>
        </w:rPr>
        <w:t>e</w:t>
      </w:r>
      <w:r w:rsidRPr="002964A7">
        <w:rPr>
          <w:rFonts w:ascii="Verdana" w:hAnsi="Verdana" w:cs="Arial"/>
          <w:sz w:val="20"/>
          <w:szCs w:val="20"/>
          <w:lang w:val="es-GT"/>
        </w:rPr>
        <w:t xml:space="preserve">stos, a saber: </w:t>
      </w:r>
    </w:p>
    <w:p w:rsidR="00106A1E" w:rsidRPr="002964A7" w:rsidRDefault="00106A1E" w:rsidP="00106A1E">
      <w:pPr>
        <w:autoSpaceDE w:val="0"/>
        <w:autoSpaceDN w:val="0"/>
        <w:adjustRightInd w:val="0"/>
        <w:spacing w:after="0" w:line="240" w:lineRule="auto"/>
        <w:ind w:left="540" w:right="15"/>
        <w:contextualSpacing/>
        <w:jc w:val="both"/>
        <w:rPr>
          <w:rFonts w:ascii="Verdana" w:hAnsi="Verdana" w:cs="Arial"/>
          <w:sz w:val="20"/>
          <w:szCs w:val="20"/>
          <w:lang w:val="es-GT"/>
        </w:rPr>
      </w:pPr>
    </w:p>
    <w:p w:rsidR="00106A1E" w:rsidRPr="002964A7" w:rsidRDefault="00106A1E" w:rsidP="001154F9">
      <w:pPr>
        <w:numPr>
          <w:ilvl w:val="0"/>
          <w:numId w:val="9"/>
        </w:numPr>
        <w:autoSpaceDE w:val="0"/>
        <w:autoSpaceDN w:val="0"/>
        <w:adjustRightInd w:val="0"/>
        <w:spacing w:after="0" w:line="240" w:lineRule="auto"/>
        <w:ind w:right="15"/>
        <w:contextualSpacing/>
        <w:jc w:val="both"/>
        <w:rPr>
          <w:rFonts w:ascii="Verdana" w:hAnsi="Verdana" w:cs="Arial"/>
          <w:sz w:val="20"/>
          <w:szCs w:val="20"/>
          <w:lang w:val="es-GT"/>
        </w:rPr>
      </w:pPr>
      <w:r w:rsidRPr="002964A7">
        <w:rPr>
          <w:rFonts w:ascii="Verdana" w:hAnsi="Verdana" w:cs="Arial"/>
          <w:sz w:val="20"/>
          <w:szCs w:val="20"/>
          <w:lang w:val="es-GT"/>
        </w:rPr>
        <w:t xml:space="preserve">Antonia Hilario Quispe </w:t>
      </w:r>
      <w:r w:rsidRPr="002964A7">
        <w:rPr>
          <w:rFonts w:ascii="Verdana" w:hAnsi="Verdana"/>
          <w:sz w:val="20"/>
          <w:szCs w:val="20"/>
          <w:lang w:val="es-GT"/>
        </w:rPr>
        <w:t xml:space="preserve">(de 31 años de edad) </w:t>
      </w:r>
      <w:r w:rsidRPr="002964A7">
        <w:rPr>
          <w:rFonts w:ascii="Verdana" w:hAnsi="Verdana" w:cs="Arial"/>
          <w:sz w:val="20"/>
          <w:szCs w:val="20"/>
          <w:lang w:val="es-GT"/>
        </w:rPr>
        <w:t>y su esposo Zenón Cirilo Osnayo Tunque, quienes</w:t>
      </w:r>
      <w:r w:rsidRPr="002964A7">
        <w:rPr>
          <w:rFonts w:ascii="Verdana" w:hAnsi="Verdana"/>
          <w:sz w:val="20"/>
          <w:szCs w:val="20"/>
          <w:lang w:val="es-GT"/>
        </w:rPr>
        <w:t xml:space="preserve"> </w:t>
      </w:r>
      <w:r w:rsidRPr="002964A7">
        <w:rPr>
          <w:rFonts w:ascii="Verdana" w:hAnsi="Verdana" w:cs="Arial"/>
          <w:sz w:val="20"/>
          <w:szCs w:val="20"/>
          <w:lang w:val="es-GT"/>
        </w:rPr>
        <w:t>tenían tres hijas de nombre Yesenia, Miriam y Edith</w:t>
      </w:r>
      <w:r w:rsidRPr="002964A7">
        <w:rPr>
          <w:rFonts w:ascii="Verdana" w:hAnsi="Verdana"/>
          <w:sz w:val="20"/>
          <w:szCs w:val="20"/>
          <w:vertAlign w:val="superscript"/>
          <w:lang w:val="en-US"/>
        </w:rPr>
        <w:footnoteReference w:id="59"/>
      </w:r>
      <w:r w:rsidRPr="002964A7">
        <w:rPr>
          <w:rFonts w:ascii="Verdana" w:hAnsi="Verdana"/>
          <w:sz w:val="20"/>
          <w:szCs w:val="20"/>
          <w:lang w:val="es-GT"/>
        </w:rPr>
        <w:t xml:space="preserve"> </w:t>
      </w:r>
      <w:r w:rsidRPr="002964A7">
        <w:rPr>
          <w:rFonts w:ascii="Verdana" w:hAnsi="Verdana" w:cs="Arial"/>
          <w:sz w:val="20"/>
          <w:szCs w:val="20"/>
          <w:lang w:val="es-GT"/>
        </w:rPr>
        <w:t>Osnayo Hilario</w:t>
      </w:r>
      <w:r w:rsidRPr="002964A7">
        <w:rPr>
          <w:rFonts w:ascii="Verdana" w:hAnsi="Verdana"/>
          <w:sz w:val="20"/>
          <w:szCs w:val="20"/>
          <w:lang w:val="es-GT"/>
        </w:rPr>
        <w:t xml:space="preserve"> (de 6 años, 3 años y 8 meses de edad, respectivamente)</w:t>
      </w:r>
      <w:r w:rsidRPr="002964A7">
        <w:rPr>
          <w:rFonts w:ascii="Verdana" w:hAnsi="Verdana" w:cs="Arial"/>
          <w:sz w:val="20"/>
          <w:szCs w:val="20"/>
          <w:lang w:val="es-GT"/>
        </w:rPr>
        <w:t>;</w:t>
      </w:r>
    </w:p>
    <w:p w:rsidR="00106A1E" w:rsidRPr="002964A7" w:rsidRDefault="00106A1E" w:rsidP="001154F9">
      <w:pPr>
        <w:numPr>
          <w:ilvl w:val="0"/>
          <w:numId w:val="9"/>
        </w:numPr>
        <w:autoSpaceDE w:val="0"/>
        <w:autoSpaceDN w:val="0"/>
        <w:adjustRightInd w:val="0"/>
        <w:spacing w:after="0" w:line="240" w:lineRule="auto"/>
        <w:ind w:right="15"/>
        <w:contextualSpacing/>
        <w:jc w:val="both"/>
        <w:rPr>
          <w:rFonts w:ascii="Verdana" w:hAnsi="Verdana" w:cs="Arial"/>
          <w:sz w:val="20"/>
          <w:szCs w:val="20"/>
          <w:lang w:val="es-GT"/>
        </w:rPr>
      </w:pPr>
      <w:r w:rsidRPr="002964A7">
        <w:rPr>
          <w:rFonts w:ascii="Verdana" w:hAnsi="Verdana" w:cs="Arial"/>
          <w:sz w:val="20"/>
          <w:szCs w:val="20"/>
          <w:lang w:val="es-GT"/>
        </w:rPr>
        <w:t>Magdalena Hilario Quispe</w:t>
      </w:r>
      <w:r w:rsidRPr="002964A7">
        <w:rPr>
          <w:rFonts w:ascii="Verdana" w:hAnsi="Verdana"/>
          <w:sz w:val="20"/>
          <w:szCs w:val="20"/>
          <w:lang w:val="es-GT"/>
        </w:rPr>
        <w:t xml:space="preserve"> (de 26 años de edad), quien</w:t>
      </w:r>
      <w:r w:rsidRPr="002964A7">
        <w:rPr>
          <w:rFonts w:ascii="Verdana" w:hAnsi="Verdana" w:cs="Arial"/>
          <w:sz w:val="20"/>
          <w:szCs w:val="20"/>
          <w:lang w:val="es-GT"/>
        </w:rPr>
        <w:t xml:space="preserve"> tenía un hijo de nombre Alex Jorge Hilario </w:t>
      </w:r>
      <w:r w:rsidRPr="002964A7">
        <w:rPr>
          <w:rFonts w:ascii="Verdana" w:hAnsi="Verdana"/>
          <w:sz w:val="20"/>
          <w:szCs w:val="20"/>
          <w:lang w:val="es-GT"/>
        </w:rPr>
        <w:t>(de 6 años de edad)</w:t>
      </w:r>
      <w:r w:rsidRPr="002964A7">
        <w:rPr>
          <w:rFonts w:ascii="Verdana" w:hAnsi="Verdana" w:cs="Arial"/>
          <w:sz w:val="20"/>
          <w:szCs w:val="20"/>
          <w:lang w:val="es-GT"/>
        </w:rPr>
        <w:t>, y</w:t>
      </w:r>
    </w:p>
    <w:p w:rsidR="00106A1E" w:rsidRDefault="00106A1E" w:rsidP="001154F9">
      <w:pPr>
        <w:numPr>
          <w:ilvl w:val="0"/>
          <w:numId w:val="9"/>
        </w:numPr>
        <w:autoSpaceDE w:val="0"/>
        <w:autoSpaceDN w:val="0"/>
        <w:adjustRightInd w:val="0"/>
        <w:spacing w:after="0" w:line="240" w:lineRule="auto"/>
        <w:ind w:right="15"/>
        <w:contextualSpacing/>
        <w:jc w:val="both"/>
        <w:rPr>
          <w:rFonts w:ascii="Verdana" w:hAnsi="Verdana" w:cs="Arial"/>
          <w:sz w:val="20"/>
          <w:szCs w:val="20"/>
          <w:lang w:val="es-GT"/>
        </w:rPr>
      </w:pPr>
      <w:r w:rsidRPr="002964A7">
        <w:rPr>
          <w:rFonts w:ascii="Verdana" w:hAnsi="Verdana" w:cs="Arial"/>
          <w:sz w:val="20"/>
          <w:szCs w:val="20"/>
          <w:lang w:val="es-GT"/>
        </w:rPr>
        <w:t>Marcelo Hilario Quispe y su esposa Mercedes Carhuapoma de la Cruz</w:t>
      </w:r>
      <w:r w:rsidRPr="002964A7">
        <w:rPr>
          <w:rFonts w:ascii="Verdana" w:hAnsi="Verdana" w:cs="Arial"/>
          <w:sz w:val="20"/>
          <w:szCs w:val="20"/>
          <w:vertAlign w:val="superscript"/>
          <w:lang w:val="en-US"/>
        </w:rPr>
        <w:footnoteReference w:id="60"/>
      </w:r>
      <w:r w:rsidRPr="002964A7">
        <w:rPr>
          <w:rFonts w:ascii="Verdana" w:hAnsi="Verdana" w:cs="Arial"/>
          <w:sz w:val="20"/>
          <w:szCs w:val="20"/>
          <w:lang w:val="es-GT"/>
        </w:rPr>
        <w:t xml:space="preserve"> </w:t>
      </w:r>
      <w:r w:rsidRPr="002964A7">
        <w:rPr>
          <w:rFonts w:ascii="Verdana" w:hAnsi="Verdana"/>
          <w:sz w:val="20"/>
          <w:szCs w:val="20"/>
          <w:lang w:val="es-GT"/>
        </w:rPr>
        <w:t>(de 21 años y 20 años de edad, respectivamente)</w:t>
      </w:r>
      <w:r w:rsidRPr="002964A7">
        <w:rPr>
          <w:rFonts w:ascii="Verdana" w:hAnsi="Verdana" w:cs="Arial"/>
          <w:sz w:val="20"/>
          <w:szCs w:val="20"/>
          <w:lang w:val="es-GT"/>
        </w:rPr>
        <w:t>, quienes tenían un hijo de nombre Wilmer Hilario Carhuapoma</w:t>
      </w:r>
      <w:r w:rsidRPr="002964A7">
        <w:rPr>
          <w:rFonts w:ascii="Verdana" w:hAnsi="Verdana"/>
          <w:sz w:val="20"/>
          <w:szCs w:val="20"/>
          <w:lang w:val="es-GT"/>
        </w:rPr>
        <w:t xml:space="preserve"> (de 3 años de edad). </w:t>
      </w:r>
      <w:r w:rsidRPr="002964A7">
        <w:rPr>
          <w:rFonts w:ascii="Verdana" w:hAnsi="Verdana" w:cs="Arial"/>
          <w:sz w:val="20"/>
          <w:szCs w:val="20"/>
          <w:lang w:val="es-GT"/>
        </w:rPr>
        <w:t xml:space="preserve">Mercedes Carhuapoma de la Cruz se encontraba </w:t>
      </w:r>
      <w:r w:rsidRPr="002964A7">
        <w:rPr>
          <w:rFonts w:ascii="Verdana" w:eastAsia="Times" w:hAnsi="Verdana"/>
          <w:sz w:val="20"/>
          <w:szCs w:val="20"/>
          <w:lang w:val="es-GT"/>
        </w:rPr>
        <w:t>en el sexto mes de embarazo</w:t>
      </w:r>
      <w:r w:rsidRPr="002964A7">
        <w:rPr>
          <w:rFonts w:ascii="Verdana" w:hAnsi="Verdana" w:cs="Arial"/>
          <w:sz w:val="20"/>
          <w:szCs w:val="20"/>
          <w:lang w:val="es-GT"/>
        </w:rPr>
        <w:t>.</w:t>
      </w:r>
    </w:p>
    <w:p w:rsidR="00106A1E" w:rsidRPr="001154F9" w:rsidRDefault="00106A1E" w:rsidP="001154F9">
      <w:pPr>
        <w:numPr>
          <w:ilvl w:val="0"/>
          <w:numId w:val="9"/>
        </w:numPr>
        <w:autoSpaceDE w:val="0"/>
        <w:autoSpaceDN w:val="0"/>
        <w:adjustRightInd w:val="0"/>
        <w:spacing w:after="0" w:line="240" w:lineRule="auto"/>
        <w:ind w:right="15"/>
        <w:contextualSpacing/>
        <w:jc w:val="both"/>
        <w:rPr>
          <w:rFonts w:ascii="Verdana" w:hAnsi="Verdana" w:cs="Arial"/>
          <w:sz w:val="20"/>
          <w:szCs w:val="20"/>
          <w:lang w:val="es-GT"/>
        </w:rPr>
      </w:pPr>
      <w:r w:rsidRPr="001154F9">
        <w:rPr>
          <w:rFonts w:ascii="Verdana" w:hAnsi="Verdana"/>
          <w:sz w:val="20"/>
          <w:szCs w:val="20"/>
          <w:lang w:val="es-GT"/>
        </w:rPr>
        <w:t>Además, Francisco Hilario Torres</w:t>
      </w:r>
      <w:r w:rsidRPr="001154F9">
        <w:rPr>
          <w:rFonts w:ascii="Verdana" w:hAnsi="Verdana" w:cs="Arial"/>
          <w:sz w:val="20"/>
          <w:szCs w:val="20"/>
          <w:lang w:val="es-GT"/>
        </w:rPr>
        <w:t xml:space="preserve"> y </w:t>
      </w:r>
      <w:r w:rsidRPr="001154F9">
        <w:rPr>
          <w:rFonts w:ascii="Verdana" w:hAnsi="Verdana"/>
          <w:sz w:val="20"/>
          <w:szCs w:val="20"/>
          <w:lang w:val="es-GT"/>
        </w:rPr>
        <w:t>Dionicia Quispe Mallqui</w:t>
      </w:r>
      <w:r w:rsidRPr="001154F9">
        <w:rPr>
          <w:rFonts w:ascii="Verdana" w:hAnsi="Verdana" w:cs="Arial"/>
          <w:sz w:val="20"/>
          <w:szCs w:val="20"/>
          <w:lang w:val="es-GT"/>
        </w:rPr>
        <w:t xml:space="preserve"> tenían otros dos hijos que no vivían en la comunidad de Santa Bárbara, Zósimo Hilario Quispe y Gregorio Hilario Quispe.</w:t>
      </w:r>
    </w:p>
    <w:p w:rsidR="00106A1E" w:rsidRPr="002964A7" w:rsidRDefault="00106A1E" w:rsidP="00106A1E">
      <w:pPr>
        <w:autoSpaceDE w:val="0"/>
        <w:autoSpaceDN w:val="0"/>
        <w:adjustRightInd w:val="0"/>
        <w:spacing w:after="0" w:line="240" w:lineRule="auto"/>
        <w:ind w:left="540" w:right="15"/>
        <w:jc w:val="both"/>
        <w:rPr>
          <w:rFonts w:ascii="Verdana" w:hAnsi="Verdana" w:cs="Arial"/>
          <w:sz w:val="20"/>
          <w:szCs w:val="20"/>
          <w:lang w:val="es-GT"/>
        </w:rPr>
      </w:pPr>
    </w:p>
    <w:p w:rsidR="00106A1E" w:rsidRPr="001154F9" w:rsidRDefault="00106A1E" w:rsidP="001154F9">
      <w:pPr>
        <w:numPr>
          <w:ilvl w:val="0"/>
          <w:numId w:val="8"/>
        </w:numPr>
        <w:autoSpaceDE w:val="0"/>
        <w:autoSpaceDN w:val="0"/>
        <w:adjustRightInd w:val="0"/>
        <w:spacing w:after="0" w:line="240" w:lineRule="auto"/>
        <w:ind w:left="540" w:right="15"/>
        <w:contextualSpacing/>
        <w:jc w:val="both"/>
        <w:rPr>
          <w:rFonts w:ascii="Verdana" w:hAnsi="Verdana" w:cs="Arial"/>
          <w:sz w:val="20"/>
          <w:szCs w:val="20"/>
          <w:lang w:val="es-GT"/>
        </w:rPr>
      </w:pPr>
      <w:r w:rsidRPr="002964A7">
        <w:rPr>
          <w:rFonts w:ascii="Verdana" w:hAnsi="Verdana"/>
          <w:sz w:val="20"/>
          <w:szCs w:val="20"/>
          <w:lang w:val="es-GT"/>
        </w:rPr>
        <w:t>El segundo</w:t>
      </w:r>
      <w:r>
        <w:rPr>
          <w:rFonts w:ascii="Verdana" w:hAnsi="Verdana"/>
          <w:sz w:val="20"/>
          <w:szCs w:val="20"/>
          <w:lang w:val="es-GT"/>
        </w:rPr>
        <w:t xml:space="preserve"> grupo familiar</w:t>
      </w:r>
      <w:r w:rsidRPr="002964A7">
        <w:rPr>
          <w:rFonts w:ascii="Verdana" w:hAnsi="Verdana"/>
          <w:sz w:val="20"/>
          <w:szCs w:val="20"/>
          <w:lang w:val="es-GT"/>
        </w:rPr>
        <w:t>, conformado por Ramón</w:t>
      </w:r>
      <w:r w:rsidRPr="002964A7">
        <w:rPr>
          <w:rFonts w:ascii="Verdana" w:hAnsi="Verdana" w:cs="Arial"/>
          <w:sz w:val="20"/>
          <w:szCs w:val="20"/>
          <w:lang w:val="es-GT"/>
        </w:rPr>
        <w:t xml:space="preserve"> Hilario Morán</w:t>
      </w:r>
      <w:r w:rsidRPr="002964A7">
        <w:rPr>
          <w:rFonts w:ascii="Verdana" w:hAnsi="Verdana" w:cs="Arial"/>
          <w:sz w:val="20"/>
          <w:szCs w:val="20"/>
          <w:vertAlign w:val="superscript"/>
          <w:lang w:val="en-US"/>
        </w:rPr>
        <w:footnoteReference w:id="61"/>
      </w:r>
      <w:r w:rsidRPr="002964A7">
        <w:rPr>
          <w:rFonts w:ascii="Verdana" w:hAnsi="Verdana" w:cs="Arial"/>
          <w:sz w:val="20"/>
          <w:szCs w:val="20"/>
          <w:lang w:val="es-GT"/>
        </w:rPr>
        <w:t xml:space="preserve"> y su esposa Dionicia Guillén Riveros</w:t>
      </w:r>
      <w:r w:rsidRPr="002964A7">
        <w:rPr>
          <w:rFonts w:ascii="Verdana" w:hAnsi="Verdana" w:cs="Arial"/>
          <w:sz w:val="20"/>
          <w:szCs w:val="20"/>
          <w:vertAlign w:val="superscript"/>
          <w:lang w:val="en-US"/>
        </w:rPr>
        <w:footnoteReference w:id="62"/>
      </w:r>
      <w:r w:rsidRPr="002964A7">
        <w:rPr>
          <w:rFonts w:ascii="Verdana" w:hAnsi="Verdana" w:cs="Arial"/>
          <w:sz w:val="20"/>
          <w:szCs w:val="20"/>
          <w:lang w:val="es-GT"/>
        </w:rPr>
        <w:t xml:space="preserve"> </w:t>
      </w:r>
      <w:r w:rsidRPr="002964A7">
        <w:rPr>
          <w:rFonts w:ascii="Verdana" w:hAnsi="Verdana"/>
          <w:sz w:val="20"/>
          <w:szCs w:val="20"/>
          <w:lang w:val="es-GT"/>
        </w:rPr>
        <w:t xml:space="preserve">(de 26 años y 24 años de edad, respectivamente), quienes </w:t>
      </w:r>
      <w:r w:rsidRPr="002964A7">
        <w:rPr>
          <w:rFonts w:ascii="Verdana" w:hAnsi="Verdana" w:cs="Arial"/>
          <w:sz w:val="20"/>
          <w:szCs w:val="20"/>
          <w:lang w:val="es-GT"/>
        </w:rPr>
        <w:t>tenían dos hijos, Raúl y Héctor Hilario Guillén</w:t>
      </w:r>
      <w:r w:rsidRPr="002964A7">
        <w:rPr>
          <w:rFonts w:ascii="Verdana" w:hAnsi="Verdana"/>
          <w:sz w:val="20"/>
          <w:szCs w:val="20"/>
          <w:lang w:val="es-GT"/>
        </w:rPr>
        <w:t xml:space="preserve"> (de </w:t>
      </w:r>
      <w:r>
        <w:rPr>
          <w:rFonts w:ascii="Verdana" w:hAnsi="Verdana"/>
          <w:sz w:val="20"/>
          <w:szCs w:val="20"/>
          <w:lang w:val="es-GT"/>
        </w:rPr>
        <w:t>1 año</w:t>
      </w:r>
      <w:r w:rsidRPr="002964A7">
        <w:rPr>
          <w:rFonts w:ascii="Verdana" w:hAnsi="Verdana"/>
          <w:sz w:val="20"/>
          <w:szCs w:val="20"/>
          <w:lang w:val="es-GT"/>
        </w:rPr>
        <w:t xml:space="preserve"> y 6 años de edad, respectivamente), y quienes residían en una segunda estancia ubicada en el anexo de Rodeopampa</w:t>
      </w:r>
      <w:r w:rsidRPr="002964A7">
        <w:rPr>
          <w:rFonts w:ascii="Verdana" w:hAnsi="Verdana" w:cs="Arial"/>
          <w:sz w:val="20"/>
          <w:szCs w:val="20"/>
          <w:lang w:val="es-GT"/>
        </w:rPr>
        <w:t>.</w:t>
      </w:r>
    </w:p>
    <w:p w:rsidR="00106A1E" w:rsidRPr="00447299" w:rsidRDefault="00106A1E" w:rsidP="005A69BF">
      <w:pPr>
        <w:pStyle w:val="Heading3"/>
        <w:spacing w:line="240" w:lineRule="auto"/>
        <w:jc w:val="both"/>
        <w:rPr>
          <w:spacing w:val="-2"/>
          <w:lang w:val="es-GT"/>
        </w:rPr>
      </w:pPr>
      <w:bookmarkStart w:id="135" w:name="_Toc423102532"/>
      <w:bookmarkStart w:id="136" w:name="_Toc433387485"/>
      <w:r>
        <w:rPr>
          <w:rFonts w:eastAsia="Calibri"/>
          <w:spacing w:val="-2"/>
          <w:lang w:val="es-GT"/>
        </w:rPr>
        <w:t>B</w:t>
      </w:r>
      <w:r w:rsidR="00A312BA">
        <w:rPr>
          <w:rFonts w:eastAsia="Calibri"/>
          <w:spacing w:val="-2"/>
          <w:lang w:val="es-GT"/>
        </w:rPr>
        <w:t>.</w:t>
      </w:r>
      <w:r w:rsidRPr="00447299">
        <w:rPr>
          <w:rFonts w:eastAsia="Calibri"/>
          <w:spacing w:val="-2"/>
          <w:lang w:val="es-GT"/>
        </w:rPr>
        <w:t xml:space="preserve"> </w:t>
      </w:r>
      <w:r w:rsidRPr="009B172D">
        <w:rPr>
          <w:rFonts w:eastAsia="Calibri"/>
          <w:spacing w:val="-2"/>
          <w:lang w:val="es-GT"/>
        </w:rPr>
        <w:t>El contexto:</w:t>
      </w:r>
      <w:r w:rsidRPr="00447299">
        <w:rPr>
          <w:rFonts w:eastAsia="Calibri"/>
          <w:spacing w:val="-2"/>
          <w:lang w:val="es-GT"/>
        </w:rPr>
        <w:t xml:space="preserve"> </w:t>
      </w:r>
      <w:r w:rsidRPr="00447299">
        <w:rPr>
          <w:spacing w:val="-2"/>
          <w:lang w:val="es-GT"/>
        </w:rPr>
        <w:t xml:space="preserve">El conflicto en el Perú y la </w:t>
      </w:r>
      <w:r w:rsidRPr="00447299">
        <w:rPr>
          <w:lang w:val="es-GT"/>
        </w:rPr>
        <w:t>situación en el Departamento de Huancavelica y en la zona de Santa Bárbara</w:t>
      </w:r>
      <w:bookmarkEnd w:id="135"/>
      <w:bookmarkEnd w:id="136"/>
    </w:p>
    <w:p w:rsidR="00106A1E" w:rsidRPr="003255F6" w:rsidRDefault="00106A1E" w:rsidP="00106A1E">
      <w:pPr>
        <w:spacing w:after="0" w:line="240" w:lineRule="auto"/>
        <w:jc w:val="both"/>
        <w:rPr>
          <w:rFonts w:ascii="Verdana" w:hAnsi="Verdana" w:cs="Arial"/>
          <w:spacing w:val="-2"/>
          <w:sz w:val="16"/>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447299">
        <w:rPr>
          <w:rFonts w:ascii="Verdana" w:hAnsi="Verdana" w:cs="Arial"/>
          <w:spacing w:val="-2"/>
          <w:sz w:val="20"/>
          <w:szCs w:val="20"/>
          <w:lang w:val="es-GT"/>
        </w:rPr>
        <w:t>En casos anteriores la</w:t>
      </w:r>
      <w:r w:rsidRPr="002964A7">
        <w:rPr>
          <w:rFonts w:ascii="Verdana" w:hAnsi="Verdana" w:cs="Arial"/>
          <w:spacing w:val="-2"/>
          <w:sz w:val="20"/>
          <w:szCs w:val="20"/>
          <w:lang w:val="es-GT"/>
        </w:rPr>
        <w:t xml:space="preserve"> Corte ha reconocido que, desde comienzos de la década de los ochenta hasta </w:t>
      </w:r>
      <w:r w:rsidRPr="002964A7">
        <w:rPr>
          <w:rFonts w:ascii="Verdana" w:hAnsi="Verdana" w:cs="Arial"/>
          <w:sz w:val="20"/>
          <w:szCs w:val="20"/>
          <w:lang w:eastAsia="es-CR"/>
        </w:rPr>
        <w:t>finales</w:t>
      </w:r>
      <w:r w:rsidRPr="002964A7">
        <w:rPr>
          <w:rFonts w:ascii="Verdana" w:hAnsi="Verdana" w:cs="Arial"/>
          <w:spacing w:val="-2"/>
          <w:sz w:val="20"/>
          <w:szCs w:val="20"/>
          <w:lang w:val="es-GT"/>
        </w:rPr>
        <w:t xml:space="preserve"> del año 2000, se vivió en el Perú un conflicto entre grupos armados y </w:t>
      </w:r>
      <w:r w:rsidRPr="002964A7">
        <w:rPr>
          <w:rFonts w:ascii="Verdana" w:eastAsia="Calibri" w:hAnsi="Verdana" w:cs="Arial"/>
          <w:sz w:val="20"/>
          <w:szCs w:val="20"/>
        </w:rPr>
        <w:t>agentes</w:t>
      </w:r>
      <w:r w:rsidRPr="002964A7">
        <w:rPr>
          <w:rFonts w:ascii="Verdana" w:hAnsi="Verdana" w:cs="Arial"/>
          <w:spacing w:val="-2"/>
          <w:sz w:val="20"/>
          <w:szCs w:val="20"/>
          <w:lang w:val="es-GT"/>
        </w:rPr>
        <w:t xml:space="preserve"> de las fuerzas policiales y militares</w:t>
      </w:r>
      <w:r w:rsidRPr="002964A7">
        <w:rPr>
          <w:rFonts w:ascii="Verdana" w:hAnsi="Verdana" w:cs="Arial"/>
          <w:sz w:val="20"/>
          <w:szCs w:val="20"/>
          <w:vertAlign w:val="superscript"/>
          <w:lang w:val="en-US"/>
        </w:rPr>
        <w:footnoteReference w:id="63"/>
      </w:r>
      <w:r w:rsidRPr="002964A7">
        <w:rPr>
          <w:rFonts w:ascii="Verdana" w:hAnsi="Verdana" w:cs="Arial"/>
          <w:spacing w:val="-2"/>
          <w:sz w:val="20"/>
          <w:szCs w:val="20"/>
          <w:lang w:val="es-GT"/>
        </w:rPr>
        <w:t>. El referido conflicto se agudizó en medio de una práctica sistemática de violaciones de los derechos humanos, entre ellas</w:t>
      </w:r>
      <w:r>
        <w:rPr>
          <w:rFonts w:ascii="Verdana" w:hAnsi="Verdana" w:cs="Arial"/>
          <w:spacing w:val="-2"/>
          <w:sz w:val="20"/>
          <w:szCs w:val="20"/>
          <w:lang w:val="es-GT"/>
        </w:rPr>
        <w:t>,</w:t>
      </w:r>
      <w:r w:rsidRPr="002964A7">
        <w:rPr>
          <w:rFonts w:ascii="Verdana" w:hAnsi="Verdana" w:cs="Arial"/>
          <w:spacing w:val="-2"/>
          <w:sz w:val="20"/>
          <w:szCs w:val="20"/>
          <w:lang w:val="es-GT"/>
        </w:rPr>
        <w:t xml:space="preserve"> ejecuciones extrajudiciales y desapariciones forzadas de personas sospechosas de pertenecer a grupos armados al margen de la ley. Estas prácticas </w:t>
      </w:r>
      <w:r>
        <w:rPr>
          <w:rFonts w:ascii="Verdana" w:hAnsi="Verdana" w:cs="Arial"/>
          <w:spacing w:val="-2"/>
          <w:sz w:val="20"/>
          <w:szCs w:val="20"/>
          <w:lang w:val="es-GT"/>
        </w:rPr>
        <w:t xml:space="preserve">también fueron </w:t>
      </w:r>
      <w:r w:rsidRPr="002964A7">
        <w:rPr>
          <w:rFonts w:ascii="Verdana" w:hAnsi="Verdana" w:cs="Arial"/>
          <w:spacing w:val="-2"/>
          <w:sz w:val="20"/>
          <w:szCs w:val="20"/>
          <w:lang w:val="es-GT"/>
        </w:rPr>
        <w:t>realizadas por agentes estatales siguiendo órdenes de jefes militares y policiales</w:t>
      </w:r>
      <w:r w:rsidRPr="002964A7">
        <w:rPr>
          <w:rFonts w:ascii="Verdana" w:hAnsi="Verdana" w:cs="Arial"/>
          <w:sz w:val="20"/>
          <w:szCs w:val="20"/>
          <w:vertAlign w:val="superscript"/>
          <w:lang w:val="en-US"/>
        </w:rPr>
        <w:footnoteReference w:id="64"/>
      </w:r>
      <w:r w:rsidRPr="002964A7">
        <w:rPr>
          <w:rFonts w:ascii="Verdana" w:hAnsi="Verdana" w:cs="Arial"/>
          <w:spacing w:val="-2"/>
          <w:sz w:val="20"/>
          <w:szCs w:val="20"/>
          <w:lang w:val="es-GT"/>
        </w:rPr>
        <w:t xml:space="preserve">. La Corte además ha señalado que resulta amplia y públicamente conocido el sufrimiento causado a la sociedad peruana </w:t>
      </w:r>
      <w:r w:rsidRPr="002964A7">
        <w:rPr>
          <w:rFonts w:ascii="Verdana" w:hAnsi="Verdana" w:cs="Arial"/>
          <w:spacing w:val="-2"/>
          <w:sz w:val="20"/>
          <w:szCs w:val="20"/>
          <w:lang w:val="es-GT"/>
        </w:rPr>
        <w:lastRenderedPageBreak/>
        <w:t>por Sendero Luminoso</w:t>
      </w:r>
      <w:r w:rsidRPr="002964A7">
        <w:rPr>
          <w:rFonts w:ascii="Verdana" w:hAnsi="Verdana" w:cs="Arial"/>
          <w:sz w:val="20"/>
          <w:szCs w:val="20"/>
          <w:vertAlign w:val="superscript"/>
          <w:lang w:val="en-US"/>
        </w:rPr>
        <w:footnoteReference w:id="65"/>
      </w:r>
      <w:r w:rsidRPr="002964A7">
        <w:rPr>
          <w:rFonts w:ascii="Verdana" w:hAnsi="Verdana" w:cs="Arial"/>
          <w:spacing w:val="-2"/>
          <w:sz w:val="20"/>
          <w:szCs w:val="20"/>
          <w:lang w:val="es-GT"/>
        </w:rPr>
        <w:t xml:space="preserve"> y el Movimiento Revolucionario Túpac Amaru (en adelante “MRTA”)</w:t>
      </w:r>
      <w:r w:rsidRPr="002964A7">
        <w:rPr>
          <w:rFonts w:ascii="Verdana" w:eastAsia="Times New Roman" w:hAnsi="Verdana" w:cs="Arial"/>
          <w:spacing w:val="-2"/>
          <w:sz w:val="20"/>
          <w:szCs w:val="20"/>
          <w:vertAlign w:val="superscript"/>
          <w:lang w:val="en-US"/>
        </w:rPr>
        <w:footnoteReference w:id="66"/>
      </w:r>
      <w:r w:rsidRPr="002964A7">
        <w:rPr>
          <w:rFonts w:ascii="Verdana" w:hAnsi="Verdana" w:cs="Arial"/>
          <w:spacing w:val="-2"/>
          <w:sz w:val="20"/>
          <w:szCs w:val="20"/>
          <w:lang w:val="es-GT"/>
        </w:rPr>
        <w:t>.</w:t>
      </w:r>
    </w:p>
    <w:p w:rsidR="00106A1E" w:rsidRPr="00DE57D1" w:rsidRDefault="00106A1E" w:rsidP="00106A1E">
      <w:pPr>
        <w:spacing w:after="0" w:line="240" w:lineRule="auto"/>
        <w:jc w:val="both"/>
        <w:rPr>
          <w:rFonts w:ascii="Verdana" w:hAnsi="Verdana" w:cs="Arial"/>
          <w:sz w:val="20"/>
          <w:szCs w:val="20"/>
          <w:u w:val="single"/>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pacing w:val="-2"/>
          <w:sz w:val="20"/>
          <w:szCs w:val="20"/>
          <w:lang w:val="es-GT"/>
        </w:rPr>
        <w:t xml:space="preserve">De acuerdo con la </w:t>
      </w:r>
      <w:r>
        <w:rPr>
          <w:rFonts w:ascii="Verdana" w:hAnsi="Verdana" w:cs="Arial"/>
          <w:spacing w:val="-2"/>
          <w:sz w:val="20"/>
          <w:szCs w:val="20"/>
          <w:lang w:val="es-GT"/>
        </w:rPr>
        <w:t xml:space="preserve">Comisión </w:t>
      </w:r>
      <w:r w:rsidRPr="00C94FC4">
        <w:rPr>
          <w:rFonts w:ascii="Verdana" w:hAnsi="Verdana" w:cs="Arial"/>
          <w:spacing w:val="-2"/>
          <w:sz w:val="20"/>
          <w:szCs w:val="20"/>
          <w:lang w:val="es-GT"/>
        </w:rPr>
        <w:t>de la Verdad y Reconciliación (en adelante “CVR”)</w:t>
      </w:r>
      <w:r w:rsidRPr="002964A7">
        <w:rPr>
          <w:rFonts w:ascii="Verdana" w:hAnsi="Verdana" w:cs="Arial"/>
          <w:spacing w:val="-2"/>
          <w:sz w:val="20"/>
          <w:szCs w:val="20"/>
          <w:lang w:val="es-GT"/>
        </w:rPr>
        <w:t>, desde octubre de 1981 “el recurso a los estados de emergencia se generalizó, suspendiendo por períodos renovables de tiempo las garantías constitucionales relativas a la libertad y seguridad individual, la inviolabilidad de domicilio, la libertad de reunión y de tránsito en el territorio”</w:t>
      </w:r>
      <w:r w:rsidRPr="002964A7">
        <w:rPr>
          <w:rFonts w:ascii="Verdana" w:hAnsi="Verdana" w:cs="Arial"/>
          <w:spacing w:val="-2"/>
          <w:sz w:val="20"/>
          <w:szCs w:val="20"/>
          <w:vertAlign w:val="superscript"/>
          <w:lang w:val="en-US"/>
        </w:rPr>
        <w:footnoteReference w:id="67"/>
      </w:r>
      <w:r w:rsidRPr="002964A7">
        <w:rPr>
          <w:rFonts w:ascii="Verdana" w:hAnsi="Verdana" w:cs="Arial"/>
          <w:spacing w:val="-2"/>
          <w:sz w:val="20"/>
          <w:szCs w:val="20"/>
          <w:lang w:val="es-GT"/>
        </w:rPr>
        <w:t xml:space="preserve">. En este sentido, el 14 de </w:t>
      </w:r>
      <w:r w:rsidRPr="002964A7">
        <w:rPr>
          <w:rFonts w:ascii="Verdana" w:hAnsi="Verdana" w:cs="Arial"/>
          <w:sz w:val="20"/>
          <w:szCs w:val="20"/>
          <w:lang w:val="es-GT"/>
        </w:rPr>
        <w:t>junio de 1991 se decretó la prórroga del Estado de Emergencia en el Departamento de Huancavelica, “quedando suspendido el ejercicio de los derechos de inviolabilidad del domicilio, libre tránsito, reunión, y de no ser detenido salvo por mandato judicial o flagrante delito”. De igual modo, las Fuerzas Armadas asumieron el control del orden interno en dicho Departamento</w:t>
      </w:r>
      <w:r w:rsidRPr="002964A7">
        <w:rPr>
          <w:rFonts w:ascii="Verdana" w:eastAsia="Times New Roman" w:hAnsi="Verdana" w:cs="Arial"/>
          <w:sz w:val="20"/>
          <w:szCs w:val="20"/>
          <w:vertAlign w:val="superscript"/>
          <w:lang w:val="en-US"/>
        </w:rPr>
        <w:footnoteReference w:id="68"/>
      </w:r>
      <w:r w:rsidRPr="002964A7">
        <w:rPr>
          <w:rFonts w:ascii="Verdana" w:hAnsi="Verdana" w:cs="Arial"/>
          <w:sz w:val="20"/>
          <w:szCs w:val="20"/>
          <w:lang w:val="es-GT"/>
        </w:rPr>
        <w:t>, aplicándoseles el marco legal que estableció la Ley No. 24.150 de 5 de junio de 1985</w:t>
      </w:r>
      <w:r w:rsidRPr="002964A7">
        <w:rPr>
          <w:rFonts w:ascii="Verdana" w:hAnsi="Verdana" w:cs="Arial"/>
          <w:sz w:val="20"/>
          <w:szCs w:val="20"/>
          <w:vertAlign w:val="superscript"/>
          <w:lang w:val="en-US"/>
        </w:rPr>
        <w:footnoteReference w:id="69"/>
      </w:r>
      <w:r w:rsidRPr="002964A7">
        <w:rPr>
          <w:rFonts w:ascii="Verdana" w:hAnsi="Verdana" w:cs="Arial"/>
          <w:sz w:val="20"/>
          <w:szCs w:val="20"/>
          <w:lang w:val="es-GT"/>
        </w:rPr>
        <w:t>, la cual en sus artículos 4 y 10 dispuso:</w:t>
      </w:r>
    </w:p>
    <w:p w:rsidR="00106A1E" w:rsidRPr="000946B1" w:rsidRDefault="00106A1E" w:rsidP="00106A1E">
      <w:pPr>
        <w:spacing w:after="0" w:line="240" w:lineRule="auto"/>
        <w:ind w:left="446" w:right="360"/>
        <w:contextualSpacing/>
        <w:jc w:val="both"/>
        <w:rPr>
          <w:rFonts w:ascii="Verdana" w:eastAsia="Calibri" w:hAnsi="Verdana" w:cs="Arial"/>
          <w:sz w:val="16"/>
          <w:szCs w:val="16"/>
          <w:lang w:val="es-GT"/>
        </w:rPr>
      </w:pPr>
    </w:p>
    <w:p w:rsidR="00106A1E" w:rsidRPr="000946B1" w:rsidRDefault="00106A1E" w:rsidP="00106A1E">
      <w:pPr>
        <w:spacing w:after="0" w:line="240" w:lineRule="auto"/>
        <w:ind w:left="446" w:right="360"/>
        <w:contextualSpacing/>
        <w:jc w:val="both"/>
        <w:rPr>
          <w:rFonts w:ascii="Verdana" w:eastAsia="Calibri" w:hAnsi="Verdana"/>
          <w:sz w:val="16"/>
          <w:szCs w:val="16"/>
          <w:lang w:val="es-GT"/>
        </w:rPr>
      </w:pPr>
      <w:r w:rsidRPr="000946B1">
        <w:rPr>
          <w:rFonts w:ascii="Verdana" w:hAnsi="Verdana" w:cs="Arial"/>
          <w:sz w:val="16"/>
          <w:szCs w:val="16"/>
          <w:lang w:val="es-GT"/>
        </w:rPr>
        <w:t>Artículo 4.- El control del orden interno en las zonas de emergencia es asumido por un Comando Político Militar que está a cargo de un Oficial del Alto Rango designado por el Presidente de la República, a propuesta del Comando Conjunto de las Fuerzas Armadas, quien desempeña las funciones inherentes al cargo que establece la presente ley en el ámbito de su jurisdicción, de acuerdo con las directivas y planes de emergencia aprobados por el Presidente de la República</w:t>
      </w:r>
      <w:r w:rsidRPr="000946B1">
        <w:rPr>
          <w:rFonts w:ascii="Verdana" w:eastAsia="Calibri" w:hAnsi="Verdana"/>
          <w:sz w:val="16"/>
          <w:szCs w:val="16"/>
          <w:lang w:val="es-GT"/>
        </w:rPr>
        <w:t>.</w:t>
      </w:r>
    </w:p>
    <w:p w:rsidR="00106A1E" w:rsidRPr="000946B1" w:rsidRDefault="00106A1E" w:rsidP="00106A1E">
      <w:pPr>
        <w:spacing w:after="0" w:line="240" w:lineRule="auto"/>
        <w:ind w:left="446" w:right="360"/>
        <w:jc w:val="both"/>
        <w:rPr>
          <w:rFonts w:ascii="Verdana" w:hAnsi="Verdana" w:cs="Arial"/>
          <w:spacing w:val="-2"/>
          <w:sz w:val="16"/>
          <w:szCs w:val="16"/>
          <w:lang w:val="es-GT"/>
        </w:rPr>
      </w:pPr>
    </w:p>
    <w:p w:rsidR="00106A1E" w:rsidRPr="000946B1" w:rsidRDefault="00001754" w:rsidP="00106A1E">
      <w:pPr>
        <w:autoSpaceDE w:val="0"/>
        <w:autoSpaceDN w:val="0"/>
        <w:adjustRightInd w:val="0"/>
        <w:spacing w:after="0" w:line="240" w:lineRule="auto"/>
        <w:ind w:left="446" w:right="360"/>
        <w:jc w:val="both"/>
        <w:rPr>
          <w:rFonts w:ascii="Verdana" w:hAnsi="Verdana" w:cs="Arial"/>
          <w:sz w:val="16"/>
          <w:szCs w:val="16"/>
          <w:lang w:val="es-GT"/>
        </w:rPr>
      </w:pPr>
      <w:r>
        <w:rPr>
          <w:rFonts w:ascii="Verdana" w:hAnsi="Verdana" w:cs="Arial"/>
          <w:sz w:val="16"/>
          <w:szCs w:val="16"/>
          <w:lang w:val="es-GT"/>
        </w:rPr>
        <w:t>Artí</w:t>
      </w:r>
      <w:r w:rsidR="00106A1E" w:rsidRPr="000946B1">
        <w:rPr>
          <w:rFonts w:ascii="Verdana" w:hAnsi="Verdana" w:cs="Arial"/>
          <w:sz w:val="16"/>
          <w:szCs w:val="16"/>
          <w:lang w:val="es-GT"/>
        </w:rPr>
        <w:t xml:space="preserve">culo 10.- Los miembros de las Fuerzas Armadas o Fuerzas Policiales, así como todos aquellos que estén sujetos al Código de Justicia Militar que se encuentren prestando servicios en las zonas declaradas en estado de excepción, quedan sujetos </w:t>
      </w:r>
      <w:r w:rsidR="00106A1E" w:rsidRPr="000946B1">
        <w:rPr>
          <w:rFonts w:ascii="Verdana" w:hAnsi="Verdana"/>
          <w:sz w:val="16"/>
          <w:szCs w:val="16"/>
          <w:lang w:val="es-GT"/>
        </w:rPr>
        <w:t xml:space="preserve">a </w:t>
      </w:r>
      <w:r w:rsidR="00106A1E" w:rsidRPr="000946B1">
        <w:rPr>
          <w:rFonts w:ascii="Verdana" w:hAnsi="Verdana" w:cs="Arial"/>
          <w:sz w:val="16"/>
          <w:szCs w:val="16"/>
          <w:lang w:val="es-GT"/>
        </w:rPr>
        <w:t xml:space="preserve">la aplicación del mencionado código. Las </w:t>
      </w:r>
      <w:r w:rsidR="00106A1E" w:rsidRPr="000946B1">
        <w:rPr>
          <w:rFonts w:ascii="Verdana" w:eastAsia="HiddenHorzOCR" w:hAnsi="Verdana" w:cs="HiddenHorzOCR"/>
          <w:sz w:val="16"/>
          <w:szCs w:val="16"/>
          <w:lang w:val="es-GT"/>
        </w:rPr>
        <w:t xml:space="preserve">infracciones </w:t>
      </w:r>
      <w:r w:rsidR="00106A1E" w:rsidRPr="000946B1">
        <w:rPr>
          <w:rFonts w:ascii="Verdana" w:hAnsi="Verdana" w:cs="Arial"/>
          <w:sz w:val="16"/>
          <w:szCs w:val="16"/>
          <w:lang w:val="es-GT"/>
        </w:rPr>
        <w:t xml:space="preserve">tipificadas en el </w:t>
      </w:r>
      <w:r w:rsidR="00106A1E" w:rsidRPr="000946B1">
        <w:rPr>
          <w:rFonts w:ascii="Verdana" w:eastAsia="HiddenHorzOCR" w:hAnsi="Verdana" w:cs="HiddenHorzOCR"/>
          <w:sz w:val="16"/>
          <w:szCs w:val="16"/>
          <w:lang w:val="es-GT"/>
        </w:rPr>
        <w:t>Código de</w:t>
      </w:r>
      <w:r w:rsidR="00106A1E" w:rsidRPr="000946B1">
        <w:rPr>
          <w:rFonts w:ascii="Verdana" w:hAnsi="Verdana" w:cs="Arial"/>
          <w:sz w:val="16"/>
          <w:szCs w:val="16"/>
          <w:lang w:val="es-GT"/>
        </w:rPr>
        <w:t xml:space="preserve"> Justicia Militar que cometan en el ejercicio de sus funciones son de competencia del fuero privativo militar, salvo aquellas que no tengan vinculación con el servicio.</w:t>
      </w:r>
    </w:p>
    <w:p w:rsidR="00106A1E" w:rsidRPr="000946B1" w:rsidRDefault="00106A1E" w:rsidP="00106A1E">
      <w:pPr>
        <w:autoSpaceDE w:val="0"/>
        <w:autoSpaceDN w:val="0"/>
        <w:adjustRightInd w:val="0"/>
        <w:spacing w:after="0" w:line="240" w:lineRule="auto"/>
        <w:ind w:left="446" w:right="360"/>
        <w:jc w:val="both"/>
        <w:rPr>
          <w:rFonts w:ascii="Verdana" w:hAnsi="Verdana" w:cs="Arial"/>
          <w:sz w:val="16"/>
          <w:szCs w:val="16"/>
          <w:lang w:val="es-GT"/>
        </w:rPr>
      </w:pPr>
    </w:p>
    <w:p w:rsidR="00106A1E" w:rsidRPr="000946B1" w:rsidRDefault="00106A1E" w:rsidP="00106A1E">
      <w:pPr>
        <w:autoSpaceDE w:val="0"/>
        <w:autoSpaceDN w:val="0"/>
        <w:adjustRightInd w:val="0"/>
        <w:spacing w:after="0" w:line="240" w:lineRule="auto"/>
        <w:ind w:left="446" w:right="360"/>
        <w:jc w:val="both"/>
        <w:rPr>
          <w:rFonts w:ascii="Verdana" w:hAnsi="Verdana" w:cs="Arial"/>
          <w:sz w:val="16"/>
          <w:szCs w:val="16"/>
          <w:lang w:val="es-GT"/>
        </w:rPr>
      </w:pPr>
      <w:r w:rsidRPr="000946B1">
        <w:rPr>
          <w:rFonts w:ascii="Verdana" w:hAnsi="Verdana" w:cs="Arial"/>
          <w:sz w:val="16"/>
          <w:szCs w:val="16"/>
          <w:lang w:val="es-GT"/>
        </w:rPr>
        <w:t>Las contiendas de competencia serán resueltas en un plazo máximo de treinta días.</w:t>
      </w:r>
    </w:p>
    <w:p w:rsidR="00106A1E" w:rsidRPr="000946B1" w:rsidRDefault="00106A1E" w:rsidP="00106A1E">
      <w:pPr>
        <w:spacing w:after="0" w:line="240" w:lineRule="auto"/>
        <w:contextualSpacing/>
        <w:jc w:val="both"/>
        <w:rPr>
          <w:rFonts w:ascii="Verdana" w:hAnsi="Verdana"/>
          <w:sz w:val="16"/>
          <w:szCs w:val="16"/>
          <w:lang w:val="es-GT"/>
        </w:rPr>
      </w:pPr>
    </w:p>
    <w:p w:rsidR="00106A1E" w:rsidRPr="001154F9" w:rsidRDefault="00106A1E" w:rsidP="00A312BA">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GT"/>
        </w:rPr>
      </w:pPr>
      <w:r>
        <w:rPr>
          <w:rFonts w:ascii="Verdana" w:hAnsi="Verdana"/>
          <w:sz w:val="20"/>
          <w:szCs w:val="20"/>
          <w:lang w:val="es-GT"/>
        </w:rPr>
        <w:t>En su Informe Final, la CVR explicó que</w:t>
      </w:r>
      <w:r w:rsidRPr="002964A7">
        <w:rPr>
          <w:rFonts w:ascii="Verdana" w:hAnsi="Verdana"/>
          <w:sz w:val="20"/>
          <w:szCs w:val="20"/>
          <w:lang w:val="es-GT"/>
        </w:rPr>
        <w:t xml:space="preserve"> en la ciudad de Huancavelica se estableció el toque de queda desde las 7 de la noche hasta las 6 de la mañana. Sin embargo, con el pretexto de mantener el orden en las noches, miembros del Ejército o patrullas militares ingresaban a las casas de los </w:t>
      </w:r>
      <w:r w:rsidRPr="002964A7">
        <w:rPr>
          <w:rFonts w:ascii="Verdana" w:hAnsi="Verdana" w:cs="Arial"/>
          <w:sz w:val="20"/>
          <w:szCs w:val="20"/>
          <w:lang w:val="es-GT"/>
        </w:rPr>
        <w:t>pobladores</w:t>
      </w:r>
      <w:r w:rsidRPr="002964A7">
        <w:rPr>
          <w:rFonts w:ascii="Verdana" w:hAnsi="Verdana"/>
          <w:sz w:val="20"/>
          <w:szCs w:val="20"/>
          <w:lang w:val="es-GT"/>
        </w:rPr>
        <w:t>, robaban sus pertenencias y ganado</w:t>
      </w:r>
      <w:r>
        <w:rPr>
          <w:rFonts w:ascii="Verdana" w:hAnsi="Verdana"/>
          <w:sz w:val="20"/>
          <w:szCs w:val="20"/>
          <w:lang w:val="es-GT"/>
        </w:rPr>
        <w:t>,</w:t>
      </w:r>
      <w:r w:rsidRPr="002964A7">
        <w:rPr>
          <w:rFonts w:ascii="Verdana" w:hAnsi="Verdana"/>
          <w:sz w:val="20"/>
          <w:szCs w:val="20"/>
          <w:lang w:val="es-GT"/>
        </w:rPr>
        <w:t xml:space="preserve"> llegando en algunos casos a cometer asesinatos y violaciones sexuales. </w:t>
      </w:r>
      <w:r>
        <w:rPr>
          <w:rFonts w:ascii="Verdana" w:hAnsi="Verdana"/>
          <w:sz w:val="20"/>
          <w:szCs w:val="20"/>
          <w:lang w:val="es-GT"/>
        </w:rPr>
        <w:t xml:space="preserve">En este marco y </w:t>
      </w:r>
      <w:r>
        <w:rPr>
          <w:rFonts w:ascii="Verdana" w:hAnsi="Verdana"/>
          <w:sz w:val="20"/>
          <w:szCs w:val="20"/>
          <w:lang w:val="es-GT" w:eastAsia="es-CR"/>
        </w:rPr>
        <w:t>concretamente</w:t>
      </w:r>
      <w:r w:rsidRPr="002964A7">
        <w:rPr>
          <w:rFonts w:ascii="Verdana" w:hAnsi="Verdana"/>
          <w:sz w:val="20"/>
          <w:szCs w:val="20"/>
          <w:lang w:val="es-GT" w:eastAsia="es-CR"/>
        </w:rPr>
        <w:t xml:space="preserve"> en la zona de Santa Bárbara del </w:t>
      </w:r>
      <w:r w:rsidRPr="002964A7">
        <w:rPr>
          <w:rFonts w:ascii="Verdana" w:hAnsi="Verdana"/>
          <w:sz w:val="20"/>
          <w:szCs w:val="20"/>
          <w:lang w:val="es-GT"/>
        </w:rPr>
        <w:t>Departamento de Huancavelica,</w:t>
      </w:r>
      <w:r w:rsidRPr="002964A7">
        <w:rPr>
          <w:rFonts w:ascii="Verdana" w:hAnsi="Verdana"/>
          <w:sz w:val="20"/>
          <w:szCs w:val="20"/>
          <w:lang w:val="es-GT" w:eastAsia="es-CR"/>
        </w:rPr>
        <w:t xml:space="preserve"> continuamente</w:t>
      </w:r>
      <w:r>
        <w:rPr>
          <w:rFonts w:ascii="Verdana" w:hAnsi="Verdana"/>
          <w:sz w:val="20"/>
          <w:szCs w:val="20"/>
          <w:lang w:val="es-GT" w:eastAsia="es-CR"/>
        </w:rPr>
        <w:t xml:space="preserve"> también</w:t>
      </w:r>
      <w:r w:rsidRPr="002964A7">
        <w:rPr>
          <w:rFonts w:ascii="Verdana" w:hAnsi="Verdana"/>
          <w:sz w:val="20"/>
          <w:szCs w:val="20"/>
          <w:lang w:val="es-GT" w:eastAsia="es-CR"/>
        </w:rPr>
        <w:t xml:space="preserve"> se produjeron</w:t>
      </w:r>
      <w:r>
        <w:rPr>
          <w:rFonts w:ascii="Verdana" w:hAnsi="Verdana"/>
          <w:sz w:val="20"/>
          <w:szCs w:val="20"/>
          <w:lang w:val="es-GT" w:eastAsia="es-CR"/>
        </w:rPr>
        <w:t xml:space="preserve"> </w:t>
      </w:r>
      <w:r w:rsidRPr="002964A7">
        <w:rPr>
          <w:rFonts w:ascii="Verdana" w:hAnsi="Verdana"/>
          <w:sz w:val="20"/>
          <w:szCs w:val="20"/>
          <w:lang w:val="es-GT" w:eastAsia="es-CR"/>
        </w:rPr>
        <w:t>incursiones de Sendero</w:t>
      </w:r>
      <w:r w:rsidRPr="002964A7">
        <w:rPr>
          <w:rFonts w:ascii="Verdana" w:hAnsi="Verdana"/>
          <w:sz w:val="20"/>
          <w:szCs w:val="20"/>
          <w:lang w:val="es-GT"/>
        </w:rPr>
        <w:t xml:space="preserve"> </w:t>
      </w:r>
      <w:r w:rsidRPr="002964A7">
        <w:rPr>
          <w:rFonts w:ascii="Verdana" w:hAnsi="Verdana"/>
          <w:sz w:val="20"/>
          <w:szCs w:val="20"/>
          <w:lang w:val="es-GT" w:eastAsia="es-CR"/>
        </w:rPr>
        <w:t xml:space="preserve">Luminoso con asesinatos, robos de alimentos, artefactos </w:t>
      </w:r>
      <w:r w:rsidRPr="002964A7">
        <w:rPr>
          <w:rFonts w:ascii="Verdana" w:hAnsi="Verdana" w:cs="Arial"/>
          <w:sz w:val="20"/>
          <w:szCs w:val="20"/>
          <w:lang w:val="es-GT" w:eastAsia="es-CR"/>
        </w:rPr>
        <w:t xml:space="preserve">y </w:t>
      </w:r>
      <w:r w:rsidRPr="002964A7">
        <w:rPr>
          <w:rFonts w:ascii="Verdana" w:hAnsi="Verdana"/>
          <w:sz w:val="20"/>
          <w:szCs w:val="20"/>
          <w:lang w:val="es-GT" w:eastAsia="es-CR"/>
        </w:rPr>
        <w:t xml:space="preserve">ganado, violaciones </w:t>
      </w:r>
      <w:r w:rsidRPr="002964A7">
        <w:rPr>
          <w:rFonts w:ascii="Verdana" w:hAnsi="Verdana" w:cs="Arial"/>
          <w:sz w:val="20"/>
          <w:szCs w:val="20"/>
          <w:lang w:val="es-GT" w:eastAsia="es-CR"/>
        </w:rPr>
        <w:t>y</w:t>
      </w:r>
      <w:r w:rsidRPr="002964A7">
        <w:rPr>
          <w:rFonts w:ascii="Verdana" w:hAnsi="Verdana"/>
          <w:sz w:val="20"/>
          <w:szCs w:val="20"/>
          <w:lang w:val="es-GT"/>
        </w:rPr>
        <w:t xml:space="preserve"> </w:t>
      </w:r>
      <w:r w:rsidRPr="002964A7">
        <w:rPr>
          <w:rFonts w:ascii="Verdana" w:hAnsi="Verdana"/>
          <w:sz w:val="20"/>
          <w:szCs w:val="20"/>
          <w:lang w:val="es-GT" w:eastAsia="es-CR"/>
        </w:rPr>
        <w:t>numerosos destrozos, de tal modo que los pobladores se encontraban entre dos frentes, lo que provocó</w:t>
      </w:r>
      <w:r w:rsidRPr="002964A7">
        <w:rPr>
          <w:rFonts w:ascii="Verdana" w:hAnsi="Verdana"/>
          <w:sz w:val="20"/>
          <w:szCs w:val="20"/>
          <w:lang w:val="es-GT"/>
        </w:rPr>
        <w:t xml:space="preserve"> </w:t>
      </w:r>
      <w:r w:rsidRPr="002964A7">
        <w:rPr>
          <w:rFonts w:ascii="Verdana" w:hAnsi="Verdana"/>
          <w:sz w:val="20"/>
          <w:szCs w:val="20"/>
          <w:lang w:val="es-GT" w:eastAsia="es-CR"/>
        </w:rPr>
        <w:t>que muchos de ellos se desplazaran a las ciudades, abandonando sus casas y campos de cultivo</w:t>
      </w:r>
      <w:r w:rsidRPr="002964A7">
        <w:rPr>
          <w:rFonts w:ascii="Verdana" w:eastAsia="Times New Roman" w:hAnsi="Verdana"/>
          <w:sz w:val="20"/>
          <w:szCs w:val="20"/>
          <w:vertAlign w:val="superscript"/>
          <w:lang w:val="en-US"/>
        </w:rPr>
        <w:footnoteReference w:id="70"/>
      </w:r>
      <w:r w:rsidRPr="002964A7">
        <w:rPr>
          <w:rFonts w:ascii="Verdana" w:hAnsi="Verdana"/>
          <w:sz w:val="20"/>
          <w:szCs w:val="20"/>
          <w:lang w:val="es-GT" w:eastAsia="es-CR"/>
        </w:rPr>
        <w:t xml:space="preserve">. En específico, el sector conocido como </w:t>
      </w:r>
      <w:r w:rsidRPr="002964A7">
        <w:rPr>
          <w:rFonts w:ascii="Verdana" w:hAnsi="Verdana"/>
          <w:sz w:val="20"/>
          <w:szCs w:val="20"/>
          <w:lang w:val="es-GT"/>
        </w:rPr>
        <w:t>Rodeopampa,</w:t>
      </w:r>
      <w:r w:rsidRPr="002964A7">
        <w:rPr>
          <w:rFonts w:ascii="Verdana" w:hAnsi="Verdana"/>
          <w:sz w:val="20"/>
          <w:szCs w:val="20"/>
          <w:lang w:val="es-GT" w:eastAsia="es-CR"/>
        </w:rPr>
        <w:t xml:space="preserve"> localizado en dicha región, era </w:t>
      </w:r>
      <w:r>
        <w:rPr>
          <w:rFonts w:ascii="Verdana" w:hAnsi="Verdana"/>
          <w:sz w:val="20"/>
          <w:szCs w:val="20"/>
          <w:lang w:val="es-GT" w:eastAsia="es-CR"/>
        </w:rPr>
        <w:t xml:space="preserve">considerado por el Ejército </w:t>
      </w:r>
      <w:r w:rsidRPr="002964A7">
        <w:rPr>
          <w:rFonts w:ascii="Verdana" w:hAnsi="Verdana"/>
          <w:sz w:val="20"/>
          <w:szCs w:val="20"/>
          <w:lang w:val="es-GT" w:eastAsia="es-CR"/>
        </w:rPr>
        <w:t>una “zona subversiva, en donde continuamente se llevaban enfrentamientos entre el Ejército acantonado en Lircay con [integrantes de] Sendero Luminoso”</w:t>
      </w:r>
      <w:r w:rsidRPr="002964A7">
        <w:rPr>
          <w:rFonts w:ascii="Verdana" w:eastAsia="Times New Roman" w:hAnsi="Verdana"/>
          <w:sz w:val="20"/>
          <w:szCs w:val="20"/>
          <w:vertAlign w:val="superscript"/>
          <w:lang w:val="en-US" w:eastAsia="es-CR"/>
        </w:rPr>
        <w:footnoteReference w:id="71"/>
      </w:r>
      <w:r w:rsidRPr="002964A7">
        <w:rPr>
          <w:rFonts w:ascii="Verdana" w:hAnsi="Verdana"/>
          <w:sz w:val="20"/>
          <w:szCs w:val="20"/>
          <w:lang w:val="es-GT" w:eastAsia="es-CR"/>
        </w:rPr>
        <w:t>.</w:t>
      </w:r>
    </w:p>
    <w:p w:rsidR="00A312BA" w:rsidRDefault="00A312BA" w:rsidP="00A312BA">
      <w:pPr>
        <w:pStyle w:val="Heading3"/>
        <w:spacing w:before="0" w:line="240" w:lineRule="auto"/>
        <w:rPr>
          <w:sz w:val="4"/>
          <w:lang w:val="es-GT"/>
        </w:rPr>
      </w:pPr>
      <w:bookmarkStart w:id="137" w:name="_Toc423102533"/>
      <w:bookmarkStart w:id="138" w:name="_Toc433387486"/>
    </w:p>
    <w:p w:rsidR="00A312BA" w:rsidRPr="00A312BA" w:rsidRDefault="00A312BA" w:rsidP="00A312BA">
      <w:pPr>
        <w:rPr>
          <w:lang w:val="es-GT"/>
        </w:rPr>
      </w:pPr>
    </w:p>
    <w:p w:rsidR="00106A1E" w:rsidRPr="002964A7" w:rsidRDefault="001154F9" w:rsidP="005A69BF">
      <w:pPr>
        <w:pStyle w:val="Heading3"/>
        <w:spacing w:before="0" w:line="240" w:lineRule="auto"/>
        <w:jc w:val="both"/>
        <w:rPr>
          <w:lang w:val="es-GT"/>
        </w:rPr>
      </w:pPr>
      <w:r>
        <w:rPr>
          <w:lang w:val="es-GT"/>
        </w:rPr>
        <w:lastRenderedPageBreak/>
        <w:t>C</w:t>
      </w:r>
      <w:r w:rsidR="00A312BA">
        <w:rPr>
          <w:lang w:val="es-GT"/>
        </w:rPr>
        <w:t>.</w:t>
      </w:r>
      <w:r>
        <w:rPr>
          <w:lang w:val="es-GT"/>
        </w:rPr>
        <w:t xml:space="preserve"> </w:t>
      </w:r>
      <w:r w:rsidR="00106A1E" w:rsidRPr="002964A7">
        <w:rPr>
          <w:lang w:val="es-GT"/>
        </w:rPr>
        <w:t>Los hechos ocurridos en la comunidad campesina de Santa Bárbara</w:t>
      </w:r>
      <w:bookmarkEnd w:id="137"/>
      <w:bookmarkEnd w:id="138"/>
    </w:p>
    <w:p w:rsidR="00106A1E" w:rsidRDefault="00106A1E" w:rsidP="00106A1E">
      <w:pPr>
        <w:autoSpaceDE w:val="0"/>
        <w:autoSpaceDN w:val="0"/>
        <w:adjustRightInd w:val="0"/>
        <w:spacing w:after="0" w:line="240" w:lineRule="auto"/>
        <w:ind w:left="360"/>
        <w:jc w:val="both"/>
        <w:rPr>
          <w:rFonts w:ascii="Verdana" w:hAnsi="Verdana" w:cs="Arial"/>
          <w:b/>
          <w:spacing w:val="-2"/>
          <w:sz w:val="20"/>
          <w:szCs w:val="20"/>
          <w:u w:val="single"/>
          <w:lang w:val="es-GT"/>
        </w:rPr>
      </w:pPr>
    </w:p>
    <w:p w:rsidR="00106A1E" w:rsidRPr="00C94FC4"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iCs/>
          <w:sz w:val="20"/>
          <w:szCs w:val="20"/>
          <w:u w:val="single"/>
          <w:lang w:val="es-GT"/>
        </w:rPr>
      </w:pPr>
      <w:r w:rsidRPr="00C94FC4">
        <w:rPr>
          <w:rFonts w:ascii="Verdana" w:hAnsi="Verdana" w:cs="Arial"/>
          <w:spacing w:val="-2"/>
          <w:sz w:val="20"/>
          <w:szCs w:val="20"/>
          <w:lang w:val="es-GT"/>
        </w:rPr>
        <w:t xml:space="preserve">El caso de los 15 pobladores de la comunidad campesina de Santa Bárbara fue documentado </w:t>
      </w:r>
      <w:r w:rsidRPr="00C94FC4">
        <w:rPr>
          <w:rFonts w:ascii="Verdana" w:hAnsi="Verdana"/>
          <w:spacing w:val="-2"/>
          <w:sz w:val="20"/>
          <w:szCs w:val="20"/>
          <w:lang w:eastAsia="es-CR"/>
        </w:rPr>
        <w:t>el 28 de agosto de 2003</w:t>
      </w:r>
      <w:r w:rsidRPr="00C94FC4">
        <w:rPr>
          <w:rFonts w:ascii="Verdana" w:hAnsi="Verdana" w:cs="Arial"/>
          <w:spacing w:val="-2"/>
          <w:sz w:val="20"/>
          <w:szCs w:val="20"/>
          <w:lang w:val="es-GT"/>
        </w:rPr>
        <w:t xml:space="preserve"> en el Informe Final de </w:t>
      </w:r>
      <w:r>
        <w:rPr>
          <w:rFonts w:ascii="Verdana" w:hAnsi="Verdana" w:cs="Arial"/>
          <w:spacing w:val="-2"/>
          <w:sz w:val="20"/>
          <w:szCs w:val="20"/>
          <w:lang w:val="es-GT"/>
        </w:rPr>
        <w:t xml:space="preserve">la </w:t>
      </w:r>
      <w:r w:rsidRPr="00C94FC4">
        <w:rPr>
          <w:rFonts w:ascii="Verdana" w:hAnsi="Verdana" w:cs="Arial"/>
          <w:spacing w:val="-2"/>
          <w:sz w:val="20"/>
          <w:szCs w:val="20"/>
          <w:lang w:val="es-GT"/>
        </w:rPr>
        <w:t xml:space="preserve">CVR, </w:t>
      </w:r>
      <w:r w:rsidRPr="00912455">
        <w:rPr>
          <w:rFonts w:ascii="Verdana" w:hAnsi="Verdana" w:cs="Arial"/>
          <w:spacing w:val="-2"/>
          <w:sz w:val="20"/>
          <w:szCs w:val="20"/>
          <w:lang w:val="es-GT"/>
        </w:rPr>
        <w:t>en un capítulo que denominó como: “</w:t>
      </w:r>
      <w:hyperlink r:id="rId14" w:tgtFrame="_blank" w:history="1">
        <w:r w:rsidRPr="00912455">
          <w:rPr>
            <w:rFonts w:ascii="Verdana" w:hAnsi="Verdana" w:cs="Arial"/>
            <w:sz w:val="20"/>
            <w:szCs w:val="20"/>
            <w:lang w:val="es-GT"/>
          </w:rPr>
          <w:t>2.50. Las ejecuciones extrajudiciales en Santa Bárbara (1991)</w:t>
        </w:r>
      </w:hyperlink>
      <w:r w:rsidRPr="00912455">
        <w:rPr>
          <w:rFonts w:ascii="Verdana" w:hAnsi="Verdana" w:cs="Arial"/>
          <w:sz w:val="20"/>
          <w:szCs w:val="20"/>
          <w:lang w:val="es-GT"/>
        </w:rPr>
        <w:t>”.</w:t>
      </w:r>
      <w:r w:rsidRPr="00C94FC4">
        <w:rPr>
          <w:rFonts w:ascii="Verdana" w:hAnsi="Verdana" w:cs="Arial"/>
          <w:sz w:val="20"/>
          <w:szCs w:val="20"/>
          <w:lang w:val="es-GT"/>
        </w:rPr>
        <w:t xml:space="preserve"> Posteriormente, </w:t>
      </w:r>
      <w:r>
        <w:rPr>
          <w:rFonts w:ascii="Verdana" w:hAnsi="Verdana" w:cs="Arial"/>
          <w:sz w:val="20"/>
          <w:szCs w:val="20"/>
          <w:lang w:val="es-GT"/>
        </w:rPr>
        <w:t>los días</w:t>
      </w:r>
      <w:r w:rsidRPr="00C94FC4">
        <w:rPr>
          <w:rFonts w:ascii="Verdana" w:hAnsi="Verdana" w:cs="Arial"/>
          <w:sz w:val="20"/>
          <w:szCs w:val="20"/>
          <w:lang w:val="es-GT"/>
        </w:rPr>
        <w:t xml:space="preserve"> 9 de febrero de 2012 y 29 de mayo de 2013 la Sala Penal Nacional de la Corte Superior de Justica de Lima</w:t>
      </w:r>
      <w:r w:rsidRPr="00C94FC4">
        <w:rPr>
          <w:rFonts w:ascii="Verdana" w:hAnsi="Verdana" w:cs="Arial"/>
          <w:spacing w:val="-2"/>
          <w:sz w:val="20"/>
          <w:szCs w:val="20"/>
          <w:lang w:val="es-GT"/>
        </w:rPr>
        <w:t xml:space="preserve"> </w:t>
      </w:r>
      <w:r w:rsidRPr="00C94FC4">
        <w:rPr>
          <w:rFonts w:ascii="Verdana" w:hAnsi="Verdana"/>
          <w:iCs/>
          <w:sz w:val="20"/>
          <w:szCs w:val="20"/>
          <w:lang w:val="es-GT"/>
        </w:rPr>
        <w:t>y</w:t>
      </w:r>
      <w:r w:rsidRPr="00C94FC4">
        <w:rPr>
          <w:rFonts w:ascii="Verdana" w:hAnsi="Verdana" w:cs="Arial"/>
          <w:sz w:val="20"/>
          <w:szCs w:val="20"/>
          <w:lang w:val="es-GT"/>
        </w:rPr>
        <w:t xml:space="preserve"> </w:t>
      </w:r>
      <w:r w:rsidRPr="00C94FC4">
        <w:rPr>
          <w:rFonts w:ascii="Verdana" w:hAnsi="Verdana" w:cs="Arial"/>
          <w:spacing w:val="-2"/>
          <w:sz w:val="20"/>
          <w:szCs w:val="20"/>
          <w:lang w:val="es-GT"/>
        </w:rPr>
        <w:t xml:space="preserve">la </w:t>
      </w:r>
      <w:r w:rsidRPr="00C94FC4">
        <w:rPr>
          <w:rFonts w:ascii="Verdana" w:hAnsi="Verdana" w:cs="Arial"/>
          <w:sz w:val="20"/>
          <w:szCs w:val="20"/>
          <w:lang w:val="es-GT"/>
        </w:rPr>
        <w:t xml:space="preserve">Sala Penal Transitoria de la Corte Suprema de Justicia de la República del Perú dictaron sus respectivas sentencias sobre el caso. </w:t>
      </w:r>
      <w:r w:rsidRPr="00C94FC4">
        <w:rPr>
          <w:rFonts w:ascii="Verdana" w:hAnsi="Verdana" w:cs="Arial"/>
          <w:sz w:val="20"/>
          <w:szCs w:val="20"/>
          <w:lang w:val="es-CO"/>
        </w:rPr>
        <w:t>En este subacápite</w:t>
      </w:r>
      <w:r w:rsidRPr="00C94FC4">
        <w:rPr>
          <w:rFonts w:ascii="Verdana" w:hAnsi="Verdana"/>
          <w:sz w:val="20"/>
          <w:szCs w:val="20"/>
          <w:lang w:val="es-GT"/>
        </w:rPr>
        <w:t>,</w:t>
      </w:r>
      <w:r w:rsidRPr="00C94FC4">
        <w:rPr>
          <w:rFonts w:ascii="Verdana" w:hAnsi="Verdana" w:cs="Arial"/>
          <w:sz w:val="20"/>
          <w:szCs w:val="20"/>
          <w:lang w:val="es-CO"/>
        </w:rPr>
        <w:t xml:space="preserve"> la Corte se referirá a la manera en que fueron documentados </w:t>
      </w:r>
      <w:r w:rsidRPr="00C94FC4">
        <w:rPr>
          <w:rFonts w:ascii="Verdana" w:hAnsi="Verdana"/>
          <w:sz w:val="20"/>
          <w:szCs w:val="20"/>
          <w:lang w:val="es-GT"/>
        </w:rPr>
        <w:t>los hechos ocurridos en la comunidad campesina de Santa Bárbara mediante dichos documentos.</w:t>
      </w:r>
    </w:p>
    <w:p w:rsidR="00106A1E" w:rsidRPr="002964A7" w:rsidRDefault="00106A1E" w:rsidP="00106A1E">
      <w:pPr>
        <w:autoSpaceDE w:val="0"/>
        <w:autoSpaceDN w:val="0"/>
        <w:adjustRightInd w:val="0"/>
        <w:spacing w:after="0" w:line="240" w:lineRule="auto"/>
        <w:jc w:val="both"/>
        <w:rPr>
          <w:rFonts w:ascii="Verdana" w:hAnsi="Verdana"/>
          <w:iCs/>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GT"/>
        </w:rPr>
      </w:pPr>
      <w:r w:rsidRPr="002964A7">
        <w:rPr>
          <w:rFonts w:ascii="Verdana" w:hAnsi="Verdana"/>
          <w:sz w:val="20"/>
          <w:szCs w:val="20"/>
          <w:lang w:val="es-GT"/>
        </w:rPr>
        <w:t>El 2 de julio de 1991</w:t>
      </w:r>
      <w:r>
        <w:rPr>
          <w:rFonts w:ascii="Verdana" w:hAnsi="Verdana"/>
          <w:sz w:val="20"/>
          <w:szCs w:val="20"/>
          <w:lang w:val="es-GT"/>
        </w:rPr>
        <w:t>,</w:t>
      </w:r>
      <w:r w:rsidRPr="002964A7">
        <w:rPr>
          <w:rFonts w:ascii="Verdana" w:hAnsi="Verdana"/>
          <w:sz w:val="20"/>
          <w:szCs w:val="20"/>
          <w:lang w:val="es-GT"/>
        </w:rPr>
        <w:t xml:space="preserve"> en ejecución del “Plan Operativo Apolonia”, salieron de las Bases Militares de Lircay y Santa Teresita</w:t>
      </w:r>
      <w:r>
        <w:rPr>
          <w:rFonts w:ascii="Verdana" w:hAnsi="Verdana"/>
          <w:sz w:val="20"/>
          <w:szCs w:val="20"/>
          <w:lang w:val="es-GT"/>
        </w:rPr>
        <w:t>,</w:t>
      </w:r>
      <w:r w:rsidRPr="002964A7">
        <w:rPr>
          <w:rFonts w:ascii="Verdana" w:hAnsi="Verdana"/>
          <w:sz w:val="20"/>
          <w:szCs w:val="20"/>
          <w:lang w:val="es-GT"/>
        </w:rPr>
        <w:t xml:space="preserve"> ubicadas en Huancavelica, la patrulla “Escorpio”, al mando del Teniente de Infantería Javier Bendezú Vargas, y la patrulla “Ángel”, al mando del Teniente Abel Gallo Coca, bifurcando sus recorridos pero con similar destino final</w:t>
      </w:r>
      <w:r w:rsidRPr="002964A7">
        <w:rPr>
          <w:rFonts w:ascii="Verdana" w:eastAsia="Times New Roman" w:hAnsi="Verdana"/>
          <w:iCs/>
          <w:sz w:val="20"/>
          <w:szCs w:val="20"/>
          <w:vertAlign w:val="superscript"/>
          <w:lang w:val="en-US"/>
        </w:rPr>
        <w:footnoteReference w:id="72"/>
      </w:r>
      <w:r w:rsidRPr="002964A7">
        <w:rPr>
          <w:rFonts w:ascii="Verdana" w:hAnsi="Verdana"/>
          <w:sz w:val="20"/>
          <w:szCs w:val="20"/>
          <w:lang w:val="es-GT"/>
        </w:rPr>
        <w:t>. Dicho operativo militar “fue diseñado como parte de la política estatal de combatir la subversión en la Provincia y Departamento de Huancavelica, siendo elaborado por</w:t>
      </w:r>
      <w:r>
        <w:rPr>
          <w:rFonts w:ascii="Verdana" w:hAnsi="Verdana"/>
          <w:sz w:val="20"/>
          <w:szCs w:val="20"/>
          <w:lang w:val="es-GT"/>
        </w:rPr>
        <w:t xml:space="preserve"> la</w:t>
      </w:r>
      <w:r w:rsidRPr="002964A7">
        <w:rPr>
          <w:rFonts w:ascii="Verdana" w:hAnsi="Verdana"/>
          <w:sz w:val="20"/>
          <w:szCs w:val="20"/>
          <w:lang w:val="es-GT"/>
        </w:rPr>
        <w:t xml:space="preserve"> Jefatura Político Militar de Huancavelica, con el fin específico de incursionar en la localidad de Rodeopampa, comunidad de Santa Bárbara”, y había estado destinado a “capturar y/o destruir” elementos terroristas que operaban en dicha zona. En su ejecución se utilizó como guía a PCH</w:t>
      </w:r>
      <w:r w:rsidRPr="002964A7">
        <w:rPr>
          <w:rFonts w:ascii="Verdana" w:eastAsia="Times New Roman" w:hAnsi="Verdana"/>
          <w:iCs/>
          <w:sz w:val="20"/>
          <w:szCs w:val="20"/>
          <w:vertAlign w:val="superscript"/>
          <w:lang w:val="en-US"/>
        </w:rPr>
        <w:footnoteReference w:id="73"/>
      </w:r>
      <w:r w:rsidRPr="002964A7">
        <w:rPr>
          <w:rFonts w:ascii="Verdana" w:hAnsi="Verdana"/>
          <w:sz w:val="20"/>
          <w:szCs w:val="20"/>
          <w:lang w:val="es-GT"/>
        </w:rPr>
        <w:t>, supuestamente desertor de Sendero Luminoso. La patrulla “Escorpio” se dirigió hacia la zona de Cochajccsa, pasando luego a la Mina Julcani, y posteriormente a Huarocopata para dirigirse después a Palcapampa</w:t>
      </w:r>
      <w:r w:rsidRPr="002964A7">
        <w:rPr>
          <w:rFonts w:ascii="Verdana" w:eastAsia="Times New Roman" w:hAnsi="Verdana"/>
          <w:iCs/>
          <w:sz w:val="20"/>
          <w:szCs w:val="20"/>
          <w:vertAlign w:val="superscript"/>
          <w:lang w:val="en-US"/>
        </w:rPr>
        <w:footnoteReference w:id="74"/>
      </w:r>
      <w:r w:rsidRPr="002964A7">
        <w:rPr>
          <w:rFonts w:ascii="Verdana" w:hAnsi="Verdana"/>
          <w:sz w:val="20"/>
          <w:szCs w:val="20"/>
          <w:lang w:val="es-GT"/>
        </w:rPr>
        <w:t>. El 3 de julio de 1991 se encontraron con la patrulla “Ángel” en Palcapampa, donde ambas patrullas pernoctaron</w:t>
      </w:r>
      <w:r w:rsidRPr="002964A7">
        <w:rPr>
          <w:rFonts w:ascii="Verdana" w:eastAsia="Times New Roman" w:hAnsi="Verdana"/>
          <w:iCs/>
          <w:sz w:val="20"/>
          <w:szCs w:val="20"/>
          <w:vertAlign w:val="superscript"/>
          <w:lang w:val="en-US"/>
        </w:rPr>
        <w:footnoteReference w:id="75"/>
      </w:r>
      <w:r w:rsidRPr="002964A7">
        <w:rPr>
          <w:rFonts w:ascii="Verdana" w:hAnsi="Verdana"/>
          <w:sz w:val="20"/>
          <w:szCs w:val="20"/>
          <w:lang w:val="es-GT"/>
        </w:rPr>
        <w:t xml:space="preserve">. </w:t>
      </w:r>
    </w:p>
    <w:p w:rsidR="00106A1E" w:rsidRPr="002964A7" w:rsidRDefault="00106A1E" w:rsidP="00106A1E">
      <w:pPr>
        <w:spacing w:after="0" w:line="240" w:lineRule="auto"/>
        <w:contextualSpacing/>
        <w:jc w:val="both"/>
        <w:rPr>
          <w:rFonts w:ascii="Verdana" w:hAnsi="Verdana"/>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GT"/>
        </w:rPr>
      </w:pPr>
      <w:r w:rsidRPr="002964A7">
        <w:rPr>
          <w:rFonts w:ascii="Verdana" w:hAnsi="Verdana"/>
          <w:sz w:val="20"/>
          <w:szCs w:val="20"/>
          <w:lang w:val="es-GT"/>
        </w:rPr>
        <w:t>El 4 de julio de 1991 la patrulla del Ejército “Escorpio”, acompañada de algunos elementos civiles, llegó al caserío de Rodeopampa en la comunidad campesina de Santa Bárbara, en donde los efectivos militares ingresaron a las viviendas</w:t>
      </w:r>
      <w:r>
        <w:rPr>
          <w:rFonts w:ascii="Verdana" w:hAnsi="Verdana"/>
          <w:sz w:val="20"/>
          <w:szCs w:val="20"/>
          <w:lang w:val="es-GT"/>
        </w:rPr>
        <w:t xml:space="preserve"> de las presuntas víctimas</w:t>
      </w:r>
      <w:r w:rsidRPr="002964A7">
        <w:rPr>
          <w:rFonts w:ascii="Verdana" w:hAnsi="Verdana"/>
          <w:sz w:val="20"/>
          <w:szCs w:val="20"/>
          <w:lang w:val="es-GT"/>
        </w:rPr>
        <w:t xml:space="preserve">, sacaron a quienes estaban allí y prendieron fuego a dichas viviendas para horas más tarde apoderarse de una gran cantidad de ganado, animales menores y pertenencias de los detenidos. Los efectivos militares detuvieron a 14 pobladores, entre los que se encontraban tres niñas, cuatro niños, un hombre adulto mayor de 60 años, cinco mujeres adultas, una de ellas en el sexto mes de embarazo y un hombre adulto, a saber: Yesenia </w:t>
      </w:r>
      <w:r w:rsidRPr="002964A7">
        <w:rPr>
          <w:rFonts w:ascii="Verdana" w:hAnsi="Verdana" w:cs="Arial"/>
          <w:sz w:val="20"/>
          <w:szCs w:val="20"/>
          <w:lang w:val="es-GT"/>
        </w:rPr>
        <w:t>Osnayo Hilario</w:t>
      </w:r>
      <w:r w:rsidRPr="002964A7">
        <w:rPr>
          <w:rFonts w:ascii="Verdana" w:hAnsi="Verdana"/>
          <w:sz w:val="20"/>
          <w:szCs w:val="20"/>
          <w:lang w:val="es-GT"/>
        </w:rPr>
        <w:t xml:space="preserve">, Miriam </w:t>
      </w:r>
      <w:r w:rsidRPr="002964A7">
        <w:rPr>
          <w:rFonts w:ascii="Verdana" w:hAnsi="Verdana" w:cs="Arial"/>
          <w:sz w:val="20"/>
          <w:szCs w:val="20"/>
          <w:lang w:val="es-GT"/>
        </w:rPr>
        <w:t>Osnayo Hilario,</w:t>
      </w:r>
      <w:r w:rsidRPr="002964A7">
        <w:rPr>
          <w:rFonts w:ascii="Verdana" w:hAnsi="Verdana"/>
          <w:sz w:val="20"/>
          <w:szCs w:val="20"/>
          <w:lang w:val="es-GT"/>
        </w:rPr>
        <w:t xml:space="preserve"> </w:t>
      </w:r>
      <w:r w:rsidRPr="00812EDF">
        <w:rPr>
          <w:rFonts w:ascii="Verdana" w:hAnsi="Verdana" w:cs="Arial"/>
          <w:sz w:val="20"/>
          <w:szCs w:val="20"/>
          <w:lang w:val="es-GT"/>
        </w:rPr>
        <w:t>Edith</w:t>
      </w:r>
      <w:r w:rsidRPr="002964A7">
        <w:rPr>
          <w:rFonts w:ascii="Verdana" w:hAnsi="Verdana" w:cs="Arial"/>
          <w:sz w:val="20"/>
          <w:szCs w:val="20"/>
          <w:lang w:val="es-GT"/>
        </w:rPr>
        <w:t xml:space="preserve"> Osnayo Hilario</w:t>
      </w:r>
      <w:r w:rsidRPr="002964A7">
        <w:rPr>
          <w:rFonts w:ascii="Verdana" w:hAnsi="Verdana"/>
          <w:sz w:val="20"/>
          <w:szCs w:val="20"/>
          <w:lang w:val="es-GT"/>
        </w:rPr>
        <w:t xml:space="preserve">, Wilmer Hilario Carhuapoma, Alex Jorge Hilario, Raúl Hilario Guillén y Héctor Hilario Guillén </w:t>
      </w:r>
      <w:r w:rsidRPr="00EE5F56">
        <w:rPr>
          <w:rFonts w:ascii="Verdana" w:hAnsi="Verdana"/>
          <w:sz w:val="20"/>
          <w:szCs w:val="20"/>
          <w:lang w:val="es-GT"/>
        </w:rPr>
        <w:t>(</w:t>
      </w:r>
      <w:r w:rsidRPr="00812EDF">
        <w:rPr>
          <w:rFonts w:ascii="Verdana" w:hAnsi="Verdana"/>
          <w:sz w:val="20"/>
          <w:szCs w:val="20"/>
          <w:lang w:val="es-GT"/>
        </w:rPr>
        <w:t xml:space="preserve">de 6 años, 3 años, 8 meses, 3 años, 6 años, </w:t>
      </w:r>
      <w:r>
        <w:rPr>
          <w:rFonts w:ascii="Verdana" w:hAnsi="Verdana"/>
          <w:sz w:val="20"/>
          <w:szCs w:val="20"/>
          <w:lang w:val="es-GT"/>
        </w:rPr>
        <w:t>1 año</w:t>
      </w:r>
      <w:r w:rsidRPr="00812EDF">
        <w:rPr>
          <w:rFonts w:ascii="Verdana" w:hAnsi="Verdana"/>
          <w:sz w:val="20"/>
          <w:szCs w:val="20"/>
          <w:lang w:val="es-GT"/>
        </w:rPr>
        <w:t xml:space="preserve"> y 6 años de edad, respectivamente</w:t>
      </w:r>
      <w:r w:rsidRPr="00EE5F56">
        <w:rPr>
          <w:rFonts w:ascii="Verdana" w:hAnsi="Verdana"/>
          <w:sz w:val="20"/>
          <w:szCs w:val="20"/>
          <w:lang w:val="es-GT"/>
        </w:rPr>
        <w:t>)</w:t>
      </w:r>
      <w:r w:rsidRPr="002964A7">
        <w:rPr>
          <w:rFonts w:ascii="Verdana" w:hAnsi="Verdana"/>
          <w:sz w:val="20"/>
          <w:szCs w:val="20"/>
          <w:lang w:val="es-GT"/>
        </w:rPr>
        <w:t>; Francisco Hilario Torres (de 60 años de edad); Mercedes Carhuapoma de la Cruz con seis</w:t>
      </w:r>
      <w:r w:rsidRPr="002964A7">
        <w:rPr>
          <w:rFonts w:ascii="Verdana" w:hAnsi="Verdana" w:cs="Arial"/>
          <w:sz w:val="20"/>
          <w:szCs w:val="20"/>
          <w:lang w:val="es-GT"/>
        </w:rPr>
        <w:t xml:space="preserve"> mes de embarazo (de </w:t>
      </w:r>
      <w:r w:rsidRPr="002964A7">
        <w:rPr>
          <w:rFonts w:ascii="Verdana" w:hAnsi="Verdana"/>
          <w:sz w:val="20"/>
          <w:szCs w:val="20"/>
          <w:lang w:val="es-GT"/>
        </w:rPr>
        <w:t>20 años de edad); Dionicia Quispe Ma</w:t>
      </w:r>
      <w:r>
        <w:rPr>
          <w:rFonts w:ascii="Verdana" w:hAnsi="Verdana"/>
          <w:sz w:val="20"/>
          <w:szCs w:val="20"/>
          <w:lang w:val="es-GT"/>
        </w:rPr>
        <w:t>ll</w:t>
      </w:r>
      <w:r w:rsidRPr="002964A7">
        <w:rPr>
          <w:rFonts w:ascii="Verdana" w:hAnsi="Verdana"/>
          <w:sz w:val="20"/>
          <w:szCs w:val="20"/>
          <w:lang w:val="es-GT"/>
        </w:rPr>
        <w:t xml:space="preserve">qui, Antonia Hilario Quispe, Magdalena Hilario Quispe y </w:t>
      </w:r>
      <w:r w:rsidRPr="002964A7">
        <w:rPr>
          <w:rFonts w:ascii="Verdana" w:hAnsi="Verdana" w:cs="Arial"/>
          <w:sz w:val="20"/>
          <w:szCs w:val="20"/>
          <w:lang w:val="es-GT"/>
        </w:rPr>
        <w:t>Dionicia Guillén Riveros</w:t>
      </w:r>
      <w:r w:rsidRPr="002964A7">
        <w:rPr>
          <w:rFonts w:ascii="Verdana" w:hAnsi="Verdana"/>
          <w:sz w:val="20"/>
          <w:szCs w:val="20"/>
          <w:lang w:val="es-GT"/>
        </w:rPr>
        <w:t xml:space="preserve"> (de 57 años, 31 años, 26 años y 24 años, respectivamente); y Ramón Hilario Morán (de 26 años de edad). A dichos pobladores se les infligieron diversos maltratos, conduciéndolos hacia una mina abandonada llamada “Misteriosa” o “Vallarón”, ubicada en el paraje Hornoranra, comunidad de Chu</w:t>
      </w:r>
      <w:r>
        <w:rPr>
          <w:rFonts w:ascii="Verdana" w:hAnsi="Verdana"/>
          <w:sz w:val="20"/>
          <w:szCs w:val="20"/>
          <w:lang w:val="es-GT"/>
        </w:rPr>
        <w:t>no</w:t>
      </w:r>
      <w:r w:rsidRPr="002964A7">
        <w:rPr>
          <w:rFonts w:ascii="Verdana" w:hAnsi="Verdana"/>
          <w:sz w:val="20"/>
          <w:szCs w:val="20"/>
          <w:lang w:val="es-GT"/>
        </w:rPr>
        <w:t>mayo, Distrito de Huachocolpa, Departamento de Huancavelica, en la falda del cerro Huaroto</w:t>
      </w:r>
      <w:r>
        <w:rPr>
          <w:rFonts w:ascii="Verdana" w:hAnsi="Verdana"/>
          <w:sz w:val="20"/>
          <w:szCs w:val="20"/>
          <w:lang w:val="es-GT"/>
        </w:rPr>
        <w:t xml:space="preserve"> y</w:t>
      </w:r>
      <w:r w:rsidRPr="002964A7">
        <w:rPr>
          <w:rFonts w:ascii="Verdana" w:hAnsi="Verdana"/>
          <w:sz w:val="20"/>
          <w:szCs w:val="20"/>
          <w:lang w:val="es-GT"/>
        </w:rPr>
        <w:t xml:space="preserve"> a unos cuatrocientos metros del río Chulumayo</w:t>
      </w:r>
      <w:r w:rsidRPr="002964A7">
        <w:rPr>
          <w:rFonts w:ascii="Verdana" w:eastAsia="Times New Roman" w:hAnsi="Verdana"/>
          <w:sz w:val="20"/>
          <w:szCs w:val="20"/>
          <w:vertAlign w:val="superscript"/>
          <w:lang w:val="en-US"/>
        </w:rPr>
        <w:footnoteReference w:id="76"/>
      </w:r>
      <w:r w:rsidRPr="002964A7">
        <w:rPr>
          <w:rFonts w:ascii="Verdana" w:hAnsi="Verdana"/>
          <w:sz w:val="20"/>
          <w:szCs w:val="20"/>
          <w:lang w:val="es-GT"/>
        </w:rPr>
        <w:t xml:space="preserve">. </w:t>
      </w:r>
    </w:p>
    <w:p w:rsidR="00106A1E" w:rsidRPr="002964A7" w:rsidRDefault="00106A1E" w:rsidP="00106A1E">
      <w:pPr>
        <w:spacing w:after="0" w:line="240" w:lineRule="auto"/>
        <w:contextualSpacing/>
        <w:jc w:val="both"/>
        <w:rPr>
          <w:rFonts w:ascii="Verdana" w:hAnsi="Verdana"/>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GT"/>
        </w:rPr>
      </w:pPr>
      <w:r w:rsidRPr="002964A7">
        <w:rPr>
          <w:rFonts w:ascii="Verdana" w:hAnsi="Verdana"/>
          <w:sz w:val="20"/>
          <w:szCs w:val="20"/>
          <w:lang w:val="es-GT"/>
        </w:rPr>
        <w:t>Ese mismo día Elihoref Huamaní Vergara, de 22 años de edad, quien era licenciado del Ej</w:t>
      </w:r>
      <w:r>
        <w:rPr>
          <w:rFonts w:ascii="Verdana" w:hAnsi="Verdana"/>
          <w:sz w:val="20"/>
          <w:szCs w:val="20"/>
          <w:lang w:val="es-GT"/>
        </w:rPr>
        <w:t>é</w:t>
      </w:r>
      <w:r w:rsidRPr="002964A7">
        <w:rPr>
          <w:rFonts w:ascii="Verdana" w:hAnsi="Verdana"/>
          <w:sz w:val="20"/>
          <w:szCs w:val="20"/>
          <w:lang w:val="es-GT"/>
        </w:rPr>
        <w:t>rcito y había servido en esa institución entre los años 1988 y 1990, junto con su padre Alejandro Huamaní Robles y Elías Pumacahua Huaman</w:t>
      </w:r>
      <w:r w:rsidR="006F79E0">
        <w:rPr>
          <w:rFonts w:ascii="Verdana" w:hAnsi="Verdana"/>
          <w:sz w:val="20"/>
          <w:szCs w:val="20"/>
          <w:lang w:val="es-GT"/>
        </w:rPr>
        <w:t>í</w:t>
      </w:r>
      <w:r w:rsidRPr="002964A7">
        <w:rPr>
          <w:rFonts w:ascii="Verdana" w:hAnsi="Verdana"/>
          <w:sz w:val="20"/>
          <w:szCs w:val="20"/>
          <w:lang w:val="es-GT"/>
        </w:rPr>
        <w:t xml:space="preserve">, nieto de este último y </w:t>
      </w:r>
      <w:r>
        <w:rPr>
          <w:rFonts w:ascii="Verdana" w:hAnsi="Verdana"/>
          <w:sz w:val="20"/>
          <w:szCs w:val="20"/>
          <w:lang w:val="es-GT"/>
        </w:rPr>
        <w:t xml:space="preserve">quien tenía </w:t>
      </w:r>
      <w:r w:rsidRPr="002964A7">
        <w:rPr>
          <w:rFonts w:ascii="Verdana" w:hAnsi="Verdana"/>
          <w:sz w:val="20"/>
          <w:szCs w:val="20"/>
          <w:lang w:val="es-GT"/>
        </w:rPr>
        <w:t xml:space="preserve">entre 12 y 13 años de edad, fueron interceptados por efectivos militares en el camino hacia Rodeopampa. Los efectivos militares obligaron a Elihoref Huamaní Vergara a acompañarlos y lo sumaron al grupo de los 14 pobladores que trasladaban. Durante el trayecto, los detenidos fueron golpeados y obligados a caminar varias horas amarrados y sin alimentos ni agua. </w:t>
      </w:r>
      <w:r w:rsidRPr="002964A7">
        <w:rPr>
          <w:rFonts w:ascii="Verdana" w:hAnsi="Verdana"/>
          <w:iCs/>
          <w:sz w:val="20"/>
          <w:szCs w:val="20"/>
          <w:lang w:val="es-GT"/>
        </w:rPr>
        <w:t xml:space="preserve">Cuando llegaron a la </w:t>
      </w:r>
      <w:r w:rsidRPr="002964A7">
        <w:rPr>
          <w:rFonts w:ascii="Verdana" w:hAnsi="Verdana"/>
          <w:sz w:val="20"/>
          <w:szCs w:val="20"/>
          <w:lang w:val="es-GT"/>
        </w:rPr>
        <w:t>mina abandonada llamada “Misteriosa” o “Vallarón”,</w:t>
      </w:r>
      <w:r w:rsidRPr="002964A7">
        <w:rPr>
          <w:rFonts w:ascii="Verdana" w:hAnsi="Verdana"/>
          <w:iCs/>
          <w:sz w:val="20"/>
          <w:szCs w:val="20"/>
          <w:lang w:val="es-GT"/>
        </w:rPr>
        <w:t xml:space="preserve"> los efectivos militares introdujeron a los 15 detenidos al interior del socavón, acribillándolos con Fusiles Ametralladoras Ligeras (FAL). Posteriormente, se hizo detonar en la mina cargas de dinamita, provocando el fraccionamiento de los cuerpos</w:t>
      </w:r>
      <w:r w:rsidRPr="002964A7">
        <w:rPr>
          <w:rFonts w:ascii="Verdana" w:eastAsia="Times New Roman" w:hAnsi="Verdana"/>
          <w:sz w:val="20"/>
          <w:szCs w:val="20"/>
          <w:vertAlign w:val="superscript"/>
          <w:lang w:val="en-US"/>
        </w:rPr>
        <w:footnoteReference w:id="77"/>
      </w:r>
      <w:r w:rsidRPr="002964A7">
        <w:rPr>
          <w:rFonts w:ascii="Verdana" w:hAnsi="Verdana"/>
          <w:iCs/>
          <w:sz w:val="20"/>
          <w:szCs w:val="20"/>
          <w:lang w:val="es-GT"/>
        </w:rPr>
        <w:t xml:space="preserve">. </w:t>
      </w:r>
    </w:p>
    <w:p w:rsidR="00106A1E" w:rsidRPr="002964A7" w:rsidRDefault="00106A1E" w:rsidP="00106A1E">
      <w:pPr>
        <w:spacing w:after="0" w:line="240" w:lineRule="auto"/>
        <w:contextualSpacing/>
        <w:jc w:val="both"/>
        <w:rPr>
          <w:rFonts w:ascii="Verdana" w:hAnsi="Verdana"/>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GT"/>
        </w:rPr>
      </w:pPr>
      <w:r w:rsidRPr="002964A7">
        <w:rPr>
          <w:rFonts w:ascii="Verdana" w:hAnsi="Verdana"/>
          <w:sz w:val="20"/>
          <w:szCs w:val="20"/>
          <w:lang w:val="es-GT"/>
        </w:rPr>
        <w:t xml:space="preserve">El 4 de julio de 1991 los señores Zósimo Hilario Quispe, Zenón Cirilo Osnayo Tunque, </w:t>
      </w:r>
      <w:r w:rsidRPr="002964A7">
        <w:rPr>
          <w:rFonts w:ascii="Verdana" w:hAnsi="Verdana" w:cs="Arial"/>
          <w:sz w:val="20"/>
          <w:szCs w:val="20"/>
          <w:lang w:val="es-GT"/>
        </w:rPr>
        <w:t>Marcelo Hilario Quispe</w:t>
      </w:r>
      <w:r w:rsidRPr="002964A7" w:rsidDel="008B17C5">
        <w:rPr>
          <w:rFonts w:ascii="Verdana" w:hAnsi="Verdana" w:cs="Helvetica"/>
          <w:bCs/>
          <w:sz w:val="20"/>
          <w:szCs w:val="20"/>
          <w:lang w:val="es-GT"/>
        </w:rPr>
        <w:t xml:space="preserve"> </w:t>
      </w:r>
      <w:r w:rsidRPr="002964A7">
        <w:rPr>
          <w:rFonts w:ascii="Verdana" w:hAnsi="Verdana" w:cs="Helvetica"/>
          <w:bCs/>
          <w:sz w:val="20"/>
          <w:szCs w:val="20"/>
          <w:lang w:val="es-GT"/>
        </w:rPr>
        <w:t xml:space="preserve">y </w:t>
      </w:r>
      <w:r w:rsidRPr="002964A7" w:rsidDel="008B17C5">
        <w:rPr>
          <w:rFonts w:ascii="Verdana" w:hAnsi="Verdana" w:cs="Helvetica"/>
          <w:bCs/>
          <w:sz w:val="20"/>
          <w:szCs w:val="20"/>
          <w:lang w:val="es-GT"/>
        </w:rPr>
        <w:t>Gregorio Hilario Quispe</w:t>
      </w:r>
      <w:r w:rsidRPr="002964A7">
        <w:rPr>
          <w:rFonts w:ascii="Verdana" w:hAnsi="Verdana"/>
          <w:sz w:val="20"/>
          <w:szCs w:val="20"/>
          <w:lang w:val="es-GT"/>
        </w:rPr>
        <w:t xml:space="preserve"> se hallaban fuera de la estancia de Rodeopampa, cada quien en una zona distinta. Recién el 6 de julio de 1991 y de manera separada, se enteraron por las autoridades y comuneros de Santa Bárbara que sus familiares habían desaparecido y que </w:t>
      </w:r>
      <w:r>
        <w:rPr>
          <w:rFonts w:ascii="Verdana" w:hAnsi="Verdana"/>
          <w:sz w:val="20"/>
          <w:szCs w:val="20"/>
          <w:lang w:val="es-GT"/>
        </w:rPr>
        <w:t>sus</w:t>
      </w:r>
      <w:r w:rsidRPr="002964A7">
        <w:rPr>
          <w:rFonts w:ascii="Verdana" w:hAnsi="Verdana"/>
          <w:sz w:val="20"/>
          <w:szCs w:val="20"/>
          <w:lang w:val="es-GT"/>
        </w:rPr>
        <w:t xml:space="preserve"> viviendas habían sido quemadas. Al día </w:t>
      </w:r>
      <w:r w:rsidRPr="002964A7">
        <w:rPr>
          <w:rFonts w:ascii="Verdana" w:hAnsi="Verdana"/>
          <w:sz w:val="20"/>
          <w:szCs w:val="20"/>
          <w:lang w:eastAsia="es-CR"/>
        </w:rPr>
        <w:t>siguiente</w:t>
      </w:r>
      <w:r w:rsidRPr="002964A7">
        <w:rPr>
          <w:rFonts w:ascii="Verdana" w:hAnsi="Verdana"/>
          <w:sz w:val="20"/>
          <w:szCs w:val="20"/>
          <w:lang w:val="es-GT"/>
        </w:rPr>
        <w:t>, el señor Zósimo Hilario Quispe se trasladó hacia la estancia de Rodeopampa en compañía de algunos comisionados de Santa Bárbara y al llegar al lugar se encontraron con casas quemadas, alimentos, ropa y otros enseres regados en el piso y mucha sangre por los alrededores de los caserones</w:t>
      </w:r>
      <w:r w:rsidRPr="002964A7">
        <w:rPr>
          <w:rFonts w:ascii="Verdana" w:eastAsia="Times New Roman" w:hAnsi="Verdana"/>
          <w:sz w:val="20"/>
          <w:szCs w:val="20"/>
          <w:vertAlign w:val="superscript"/>
          <w:lang w:val="en-US"/>
        </w:rPr>
        <w:footnoteReference w:id="78"/>
      </w:r>
      <w:r w:rsidRPr="002964A7">
        <w:rPr>
          <w:rFonts w:ascii="Verdana" w:hAnsi="Verdana"/>
          <w:sz w:val="20"/>
          <w:szCs w:val="20"/>
          <w:lang w:val="es-GT"/>
        </w:rPr>
        <w:t xml:space="preserve">. Ese mismo día y </w:t>
      </w:r>
      <w:r w:rsidRPr="002964A7">
        <w:rPr>
          <w:rFonts w:ascii="Verdana" w:hAnsi="Verdana" w:cs="Helvetica"/>
          <w:bCs/>
          <w:sz w:val="20"/>
          <w:szCs w:val="20"/>
          <w:lang w:val="es-GT"/>
        </w:rPr>
        <w:t>de manera separada,</w:t>
      </w:r>
      <w:r w:rsidRPr="002964A7">
        <w:rPr>
          <w:rFonts w:ascii="Verdana" w:hAnsi="Verdana"/>
          <w:sz w:val="20"/>
          <w:szCs w:val="20"/>
          <w:lang w:val="es-GT"/>
        </w:rPr>
        <w:t xml:space="preserve"> Zenón Cirilo Osnayo Tunque, </w:t>
      </w:r>
      <w:r w:rsidRPr="002964A7">
        <w:rPr>
          <w:rFonts w:ascii="Verdana" w:hAnsi="Verdana" w:cs="Arial"/>
          <w:sz w:val="20"/>
          <w:szCs w:val="20"/>
          <w:lang w:val="es-GT"/>
        </w:rPr>
        <w:t>Marcelo Hilario Quispe</w:t>
      </w:r>
      <w:r w:rsidRPr="002964A7">
        <w:rPr>
          <w:rFonts w:ascii="Verdana" w:hAnsi="Verdana"/>
          <w:sz w:val="20"/>
          <w:szCs w:val="20"/>
          <w:lang w:val="es-GT"/>
        </w:rPr>
        <w:t xml:space="preserve"> y </w:t>
      </w:r>
      <w:r w:rsidRPr="002964A7" w:rsidDel="008B17C5">
        <w:rPr>
          <w:rFonts w:ascii="Verdana" w:hAnsi="Verdana" w:cs="Helvetica"/>
          <w:bCs/>
          <w:sz w:val="20"/>
          <w:szCs w:val="20"/>
          <w:lang w:val="es-GT"/>
        </w:rPr>
        <w:t>Gregorio Hilario Quispe</w:t>
      </w:r>
      <w:r w:rsidRPr="002964A7">
        <w:rPr>
          <w:rFonts w:ascii="Verdana" w:hAnsi="Verdana" w:cs="Helvetica"/>
          <w:bCs/>
          <w:sz w:val="20"/>
          <w:szCs w:val="20"/>
          <w:lang w:val="es-GT"/>
        </w:rPr>
        <w:t xml:space="preserve"> </w:t>
      </w:r>
      <w:r w:rsidRPr="002964A7">
        <w:rPr>
          <w:rFonts w:ascii="Verdana" w:hAnsi="Verdana"/>
          <w:sz w:val="20"/>
          <w:szCs w:val="20"/>
          <w:lang w:val="es-GT"/>
        </w:rPr>
        <w:t xml:space="preserve">también se trasladaron hacia Santa Bárbara, donde constataron los vestigios de lo ocurrido. </w:t>
      </w:r>
    </w:p>
    <w:p w:rsidR="00106A1E" w:rsidRPr="002964A7" w:rsidRDefault="00106A1E" w:rsidP="00106A1E">
      <w:pPr>
        <w:spacing w:after="0" w:line="240" w:lineRule="auto"/>
        <w:ind w:left="720"/>
        <w:contextualSpacing/>
        <w:rPr>
          <w:rFonts w:ascii="Verdana" w:hAnsi="Verdana"/>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GT"/>
        </w:rPr>
      </w:pPr>
      <w:r w:rsidRPr="002964A7">
        <w:rPr>
          <w:rFonts w:ascii="Verdana" w:hAnsi="Verdana"/>
          <w:sz w:val="20"/>
          <w:szCs w:val="20"/>
          <w:lang w:val="es-GT"/>
        </w:rPr>
        <w:t xml:space="preserve">El 8 de julio de 1991, en la búsqueda de sus familiares y con la información proporcionada por vecinos de los alrededores, Zenón Cirilo Osnayo Tunque, </w:t>
      </w:r>
      <w:r w:rsidRPr="002964A7">
        <w:rPr>
          <w:rFonts w:ascii="Verdana" w:hAnsi="Verdana" w:cs="Arial"/>
          <w:sz w:val="20"/>
          <w:szCs w:val="20"/>
          <w:lang w:val="es-GT"/>
        </w:rPr>
        <w:t xml:space="preserve">Marcelo Hilario Quispe y </w:t>
      </w:r>
      <w:r w:rsidRPr="002964A7" w:rsidDel="008B17C5">
        <w:rPr>
          <w:rFonts w:ascii="Verdana" w:hAnsi="Verdana" w:cs="Helvetica"/>
          <w:bCs/>
          <w:sz w:val="20"/>
          <w:szCs w:val="20"/>
          <w:lang w:val="es-GT"/>
        </w:rPr>
        <w:t>Gregorio Hilario Quispe</w:t>
      </w:r>
      <w:r w:rsidRPr="002964A7">
        <w:rPr>
          <w:rFonts w:ascii="Verdana" w:hAnsi="Verdana"/>
          <w:sz w:val="20"/>
          <w:szCs w:val="20"/>
          <w:lang w:val="es-GT"/>
        </w:rPr>
        <w:t xml:space="preserve"> se dirigieron a la entrada de la mina llamada “Misteriosa” o “Vallarón”, en donde observaron restos de cuerpos humanos e identificaron las pertenencias de algunos de sus familiares. Asimismo, lograron reconocer, dentro de dichos restos, los cuerpos de </w:t>
      </w:r>
      <w:r w:rsidRPr="002964A7">
        <w:rPr>
          <w:rFonts w:ascii="Verdana" w:hAnsi="Verdana" w:cs="Arial"/>
          <w:sz w:val="20"/>
          <w:szCs w:val="20"/>
          <w:lang w:val="es-GT"/>
        </w:rPr>
        <w:t xml:space="preserve">Antonia Hilario Quispe y su hija, </w:t>
      </w:r>
      <w:r w:rsidRPr="002964A7">
        <w:rPr>
          <w:rFonts w:ascii="Verdana" w:hAnsi="Verdana"/>
          <w:sz w:val="20"/>
          <w:szCs w:val="20"/>
          <w:lang w:val="es-GT"/>
        </w:rPr>
        <w:t>Miriam</w:t>
      </w:r>
      <w:r w:rsidRPr="002964A7">
        <w:rPr>
          <w:rFonts w:ascii="Verdana" w:hAnsi="Verdana" w:cs="Arial"/>
          <w:sz w:val="20"/>
          <w:szCs w:val="20"/>
          <w:lang w:val="es-GT"/>
        </w:rPr>
        <w:t xml:space="preserve"> Osnayo Hilario. Por su parte, </w:t>
      </w:r>
      <w:r w:rsidRPr="002964A7">
        <w:rPr>
          <w:rFonts w:ascii="Verdana" w:hAnsi="Verdana"/>
          <w:sz w:val="20"/>
          <w:szCs w:val="20"/>
          <w:lang w:val="es-GT"/>
        </w:rPr>
        <w:t>Zenón Cirilo Osnayo Tunque logró también reconocer el cuerpo de su hija de 8 meses,</w:t>
      </w:r>
      <w:r w:rsidRPr="002964A7">
        <w:rPr>
          <w:rFonts w:ascii="Verdana" w:hAnsi="Verdana" w:cs="Arial"/>
          <w:sz w:val="20"/>
          <w:szCs w:val="20"/>
          <w:lang w:val="es-GT"/>
        </w:rPr>
        <w:t xml:space="preserve"> Edith Osnayo Hilario, y los de </w:t>
      </w:r>
      <w:r w:rsidRPr="002964A7">
        <w:rPr>
          <w:rFonts w:ascii="Verdana" w:hAnsi="Verdana"/>
          <w:sz w:val="20"/>
          <w:szCs w:val="20"/>
          <w:lang w:val="es-GT"/>
        </w:rPr>
        <w:t>Ramón</w:t>
      </w:r>
      <w:r w:rsidRPr="002964A7">
        <w:rPr>
          <w:rFonts w:ascii="Verdana" w:hAnsi="Verdana" w:cs="Arial"/>
          <w:sz w:val="20"/>
          <w:szCs w:val="20"/>
          <w:lang w:val="es-GT"/>
        </w:rPr>
        <w:t xml:space="preserve"> Hilario Morán y el hijo de </w:t>
      </w:r>
      <w:r w:rsidR="00335E16">
        <w:rPr>
          <w:rFonts w:ascii="Verdana" w:hAnsi="Verdana" w:cs="Arial"/>
          <w:sz w:val="20"/>
          <w:szCs w:val="20"/>
          <w:lang w:val="es-GT"/>
        </w:rPr>
        <w:t>e</w:t>
      </w:r>
      <w:r w:rsidRPr="002964A7">
        <w:rPr>
          <w:rFonts w:ascii="Verdana" w:hAnsi="Verdana" w:cs="Arial"/>
          <w:sz w:val="20"/>
          <w:szCs w:val="20"/>
          <w:lang w:val="es-GT"/>
        </w:rPr>
        <w:t>ste, el niño Héctor Hilario Guillén</w:t>
      </w:r>
      <w:r>
        <w:rPr>
          <w:rFonts w:ascii="Verdana" w:hAnsi="Verdana"/>
          <w:sz w:val="20"/>
          <w:szCs w:val="20"/>
          <w:lang w:val="es-GT"/>
        </w:rPr>
        <w:t>. A</w:t>
      </w:r>
      <w:r w:rsidRPr="002964A7">
        <w:rPr>
          <w:rFonts w:ascii="Verdana" w:hAnsi="Verdana"/>
          <w:sz w:val="20"/>
          <w:szCs w:val="20"/>
          <w:lang w:val="es-GT"/>
        </w:rPr>
        <w:t>demás, observó tierra fresca removida, cartuchos de dinamita destrozados y guías de dinamita entrecortadas</w:t>
      </w:r>
      <w:r w:rsidRPr="002964A7">
        <w:rPr>
          <w:rFonts w:ascii="Verdana" w:eastAsia="Times New Roman" w:hAnsi="Verdana"/>
          <w:sz w:val="20"/>
          <w:szCs w:val="20"/>
          <w:vertAlign w:val="superscript"/>
          <w:lang w:val="en-US"/>
        </w:rPr>
        <w:footnoteReference w:id="79"/>
      </w:r>
      <w:r w:rsidRPr="002964A7">
        <w:rPr>
          <w:rFonts w:ascii="Verdana" w:hAnsi="Verdana"/>
          <w:sz w:val="20"/>
          <w:szCs w:val="20"/>
          <w:lang w:val="es-GT"/>
        </w:rPr>
        <w:t>.</w:t>
      </w:r>
    </w:p>
    <w:p w:rsidR="00106A1E" w:rsidRPr="002964A7" w:rsidRDefault="00106A1E" w:rsidP="00106A1E">
      <w:pPr>
        <w:spacing w:after="0" w:line="240" w:lineRule="auto"/>
        <w:contextualSpacing/>
        <w:jc w:val="both"/>
        <w:rPr>
          <w:rFonts w:ascii="Verdana" w:hAnsi="Verdana"/>
          <w:sz w:val="20"/>
          <w:szCs w:val="20"/>
          <w:lang w:val="es-GT"/>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GT"/>
        </w:rPr>
      </w:pPr>
      <w:r w:rsidRPr="002964A7">
        <w:rPr>
          <w:rFonts w:ascii="Verdana" w:hAnsi="Verdana"/>
          <w:sz w:val="20"/>
          <w:szCs w:val="20"/>
          <w:lang w:val="es-GT"/>
        </w:rPr>
        <w:t xml:space="preserve">Por su parte, el 11 de julio de 1991 y en la búsqueda de sus familiares, el señor Viviano Hilario Mancha encontró en la entrada de la mina llamada “Misteriosa” o </w:t>
      </w:r>
      <w:r w:rsidRPr="002964A7">
        <w:rPr>
          <w:rFonts w:ascii="Verdana" w:hAnsi="Verdana"/>
          <w:sz w:val="20"/>
          <w:szCs w:val="20"/>
          <w:lang w:val="es-GT"/>
        </w:rPr>
        <w:lastRenderedPageBreak/>
        <w:t>“Vallarón”</w:t>
      </w:r>
      <w:r>
        <w:rPr>
          <w:rFonts w:ascii="Verdana" w:hAnsi="Verdana"/>
          <w:sz w:val="20"/>
          <w:szCs w:val="20"/>
          <w:lang w:val="es-GT"/>
        </w:rPr>
        <w:t>,</w:t>
      </w:r>
      <w:r w:rsidRPr="002964A7">
        <w:rPr>
          <w:rFonts w:ascii="Verdana" w:hAnsi="Verdana"/>
          <w:sz w:val="20"/>
          <w:szCs w:val="20"/>
          <w:lang w:val="es-GT"/>
        </w:rPr>
        <w:t xml:space="preserve"> un perro con el hocico manchado con sangre, por lo que se asomó a la entrada de </w:t>
      </w:r>
      <w:r>
        <w:rPr>
          <w:rFonts w:ascii="Verdana" w:hAnsi="Verdana"/>
          <w:sz w:val="20"/>
          <w:szCs w:val="20"/>
          <w:lang w:val="es-GT"/>
        </w:rPr>
        <w:t>e</w:t>
      </w:r>
      <w:r w:rsidRPr="002964A7">
        <w:rPr>
          <w:rFonts w:ascii="Verdana" w:hAnsi="Verdana"/>
          <w:sz w:val="20"/>
          <w:szCs w:val="20"/>
          <w:lang w:val="es-GT"/>
        </w:rPr>
        <w:t>sta. A diferencia de lo ocurrido el 8 de julio</w:t>
      </w:r>
      <w:r>
        <w:rPr>
          <w:rFonts w:ascii="Verdana" w:hAnsi="Verdana"/>
          <w:sz w:val="20"/>
          <w:szCs w:val="20"/>
          <w:lang w:val="es-GT"/>
        </w:rPr>
        <w:t>, cuando</w:t>
      </w:r>
      <w:r w:rsidRPr="002964A7">
        <w:rPr>
          <w:rFonts w:ascii="Verdana" w:hAnsi="Verdana"/>
          <w:sz w:val="20"/>
          <w:szCs w:val="20"/>
          <w:lang w:val="es-GT"/>
        </w:rPr>
        <w:t xml:space="preserve"> los familiares reconocieron al menos a cinco de las víctimas (</w:t>
      </w:r>
      <w:r w:rsidRPr="002964A7">
        <w:rPr>
          <w:rFonts w:ascii="Verdana" w:hAnsi="Verdana"/>
          <w:i/>
          <w:sz w:val="20"/>
          <w:szCs w:val="20"/>
          <w:lang w:val="es-GT"/>
        </w:rPr>
        <w:t>supra</w:t>
      </w:r>
      <w:r w:rsidRPr="002964A7">
        <w:rPr>
          <w:rFonts w:ascii="Verdana" w:hAnsi="Verdana"/>
          <w:sz w:val="20"/>
          <w:szCs w:val="20"/>
          <w:lang w:val="es-GT"/>
        </w:rPr>
        <w:t xml:space="preserve"> párr. </w:t>
      </w:r>
      <w:r>
        <w:rPr>
          <w:rFonts w:ascii="Verdana" w:hAnsi="Verdana"/>
          <w:sz w:val="20"/>
          <w:szCs w:val="20"/>
          <w:lang w:val="es-GT"/>
        </w:rPr>
        <w:t>93</w:t>
      </w:r>
      <w:r w:rsidRPr="002964A7">
        <w:rPr>
          <w:rFonts w:ascii="Verdana" w:hAnsi="Verdana"/>
          <w:sz w:val="20"/>
          <w:szCs w:val="20"/>
          <w:lang w:val="es-GT"/>
        </w:rPr>
        <w:t>), el señor Viviano Hilario Mancha únicamente observó restos de cuerpos humanos semienterrados que no pudo reconocer y, entre ellos, el cadáver semienterrado de su nieto Héctor Hilario Guillén. Además, en la entrada de la mina observó dos paquetes de dinamita y, pensando que iba a explotar, se alejó del lugar</w:t>
      </w:r>
      <w:r w:rsidRPr="002964A7">
        <w:rPr>
          <w:rFonts w:ascii="Verdana" w:eastAsia="Times New Roman" w:hAnsi="Verdana"/>
          <w:sz w:val="20"/>
          <w:szCs w:val="20"/>
          <w:vertAlign w:val="superscript"/>
          <w:lang w:val="en-US"/>
        </w:rPr>
        <w:footnoteReference w:id="80"/>
      </w:r>
      <w:r w:rsidRPr="002964A7">
        <w:rPr>
          <w:rFonts w:ascii="Verdana" w:hAnsi="Verdana"/>
          <w:sz w:val="20"/>
          <w:szCs w:val="20"/>
          <w:lang w:val="es-GT"/>
        </w:rPr>
        <w:t>.</w:t>
      </w:r>
    </w:p>
    <w:p w:rsidR="00106A1E" w:rsidRPr="002964A7" w:rsidRDefault="001154F9" w:rsidP="005A69BF">
      <w:pPr>
        <w:pStyle w:val="Heading3"/>
        <w:spacing w:line="240" w:lineRule="auto"/>
        <w:jc w:val="both"/>
        <w:rPr>
          <w:lang w:val="es-GT"/>
        </w:rPr>
      </w:pPr>
      <w:bookmarkStart w:id="139" w:name="_Toc423102534"/>
      <w:bookmarkStart w:id="140" w:name="_Toc433387487"/>
      <w:r>
        <w:rPr>
          <w:iCs/>
          <w:lang w:val="es-GT"/>
        </w:rPr>
        <w:t>D</w:t>
      </w:r>
      <w:r w:rsidR="00A312BA">
        <w:rPr>
          <w:iCs/>
          <w:lang w:val="es-GT"/>
        </w:rPr>
        <w:t>.</w:t>
      </w:r>
      <w:r>
        <w:rPr>
          <w:iCs/>
          <w:lang w:val="es-GT"/>
        </w:rPr>
        <w:t xml:space="preserve"> </w:t>
      </w:r>
      <w:r w:rsidR="00106A1E" w:rsidRPr="002964A7">
        <w:rPr>
          <w:iCs/>
          <w:lang w:val="es-GT"/>
        </w:rPr>
        <w:t>Denuncias</w:t>
      </w:r>
      <w:r w:rsidR="00106A1E" w:rsidRPr="002964A7">
        <w:rPr>
          <w:lang w:val="es-GT"/>
        </w:rPr>
        <w:t xml:space="preserve"> interpuestas, así como diligencia de levantamiento de restos humanos y evidencias encontradas</w:t>
      </w:r>
      <w:bookmarkEnd w:id="139"/>
      <w:bookmarkEnd w:id="140"/>
    </w:p>
    <w:p w:rsidR="00106A1E" w:rsidRPr="002964A7" w:rsidRDefault="00106A1E" w:rsidP="00106A1E">
      <w:pPr>
        <w:spacing w:after="0" w:line="240" w:lineRule="auto"/>
        <w:contextualSpacing/>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El </w:t>
      </w:r>
      <w:r w:rsidRPr="002964A7">
        <w:rPr>
          <w:rFonts w:ascii="Verdana" w:hAnsi="Verdana"/>
          <w:sz w:val="20"/>
          <w:szCs w:val="20"/>
          <w:lang w:val="es-GT"/>
        </w:rPr>
        <w:t xml:space="preserve">8 </w:t>
      </w:r>
      <w:r w:rsidRPr="002964A7">
        <w:rPr>
          <w:rFonts w:ascii="Verdana" w:hAnsi="Verdana" w:cs="Arial"/>
          <w:sz w:val="20"/>
          <w:szCs w:val="20"/>
          <w:lang w:val="es-GT"/>
        </w:rPr>
        <w:t xml:space="preserve">de julio de 1991 el señor Zósimo Hilario Quispe presentó una denuncia ante la Fiscalía Especial de Prevención del Delito de Huancavelica por la detención y desaparición de </w:t>
      </w:r>
      <w:r>
        <w:rPr>
          <w:rFonts w:ascii="Verdana" w:hAnsi="Verdana" w:cs="Arial"/>
          <w:sz w:val="20"/>
          <w:szCs w:val="20"/>
          <w:lang w:val="es-GT"/>
        </w:rPr>
        <w:t>nueve de sus familiares</w:t>
      </w:r>
      <w:r w:rsidRPr="002964A7">
        <w:rPr>
          <w:rFonts w:ascii="Verdana" w:hAnsi="Verdana" w:cs="Arial"/>
          <w:sz w:val="20"/>
          <w:szCs w:val="20"/>
          <w:lang w:val="es-GT"/>
        </w:rPr>
        <w:t xml:space="preserve">, quienes habrían sido llevados por 50 soldados del Ejército </w:t>
      </w:r>
      <w:r w:rsidRPr="002964A7">
        <w:rPr>
          <w:rFonts w:ascii="Verdana" w:hAnsi="Verdana"/>
          <w:sz w:val="20"/>
          <w:szCs w:val="20"/>
          <w:lang w:val="es-GT"/>
        </w:rPr>
        <w:t xml:space="preserve">y </w:t>
      </w:r>
      <w:r w:rsidRPr="002964A7">
        <w:rPr>
          <w:rFonts w:ascii="Verdana" w:hAnsi="Verdana" w:cs="Arial"/>
          <w:sz w:val="20"/>
          <w:szCs w:val="20"/>
          <w:lang w:val="es-GT"/>
        </w:rPr>
        <w:t xml:space="preserve">civiles con dirección al distrito de Lircay el día </w:t>
      </w:r>
      <w:r w:rsidRPr="002964A7">
        <w:rPr>
          <w:rFonts w:ascii="Verdana" w:hAnsi="Verdana"/>
          <w:sz w:val="20"/>
          <w:szCs w:val="20"/>
          <w:lang w:val="es-GT"/>
        </w:rPr>
        <w:t xml:space="preserve">4 </w:t>
      </w:r>
      <w:r w:rsidRPr="002964A7">
        <w:rPr>
          <w:rFonts w:ascii="Verdana" w:hAnsi="Verdana" w:cs="Arial"/>
          <w:sz w:val="20"/>
          <w:szCs w:val="20"/>
          <w:lang w:val="es-GT"/>
        </w:rPr>
        <w:t>de julio de 1991</w:t>
      </w:r>
      <w:r w:rsidRPr="002964A7">
        <w:rPr>
          <w:rFonts w:ascii="Verdana" w:eastAsia="Times New Roman" w:hAnsi="Verdana"/>
          <w:sz w:val="20"/>
          <w:szCs w:val="20"/>
          <w:vertAlign w:val="superscript"/>
          <w:lang w:val="en-US"/>
        </w:rPr>
        <w:footnoteReference w:id="81"/>
      </w:r>
      <w:r w:rsidRPr="002964A7">
        <w:rPr>
          <w:rFonts w:ascii="Verdana" w:hAnsi="Verdana" w:cs="Arial"/>
          <w:sz w:val="20"/>
          <w:szCs w:val="20"/>
          <w:lang w:val="es-GT"/>
        </w:rPr>
        <w:t xml:space="preserve">. El 10 de julio de 1991 la Fiscal Provincial Especial de Prevención del Delito de Huancavelica cursó un oficio al Jefe Político Militar de Ayacucho a fin de ponerlo en conocimiento sobre la denuncia presentada por el </w:t>
      </w:r>
      <w:r w:rsidRPr="002964A7">
        <w:rPr>
          <w:rFonts w:ascii="Verdana" w:hAnsi="Verdana" w:cs="HiddenHorzOCR"/>
          <w:sz w:val="20"/>
          <w:szCs w:val="20"/>
          <w:lang w:val="es-GT"/>
        </w:rPr>
        <w:t xml:space="preserve">señor </w:t>
      </w:r>
      <w:r w:rsidRPr="002964A7">
        <w:rPr>
          <w:rFonts w:ascii="Verdana" w:hAnsi="Verdana" w:cs="Arial"/>
          <w:sz w:val="20"/>
          <w:szCs w:val="20"/>
          <w:lang w:val="es-GT"/>
        </w:rPr>
        <w:t>Zósimo Hilario Quispe, y para que informara si los detenidos habían sido llevados a la Base Militar de Lircay</w:t>
      </w:r>
      <w:r w:rsidRPr="002964A7">
        <w:rPr>
          <w:rFonts w:ascii="Verdana" w:eastAsia="Times New Roman" w:hAnsi="Verdana" w:cs="Arial"/>
          <w:sz w:val="20"/>
          <w:szCs w:val="20"/>
          <w:vertAlign w:val="superscript"/>
          <w:lang w:val="en-US"/>
        </w:rPr>
        <w:footnoteReference w:id="82"/>
      </w:r>
      <w:r w:rsidRPr="002964A7">
        <w:rPr>
          <w:rFonts w:ascii="Verdana" w:hAnsi="Verdana" w:cs="Arial"/>
          <w:sz w:val="20"/>
          <w:szCs w:val="20"/>
          <w:lang w:val="es-GT"/>
        </w:rPr>
        <w:t>.</w:t>
      </w:r>
      <w:r w:rsidRPr="002964A7">
        <w:rPr>
          <w:rFonts w:ascii="Verdana" w:hAnsi="Verdana"/>
          <w:sz w:val="20"/>
          <w:szCs w:val="20"/>
          <w:lang w:val="es-GT"/>
        </w:rPr>
        <w:t xml:space="preserve"> El Ejército negó dicha detención mediante oficio de 11 de julio de 1991</w:t>
      </w:r>
      <w:r w:rsidRPr="002964A7">
        <w:rPr>
          <w:rFonts w:ascii="Verdana" w:eastAsia="Times New Roman" w:hAnsi="Verdana"/>
          <w:sz w:val="20"/>
          <w:szCs w:val="20"/>
          <w:vertAlign w:val="superscript"/>
          <w:lang w:val="en-US"/>
        </w:rPr>
        <w:footnoteReference w:id="83"/>
      </w:r>
      <w:r w:rsidRPr="002964A7">
        <w:rPr>
          <w:rFonts w:ascii="Verdana" w:hAnsi="Verdana" w:cs="Arial"/>
          <w:sz w:val="20"/>
          <w:szCs w:val="20"/>
          <w:lang w:val="es-GT"/>
        </w:rPr>
        <w:t xml:space="preserve">. El 22 de julio de 1991 dicha Fiscal reiteró el oficio de 10 de julio de 1991 </w:t>
      </w:r>
      <w:r w:rsidRPr="002964A7">
        <w:rPr>
          <w:rFonts w:ascii="Verdana" w:hAnsi="Verdana" w:cs="HiddenHorzOCR"/>
          <w:sz w:val="20"/>
          <w:szCs w:val="20"/>
          <w:lang w:val="es-GT"/>
        </w:rPr>
        <w:t xml:space="preserve">con </w:t>
      </w:r>
      <w:r w:rsidRPr="002964A7">
        <w:rPr>
          <w:rFonts w:ascii="Verdana" w:hAnsi="Verdana" w:cs="Arial"/>
          <w:sz w:val="20"/>
          <w:szCs w:val="20"/>
          <w:lang w:val="es-GT"/>
        </w:rPr>
        <w:t xml:space="preserve">el fin que se informara sobre las acciones de patrullaje realizadas por las Bases Militares de Huancavelica, Lircay, Acobamba </w:t>
      </w:r>
      <w:r w:rsidRPr="002964A7">
        <w:rPr>
          <w:rFonts w:ascii="Verdana" w:hAnsi="Verdana"/>
          <w:sz w:val="20"/>
          <w:szCs w:val="20"/>
          <w:lang w:val="es-GT"/>
        </w:rPr>
        <w:t xml:space="preserve">y </w:t>
      </w:r>
      <w:r w:rsidRPr="002964A7">
        <w:rPr>
          <w:rFonts w:ascii="Verdana" w:hAnsi="Verdana" w:cs="Arial"/>
          <w:sz w:val="20"/>
          <w:szCs w:val="20"/>
          <w:lang w:val="es-GT"/>
        </w:rPr>
        <w:t>Mantas los días 3 y 4 de julio de 1991, tras lo cual el Jefe Político Militar de Huancavelica respondió</w:t>
      </w:r>
      <w:r>
        <w:rPr>
          <w:rFonts w:ascii="Verdana" w:hAnsi="Verdana" w:cs="Arial"/>
          <w:sz w:val="20"/>
          <w:szCs w:val="20"/>
          <w:lang w:val="es-GT"/>
        </w:rPr>
        <w:t xml:space="preserve"> (</w:t>
      </w:r>
      <w:r>
        <w:rPr>
          <w:rFonts w:ascii="Verdana" w:hAnsi="Verdana" w:cs="Arial"/>
          <w:i/>
          <w:sz w:val="20"/>
          <w:szCs w:val="20"/>
          <w:lang w:val="es-GT"/>
        </w:rPr>
        <w:t xml:space="preserve">infra </w:t>
      </w:r>
      <w:r>
        <w:rPr>
          <w:rFonts w:ascii="Verdana" w:hAnsi="Verdana" w:cs="Arial"/>
          <w:sz w:val="20"/>
          <w:szCs w:val="20"/>
          <w:lang w:val="es-GT"/>
        </w:rPr>
        <w:t>párr. 239)</w:t>
      </w:r>
      <w:r w:rsidRPr="002964A7">
        <w:rPr>
          <w:rFonts w:ascii="Verdana" w:eastAsia="Times New Roman" w:hAnsi="Verdana" w:cs="Arial"/>
          <w:sz w:val="20"/>
          <w:szCs w:val="20"/>
          <w:vertAlign w:val="superscript"/>
          <w:lang w:val="en-US"/>
        </w:rPr>
        <w:footnoteReference w:id="84"/>
      </w:r>
      <w:r w:rsidRPr="002964A7">
        <w:rPr>
          <w:rFonts w:ascii="Verdana" w:hAnsi="Verdana" w:cs="Arial"/>
          <w:sz w:val="20"/>
          <w:szCs w:val="20"/>
          <w:lang w:val="es-GT"/>
        </w:rPr>
        <w:t xml:space="preserve">. </w:t>
      </w:r>
    </w:p>
    <w:p w:rsidR="00106A1E" w:rsidRPr="002964A7" w:rsidRDefault="00106A1E" w:rsidP="00106A1E">
      <w:pPr>
        <w:spacing w:after="0" w:line="240" w:lineRule="auto"/>
        <w:contextualSpacing/>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De igual modo, el </w:t>
      </w:r>
      <w:r w:rsidRPr="002964A7">
        <w:rPr>
          <w:rFonts w:ascii="Verdana" w:hAnsi="Verdana"/>
          <w:sz w:val="20"/>
          <w:szCs w:val="20"/>
          <w:lang w:val="es-GT"/>
        </w:rPr>
        <w:t xml:space="preserve">8 </w:t>
      </w:r>
      <w:r w:rsidRPr="002964A7">
        <w:rPr>
          <w:rFonts w:ascii="Verdana" w:hAnsi="Verdana" w:cs="Arial"/>
          <w:sz w:val="20"/>
          <w:szCs w:val="20"/>
          <w:lang w:val="es-GT"/>
        </w:rPr>
        <w:t xml:space="preserve">de julio de 1991 el señor Nicolás Hilario Morán, Presidente del Consejo de Administración de la comunidad campesina de Santa Bárbara, y Lorenzo Quispe </w:t>
      </w:r>
      <w:r w:rsidRPr="002964A7">
        <w:rPr>
          <w:rFonts w:ascii="Verdana" w:hAnsi="Verdana"/>
          <w:sz w:val="20"/>
          <w:szCs w:val="20"/>
          <w:lang w:eastAsia="es-CR"/>
        </w:rPr>
        <w:t>Huamán</w:t>
      </w:r>
      <w:r w:rsidRPr="002964A7">
        <w:rPr>
          <w:rFonts w:ascii="Verdana" w:hAnsi="Verdana" w:cs="Arial"/>
          <w:sz w:val="20"/>
          <w:szCs w:val="20"/>
          <w:lang w:val="es-GT"/>
        </w:rPr>
        <w:t>, Fiscal de la comunidad de Santa Bárbara, presentaron una denuncia ante la Fiscalía Especial de Prevención del Delito de Huancavelica</w:t>
      </w:r>
      <w:r>
        <w:rPr>
          <w:rFonts w:ascii="Verdana" w:hAnsi="Verdana" w:cs="Arial"/>
          <w:sz w:val="20"/>
          <w:szCs w:val="20"/>
          <w:lang w:val="es-GT"/>
        </w:rPr>
        <w:t>,</w:t>
      </w:r>
      <w:r w:rsidRPr="002964A7">
        <w:rPr>
          <w:rFonts w:ascii="Verdana" w:hAnsi="Verdana" w:cs="Arial"/>
          <w:sz w:val="20"/>
          <w:szCs w:val="20"/>
          <w:lang w:val="es-GT"/>
        </w:rPr>
        <w:t xml:space="preserve"> por el secuestro y desaparición de las 14 personas de la comunidad, entre los que se encontrarían ancianos, niñas y niños, así como el robo de sus pertenecías, animales y víveres, </w:t>
      </w:r>
      <w:r w:rsidRPr="002964A7">
        <w:rPr>
          <w:rFonts w:ascii="Verdana" w:hAnsi="Verdana"/>
          <w:sz w:val="20"/>
          <w:szCs w:val="20"/>
          <w:lang w:val="es-GT"/>
        </w:rPr>
        <w:t>todo ello ocurrido el 4 de julio de 1991 por efectivos del ejército y siete civiles. Asimismo, solicitaron al Fiscal que tomara las medidas precautorias pertinentes y practicara la diligencia de inspección ocular en el lugar de los hechos</w:t>
      </w:r>
      <w:r w:rsidRPr="002964A7">
        <w:rPr>
          <w:rFonts w:ascii="Verdana" w:eastAsia="Times New Roman" w:hAnsi="Verdana" w:cs="Arial"/>
          <w:sz w:val="20"/>
          <w:szCs w:val="20"/>
          <w:vertAlign w:val="superscript"/>
          <w:lang w:val="en-US"/>
        </w:rPr>
        <w:footnoteReference w:id="85"/>
      </w:r>
      <w:r w:rsidRPr="002964A7">
        <w:rPr>
          <w:rFonts w:ascii="Verdana" w:hAnsi="Verdana" w:cs="Arial"/>
          <w:sz w:val="20"/>
          <w:szCs w:val="20"/>
          <w:lang w:val="es-GT"/>
        </w:rPr>
        <w:t>.</w:t>
      </w:r>
    </w:p>
    <w:p w:rsidR="00106A1E" w:rsidRPr="002964A7" w:rsidRDefault="00106A1E" w:rsidP="00106A1E">
      <w:pPr>
        <w:spacing w:after="0" w:line="240" w:lineRule="auto"/>
        <w:jc w:val="both"/>
        <w:rPr>
          <w:rFonts w:ascii="Verdana" w:hAnsi="Verdana"/>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sz w:val="20"/>
          <w:szCs w:val="20"/>
          <w:lang w:val="es-GT"/>
        </w:rPr>
        <w:t xml:space="preserve">El 9 de julio de 1991 el señor Viviano Hilario Mancha presentó una denuncia ante la Fiscalía </w:t>
      </w:r>
      <w:r w:rsidRPr="002964A7">
        <w:rPr>
          <w:rFonts w:ascii="Verdana" w:hAnsi="Verdana"/>
          <w:sz w:val="20"/>
          <w:szCs w:val="20"/>
          <w:lang w:eastAsia="es-CR"/>
        </w:rPr>
        <w:t>Especial</w:t>
      </w:r>
      <w:r w:rsidRPr="002964A7">
        <w:rPr>
          <w:rFonts w:ascii="Verdana" w:hAnsi="Verdana" w:cs="Arial"/>
          <w:sz w:val="20"/>
          <w:szCs w:val="20"/>
          <w:lang w:val="es-GT"/>
        </w:rPr>
        <w:t xml:space="preserve"> de Prevención del Delito de Huancavelica</w:t>
      </w:r>
      <w:r w:rsidRPr="002964A7">
        <w:rPr>
          <w:rFonts w:ascii="Verdana" w:hAnsi="Verdana"/>
          <w:sz w:val="20"/>
          <w:szCs w:val="20"/>
          <w:lang w:val="es-GT"/>
        </w:rPr>
        <w:t xml:space="preserve">, en la que señaló que el 4 de julio de 1991 soldados del Ejército, acompañados de civiles, se habían llevado de su casa a </w:t>
      </w:r>
      <w:r w:rsidRPr="002964A7">
        <w:rPr>
          <w:rFonts w:ascii="Verdana" w:hAnsi="Verdana"/>
          <w:sz w:val="20"/>
          <w:szCs w:val="20"/>
          <w:lang w:val="es-GT"/>
        </w:rPr>
        <w:lastRenderedPageBreak/>
        <w:t>su hijo Ramón Hilario Morán, la esposa de su hijo, Dionicia Guillén Riveros, sus dos hijos menores, y bienes de la casa</w:t>
      </w:r>
      <w:r w:rsidRPr="002964A7">
        <w:rPr>
          <w:rFonts w:ascii="Verdana" w:eastAsia="Times New Roman" w:hAnsi="Verdana"/>
          <w:sz w:val="20"/>
          <w:szCs w:val="20"/>
          <w:vertAlign w:val="superscript"/>
          <w:lang w:val="en-US"/>
        </w:rPr>
        <w:footnoteReference w:id="86"/>
      </w:r>
      <w:r w:rsidRPr="002964A7">
        <w:rPr>
          <w:rFonts w:ascii="Verdana" w:hAnsi="Verdana"/>
          <w:sz w:val="20"/>
          <w:szCs w:val="20"/>
          <w:lang w:val="es-GT"/>
        </w:rPr>
        <w:t xml:space="preserve">. </w:t>
      </w:r>
    </w:p>
    <w:p w:rsidR="00106A1E" w:rsidRPr="002964A7" w:rsidRDefault="00106A1E" w:rsidP="00106A1E">
      <w:pPr>
        <w:spacing w:after="0" w:line="240" w:lineRule="auto"/>
        <w:rPr>
          <w:rFonts w:ascii="Verdana" w:hAnsi="Verdana"/>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sz w:val="20"/>
          <w:szCs w:val="20"/>
          <w:lang w:val="es-GT"/>
        </w:rPr>
        <w:t>El 12 de julio de 1991 el señor Viviano Hilario Mancha nuevamente presentó ante dicha Fiscalía una denuncia por el delito de homicidio en agravio de su hijo Ramón</w:t>
      </w:r>
      <w:r w:rsidRPr="002964A7">
        <w:rPr>
          <w:rFonts w:ascii="Verdana" w:hAnsi="Verdana" w:cs="Arial"/>
          <w:sz w:val="20"/>
          <w:szCs w:val="20"/>
          <w:lang w:val="es-GT"/>
        </w:rPr>
        <w:t xml:space="preserve"> Hilario Morán y </w:t>
      </w:r>
      <w:r w:rsidRPr="002964A7">
        <w:rPr>
          <w:rFonts w:ascii="Verdana" w:hAnsi="Verdana"/>
          <w:sz w:val="20"/>
          <w:szCs w:val="20"/>
          <w:lang w:eastAsia="es-CR"/>
        </w:rPr>
        <w:t>otros</w:t>
      </w:r>
      <w:r>
        <w:rPr>
          <w:rFonts w:ascii="Verdana" w:hAnsi="Verdana"/>
          <w:sz w:val="20"/>
          <w:szCs w:val="20"/>
          <w:lang w:eastAsia="es-CR"/>
        </w:rPr>
        <w:t>,</w:t>
      </w:r>
      <w:r w:rsidRPr="002964A7">
        <w:rPr>
          <w:rFonts w:ascii="Verdana" w:hAnsi="Verdana" w:cs="Arial"/>
          <w:sz w:val="20"/>
          <w:szCs w:val="20"/>
          <w:lang w:val="es-GT"/>
        </w:rPr>
        <w:t xml:space="preserve"> por miembros del Ejército peruano</w:t>
      </w:r>
      <w:r w:rsidRPr="002964A7">
        <w:rPr>
          <w:rFonts w:ascii="Verdana" w:eastAsia="Times New Roman" w:hAnsi="Verdana" w:cs="Arial"/>
          <w:sz w:val="20"/>
          <w:szCs w:val="20"/>
          <w:vertAlign w:val="superscript"/>
          <w:lang w:val="en-US"/>
        </w:rPr>
        <w:footnoteReference w:id="87"/>
      </w:r>
      <w:r w:rsidRPr="002964A7">
        <w:rPr>
          <w:rFonts w:ascii="Verdana" w:hAnsi="Verdana" w:cs="Arial"/>
          <w:sz w:val="20"/>
          <w:szCs w:val="20"/>
          <w:lang w:val="es-GT"/>
        </w:rPr>
        <w:t xml:space="preserve">. </w:t>
      </w:r>
      <w:r w:rsidRPr="002964A7">
        <w:rPr>
          <w:rFonts w:ascii="Verdana" w:hAnsi="Verdana"/>
          <w:sz w:val="20"/>
          <w:szCs w:val="20"/>
          <w:lang w:val="es-GT"/>
        </w:rPr>
        <w:t>Ese mismo día, la directiva de la comunidad de Santa Bárbara informó a la Fiscalía Provincial Mixta de Huancavelica que los 14 comuneros secuestrados por los miembros del Ejército habían sido “hallados en el lugar de Chu</w:t>
      </w:r>
      <w:r>
        <w:rPr>
          <w:rFonts w:ascii="Verdana" w:hAnsi="Verdana"/>
          <w:sz w:val="20"/>
          <w:szCs w:val="20"/>
          <w:lang w:val="es-GT"/>
        </w:rPr>
        <w:t>[n]</w:t>
      </w:r>
      <w:r w:rsidRPr="002964A7">
        <w:rPr>
          <w:rFonts w:ascii="Verdana" w:hAnsi="Verdana"/>
          <w:sz w:val="20"/>
          <w:szCs w:val="20"/>
          <w:lang w:val="es-GT"/>
        </w:rPr>
        <w:t>omayo jurisdicción de Huachocolpa, muertos”, y que los mismos habían sido “identificados por sus familiares, Ponciano Hilario, Viviano Hilario y otros”, por lo que solicitó se realizara el levantamiento de los 14 cadáveres</w:t>
      </w:r>
      <w:r w:rsidRPr="002964A7">
        <w:rPr>
          <w:rFonts w:ascii="Verdana" w:eastAsia="Times New Roman" w:hAnsi="Verdana"/>
          <w:sz w:val="20"/>
          <w:szCs w:val="20"/>
          <w:vertAlign w:val="superscript"/>
          <w:lang w:val="en-US"/>
        </w:rPr>
        <w:footnoteReference w:id="88"/>
      </w:r>
      <w:r w:rsidRPr="002964A7">
        <w:rPr>
          <w:rFonts w:ascii="Verdana" w:hAnsi="Verdana"/>
          <w:sz w:val="20"/>
          <w:szCs w:val="20"/>
          <w:lang w:val="es-GT"/>
        </w:rPr>
        <w:t>.</w:t>
      </w:r>
    </w:p>
    <w:p w:rsidR="00106A1E" w:rsidRPr="002964A7" w:rsidRDefault="00106A1E" w:rsidP="00106A1E">
      <w:pPr>
        <w:spacing w:after="0" w:line="240" w:lineRule="auto"/>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En </w:t>
      </w:r>
      <w:r w:rsidRPr="002964A7">
        <w:rPr>
          <w:rFonts w:ascii="Verdana" w:hAnsi="Verdana"/>
          <w:sz w:val="20"/>
          <w:szCs w:val="20"/>
          <w:lang w:val="es-GT"/>
        </w:rPr>
        <w:t>respuesta</w:t>
      </w:r>
      <w:r w:rsidRPr="002964A7">
        <w:rPr>
          <w:rFonts w:ascii="Verdana" w:hAnsi="Verdana" w:cs="Arial"/>
          <w:sz w:val="20"/>
          <w:szCs w:val="20"/>
          <w:lang w:val="es-GT"/>
        </w:rPr>
        <w:t xml:space="preserve"> a las denuncias formuladas (</w:t>
      </w:r>
      <w:r w:rsidRPr="002964A7">
        <w:rPr>
          <w:rFonts w:ascii="Verdana" w:hAnsi="Verdana" w:cs="Arial"/>
          <w:i/>
          <w:sz w:val="20"/>
          <w:szCs w:val="20"/>
          <w:lang w:val="es-GT"/>
        </w:rPr>
        <w:t>supra</w:t>
      </w:r>
      <w:r w:rsidRPr="002964A7">
        <w:rPr>
          <w:rFonts w:ascii="Verdana" w:hAnsi="Verdana" w:cs="Arial"/>
          <w:sz w:val="20"/>
          <w:szCs w:val="20"/>
          <w:lang w:val="es-GT"/>
        </w:rPr>
        <w:t xml:space="preserve"> párr</w:t>
      </w:r>
      <w:r>
        <w:rPr>
          <w:rFonts w:ascii="Verdana" w:hAnsi="Verdana" w:cs="Arial"/>
          <w:sz w:val="20"/>
          <w:szCs w:val="20"/>
          <w:lang w:val="es-GT"/>
        </w:rPr>
        <w:t>s</w:t>
      </w:r>
      <w:r w:rsidRPr="002964A7">
        <w:rPr>
          <w:rFonts w:ascii="Verdana" w:hAnsi="Verdana" w:cs="Arial"/>
          <w:sz w:val="20"/>
          <w:szCs w:val="20"/>
          <w:lang w:val="es-GT"/>
        </w:rPr>
        <w:t xml:space="preserve">. </w:t>
      </w:r>
      <w:r>
        <w:rPr>
          <w:rFonts w:ascii="Verdana" w:hAnsi="Verdana" w:cs="Arial"/>
          <w:sz w:val="20"/>
          <w:szCs w:val="20"/>
          <w:lang w:val="es-GT"/>
        </w:rPr>
        <w:t>95 a 98</w:t>
      </w:r>
      <w:r w:rsidRPr="002964A7">
        <w:rPr>
          <w:rFonts w:ascii="Verdana" w:hAnsi="Verdana" w:cs="Arial"/>
          <w:sz w:val="20"/>
          <w:szCs w:val="20"/>
          <w:lang w:val="es-GT"/>
        </w:rPr>
        <w:t xml:space="preserve">), mediante las cuales también se había </w:t>
      </w:r>
      <w:r w:rsidRPr="002964A7">
        <w:rPr>
          <w:rFonts w:ascii="Verdana" w:hAnsi="Verdana"/>
          <w:sz w:val="20"/>
          <w:szCs w:val="20"/>
          <w:lang w:eastAsia="es-CR"/>
        </w:rPr>
        <w:t>informado</w:t>
      </w:r>
      <w:r w:rsidRPr="002964A7">
        <w:rPr>
          <w:rFonts w:ascii="Verdana" w:hAnsi="Verdana" w:cs="Arial"/>
          <w:sz w:val="20"/>
          <w:szCs w:val="20"/>
          <w:lang w:val="es-GT"/>
        </w:rPr>
        <w:t xml:space="preserve"> que los cadáveres se encontraban en una mina abandonada del lugar denominado “Rodeo-Pampa” del sector “Chunomayo”, personal de la Fiscalía Provincial Mixta de Huancavelica se dirigió el 14 de julio de 1991 hacia Lircay y al día siguiente a la Mina de Chuno</w:t>
      </w:r>
      <w:r>
        <w:rPr>
          <w:rFonts w:ascii="Verdana" w:hAnsi="Verdana" w:cs="Arial"/>
          <w:sz w:val="20"/>
          <w:szCs w:val="20"/>
          <w:lang w:val="es-GT"/>
        </w:rPr>
        <w:t>m</w:t>
      </w:r>
      <w:r w:rsidRPr="002964A7">
        <w:rPr>
          <w:rFonts w:ascii="Verdana" w:hAnsi="Verdana" w:cs="Arial"/>
          <w:sz w:val="20"/>
          <w:szCs w:val="20"/>
          <w:lang w:val="es-GT"/>
        </w:rPr>
        <w:t xml:space="preserve">ayo, guiados por </w:t>
      </w:r>
      <w:r w:rsidRPr="002964A7">
        <w:rPr>
          <w:rFonts w:ascii="Verdana" w:hAnsi="Verdana"/>
          <w:sz w:val="20"/>
          <w:szCs w:val="20"/>
          <w:lang w:val="es-GT"/>
        </w:rPr>
        <w:t xml:space="preserve">Viviano Hilario Mancha, </w:t>
      </w:r>
      <w:r w:rsidRPr="002964A7">
        <w:rPr>
          <w:rFonts w:ascii="Verdana" w:hAnsi="Verdana" w:cs="Arial"/>
          <w:sz w:val="20"/>
          <w:szCs w:val="20"/>
          <w:lang w:val="es-GT"/>
        </w:rPr>
        <w:t>sin encontrar nada</w:t>
      </w:r>
      <w:r>
        <w:rPr>
          <w:rFonts w:ascii="Verdana" w:hAnsi="Verdana" w:cs="Arial"/>
          <w:sz w:val="20"/>
          <w:szCs w:val="20"/>
          <w:lang w:val="es-GT"/>
        </w:rPr>
        <w:t>,</w:t>
      </w:r>
      <w:r w:rsidRPr="002964A7">
        <w:rPr>
          <w:rFonts w:ascii="Verdana" w:hAnsi="Verdana" w:cs="Arial"/>
          <w:sz w:val="20"/>
          <w:szCs w:val="20"/>
          <w:lang w:val="es-GT"/>
        </w:rPr>
        <w:t xml:space="preserve"> “pues al parecer se extraviaron llegando a [un] lugar equivocado”</w:t>
      </w:r>
      <w:r w:rsidRPr="002964A7">
        <w:rPr>
          <w:rFonts w:ascii="Verdana" w:eastAsia="Times New Roman" w:hAnsi="Verdana" w:cs="Arial"/>
          <w:sz w:val="20"/>
          <w:szCs w:val="20"/>
          <w:vertAlign w:val="superscript"/>
          <w:lang w:val="en-US"/>
        </w:rPr>
        <w:footnoteReference w:id="89"/>
      </w:r>
      <w:r w:rsidRPr="002964A7">
        <w:rPr>
          <w:rFonts w:ascii="Verdana" w:hAnsi="Verdana" w:cs="Arial"/>
          <w:sz w:val="20"/>
          <w:szCs w:val="20"/>
          <w:lang w:val="es-GT"/>
        </w:rPr>
        <w:t xml:space="preserve">. </w:t>
      </w:r>
    </w:p>
    <w:p w:rsidR="00106A1E" w:rsidRPr="002964A7" w:rsidRDefault="00106A1E" w:rsidP="00106A1E">
      <w:pPr>
        <w:spacing w:after="0" w:line="240" w:lineRule="auto"/>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El 17 de julio de 1991 el señor Nicolás Hilario Morán, Presidente del Consejo de Administración de la comunidad campesina de Santa Bárbara, y Máximo Pérez Torres, Tesorero de la </w:t>
      </w:r>
      <w:r w:rsidRPr="002964A7">
        <w:rPr>
          <w:rFonts w:ascii="Verdana" w:hAnsi="Verdana"/>
          <w:sz w:val="20"/>
          <w:szCs w:val="20"/>
          <w:lang w:eastAsia="es-CR"/>
        </w:rPr>
        <w:t>Agencia</w:t>
      </w:r>
      <w:r w:rsidRPr="002964A7">
        <w:rPr>
          <w:rFonts w:ascii="Verdana" w:hAnsi="Verdana" w:cs="Arial"/>
          <w:sz w:val="20"/>
          <w:szCs w:val="20"/>
          <w:lang w:val="es-GT"/>
        </w:rPr>
        <w:t xml:space="preserve"> Municipal de la misma comunidad, presentaron dos denuncias. La primera ante la Fiscalía Especial de la Defensoría del Pueblo y Derechos Humanos</w:t>
      </w:r>
      <w:r w:rsidRPr="002964A7">
        <w:rPr>
          <w:rFonts w:ascii="Verdana" w:eastAsia="Times New Roman" w:hAnsi="Verdana" w:cs="Arial"/>
          <w:sz w:val="20"/>
          <w:szCs w:val="20"/>
          <w:vertAlign w:val="superscript"/>
          <w:lang w:val="en-US"/>
        </w:rPr>
        <w:footnoteReference w:id="90"/>
      </w:r>
      <w:r w:rsidRPr="002964A7">
        <w:rPr>
          <w:rFonts w:ascii="Verdana" w:hAnsi="Verdana" w:cs="Arial"/>
          <w:sz w:val="20"/>
          <w:szCs w:val="20"/>
          <w:lang w:val="es-GT"/>
        </w:rPr>
        <w:t>, y la segunda ante el Ministro de Defensa</w:t>
      </w:r>
      <w:r w:rsidRPr="002964A7">
        <w:rPr>
          <w:rFonts w:ascii="Verdana" w:eastAsia="Times New Roman" w:hAnsi="Verdana" w:cs="Arial"/>
          <w:sz w:val="20"/>
          <w:szCs w:val="20"/>
          <w:vertAlign w:val="superscript"/>
          <w:lang w:val="en-US"/>
        </w:rPr>
        <w:footnoteReference w:id="91"/>
      </w:r>
      <w:r w:rsidRPr="002964A7">
        <w:rPr>
          <w:rFonts w:ascii="Verdana" w:hAnsi="Verdana" w:cs="Arial"/>
          <w:sz w:val="20"/>
          <w:szCs w:val="20"/>
          <w:lang w:val="es-GT"/>
        </w:rPr>
        <w:t>, por el homicidio de 14 personas de la comunidad el 4 de julio de 1991, entre las que se encontraban niños y ancianos, quienes habían sido detenidos en un operativo militar realizado en la comunidad de Santa Bárbara</w:t>
      </w:r>
      <w:r w:rsidRPr="002964A7">
        <w:rPr>
          <w:rFonts w:ascii="Verdana" w:hAnsi="Verdana" w:cs="HiddenHorzOCR"/>
          <w:sz w:val="20"/>
          <w:szCs w:val="20"/>
          <w:lang w:val="es-GT"/>
        </w:rPr>
        <w:t xml:space="preserve"> </w:t>
      </w:r>
      <w:r w:rsidRPr="002964A7">
        <w:rPr>
          <w:rFonts w:ascii="Verdana" w:hAnsi="Verdana" w:cs="Arial"/>
          <w:sz w:val="20"/>
          <w:szCs w:val="20"/>
          <w:lang w:val="es-GT"/>
        </w:rPr>
        <w:t>por efectivos del Ejército de la Base Militar de Huancavelica y Lircay. Ese mismo día, Nicolás Hilario Morán, junto con Lorenzo Quispe Huamán, Fiscal de la comunidad de Santa Bárbara, reiteró al Fiscal Provincial de Huancavelica que fijara una fecha para</w:t>
      </w:r>
      <w:r>
        <w:rPr>
          <w:rFonts w:ascii="Verdana" w:hAnsi="Verdana" w:cs="Arial"/>
          <w:sz w:val="20"/>
          <w:szCs w:val="20"/>
          <w:lang w:val="es-GT"/>
        </w:rPr>
        <w:t xml:space="preserve"> la</w:t>
      </w:r>
      <w:r w:rsidRPr="002964A7">
        <w:rPr>
          <w:rFonts w:ascii="Verdana" w:hAnsi="Verdana" w:cs="Arial"/>
          <w:sz w:val="20"/>
          <w:szCs w:val="20"/>
          <w:lang w:val="es-GT"/>
        </w:rPr>
        <w:t xml:space="preserve"> realiza</w:t>
      </w:r>
      <w:r>
        <w:rPr>
          <w:rFonts w:ascii="Verdana" w:hAnsi="Verdana" w:cs="Arial"/>
          <w:sz w:val="20"/>
          <w:szCs w:val="20"/>
          <w:lang w:val="es-GT"/>
        </w:rPr>
        <w:t>ción</w:t>
      </w:r>
      <w:r w:rsidRPr="002964A7">
        <w:rPr>
          <w:rFonts w:ascii="Verdana" w:hAnsi="Verdana" w:cs="Arial"/>
          <w:sz w:val="20"/>
          <w:szCs w:val="20"/>
          <w:lang w:val="es-GT"/>
        </w:rPr>
        <w:t xml:space="preserve"> </w:t>
      </w:r>
      <w:r>
        <w:rPr>
          <w:rFonts w:ascii="Verdana" w:hAnsi="Verdana" w:cs="Arial"/>
          <w:sz w:val="20"/>
          <w:szCs w:val="20"/>
          <w:lang w:val="es-GT"/>
        </w:rPr>
        <w:t>d</w:t>
      </w:r>
      <w:r w:rsidRPr="002964A7">
        <w:rPr>
          <w:rFonts w:ascii="Verdana" w:hAnsi="Verdana" w:cs="Arial"/>
          <w:sz w:val="20"/>
          <w:szCs w:val="20"/>
          <w:lang w:val="es-GT"/>
        </w:rPr>
        <w:t xml:space="preserve">el levantamiento de los cadáveres </w:t>
      </w:r>
      <w:r w:rsidRPr="002964A7">
        <w:rPr>
          <w:rFonts w:ascii="Verdana" w:hAnsi="Verdana"/>
          <w:sz w:val="20"/>
          <w:szCs w:val="20"/>
          <w:lang w:val="es-GT"/>
        </w:rPr>
        <w:t>encontrados en la mina “Misteriosa” o “Vallarón”</w:t>
      </w:r>
      <w:r w:rsidRPr="002964A7">
        <w:rPr>
          <w:rFonts w:ascii="Verdana" w:eastAsia="Times New Roman" w:hAnsi="Verdana"/>
          <w:sz w:val="20"/>
          <w:szCs w:val="20"/>
          <w:vertAlign w:val="superscript"/>
          <w:lang w:val="en-US"/>
        </w:rPr>
        <w:footnoteReference w:id="92"/>
      </w:r>
      <w:r w:rsidRPr="002964A7">
        <w:rPr>
          <w:rFonts w:ascii="Verdana" w:hAnsi="Verdana"/>
          <w:sz w:val="20"/>
          <w:szCs w:val="20"/>
          <w:lang w:val="es-GT"/>
        </w:rPr>
        <w:t>.</w:t>
      </w:r>
    </w:p>
    <w:p w:rsidR="00106A1E" w:rsidRPr="002964A7" w:rsidRDefault="00106A1E" w:rsidP="00106A1E">
      <w:pPr>
        <w:spacing w:after="0" w:line="240" w:lineRule="auto"/>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2964A7">
        <w:rPr>
          <w:rFonts w:ascii="Verdana" w:hAnsi="Verdana" w:cs="Arial"/>
          <w:sz w:val="20"/>
          <w:szCs w:val="20"/>
          <w:lang w:val="es-GT"/>
        </w:rPr>
        <w:t>El 18 de julio de 1991 el Fiscal asignado junto con el Juez Instructor, efectivos policiales y comuneros de Santa Bárbara, entre ellos Zósimo Hilario Quispe y Viviano Hilario Mancha</w:t>
      </w:r>
      <w:r>
        <w:rPr>
          <w:rFonts w:ascii="Verdana" w:hAnsi="Verdana" w:cs="Arial"/>
          <w:sz w:val="20"/>
          <w:szCs w:val="20"/>
          <w:lang w:val="es-GT"/>
        </w:rPr>
        <w:t>,</w:t>
      </w:r>
      <w:r w:rsidRPr="002964A7">
        <w:rPr>
          <w:rFonts w:ascii="Verdana" w:hAnsi="Verdana" w:cs="Arial"/>
          <w:sz w:val="20"/>
          <w:szCs w:val="20"/>
          <w:lang w:val="es-GT"/>
        </w:rPr>
        <w:t xml:space="preserve"> </w:t>
      </w:r>
      <w:r w:rsidRPr="002964A7">
        <w:rPr>
          <w:rFonts w:ascii="Verdana" w:hAnsi="Verdana"/>
          <w:sz w:val="20"/>
          <w:szCs w:val="20"/>
          <w:lang w:eastAsia="es-CR"/>
        </w:rPr>
        <w:t>llegaron</w:t>
      </w:r>
      <w:r w:rsidRPr="002964A7">
        <w:rPr>
          <w:rFonts w:ascii="Verdana" w:hAnsi="Verdana" w:cs="Arial"/>
          <w:sz w:val="20"/>
          <w:szCs w:val="20"/>
          <w:lang w:val="es-GT"/>
        </w:rPr>
        <w:t xml:space="preserve"> al lugar de la boca-mina </w:t>
      </w:r>
      <w:r w:rsidRPr="002964A7">
        <w:rPr>
          <w:rFonts w:ascii="Verdana" w:hAnsi="Verdana"/>
          <w:sz w:val="20"/>
          <w:szCs w:val="20"/>
          <w:lang w:val="es-GT"/>
        </w:rPr>
        <w:t>“Misteriosa” o “Vallarón”,</w:t>
      </w:r>
      <w:r w:rsidRPr="002964A7">
        <w:rPr>
          <w:rFonts w:ascii="Verdana" w:hAnsi="Verdana" w:cs="Arial"/>
          <w:sz w:val="20"/>
          <w:szCs w:val="20"/>
          <w:lang w:val="es-GT"/>
        </w:rPr>
        <w:t xml:space="preserve"> en donde encontraron solamente los siguientes restos: una trenza de</w:t>
      </w:r>
      <w:r w:rsidRPr="002964A7">
        <w:rPr>
          <w:rFonts w:ascii="Verdana" w:hAnsi="Verdana"/>
          <w:sz w:val="20"/>
          <w:szCs w:val="20"/>
          <w:lang w:val="es-GT"/>
        </w:rPr>
        <w:t xml:space="preserve"> </w:t>
      </w:r>
      <w:r w:rsidRPr="002964A7">
        <w:rPr>
          <w:rFonts w:ascii="Verdana" w:hAnsi="Verdana" w:cs="Arial"/>
          <w:sz w:val="20"/>
          <w:szCs w:val="20"/>
          <w:lang w:val="es-GT"/>
        </w:rPr>
        <w:t xml:space="preserve">cabello humano “tamaño grande” con partículas del cuero cabelludo, una trenza de cabello humano “tamaño mediano”, una porción de cabello humano, una porción de cabello humano adherido a segmento del cuero cabelludo, un segmento de un pie (región terminal), un segmento </w:t>
      </w:r>
      <w:r w:rsidRPr="002964A7">
        <w:rPr>
          <w:rFonts w:ascii="Verdana" w:hAnsi="Verdana" w:cs="Arial"/>
          <w:sz w:val="20"/>
          <w:szCs w:val="20"/>
          <w:lang w:val="es-GT"/>
        </w:rPr>
        <w:lastRenderedPageBreak/>
        <w:t>vulvar con parte del ano y de región de periné y genitales femeninos externos e internos humanos, una</w:t>
      </w:r>
      <w:r w:rsidRPr="002964A7">
        <w:rPr>
          <w:rFonts w:ascii="Verdana" w:hAnsi="Verdana"/>
          <w:sz w:val="20"/>
          <w:szCs w:val="20"/>
          <w:lang w:val="es-GT"/>
        </w:rPr>
        <w:t xml:space="preserve"> </w:t>
      </w:r>
      <w:r w:rsidRPr="002964A7">
        <w:rPr>
          <w:rFonts w:ascii="Verdana" w:hAnsi="Verdana" w:cs="Arial"/>
          <w:sz w:val="20"/>
          <w:szCs w:val="20"/>
          <w:lang w:val="es-GT"/>
        </w:rPr>
        <w:t>partícula de hueso de cráneo humano, un “segmento amplio” de lengua humana, un segmento de hueso humano, dos superficies</w:t>
      </w:r>
      <w:r w:rsidRPr="002964A7">
        <w:rPr>
          <w:rFonts w:ascii="Verdana" w:hAnsi="Verdana"/>
          <w:sz w:val="20"/>
          <w:szCs w:val="20"/>
          <w:lang w:val="es-GT"/>
        </w:rPr>
        <w:t xml:space="preserve"> </w:t>
      </w:r>
      <w:r w:rsidRPr="002964A7">
        <w:rPr>
          <w:rFonts w:ascii="Verdana" w:hAnsi="Verdana" w:cs="Arial"/>
          <w:sz w:val="20"/>
          <w:szCs w:val="20"/>
          <w:lang w:val="es-GT"/>
        </w:rPr>
        <w:t xml:space="preserve">articulares de huesos humanos, un segmento de antebrazo distal </w:t>
      </w:r>
      <w:r w:rsidRPr="002964A7">
        <w:rPr>
          <w:rFonts w:ascii="Verdana" w:hAnsi="Verdana"/>
          <w:sz w:val="20"/>
          <w:szCs w:val="20"/>
          <w:lang w:val="es-GT"/>
        </w:rPr>
        <w:t xml:space="preserve">y </w:t>
      </w:r>
      <w:r w:rsidRPr="002964A7">
        <w:rPr>
          <w:rFonts w:ascii="Verdana" w:hAnsi="Verdana" w:cs="Arial"/>
          <w:sz w:val="20"/>
          <w:szCs w:val="20"/>
          <w:lang w:val="es-GT"/>
        </w:rPr>
        <w:t>mano humana, un segmento de parénquima pulmonar, tres segmentos de tejido óseo y segmentos de tejido blando, y una porción de cabello adherido a segmento del cuero cabelludo humano, entre otros. Asimismo, en dicho lugar se encontr</w:t>
      </w:r>
      <w:r>
        <w:rPr>
          <w:rFonts w:ascii="Verdana" w:hAnsi="Verdana" w:cs="Arial"/>
          <w:sz w:val="20"/>
          <w:szCs w:val="20"/>
          <w:lang w:val="es-GT"/>
        </w:rPr>
        <w:t>aron</w:t>
      </w:r>
      <w:r w:rsidRPr="002964A7">
        <w:rPr>
          <w:rFonts w:ascii="Verdana" w:hAnsi="Verdana"/>
          <w:sz w:val="20"/>
          <w:szCs w:val="20"/>
          <w:lang w:val="es-GT"/>
        </w:rPr>
        <w:t xml:space="preserve"> </w:t>
      </w:r>
      <w:r w:rsidRPr="002964A7">
        <w:rPr>
          <w:rFonts w:ascii="Verdana" w:hAnsi="Verdana" w:cs="Arial"/>
          <w:sz w:val="20"/>
          <w:szCs w:val="20"/>
          <w:lang w:val="es-GT"/>
        </w:rPr>
        <w:t>35 cartuchos de dinamita, 6 pedazos de mecha y otros restos, los cuales fueron enviados el 22 de</w:t>
      </w:r>
      <w:r w:rsidRPr="002964A7">
        <w:rPr>
          <w:rFonts w:ascii="Verdana" w:hAnsi="Verdana"/>
          <w:sz w:val="20"/>
          <w:szCs w:val="20"/>
          <w:lang w:val="es-GT"/>
        </w:rPr>
        <w:t xml:space="preserve"> </w:t>
      </w:r>
      <w:r w:rsidRPr="002964A7">
        <w:rPr>
          <w:rFonts w:ascii="Verdana" w:hAnsi="Verdana" w:cs="Arial"/>
          <w:sz w:val="20"/>
          <w:szCs w:val="20"/>
          <w:lang w:val="es-GT"/>
        </w:rPr>
        <w:t>julio de 1991 a la Jefatura Departamental de la Policía Técnica del Cercado, para fines investigativos y de esclarecimiento de los hechos. Por su parte, los demás restos encontrados fueron remitidos por el Juez Instructor ante el Médico Legista para determinar si dichas piezas correspondían a restos humanos</w:t>
      </w:r>
      <w:r w:rsidRPr="002964A7">
        <w:rPr>
          <w:rFonts w:ascii="Verdana" w:eastAsia="Times New Roman" w:hAnsi="Verdana" w:cs="Arial"/>
          <w:sz w:val="20"/>
          <w:szCs w:val="20"/>
          <w:vertAlign w:val="superscript"/>
          <w:lang w:val="en-US"/>
        </w:rPr>
        <w:footnoteReference w:id="93"/>
      </w:r>
      <w:r w:rsidRPr="002964A7">
        <w:rPr>
          <w:rFonts w:ascii="Verdana" w:hAnsi="Verdana" w:cs="Arial"/>
          <w:sz w:val="20"/>
          <w:szCs w:val="20"/>
          <w:lang w:val="es-GT"/>
        </w:rPr>
        <w:t xml:space="preserve">. Al respecto, consta la existencia de un acta de “Identificación Anatomo-Patológica Preliminar” de 19 de julio de 1991 expedida por la Dirección de Medicina Legal y Morgue de Huancavelica que describe </w:t>
      </w:r>
      <w:r w:rsidRPr="002964A7">
        <w:rPr>
          <w:rFonts w:ascii="Verdana" w:hAnsi="Verdana"/>
          <w:sz w:val="20"/>
          <w:szCs w:val="20"/>
          <w:lang w:val="es-GT"/>
        </w:rPr>
        <w:t xml:space="preserve">la identificación de 19 piezas de restos humanos </w:t>
      </w:r>
      <w:r w:rsidRPr="002964A7">
        <w:rPr>
          <w:rFonts w:ascii="Verdana" w:hAnsi="Verdana" w:cs="HiddenHorzOCR"/>
          <w:sz w:val="20"/>
          <w:szCs w:val="20"/>
          <w:lang w:val="es-GT"/>
        </w:rPr>
        <w:t>probables</w:t>
      </w:r>
      <w:r w:rsidRPr="002964A7">
        <w:rPr>
          <w:rFonts w:ascii="Verdana" w:hAnsi="Verdana" w:cs="HiddenHorzOCR"/>
          <w:sz w:val="20"/>
          <w:szCs w:val="20"/>
          <w:vertAlign w:val="superscript"/>
          <w:lang w:val="en-US"/>
        </w:rPr>
        <w:footnoteReference w:id="94"/>
      </w:r>
      <w:r w:rsidRPr="002964A7">
        <w:rPr>
          <w:rFonts w:ascii="Verdana" w:hAnsi="Verdana"/>
          <w:sz w:val="20"/>
          <w:szCs w:val="20"/>
          <w:lang w:val="es-GT"/>
        </w:rPr>
        <w:t xml:space="preserve">, los cuales fueron enviados </w:t>
      </w:r>
      <w:r w:rsidRPr="002964A7">
        <w:rPr>
          <w:rFonts w:ascii="Verdana" w:hAnsi="Verdana" w:cs="Arial"/>
          <w:sz w:val="20"/>
          <w:szCs w:val="20"/>
          <w:lang w:val="es-GT"/>
        </w:rPr>
        <w:t>por los Médicos Legistas a Lima para su respectivo peritaje, toda vez que no contaban con los instrumentales necesarios</w:t>
      </w:r>
      <w:r w:rsidRPr="002964A7">
        <w:rPr>
          <w:rFonts w:ascii="Verdana" w:eastAsia="Times New Roman" w:hAnsi="Verdana" w:cs="Arial"/>
          <w:sz w:val="20"/>
          <w:szCs w:val="20"/>
          <w:vertAlign w:val="superscript"/>
          <w:lang w:val="en-US"/>
        </w:rPr>
        <w:footnoteReference w:id="95"/>
      </w:r>
      <w:r w:rsidRPr="002964A7">
        <w:rPr>
          <w:rFonts w:ascii="Verdana" w:hAnsi="Verdana" w:cs="Arial"/>
          <w:sz w:val="20"/>
          <w:szCs w:val="20"/>
          <w:lang w:val="es-GT"/>
        </w:rPr>
        <w:t xml:space="preserve">. En el expediente no consta diligencia posterior relacionada con las piezas y restos encontrados el 18 de julio de 1991 y, </w:t>
      </w:r>
      <w:r w:rsidRPr="002964A7">
        <w:rPr>
          <w:rFonts w:ascii="Verdana" w:hAnsi="Verdana"/>
          <w:sz w:val="20"/>
          <w:szCs w:val="20"/>
          <w:lang w:val="es-GT"/>
        </w:rPr>
        <w:t xml:space="preserve">según ha sido informado por el Estado, el Equipo Forense Especializado (EFE) del Instituto de Medicina Legal y Ciencias Forenses del Ministerio Público “no brindó información concerniente a la diligencia del 18 de julio de 1991”. </w:t>
      </w:r>
    </w:p>
    <w:p w:rsidR="00106A1E" w:rsidRPr="002964A7" w:rsidRDefault="00106A1E" w:rsidP="00106A1E">
      <w:pPr>
        <w:spacing w:after="0" w:line="240" w:lineRule="auto"/>
        <w:contextualSpacing/>
        <w:jc w:val="both"/>
        <w:rPr>
          <w:rFonts w:ascii="Verdana" w:hAnsi="Verdana" w:cs="Arial"/>
          <w:sz w:val="20"/>
          <w:szCs w:val="20"/>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Por su parte, el señor Alejandro Huamaní Robles presentó al menos cinco denuncias debido a la detención y desaparición de su hijo Elihoref Huamaní Vergara el 4 de julio de 1991 por parte de quince efectivos del Ejército de la Base Militar de Huancavelica y/o Lircay, indicando que desde entonces desconocía su paradero. Dichas denuncias son de: 15 de julio de 1991 ante la Fiscalía Especial de Prevención del Delito de Huancavelica</w:t>
      </w:r>
      <w:r w:rsidRPr="002964A7">
        <w:rPr>
          <w:rFonts w:ascii="Verdana" w:hAnsi="Verdana" w:cs="Arial"/>
          <w:sz w:val="20"/>
          <w:szCs w:val="20"/>
          <w:vertAlign w:val="superscript"/>
          <w:lang w:val="en-US"/>
        </w:rPr>
        <w:footnoteReference w:id="96"/>
      </w:r>
      <w:r w:rsidRPr="002964A7">
        <w:rPr>
          <w:rFonts w:ascii="Verdana" w:hAnsi="Verdana" w:cs="Arial"/>
          <w:sz w:val="20"/>
          <w:szCs w:val="20"/>
          <w:lang w:val="es-GT"/>
        </w:rPr>
        <w:t>; 18 de julio de 1991 ante la Fiscalía Superior Decan</w:t>
      </w:r>
      <w:r>
        <w:rPr>
          <w:rFonts w:ascii="Verdana" w:hAnsi="Verdana" w:cs="Arial"/>
          <w:sz w:val="20"/>
          <w:szCs w:val="20"/>
          <w:lang w:val="es-GT"/>
        </w:rPr>
        <w:t>o</w:t>
      </w:r>
      <w:r w:rsidRPr="002964A7">
        <w:rPr>
          <w:rFonts w:ascii="Verdana" w:hAnsi="Verdana" w:cs="Arial"/>
          <w:sz w:val="20"/>
          <w:szCs w:val="20"/>
          <w:lang w:val="es-GT"/>
        </w:rPr>
        <w:t xml:space="preserve"> de Huancavelica</w:t>
      </w:r>
      <w:r w:rsidRPr="002964A7">
        <w:rPr>
          <w:rFonts w:ascii="Verdana" w:hAnsi="Verdana" w:cs="Arial"/>
          <w:sz w:val="20"/>
          <w:szCs w:val="20"/>
          <w:vertAlign w:val="superscript"/>
          <w:lang w:val="en-US"/>
        </w:rPr>
        <w:footnoteReference w:id="97"/>
      </w:r>
      <w:r w:rsidRPr="002964A7">
        <w:rPr>
          <w:rFonts w:ascii="Verdana" w:hAnsi="Verdana"/>
          <w:sz w:val="20"/>
          <w:szCs w:val="20"/>
          <w:lang w:val="es-GT"/>
        </w:rPr>
        <w:t xml:space="preserve">; </w:t>
      </w:r>
      <w:r w:rsidRPr="002964A7">
        <w:rPr>
          <w:rFonts w:ascii="Verdana" w:hAnsi="Verdana" w:cs="Arial"/>
          <w:sz w:val="20"/>
          <w:szCs w:val="20"/>
          <w:lang w:val="es-GT"/>
        </w:rPr>
        <w:t>23 de julio y 2 de agosto de 1991 ante la Fiscalía Especial de la Defensoría del Pueblo y Derechos Humanos</w:t>
      </w:r>
      <w:r w:rsidRPr="002964A7">
        <w:rPr>
          <w:rFonts w:ascii="Verdana" w:eastAsia="Times New Roman" w:hAnsi="Verdana" w:cs="Arial"/>
          <w:sz w:val="20"/>
          <w:szCs w:val="20"/>
          <w:vertAlign w:val="superscript"/>
          <w:lang w:val="en-US"/>
        </w:rPr>
        <w:footnoteReference w:id="98"/>
      </w:r>
      <w:r>
        <w:rPr>
          <w:rFonts w:ascii="Verdana" w:hAnsi="Verdana" w:cs="Arial"/>
          <w:sz w:val="20"/>
          <w:szCs w:val="20"/>
          <w:lang w:val="es-GT"/>
        </w:rPr>
        <w:t>,</w:t>
      </w:r>
      <w:r w:rsidRPr="002964A7">
        <w:rPr>
          <w:rFonts w:ascii="Verdana" w:hAnsi="Verdana" w:cs="Arial"/>
          <w:sz w:val="20"/>
          <w:szCs w:val="20"/>
          <w:lang w:val="es-GT"/>
        </w:rPr>
        <w:t xml:space="preserve"> y </w:t>
      </w:r>
      <w:r w:rsidRPr="002964A7">
        <w:rPr>
          <w:rFonts w:ascii="Verdana" w:hAnsi="Verdana"/>
          <w:sz w:val="20"/>
          <w:szCs w:val="20"/>
          <w:lang w:val="es-GT"/>
        </w:rPr>
        <w:t xml:space="preserve">5 </w:t>
      </w:r>
      <w:r w:rsidRPr="002964A7">
        <w:rPr>
          <w:rFonts w:ascii="Verdana" w:hAnsi="Verdana" w:cs="Arial"/>
          <w:sz w:val="20"/>
          <w:szCs w:val="20"/>
          <w:lang w:val="es-GT"/>
        </w:rPr>
        <w:t xml:space="preserve">de agosto de </w:t>
      </w:r>
      <w:r w:rsidRPr="002964A7">
        <w:rPr>
          <w:rFonts w:ascii="Verdana" w:hAnsi="Verdana"/>
          <w:sz w:val="20"/>
          <w:szCs w:val="20"/>
          <w:lang w:val="es-GT"/>
        </w:rPr>
        <w:t>1991</w:t>
      </w:r>
      <w:r w:rsidRPr="002964A7">
        <w:rPr>
          <w:rFonts w:ascii="Verdana" w:hAnsi="Verdana" w:cs="Arial"/>
          <w:sz w:val="20"/>
          <w:szCs w:val="20"/>
          <w:lang w:val="es-GT"/>
        </w:rPr>
        <w:t xml:space="preserve"> ante el Ministro de Defensa</w:t>
      </w:r>
      <w:r w:rsidRPr="002964A7">
        <w:rPr>
          <w:rFonts w:ascii="Verdana" w:eastAsia="Times New Roman" w:hAnsi="Verdana" w:cs="Arial"/>
          <w:sz w:val="20"/>
          <w:szCs w:val="20"/>
          <w:vertAlign w:val="superscript"/>
          <w:lang w:val="en-US"/>
        </w:rPr>
        <w:footnoteReference w:id="99"/>
      </w:r>
      <w:r w:rsidRPr="002964A7">
        <w:rPr>
          <w:rFonts w:ascii="Verdana" w:hAnsi="Verdana" w:cs="Arial"/>
          <w:sz w:val="20"/>
          <w:szCs w:val="20"/>
          <w:lang w:val="es-GT"/>
        </w:rPr>
        <w:t xml:space="preserve">. Según el relato </w:t>
      </w:r>
      <w:r w:rsidRPr="002964A7">
        <w:rPr>
          <w:rFonts w:ascii="Verdana" w:hAnsi="Verdana"/>
          <w:sz w:val="20"/>
          <w:szCs w:val="20"/>
          <w:lang w:val="es-GT"/>
        </w:rPr>
        <w:t xml:space="preserve">contenido en parte de dichas denuncias, una vez que </w:t>
      </w:r>
      <w:r w:rsidRPr="002964A7">
        <w:rPr>
          <w:rFonts w:ascii="Verdana" w:hAnsi="Verdana" w:cs="Arial"/>
          <w:sz w:val="20"/>
          <w:szCs w:val="20"/>
          <w:lang w:val="es-GT"/>
        </w:rPr>
        <w:t xml:space="preserve">los </w:t>
      </w:r>
      <w:r w:rsidRPr="002964A7">
        <w:rPr>
          <w:rFonts w:ascii="Verdana" w:hAnsi="Verdana"/>
          <w:sz w:val="20"/>
          <w:szCs w:val="20"/>
          <w:lang w:val="es-GT"/>
        </w:rPr>
        <w:t xml:space="preserve">efectivos militares obligaron a Elihoref Huamaní Vergara a acompañarlos, el señor </w:t>
      </w:r>
      <w:r w:rsidRPr="002964A7">
        <w:rPr>
          <w:rFonts w:ascii="Verdana" w:hAnsi="Verdana" w:cs="Arial"/>
          <w:sz w:val="20"/>
          <w:szCs w:val="20"/>
          <w:lang w:val="es-GT"/>
        </w:rPr>
        <w:t>Alejandro Huamaní Robles</w:t>
      </w:r>
      <w:r w:rsidRPr="002964A7">
        <w:rPr>
          <w:rFonts w:ascii="Verdana" w:hAnsi="Verdana"/>
          <w:sz w:val="20"/>
          <w:szCs w:val="20"/>
          <w:lang w:val="es-GT"/>
        </w:rPr>
        <w:t>, quien no manifestó preocupación al momento en que su hijo fue obligado a acompañar a los efectivos militares</w:t>
      </w:r>
      <w:r w:rsidRPr="002964A7">
        <w:rPr>
          <w:rFonts w:ascii="Verdana" w:eastAsia="Times New Roman" w:hAnsi="Verdana"/>
          <w:sz w:val="20"/>
          <w:szCs w:val="20"/>
          <w:vertAlign w:val="superscript"/>
          <w:lang w:val="en-US"/>
        </w:rPr>
        <w:footnoteReference w:id="100"/>
      </w:r>
      <w:r w:rsidRPr="002964A7">
        <w:rPr>
          <w:rFonts w:ascii="Verdana" w:hAnsi="Verdana"/>
          <w:sz w:val="20"/>
          <w:szCs w:val="20"/>
          <w:lang w:val="es-GT"/>
        </w:rPr>
        <w:t>, y su nieto El</w:t>
      </w:r>
      <w:r w:rsidR="006F79E0">
        <w:rPr>
          <w:rFonts w:ascii="Verdana" w:hAnsi="Verdana"/>
          <w:sz w:val="20"/>
          <w:szCs w:val="20"/>
          <w:lang w:val="es-GT"/>
        </w:rPr>
        <w:t>í</w:t>
      </w:r>
      <w:r w:rsidRPr="002964A7">
        <w:rPr>
          <w:rFonts w:ascii="Verdana" w:hAnsi="Verdana"/>
          <w:sz w:val="20"/>
          <w:szCs w:val="20"/>
          <w:lang w:val="es-GT"/>
        </w:rPr>
        <w:t xml:space="preserve">as Pumacahua Huamaní, fueron obligados a continuar su camino. Durante su trayecto, volvieron a encontrarse con dos grupos más del ejército, siendo que en el segundo grupo también se encontraban civiles detenidos que acarreaban </w:t>
      </w:r>
      <w:r w:rsidRPr="002964A7">
        <w:rPr>
          <w:rFonts w:ascii="Verdana" w:hAnsi="Verdana"/>
          <w:sz w:val="20"/>
          <w:szCs w:val="20"/>
          <w:lang w:val="es-GT"/>
        </w:rPr>
        <w:lastRenderedPageBreak/>
        <w:t xml:space="preserve">numeroso ganado y caballos. Diez días después </w:t>
      </w:r>
      <w:r w:rsidRPr="002964A7">
        <w:rPr>
          <w:rFonts w:ascii="Verdana" w:hAnsi="Verdana" w:cs="Arial"/>
          <w:sz w:val="20"/>
          <w:szCs w:val="20"/>
          <w:lang w:val="es-GT"/>
        </w:rPr>
        <w:t>Alejandro Huamaní Robles</w:t>
      </w:r>
      <w:r w:rsidRPr="002964A7">
        <w:rPr>
          <w:rFonts w:ascii="Verdana" w:hAnsi="Verdana"/>
          <w:sz w:val="20"/>
          <w:szCs w:val="20"/>
          <w:lang w:val="es-GT"/>
        </w:rPr>
        <w:t xml:space="preserve"> se enteró que su hijo no había regresado</w:t>
      </w:r>
      <w:r w:rsidRPr="002964A7">
        <w:rPr>
          <w:rFonts w:ascii="Verdana" w:eastAsia="Times New Roman" w:hAnsi="Verdana"/>
          <w:sz w:val="20"/>
          <w:szCs w:val="20"/>
          <w:vertAlign w:val="superscript"/>
          <w:lang w:val="en-US"/>
        </w:rPr>
        <w:footnoteReference w:id="101"/>
      </w:r>
      <w:r w:rsidRPr="002964A7">
        <w:rPr>
          <w:rFonts w:ascii="Verdana" w:hAnsi="Verdana"/>
          <w:sz w:val="20"/>
          <w:szCs w:val="20"/>
          <w:lang w:val="es-GT"/>
        </w:rPr>
        <w:t xml:space="preserve">. </w:t>
      </w:r>
    </w:p>
    <w:p w:rsidR="00106A1E" w:rsidRPr="002964A7" w:rsidRDefault="00106A1E" w:rsidP="00106A1E">
      <w:pPr>
        <w:spacing w:after="0" w:line="240" w:lineRule="auto"/>
        <w:contextualSpacing/>
        <w:jc w:val="both"/>
        <w:rPr>
          <w:rFonts w:ascii="Verdana" w:hAnsi="Verdana" w:cs="Arial"/>
          <w:sz w:val="20"/>
          <w:szCs w:val="20"/>
          <w:lang w:val="es-GT"/>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El </w:t>
      </w:r>
      <w:r w:rsidRPr="002964A7">
        <w:rPr>
          <w:rFonts w:ascii="Verdana" w:hAnsi="Verdana"/>
          <w:sz w:val="20"/>
          <w:szCs w:val="20"/>
          <w:lang w:val="es-GT"/>
        </w:rPr>
        <w:t xml:space="preserve">18 </w:t>
      </w:r>
      <w:r w:rsidRPr="002964A7">
        <w:rPr>
          <w:rFonts w:ascii="Verdana" w:hAnsi="Verdana" w:cs="Arial"/>
          <w:sz w:val="20"/>
          <w:szCs w:val="20"/>
          <w:lang w:val="es-GT"/>
        </w:rPr>
        <w:t xml:space="preserve">de julio de </w:t>
      </w:r>
      <w:r w:rsidRPr="002964A7">
        <w:rPr>
          <w:rFonts w:ascii="Verdana" w:hAnsi="Verdana"/>
          <w:sz w:val="20"/>
          <w:szCs w:val="20"/>
          <w:lang w:val="es-GT"/>
        </w:rPr>
        <w:t>1991</w:t>
      </w:r>
      <w:r w:rsidRPr="002964A7">
        <w:rPr>
          <w:rFonts w:ascii="Verdana" w:hAnsi="Verdana" w:cs="Arial"/>
          <w:sz w:val="20"/>
          <w:szCs w:val="20"/>
          <w:lang w:val="es-GT"/>
        </w:rPr>
        <w:t xml:space="preserve"> el señor Alejandro Huamaní Robles interpuso un recurso de hábeas corpus a favor de su hijo Elihoref Huamaní Vergara ante el Juzgado de Instrucción de </w:t>
      </w:r>
      <w:r w:rsidRPr="002964A7">
        <w:rPr>
          <w:rFonts w:ascii="Verdana" w:hAnsi="Verdana"/>
          <w:sz w:val="20"/>
          <w:szCs w:val="20"/>
          <w:lang w:eastAsia="es-CR"/>
        </w:rPr>
        <w:t>Huancavelica</w:t>
      </w:r>
      <w:r w:rsidRPr="002964A7">
        <w:rPr>
          <w:rFonts w:ascii="Verdana" w:eastAsia="Times New Roman" w:hAnsi="Verdana" w:cs="Arial"/>
          <w:sz w:val="20"/>
          <w:szCs w:val="20"/>
          <w:vertAlign w:val="superscript"/>
          <w:lang w:val="en-US"/>
        </w:rPr>
        <w:footnoteReference w:id="102"/>
      </w:r>
      <w:r w:rsidRPr="002964A7">
        <w:rPr>
          <w:rFonts w:ascii="Verdana" w:hAnsi="Verdana"/>
          <w:sz w:val="20"/>
          <w:szCs w:val="20"/>
          <w:lang w:val="es-GT"/>
        </w:rPr>
        <w:t>. E</w:t>
      </w:r>
      <w:r w:rsidRPr="002964A7">
        <w:rPr>
          <w:rFonts w:ascii="Verdana" w:hAnsi="Verdana" w:cs="Arial"/>
          <w:sz w:val="20"/>
          <w:szCs w:val="20"/>
          <w:lang w:val="es-GT"/>
        </w:rPr>
        <w:t xml:space="preserve">l </w:t>
      </w:r>
      <w:r w:rsidRPr="002964A7">
        <w:rPr>
          <w:rFonts w:ascii="Verdana" w:hAnsi="Verdana"/>
          <w:sz w:val="20"/>
          <w:szCs w:val="20"/>
          <w:lang w:val="es-GT"/>
        </w:rPr>
        <w:t xml:space="preserve">22 </w:t>
      </w:r>
      <w:r w:rsidRPr="002964A7">
        <w:rPr>
          <w:rFonts w:ascii="Verdana" w:hAnsi="Verdana" w:cs="Arial"/>
          <w:sz w:val="20"/>
          <w:szCs w:val="20"/>
          <w:lang w:val="es-GT"/>
        </w:rPr>
        <w:t xml:space="preserve">de julio de </w:t>
      </w:r>
      <w:r w:rsidRPr="002964A7">
        <w:rPr>
          <w:rFonts w:ascii="Verdana" w:hAnsi="Verdana"/>
          <w:sz w:val="20"/>
          <w:szCs w:val="20"/>
          <w:lang w:val="es-GT"/>
        </w:rPr>
        <w:t>1991 e</w:t>
      </w:r>
      <w:r w:rsidRPr="002964A7">
        <w:rPr>
          <w:rFonts w:ascii="Verdana" w:hAnsi="Verdana" w:cs="Arial"/>
          <w:sz w:val="20"/>
          <w:szCs w:val="20"/>
          <w:lang w:val="es-GT"/>
        </w:rPr>
        <w:t>l Juzgado de Instrucción de Huancavelica declaró improcedente la acción de hábeas corpus</w:t>
      </w:r>
      <w:r w:rsidRPr="002964A7">
        <w:rPr>
          <w:rFonts w:ascii="Verdana" w:hAnsi="Verdana"/>
          <w:sz w:val="20"/>
          <w:szCs w:val="20"/>
          <w:lang w:val="es-GT"/>
        </w:rPr>
        <w:t>, toda vez</w:t>
      </w:r>
      <w:r w:rsidRPr="002964A7">
        <w:rPr>
          <w:rFonts w:ascii="Verdana" w:hAnsi="Verdana" w:cs="Arial"/>
          <w:sz w:val="20"/>
          <w:szCs w:val="20"/>
          <w:lang w:val="es-GT"/>
        </w:rPr>
        <w:t xml:space="preserve"> “que</w:t>
      </w:r>
      <w:r w:rsidR="00EE5F56">
        <w:rPr>
          <w:rFonts w:ascii="Verdana" w:hAnsi="Verdana" w:cs="Arial"/>
          <w:sz w:val="20"/>
          <w:szCs w:val="20"/>
          <w:lang w:val="es-GT"/>
        </w:rPr>
        <w:t>[,]</w:t>
      </w:r>
      <w:r w:rsidRPr="002964A7">
        <w:rPr>
          <w:rFonts w:ascii="Verdana" w:hAnsi="Verdana" w:cs="Arial"/>
          <w:sz w:val="20"/>
          <w:szCs w:val="20"/>
          <w:lang w:val="es-GT"/>
        </w:rPr>
        <w:t xml:space="preserve"> de las constataciones efectuadas y de las declaraciones recibidas de las dependencias policiales de la Policía de Seguridad, Policía General, Policía Técnica y de la Base Militar y Comando Político Militar</w:t>
      </w:r>
      <w:r w:rsidR="00EE5F56">
        <w:rPr>
          <w:rFonts w:ascii="Verdana" w:hAnsi="Verdana" w:cs="Arial"/>
          <w:sz w:val="20"/>
          <w:szCs w:val="20"/>
          <w:lang w:val="es-GT"/>
        </w:rPr>
        <w:t>[,]</w:t>
      </w:r>
      <w:r w:rsidRPr="002964A7">
        <w:rPr>
          <w:rFonts w:ascii="Verdana" w:hAnsi="Verdana" w:cs="Arial"/>
          <w:sz w:val="20"/>
          <w:szCs w:val="20"/>
          <w:lang w:val="es-GT"/>
        </w:rPr>
        <w:t xml:space="preserve"> no se ha comprobado la detención del ciudadano Elihoref Huamaní Vergara, por tanto[,] los hechos que se glosan en la demanda no están acreditados que realmente haya[n] ocurrido, por lo que la demanda viene sin base fáctica concreta</w:t>
      </w:r>
      <w:r w:rsidR="00EE5F56">
        <w:rPr>
          <w:rFonts w:ascii="Verdana" w:hAnsi="Verdana" w:cs="Arial"/>
          <w:sz w:val="20"/>
          <w:szCs w:val="20"/>
          <w:lang w:val="es-GT"/>
        </w:rPr>
        <w:t xml:space="preserve"> [</w:t>
      </w:r>
      <w:r w:rsidR="00EE5F56">
        <w:rPr>
          <w:rFonts w:ascii="Verdana" w:hAnsi="Verdana" w:cs="Arial"/>
          <w:i/>
          <w:sz w:val="20"/>
          <w:szCs w:val="20"/>
          <w:lang w:val="es-GT"/>
        </w:rPr>
        <w:t>sic</w:t>
      </w:r>
      <w:r w:rsidR="00EE5F56">
        <w:rPr>
          <w:rFonts w:ascii="Verdana" w:hAnsi="Verdana" w:cs="Arial"/>
          <w:sz w:val="20"/>
          <w:szCs w:val="20"/>
          <w:lang w:val="es-GT"/>
        </w:rPr>
        <w:t>]</w:t>
      </w:r>
      <w:r w:rsidRPr="002964A7">
        <w:rPr>
          <w:rFonts w:ascii="Verdana" w:hAnsi="Verdana" w:cs="Arial"/>
          <w:sz w:val="20"/>
          <w:szCs w:val="20"/>
          <w:lang w:val="es-GT"/>
        </w:rPr>
        <w:t>”</w:t>
      </w:r>
      <w:r w:rsidRPr="002964A7">
        <w:rPr>
          <w:rFonts w:ascii="Verdana" w:eastAsia="Times New Roman" w:hAnsi="Verdana" w:cs="Arial"/>
          <w:sz w:val="20"/>
          <w:szCs w:val="20"/>
          <w:vertAlign w:val="superscript"/>
          <w:lang w:val="en-US"/>
        </w:rPr>
        <w:footnoteReference w:id="103"/>
      </w:r>
      <w:r w:rsidRPr="002964A7">
        <w:rPr>
          <w:rFonts w:ascii="Verdana" w:hAnsi="Verdana" w:cs="Arial"/>
          <w:sz w:val="20"/>
          <w:szCs w:val="20"/>
          <w:lang w:val="es-GT"/>
        </w:rPr>
        <w:t xml:space="preserve">. La Resolución fue apelada por Alejandro Huamaní Robles el 5 de agosto de </w:t>
      </w:r>
      <w:r w:rsidRPr="002964A7">
        <w:rPr>
          <w:rFonts w:ascii="Verdana" w:hAnsi="Verdana"/>
          <w:sz w:val="20"/>
          <w:szCs w:val="20"/>
          <w:lang w:val="es-GT"/>
        </w:rPr>
        <w:t xml:space="preserve">1991 </w:t>
      </w:r>
      <w:r w:rsidRPr="002964A7">
        <w:rPr>
          <w:rFonts w:ascii="Verdana" w:hAnsi="Verdana" w:cs="Arial"/>
          <w:sz w:val="20"/>
          <w:szCs w:val="20"/>
          <w:lang w:val="es-GT"/>
        </w:rPr>
        <w:t>ante el mismo Juzgado</w:t>
      </w:r>
      <w:r w:rsidRPr="002964A7">
        <w:rPr>
          <w:rFonts w:ascii="Verdana" w:eastAsia="Times New Roman" w:hAnsi="Verdana" w:cs="Arial"/>
          <w:sz w:val="20"/>
          <w:szCs w:val="20"/>
          <w:vertAlign w:val="superscript"/>
          <w:lang w:val="en-US"/>
        </w:rPr>
        <w:footnoteReference w:id="104"/>
      </w:r>
      <w:r w:rsidRPr="002964A7">
        <w:rPr>
          <w:rFonts w:ascii="Verdana" w:hAnsi="Verdana"/>
          <w:sz w:val="20"/>
          <w:szCs w:val="20"/>
          <w:lang w:val="es-GT"/>
        </w:rPr>
        <w:t xml:space="preserve">, </w:t>
      </w:r>
      <w:r w:rsidRPr="002964A7">
        <w:rPr>
          <w:rFonts w:ascii="Verdana" w:hAnsi="Verdana" w:cs="Arial"/>
          <w:sz w:val="20"/>
          <w:szCs w:val="20"/>
          <w:lang w:val="es-GT"/>
        </w:rPr>
        <w:t xml:space="preserve">sin que en el acervo probatorio de este caso conste que se haya </w:t>
      </w:r>
      <w:r>
        <w:rPr>
          <w:rFonts w:ascii="Verdana" w:hAnsi="Verdana" w:cs="Arial"/>
          <w:sz w:val="20"/>
          <w:szCs w:val="20"/>
          <w:lang w:val="es-GT"/>
        </w:rPr>
        <w:t>resuelto</w:t>
      </w:r>
      <w:r w:rsidRPr="002964A7">
        <w:rPr>
          <w:rFonts w:ascii="Verdana" w:hAnsi="Verdana" w:cs="Arial"/>
          <w:sz w:val="20"/>
          <w:szCs w:val="20"/>
          <w:lang w:val="es-GT"/>
        </w:rPr>
        <w:t xml:space="preserve"> el recurso interpuesto.</w:t>
      </w:r>
    </w:p>
    <w:p w:rsidR="00106A1E" w:rsidRPr="002964A7" w:rsidRDefault="001154F9" w:rsidP="005A69BF">
      <w:pPr>
        <w:pStyle w:val="Heading3"/>
        <w:jc w:val="both"/>
        <w:rPr>
          <w:lang w:val="es-GT"/>
        </w:rPr>
      </w:pPr>
      <w:bookmarkStart w:id="141" w:name="_Toc423102535"/>
      <w:bookmarkStart w:id="142" w:name="_Toc433387488"/>
      <w:r>
        <w:rPr>
          <w:lang w:val="es-GT"/>
        </w:rPr>
        <w:t>E</w:t>
      </w:r>
      <w:r w:rsidR="00C62E5A">
        <w:rPr>
          <w:lang w:val="es-GT"/>
        </w:rPr>
        <w:t>.</w:t>
      </w:r>
      <w:r>
        <w:rPr>
          <w:lang w:val="es-GT"/>
        </w:rPr>
        <w:t xml:space="preserve"> </w:t>
      </w:r>
      <w:r w:rsidR="00106A1E" w:rsidRPr="002964A7">
        <w:rPr>
          <w:lang w:val="es-GT"/>
        </w:rPr>
        <w:t>Investigación y procesos judiciales abiertos por los hechos del caso</w:t>
      </w:r>
      <w:bookmarkEnd w:id="141"/>
      <w:bookmarkEnd w:id="142"/>
    </w:p>
    <w:p w:rsidR="00106A1E" w:rsidRPr="003265C2" w:rsidRDefault="00106A1E" w:rsidP="00106A1E">
      <w:pPr>
        <w:spacing w:after="0" w:line="240" w:lineRule="auto"/>
        <w:contextualSpacing/>
        <w:jc w:val="both"/>
        <w:rPr>
          <w:rFonts w:ascii="Verdana" w:hAnsi="Verdana" w:cs="Arial"/>
          <w:b/>
          <w:sz w:val="16"/>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Las investigaciones y procesos judiciales que se iniciaron por los hechos del presente caso incluyen también hechos adicionales atribuidos a </w:t>
      </w:r>
      <w:r w:rsidRPr="002964A7">
        <w:rPr>
          <w:rFonts w:ascii="Verdana" w:hAnsi="Verdana"/>
          <w:sz w:val="20"/>
          <w:szCs w:val="20"/>
          <w:lang w:val="es-GT"/>
        </w:rPr>
        <w:t xml:space="preserve">efectivos militares en perjuicio de </w:t>
      </w:r>
      <w:r w:rsidRPr="002964A7">
        <w:rPr>
          <w:rFonts w:ascii="Verdana" w:hAnsi="Verdana"/>
          <w:sz w:val="20"/>
          <w:szCs w:val="20"/>
          <w:lang w:eastAsia="es-CR"/>
        </w:rPr>
        <w:t>personas</w:t>
      </w:r>
      <w:r w:rsidRPr="002964A7">
        <w:rPr>
          <w:rFonts w:ascii="Verdana" w:hAnsi="Verdana"/>
          <w:sz w:val="20"/>
          <w:szCs w:val="20"/>
          <w:lang w:val="es-GT"/>
        </w:rPr>
        <w:t xml:space="preserve"> que no forman parte de las </w:t>
      </w:r>
      <w:r w:rsidRPr="002964A7">
        <w:rPr>
          <w:rFonts w:ascii="Verdana" w:hAnsi="Verdana" w:cs="Arial"/>
          <w:sz w:val="20"/>
          <w:szCs w:val="20"/>
          <w:lang w:val="es-GT"/>
        </w:rPr>
        <w:t>15 víctimas del presente caso, así como la alegada comisión del delito de violación sexual, robo y extorción en contra de personas que no han sido indicadas como víctimas de este caso. La Corte se referirá exclusivamente a aquellos hechos concernientes al caso que ha sido sometido ante este Tribunal en aras de lograr su puntual comprensión.</w:t>
      </w:r>
    </w:p>
    <w:p w:rsidR="00106A1E" w:rsidRPr="002964A7" w:rsidRDefault="00106A1E" w:rsidP="00106A1E">
      <w:pPr>
        <w:spacing w:after="0" w:line="240" w:lineRule="auto"/>
        <w:jc w:val="both"/>
        <w:rPr>
          <w:rFonts w:ascii="Verdana" w:hAnsi="Verdana" w:cs="Arial"/>
          <w:i/>
          <w:sz w:val="20"/>
          <w:szCs w:val="20"/>
          <w:lang w:val="es-GT"/>
        </w:rPr>
      </w:pPr>
    </w:p>
    <w:p w:rsidR="00106A1E" w:rsidRPr="002964A7" w:rsidRDefault="00106A1E" w:rsidP="00106A1E">
      <w:pPr>
        <w:spacing w:after="0" w:line="240" w:lineRule="auto"/>
        <w:jc w:val="both"/>
        <w:rPr>
          <w:rFonts w:ascii="Verdana" w:hAnsi="Verdana" w:cs="Arial"/>
          <w:i/>
          <w:sz w:val="20"/>
          <w:szCs w:val="20"/>
          <w:lang w:val="es-GT"/>
        </w:rPr>
      </w:pPr>
      <w:r w:rsidRPr="002964A7">
        <w:rPr>
          <w:rFonts w:ascii="Verdana" w:hAnsi="Verdana" w:cs="Arial"/>
          <w:i/>
          <w:sz w:val="20"/>
          <w:szCs w:val="20"/>
          <w:lang w:val="es-GT"/>
        </w:rPr>
        <w:t>E.1. Fuero Militar: Juzgado Sexto Militar Permanente de la Segunda Zona Judicial del Ejército de Ayacucho (</w:t>
      </w:r>
      <w:r w:rsidRPr="002964A7">
        <w:rPr>
          <w:rFonts w:ascii="Verdana" w:eastAsia="Calibri" w:hAnsi="Verdana"/>
          <w:bCs/>
          <w:i/>
          <w:sz w:val="20"/>
          <w:szCs w:val="20"/>
          <w:lang w:val="es-GT"/>
        </w:rPr>
        <w:t>Proceso militar contra el Teniente Javier Bendezú Vargas y otros)</w:t>
      </w:r>
    </w:p>
    <w:p w:rsidR="00106A1E" w:rsidRPr="002964A7" w:rsidRDefault="00106A1E" w:rsidP="00106A1E">
      <w:pPr>
        <w:spacing w:after="0" w:line="240" w:lineRule="auto"/>
        <w:contextualSpacing/>
        <w:jc w:val="both"/>
        <w:rPr>
          <w:rFonts w:ascii="Verdana" w:hAnsi="Verdana"/>
          <w:b/>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 xml:space="preserve">Una vez que se dispuso la denuncia ante el Consejo de Guerra Permanente </w:t>
      </w:r>
      <w:r w:rsidRPr="002964A7">
        <w:rPr>
          <w:rFonts w:ascii="Verdana" w:hAnsi="Verdana" w:cs="Arial"/>
          <w:iCs/>
          <w:sz w:val="20"/>
          <w:szCs w:val="20"/>
          <w:lang w:val="es-GT"/>
        </w:rPr>
        <w:t xml:space="preserve">de </w:t>
      </w:r>
      <w:r w:rsidRPr="002964A7">
        <w:rPr>
          <w:rFonts w:ascii="Verdana" w:hAnsi="Verdana" w:cs="Arial"/>
          <w:sz w:val="20"/>
          <w:szCs w:val="20"/>
          <w:lang w:val="es-GT"/>
        </w:rPr>
        <w:t>la Segunda Zona Judicial del Ejercito por los excesos cometidos por una patrulla del Batallón Contrasubversivo No. 43-Pampas contra 14 miembros</w:t>
      </w:r>
      <w:r w:rsidRPr="002964A7">
        <w:rPr>
          <w:rFonts w:ascii="Verdana" w:hAnsi="Verdana"/>
          <w:sz w:val="20"/>
          <w:szCs w:val="20"/>
          <w:lang w:val="es-GT"/>
        </w:rPr>
        <w:t xml:space="preserve"> </w:t>
      </w:r>
      <w:r w:rsidRPr="002964A7">
        <w:rPr>
          <w:rFonts w:ascii="Verdana" w:hAnsi="Verdana" w:cs="Arial"/>
          <w:sz w:val="20"/>
          <w:szCs w:val="20"/>
          <w:lang w:val="es-GT"/>
        </w:rPr>
        <w:t xml:space="preserve">de la comunidad campesina de Santa Bárbara, identificados como “presuntos delincuentes subversivos, de la Comunidad Campesina de Rodeo Pampa”, dicho Consejo resolvió el 23 de octubre de 1991 abrir instrucción por los delitos de homicidio calificado, robo, abuso de autoridad, </w:t>
      </w:r>
      <w:r w:rsidRPr="002964A7">
        <w:rPr>
          <w:rFonts w:ascii="Verdana" w:hAnsi="Verdana"/>
          <w:sz w:val="20"/>
          <w:szCs w:val="20"/>
          <w:lang w:eastAsia="es-CR"/>
        </w:rPr>
        <w:t>desobediencia</w:t>
      </w:r>
      <w:r w:rsidRPr="002964A7">
        <w:rPr>
          <w:rFonts w:ascii="Verdana" w:hAnsi="Verdana" w:cs="Arial"/>
          <w:sz w:val="20"/>
          <w:szCs w:val="20"/>
          <w:lang w:val="es-GT"/>
        </w:rPr>
        <w:t>, negligencia, exacciones y contra el deber y la dignidad de la función</w:t>
      </w:r>
      <w:r w:rsidRPr="002964A7">
        <w:rPr>
          <w:rFonts w:ascii="Verdana" w:hAnsi="Verdana"/>
          <w:sz w:val="20"/>
          <w:szCs w:val="20"/>
          <w:lang w:val="es-GT"/>
        </w:rPr>
        <w:t xml:space="preserve">, entre otros, </w:t>
      </w:r>
      <w:r w:rsidRPr="002964A7">
        <w:rPr>
          <w:rFonts w:ascii="Verdana" w:hAnsi="Verdana" w:cs="Arial"/>
          <w:sz w:val="20"/>
          <w:szCs w:val="20"/>
          <w:lang w:val="es-GT"/>
        </w:rPr>
        <w:t xml:space="preserve">en contra de las siguientes personas: Teniente de Infantería Javier Bendezú Vargas; Teniente de Comunicaciones Abel Gallo Coca; Sub Oficial </w:t>
      </w:r>
      <w:r>
        <w:rPr>
          <w:rFonts w:ascii="Verdana" w:hAnsi="Verdana" w:cs="Arial"/>
          <w:sz w:val="20"/>
          <w:szCs w:val="20"/>
          <w:lang w:val="es-GT"/>
        </w:rPr>
        <w:t xml:space="preserve">de </w:t>
      </w:r>
      <w:r w:rsidRPr="002964A7">
        <w:rPr>
          <w:rFonts w:ascii="Verdana" w:hAnsi="Verdana" w:cs="Arial"/>
          <w:sz w:val="20"/>
          <w:szCs w:val="20"/>
          <w:lang w:val="es-GT"/>
        </w:rPr>
        <w:t>Segund</w:t>
      </w:r>
      <w:r>
        <w:rPr>
          <w:rFonts w:ascii="Verdana" w:hAnsi="Verdana" w:cs="Arial"/>
          <w:sz w:val="20"/>
          <w:szCs w:val="20"/>
          <w:lang w:val="es-GT"/>
        </w:rPr>
        <w:t>a</w:t>
      </w:r>
      <w:r w:rsidRPr="002964A7">
        <w:rPr>
          <w:rFonts w:ascii="Verdana" w:hAnsi="Verdana" w:cs="Arial"/>
          <w:sz w:val="20"/>
          <w:szCs w:val="20"/>
          <w:lang w:val="es-GT"/>
        </w:rPr>
        <w:t xml:space="preserve"> Fidel Eusebio Huaytalla; Sub Oficial </w:t>
      </w:r>
      <w:r>
        <w:rPr>
          <w:rFonts w:ascii="Verdana" w:hAnsi="Verdana" w:cs="Arial"/>
          <w:sz w:val="20"/>
          <w:szCs w:val="20"/>
          <w:lang w:val="es-GT"/>
        </w:rPr>
        <w:t xml:space="preserve">de </w:t>
      </w:r>
      <w:r w:rsidRPr="002964A7">
        <w:rPr>
          <w:rFonts w:ascii="Verdana" w:hAnsi="Verdana" w:cs="Arial"/>
          <w:sz w:val="20"/>
          <w:szCs w:val="20"/>
          <w:lang w:val="es-GT"/>
        </w:rPr>
        <w:t>Tercera Duilio Chipana T</w:t>
      </w:r>
      <w:r>
        <w:rPr>
          <w:rFonts w:ascii="Verdana" w:hAnsi="Verdana" w:cs="Arial"/>
          <w:sz w:val="20"/>
          <w:szCs w:val="20"/>
          <w:lang w:val="es-GT"/>
        </w:rPr>
        <w:t>a</w:t>
      </w:r>
      <w:r w:rsidRPr="002964A7">
        <w:rPr>
          <w:rFonts w:ascii="Verdana" w:hAnsi="Verdana" w:cs="Arial"/>
          <w:sz w:val="20"/>
          <w:szCs w:val="20"/>
          <w:lang w:val="es-GT"/>
        </w:rPr>
        <w:t>rqui; Sargento Pri</w:t>
      </w:r>
      <w:r w:rsidR="00C93DD3">
        <w:rPr>
          <w:rFonts w:ascii="Verdana" w:hAnsi="Verdana" w:cs="Arial"/>
          <w:sz w:val="20"/>
          <w:szCs w:val="20"/>
          <w:lang w:val="es-GT"/>
        </w:rPr>
        <w:t>mero Oscar Alberto Carrera Gonzá</w:t>
      </w:r>
      <w:r w:rsidRPr="002964A7">
        <w:rPr>
          <w:rFonts w:ascii="Verdana" w:hAnsi="Verdana" w:cs="Arial"/>
          <w:sz w:val="20"/>
          <w:szCs w:val="20"/>
          <w:lang w:val="es-GT"/>
        </w:rPr>
        <w:t xml:space="preserve">les; Sargento Segundo Carlos Manuel Prado Chinchay, y Sargento Segundo </w:t>
      </w:r>
      <w:r w:rsidRPr="002964A7">
        <w:rPr>
          <w:rFonts w:ascii="Verdana" w:hAnsi="Verdana" w:cs="Arial"/>
          <w:sz w:val="20"/>
          <w:szCs w:val="20"/>
          <w:lang w:val="es-GT"/>
        </w:rPr>
        <w:lastRenderedPageBreak/>
        <w:t>Dennis Pacheco Zambrano. Además, se habilitó la jurisdicción del Sexto Juzgado Militar Permanente de Ayacucho para la investigación y trámite del caso</w:t>
      </w:r>
      <w:r w:rsidRPr="002964A7">
        <w:rPr>
          <w:rFonts w:ascii="Verdana" w:eastAsia="Times New Roman" w:hAnsi="Verdana" w:cs="Arial"/>
          <w:sz w:val="20"/>
          <w:szCs w:val="20"/>
          <w:vertAlign w:val="superscript"/>
          <w:lang w:val="en-US"/>
        </w:rPr>
        <w:footnoteReference w:id="105"/>
      </w:r>
      <w:r w:rsidRPr="002964A7">
        <w:rPr>
          <w:rFonts w:ascii="Verdana" w:hAnsi="Verdana" w:cs="Arial"/>
          <w:sz w:val="20"/>
          <w:szCs w:val="20"/>
          <w:lang w:val="es-GT"/>
        </w:rPr>
        <w:t>.</w:t>
      </w:r>
    </w:p>
    <w:p w:rsidR="00106A1E" w:rsidRPr="002964A7" w:rsidRDefault="00106A1E" w:rsidP="00106A1E">
      <w:pPr>
        <w:spacing w:after="0" w:line="240" w:lineRule="auto"/>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Asimismo, mediante Resolución de 28 de octubre de 1991</w:t>
      </w:r>
      <w:r>
        <w:rPr>
          <w:rFonts w:ascii="Verdana" w:hAnsi="Verdana" w:cs="Arial"/>
          <w:sz w:val="20"/>
          <w:szCs w:val="20"/>
          <w:lang w:val="es-GT"/>
        </w:rPr>
        <w:t>,</w:t>
      </w:r>
      <w:r w:rsidRPr="002964A7">
        <w:rPr>
          <w:rFonts w:ascii="Verdana" w:hAnsi="Verdana" w:cs="Arial"/>
          <w:sz w:val="20"/>
          <w:szCs w:val="20"/>
          <w:lang w:val="es-GT"/>
        </w:rPr>
        <w:t xml:space="preserve"> el Juez del Sexto Juzgado Militar Permanente de Ayacucho dispuso el avocamiento de la causa, así como recibir las declaraciones instructivas de los procesados contra quienes dictó orden de detención </w:t>
      </w:r>
      <w:r w:rsidRPr="002964A7">
        <w:rPr>
          <w:rFonts w:ascii="Verdana" w:hAnsi="Verdana"/>
          <w:sz w:val="20"/>
          <w:szCs w:val="20"/>
          <w:lang w:eastAsia="es-CR"/>
        </w:rPr>
        <w:t>provisional</w:t>
      </w:r>
      <w:r w:rsidRPr="002964A7">
        <w:rPr>
          <w:rFonts w:ascii="Verdana" w:hAnsi="Verdana" w:cs="Arial"/>
          <w:sz w:val="20"/>
          <w:szCs w:val="20"/>
          <w:lang w:val="es-GT"/>
        </w:rPr>
        <w:t xml:space="preserve">, dispuso la práctica de diversas diligencias probatorias y ordenó oficiar a la Corte Superior de Justicia de Huancavelica </w:t>
      </w:r>
      <w:r>
        <w:rPr>
          <w:rFonts w:ascii="Verdana" w:hAnsi="Verdana" w:cs="Arial"/>
          <w:sz w:val="20"/>
          <w:szCs w:val="20"/>
          <w:lang w:val="es-GT"/>
        </w:rPr>
        <w:t>para solicitar</w:t>
      </w:r>
      <w:r w:rsidRPr="002964A7">
        <w:rPr>
          <w:rFonts w:ascii="Verdana" w:hAnsi="Verdana" w:cs="Arial"/>
          <w:sz w:val="20"/>
          <w:szCs w:val="20"/>
          <w:lang w:val="es-GT"/>
        </w:rPr>
        <w:t xml:space="preserve"> información sobre la existencia o no de causa en trámite por los mismos hechos</w:t>
      </w:r>
      <w:r w:rsidRPr="002964A7">
        <w:rPr>
          <w:rFonts w:ascii="Verdana" w:eastAsia="Times New Roman" w:hAnsi="Verdana" w:cs="Arial"/>
          <w:sz w:val="20"/>
          <w:szCs w:val="20"/>
          <w:vertAlign w:val="superscript"/>
          <w:lang w:val="en-US"/>
        </w:rPr>
        <w:footnoteReference w:id="106"/>
      </w:r>
      <w:r w:rsidRPr="002964A7">
        <w:rPr>
          <w:rFonts w:ascii="Verdana" w:hAnsi="Verdana"/>
          <w:sz w:val="20"/>
          <w:szCs w:val="20"/>
          <w:lang w:val="es-GT"/>
        </w:rPr>
        <w:t>.</w:t>
      </w:r>
    </w:p>
    <w:p w:rsidR="00106A1E" w:rsidRPr="002964A7" w:rsidRDefault="00106A1E" w:rsidP="00106A1E">
      <w:pPr>
        <w:spacing w:after="0" w:line="240" w:lineRule="auto"/>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Pr>
          <w:rFonts w:ascii="Verdana" w:hAnsi="Verdana" w:cs="Arial"/>
          <w:sz w:val="20"/>
          <w:szCs w:val="20"/>
          <w:lang w:val="es-GT"/>
        </w:rPr>
        <w:t>Los días</w:t>
      </w:r>
      <w:r w:rsidRPr="002964A7">
        <w:rPr>
          <w:rFonts w:ascii="Verdana" w:hAnsi="Verdana" w:cs="Arial"/>
          <w:sz w:val="20"/>
          <w:szCs w:val="20"/>
          <w:lang w:val="es-GT"/>
        </w:rPr>
        <w:t xml:space="preserve"> 1 y 31 de diciembre de 1991 se realizó la inscripción de las partidas de defunción de </w:t>
      </w:r>
      <w:r w:rsidRPr="002964A7">
        <w:rPr>
          <w:rFonts w:ascii="Verdana" w:hAnsi="Verdana"/>
          <w:sz w:val="20"/>
          <w:szCs w:val="20"/>
          <w:lang w:val="es-GT"/>
        </w:rPr>
        <w:t>Francisco Hilario Torres</w:t>
      </w:r>
      <w:r w:rsidRPr="002964A7">
        <w:rPr>
          <w:rFonts w:ascii="Verdana" w:hAnsi="Verdana" w:cs="Arial"/>
          <w:sz w:val="20"/>
          <w:szCs w:val="20"/>
          <w:lang w:val="es-GT"/>
        </w:rPr>
        <w:t xml:space="preserve"> y </w:t>
      </w:r>
      <w:r w:rsidRPr="002964A7">
        <w:rPr>
          <w:rFonts w:ascii="Verdana" w:hAnsi="Verdana"/>
          <w:sz w:val="20"/>
          <w:szCs w:val="20"/>
          <w:lang w:val="es-GT"/>
        </w:rPr>
        <w:t>Dionicia Quispe Ma</w:t>
      </w:r>
      <w:r>
        <w:rPr>
          <w:rFonts w:ascii="Verdana" w:hAnsi="Verdana"/>
          <w:sz w:val="20"/>
          <w:szCs w:val="20"/>
          <w:lang w:val="es-GT"/>
        </w:rPr>
        <w:t>ll</w:t>
      </w:r>
      <w:r w:rsidRPr="002964A7">
        <w:rPr>
          <w:rFonts w:ascii="Verdana" w:hAnsi="Verdana"/>
          <w:sz w:val="20"/>
          <w:szCs w:val="20"/>
          <w:lang w:val="es-GT"/>
        </w:rPr>
        <w:t>qui</w:t>
      </w:r>
      <w:r w:rsidRPr="002964A7">
        <w:rPr>
          <w:rFonts w:ascii="Verdana" w:hAnsi="Verdana" w:cs="Arial"/>
          <w:sz w:val="20"/>
          <w:szCs w:val="20"/>
          <w:lang w:val="es-GT"/>
        </w:rPr>
        <w:t>, en las cuales se señaló como fecha de fallecimiento el 4 de julio de 1991. Según dichas acta</w:t>
      </w:r>
      <w:r>
        <w:rPr>
          <w:rFonts w:ascii="Verdana" w:hAnsi="Verdana" w:cs="Arial"/>
          <w:sz w:val="20"/>
          <w:szCs w:val="20"/>
          <w:lang w:val="es-GT"/>
        </w:rPr>
        <w:t>s</w:t>
      </w:r>
      <w:r w:rsidRPr="002964A7">
        <w:rPr>
          <w:rFonts w:ascii="Verdana" w:hAnsi="Verdana" w:cs="Arial"/>
          <w:sz w:val="20"/>
          <w:szCs w:val="20"/>
          <w:lang w:val="es-GT"/>
        </w:rPr>
        <w:t xml:space="preserve"> el fallecimiento fue acreditado con certificado médico</w:t>
      </w:r>
      <w:r w:rsidRPr="002964A7">
        <w:rPr>
          <w:rFonts w:ascii="Verdana" w:eastAsia="Times New Roman" w:hAnsi="Verdana" w:cs="Arial"/>
          <w:sz w:val="20"/>
          <w:szCs w:val="20"/>
          <w:vertAlign w:val="superscript"/>
          <w:lang w:val="en-US"/>
        </w:rPr>
        <w:footnoteReference w:id="107"/>
      </w:r>
      <w:r w:rsidRPr="002964A7">
        <w:rPr>
          <w:rFonts w:ascii="Verdana" w:hAnsi="Verdana" w:cs="Arial"/>
          <w:sz w:val="20"/>
          <w:szCs w:val="20"/>
          <w:lang w:val="es-GT"/>
        </w:rPr>
        <w:t>. Además, el 25 de febrero de 1992 el Juez del Sexto Juzgado Militar Permanente de Ayacucho ordenó la inscripción de las partidas de defunción de las señoras y señores Antonia Hilario Quispe,</w:t>
      </w:r>
      <w:r w:rsidRPr="002964A7">
        <w:rPr>
          <w:rFonts w:ascii="Verdana" w:hAnsi="Verdana"/>
          <w:sz w:val="20"/>
          <w:szCs w:val="20"/>
          <w:lang w:val="es-GT"/>
        </w:rPr>
        <w:t xml:space="preserve"> Ramón</w:t>
      </w:r>
      <w:r w:rsidRPr="002964A7">
        <w:rPr>
          <w:rFonts w:ascii="Verdana" w:hAnsi="Verdana" w:cs="Arial"/>
          <w:sz w:val="20"/>
          <w:szCs w:val="20"/>
          <w:lang w:val="es-GT"/>
        </w:rPr>
        <w:t xml:space="preserve"> Hilario Morán, Dionicia Guillén Riveros</w:t>
      </w:r>
      <w:r w:rsidRPr="002964A7">
        <w:rPr>
          <w:rFonts w:ascii="Verdana" w:hAnsi="Verdana"/>
          <w:sz w:val="20"/>
          <w:szCs w:val="20"/>
          <w:lang w:val="es-GT"/>
        </w:rPr>
        <w:t>,</w:t>
      </w:r>
      <w:r w:rsidRPr="002964A7">
        <w:rPr>
          <w:rFonts w:ascii="Verdana" w:hAnsi="Verdana" w:cs="Arial"/>
          <w:sz w:val="20"/>
          <w:szCs w:val="20"/>
          <w:lang w:val="es-GT"/>
        </w:rPr>
        <w:t xml:space="preserve"> Magdalena Hilario Quispe, Mercedes Carhuapoma de la Cruz </w:t>
      </w:r>
      <w:r w:rsidRPr="002964A7">
        <w:rPr>
          <w:rFonts w:ascii="Verdana" w:hAnsi="Verdana"/>
          <w:sz w:val="20"/>
          <w:szCs w:val="20"/>
          <w:lang w:val="es-GT"/>
        </w:rPr>
        <w:t xml:space="preserve">y </w:t>
      </w:r>
      <w:r w:rsidRPr="002964A7">
        <w:rPr>
          <w:rFonts w:ascii="Verdana" w:hAnsi="Verdana" w:cs="Arial"/>
          <w:sz w:val="20"/>
          <w:szCs w:val="20"/>
          <w:lang w:val="es-GT"/>
        </w:rPr>
        <w:t>Elihoref Hu</w:t>
      </w:r>
      <w:r>
        <w:rPr>
          <w:rFonts w:ascii="Verdana" w:hAnsi="Verdana" w:cs="Arial"/>
          <w:sz w:val="20"/>
          <w:szCs w:val="20"/>
          <w:lang w:val="es-GT"/>
        </w:rPr>
        <w:t>a</w:t>
      </w:r>
      <w:r w:rsidRPr="002964A7">
        <w:rPr>
          <w:rFonts w:ascii="Verdana" w:hAnsi="Verdana" w:cs="Arial"/>
          <w:sz w:val="20"/>
          <w:szCs w:val="20"/>
          <w:lang w:val="es-GT"/>
        </w:rPr>
        <w:t>maní Vergara, así como de las niñas y niños Yesenia y Miriam Osnayo Hilario, Raúl y Héctor Hilario Guillén, Alex Jorge Hilario y Wilmer Hilario Carhuapoma, lo cual se llevó a cabo el 6 de marzo de 1992. La Corte ha constatado que</w:t>
      </w:r>
      <w:r w:rsidRPr="002964A7">
        <w:rPr>
          <w:rFonts w:ascii="Verdana" w:hAnsi="Verdana"/>
          <w:b/>
          <w:sz w:val="20"/>
          <w:szCs w:val="20"/>
          <w:lang w:val="es-GT"/>
        </w:rPr>
        <w:t xml:space="preserve"> </w:t>
      </w:r>
      <w:r w:rsidRPr="002964A7">
        <w:rPr>
          <w:rFonts w:ascii="Verdana" w:hAnsi="Verdana" w:cs="Arial"/>
          <w:sz w:val="20"/>
          <w:szCs w:val="20"/>
          <w:lang w:val="es-GT"/>
        </w:rPr>
        <w:t>en las actas de defunción que fueron expedidas se señaló como fecha de fallecimiento el 4 de julio de 1991</w:t>
      </w:r>
      <w:r w:rsidRPr="002964A7">
        <w:rPr>
          <w:rFonts w:ascii="Verdana" w:hAnsi="Verdana"/>
          <w:sz w:val="20"/>
          <w:szCs w:val="20"/>
          <w:lang w:val="es-GT"/>
        </w:rPr>
        <w:t xml:space="preserve"> y </w:t>
      </w:r>
      <w:r w:rsidRPr="002964A7">
        <w:rPr>
          <w:rFonts w:ascii="Verdana" w:hAnsi="Verdana" w:cs="Arial"/>
          <w:sz w:val="20"/>
          <w:szCs w:val="20"/>
          <w:lang w:val="es-GT"/>
        </w:rPr>
        <w:t>las edades indicadas en los referidos documentos no coinciden con las edades que tenían dichas personas el 4 de julio de 1991, y aún más, en las edades de las seis niñas y niños se indicó una edad mayor a los 18 años</w:t>
      </w:r>
      <w:r w:rsidRPr="002964A7">
        <w:rPr>
          <w:rFonts w:ascii="Verdana" w:eastAsia="Times New Roman" w:hAnsi="Verdana" w:cs="Arial"/>
          <w:sz w:val="20"/>
          <w:szCs w:val="20"/>
          <w:vertAlign w:val="superscript"/>
          <w:lang w:val="en-US"/>
        </w:rPr>
        <w:footnoteReference w:id="108"/>
      </w:r>
      <w:r w:rsidRPr="002964A7">
        <w:rPr>
          <w:rFonts w:ascii="Verdana" w:hAnsi="Verdana" w:cs="Arial"/>
          <w:sz w:val="20"/>
          <w:szCs w:val="20"/>
          <w:lang w:val="es-GT"/>
        </w:rPr>
        <w:t>.</w:t>
      </w:r>
    </w:p>
    <w:p w:rsidR="00106A1E" w:rsidRPr="002964A7" w:rsidRDefault="00106A1E" w:rsidP="00106A1E">
      <w:pPr>
        <w:spacing w:after="0" w:line="240" w:lineRule="auto"/>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 xml:space="preserve">Mediante </w:t>
      </w:r>
      <w:r w:rsidR="004C74EB">
        <w:rPr>
          <w:rFonts w:ascii="Verdana" w:hAnsi="Verdana" w:cs="Arial"/>
          <w:sz w:val="20"/>
          <w:szCs w:val="20"/>
          <w:lang w:val="es-GT"/>
        </w:rPr>
        <w:t>s</w:t>
      </w:r>
      <w:r w:rsidRPr="002964A7">
        <w:rPr>
          <w:rFonts w:ascii="Verdana" w:hAnsi="Verdana" w:cs="Arial"/>
          <w:sz w:val="20"/>
          <w:szCs w:val="20"/>
          <w:lang w:val="es-GT"/>
        </w:rPr>
        <w:t>entencia de 16 de octubre de 1992 el Consejo de Guerra Permanente de la Segunda Zona Judicial del Ejército decidió condenar al Teniente de Infantería Javier Bendezú Vargas</w:t>
      </w:r>
      <w:r w:rsidRPr="002964A7">
        <w:rPr>
          <w:rFonts w:ascii="Verdana" w:hAnsi="Verdana"/>
          <w:sz w:val="20"/>
          <w:szCs w:val="20"/>
          <w:lang w:val="es-GT"/>
        </w:rPr>
        <w:t xml:space="preserve"> </w:t>
      </w:r>
      <w:r w:rsidRPr="002964A7">
        <w:rPr>
          <w:rFonts w:ascii="Verdana" w:hAnsi="Verdana" w:cs="Arial"/>
          <w:sz w:val="20"/>
          <w:szCs w:val="20"/>
          <w:lang w:val="es-GT"/>
        </w:rPr>
        <w:t>como autor del delito de abuso de autoridad con el agravante del delito de falsedad</w:t>
      </w:r>
      <w:r>
        <w:rPr>
          <w:rFonts w:ascii="Verdana" w:hAnsi="Verdana" w:cs="Arial"/>
          <w:sz w:val="20"/>
          <w:szCs w:val="20"/>
          <w:lang w:val="es-GT"/>
        </w:rPr>
        <w:t>,</w:t>
      </w:r>
      <w:r w:rsidRPr="002964A7">
        <w:rPr>
          <w:rFonts w:ascii="Verdana" w:hAnsi="Verdana" w:cs="Arial"/>
          <w:sz w:val="20"/>
          <w:szCs w:val="20"/>
          <w:lang w:val="es-GT"/>
        </w:rPr>
        <w:t xml:space="preserve"> en agravio de los civiles fallecidos en la operación militar “Apolonia”, y le impuso la pena de 18 meses de prisión y </w:t>
      </w:r>
      <w:r>
        <w:rPr>
          <w:rFonts w:ascii="Verdana" w:hAnsi="Verdana" w:cs="Arial"/>
          <w:sz w:val="20"/>
          <w:szCs w:val="20"/>
          <w:lang w:val="es-GT"/>
        </w:rPr>
        <w:t>e</w:t>
      </w:r>
      <w:r w:rsidRPr="002964A7">
        <w:rPr>
          <w:rFonts w:ascii="Verdana" w:hAnsi="Verdana" w:cs="Arial"/>
          <w:sz w:val="20"/>
          <w:szCs w:val="20"/>
          <w:lang w:val="es-GT"/>
        </w:rPr>
        <w:t>l pago de quinientos nuevos soles de reparación civil en forma solidaria con el Estado. Además, condenó al Sub</w:t>
      </w:r>
      <w:r>
        <w:rPr>
          <w:rFonts w:ascii="Verdana" w:hAnsi="Verdana" w:cs="Arial"/>
          <w:sz w:val="20"/>
          <w:szCs w:val="20"/>
          <w:lang w:val="es-GT"/>
        </w:rPr>
        <w:t xml:space="preserve"> </w:t>
      </w:r>
      <w:r w:rsidRPr="002964A7">
        <w:rPr>
          <w:rFonts w:ascii="Verdana" w:hAnsi="Verdana" w:cs="Arial"/>
          <w:sz w:val="20"/>
          <w:szCs w:val="20"/>
          <w:lang w:val="es-GT"/>
        </w:rPr>
        <w:t xml:space="preserve">Oficial </w:t>
      </w:r>
      <w:r>
        <w:rPr>
          <w:rFonts w:ascii="Verdana" w:hAnsi="Verdana" w:cs="Arial"/>
          <w:sz w:val="20"/>
          <w:szCs w:val="20"/>
          <w:lang w:val="es-GT"/>
        </w:rPr>
        <w:t xml:space="preserve">de </w:t>
      </w:r>
      <w:r w:rsidRPr="002964A7">
        <w:rPr>
          <w:rFonts w:ascii="Verdana" w:hAnsi="Verdana" w:cs="Arial"/>
          <w:sz w:val="20"/>
          <w:szCs w:val="20"/>
          <w:lang w:val="es-GT"/>
        </w:rPr>
        <w:t>Segund</w:t>
      </w:r>
      <w:r>
        <w:rPr>
          <w:rFonts w:ascii="Verdana" w:hAnsi="Verdana" w:cs="Arial"/>
          <w:sz w:val="20"/>
          <w:szCs w:val="20"/>
          <w:lang w:val="es-GT"/>
        </w:rPr>
        <w:t>a</w:t>
      </w:r>
      <w:r w:rsidRPr="002964A7">
        <w:rPr>
          <w:rFonts w:ascii="Verdana" w:hAnsi="Verdana" w:cs="Arial"/>
          <w:sz w:val="20"/>
          <w:szCs w:val="20"/>
          <w:lang w:val="es-GT"/>
        </w:rPr>
        <w:t xml:space="preserve"> Fidel Gino Eusebio Huaytalla como autor del delito de desobediencia con el agravante del delito de robo</w:t>
      </w:r>
      <w:r>
        <w:rPr>
          <w:rFonts w:ascii="Verdana" w:hAnsi="Verdana" w:cs="Arial"/>
          <w:sz w:val="20"/>
          <w:szCs w:val="20"/>
          <w:lang w:val="es-GT"/>
        </w:rPr>
        <w:t>,</w:t>
      </w:r>
      <w:r w:rsidRPr="002964A7">
        <w:rPr>
          <w:rFonts w:ascii="Verdana" w:hAnsi="Verdana" w:cs="Arial"/>
          <w:sz w:val="20"/>
          <w:szCs w:val="20"/>
          <w:lang w:val="es-GT"/>
        </w:rPr>
        <w:t xml:space="preserve"> a la pena de diez meses de prisión </w:t>
      </w:r>
      <w:r w:rsidRPr="002964A7">
        <w:rPr>
          <w:rFonts w:ascii="Verdana" w:hAnsi="Verdana"/>
          <w:sz w:val="20"/>
          <w:szCs w:val="20"/>
          <w:lang w:val="es-GT"/>
        </w:rPr>
        <w:t xml:space="preserve">y </w:t>
      </w:r>
      <w:r w:rsidRPr="002964A7">
        <w:rPr>
          <w:rFonts w:ascii="Verdana" w:hAnsi="Verdana" w:cs="Arial"/>
          <w:sz w:val="20"/>
          <w:szCs w:val="20"/>
          <w:lang w:val="es-GT"/>
        </w:rPr>
        <w:t xml:space="preserve">al pago de doscientos nuevos soles de reparación civil. También condenó al Sub Oficial </w:t>
      </w:r>
      <w:r>
        <w:rPr>
          <w:rFonts w:ascii="Verdana" w:hAnsi="Verdana" w:cs="Arial"/>
          <w:sz w:val="20"/>
          <w:szCs w:val="20"/>
          <w:lang w:val="es-GT"/>
        </w:rPr>
        <w:t xml:space="preserve">de </w:t>
      </w:r>
      <w:r w:rsidRPr="002964A7">
        <w:rPr>
          <w:rFonts w:ascii="Verdana" w:hAnsi="Verdana" w:cs="Arial"/>
          <w:sz w:val="20"/>
          <w:szCs w:val="20"/>
          <w:lang w:val="es-GT"/>
        </w:rPr>
        <w:t>Tercera Duilio Chipana Tarqui</w:t>
      </w:r>
      <w:r>
        <w:rPr>
          <w:rFonts w:ascii="Verdana" w:hAnsi="Verdana" w:cs="Arial"/>
          <w:sz w:val="20"/>
          <w:szCs w:val="20"/>
          <w:lang w:val="es-GT"/>
        </w:rPr>
        <w:t>,</w:t>
      </w:r>
      <w:r w:rsidRPr="002964A7">
        <w:rPr>
          <w:rFonts w:ascii="Verdana" w:hAnsi="Verdana" w:cs="Arial"/>
          <w:sz w:val="20"/>
          <w:szCs w:val="20"/>
          <w:lang w:val="es-GT"/>
        </w:rPr>
        <w:t xml:space="preserve"> por el delito contra el deber y dignidad de la función</w:t>
      </w:r>
      <w:r>
        <w:rPr>
          <w:rFonts w:ascii="Verdana" w:hAnsi="Verdana" w:cs="Arial"/>
          <w:sz w:val="20"/>
          <w:szCs w:val="20"/>
          <w:lang w:val="es-GT"/>
        </w:rPr>
        <w:t>,</w:t>
      </w:r>
      <w:r w:rsidRPr="002964A7">
        <w:rPr>
          <w:rFonts w:ascii="Verdana" w:hAnsi="Verdana" w:cs="Arial"/>
          <w:sz w:val="20"/>
          <w:szCs w:val="20"/>
          <w:lang w:val="es-GT"/>
        </w:rPr>
        <w:t xml:space="preserve"> a la pena de 8 meses de prisión y el pago de </w:t>
      </w:r>
      <w:r w:rsidRPr="002964A7">
        <w:rPr>
          <w:rFonts w:ascii="Verdana" w:hAnsi="Verdana"/>
          <w:sz w:val="20"/>
          <w:szCs w:val="20"/>
          <w:lang w:val="es-GT"/>
        </w:rPr>
        <w:t xml:space="preserve">cien </w:t>
      </w:r>
      <w:r w:rsidRPr="002964A7">
        <w:rPr>
          <w:rFonts w:ascii="Verdana" w:hAnsi="Verdana" w:cs="Arial"/>
          <w:sz w:val="20"/>
          <w:szCs w:val="20"/>
          <w:lang w:val="es-GT"/>
        </w:rPr>
        <w:t>nuevos soles por concepto de reparación civil.</w:t>
      </w:r>
      <w:r w:rsidRPr="002964A7">
        <w:rPr>
          <w:rFonts w:ascii="Verdana" w:hAnsi="Verdana"/>
          <w:sz w:val="20"/>
          <w:szCs w:val="20"/>
          <w:lang w:val="es-GT"/>
        </w:rPr>
        <w:t xml:space="preserve"> </w:t>
      </w:r>
      <w:r w:rsidRPr="002964A7">
        <w:rPr>
          <w:rFonts w:ascii="Verdana" w:hAnsi="Verdana" w:cs="Arial"/>
          <w:sz w:val="20"/>
          <w:szCs w:val="20"/>
          <w:lang w:val="es-GT"/>
        </w:rPr>
        <w:t>Por lo demás, absolvió al Teniente de Infantería Javier Bendezú Vargas, Teniente de Comunicaciones Abel Hipólito Gallo Coca, Sub</w:t>
      </w:r>
      <w:r>
        <w:rPr>
          <w:rFonts w:ascii="Verdana" w:hAnsi="Verdana" w:cs="Arial"/>
          <w:sz w:val="20"/>
          <w:szCs w:val="20"/>
          <w:lang w:val="es-GT"/>
        </w:rPr>
        <w:t xml:space="preserve"> </w:t>
      </w:r>
      <w:r w:rsidRPr="002964A7">
        <w:rPr>
          <w:rFonts w:ascii="Verdana" w:hAnsi="Verdana" w:cs="Arial"/>
          <w:sz w:val="20"/>
          <w:szCs w:val="20"/>
          <w:lang w:val="es-GT"/>
        </w:rPr>
        <w:t xml:space="preserve">Oficial </w:t>
      </w:r>
      <w:r>
        <w:rPr>
          <w:rFonts w:ascii="Verdana" w:hAnsi="Verdana" w:cs="Arial"/>
          <w:sz w:val="20"/>
          <w:szCs w:val="20"/>
          <w:lang w:val="es-GT"/>
        </w:rPr>
        <w:t xml:space="preserve">de </w:t>
      </w:r>
      <w:r w:rsidRPr="002964A7">
        <w:rPr>
          <w:rFonts w:ascii="Verdana" w:hAnsi="Verdana" w:cs="Arial"/>
          <w:sz w:val="20"/>
          <w:szCs w:val="20"/>
          <w:lang w:val="es-GT"/>
        </w:rPr>
        <w:t>Segund</w:t>
      </w:r>
      <w:r>
        <w:rPr>
          <w:rFonts w:ascii="Verdana" w:hAnsi="Verdana" w:cs="Arial"/>
          <w:sz w:val="20"/>
          <w:szCs w:val="20"/>
          <w:lang w:val="es-GT"/>
        </w:rPr>
        <w:t>a</w:t>
      </w:r>
      <w:r w:rsidRPr="002964A7">
        <w:rPr>
          <w:rFonts w:ascii="Verdana" w:hAnsi="Verdana" w:cs="Arial"/>
          <w:sz w:val="20"/>
          <w:szCs w:val="20"/>
          <w:lang w:val="es-GT"/>
        </w:rPr>
        <w:t xml:space="preserve"> Fidel Gino Eusebio Huaytalla, Sub Oficial </w:t>
      </w:r>
      <w:r>
        <w:rPr>
          <w:rFonts w:ascii="Verdana" w:hAnsi="Verdana" w:cs="Arial"/>
          <w:sz w:val="20"/>
          <w:szCs w:val="20"/>
          <w:lang w:val="es-GT"/>
        </w:rPr>
        <w:t xml:space="preserve">de </w:t>
      </w:r>
      <w:r w:rsidRPr="002964A7">
        <w:rPr>
          <w:rFonts w:ascii="Verdana" w:hAnsi="Verdana" w:cs="Arial"/>
          <w:sz w:val="20"/>
          <w:szCs w:val="20"/>
          <w:lang w:val="es-GT"/>
        </w:rPr>
        <w:t>Tercera Duilio Chipana Tarqui, Sargento Primero Oscar Alberto Carrara Gonzales, Sargento Segundo Dennis Wilfredo Pacheco Zambrano y Cabo Simón Fidel Breña Palante de los delitos de homicidio calificado, robo, abuso de autoridad, desobediencia, negligencia y exacciones, entre otros</w:t>
      </w:r>
      <w:r w:rsidRPr="002964A7">
        <w:rPr>
          <w:rFonts w:ascii="Verdana" w:hAnsi="Verdana" w:cs="Arial"/>
          <w:sz w:val="20"/>
          <w:szCs w:val="20"/>
          <w:vertAlign w:val="superscript"/>
          <w:lang w:val="en-US"/>
        </w:rPr>
        <w:footnoteReference w:id="109"/>
      </w:r>
      <w:r w:rsidRPr="002964A7">
        <w:rPr>
          <w:rFonts w:ascii="Verdana" w:hAnsi="Verdana" w:cs="Arial"/>
          <w:sz w:val="20"/>
          <w:szCs w:val="20"/>
          <w:lang w:val="es-GT"/>
        </w:rPr>
        <w:t>.</w:t>
      </w:r>
    </w:p>
    <w:p w:rsidR="00106A1E" w:rsidRPr="002964A7" w:rsidRDefault="00106A1E" w:rsidP="00106A1E">
      <w:pPr>
        <w:autoSpaceDE w:val="0"/>
        <w:autoSpaceDN w:val="0"/>
        <w:adjustRightInd w:val="0"/>
        <w:spacing w:after="0" w:line="240" w:lineRule="auto"/>
        <w:ind w:right="15"/>
        <w:contextualSpacing/>
        <w:jc w:val="both"/>
        <w:rPr>
          <w:rFonts w:ascii="Verdana" w:eastAsia="Calibri"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En vía de revisión, el 10 de febrero de 1993 la Sala de Revisión del Consejo Supremo </w:t>
      </w:r>
      <w:r w:rsidRPr="002964A7">
        <w:rPr>
          <w:rFonts w:ascii="Verdana" w:hAnsi="Verdana" w:cs="Arial"/>
          <w:iCs/>
          <w:sz w:val="20"/>
          <w:szCs w:val="20"/>
          <w:lang w:val="es-GT"/>
        </w:rPr>
        <w:t xml:space="preserve">de </w:t>
      </w:r>
      <w:r w:rsidRPr="002964A7">
        <w:rPr>
          <w:rFonts w:ascii="Verdana" w:hAnsi="Verdana" w:cs="Arial"/>
          <w:sz w:val="20"/>
          <w:szCs w:val="20"/>
          <w:lang w:val="es-GT"/>
        </w:rPr>
        <w:t xml:space="preserve">Justicia Militar confirmó en todos sus extremos la </w:t>
      </w:r>
      <w:r w:rsidR="004C74EB">
        <w:rPr>
          <w:rFonts w:ascii="Verdana" w:hAnsi="Verdana" w:cs="Arial"/>
          <w:sz w:val="20"/>
          <w:szCs w:val="20"/>
          <w:lang w:val="es-GT"/>
        </w:rPr>
        <w:t>s</w:t>
      </w:r>
      <w:r w:rsidRPr="002964A7">
        <w:rPr>
          <w:rFonts w:ascii="Verdana" w:hAnsi="Verdana" w:cs="Arial"/>
          <w:sz w:val="20"/>
          <w:szCs w:val="20"/>
          <w:lang w:val="es-GT"/>
        </w:rPr>
        <w:t xml:space="preserve">entencia de la Sala de </w:t>
      </w:r>
      <w:r w:rsidRPr="002964A7">
        <w:rPr>
          <w:rFonts w:ascii="Verdana" w:hAnsi="Verdana" w:cs="Arial"/>
          <w:sz w:val="20"/>
          <w:szCs w:val="20"/>
          <w:lang w:val="es-GT"/>
        </w:rPr>
        <w:lastRenderedPageBreak/>
        <w:t xml:space="preserve">Guerra de 16 de </w:t>
      </w:r>
      <w:r w:rsidRPr="002964A7">
        <w:rPr>
          <w:rFonts w:ascii="Verdana" w:hAnsi="Verdana"/>
          <w:sz w:val="20"/>
          <w:szCs w:val="20"/>
          <w:lang w:eastAsia="es-CR"/>
        </w:rPr>
        <w:t>octubre</w:t>
      </w:r>
      <w:r w:rsidRPr="002964A7">
        <w:rPr>
          <w:rFonts w:ascii="Verdana" w:hAnsi="Verdana" w:cs="Arial"/>
          <w:sz w:val="20"/>
          <w:szCs w:val="20"/>
          <w:lang w:val="es-GT"/>
        </w:rPr>
        <w:t xml:space="preserve"> de 1992 y, respecto a la condena del Teniente de Infantería Javier Bendezú Vargas como autor del delito de abuso de autoridad con el agravante del delito de falsedad, modificó la pena y el monto de la reparación civil impuesta, condenándolo a diez años de prisión efectiva y fijando la suma de cuatro mil nuevos soles por concepto de reparación civil. Además, le impuso la pena de inhabilitación relativa y perpetua para prestar servicios en las Fuerzas Armadas y Policía Nacional del Perú</w:t>
      </w:r>
      <w:r w:rsidRPr="002964A7">
        <w:rPr>
          <w:rFonts w:ascii="Verdana" w:eastAsia="Times New Roman" w:hAnsi="Verdana" w:cs="Arial"/>
          <w:sz w:val="20"/>
          <w:szCs w:val="20"/>
          <w:vertAlign w:val="superscript"/>
          <w:lang w:val="en-US"/>
        </w:rPr>
        <w:footnoteReference w:id="110"/>
      </w:r>
      <w:r w:rsidRPr="002964A7">
        <w:rPr>
          <w:rFonts w:ascii="Verdana" w:hAnsi="Verdana" w:cs="Arial"/>
          <w:sz w:val="20"/>
          <w:szCs w:val="20"/>
          <w:lang w:val="es-GT"/>
        </w:rPr>
        <w:t>.</w:t>
      </w:r>
    </w:p>
    <w:p w:rsidR="00106A1E" w:rsidRPr="002964A7" w:rsidRDefault="00106A1E" w:rsidP="00106A1E">
      <w:pPr>
        <w:spacing w:after="0" w:line="240" w:lineRule="auto"/>
        <w:jc w:val="both"/>
        <w:rPr>
          <w:rFonts w:ascii="Verdana" w:hAnsi="Verdana" w:cs="Arial"/>
          <w:sz w:val="20"/>
          <w:szCs w:val="20"/>
          <w:lang w:val="es-GT"/>
        </w:rPr>
      </w:pPr>
    </w:p>
    <w:p w:rsidR="00106A1E" w:rsidRPr="002964A7" w:rsidRDefault="00106A1E" w:rsidP="00106A1E">
      <w:pPr>
        <w:spacing w:after="0" w:line="240" w:lineRule="auto"/>
        <w:jc w:val="both"/>
        <w:rPr>
          <w:rFonts w:ascii="Verdana" w:hAnsi="Verdana" w:cs="Arial"/>
          <w:i/>
          <w:sz w:val="20"/>
          <w:szCs w:val="20"/>
          <w:lang w:val="es-GT"/>
        </w:rPr>
      </w:pPr>
      <w:r w:rsidRPr="002964A7">
        <w:rPr>
          <w:rFonts w:ascii="Verdana" w:hAnsi="Verdana" w:cs="Arial"/>
          <w:i/>
          <w:sz w:val="20"/>
          <w:szCs w:val="20"/>
          <w:lang w:val="es-GT"/>
        </w:rPr>
        <w:t xml:space="preserve">E.2. Incidente de competencia planteado entre el Fuero Militar y la Jurisdicción Ordinaria </w:t>
      </w:r>
    </w:p>
    <w:p w:rsidR="00106A1E" w:rsidRPr="002964A7" w:rsidRDefault="00106A1E" w:rsidP="00106A1E">
      <w:pPr>
        <w:spacing w:after="0" w:line="240" w:lineRule="auto"/>
        <w:jc w:val="both"/>
        <w:rPr>
          <w:rFonts w:ascii="Verdana" w:hAnsi="Verdana" w:cs="Arial"/>
          <w:i/>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El 29 de noviembre de 1991 el señor Zósimo Hilario Quispe presentó una denuncia ante la Fiscalía Provincial Mixta de Huancavelica en contra de Javier Bendezú Vargas, </w:t>
      </w:r>
      <w:r>
        <w:rPr>
          <w:rFonts w:ascii="Verdana" w:hAnsi="Verdana" w:cs="Arial"/>
          <w:sz w:val="20"/>
          <w:szCs w:val="20"/>
          <w:lang w:val="es-GT"/>
        </w:rPr>
        <w:t>“</w:t>
      </w:r>
      <w:r w:rsidRPr="002964A7">
        <w:rPr>
          <w:rFonts w:ascii="Verdana" w:hAnsi="Verdana" w:cs="Arial"/>
          <w:sz w:val="20"/>
          <w:szCs w:val="20"/>
          <w:lang w:val="es-GT"/>
        </w:rPr>
        <w:t xml:space="preserve">Fidel </w:t>
      </w:r>
      <w:r w:rsidRPr="002964A7">
        <w:rPr>
          <w:rFonts w:ascii="Verdana" w:hAnsi="Verdana"/>
          <w:sz w:val="20"/>
          <w:szCs w:val="20"/>
          <w:lang w:eastAsia="es-CR"/>
        </w:rPr>
        <w:t>Ausabio</w:t>
      </w:r>
      <w:r w:rsidRPr="002964A7">
        <w:rPr>
          <w:rFonts w:ascii="Verdana" w:hAnsi="Verdana" w:cs="Arial"/>
          <w:sz w:val="20"/>
          <w:szCs w:val="20"/>
          <w:lang w:val="es-GT"/>
        </w:rPr>
        <w:t xml:space="preserve"> Huayta</w:t>
      </w:r>
      <w:r>
        <w:rPr>
          <w:rFonts w:ascii="Verdana" w:hAnsi="Verdana" w:cs="Arial"/>
          <w:sz w:val="20"/>
          <w:szCs w:val="20"/>
          <w:lang w:val="es-GT"/>
        </w:rPr>
        <w:t xml:space="preserve"> [</w:t>
      </w:r>
      <w:r w:rsidRPr="00D80454">
        <w:rPr>
          <w:rFonts w:ascii="Verdana" w:hAnsi="Verdana" w:cs="Arial"/>
          <w:i/>
          <w:sz w:val="20"/>
          <w:szCs w:val="20"/>
          <w:lang w:val="es-GT"/>
        </w:rPr>
        <w:t>sic</w:t>
      </w:r>
      <w:r>
        <w:rPr>
          <w:rFonts w:ascii="Verdana" w:hAnsi="Verdana" w:cs="Arial"/>
          <w:sz w:val="20"/>
          <w:szCs w:val="20"/>
          <w:lang w:val="es-GT"/>
        </w:rPr>
        <w:t>]”</w:t>
      </w:r>
      <w:r w:rsidRPr="002964A7">
        <w:rPr>
          <w:rFonts w:ascii="Verdana" w:hAnsi="Verdana" w:cs="Arial"/>
          <w:sz w:val="20"/>
          <w:szCs w:val="20"/>
          <w:lang w:val="es-GT"/>
        </w:rPr>
        <w:t>, Oscar Carrera Gonzalez, Carlos Prado Chinchay y Dennis Pach</w:t>
      </w:r>
      <w:r>
        <w:rPr>
          <w:rFonts w:ascii="Verdana" w:hAnsi="Verdana" w:cs="Arial"/>
          <w:sz w:val="20"/>
          <w:szCs w:val="20"/>
          <w:lang w:val="es-GT"/>
        </w:rPr>
        <w:t>e</w:t>
      </w:r>
      <w:r w:rsidRPr="002964A7">
        <w:rPr>
          <w:rFonts w:ascii="Verdana" w:hAnsi="Verdana" w:cs="Arial"/>
          <w:sz w:val="20"/>
          <w:szCs w:val="20"/>
          <w:lang w:val="es-GT"/>
        </w:rPr>
        <w:t xml:space="preserve">co, “todos ex miembros del Ejército Peruano”, por los delitos contra la vida (homicidio calificado) y el patrimonio, entre otros, </w:t>
      </w:r>
      <w:r w:rsidR="004B5F05" w:rsidRPr="002964A7">
        <w:rPr>
          <w:rFonts w:ascii="Verdana" w:hAnsi="Verdana" w:cs="Arial"/>
          <w:sz w:val="20"/>
          <w:szCs w:val="20"/>
          <w:lang w:val="es-GT"/>
        </w:rPr>
        <w:t>cometidos el 4 de julio de 1991</w:t>
      </w:r>
      <w:r w:rsidR="004B5F05">
        <w:rPr>
          <w:rFonts w:ascii="Verdana" w:hAnsi="Verdana" w:cs="Arial"/>
          <w:sz w:val="20"/>
          <w:szCs w:val="20"/>
          <w:lang w:val="es-GT"/>
        </w:rPr>
        <w:t xml:space="preserve"> </w:t>
      </w:r>
      <w:r w:rsidRPr="002964A7">
        <w:rPr>
          <w:rFonts w:ascii="Verdana" w:hAnsi="Verdana" w:cs="Arial"/>
          <w:sz w:val="20"/>
          <w:szCs w:val="20"/>
          <w:lang w:val="es-GT"/>
        </w:rPr>
        <w:t>en agravio de los 14 comuneros de Santa Bárbara. En dicho escrito se adjuntó copias certificadas de la investigación que había efectuado la Fiscalía de Prevención del Delito de Huancavelica</w:t>
      </w:r>
      <w:r w:rsidRPr="002964A7">
        <w:rPr>
          <w:rFonts w:ascii="Verdana" w:eastAsia="Times New Roman" w:hAnsi="Verdana" w:cs="Arial"/>
          <w:sz w:val="20"/>
          <w:szCs w:val="20"/>
          <w:vertAlign w:val="superscript"/>
          <w:lang w:val="en-US"/>
        </w:rPr>
        <w:footnoteReference w:id="111"/>
      </w:r>
      <w:r w:rsidRPr="002964A7">
        <w:rPr>
          <w:rFonts w:ascii="Verdana" w:hAnsi="Verdana" w:cs="Arial"/>
          <w:sz w:val="20"/>
          <w:szCs w:val="20"/>
          <w:lang w:val="es-GT"/>
        </w:rPr>
        <w:t>.</w:t>
      </w:r>
    </w:p>
    <w:p w:rsidR="00106A1E" w:rsidRPr="002964A7" w:rsidRDefault="00106A1E" w:rsidP="00106A1E">
      <w:pPr>
        <w:spacing w:after="0" w:line="240" w:lineRule="auto"/>
        <w:jc w:val="both"/>
        <w:rPr>
          <w:rFonts w:ascii="Verdana" w:hAnsi="Verdana" w:cs="Arial"/>
          <w:i/>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El 4 de diciembre de 1991 abogados d</w:t>
      </w:r>
      <w:r w:rsidRPr="002964A7">
        <w:rPr>
          <w:rFonts w:ascii="Verdana" w:hAnsi="Verdana"/>
          <w:sz w:val="20"/>
          <w:szCs w:val="20"/>
          <w:lang w:val="es-GT"/>
        </w:rPr>
        <w:t>el Centro de Estudios y Acción para la Paz (CEAPAZ)</w:t>
      </w:r>
      <w:r w:rsidRPr="002964A7">
        <w:rPr>
          <w:rFonts w:ascii="Verdana" w:hAnsi="Verdana" w:cs="Arial"/>
          <w:sz w:val="20"/>
          <w:szCs w:val="20"/>
          <w:lang w:val="es-GT"/>
        </w:rPr>
        <w:t xml:space="preserve"> solicitaron al Fiscal de la Nación que los responsables de los hechos investigados fueran juzgados en el Fuero Común, para lo cual debía disponer que el Fiscal de Huancavelica formulara la respectiva denuncia penal ante el Juzgado de Instrucción de Huancavelica</w:t>
      </w:r>
      <w:r w:rsidRPr="002964A7">
        <w:rPr>
          <w:rFonts w:ascii="Verdana" w:eastAsia="Times New Roman" w:hAnsi="Verdana" w:cs="Arial"/>
          <w:sz w:val="20"/>
          <w:szCs w:val="20"/>
          <w:vertAlign w:val="superscript"/>
          <w:lang w:val="en-US"/>
        </w:rPr>
        <w:footnoteReference w:id="112"/>
      </w:r>
      <w:r w:rsidRPr="002964A7">
        <w:rPr>
          <w:rFonts w:ascii="Verdana" w:hAnsi="Verdana" w:cs="Arial"/>
          <w:sz w:val="20"/>
          <w:szCs w:val="20"/>
          <w:lang w:val="es-GT"/>
        </w:rPr>
        <w:t>. Asimismo, el 5 de febrero de 1992 el señor Zósimo Hilario Quispe interpuso una declinatoria de jurisdicción ante la Segunda Zona Judicial del Ejército, a fin de que el Juez del Juzgado Militar Permanente de Ayacucho se abstuviera de conocer la causa y la remitiera al Juez Instructor de Huancavelica, con base en que el Fuero Privativo Militar solamente era competente pare conocer delitos de función</w:t>
      </w:r>
      <w:r w:rsidRPr="002964A7">
        <w:rPr>
          <w:rFonts w:ascii="Verdana" w:hAnsi="Verdana" w:cs="Arial"/>
          <w:sz w:val="20"/>
          <w:szCs w:val="20"/>
          <w:vertAlign w:val="superscript"/>
          <w:lang w:val="en-US"/>
        </w:rPr>
        <w:footnoteReference w:id="113"/>
      </w:r>
      <w:r w:rsidRPr="002964A7">
        <w:rPr>
          <w:rFonts w:ascii="Verdana" w:hAnsi="Verdana" w:cs="Arial"/>
          <w:sz w:val="20"/>
          <w:szCs w:val="20"/>
          <w:lang w:val="es-GT"/>
        </w:rPr>
        <w:t xml:space="preserve">. </w:t>
      </w:r>
    </w:p>
    <w:p w:rsidR="00106A1E" w:rsidRPr="002964A7" w:rsidRDefault="00106A1E" w:rsidP="00106A1E">
      <w:pPr>
        <w:spacing w:after="0" w:line="240" w:lineRule="auto"/>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 xml:space="preserve">A su vez, el 7 de febrero de 1992 el encargado de la Fiscalía Provincial Mixta de Huancavelica interpuso denuncia penal ante el Juez Instructor en lo Penal por los delitos de genocidio, robo, daños y abuso de autoridad, entre otros, en agravio de Francisco Hilario Torres y otros, todos ellos campesinos de la comunidad de Santa Bárbara. Dicha denuncia se dirigió contra Javier Bendezú Vargas, Duilio Chipana Tarqui, </w:t>
      </w:r>
      <w:r>
        <w:rPr>
          <w:rFonts w:ascii="Verdana" w:hAnsi="Verdana" w:cs="Arial"/>
          <w:sz w:val="20"/>
          <w:szCs w:val="20"/>
          <w:lang w:val="es-GT"/>
        </w:rPr>
        <w:t>“</w:t>
      </w:r>
      <w:r w:rsidRPr="002964A7">
        <w:rPr>
          <w:rFonts w:ascii="Verdana" w:hAnsi="Verdana" w:cs="Arial"/>
          <w:sz w:val="20"/>
          <w:szCs w:val="20"/>
          <w:lang w:val="es-GT"/>
        </w:rPr>
        <w:t xml:space="preserve">Fidel </w:t>
      </w:r>
      <w:r w:rsidRPr="002964A7">
        <w:rPr>
          <w:rFonts w:ascii="Verdana" w:hAnsi="Verdana"/>
          <w:sz w:val="20"/>
          <w:szCs w:val="20"/>
          <w:lang w:eastAsia="es-CR"/>
        </w:rPr>
        <w:t>Ausebio</w:t>
      </w:r>
      <w:r w:rsidRPr="002964A7">
        <w:rPr>
          <w:rFonts w:ascii="Verdana" w:hAnsi="Verdana" w:cs="Arial"/>
          <w:sz w:val="20"/>
          <w:szCs w:val="20"/>
          <w:lang w:val="es-GT"/>
        </w:rPr>
        <w:t xml:space="preserve"> Huaytalla</w:t>
      </w:r>
      <w:r>
        <w:rPr>
          <w:rFonts w:ascii="Verdana" w:hAnsi="Verdana" w:cs="Arial"/>
          <w:sz w:val="20"/>
          <w:szCs w:val="20"/>
          <w:lang w:val="es-GT"/>
        </w:rPr>
        <w:t>”</w:t>
      </w:r>
      <w:r w:rsidR="00C93DD3">
        <w:rPr>
          <w:rFonts w:ascii="Verdana" w:hAnsi="Verdana" w:cs="Arial"/>
          <w:sz w:val="20"/>
          <w:szCs w:val="20"/>
          <w:lang w:val="es-GT"/>
        </w:rPr>
        <w:t>, Oscar Carrera Gonzá</w:t>
      </w:r>
      <w:r w:rsidRPr="002964A7">
        <w:rPr>
          <w:rFonts w:ascii="Verdana" w:hAnsi="Verdana" w:cs="Arial"/>
          <w:sz w:val="20"/>
          <w:szCs w:val="20"/>
          <w:lang w:val="es-GT"/>
        </w:rPr>
        <w:t>les, Carlos Prado Chinchay y Dennis Pacheco Zambrano, todos ellos ex miembros del Ejército peruano (Batallón Contra Subversivo No. 43-Pampas bajo el mando del Comandante Caro)</w:t>
      </w:r>
      <w:r w:rsidRPr="002964A7">
        <w:rPr>
          <w:rFonts w:ascii="Verdana" w:eastAsia="Times New Roman" w:hAnsi="Verdana" w:cs="Arial"/>
          <w:sz w:val="20"/>
          <w:szCs w:val="20"/>
          <w:vertAlign w:val="superscript"/>
          <w:lang w:val="en-US"/>
        </w:rPr>
        <w:footnoteReference w:id="114"/>
      </w:r>
      <w:r w:rsidRPr="002964A7">
        <w:rPr>
          <w:rFonts w:ascii="Verdana" w:hAnsi="Verdana" w:cs="Arial"/>
          <w:sz w:val="20"/>
          <w:szCs w:val="20"/>
          <w:lang w:val="es-GT"/>
        </w:rPr>
        <w:t>.</w:t>
      </w:r>
    </w:p>
    <w:p w:rsidR="00106A1E" w:rsidRPr="002964A7" w:rsidRDefault="00106A1E" w:rsidP="00106A1E">
      <w:pPr>
        <w:spacing w:after="0" w:line="240" w:lineRule="auto"/>
        <w:contextualSpacing/>
        <w:jc w:val="both"/>
        <w:rPr>
          <w:rFonts w:ascii="Verdana" w:hAnsi="Verdana"/>
          <w:b/>
          <w:sz w:val="20"/>
          <w:szCs w:val="20"/>
          <w:lang w:val="es-GT"/>
        </w:rPr>
      </w:pPr>
    </w:p>
    <w:p w:rsidR="00106A1E" w:rsidRPr="00D80454"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PR"/>
        </w:rPr>
      </w:pPr>
      <w:r w:rsidRPr="002964A7">
        <w:rPr>
          <w:rFonts w:ascii="Verdana" w:hAnsi="Verdana" w:cs="Arial"/>
          <w:sz w:val="20"/>
          <w:szCs w:val="20"/>
          <w:lang w:val="es-GT"/>
        </w:rPr>
        <w:t xml:space="preserve">Por su parte, el 20 de febrero de 1992 </w:t>
      </w:r>
      <w:r>
        <w:rPr>
          <w:rFonts w:ascii="Verdana" w:hAnsi="Verdana" w:cs="Arial"/>
          <w:sz w:val="20"/>
          <w:szCs w:val="20"/>
          <w:lang w:val="es-GT"/>
        </w:rPr>
        <w:t xml:space="preserve">el </w:t>
      </w:r>
      <w:r w:rsidRPr="002964A7">
        <w:rPr>
          <w:rFonts w:ascii="Verdana" w:hAnsi="Verdana" w:cs="Arial"/>
          <w:sz w:val="20"/>
          <w:szCs w:val="20"/>
          <w:lang w:val="es-GT"/>
        </w:rPr>
        <w:t xml:space="preserve">Juez del Sexto Juzgado Militar Permanente de Ayacucho resolvió plantear una contienda de competencia por inhibición al Juez Instructor del Fuero Penal Común de Huancavelica ante la inminencia de que </w:t>
      </w:r>
      <w:r>
        <w:rPr>
          <w:rFonts w:ascii="Verdana" w:hAnsi="Verdana" w:cs="Arial"/>
          <w:sz w:val="20"/>
          <w:szCs w:val="20"/>
          <w:lang w:val="es-GT"/>
        </w:rPr>
        <w:t>e</w:t>
      </w:r>
      <w:r w:rsidRPr="002964A7">
        <w:rPr>
          <w:rFonts w:ascii="Verdana" w:hAnsi="Verdana" w:cs="Arial"/>
          <w:sz w:val="20"/>
          <w:szCs w:val="20"/>
          <w:lang w:val="es-GT"/>
        </w:rPr>
        <w:t xml:space="preserve">ste abriera instrucción contra los militares presuntamente autores de los hechos. Lo anterior, </w:t>
      </w:r>
      <w:r w:rsidRPr="002964A7">
        <w:rPr>
          <w:rFonts w:ascii="Verdana" w:hAnsi="Verdana"/>
          <w:sz w:val="20"/>
          <w:szCs w:val="20"/>
          <w:lang w:val="es-GT"/>
        </w:rPr>
        <w:t>en cumplimiento de lo dispuesto en la Constitución y el artículo 10 de la Ley N</w:t>
      </w:r>
      <w:r>
        <w:rPr>
          <w:rFonts w:ascii="Verdana" w:hAnsi="Verdana"/>
          <w:sz w:val="20"/>
          <w:szCs w:val="20"/>
          <w:lang w:val="es-GT"/>
        </w:rPr>
        <w:t>o.</w:t>
      </w:r>
      <w:r w:rsidRPr="002964A7">
        <w:rPr>
          <w:rFonts w:ascii="Verdana" w:hAnsi="Verdana"/>
          <w:sz w:val="20"/>
          <w:szCs w:val="20"/>
          <w:lang w:val="es-GT"/>
        </w:rPr>
        <w:t xml:space="preserve"> 24.150 (</w:t>
      </w:r>
      <w:r w:rsidRPr="002964A7">
        <w:rPr>
          <w:rFonts w:ascii="Verdana" w:hAnsi="Verdana"/>
          <w:i/>
          <w:sz w:val="20"/>
          <w:szCs w:val="20"/>
          <w:lang w:val="es-GT"/>
        </w:rPr>
        <w:t>supra</w:t>
      </w:r>
      <w:r w:rsidRPr="002964A7">
        <w:rPr>
          <w:rFonts w:ascii="Verdana" w:hAnsi="Verdana"/>
          <w:sz w:val="20"/>
          <w:szCs w:val="20"/>
          <w:lang w:val="es-GT"/>
        </w:rPr>
        <w:t xml:space="preserve"> párr. </w:t>
      </w:r>
      <w:r>
        <w:rPr>
          <w:rFonts w:ascii="Verdana" w:hAnsi="Verdana"/>
          <w:sz w:val="20"/>
          <w:szCs w:val="20"/>
          <w:lang w:val="es-GT"/>
        </w:rPr>
        <w:t>86</w:t>
      </w:r>
      <w:r w:rsidRPr="002964A7">
        <w:rPr>
          <w:rFonts w:ascii="Verdana" w:hAnsi="Verdana"/>
          <w:sz w:val="20"/>
          <w:szCs w:val="20"/>
          <w:lang w:val="es-GT"/>
        </w:rPr>
        <w:t xml:space="preserve">), debido a que </w:t>
      </w:r>
      <w:r w:rsidRPr="002964A7">
        <w:rPr>
          <w:rFonts w:ascii="Verdana" w:hAnsi="Verdana" w:cs="Arial"/>
          <w:sz w:val="20"/>
          <w:szCs w:val="20"/>
          <w:lang w:val="es-GT"/>
        </w:rPr>
        <w:t xml:space="preserve">los hechos suscitados se habían producido durante el régimen de excepción y el estado de emergencia decretado en el Departamento de </w:t>
      </w:r>
      <w:r w:rsidRPr="002964A7">
        <w:rPr>
          <w:rFonts w:ascii="Verdana" w:hAnsi="Verdana" w:cs="Arial"/>
          <w:sz w:val="20"/>
          <w:szCs w:val="20"/>
          <w:lang w:val="es-GT"/>
        </w:rPr>
        <w:lastRenderedPageBreak/>
        <w:t>Huancavelica</w:t>
      </w:r>
      <w:r w:rsidRPr="002964A7">
        <w:rPr>
          <w:rFonts w:ascii="Verdana" w:hAnsi="Verdana"/>
          <w:sz w:val="20"/>
          <w:szCs w:val="20"/>
          <w:lang w:val="es-GT"/>
        </w:rPr>
        <w:t xml:space="preserve">, siendo que los miembros de las Fuerzas Armadas y </w:t>
      </w:r>
      <w:r>
        <w:rPr>
          <w:rFonts w:ascii="Verdana" w:hAnsi="Verdana"/>
          <w:sz w:val="20"/>
          <w:szCs w:val="20"/>
          <w:lang w:val="es-GT"/>
        </w:rPr>
        <w:t xml:space="preserve">la </w:t>
      </w:r>
      <w:r w:rsidRPr="002964A7">
        <w:rPr>
          <w:rFonts w:ascii="Verdana" w:hAnsi="Verdana"/>
          <w:sz w:val="20"/>
          <w:szCs w:val="20"/>
          <w:lang w:val="es-GT"/>
        </w:rPr>
        <w:t>Policía Nacional que se encontraran prestando servicios en zonas declaradas en excepción, quedaban sujetas a la aplicación del Código de Justicia Militar</w:t>
      </w:r>
      <w:r w:rsidRPr="002964A7">
        <w:rPr>
          <w:rFonts w:ascii="Verdana" w:eastAsia="Times New Roman" w:hAnsi="Verdana" w:cs="Arial"/>
          <w:sz w:val="20"/>
          <w:szCs w:val="20"/>
          <w:vertAlign w:val="superscript"/>
          <w:lang w:val="en-US"/>
        </w:rPr>
        <w:footnoteReference w:id="115"/>
      </w:r>
      <w:r w:rsidRPr="002964A7">
        <w:rPr>
          <w:rFonts w:ascii="Verdana" w:hAnsi="Verdana" w:cs="Arial"/>
          <w:sz w:val="20"/>
          <w:szCs w:val="20"/>
          <w:lang w:val="es-GT"/>
        </w:rPr>
        <w:t>.</w:t>
      </w:r>
      <w:r w:rsidRPr="002964A7">
        <w:rPr>
          <w:rFonts w:ascii="Verdana" w:hAnsi="Verdana"/>
          <w:sz w:val="20"/>
          <w:szCs w:val="20"/>
          <w:lang w:val="es-GT"/>
        </w:rPr>
        <w:t xml:space="preserve"> </w:t>
      </w:r>
      <w:r w:rsidRPr="002964A7">
        <w:rPr>
          <w:rFonts w:ascii="Verdana" w:hAnsi="Verdana" w:cs="Arial"/>
          <w:sz w:val="20"/>
          <w:szCs w:val="20"/>
          <w:lang w:val="es-GT"/>
        </w:rPr>
        <w:t>Mientras se resolvía la contienda de competencia, el fuero militar no suspendió el proceso que había iniciado por los hechos del 4 de julio de 1991 (</w:t>
      </w:r>
      <w:r w:rsidRPr="002964A7">
        <w:rPr>
          <w:rFonts w:ascii="Verdana" w:hAnsi="Verdana" w:cs="Arial"/>
          <w:i/>
          <w:sz w:val="20"/>
          <w:szCs w:val="20"/>
          <w:lang w:val="es-GT"/>
        </w:rPr>
        <w:t>supra</w:t>
      </w:r>
      <w:r w:rsidRPr="002964A7">
        <w:rPr>
          <w:rFonts w:ascii="Verdana" w:hAnsi="Verdana" w:cs="Arial"/>
          <w:sz w:val="20"/>
          <w:szCs w:val="20"/>
          <w:lang w:val="es-GT"/>
        </w:rPr>
        <w:t xml:space="preserve"> párrs. </w:t>
      </w:r>
      <w:r w:rsidRPr="00D80454">
        <w:rPr>
          <w:rFonts w:ascii="Verdana" w:hAnsi="Verdana" w:cs="Arial"/>
          <w:sz w:val="20"/>
          <w:szCs w:val="20"/>
          <w:lang w:val="es-PR"/>
        </w:rPr>
        <w:t>90 y 91).</w:t>
      </w:r>
    </w:p>
    <w:p w:rsidR="00106A1E" w:rsidRPr="00D80454" w:rsidRDefault="00106A1E" w:rsidP="00106A1E">
      <w:pPr>
        <w:spacing w:after="0" w:line="240" w:lineRule="auto"/>
        <w:contextualSpacing/>
        <w:jc w:val="both"/>
        <w:rPr>
          <w:rFonts w:ascii="Verdana" w:hAnsi="Verdana"/>
          <w:b/>
          <w:sz w:val="20"/>
          <w:szCs w:val="20"/>
          <w:lang w:val="es-PR"/>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GT"/>
        </w:rPr>
      </w:pPr>
      <w:r w:rsidRPr="002964A7">
        <w:rPr>
          <w:rFonts w:ascii="Verdana" w:hAnsi="Verdana" w:cs="Arial"/>
          <w:sz w:val="20"/>
          <w:szCs w:val="20"/>
          <w:lang w:val="es-GT"/>
        </w:rPr>
        <w:t>El incidente de competencia fue sometido a conocimiento de la Sala Penal de la Corte Suprema de Justicia. En el marco de dicho incidente, mediante escritos de 18 de enero y 13 de mayo de 1993, respectivamente</w:t>
      </w:r>
      <w:r>
        <w:rPr>
          <w:rFonts w:ascii="Verdana" w:hAnsi="Verdana" w:cs="Arial"/>
          <w:sz w:val="20"/>
          <w:szCs w:val="20"/>
          <w:lang w:val="es-GT"/>
        </w:rPr>
        <w:t>,</w:t>
      </w:r>
      <w:r w:rsidRPr="002964A7">
        <w:rPr>
          <w:rFonts w:ascii="Verdana" w:hAnsi="Verdana" w:cs="Arial"/>
          <w:sz w:val="20"/>
          <w:szCs w:val="20"/>
          <w:lang w:val="es-GT"/>
        </w:rPr>
        <w:t xml:space="preserve"> </w:t>
      </w:r>
      <w:r w:rsidRPr="002964A7">
        <w:rPr>
          <w:rFonts w:ascii="Verdana" w:hAnsi="Verdana"/>
          <w:sz w:val="20"/>
          <w:szCs w:val="20"/>
          <w:lang w:val="es-GT"/>
        </w:rPr>
        <w:t xml:space="preserve">el Fiscal Supremo Adjunto y el Centro de Estudios y </w:t>
      </w:r>
      <w:r w:rsidRPr="002964A7">
        <w:rPr>
          <w:rFonts w:ascii="Verdana" w:hAnsi="Verdana"/>
          <w:sz w:val="20"/>
          <w:szCs w:val="20"/>
          <w:lang w:eastAsia="es-CR"/>
        </w:rPr>
        <w:t>Acción</w:t>
      </w:r>
      <w:r w:rsidRPr="002964A7">
        <w:rPr>
          <w:rFonts w:ascii="Verdana" w:hAnsi="Verdana"/>
          <w:sz w:val="20"/>
          <w:szCs w:val="20"/>
          <w:lang w:val="es-GT"/>
        </w:rPr>
        <w:t xml:space="preserve"> para la Paz (CEAPAZ), en representación de los familiares de las presuntas víctimas de los hechos de la </w:t>
      </w:r>
      <w:r w:rsidRPr="002964A7">
        <w:rPr>
          <w:rFonts w:ascii="Verdana" w:hAnsi="Verdana"/>
          <w:iCs/>
          <w:sz w:val="20"/>
          <w:szCs w:val="20"/>
          <w:lang w:val="es-GT"/>
        </w:rPr>
        <w:t xml:space="preserve">comunidad campesina de Santa Bárbara, solicitaron al </w:t>
      </w:r>
      <w:r w:rsidRPr="002964A7">
        <w:rPr>
          <w:rFonts w:ascii="Verdana" w:hAnsi="Verdana" w:cs="Arial"/>
          <w:spacing w:val="-2"/>
          <w:sz w:val="20"/>
          <w:szCs w:val="20"/>
          <w:lang w:val="es-GT"/>
        </w:rPr>
        <w:t>Presidente</w:t>
      </w:r>
      <w:r w:rsidRPr="002964A7">
        <w:rPr>
          <w:rFonts w:ascii="Verdana" w:hAnsi="Verdana"/>
          <w:iCs/>
          <w:sz w:val="20"/>
          <w:szCs w:val="20"/>
          <w:lang w:val="es-GT"/>
        </w:rPr>
        <w:t xml:space="preserve"> de dicha Sala que la contienda se resolviera a favor de la jurisdicción común</w:t>
      </w:r>
      <w:r w:rsidRPr="002964A7">
        <w:rPr>
          <w:rFonts w:ascii="Verdana" w:eastAsia="Times New Roman" w:hAnsi="Verdana"/>
          <w:iCs/>
          <w:sz w:val="20"/>
          <w:szCs w:val="20"/>
          <w:vertAlign w:val="superscript"/>
          <w:lang w:val="en-US"/>
        </w:rPr>
        <w:footnoteReference w:id="116"/>
      </w:r>
      <w:r w:rsidRPr="002964A7">
        <w:rPr>
          <w:rFonts w:ascii="Verdana" w:hAnsi="Verdana"/>
          <w:iCs/>
          <w:sz w:val="20"/>
          <w:szCs w:val="20"/>
          <w:lang w:val="es-GT"/>
        </w:rPr>
        <w:t>.</w:t>
      </w:r>
    </w:p>
    <w:p w:rsidR="00106A1E" w:rsidRPr="002964A7" w:rsidRDefault="00106A1E" w:rsidP="00106A1E">
      <w:pPr>
        <w:spacing w:after="0" w:line="240" w:lineRule="auto"/>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 xml:space="preserve">El 17 de </w:t>
      </w:r>
      <w:r w:rsidRPr="002964A7">
        <w:rPr>
          <w:rFonts w:ascii="Verdana" w:hAnsi="Verdana" w:cs="Arial"/>
          <w:spacing w:val="-2"/>
          <w:sz w:val="20"/>
          <w:szCs w:val="20"/>
          <w:lang w:val="es-GT"/>
        </w:rPr>
        <w:t>junio</w:t>
      </w:r>
      <w:r w:rsidRPr="002964A7">
        <w:rPr>
          <w:rFonts w:ascii="Verdana" w:hAnsi="Verdana" w:cs="Arial"/>
          <w:sz w:val="20"/>
          <w:szCs w:val="20"/>
          <w:lang w:val="es-GT"/>
        </w:rPr>
        <w:t xml:space="preserve"> de 1993 la Corte Suprema de Justicia de la República </w:t>
      </w:r>
      <w:r w:rsidRPr="002964A7">
        <w:rPr>
          <w:rFonts w:ascii="Verdana" w:hAnsi="Verdana"/>
          <w:sz w:val="20"/>
          <w:szCs w:val="20"/>
          <w:lang w:val="es-GT"/>
        </w:rPr>
        <w:t>dirimió la contienda de competencia</w:t>
      </w:r>
      <w:r>
        <w:rPr>
          <w:rFonts w:ascii="Verdana" w:hAnsi="Verdana"/>
          <w:sz w:val="20"/>
          <w:szCs w:val="20"/>
          <w:lang w:val="es-GT"/>
        </w:rPr>
        <w:t>,</w:t>
      </w:r>
      <w:r w:rsidRPr="002964A7">
        <w:rPr>
          <w:rFonts w:ascii="Verdana" w:hAnsi="Verdana"/>
          <w:sz w:val="20"/>
          <w:szCs w:val="20"/>
          <w:lang w:val="es-GT"/>
        </w:rPr>
        <w:t xml:space="preserve"> declarando que el</w:t>
      </w:r>
      <w:r w:rsidRPr="002964A7">
        <w:rPr>
          <w:rFonts w:ascii="Verdana" w:hAnsi="Verdana" w:cs="Arial"/>
          <w:sz w:val="20"/>
          <w:szCs w:val="20"/>
          <w:lang w:val="es-GT"/>
        </w:rPr>
        <w:t xml:space="preserve"> fuero ordinario era el llamado a investigar </w:t>
      </w:r>
      <w:r w:rsidRPr="002964A7">
        <w:rPr>
          <w:rFonts w:ascii="Verdana" w:hAnsi="Verdana"/>
          <w:sz w:val="20"/>
          <w:szCs w:val="20"/>
          <w:lang w:val="es-GT"/>
        </w:rPr>
        <w:t xml:space="preserve">y </w:t>
      </w:r>
      <w:r w:rsidRPr="002964A7">
        <w:rPr>
          <w:rFonts w:ascii="Verdana" w:hAnsi="Verdana" w:cs="Arial"/>
          <w:sz w:val="20"/>
          <w:szCs w:val="20"/>
          <w:lang w:val="es-GT"/>
        </w:rPr>
        <w:t>juzgar los</w:t>
      </w:r>
      <w:r w:rsidRPr="002964A7">
        <w:rPr>
          <w:rFonts w:ascii="Verdana" w:hAnsi="Verdana"/>
          <w:sz w:val="20"/>
          <w:szCs w:val="20"/>
          <w:lang w:val="es-GT"/>
        </w:rPr>
        <w:t xml:space="preserve"> </w:t>
      </w:r>
      <w:r w:rsidRPr="002964A7">
        <w:rPr>
          <w:rFonts w:ascii="Verdana" w:hAnsi="Verdana" w:cs="Arial"/>
          <w:sz w:val="20"/>
          <w:szCs w:val="20"/>
          <w:lang w:val="es-GT"/>
        </w:rPr>
        <w:t>hechos denunciados</w:t>
      </w:r>
      <w:r w:rsidRPr="002964A7">
        <w:rPr>
          <w:rFonts w:ascii="Verdana" w:hAnsi="Verdana"/>
          <w:sz w:val="20"/>
          <w:szCs w:val="20"/>
          <w:vertAlign w:val="superscript"/>
          <w:lang w:val="en-US"/>
        </w:rPr>
        <w:footnoteReference w:id="117"/>
      </w:r>
      <w:r w:rsidRPr="002964A7">
        <w:rPr>
          <w:rFonts w:ascii="Verdana" w:hAnsi="Verdana"/>
          <w:sz w:val="20"/>
          <w:szCs w:val="20"/>
          <w:lang w:val="es-GT"/>
        </w:rPr>
        <w:t>.</w:t>
      </w:r>
    </w:p>
    <w:p w:rsidR="00106A1E" w:rsidRPr="002964A7" w:rsidRDefault="00106A1E" w:rsidP="00106A1E">
      <w:pPr>
        <w:spacing w:after="0" w:line="240" w:lineRule="auto"/>
        <w:jc w:val="both"/>
        <w:rPr>
          <w:rFonts w:ascii="Verdana" w:hAnsi="Verdana" w:cs="Arial"/>
          <w:i/>
          <w:sz w:val="20"/>
          <w:szCs w:val="20"/>
          <w:lang w:val="es-GT"/>
        </w:rPr>
      </w:pPr>
    </w:p>
    <w:p w:rsidR="00106A1E" w:rsidRPr="002964A7" w:rsidRDefault="00106A1E" w:rsidP="00106A1E">
      <w:pPr>
        <w:spacing w:after="0" w:line="240" w:lineRule="auto"/>
        <w:jc w:val="both"/>
        <w:rPr>
          <w:rFonts w:ascii="Verdana" w:hAnsi="Verdana" w:cs="Arial"/>
          <w:i/>
          <w:sz w:val="20"/>
          <w:szCs w:val="20"/>
          <w:lang w:val="es-GT"/>
        </w:rPr>
      </w:pPr>
      <w:r w:rsidRPr="002964A7">
        <w:rPr>
          <w:rFonts w:ascii="Verdana" w:hAnsi="Verdana" w:cs="Arial"/>
          <w:i/>
          <w:sz w:val="20"/>
          <w:szCs w:val="20"/>
          <w:lang w:val="es-GT"/>
        </w:rPr>
        <w:t>E.3. Jurisdicción Ordinaria: Juzgado Penal de Huancavelica - Expediente Penal N</w:t>
      </w:r>
      <w:r>
        <w:rPr>
          <w:rFonts w:ascii="Verdana" w:hAnsi="Verdana" w:cs="Arial"/>
          <w:i/>
          <w:sz w:val="20"/>
          <w:szCs w:val="20"/>
          <w:lang w:val="es-GT"/>
        </w:rPr>
        <w:t>o.</w:t>
      </w:r>
      <w:r w:rsidRPr="002964A7">
        <w:rPr>
          <w:rFonts w:ascii="Verdana" w:hAnsi="Verdana" w:cs="Arial"/>
          <w:i/>
          <w:sz w:val="20"/>
          <w:szCs w:val="20"/>
          <w:lang w:val="es-GT"/>
        </w:rPr>
        <w:t xml:space="preserve"> 1993-027 (</w:t>
      </w:r>
      <w:r w:rsidRPr="002964A7">
        <w:rPr>
          <w:rFonts w:ascii="Verdana" w:eastAsia="Calibri" w:hAnsi="Verdana"/>
          <w:bCs/>
          <w:i/>
          <w:sz w:val="20"/>
          <w:szCs w:val="20"/>
          <w:lang w:val="es-GT"/>
        </w:rPr>
        <w:t>Proceso judicial contra el Teniente Javier Bendezú Vargas y otros)</w:t>
      </w:r>
    </w:p>
    <w:p w:rsidR="00106A1E" w:rsidRPr="002964A7" w:rsidRDefault="00106A1E" w:rsidP="00106A1E">
      <w:pPr>
        <w:spacing w:after="0" w:line="240" w:lineRule="auto"/>
        <w:jc w:val="both"/>
        <w:rPr>
          <w:rFonts w:ascii="Verdana" w:hAnsi="Verdana"/>
          <w:i/>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Tras la denuncia penal interpuesta por la Fiscalía Provincial Mixta de Huancavelica el 7 de febrero de 1992 (</w:t>
      </w:r>
      <w:r w:rsidRPr="002964A7">
        <w:rPr>
          <w:rFonts w:ascii="Verdana" w:hAnsi="Verdana" w:cs="Arial"/>
          <w:i/>
          <w:sz w:val="20"/>
          <w:szCs w:val="20"/>
          <w:lang w:val="es-GT"/>
        </w:rPr>
        <w:t>supra</w:t>
      </w:r>
      <w:r w:rsidRPr="002964A7">
        <w:rPr>
          <w:rFonts w:ascii="Verdana" w:hAnsi="Verdana" w:cs="Arial"/>
          <w:sz w:val="20"/>
          <w:szCs w:val="20"/>
          <w:lang w:val="es-GT"/>
        </w:rPr>
        <w:t xml:space="preserve"> párr. </w:t>
      </w:r>
      <w:r>
        <w:rPr>
          <w:rFonts w:ascii="Verdana" w:hAnsi="Verdana" w:cs="Arial"/>
          <w:sz w:val="20"/>
          <w:szCs w:val="20"/>
          <w:lang w:val="es-GT"/>
        </w:rPr>
        <w:t>112</w:t>
      </w:r>
      <w:r w:rsidRPr="002964A7">
        <w:rPr>
          <w:rFonts w:ascii="Verdana" w:hAnsi="Verdana" w:cs="Arial"/>
          <w:sz w:val="20"/>
          <w:szCs w:val="20"/>
          <w:lang w:val="es-GT"/>
        </w:rPr>
        <w:t xml:space="preserve">) y en lo que se refiere a las 15 víctimas </w:t>
      </w:r>
      <w:r>
        <w:rPr>
          <w:rFonts w:ascii="Verdana" w:hAnsi="Verdana" w:cs="Arial"/>
          <w:sz w:val="20"/>
          <w:szCs w:val="20"/>
          <w:lang w:val="es-GT"/>
        </w:rPr>
        <w:t>d</w:t>
      </w:r>
      <w:r w:rsidRPr="002964A7">
        <w:rPr>
          <w:rFonts w:ascii="Verdana" w:hAnsi="Verdana" w:cs="Arial"/>
          <w:sz w:val="20"/>
          <w:szCs w:val="20"/>
          <w:lang w:val="es-GT"/>
        </w:rPr>
        <w:t xml:space="preserve">el presente caso, el Juzgado Penal de Huancavelica abrió instrucción mediante auto de 26 de febrero de 1992 contra los señores Javier Bendezú Vargas, Duilio Chipana Tarqui, </w:t>
      </w:r>
      <w:r>
        <w:rPr>
          <w:rFonts w:ascii="Verdana" w:hAnsi="Verdana" w:cs="Arial"/>
          <w:sz w:val="20"/>
          <w:szCs w:val="20"/>
          <w:lang w:val="es-GT"/>
        </w:rPr>
        <w:t>“</w:t>
      </w:r>
      <w:r w:rsidRPr="002964A7">
        <w:rPr>
          <w:rFonts w:ascii="Verdana" w:hAnsi="Verdana" w:cs="Arial"/>
          <w:sz w:val="20"/>
          <w:szCs w:val="20"/>
          <w:lang w:val="es-GT"/>
        </w:rPr>
        <w:t xml:space="preserve">Fidel </w:t>
      </w:r>
      <w:r>
        <w:rPr>
          <w:rFonts w:ascii="Verdana" w:hAnsi="Verdana" w:cs="Arial"/>
          <w:sz w:val="20"/>
          <w:szCs w:val="20"/>
          <w:lang w:val="es-GT"/>
        </w:rPr>
        <w:t>A</w:t>
      </w:r>
      <w:r w:rsidRPr="002964A7">
        <w:rPr>
          <w:rFonts w:ascii="Verdana" w:hAnsi="Verdana" w:cs="Arial"/>
          <w:sz w:val="20"/>
          <w:szCs w:val="20"/>
          <w:lang w:val="es-GT"/>
        </w:rPr>
        <w:t>usebio Huaytalla</w:t>
      </w:r>
      <w:r>
        <w:rPr>
          <w:rFonts w:ascii="Verdana" w:hAnsi="Verdana" w:cs="Arial"/>
          <w:sz w:val="20"/>
          <w:szCs w:val="20"/>
          <w:lang w:val="es-GT"/>
        </w:rPr>
        <w:t>”</w:t>
      </w:r>
      <w:r w:rsidRPr="002964A7">
        <w:rPr>
          <w:rFonts w:ascii="Verdana" w:hAnsi="Verdana" w:cs="Arial"/>
          <w:sz w:val="20"/>
          <w:szCs w:val="20"/>
          <w:lang w:val="es-GT"/>
        </w:rPr>
        <w:t xml:space="preserve">, Oscar Alberto </w:t>
      </w:r>
      <w:r w:rsidRPr="002964A7">
        <w:rPr>
          <w:rFonts w:ascii="Verdana" w:hAnsi="Verdana"/>
          <w:sz w:val="20"/>
          <w:szCs w:val="20"/>
          <w:lang w:eastAsia="es-CR"/>
        </w:rPr>
        <w:t>Carrera</w:t>
      </w:r>
      <w:r w:rsidRPr="002964A7">
        <w:rPr>
          <w:rFonts w:ascii="Verdana" w:hAnsi="Verdana" w:cs="Arial"/>
          <w:sz w:val="20"/>
          <w:szCs w:val="20"/>
          <w:lang w:val="es-GT"/>
        </w:rPr>
        <w:t xml:space="preserve"> Gonz</w:t>
      </w:r>
      <w:r w:rsidR="00C93DD3">
        <w:rPr>
          <w:rFonts w:ascii="Verdana" w:hAnsi="Verdana" w:cs="Arial"/>
          <w:sz w:val="20"/>
          <w:szCs w:val="20"/>
          <w:lang w:val="es-GT"/>
        </w:rPr>
        <w:t>á</w:t>
      </w:r>
      <w:r w:rsidRPr="002964A7">
        <w:rPr>
          <w:rFonts w:ascii="Verdana" w:hAnsi="Verdana" w:cs="Arial"/>
          <w:sz w:val="20"/>
          <w:szCs w:val="20"/>
          <w:lang w:val="es-GT"/>
        </w:rPr>
        <w:t xml:space="preserve">les, Carlos Prado Chinchay y Dennis Pacheco Zambrano, por </w:t>
      </w:r>
      <w:r w:rsidRPr="002964A7">
        <w:rPr>
          <w:rFonts w:ascii="Verdana" w:hAnsi="Verdana" w:cs="Arial"/>
          <w:spacing w:val="-2"/>
          <w:sz w:val="20"/>
          <w:szCs w:val="20"/>
          <w:lang w:val="es-GT"/>
        </w:rPr>
        <w:t>los</w:t>
      </w:r>
      <w:r w:rsidRPr="002964A7">
        <w:rPr>
          <w:rFonts w:ascii="Verdana" w:hAnsi="Verdana" w:cs="Arial"/>
          <w:sz w:val="20"/>
          <w:szCs w:val="20"/>
          <w:lang w:val="es-GT"/>
        </w:rPr>
        <w:t xml:space="preserve"> delitos de abuso de autoridad, genocidio, </w:t>
      </w:r>
      <w:r>
        <w:rPr>
          <w:rFonts w:ascii="Verdana" w:hAnsi="Verdana" w:cs="Arial"/>
          <w:sz w:val="20"/>
          <w:szCs w:val="20"/>
          <w:lang w:val="es-GT"/>
        </w:rPr>
        <w:t>“</w:t>
      </w:r>
      <w:r w:rsidRPr="002964A7">
        <w:rPr>
          <w:rFonts w:ascii="Verdana" w:hAnsi="Verdana" w:cs="Arial"/>
          <w:sz w:val="20"/>
          <w:szCs w:val="20"/>
          <w:lang w:val="es-GT"/>
        </w:rPr>
        <w:t>contra la administración de justicia</w:t>
      </w:r>
      <w:r>
        <w:rPr>
          <w:rFonts w:ascii="Verdana" w:hAnsi="Verdana" w:cs="Arial"/>
          <w:sz w:val="20"/>
          <w:szCs w:val="20"/>
          <w:lang w:val="es-GT"/>
        </w:rPr>
        <w:t>”</w:t>
      </w:r>
      <w:r w:rsidRPr="002964A7">
        <w:rPr>
          <w:rFonts w:ascii="Verdana" w:hAnsi="Verdana" w:cs="Arial"/>
          <w:sz w:val="20"/>
          <w:szCs w:val="20"/>
          <w:lang w:val="es-GT"/>
        </w:rPr>
        <w:t>, robo y daños, entre otros, y ordenó la realización de diversas diligencias probatorias</w:t>
      </w:r>
      <w:r w:rsidRPr="002964A7">
        <w:rPr>
          <w:rFonts w:ascii="Verdana" w:eastAsia="Times New Roman" w:hAnsi="Verdana" w:cs="Arial"/>
          <w:sz w:val="20"/>
          <w:szCs w:val="20"/>
          <w:vertAlign w:val="superscript"/>
          <w:lang w:val="en-US"/>
        </w:rPr>
        <w:footnoteReference w:id="118"/>
      </w:r>
      <w:r w:rsidRPr="002964A7">
        <w:rPr>
          <w:rFonts w:ascii="Verdana" w:hAnsi="Verdana"/>
          <w:sz w:val="20"/>
          <w:szCs w:val="20"/>
          <w:lang w:val="es-GT"/>
        </w:rPr>
        <w:t>. El 12 de enero de 1993 se declaró a todos los denunciados en la presente causa</w:t>
      </w:r>
      <w:r w:rsidRPr="00A745C7">
        <w:rPr>
          <w:rFonts w:ascii="Verdana" w:hAnsi="Verdana"/>
          <w:sz w:val="20"/>
          <w:szCs w:val="20"/>
          <w:lang w:val="es-GT"/>
        </w:rPr>
        <w:t xml:space="preserve"> </w:t>
      </w:r>
      <w:r>
        <w:rPr>
          <w:rFonts w:ascii="Verdana" w:hAnsi="Verdana"/>
          <w:sz w:val="20"/>
          <w:szCs w:val="20"/>
          <w:lang w:val="es-GT"/>
        </w:rPr>
        <w:t xml:space="preserve">como </w:t>
      </w:r>
      <w:r w:rsidRPr="002964A7">
        <w:rPr>
          <w:rFonts w:ascii="Verdana" w:hAnsi="Verdana"/>
          <w:sz w:val="20"/>
          <w:szCs w:val="20"/>
          <w:lang w:val="es-GT"/>
        </w:rPr>
        <w:t>reos ausentes</w:t>
      </w:r>
      <w:r w:rsidRPr="002964A7">
        <w:rPr>
          <w:rFonts w:ascii="Verdana" w:eastAsia="Times New Roman" w:hAnsi="Verdana"/>
          <w:sz w:val="20"/>
          <w:szCs w:val="20"/>
          <w:vertAlign w:val="superscript"/>
          <w:lang w:val="en-US"/>
        </w:rPr>
        <w:footnoteReference w:id="119"/>
      </w:r>
      <w:r w:rsidRPr="002964A7">
        <w:rPr>
          <w:rFonts w:ascii="Verdana" w:hAnsi="Verdana"/>
          <w:sz w:val="20"/>
          <w:szCs w:val="20"/>
          <w:lang w:val="es-GT"/>
        </w:rPr>
        <w:t>.</w:t>
      </w:r>
      <w:r w:rsidRPr="002964A7">
        <w:rPr>
          <w:rFonts w:ascii="Verdana" w:hAnsi="Verdana" w:cs="Arial"/>
          <w:sz w:val="20"/>
          <w:szCs w:val="20"/>
          <w:lang w:val="es-GT"/>
        </w:rPr>
        <w:t xml:space="preserve"> </w:t>
      </w:r>
      <w:r>
        <w:rPr>
          <w:rFonts w:ascii="Verdana" w:hAnsi="Verdana" w:cs="Arial"/>
          <w:sz w:val="20"/>
          <w:szCs w:val="20"/>
          <w:lang w:val="es-GT"/>
        </w:rPr>
        <w:t>Dirimida la contienda de competencia entre el fuero militar y el fuero ordinario (</w:t>
      </w:r>
      <w:r w:rsidRPr="002A0A4B">
        <w:rPr>
          <w:rFonts w:ascii="Verdana" w:hAnsi="Verdana" w:cs="Arial"/>
          <w:i/>
          <w:sz w:val="20"/>
          <w:szCs w:val="20"/>
          <w:lang w:val="es-GT"/>
        </w:rPr>
        <w:t>supra</w:t>
      </w:r>
      <w:r>
        <w:rPr>
          <w:rFonts w:ascii="Verdana" w:hAnsi="Verdana" w:cs="Arial"/>
          <w:sz w:val="20"/>
          <w:szCs w:val="20"/>
          <w:lang w:val="es-GT"/>
        </w:rPr>
        <w:t xml:space="preserve"> párr. 115) y a</w:t>
      </w:r>
      <w:r w:rsidRPr="002964A7">
        <w:rPr>
          <w:rFonts w:ascii="Verdana" w:hAnsi="Verdana" w:cs="Arial"/>
          <w:sz w:val="20"/>
          <w:szCs w:val="20"/>
          <w:lang w:val="es-GT"/>
        </w:rPr>
        <w:t>gotada la etapa de instrucción, mediante Dictamen de 3 de julio de 1994 y su Aclaratorio de 5 de agosto de 1994, la Fiscalía Superior Provincial de Huancavelica formuló acusación en contra de dichas personas</w:t>
      </w:r>
      <w:r>
        <w:rPr>
          <w:rFonts w:ascii="Verdana" w:hAnsi="Verdana" w:cs="Arial"/>
          <w:sz w:val="20"/>
          <w:szCs w:val="20"/>
          <w:lang w:val="es-GT"/>
        </w:rPr>
        <w:t>,</w:t>
      </w:r>
      <w:r w:rsidRPr="002964A7">
        <w:rPr>
          <w:rFonts w:ascii="Verdana" w:hAnsi="Verdana" w:cs="Arial"/>
          <w:sz w:val="20"/>
          <w:szCs w:val="20"/>
          <w:lang w:val="es-GT"/>
        </w:rPr>
        <w:t xml:space="preserve"> quienes se encontraban en calidad de reos prófugos</w:t>
      </w:r>
      <w:r w:rsidRPr="002964A7">
        <w:rPr>
          <w:rFonts w:ascii="Verdana" w:eastAsia="Times New Roman" w:hAnsi="Verdana" w:cs="Arial"/>
          <w:sz w:val="20"/>
          <w:szCs w:val="20"/>
          <w:vertAlign w:val="superscript"/>
          <w:lang w:val="en-US"/>
        </w:rPr>
        <w:footnoteReference w:id="120"/>
      </w:r>
      <w:r w:rsidRPr="002964A7">
        <w:rPr>
          <w:rFonts w:ascii="Verdana" w:hAnsi="Verdana" w:cs="Arial"/>
          <w:sz w:val="20"/>
          <w:szCs w:val="20"/>
          <w:lang w:val="es-GT"/>
        </w:rPr>
        <w:t>.</w:t>
      </w:r>
      <w:r w:rsidRPr="002964A7">
        <w:rPr>
          <w:rFonts w:ascii="Verdana" w:hAnsi="Verdana"/>
          <w:sz w:val="20"/>
          <w:szCs w:val="20"/>
          <w:lang w:val="es-GT"/>
        </w:rPr>
        <w:t xml:space="preserve"> </w:t>
      </w:r>
    </w:p>
    <w:p w:rsidR="00106A1E" w:rsidRPr="002964A7" w:rsidRDefault="00106A1E" w:rsidP="00106A1E">
      <w:pPr>
        <w:spacing w:after="0" w:line="240" w:lineRule="auto"/>
        <w:contextualSpacing/>
        <w:jc w:val="both"/>
        <w:rPr>
          <w:rFonts w:ascii="Verdana" w:hAnsi="Verdana"/>
          <w:b/>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 xml:space="preserve">El 19 de </w:t>
      </w:r>
      <w:r w:rsidRPr="002964A7">
        <w:rPr>
          <w:rFonts w:ascii="Verdana" w:hAnsi="Verdana"/>
          <w:sz w:val="20"/>
          <w:szCs w:val="20"/>
          <w:lang w:eastAsia="es-CR"/>
        </w:rPr>
        <w:t>agosto</w:t>
      </w:r>
      <w:r w:rsidRPr="002964A7">
        <w:rPr>
          <w:rFonts w:ascii="Verdana" w:hAnsi="Verdana" w:cs="Arial"/>
          <w:sz w:val="20"/>
          <w:szCs w:val="20"/>
          <w:lang w:val="es-GT"/>
        </w:rPr>
        <w:t xml:space="preserve"> de 1994 la Sala Mixta de la Corte Superior de Justicia de Huancavelica </w:t>
      </w:r>
      <w:r w:rsidRPr="002964A7">
        <w:rPr>
          <w:rFonts w:ascii="Verdana" w:hAnsi="Verdana" w:cs="Arial"/>
          <w:spacing w:val="-2"/>
          <w:sz w:val="20"/>
          <w:szCs w:val="20"/>
          <w:lang w:val="es-GT"/>
        </w:rPr>
        <w:t>declaró</w:t>
      </w:r>
      <w:r w:rsidRPr="002964A7">
        <w:rPr>
          <w:rFonts w:ascii="Verdana" w:hAnsi="Verdana" w:cs="Arial"/>
          <w:sz w:val="20"/>
          <w:szCs w:val="20"/>
          <w:lang w:val="es-GT"/>
        </w:rPr>
        <w:t xml:space="preserve"> haber mérito para pasar a juicio oral contra</w:t>
      </w:r>
      <w:r w:rsidRPr="002964A7">
        <w:rPr>
          <w:rFonts w:ascii="Verdana" w:hAnsi="Verdana"/>
          <w:sz w:val="20"/>
          <w:szCs w:val="20"/>
          <w:lang w:val="es-GT"/>
        </w:rPr>
        <w:t xml:space="preserve"> </w:t>
      </w:r>
      <w:r w:rsidRPr="002964A7">
        <w:rPr>
          <w:rFonts w:ascii="Verdana" w:hAnsi="Verdana" w:cs="Arial"/>
          <w:sz w:val="20"/>
          <w:szCs w:val="20"/>
          <w:lang w:val="es-GT"/>
        </w:rPr>
        <w:t xml:space="preserve">Javier Bendezú Vargas, Duilio Chipana Tarqui, Fidel Gino Eusebio Huaytalla, Oscar Alberto Carrera Gonzáles, Carlos Saa Prado Chinchay y Dennis Wilfredo Pacheco Zambrano por los delitos de genocidio, abuso de autoridad, daños, robo y contra la administración de justicia, entre otros. Asimismo, dispuso fechas para la realización de diversas diligencias probatorias y, </w:t>
      </w:r>
      <w:r w:rsidRPr="002964A7">
        <w:rPr>
          <w:rFonts w:ascii="Verdana" w:hAnsi="Verdana" w:cs="Arial"/>
          <w:sz w:val="20"/>
          <w:szCs w:val="20"/>
          <w:lang w:val="es-GT"/>
        </w:rPr>
        <w:lastRenderedPageBreak/>
        <w:t>sin declarar reos ausentes</w:t>
      </w:r>
      <w:r w:rsidRPr="002964A7">
        <w:rPr>
          <w:rFonts w:ascii="Verdana" w:hAnsi="Verdana"/>
          <w:sz w:val="20"/>
          <w:szCs w:val="20"/>
          <w:lang w:val="es-GT"/>
        </w:rPr>
        <w:t xml:space="preserve"> a </w:t>
      </w:r>
      <w:r w:rsidRPr="002964A7">
        <w:rPr>
          <w:rFonts w:ascii="Verdana" w:hAnsi="Verdana" w:cs="Arial"/>
          <w:sz w:val="20"/>
          <w:szCs w:val="20"/>
          <w:lang w:val="es-GT"/>
        </w:rPr>
        <w:t>los acusados en la causa, solicitó al Penal Militar de Lima Batallón de Policía Militar No. 501-Rímac, a fin que dispusiera el traslado del acusado Javier Bendezú Vargas al Penal de Huancavelica, así como a la Segunda Zona Judicial del Ejército Juzgado Militar Permanente de Ayacucho, disponer la comparecencia de los acusados Duilio Chipana Tarqui, Fidel Gino Eusebio Huaytalla, Oscar Alberto Carrera Gonzáles, Carlos Saa Prado Chinchay y Dennis Wilfredo Pacheco Zambrano</w:t>
      </w:r>
      <w:r w:rsidRPr="002964A7">
        <w:rPr>
          <w:rFonts w:ascii="Verdana" w:eastAsia="Times New Roman" w:hAnsi="Verdana" w:cs="Arial"/>
          <w:sz w:val="20"/>
          <w:szCs w:val="20"/>
          <w:vertAlign w:val="superscript"/>
          <w:lang w:val="en-US"/>
        </w:rPr>
        <w:footnoteReference w:id="121"/>
      </w:r>
      <w:r w:rsidRPr="002964A7">
        <w:rPr>
          <w:rFonts w:ascii="Verdana" w:hAnsi="Verdana"/>
          <w:sz w:val="20"/>
          <w:szCs w:val="20"/>
          <w:lang w:val="es-GT"/>
        </w:rPr>
        <w:t>.</w:t>
      </w:r>
      <w:r w:rsidRPr="002964A7">
        <w:rPr>
          <w:rFonts w:ascii="Verdana" w:hAnsi="Verdana" w:cs="Arial"/>
          <w:sz w:val="20"/>
          <w:szCs w:val="20"/>
          <w:lang w:val="es-GT"/>
        </w:rPr>
        <w:t xml:space="preserve"> </w:t>
      </w:r>
    </w:p>
    <w:p w:rsidR="00106A1E" w:rsidRPr="002964A7" w:rsidRDefault="00106A1E" w:rsidP="00106A1E">
      <w:pPr>
        <w:autoSpaceDE w:val="0"/>
        <w:autoSpaceDN w:val="0"/>
        <w:adjustRightInd w:val="0"/>
        <w:spacing w:after="0" w:line="240" w:lineRule="auto"/>
        <w:ind w:right="15"/>
        <w:contextualSpacing/>
        <w:jc w:val="both"/>
        <w:rPr>
          <w:rFonts w:ascii="Verdana" w:hAnsi="Verdana"/>
          <w:i/>
          <w:sz w:val="20"/>
          <w:szCs w:val="20"/>
          <w:lang w:val="es-GT"/>
        </w:rPr>
      </w:pPr>
    </w:p>
    <w:p w:rsidR="00106A1E" w:rsidRPr="002964A7" w:rsidRDefault="00106A1E" w:rsidP="00106A1E">
      <w:pPr>
        <w:autoSpaceDE w:val="0"/>
        <w:autoSpaceDN w:val="0"/>
        <w:adjustRightInd w:val="0"/>
        <w:spacing w:after="0" w:line="240" w:lineRule="auto"/>
        <w:ind w:right="15"/>
        <w:contextualSpacing/>
        <w:jc w:val="both"/>
        <w:rPr>
          <w:rFonts w:ascii="Verdana" w:hAnsi="Verdana"/>
          <w:i/>
          <w:sz w:val="20"/>
          <w:szCs w:val="20"/>
          <w:lang w:val="es-GT"/>
        </w:rPr>
      </w:pPr>
      <w:r w:rsidRPr="002964A7">
        <w:rPr>
          <w:rFonts w:ascii="Verdana" w:hAnsi="Verdana"/>
          <w:i/>
          <w:sz w:val="20"/>
          <w:szCs w:val="20"/>
          <w:lang w:val="es-GT"/>
        </w:rPr>
        <w:t>E.4. Aplicación de la Ley de Amnistía No. 26.479 en el Fuero Militar y la Jurisdicción Ordinaria</w:t>
      </w:r>
    </w:p>
    <w:p w:rsidR="00106A1E" w:rsidRPr="002964A7" w:rsidRDefault="00106A1E" w:rsidP="00106A1E">
      <w:pPr>
        <w:tabs>
          <w:tab w:val="left" w:pos="1772"/>
        </w:tabs>
        <w:autoSpaceDE w:val="0"/>
        <w:autoSpaceDN w:val="0"/>
        <w:adjustRightInd w:val="0"/>
        <w:spacing w:after="0" w:line="240" w:lineRule="auto"/>
        <w:ind w:right="15"/>
        <w:contextualSpacing/>
        <w:jc w:val="both"/>
        <w:rPr>
          <w:rFonts w:ascii="Verdana" w:hAnsi="Verdana"/>
          <w:b/>
          <w:i/>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GT"/>
        </w:rPr>
      </w:pPr>
      <w:r w:rsidRPr="002964A7">
        <w:rPr>
          <w:rFonts w:ascii="Verdana" w:hAnsi="Verdana" w:cs="Arial"/>
          <w:sz w:val="20"/>
          <w:szCs w:val="20"/>
          <w:lang w:val="es-GT"/>
        </w:rPr>
        <w:t>El 14 de junio de 1995 el Congreso aprobó la Ley N</w:t>
      </w:r>
      <w:r>
        <w:rPr>
          <w:rFonts w:ascii="Verdana" w:hAnsi="Verdana" w:cs="Arial"/>
          <w:sz w:val="20"/>
          <w:szCs w:val="20"/>
          <w:lang w:val="es-GT"/>
        </w:rPr>
        <w:t>o.</w:t>
      </w:r>
      <w:r w:rsidRPr="002964A7">
        <w:rPr>
          <w:rFonts w:ascii="Verdana" w:hAnsi="Verdana" w:cs="Arial"/>
          <w:sz w:val="20"/>
          <w:szCs w:val="20"/>
          <w:lang w:val="es-GT"/>
        </w:rPr>
        <w:t xml:space="preserve"> 26.479, la cual en sus artículos 1, 4 y 6 dispuso que: </w:t>
      </w:r>
    </w:p>
    <w:p w:rsidR="00106A1E" w:rsidRPr="00215F9C" w:rsidRDefault="00106A1E" w:rsidP="00106A1E">
      <w:pPr>
        <w:autoSpaceDE w:val="0"/>
        <w:autoSpaceDN w:val="0"/>
        <w:adjustRightInd w:val="0"/>
        <w:spacing w:after="0" w:line="240" w:lineRule="auto"/>
        <w:ind w:right="360"/>
        <w:jc w:val="both"/>
        <w:rPr>
          <w:rFonts w:ascii="Verdana" w:hAnsi="Verdana" w:cs="Arial"/>
          <w:sz w:val="16"/>
          <w:szCs w:val="16"/>
          <w:lang w:val="es-GT"/>
        </w:rPr>
      </w:pPr>
    </w:p>
    <w:p w:rsidR="00106A1E" w:rsidRPr="00215F9C" w:rsidRDefault="00106A1E" w:rsidP="00106A1E">
      <w:pPr>
        <w:autoSpaceDE w:val="0"/>
        <w:autoSpaceDN w:val="0"/>
        <w:adjustRightInd w:val="0"/>
        <w:spacing w:after="0" w:line="240" w:lineRule="auto"/>
        <w:ind w:left="360" w:right="360"/>
        <w:jc w:val="both"/>
        <w:rPr>
          <w:rFonts w:ascii="Verdana" w:hAnsi="Verdana" w:cs="Arial"/>
          <w:sz w:val="16"/>
          <w:szCs w:val="16"/>
          <w:lang w:val="es-GT"/>
        </w:rPr>
      </w:pPr>
      <w:r w:rsidRPr="00215F9C">
        <w:rPr>
          <w:rFonts w:ascii="Verdana" w:hAnsi="Verdana" w:cs="Arial"/>
          <w:sz w:val="16"/>
          <w:szCs w:val="16"/>
          <w:lang w:val="es-GT"/>
        </w:rPr>
        <w:t>Artículo 1o.- Concédase amnistía general al personal Militar, Policial o Civil, cualquiera que fuere su situación Militar o Policial o Funcional correspondiente, que se encuentre denunciado, investigado, encausado, procesado o condenado por delitos comunes y militares en los Fueros Común o Privativo Militar, respectivamente, por todos los hechos derivados u originados con ocasión o como consecuencia de la lucha contra el terrorismo y que pudieran haber sido cometidos en forma individual o en grupo desde Mayo de 1980 hasta la fecha de la promulgación de la presente Ley.</w:t>
      </w:r>
    </w:p>
    <w:p w:rsidR="00106A1E" w:rsidRPr="00215F9C" w:rsidRDefault="00106A1E" w:rsidP="00106A1E">
      <w:pPr>
        <w:autoSpaceDE w:val="0"/>
        <w:autoSpaceDN w:val="0"/>
        <w:adjustRightInd w:val="0"/>
        <w:spacing w:after="0" w:line="240" w:lineRule="auto"/>
        <w:ind w:left="360" w:right="360"/>
        <w:jc w:val="both"/>
        <w:rPr>
          <w:rFonts w:ascii="Verdana" w:hAnsi="Verdana" w:cs="Arial"/>
          <w:sz w:val="16"/>
          <w:szCs w:val="16"/>
          <w:lang w:val="es-GT"/>
        </w:rPr>
      </w:pPr>
    </w:p>
    <w:p w:rsidR="00106A1E" w:rsidRPr="00215F9C" w:rsidRDefault="00106A1E" w:rsidP="00106A1E">
      <w:pPr>
        <w:autoSpaceDE w:val="0"/>
        <w:autoSpaceDN w:val="0"/>
        <w:adjustRightInd w:val="0"/>
        <w:spacing w:after="0" w:line="240" w:lineRule="auto"/>
        <w:ind w:left="360" w:right="360"/>
        <w:jc w:val="both"/>
        <w:rPr>
          <w:rFonts w:ascii="Verdana" w:hAnsi="Verdana" w:cs="Arial"/>
          <w:sz w:val="16"/>
          <w:szCs w:val="16"/>
          <w:lang w:val="es-GT"/>
        </w:rPr>
      </w:pPr>
      <w:r w:rsidRPr="00215F9C">
        <w:rPr>
          <w:rFonts w:ascii="Verdana" w:hAnsi="Verdana" w:cs="Arial"/>
          <w:sz w:val="16"/>
          <w:szCs w:val="16"/>
          <w:lang w:val="es-GT"/>
        </w:rPr>
        <w:t>Artículo 4o.- El Poder Judicial, Fuero Común, Fuero Privativo Militar y el Ejecutivo, procederán en el día, bajo responsabilidad, a anular los antecedentes policiales, judiciales o penales, que pudieran haberse registrado contra los amnistiados por esta Ley, así como dejar sin efecto cualquier medida restrictiva de la libertad que pudiera afectarles.</w:t>
      </w:r>
    </w:p>
    <w:p w:rsidR="00106A1E" w:rsidRPr="00215F9C" w:rsidRDefault="00106A1E" w:rsidP="00106A1E">
      <w:pPr>
        <w:autoSpaceDE w:val="0"/>
        <w:autoSpaceDN w:val="0"/>
        <w:adjustRightInd w:val="0"/>
        <w:spacing w:after="0" w:line="240" w:lineRule="auto"/>
        <w:ind w:left="360" w:right="360"/>
        <w:jc w:val="both"/>
        <w:rPr>
          <w:rFonts w:ascii="Verdana" w:hAnsi="Verdana" w:cs="Arial"/>
          <w:sz w:val="16"/>
          <w:szCs w:val="16"/>
          <w:lang w:val="es-GT"/>
        </w:rPr>
      </w:pPr>
    </w:p>
    <w:p w:rsidR="00106A1E" w:rsidRPr="00215F9C" w:rsidRDefault="00106A1E" w:rsidP="00106A1E">
      <w:pPr>
        <w:autoSpaceDE w:val="0"/>
        <w:autoSpaceDN w:val="0"/>
        <w:adjustRightInd w:val="0"/>
        <w:spacing w:after="0" w:line="240" w:lineRule="auto"/>
        <w:ind w:left="360" w:right="360"/>
        <w:jc w:val="both"/>
        <w:rPr>
          <w:rFonts w:ascii="Verdana" w:hAnsi="Verdana" w:cs="Arial"/>
          <w:sz w:val="16"/>
          <w:szCs w:val="16"/>
          <w:lang w:val="es-GT"/>
        </w:rPr>
      </w:pPr>
      <w:r w:rsidRPr="00215F9C">
        <w:rPr>
          <w:rFonts w:ascii="Verdana" w:hAnsi="Verdana" w:cs="Arial"/>
          <w:sz w:val="16"/>
          <w:szCs w:val="16"/>
          <w:lang w:val="es-GT"/>
        </w:rPr>
        <w:t>Procederán igualmente a excarcelar a los amnistiados que estuvieran sufriendo arresto, detención, prisión o pena privativa de la libertad, quedando subsistentes las medidas administrativas adoptadas.</w:t>
      </w:r>
    </w:p>
    <w:p w:rsidR="00106A1E" w:rsidRPr="00215F9C" w:rsidRDefault="00106A1E" w:rsidP="00106A1E">
      <w:pPr>
        <w:autoSpaceDE w:val="0"/>
        <w:autoSpaceDN w:val="0"/>
        <w:adjustRightInd w:val="0"/>
        <w:spacing w:after="0" w:line="240" w:lineRule="auto"/>
        <w:ind w:left="360" w:right="360"/>
        <w:jc w:val="both"/>
        <w:rPr>
          <w:rFonts w:ascii="Verdana" w:hAnsi="Verdana" w:cs="Arial"/>
          <w:sz w:val="16"/>
          <w:szCs w:val="16"/>
          <w:lang w:val="es-GT"/>
        </w:rPr>
      </w:pPr>
    </w:p>
    <w:p w:rsidR="00106A1E" w:rsidRPr="00215F9C" w:rsidRDefault="00106A1E" w:rsidP="00106A1E">
      <w:pPr>
        <w:autoSpaceDE w:val="0"/>
        <w:autoSpaceDN w:val="0"/>
        <w:adjustRightInd w:val="0"/>
        <w:spacing w:after="0" w:line="240" w:lineRule="auto"/>
        <w:ind w:left="360" w:right="360"/>
        <w:jc w:val="both"/>
        <w:rPr>
          <w:rFonts w:ascii="Verdana" w:hAnsi="Verdana" w:cs="Arial"/>
          <w:sz w:val="16"/>
          <w:szCs w:val="16"/>
          <w:lang w:val="es-GT"/>
        </w:rPr>
      </w:pPr>
      <w:r w:rsidRPr="00215F9C">
        <w:rPr>
          <w:rFonts w:ascii="Verdana" w:hAnsi="Verdana" w:cs="Arial"/>
          <w:sz w:val="16"/>
          <w:szCs w:val="16"/>
          <w:lang w:val="es-GT"/>
        </w:rPr>
        <w:t>Artículo 6o.- Los hechos o delitos comprendidos en la presente amnistía, así como los sobreseimientos definitivos y las absoluciones, no son susceptibles de investigación, pesquisa o sumario; quedando, todos los casos judiciales, en trámite o en ejecución, archivados definitivamente</w:t>
      </w:r>
      <w:r w:rsidRPr="00215F9C">
        <w:rPr>
          <w:rFonts w:ascii="Verdana" w:hAnsi="Verdana" w:cs="Arial"/>
          <w:sz w:val="16"/>
          <w:szCs w:val="16"/>
          <w:vertAlign w:val="superscript"/>
          <w:lang w:val="en-US"/>
        </w:rPr>
        <w:footnoteReference w:id="122"/>
      </w:r>
      <w:r w:rsidRPr="00215F9C">
        <w:rPr>
          <w:rFonts w:ascii="Verdana" w:hAnsi="Verdana" w:cs="Arial"/>
          <w:sz w:val="16"/>
          <w:szCs w:val="16"/>
          <w:lang w:val="es-GT"/>
        </w:rPr>
        <w:t>.</w:t>
      </w:r>
    </w:p>
    <w:p w:rsidR="00106A1E" w:rsidRPr="00215F9C" w:rsidRDefault="00106A1E" w:rsidP="00106A1E">
      <w:pPr>
        <w:autoSpaceDE w:val="0"/>
        <w:autoSpaceDN w:val="0"/>
        <w:adjustRightInd w:val="0"/>
        <w:spacing w:after="0" w:line="240" w:lineRule="auto"/>
        <w:jc w:val="both"/>
        <w:rPr>
          <w:rFonts w:ascii="Verdana" w:eastAsia="Calibri" w:hAnsi="Verdana" w:cs="Arial"/>
          <w:sz w:val="16"/>
          <w:szCs w:val="16"/>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El 16 de junio de 1995 la Sala de Amnistía resolvió aplicar en el fuero militar el beneficio de la amnistía a Javier Bendezú Vargas y otros, por los delitos de abuso de autoridad y otros. Asimismo, ordenó excarcelar y la inmediata libertad de Javier Bendezú Vargas, quien había sido condenado por Ejecutoria Suprema de la Sala de Revisión del Consejo Supremo </w:t>
      </w:r>
      <w:r w:rsidRPr="002964A7">
        <w:rPr>
          <w:rFonts w:ascii="Verdana" w:hAnsi="Verdana" w:cs="Arial"/>
          <w:iCs/>
          <w:sz w:val="20"/>
          <w:szCs w:val="20"/>
          <w:lang w:val="es-GT"/>
        </w:rPr>
        <w:t xml:space="preserve">de </w:t>
      </w:r>
      <w:r w:rsidRPr="002964A7">
        <w:rPr>
          <w:rFonts w:ascii="Verdana" w:hAnsi="Verdana" w:cs="Arial"/>
          <w:sz w:val="20"/>
          <w:szCs w:val="20"/>
          <w:lang w:val="es-GT"/>
        </w:rPr>
        <w:t>Justicia Militar de 10 de febrero de 1993</w:t>
      </w:r>
      <w:r w:rsidRPr="002964A7">
        <w:rPr>
          <w:rFonts w:ascii="Verdana" w:eastAsia="Times New Roman" w:hAnsi="Verdana" w:cs="Arial"/>
          <w:sz w:val="20"/>
          <w:szCs w:val="20"/>
          <w:vertAlign w:val="superscript"/>
          <w:lang w:val="en-US"/>
        </w:rPr>
        <w:footnoteReference w:id="123"/>
      </w:r>
      <w:r w:rsidRPr="002964A7">
        <w:rPr>
          <w:rFonts w:ascii="Verdana" w:hAnsi="Verdana" w:cs="Arial"/>
          <w:sz w:val="20"/>
          <w:szCs w:val="20"/>
          <w:lang w:val="es-GT"/>
        </w:rPr>
        <w:t xml:space="preserve"> (</w:t>
      </w:r>
      <w:r w:rsidRPr="002964A7">
        <w:rPr>
          <w:rFonts w:ascii="Verdana" w:hAnsi="Verdana" w:cs="Arial"/>
          <w:i/>
          <w:sz w:val="20"/>
          <w:szCs w:val="20"/>
          <w:lang w:val="es-GT"/>
        </w:rPr>
        <w:t>supra</w:t>
      </w:r>
      <w:r w:rsidRPr="002964A7">
        <w:rPr>
          <w:rFonts w:ascii="Verdana" w:hAnsi="Verdana" w:cs="Arial"/>
          <w:sz w:val="20"/>
          <w:szCs w:val="20"/>
          <w:lang w:val="es-GT"/>
        </w:rPr>
        <w:t xml:space="preserve"> párr. </w:t>
      </w:r>
      <w:r>
        <w:rPr>
          <w:rFonts w:ascii="Verdana" w:hAnsi="Verdana" w:cs="Arial"/>
          <w:sz w:val="20"/>
          <w:szCs w:val="20"/>
          <w:lang w:val="es-GT"/>
        </w:rPr>
        <w:t>109</w:t>
      </w:r>
      <w:r w:rsidRPr="002964A7">
        <w:rPr>
          <w:rFonts w:ascii="Verdana" w:hAnsi="Verdana" w:cs="Arial"/>
          <w:sz w:val="20"/>
          <w:szCs w:val="20"/>
          <w:lang w:val="es-GT"/>
        </w:rPr>
        <w:t>).</w:t>
      </w:r>
    </w:p>
    <w:p w:rsidR="00106A1E" w:rsidRPr="002964A7" w:rsidRDefault="00106A1E" w:rsidP="00106A1E">
      <w:pPr>
        <w:spacing w:after="0" w:line="240" w:lineRule="auto"/>
        <w:contextualSpacing/>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El 28 de junio de 1995 el Congreso aprobó la Ley N</w:t>
      </w:r>
      <w:r>
        <w:rPr>
          <w:rFonts w:ascii="Verdana" w:hAnsi="Verdana" w:cs="Arial"/>
          <w:sz w:val="20"/>
          <w:szCs w:val="20"/>
          <w:lang w:val="es-GT"/>
        </w:rPr>
        <w:t>o.</w:t>
      </w:r>
      <w:r w:rsidRPr="002964A7">
        <w:rPr>
          <w:rFonts w:ascii="Verdana" w:hAnsi="Verdana" w:cs="Arial"/>
          <w:sz w:val="20"/>
          <w:szCs w:val="20"/>
          <w:lang w:val="es-GT"/>
        </w:rPr>
        <w:t xml:space="preserve"> 26.492 que interpretó el artículo 1 de la Ley N</w:t>
      </w:r>
      <w:r>
        <w:rPr>
          <w:rFonts w:ascii="Verdana" w:hAnsi="Verdana" w:cs="Arial"/>
          <w:sz w:val="20"/>
          <w:szCs w:val="20"/>
          <w:lang w:val="es-GT"/>
        </w:rPr>
        <w:t>o.</w:t>
      </w:r>
      <w:r w:rsidRPr="002964A7">
        <w:rPr>
          <w:rFonts w:ascii="Verdana" w:hAnsi="Verdana" w:cs="Arial"/>
          <w:sz w:val="20"/>
          <w:szCs w:val="20"/>
          <w:lang w:val="es-GT"/>
        </w:rPr>
        <w:t xml:space="preserve"> 26.479 en sentido que la amnistía general era de aplicación </w:t>
      </w:r>
      <w:r w:rsidRPr="002964A7">
        <w:rPr>
          <w:rFonts w:ascii="Verdana" w:hAnsi="Verdana"/>
          <w:sz w:val="20"/>
          <w:szCs w:val="20"/>
          <w:lang w:eastAsia="es-CR"/>
        </w:rPr>
        <w:t>obligatoria</w:t>
      </w:r>
      <w:r w:rsidRPr="002964A7">
        <w:rPr>
          <w:rFonts w:ascii="Verdana" w:hAnsi="Verdana" w:cs="Arial"/>
          <w:sz w:val="20"/>
          <w:szCs w:val="20"/>
          <w:lang w:val="es-GT"/>
        </w:rPr>
        <w:t xml:space="preserve"> por los órganos jurisdiccionales y alcanzaba a todos los hechos derivados u originados con ocasión o como consecuencia de la lucha contra el terrorismo desde el mes de mayo de 1980 hasta el 14 de junio de 1995</w:t>
      </w:r>
      <w:r>
        <w:rPr>
          <w:rFonts w:ascii="Verdana" w:hAnsi="Verdana" w:cs="Arial"/>
          <w:sz w:val="20"/>
          <w:szCs w:val="20"/>
          <w:lang w:val="es-GT"/>
        </w:rPr>
        <w:t>,</w:t>
      </w:r>
      <w:r w:rsidRPr="002964A7">
        <w:rPr>
          <w:rFonts w:ascii="Verdana" w:hAnsi="Verdana" w:cs="Arial"/>
          <w:sz w:val="20"/>
          <w:szCs w:val="20"/>
          <w:lang w:val="es-GT"/>
        </w:rPr>
        <w:t xml:space="preserve"> sin importar que el personal militar, policial o civil involucrado se encontrare o no denunciado, investigado, procesado o condenado, quedando todos los casos judiciales en trámite o en ejecución archivados definitivamente</w:t>
      </w:r>
      <w:r w:rsidRPr="002964A7">
        <w:rPr>
          <w:rFonts w:ascii="Verdana" w:eastAsia="Times New Roman" w:hAnsi="Verdana" w:cs="Arial"/>
          <w:sz w:val="20"/>
          <w:szCs w:val="20"/>
          <w:vertAlign w:val="superscript"/>
          <w:lang w:val="en-US"/>
        </w:rPr>
        <w:footnoteReference w:id="124"/>
      </w:r>
      <w:r w:rsidRPr="002964A7">
        <w:rPr>
          <w:rFonts w:ascii="Verdana" w:hAnsi="Verdana"/>
          <w:sz w:val="20"/>
          <w:szCs w:val="20"/>
          <w:lang w:val="es-GT"/>
        </w:rPr>
        <w:t xml:space="preserve">. </w:t>
      </w:r>
    </w:p>
    <w:p w:rsidR="00106A1E" w:rsidRPr="002964A7" w:rsidRDefault="00106A1E" w:rsidP="00106A1E">
      <w:pPr>
        <w:autoSpaceDE w:val="0"/>
        <w:autoSpaceDN w:val="0"/>
        <w:adjustRightInd w:val="0"/>
        <w:spacing w:after="0" w:line="240" w:lineRule="auto"/>
        <w:ind w:right="15"/>
        <w:contextualSpacing/>
        <w:jc w:val="both"/>
        <w:rPr>
          <w:rFonts w:ascii="Verdana" w:hAnsi="Verdana"/>
          <w:b/>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t>Estando por iniciarse la etapa de juicio oral en la jurisdicción ordinaria contra los acusados en el presente caso (</w:t>
      </w:r>
      <w:r w:rsidRPr="002964A7">
        <w:rPr>
          <w:rFonts w:ascii="Verdana" w:hAnsi="Verdana" w:cs="Arial"/>
          <w:i/>
          <w:sz w:val="20"/>
          <w:szCs w:val="20"/>
          <w:lang w:val="es-GT"/>
        </w:rPr>
        <w:t>supra</w:t>
      </w:r>
      <w:r w:rsidRPr="002964A7">
        <w:rPr>
          <w:rFonts w:ascii="Verdana" w:hAnsi="Verdana" w:cs="Arial"/>
          <w:sz w:val="20"/>
          <w:szCs w:val="20"/>
          <w:lang w:val="es-GT"/>
        </w:rPr>
        <w:t xml:space="preserve"> párr. </w:t>
      </w:r>
      <w:r>
        <w:rPr>
          <w:rFonts w:ascii="Verdana" w:hAnsi="Verdana" w:cs="Arial"/>
          <w:sz w:val="20"/>
          <w:szCs w:val="20"/>
          <w:lang w:val="es-GT"/>
        </w:rPr>
        <w:t>117</w:t>
      </w:r>
      <w:r w:rsidRPr="002964A7">
        <w:rPr>
          <w:rFonts w:ascii="Verdana" w:hAnsi="Verdana" w:cs="Arial"/>
          <w:sz w:val="20"/>
          <w:szCs w:val="20"/>
          <w:lang w:val="es-GT"/>
        </w:rPr>
        <w:t>), mediante auto de 4 de julio de 1995 la Sala Mixta de la Corte Superior de Huancavelica declaró aplicable a los acusados el artículo 1 de la Ley de Amnistía N</w:t>
      </w:r>
      <w:r>
        <w:rPr>
          <w:rFonts w:ascii="Verdana" w:hAnsi="Verdana" w:cs="Arial"/>
          <w:sz w:val="20"/>
          <w:szCs w:val="20"/>
          <w:lang w:val="es-GT"/>
        </w:rPr>
        <w:t>o.</w:t>
      </w:r>
      <w:r w:rsidRPr="002964A7">
        <w:rPr>
          <w:rFonts w:ascii="Verdana" w:hAnsi="Verdana" w:cs="Arial"/>
          <w:sz w:val="20"/>
          <w:szCs w:val="20"/>
          <w:lang w:val="es-GT"/>
        </w:rPr>
        <w:t xml:space="preserve"> 26.479 y dispuso el corte de la secuela del proceso</w:t>
      </w:r>
      <w:r w:rsidRPr="002964A7">
        <w:rPr>
          <w:rFonts w:ascii="Verdana" w:hAnsi="Verdana"/>
          <w:bCs/>
          <w:sz w:val="20"/>
          <w:szCs w:val="20"/>
          <w:lang w:val="es-GT"/>
        </w:rPr>
        <w:t xml:space="preserve"> </w:t>
      </w:r>
      <w:r w:rsidRPr="002964A7">
        <w:rPr>
          <w:rFonts w:ascii="Verdana" w:hAnsi="Verdana" w:cs="Arial"/>
          <w:sz w:val="20"/>
          <w:szCs w:val="20"/>
          <w:lang w:val="es-GT"/>
        </w:rPr>
        <w:t xml:space="preserve">y su </w:t>
      </w:r>
      <w:r w:rsidRPr="002964A7">
        <w:rPr>
          <w:rFonts w:ascii="Verdana" w:hAnsi="Verdana" w:cs="Arial"/>
          <w:sz w:val="20"/>
          <w:szCs w:val="20"/>
          <w:lang w:val="es-GT"/>
        </w:rPr>
        <w:lastRenderedPageBreak/>
        <w:t>archivamiento definitivo. Asimismo, se mandó anular los antecedentes judiciales y policiales de los seis encausados beneficiados con la amnistía</w:t>
      </w:r>
      <w:r w:rsidRPr="002964A7">
        <w:rPr>
          <w:rFonts w:ascii="Verdana" w:eastAsia="Times New Roman" w:hAnsi="Verdana" w:cs="Arial"/>
          <w:sz w:val="20"/>
          <w:szCs w:val="20"/>
          <w:vertAlign w:val="superscript"/>
          <w:lang w:val="en-US"/>
        </w:rPr>
        <w:footnoteReference w:id="125"/>
      </w:r>
      <w:r w:rsidRPr="002964A7">
        <w:rPr>
          <w:rFonts w:ascii="Verdana" w:hAnsi="Verdana" w:cs="Arial"/>
          <w:sz w:val="20"/>
          <w:szCs w:val="20"/>
          <w:lang w:val="es-GT"/>
        </w:rPr>
        <w:t>. La aplicación de la Ley de Amnistía contó con el dictamen favorable del Fiscal Supremo en lo Penal y fue confirmada por la Primera Sala Penal Transitoria de la Corte Suprema de Justicia de la República mediante auto de 14 de enero de 1997</w:t>
      </w:r>
      <w:r w:rsidRPr="002964A7">
        <w:rPr>
          <w:rFonts w:ascii="Verdana" w:eastAsia="Times New Roman" w:hAnsi="Verdana" w:cs="Arial"/>
          <w:sz w:val="20"/>
          <w:szCs w:val="20"/>
          <w:vertAlign w:val="superscript"/>
          <w:lang w:val="en-US"/>
        </w:rPr>
        <w:footnoteReference w:id="126"/>
      </w:r>
      <w:r w:rsidRPr="002964A7">
        <w:rPr>
          <w:rFonts w:ascii="Verdana" w:hAnsi="Verdana"/>
          <w:sz w:val="20"/>
          <w:szCs w:val="20"/>
          <w:lang w:val="es-GT"/>
        </w:rPr>
        <w:t xml:space="preserve">. </w:t>
      </w:r>
    </w:p>
    <w:p w:rsidR="00106A1E" w:rsidRPr="002964A7" w:rsidRDefault="00106A1E" w:rsidP="00106A1E">
      <w:pPr>
        <w:spacing w:after="0" w:line="240" w:lineRule="auto"/>
        <w:jc w:val="both"/>
        <w:rPr>
          <w:rFonts w:ascii="Verdana" w:eastAsia="Calibri"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t xml:space="preserve">El 14 de marzo de 2001 la Corte Interamericana dictó sentencia en el </w:t>
      </w:r>
      <w:r w:rsidRPr="002964A7">
        <w:rPr>
          <w:rFonts w:ascii="Verdana" w:hAnsi="Verdana" w:cs="Arial"/>
          <w:i/>
          <w:sz w:val="20"/>
          <w:szCs w:val="20"/>
          <w:lang w:val="es-GT"/>
        </w:rPr>
        <w:t>Caso Barrios Altos Vs. Perú</w:t>
      </w:r>
      <w:r w:rsidRPr="002964A7">
        <w:rPr>
          <w:rFonts w:ascii="Verdana" w:hAnsi="Verdana" w:cs="Arial"/>
          <w:sz w:val="20"/>
          <w:szCs w:val="20"/>
          <w:lang w:val="es-GT"/>
        </w:rPr>
        <w:t>, mediante la cual declaró que las leyes de auto amnistía N</w:t>
      </w:r>
      <w:r>
        <w:rPr>
          <w:rFonts w:ascii="Verdana" w:hAnsi="Verdana" w:cs="Arial"/>
          <w:sz w:val="20"/>
          <w:szCs w:val="20"/>
          <w:lang w:val="es-GT"/>
        </w:rPr>
        <w:t>o.</w:t>
      </w:r>
      <w:r w:rsidRPr="002964A7">
        <w:rPr>
          <w:rFonts w:ascii="Verdana" w:hAnsi="Verdana" w:cs="Arial"/>
          <w:sz w:val="20"/>
          <w:szCs w:val="20"/>
          <w:lang w:val="es-GT"/>
        </w:rPr>
        <w:t xml:space="preserve"> 26.479 y N</w:t>
      </w:r>
      <w:r>
        <w:rPr>
          <w:rFonts w:ascii="Verdana" w:hAnsi="Verdana" w:cs="Arial"/>
          <w:sz w:val="20"/>
          <w:szCs w:val="20"/>
          <w:lang w:val="es-GT"/>
        </w:rPr>
        <w:t>o.</w:t>
      </w:r>
      <w:r w:rsidRPr="002964A7">
        <w:rPr>
          <w:rFonts w:ascii="Verdana" w:hAnsi="Verdana" w:cs="Arial"/>
          <w:sz w:val="20"/>
          <w:szCs w:val="20"/>
          <w:lang w:val="es-GT"/>
        </w:rPr>
        <w:t xml:space="preserve"> 26.492 son incompatibles con la Convención Americana y, en consecuencia, carecen de efectos jurídicos.</w:t>
      </w:r>
      <w:r w:rsidRPr="002964A7">
        <w:rPr>
          <w:rFonts w:ascii="Verdana" w:hAnsi="Verdana"/>
          <w:bCs/>
          <w:sz w:val="20"/>
          <w:szCs w:val="20"/>
          <w:lang w:val="es-GT"/>
        </w:rPr>
        <w:t xml:space="preserve"> </w:t>
      </w:r>
      <w:r w:rsidRPr="002964A7">
        <w:rPr>
          <w:rFonts w:ascii="Verdana" w:hAnsi="Verdana" w:cs="Arial"/>
          <w:sz w:val="20"/>
          <w:szCs w:val="20"/>
          <w:lang w:val="es-GT"/>
        </w:rPr>
        <w:t xml:space="preserve">Aunado a ello, en la Sentencia de Interpretación en dicho caso, la Corte estableció que dada la naturaleza de la violación constituida por dichas leyes, lo resuelto en la </w:t>
      </w:r>
      <w:r>
        <w:rPr>
          <w:rFonts w:ascii="Verdana" w:hAnsi="Verdana" w:cs="Arial"/>
          <w:sz w:val="20"/>
          <w:szCs w:val="20"/>
          <w:lang w:val="es-GT"/>
        </w:rPr>
        <w:t>S</w:t>
      </w:r>
      <w:r w:rsidRPr="002964A7">
        <w:rPr>
          <w:rFonts w:ascii="Verdana" w:hAnsi="Verdana" w:cs="Arial"/>
          <w:sz w:val="20"/>
          <w:szCs w:val="20"/>
          <w:lang w:val="es-GT"/>
        </w:rPr>
        <w:t>entencia de 14 de marzo de 2001 tiene efectos generales</w:t>
      </w:r>
      <w:r w:rsidRPr="002964A7">
        <w:rPr>
          <w:rFonts w:ascii="Verdana" w:hAnsi="Verdana" w:cs="Arial"/>
          <w:sz w:val="20"/>
          <w:szCs w:val="20"/>
          <w:vertAlign w:val="superscript"/>
          <w:lang w:val="en-US"/>
        </w:rPr>
        <w:footnoteReference w:id="127"/>
      </w:r>
      <w:r w:rsidRPr="002964A7">
        <w:rPr>
          <w:rFonts w:ascii="Verdana" w:hAnsi="Verdana" w:cs="Arial"/>
          <w:sz w:val="20"/>
          <w:szCs w:val="20"/>
          <w:lang w:val="es-GT"/>
        </w:rPr>
        <w:t>.</w:t>
      </w:r>
    </w:p>
    <w:p w:rsidR="00106A1E" w:rsidRPr="002964A7" w:rsidRDefault="00106A1E" w:rsidP="00106A1E">
      <w:pPr>
        <w:autoSpaceDE w:val="0"/>
        <w:autoSpaceDN w:val="0"/>
        <w:adjustRightInd w:val="0"/>
        <w:spacing w:after="0" w:line="240" w:lineRule="auto"/>
        <w:contextualSpacing/>
        <w:jc w:val="both"/>
        <w:rPr>
          <w:rFonts w:ascii="Verdana" w:eastAsia="Calibri" w:hAnsi="Verdana"/>
          <w:b/>
          <w:bCs/>
          <w:sz w:val="20"/>
          <w:szCs w:val="20"/>
          <w:lang w:val="es-GT"/>
        </w:rPr>
      </w:pPr>
    </w:p>
    <w:p w:rsidR="00106A1E" w:rsidRPr="002964A7" w:rsidRDefault="00106A1E" w:rsidP="00106A1E">
      <w:pPr>
        <w:autoSpaceDE w:val="0"/>
        <w:autoSpaceDN w:val="0"/>
        <w:adjustRightInd w:val="0"/>
        <w:spacing w:after="0" w:line="240" w:lineRule="auto"/>
        <w:ind w:right="15"/>
        <w:contextualSpacing/>
        <w:jc w:val="both"/>
        <w:rPr>
          <w:rFonts w:ascii="Verdana" w:hAnsi="Verdana"/>
          <w:i/>
          <w:sz w:val="20"/>
          <w:szCs w:val="20"/>
          <w:lang w:val="es-GT"/>
        </w:rPr>
      </w:pPr>
      <w:r w:rsidRPr="002964A7">
        <w:rPr>
          <w:rFonts w:ascii="Verdana" w:hAnsi="Verdana"/>
          <w:i/>
          <w:sz w:val="20"/>
          <w:szCs w:val="20"/>
          <w:lang w:val="es-GT"/>
        </w:rPr>
        <w:t>E.5. Desarchivo y reapertura de la causa en el Fuero Militar y la Jurisdicción Ordinaria</w:t>
      </w:r>
    </w:p>
    <w:p w:rsidR="00106A1E" w:rsidRPr="002964A7" w:rsidRDefault="00106A1E" w:rsidP="00106A1E">
      <w:pPr>
        <w:autoSpaceDE w:val="0"/>
        <w:autoSpaceDN w:val="0"/>
        <w:adjustRightInd w:val="0"/>
        <w:spacing w:after="0" w:line="240" w:lineRule="auto"/>
        <w:contextualSpacing/>
        <w:jc w:val="both"/>
        <w:rPr>
          <w:rFonts w:ascii="Verdana" w:eastAsia="Calibri" w:hAnsi="Verdana"/>
          <w:b/>
          <w:bCs/>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t xml:space="preserve">Teniendo en consideración, entre otros, las sentencias de la Corte Interamericana en el </w:t>
      </w:r>
      <w:r w:rsidRPr="002964A7">
        <w:rPr>
          <w:rFonts w:ascii="Verdana" w:hAnsi="Verdana" w:cs="Arial"/>
          <w:i/>
          <w:sz w:val="20"/>
          <w:szCs w:val="20"/>
          <w:lang w:val="es-GT"/>
        </w:rPr>
        <w:t>Caso Barrios Altos Vs. Perú</w:t>
      </w:r>
      <w:r w:rsidRPr="002964A7">
        <w:rPr>
          <w:rFonts w:ascii="Verdana" w:hAnsi="Verdana" w:cs="Arial"/>
          <w:sz w:val="20"/>
          <w:szCs w:val="20"/>
          <w:lang w:val="es-GT"/>
        </w:rPr>
        <w:t xml:space="preserve"> (</w:t>
      </w:r>
      <w:r w:rsidRPr="002964A7">
        <w:rPr>
          <w:rFonts w:ascii="Verdana" w:hAnsi="Verdana" w:cs="Arial"/>
          <w:i/>
          <w:sz w:val="20"/>
          <w:szCs w:val="20"/>
          <w:lang w:val="es-GT"/>
        </w:rPr>
        <w:t>supra</w:t>
      </w:r>
      <w:r w:rsidRPr="002964A7">
        <w:rPr>
          <w:rFonts w:ascii="Verdana" w:hAnsi="Verdana" w:cs="Arial"/>
          <w:sz w:val="20"/>
          <w:szCs w:val="20"/>
          <w:lang w:val="es-GT"/>
        </w:rPr>
        <w:t xml:space="preserve"> párr. </w:t>
      </w:r>
      <w:r>
        <w:rPr>
          <w:rFonts w:ascii="Verdana" w:hAnsi="Verdana" w:cs="Arial"/>
          <w:sz w:val="20"/>
          <w:szCs w:val="20"/>
          <w:lang w:val="es-GT"/>
        </w:rPr>
        <w:t>122</w:t>
      </w:r>
      <w:r w:rsidRPr="002964A7">
        <w:rPr>
          <w:rFonts w:ascii="Verdana" w:hAnsi="Verdana" w:cs="Arial"/>
          <w:sz w:val="20"/>
          <w:szCs w:val="20"/>
          <w:lang w:val="es-GT"/>
        </w:rPr>
        <w:t>), en el fuero militar el 28 de junio de 2002 la Sala Plena del Consejo Supremo de Justicia Militar declaró nula la Ejecutoria Suprema de 16 de junio de 1995 y ordenó reabrir la causa en ejecución de sentencia</w:t>
      </w:r>
      <w:r w:rsidRPr="002964A7">
        <w:rPr>
          <w:rFonts w:ascii="Verdana" w:eastAsia="Times New Roman" w:hAnsi="Verdana" w:cs="Arial"/>
          <w:sz w:val="20"/>
          <w:szCs w:val="20"/>
          <w:vertAlign w:val="superscript"/>
          <w:lang w:val="en-US"/>
        </w:rPr>
        <w:footnoteReference w:id="128"/>
      </w:r>
      <w:r w:rsidRPr="002964A7">
        <w:rPr>
          <w:rFonts w:ascii="Verdana" w:hAnsi="Verdana" w:cs="Arial"/>
          <w:sz w:val="20"/>
          <w:szCs w:val="20"/>
          <w:lang w:val="es-GT"/>
        </w:rPr>
        <w:t>.</w:t>
      </w:r>
      <w:r w:rsidRPr="002964A7">
        <w:rPr>
          <w:rFonts w:ascii="Verdana" w:hAnsi="Verdana"/>
          <w:bCs/>
          <w:sz w:val="20"/>
          <w:szCs w:val="20"/>
          <w:lang w:val="es-GT"/>
        </w:rPr>
        <w:t xml:space="preserve"> </w:t>
      </w:r>
      <w:r w:rsidRPr="002964A7">
        <w:rPr>
          <w:rFonts w:ascii="Verdana" w:hAnsi="Verdana" w:cs="Arial"/>
          <w:sz w:val="20"/>
          <w:szCs w:val="20"/>
          <w:lang w:val="es-GT"/>
        </w:rPr>
        <w:t>En el expediente no consta diligencia posterior al respecto.</w:t>
      </w:r>
      <w:r w:rsidRPr="002964A7">
        <w:rPr>
          <w:rFonts w:ascii="Verdana" w:hAnsi="Verdana"/>
          <w:bCs/>
          <w:sz w:val="20"/>
          <w:szCs w:val="20"/>
          <w:lang w:val="es-GT"/>
        </w:rPr>
        <w:t xml:space="preserve"> </w:t>
      </w:r>
      <w:r w:rsidR="007367DA" w:rsidRPr="002964A7">
        <w:rPr>
          <w:rFonts w:ascii="Verdana" w:hAnsi="Verdana" w:cs="Arial"/>
          <w:sz w:val="20"/>
          <w:szCs w:val="20"/>
          <w:lang w:val="es-GT"/>
        </w:rPr>
        <w:t xml:space="preserve">A su vez, en la </w:t>
      </w:r>
      <w:r w:rsidR="007367DA" w:rsidRPr="002964A7">
        <w:rPr>
          <w:rFonts w:ascii="Verdana" w:hAnsi="Verdana"/>
          <w:sz w:val="20"/>
          <w:szCs w:val="20"/>
          <w:lang w:val="es-GT"/>
        </w:rPr>
        <w:t>jurisdicción ordinaria</w:t>
      </w:r>
      <w:r w:rsidR="007367DA">
        <w:rPr>
          <w:rFonts w:ascii="Verdana" w:hAnsi="Verdana"/>
          <w:sz w:val="20"/>
          <w:szCs w:val="20"/>
          <w:lang w:val="es-GT"/>
        </w:rPr>
        <w:t>,</w:t>
      </w:r>
      <w:r w:rsidR="007367DA" w:rsidRPr="002964A7">
        <w:rPr>
          <w:rFonts w:ascii="Verdana" w:hAnsi="Verdana" w:cs="Arial"/>
          <w:sz w:val="20"/>
          <w:szCs w:val="20"/>
          <w:lang w:val="es-GT"/>
        </w:rPr>
        <w:t xml:space="preserve"> el 24 de junio de 2004</w:t>
      </w:r>
      <w:r w:rsidR="007367DA">
        <w:rPr>
          <w:rFonts w:ascii="Verdana" w:hAnsi="Verdana" w:cs="Arial"/>
          <w:sz w:val="20"/>
          <w:szCs w:val="20"/>
          <w:lang w:val="es-GT"/>
        </w:rPr>
        <w:t xml:space="preserve"> </w:t>
      </w:r>
      <w:r w:rsidR="007367DA" w:rsidRPr="002964A7">
        <w:rPr>
          <w:rFonts w:ascii="Verdana" w:hAnsi="Verdana" w:cs="Arial"/>
          <w:sz w:val="20"/>
          <w:szCs w:val="20"/>
          <w:lang w:val="es-GT"/>
        </w:rPr>
        <w:t xml:space="preserve">la </w:t>
      </w:r>
      <w:r w:rsidR="007367DA" w:rsidRPr="002964A7">
        <w:rPr>
          <w:rFonts w:ascii="Verdana" w:hAnsi="Verdana"/>
          <w:sz w:val="20"/>
          <w:szCs w:val="20"/>
          <w:lang w:val="es-CO"/>
        </w:rPr>
        <w:t xml:space="preserve">Fiscalía Provincial de Huancavelica </w:t>
      </w:r>
      <w:r w:rsidR="007367DA">
        <w:rPr>
          <w:rFonts w:ascii="Verdana" w:hAnsi="Verdana" w:cs="Arial"/>
          <w:sz w:val="20"/>
          <w:szCs w:val="20"/>
          <w:lang w:val="es-GT"/>
        </w:rPr>
        <w:t>solicitó</w:t>
      </w:r>
      <w:r w:rsidR="007367DA" w:rsidRPr="002964A7">
        <w:rPr>
          <w:rFonts w:ascii="Verdana" w:hAnsi="Verdana" w:cs="Arial"/>
          <w:sz w:val="20"/>
          <w:szCs w:val="20"/>
          <w:lang w:val="es-GT"/>
        </w:rPr>
        <w:t xml:space="preserve"> a la Fiscal de la Nación</w:t>
      </w:r>
      <w:r w:rsidR="007367DA" w:rsidRPr="00EB7DFC">
        <w:rPr>
          <w:rFonts w:ascii="Verdana" w:hAnsi="Verdana" w:cs="Arial"/>
          <w:sz w:val="20"/>
          <w:szCs w:val="20"/>
          <w:lang w:val="es-GT"/>
        </w:rPr>
        <w:t xml:space="preserve"> </w:t>
      </w:r>
      <w:r w:rsidR="007367DA" w:rsidRPr="002964A7">
        <w:rPr>
          <w:rFonts w:ascii="Verdana" w:hAnsi="Verdana" w:cs="Arial"/>
          <w:sz w:val="20"/>
          <w:szCs w:val="20"/>
          <w:lang w:val="es-GT"/>
        </w:rPr>
        <w:t>el desarchivo del Expediente Penal N</w:t>
      </w:r>
      <w:r w:rsidR="007367DA">
        <w:rPr>
          <w:rFonts w:ascii="Verdana" w:hAnsi="Verdana" w:cs="Arial"/>
          <w:sz w:val="20"/>
          <w:szCs w:val="20"/>
          <w:lang w:val="es-GT"/>
        </w:rPr>
        <w:t>o.</w:t>
      </w:r>
      <w:r w:rsidR="007367DA" w:rsidRPr="002964A7">
        <w:rPr>
          <w:rFonts w:ascii="Verdana" w:hAnsi="Verdana" w:cs="Arial"/>
          <w:sz w:val="20"/>
          <w:szCs w:val="20"/>
          <w:lang w:val="es-GT"/>
        </w:rPr>
        <w:t xml:space="preserve"> 1993-027,</w:t>
      </w:r>
      <w:r w:rsidRPr="002964A7">
        <w:rPr>
          <w:rFonts w:ascii="Verdana" w:hAnsi="Verdana" w:cs="Arial"/>
          <w:sz w:val="20"/>
          <w:szCs w:val="20"/>
          <w:lang w:val="es-GT"/>
        </w:rPr>
        <w:t xml:space="preserve"> así como elevar los autos en consulta a la Corte Suprema de Justicia de la Republica, a efectos de que previa opinión del Fiscal Supremo se ordenara la reapertura del proceso</w:t>
      </w:r>
      <w:r w:rsidRPr="002964A7">
        <w:rPr>
          <w:rFonts w:ascii="Verdana" w:eastAsia="Times New Roman" w:hAnsi="Verdana" w:cs="Arial"/>
          <w:sz w:val="20"/>
          <w:szCs w:val="20"/>
          <w:vertAlign w:val="superscript"/>
          <w:lang w:val="en-US"/>
        </w:rPr>
        <w:footnoteReference w:id="129"/>
      </w:r>
      <w:r w:rsidRPr="002964A7">
        <w:rPr>
          <w:rFonts w:ascii="Verdana" w:hAnsi="Verdana" w:cs="Arial"/>
          <w:sz w:val="20"/>
          <w:szCs w:val="20"/>
          <w:lang w:val="es-GT"/>
        </w:rPr>
        <w:t>. Por su parte, el</w:t>
      </w:r>
      <w:r w:rsidRPr="002964A7">
        <w:rPr>
          <w:rFonts w:ascii="Verdana" w:hAnsi="Verdana"/>
          <w:bCs/>
          <w:sz w:val="20"/>
          <w:szCs w:val="20"/>
          <w:lang w:val="es-GT"/>
        </w:rPr>
        <w:t xml:space="preserve"> </w:t>
      </w:r>
      <w:r w:rsidRPr="002964A7">
        <w:rPr>
          <w:rFonts w:ascii="Verdana" w:hAnsi="Verdana"/>
          <w:sz w:val="20"/>
          <w:szCs w:val="20"/>
          <w:lang w:val="es-GT"/>
        </w:rPr>
        <w:t>22 de junio de 2005 la Fiscalía Superior</w:t>
      </w:r>
      <w:r w:rsidRPr="002964A7">
        <w:rPr>
          <w:rFonts w:ascii="Verdana" w:hAnsi="Verdana" w:cs="Arial"/>
          <w:sz w:val="20"/>
          <w:szCs w:val="20"/>
          <w:lang w:val="es-GT"/>
        </w:rPr>
        <w:t xml:space="preserve"> </w:t>
      </w:r>
      <w:r w:rsidRPr="002964A7">
        <w:rPr>
          <w:rFonts w:ascii="Verdana" w:hAnsi="Verdana"/>
          <w:sz w:val="20"/>
          <w:szCs w:val="20"/>
          <w:lang w:val="es-GT"/>
        </w:rPr>
        <w:t>Mixta de Huancavelica opinó que la Sala Mixta de la Corte Superior de Justicia de Huancavelica debía declarar nulo el auto mediante el cual se dispuso el</w:t>
      </w:r>
      <w:r w:rsidRPr="002964A7">
        <w:rPr>
          <w:rFonts w:ascii="Verdana" w:hAnsi="Verdana" w:cs="Arial"/>
          <w:sz w:val="20"/>
          <w:szCs w:val="20"/>
          <w:lang w:val="es-GT"/>
        </w:rPr>
        <w:t xml:space="preserve"> </w:t>
      </w:r>
      <w:r w:rsidRPr="002964A7">
        <w:rPr>
          <w:rFonts w:ascii="Verdana" w:hAnsi="Verdana"/>
          <w:sz w:val="20"/>
          <w:szCs w:val="20"/>
          <w:lang w:val="es-GT"/>
        </w:rPr>
        <w:t>archivamiento definitivo del proceso en aplicación de la Ley de Amnistía No. 26.479 y</w:t>
      </w:r>
      <w:r w:rsidRPr="002964A7">
        <w:rPr>
          <w:rFonts w:ascii="Verdana" w:hAnsi="Verdana" w:cs="Arial"/>
          <w:sz w:val="20"/>
          <w:szCs w:val="20"/>
          <w:lang w:val="es-GT"/>
        </w:rPr>
        <w:t xml:space="preserve"> </w:t>
      </w:r>
      <w:r>
        <w:rPr>
          <w:rFonts w:ascii="Verdana" w:hAnsi="Verdana" w:cs="Arial"/>
          <w:sz w:val="20"/>
          <w:szCs w:val="20"/>
          <w:lang w:val="es-GT"/>
        </w:rPr>
        <w:t xml:space="preserve">No. </w:t>
      </w:r>
      <w:r w:rsidRPr="002964A7">
        <w:rPr>
          <w:rFonts w:ascii="Verdana" w:hAnsi="Verdana"/>
          <w:sz w:val="20"/>
          <w:szCs w:val="20"/>
          <w:lang w:val="es-GT"/>
        </w:rPr>
        <w:t xml:space="preserve">26.492, y reformando se ejecutara lo dispuesto en la sentencia del caso </w:t>
      </w:r>
      <w:r w:rsidRPr="002964A7">
        <w:rPr>
          <w:rFonts w:ascii="Verdana" w:hAnsi="Verdana"/>
          <w:i/>
          <w:sz w:val="20"/>
          <w:szCs w:val="20"/>
          <w:lang w:val="es-GT"/>
        </w:rPr>
        <w:t>Barrios Altos Vs. Perú</w:t>
      </w:r>
      <w:r w:rsidRPr="002964A7">
        <w:rPr>
          <w:rFonts w:ascii="Verdana" w:hAnsi="Verdana"/>
          <w:sz w:val="20"/>
          <w:szCs w:val="20"/>
          <w:lang w:val="es-GT"/>
        </w:rPr>
        <w:t xml:space="preserve"> y, de conformidad con el artículo 151 de la Ley Orgánica</w:t>
      </w:r>
      <w:r w:rsidRPr="002964A7">
        <w:rPr>
          <w:rFonts w:ascii="Verdana" w:hAnsi="Verdana" w:cs="Arial"/>
          <w:sz w:val="20"/>
          <w:szCs w:val="20"/>
          <w:lang w:val="es-GT"/>
        </w:rPr>
        <w:t xml:space="preserve"> </w:t>
      </w:r>
      <w:r w:rsidRPr="002964A7">
        <w:rPr>
          <w:rFonts w:ascii="Verdana" w:hAnsi="Verdana"/>
          <w:sz w:val="20"/>
          <w:szCs w:val="20"/>
          <w:lang w:val="es-GT"/>
        </w:rPr>
        <w:t>del Poder Judicial, se reabriera el caso</w:t>
      </w:r>
      <w:r w:rsidRPr="002964A7">
        <w:rPr>
          <w:rFonts w:ascii="Verdana" w:hAnsi="Verdana"/>
          <w:sz w:val="20"/>
          <w:szCs w:val="20"/>
          <w:vertAlign w:val="superscript"/>
          <w:lang w:val="en-US"/>
        </w:rPr>
        <w:footnoteReference w:id="130"/>
      </w:r>
      <w:r w:rsidRPr="002964A7">
        <w:rPr>
          <w:rFonts w:ascii="Verdana" w:hAnsi="Verdana"/>
          <w:sz w:val="20"/>
          <w:szCs w:val="20"/>
          <w:lang w:val="es-GT"/>
        </w:rPr>
        <w:t>.</w:t>
      </w:r>
    </w:p>
    <w:p w:rsidR="00106A1E" w:rsidRPr="002964A7" w:rsidRDefault="00106A1E" w:rsidP="00106A1E">
      <w:pPr>
        <w:autoSpaceDE w:val="0"/>
        <w:autoSpaceDN w:val="0"/>
        <w:adjustRightInd w:val="0"/>
        <w:spacing w:after="0" w:line="240" w:lineRule="auto"/>
        <w:contextualSpacing/>
        <w:jc w:val="both"/>
        <w:rPr>
          <w:rFonts w:ascii="Verdana" w:eastAsia="Calibri" w:hAnsi="Verdana"/>
          <w:b/>
          <w:bCs/>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t xml:space="preserve">El 14 </w:t>
      </w:r>
      <w:r w:rsidRPr="002964A7">
        <w:rPr>
          <w:rFonts w:ascii="Verdana" w:hAnsi="Verdana"/>
          <w:sz w:val="20"/>
          <w:szCs w:val="20"/>
          <w:lang w:eastAsia="es-CR"/>
        </w:rPr>
        <w:t>de</w:t>
      </w:r>
      <w:r w:rsidRPr="002964A7">
        <w:rPr>
          <w:rFonts w:ascii="Verdana" w:hAnsi="Verdana" w:cs="Arial"/>
          <w:sz w:val="20"/>
          <w:szCs w:val="20"/>
          <w:lang w:val="es-GT"/>
        </w:rPr>
        <w:t xml:space="preserve"> julio de 2005 la Sala Mixta de la Corte Superior de Justicia de Huancavelica declaró nula la Resolución de 4 de julio de 1995 (</w:t>
      </w:r>
      <w:r w:rsidRPr="002964A7">
        <w:rPr>
          <w:rFonts w:ascii="Verdana" w:hAnsi="Verdana" w:cs="Arial"/>
          <w:i/>
          <w:sz w:val="20"/>
          <w:szCs w:val="20"/>
          <w:lang w:val="es-GT"/>
        </w:rPr>
        <w:t>supra</w:t>
      </w:r>
      <w:r w:rsidRPr="002964A7">
        <w:rPr>
          <w:rFonts w:ascii="Verdana" w:hAnsi="Verdana" w:cs="Arial"/>
          <w:sz w:val="20"/>
          <w:szCs w:val="20"/>
          <w:lang w:val="es-GT"/>
        </w:rPr>
        <w:t xml:space="preserve"> párr. </w:t>
      </w:r>
      <w:r>
        <w:rPr>
          <w:rFonts w:ascii="Verdana" w:hAnsi="Verdana" w:cs="Arial"/>
          <w:sz w:val="20"/>
          <w:szCs w:val="20"/>
          <w:lang w:val="es-GT"/>
        </w:rPr>
        <w:t>121</w:t>
      </w:r>
      <w:r w:rsidRPr="002964A7">
        <w:rPr>
          <w:rFonts w:ascii="Verdana" w:hAnsi="Verdana" w:cs="Arial"/>
          <w:sz w:val="20"/>
          <w:szCs w:val="20"/>
          <w:lang w:val="es-GT"/>
        </w:rPr>
        <w:t xml:space="preserve">) y dispuso reabrir el proceso y acumular a </w:t>
      </w:r>
      <w:r>
        <w:rPr>
          <w:rFonts w:ascii="Verdana" w:hAnsi="Verdana" w:cs="Arial"/>
          <w:sz w:val="20"/>
          <w:szCs w:val="20"/>
          <w:lang w:val="es-GT"/>
        </w:rPr>
        <w:t>este</w:t>
      </w:r>
      <w:r w:rsidRPr="002964A7">
        <w:rPr>
          <w:rFonts w:ascii="Verdana" w:hAnsi="Verdana" w:cs="Arial"/>
          <w:sz w:val="20"/>
          <w:szCs w:val="20"/>
          <w:lang w:val="es-GT"/>
        </w:rPr>
        <w:t xml:space="preserve"> la investigación preliminar asignada con el No. 808-2002 que se había iniciado tras el Informe Final de la CVR por los mismos hechos. El 26 de agosto de 2005 dicha Sala ordenó nuevamente el auto del enjuiciamiento de 3 de julio de 1994</w:t>
      </w:r>
      <w:r>
        <w:rPr>
          <w:rFonts w:ascii="Verdana" w:hAnsi="Verdana" w:cs="Arial"/>
          <w:sz w:val="20"/>
          <w:szCs w:val="20"/>
          <w:lang w:val="es-GT"/>
        </w:rPr>
        <w:t>,</w:t>
      </w:r>
      <w:r w:rsidRPr="002964A7">
        <w:rPr>
          <w:rFonts w:ascii="Verdana" w:hAnsi="Verdana" w:cs="Arial"/>
          <w:sz w:val="20"/>
          <w:szCs w:val="20"/>
          <w:lang w:val="es-GT"/>
        </w:rPr>
        <w:t xml:space="preserve"> </w:t>
      </w:r>
      <w:r w:rsidRPr="002964A7">
        <w:rPr>
          <w:rFonts w:ascii="Verdana" w:hAnsi="Verdana"/>
          <w:sz w:val="20"/>
          <w:szCs w:val="20"/>
          <w:shd w:val="clear" w:color="auto" w:fill="FFFFFF"/>
        </w:rPr>
        <w:t xml:space="preserve">por no haber tenido cumplimiento </w:t>
      </w:r>
      <w:r w:rsidRPr="002964A7">
        <w:rPr>
          <w:rFonts w:ascii="Verdana" w:hAnsi="Verdana" w:cs="Arial"/>
          <w:sz w:val="20"/>
          <w:szCs w:val="20"/>
          <w:lang w:val="es-GT"/>
        </w:rPr>
        <w:t>(</w:t>
      </w:r>
      <w:r w:rsidRPr="002964A7">
        <w:rPr>
          <w:rFonts w:ascii="Verdana" w:hAnsi="Verdana" w:cs="Arial"/>
          <w:i/>
          <w:sz w:val="20"/>
          <w:szCs w:val="20"/>
          <w:lang w:val="es-GT"/>
        </w:rPr>
        <w:t>supra</w:t>
      </w:r>
      <w:r w:rsidRPr="002964A7">
        <w:rPr>
          <w:rFonts w:ascii="Verdana" w:hAnsi="Verdana" w:cs="Arial"/>
          <w:sz w:val="20"/>
          <w:szCs w:val="20"/>
          <w:lang w:val="es-GT"/>
        </w:rPr>
        <w:t xml:space="preserve"> párr. </w:t>
      </w:r>
      <w:r>
        <w:rPr>
          <w:rFonts w:ascii="Verdana" w:hAnsi="Verdana" w:cs="Arial"/>
          <w:sz w:val="20"/>
          <w:szCs w:val="20"/>
          <w:lang w:val="es-GT"/>
        </w:rPr>
        <w:t>116</w:t>
      </w:r>
      <w:r w:rsidRPr="002964A7">
        <w:rPr>
          <w:rFonts w:ascii="Verdana" w:hAnsi="Verdana" w:cs="Arial"/>
          <w:sz w:val="20"/>
          <w:szCs w:val="20"/>
          <w:lang w:val="es-GT"/>
        </w:rPr>
        <w:t>), y se reservó señalar fecha de inicio del juicio oral por tener la condición de ausentes los procesados, hasta que fueran ubicados y/o puestos a disposición de la autoridad judicial</w:t>
      </w:r>
      <w:r w:rsidRPr="002964A7">
        <w:rPr>
          <w:rFonts w:ascii="Verdana" w:hAnsi="Verdana" w:cs="Arial"/>
          <w:sz w:val="20"/>
          <w:szCs w:val="20"/>
          <w:vertAlign w:val="superscript"/>
          <w:lang w:val="en-US"/>
        </w:rPr>
        <w:footnoteReference w:id="131"/>
      </w:r>
      <w:r w:rsidRPr="002964A7">
        <w:rPr>
          <w:rFonts w:ascii="Verdana" w:hAnsi="Verdana"/>
          <w:sz w:val="20"/>
          <w:szCs w:val="20"/>
          <w:lang w:val="es-GT"/>
        </w:rPr>
        <w:t xml:space="preserve">. </w:t>
      </w:r>
      <w:r w:rsidRPr="002964A7">
        <w:rPr>
          <w:rFonts w:ascii="Verdana" w:hAnsi="Verdana" w:cs="Arial"/>
          <w:sz w:val="20"/>
          <w:szCs w:val="20"/>
          <w:lang w:val="es-GT"/>
        </w:rPr>
        <w:t xml:space="preserve">El 10 de noviembre de 2005 el Ministerio Público de Huancavelica indicó que el proceso penal debía continuarse en el </w:t>
      </w:r>
      <w:r w:rsidRPr="002964A7">
        <w:rPr>
          <w:rFonts w:ascii="Verdana" w:hAnsi="Verdana" w:cs="Arial"/>
          <w:sz w:val="20"/>
          <w:szCs w:val="20"/>
          <w:lang w:val="es-GT"/>
        </w:rPr>
        <w:lastRenderedPageBreak/>
        <w:t xml:space="preserve">estado en que se encontraba antes de emitirse el auto de 4 de julio de </w:t>
      </w:r>
      <w:r w:rsidRPr="002964A7">
        <w:rPr>
          <w:rFonts w:ascii="Verdana" w:hAnsi="Verdana"/>
          <w:sz w:val="20"/>
          <w:szCs w:val="20"/>
          <w:lang w:val="es-GT"/>
        </w:rPr>
        <w:t xml:space="preserve">1995 y, </w:t>
      </w:r>
      <w:r w:rsidRPr="002964A7">
        <w:rPr>
          <w:rFonts w:ascii="Verdana" w:hAnsi="Verdana" w:cs="Arial"/>
          <w:sz w:val="20"/>
          <w:szCs w:val="20"/>
          <w:lang w:val="es-GT"/>
        </w:rPr>
        <w:t>en consecuencia, debía señalarse fecha para la audiencia</w:t>
      </w:r>
      <w:r w:rsidRPr="002964A7">
        <w:rPr>
          <w:rFonts w:ascii="Verdana" w:eastAsia="Times New Roman" w:hAnsi="Verdana" w:cs="Arial"/>
          <w:sz w:val="20"/>
          <w:szCs w:val="20"/>
          <w:vertAlign w:val="superscript"/>
          <w:lang w:val="en-US"/>
        </w:rPr>
        <w:footnoteReference w:id="132"/>
      </w:r>
      <w:r w:rsidRPr="002964A7">
        <w:rPr>
          <w:rFonts w:ascii="Verdana" w:hAnsi="Verdana"/>
          <w:sz w:val="20"/>
          <w:szCs w:val="20"/>
          <w:lang w:val="es-GT"/>
        </w:rPr>
        <w:t>.</w:t>
      </w:r>
      <w:r w:rsidRPr="002964A7">
        <w:rPr>
          <w:rFonts w:ascii="Verdana" w:hAnsi="Verdana" w:cs="Arial"/>
          <w:sz w:val="20"/>
          <w:szCs w:val="20"/>
          <w:lang w:val="es-GT"/>
        </w:rPr>
        <w:t xml:space="preserve"> </w:t>
      </w:r>
    </w:p>
    <w:p w:rsidR="00106A1E" w:rsidRPr="002964A7" w:rsidRDefault="00106A1E" w:rsidP="00106A1E">
      <w:pPr>
        <w:autoSpaceDE w:val="0"/>
        <w:autoSpaceDN w:val="0"/>
        <w:adjustRightInd w:val="0"/>
        <w:spacing w:after="0" w:line="240" w:lineRule="auto"/>
        <w:jc w:val="both"/>
        <w:rPr>
          <w:rFonts w:ascii="Verdana" w:eastAsia="Calibri" w:hAnsi="Verdana" w:cs="Arial"/>
          <w:b/>
          <w:i/>
          <w:sz w:val="20"/>
          <w:szCs w:val="20"/>
          <w:lang w:val="es-GT"/>
        </w:rPr>
      </w:pPr>
    </w:p>
    <w:p w:rsidR="00106A1E" w:rsidRPr="002964A7" w:rsidRDefault="00106A1E" w:rsidP="00106A1E">
      <w:pPr>
        <w:autoSpaceDE w:val="0"/>
        <w:autoSpaceDN w:val="0"/>
        <w:adjustRightInd w:val="0"/>
        <w:spacing w:after="0" w:line="240" w:lineRule="auto"/>
        <w:jc w:val="both"/>
        <w:rPr>
          <w:rFonts w:ascii="Verdana" w:eastAsia="Calibri" w:hAnsi="Verdana"/>
          <w:b/>
          <w:bCs/>
          <w:sz w:val="20"/>
          <w:szCs w:val="20"/>
          <w:lang w:val="es-GT"/>
        </w:rPr>
      </w:pPr>
      <w:r w:rsidRPr="002964A7">
        <w:rPr>
          <w:rFonts w:ascii="Verdana" w:hAnsi="Verdana"/>
          <w:i/>
          <w:sz w:val="20"/>
          <w:szCs w:val="20"/>
          <w:lang w:val="es-GT"/>
        </w:rPr>
        <w:t xml:space="preserve">E.6. Jurisdicción Ordinaria: </w:t>
      </w:r>
      <w:r w:rsidRPr="002964A7">
        <w:rPr>
          <w:rFonts w:ascii="Verdana" w:eastAsia="Calibri" w:hAnsi="Verdana" w:cs="Arial"/>
          <w:i/>
          <w:sz w:val="20"/>
          <w:szCs w:val="20"/>
          <w:lang w:val="es-GT"/>
        </w:rPr>
        <w:t xml:space="preserve">Sala Penal Nacional de la Corte Superior de Justica de Lima - </w:t>
      </w:r>
      <w:r w:rsidRPr="002964A7">
        <w:rPr>
          <w:rFonts w:ascii="Verdana" w:hAnsi="Verdana" w:cs="Arial"/>
          <w:i/>
          <w:sz w:val="20"/>
          <w:szCs w:val="20"/>
          <w:lang w:val="es-GT"/>
        </w:rPr>
        <w:t>Expediente Penal N</w:t>
      </w:r>
      <w:r>
        <w:rPr>
          <w:rFonts w:ascii="Verdana" w:hAnsi="Verdana" w:cs="Arial"/>
          <w:i/>
          <w:sz w:val="20"/>
          <w:szCs w:val="20"/>
          <w:lang w:val="es-GT"/>
        </w:rPr>
        <w:t>o.</w:t>
      </w:r>
      <w:r w:rsidRPr="002964A7">
        <w:rPr>
          <w:rFonts w:ascii="Verdana" w:hAnsi="Verdana" w:cs="Arial"/>
          <w:i/>
          <w:sz w:val="20"/>
          <w:szCs w:val="20"/>
          <w:lang w:val="es-GT"/>
        </w:rPr>
        <w:t xml:space="preserve"> 42-06 (</w:t>
      </w:r>
      <w:r w:rsidRPr="002964A7">
        <w:rPr>
          <w:rFonts w:ascii="Verdana" w:eastAsia="Calibri" w:hAnsi="Verdana"/>
          <w:bCs/>
          <w:i/>
          <w:sz w:val="20"/>
          <w:szCs w:val="20"/>
          <w:lang w:val="es-GT"/>
        </w:rPr>
        <w:t>Proceso judicial contra el Teniente Javier Bendezú Vargas y otros)</w:t>
      </w:r>
    </w:p>
    <w:p w:rsidR="00106A1E" w:rsidRPr="002964A7" w:rsidRDefault="00106A1E" w:rsidP="00106A1E">
      <w:pPr>
        <w:autoSpaceDE w:val="0"/>
        <w:autoSpaceDN w:val="0"/>
        <w:adjustRightInd w:val="0"/>
        <w:spacing w:after="0" w:line="240" w:lineRule="auto"/>
        <w:contextualSpacing/>
        <w:jc w:val="both"/>
        <w:rPr>
          <w:rFonts w:ascii="Verdana" w:eastAsia="Calibri" w:hAnsi="Verdana"/>
          <w:b/>
          <w:bCs/>
          <w:sz w:val="20"/>
          <w:szCs w:val="20"/>
          <w:lang w:val="es-GT"/>
        </w:rPr>
      </w:pPr>
    </w:p>
    <w:p w:rsidR="00106A1E" w:rsidRPr="00F133C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ES"/>
        </w:rPr>
      </w:pPr>
      <w:r w:rsidRPr="002964A7">
        <w:rPr>
          <w:rFonts w:ascii="Verdana" w:hAnsi="Verdana" w:cs="Arial"/>
          <w:sz w:val="20"/>
          <w:szCs w:val="20"/>
          <w:lang w:val="es-GT"/>
        </w:rPr>
        <w:t xml:space="preserve">El 31 de octubre de 2006 la Sala Penal Nacional de Lima se avocó al conocimiento del proceso en razón </w:t>
      </w:r>
      <w:r>
        <w:rPr>
          <w:rFonts w:ascii="Verdana" w:hAnsi="Verdana" w:cs="Arial"/>
          <w:sz w:val="20"/>
          <w:szCs w:val="20"/>
          <w:lang w:val="es-GT"/>
        </w:rPr>
        <w:t>de</w:t>
      </w:r>
      <w:r w:rsidRPr="002964A7">
        <w:rPr>
          <w:rFonts w:ascii="Verdana" w:hAnsi="Verdana" w:cs="Arial"/>
          <w:sz w:val="20"/>
          <w:szCs w:val="20"/>
          <w:lang w:val="es-GT"/>
        </w:rPr>
        <w:t xml:space="preserve"> la asignación de su competencia dispuesta para el conocimiento de delitos contra la humanidad y de los delitos comunes que hayan constituido casos de violación </w:t>
      </w:r>
      <w:r>
        <w:rPr>
          <w:rFonts w:ascii="Verdana" w:hAnsi="Verdana" w:cs="Arial"/>
          <w:sz w:val="20"/>
          <w:szCs w:val="20"/>
          <w:lang w:val="es-GT"/>
        </w:rPr>
        <w:t>de</w:t>
      </w:r>
      <w:r w:rsidRPr="002964A7">
        <w:rPr>
          <w:rFonts w:ascii="Verdana" w:hAnsi="Verdana" w:cs="Arial"/>
          <w:sz w:val="20"/>
          <w:szCs w:val="20"/>
          <w:lang w:val="es-GT"/>
        </w:rPr>
        <w:t xml:space="preserve"> los derechos humanos, así como derechos conexos a los mismos</w:t>
      </w:r>
      <w:r w:rsidRPr="002964A7">
        <w:rPr>
          <w:rFonts w:ascii="Verdana" w:hAnsi="Verdana" w:cs="Arial"/>
          <w:sz w:val="20"/>
          <w:szCs w:val="20"/>
          <w:vertAlign w:val="superscript"/>
          <w:lang w:val="en-US"/>
        </w:rPr>
        <w:footnoteReference w:id="133"/>
      </w:r>
      <w:r w:rsidRPr="002964A7">
        <w:rPr>
          <w:rFonts w:ascii="Verdana" w:hAnsi="Verdana" w:cs="Arial"/>
          <w:sz w:val="20"/>
          <w:szCs w:val="20"/>
          <w:lang w:val="es-GT"/>
        </w:rPr>
        <w:t>. En consecuencia, el 14 de noviembre de 2006 la Mesa de partes de la Sala Mixta de la Corte Superior de Justicia de Huancavelica remitió el expediente del caso</w:t>
      </w:r>
      <w:r w:rsidRPr="002964A7">
        <w:rPr>
          <w:rFonts w:ascii="Verdana" w:hAnsi="Verdana" w:cs="Arial"/>
          <w:sz w:val="20"/>
          <w:szCs w:val="20"/>
          <w:vertAlign w:val="superscript"/>
          <w:lang w:val="en-US"/>
        </w:rPr>
        <w:footnoteReference w:id="134"/>
      </w:r>
      <w:r w:rsidRPr="002964A7">
        <w:rPr>
          <w:rFonts w:ascii="Verdana" w:hAnsi="Verdana" w:cs="Arial"/>
          <w:sz w:val="20"/>
          <w:szCs w:val="20"/>
          <w:lang w:val="es-GT"/>
        </w:rPr>
        <w:t>. Una vez avocada al caso, el 18 de diciembre de 2006 la Sala Penal Nacional declaró el corte de secuela del proceso a favor del detenido y procesado Carlos Manuel Prado Chinchay (también identificado como Carlos Saa Prado Chinchay), al comprobarse que era menor de edad cuando se produjeron los hechos</w:t>
      </w:r>
      <w:r>
        <w:rPr>
          <w:rFonts w:ascii="Verdana" w:hAnsi="Verdana" w:cs="Arial"/>
          <w:sz w:val="20"/>
          <w:szCs w:val="20"/>
          <w:lang w:val="es-GT"/>
        </w:rPr>
        <w:t>. Asimismo,</w:t>
      </w:r>
      <w:r w:rsidRPr="002964A7">
        <w:rPr>
          <w:rFonts w:ascii="Verdana" w:hAnsi="Verdana" w:cs="Arial"/>
          <w:sz w:val="20"/>
          <w:szCs w:val="20"/>
          <w:lang w:val="es-GT"/>
        </w:rPr>
        <w:t xml:space="preserve"> ordenó su inmediata libertad, la suspensión de las órdenes de captura dictadas en su contra y la anulación de los antecedentes generados</w:t>
      </w:r>
      <w:r w:rsidRPr="002964A7">
        <w:rPr>
          <w:rFonts w:ascii="Verdana" w:eastAsia="Times New Roman" w:hAnsi="Verdana" w:cs="Arial"/>
          <w:sz w:val="20"/>
          <w:szCs w:val="20"/>
          <w:vertAlign w:val="superscript"/>
          <w:lang w:val="en-US"/>
        </w:rPr>
        <w:footnoteReference w:id="135"/>
      </w:r>
      <w:r w:rsidRPr="002964A7">
        <w:rPr>
          <w:rFonts w:ascii="Verdana" w:hAnsi="Verdana"/>
          <w:sz w:val="20"/>
          <w:szCs w:val="20"/>
          <w:lang w:val="es-GT"/>
        </w:rPr>
        <w:t xml:space="preserve">. Según ha sido informado por el Estado, el señor </w:t>
      </w:r>
      <w:r w:rsidRPr="002964A7">
        <w:rPr>
          <w:rFonts w:ascii="Verdana" w:hAnsi="Verdana" w:cs="Arial"/>
          <w:sz w:val="20"/>
          <w:szCs w:val="20"/>
          <w:lang w:val="es-GT"/>
        </w:rPr>
        <w:t xml:space="preserve">Carlos Manuel Prado Chinchay </w:t>
      </w:r>
      <w:r w:rsidRPr="002964A7">
        <w:rPr>
          <w:rFonts w:ascii="Verdana" w:hAnsi="Verdana"/>
          <w:sz w:val="20"/>
          <w:szCs w:val="20"/>
          <w:lang w:val="es-GT"/>
        </w:rPr>
        <w:t>no se encuentra inmerso en</w:t>
      </w:r>
      <w:r w:rsidRPr="002964A7">
        <w:rPr>
          <w:rFonts w:ascii="Verdana" w:hAnsi="Verdana" w:cs="Arial"/>
          <w:sz w:val="20"/>
          <w:szCs w:val="20"/>
          <w:lang w:val="es-GT"/>
        </w:rPr>
        <w:t xml:space="preserve"> </w:t>
      </w:r>
      <w:r w:rsidRPr="002964A7">
        <w:rPr>
          <w:rFonts w:ascii="Verdana" w:hAnsi="Verdana"/>
          <w:sz w:val="20"/>
          <w:szCs w:val="20"/>
          <w:lang w:val="es-GT"/>
        </w:rPr>
        <w:t>ninguna investigación ni proceso penal relativo a los hechos que son materia del</w:t>
      </w:r>
      <w:r w:rsidRPr="002964A7">
        <w:rPr>
          <w:rFonts w:ascii="Verdana" w:hAnsi="Verdana" w:cs="Arial"/>
          <w:sz w:val="20"/>
          <w:szCs w:val="20"/>
          <w:lang w:val="es-GT"/>
        </w:rPr>
        <w:t xml:space="preserve"> </w:t>
      </w:r>
      <w:r w:rsidRPr="002964A7">
        <w:rPr>
          <w:rFonts w:ascii="Verdana" w:hAnsi="Verdana"/>
          <w:sz w:val="20"/>
          <w:szCs w:val="20"/>
          <w:lang w:val="es-GT"/>
        </w:rPr>
        <w:t xml:space="preserve">presente caso. </w:t>
      </w:r>
    </w:p>
    <w:p w:rsidR="00106A1E" w:rsidRPr="00F133C9" w:rsidRDefault="00106A1E" w:rsidP="00106A1E">
      <w:pPr>
        <w:spacing w:after="0" w:line="240" w:lineRule="auto"/>
        <w:contextualSpacing/>
        <w:jc w:val="both"/>
        <w:rPr>
          <w:rFonts w:ascii="Verdana" w:eastAsia="Calibri" w:hAnsi="Verdana"/>
          <w:b/>
          <w:bCs/>
          <w:sz w:val="20"/>
          <w:szCs w:val="20"/>
          <w:lang w:val="es-ES"/>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t xml:space="preserve">El 6 de diciembre de 2007 se inició el juicio seguido en contra </w:t>
      </w:r>
      <w:r>
        <w:rPr>
          <w:rFonts w:ascii="Verdana" w:hAnsi="Verdana" w:cs="Arial"/>
          <w:sz w:val="20"/>
          <w:szCs w:val="20"/>
          <w:lang w:val="es-GT"/>
        </w:rPr>
        <w:t xml:space="preserve">de </w:t>
      </w:r>
      <w:r w:rsidRPr="002964A7">
        <w:rPr>
          <w:rFonts w:ascii="Verdana" w:hAnsi="Verdana" w:cs="Arial"/>
          <w:sz w:val="20"/>
          <w:szCs w:val="20"/>
          <w:lang w:val="es-GT"/>
        </w:rPr>
        <w:t>Oscar Alberto Carrera Gonzáles (reo en cárcel</w:t>
      </w:r>
      <w:r w:rsidRPr="002964A7">
        <w:rPr>
          <w:rFonts w:ascii="Verdana" w:hAnsi="Verdana"/>
          <w:bCs/>
          <w:sz w:val="20"/>
          <w:szCs w:val="20"/>
          <w:lang w:val="es-GT"/>
        </w:rPr>
        <w:t xml:space="preserve"> respecto de quien se había producido </w:t>
      </w:r>
      <w:r w:rsidRPr="002964A7">
        <w:rPr>
          <w:rFonts w:ascii="Verdana" w:hAnsi="Verdana"/>
          <w:sz w:val="20"/>
          <w:szCs w:val="20"/>
          <w:lang w:val="es-GT"/>
        </w:rPr>
        <w:t>su captura)</w:t>
      </w:r>
      <w:r w:rsidRPr="002964A7">
        <w:rPr>
          <w:rFonts w:ascii="Verdana" w:hAnsi="Verdana" w:cs="Arial"/>
          <w:sz w:val="20"/>
          <w:szCs w:val="20"/>
          <w:lang w:val="es-GT"/>
        </w:rPr>
        <w:t xml:space="preserve"> y Javier Bendezú </w:t>
      </w:r>
      <w:r w:rsidRPr="002964A7">
        <w:rPr>
          <w:rFonts w:ascii="Verdana" w:hAnsi="Verdana"/>
          <w:sz w:val="20"/>
          <w:szCs w:val="20"/>
          <w:lang w:eastAsia="es-CR"/>
        </w:rPr>
        <w:t>Vargas</w:t>
      </w:r>
      <w:r w:rsidRPr="002964A7">
        <w:rPr>
          <w:rFonts w:ascii="Verdana" w:hAnsi="Verdana" w:cs="Arial"/>
          <w:sz w:val="20"/>
          <w:szCs w:val="20"/>
          <w:lang w:val="es-GT"/>
        </w:rPr>
        <w:t xml:space="preserve">, Duilio Chipana Tarqui, Fidel Gino Eusebio Huaytalla y Dennis Wilfredo Pacheco Zambrano (reos ausentes). Concluido </w:t>
      </w:r>
      <w:r w:rsidR="00335E16">
        <w:rPr>
          <w:rFonts w:ascii="Verdana" w:hAnsi="Verdana" w:cs="Arial"/>
          <w:sz w:val="20"/>
          <w:szCs w:val="20"/>
          <w:lang w:val="es-GT"/>
        </w:rPr>
        <w:t>el juicio</w:t>
      </w:r>
      <w:r w:rsidRPr="002964A7">
        <w:rPr>
          <w:rFonts w:ascii="Verdana" w:hAnsi="Verdana" w:cs="Arial"/>
          <w:sz w:val="20"/>
          <w:szCs w:val="20"/>
          <w:lang w:val="es-GT"/>
        </w:rPr>
        <w:t xml:space="preserve">, en lo que se refiere a los hechos atribuidos a </w:t>
      </w:r>
      <w:r w:rsidRPr="002964A7">
        <w:rPr>
          <w:rFonts w:ascii="Verdana" w:hAnsi="Verdana"/>
          <w:sz w:val="20"/>
          <w:szCs w:val="20"/>
          <w:lang w:val="es-GT"/>
        </w:rPr>
        <w:t xml:space="preserve">efectivos militares en perjuicio de </w:t>
      </w:r>
      <w:r w:rsidRPr="002964A7">
        <w:rPr>
          <w:rFonts w:ascii="Verdana" w:hAnsi="Verdana" w:cs="Arial"/>
          <w:sz w:val="20"/>
          <w:szCs w:val="20"/>
          <w:lang w:val="es-GT"/>
        </w:rPr>
        <w:t xml:space="preserve">15 víctimas del presente caso, mediante </w:t>
      </w:r>
      <w:r w:rsidR="004C74EB">
        <w:rPr>
          <w:rFonts w:ascii="Verdana" w:hAnsi="Verdana" w:cs="Arial"/>
          <w:sz w:val="20"/>
          <w:szCs w:val="20"/>
          <w:lang w:val="es-GT"/>
        </w:rPr>
        <w:t>s</w:t>
      </w:r>
      <w:r w:rsidRPr="002964A7">
        <w:rPr>
          <w:rFonts w:ascii="Verdana" w:hAnsi="Verdana" w:cs="Arial"/>
          <w:sz w:val="20"/>
          <w:szCs w:val="20"/>
          <w:lang w:val="es-GT"/>
        </w:rPr>
        <w:t xml:space="preserve">entencia de 4 de marzo de 2008 la Sala Penal Nacional declaró extinguida por prescripción la acción penal seguida en contra de Oscar Alberto Carrera Gonzáles por los delitos de daños, robo y la administración de justicia, </w:t>
      </w:r>
      <w:r>
        <w:rPr>
          <w:rFonts w:ascii="Verdana" w:hAnsi="Verdana" w:cs="Arial"/>
          <w:sz w:val="20"/>
          <w:szCs w:val="20"/>
          <w:lang w:val="es-GT"/>
        </w:rPr>
        <w:t>y</w:t>
      </w:r>
      <w:r w:rsidRPr="002964A7">
        <w:rPr>
          <w:rFonts w:ascii="Verdana" w:hAnsi="Verdana" w:cs="Arial"/>
          <w:sz w:val="20"/>
          <w:szCs w:val="20"/>
          <w:lang w:val="es-GT"/>
        </w:rPr>
        <w:t xml:space="preserve"> lo absolvió del delito de genocidio. Asimismo, se reservó el proceso contra los acusados ausentes Javier Bendezú Vargas, Duilio Chipana Tarqui, Fidel Gino Eusebio Huaytalla y Dennis Wilfredo Pacheco Zambrano, hasta que sean habidos. Además, </w:t>
      </w:r>
      <w:r w:rsidRPr="002964A7">
        <w:rPr>
          <w:rFonts w:ascii="Verdana" w:hAnsi="Verdana"/>
          <w:sz w:val="20"/>
          <w:szCs w:val="20"/>
          <w:lang w:val="es-GT"/>
        </w:rPr>
        <w:t xml:space="preserve">dispuso que se remitieran copias certificadas del expediente a la </w:t>
      </w:r>
      <w:r w:rsidRPr="002964A7">
        <w:rPr>
          <w:rFonts w:ascii="Verdana" w:hAnsi="Verdana" w:cs="Arial"/>
          <w:sz w:val="20"/>
          <w:szCs w:val="20"/>
          <w:lang w:val="es-GT"/>
        </w:rPr>
        <w:t>Fiscalía Provincial de Huancavelica</w:t>
      </w:r>
      <w:r>
        <w:rPr>
          <w:rFonts w:ascii="Verdana" w:hAnsi="Verdana" w:cs="Arial"/>
          <w:sz w:val="20"/>
          <w:szCs w:val="20"/>
          <w:lang w:val="es-GT"/>
        </w:rPr>
        <w:t>,</w:t>
      </w:r>
      <w:r w:rsidRPr="002964A7">
        <w:rPr>
          <w:rFonts w:ascii="Verdana" w:hAnsi="Verdana" w:cs="Arial"/>
          <w:sz w:val="20"/>
          <w:szCs w:val="20"/>
          <w:lang w:val="es-GT"/>
        </w:rPr>
        <w:t xml:space="preserve"> a fin de iniciar investigación penal contra Simón Fidel</w:t>
      </w:r>
      <w:r w:rsidRPr="002964A7">
        <w:rPr>
          <w:rFonts w:ascii="Verdana" w:hAnsi="Verdana"/>
          <w:sz w:val="20"/>
          <w:szCs w:val="20"/>
          <w:lang w:val="es-GT"/>
        </w:rPr>
        <w:t xml:space="preserve"> </w:t>
      </w:r>
      <w:r w:rsidRPr="002964A7">
        <w:rPr>
          <w:rFonts w:ascii="Verdana" w:hAnsi="Verdana" w:cs="Arial"/>
          <w:sz w:val="20"/>
          <w:szCs w:val="20"/>
          <w:lang w:val="es-GT"/>
        </w:rPr>
        <w:t>Breña Palante por la presunta comisión del delito de genocidio por los hechos del presente caso</w:t>
      </w:r>
      <w:r w:rsidRPr="002964A7">
        <w:rPr>
          <w:rFonts w:ascii="Verdana" w:eastAsia="Times New Roman" w:hAnsi="Verdana" w:cs="Arial"/>
          <w:sz w:val="20"/>
          <w:szCs w:val="20"/>
          <w:vertAlign w:val="superscript"/>
          <w:lang w:val="en-US"/>
        </w:rPr>
        <w:footnoteReference w:id="136"/>
      </w:r>
      <w:r w:rsidRPr="002964A7">
        <w:rPr>
          <w:rFonts w:ascii="Verdana" w:hAnsi="Verdana" w:cs="Arial"/>
          <w:sz w:val="20"/>
          <w:szCs w:val="20"/>
          <w:lang w:val="es-GT"/>
        </w:rPr>
        <w:t>.</w:t>
      </w:r>
    </w:p>
    <w:p w:rsidR="00106A1E" w:rsidRPr="002964A7" w:rsidRDefault="00106A1E" w:rsidP="00106A1E">
      <w:pPr>
        <w:autoSpaceDE w:val="0"/>
        <w:autoSpaceDN w:val="0"/>
        <w:adjustRightInd w:val="0"/>
        <w:spacing w:after="0" w:line="240" w:lineRule="auto"/>
        <w:contextualSpacing/>
        <w:jc w:val="both"/>
        <w:rPr>
          <w:rFonts w:ascii="Verdana" w:eastAsia="Calibri" w:hAnsi="Verdana"/>
          <w:b/>
          <w:bCs/>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t xml:space="preserve">La Fiscalía Superior y la parte civil interpusieron recurso de nulidad en contra de dicha </w:t>
      </w:r>
      <w:r w:rsidR="004C74EB">
        <w:rPr>
          <w:rFonts w:ascii="Verdana" w:hAnsi="Verdana" w:cs="Arial"/>
          <w:sz w:val="20"/>
          <w:szCs w:val="20"/>
          <w:lang w:val="es-GT"/>
        </w:rPr>
        <w:t>s</w:t>
      </w:r>
      <w:r w:rsidRPr="002964A7">
        <w:rPr>
          <w:rFonts w:ascii="Verdana" w:hAnsi="Verdana" w:cs="Arial"/>
          <w:sz w:val="20"/>
          <w:szCs w:val="20"/>
          <w:lang w:val="es-GT"/>
        </w:rPr>
        <w:t>entencia</w:t>
      </w:r>
      <w:r w:rsidRPr="002964A7">
        <w:rPr>
          <w:rFonts w:ascii="Verdana" w:eastAsia="Times New Roman" w:hAnsi="Verdana" w:cs="Arial"/>
          <w:sz w:val="20"/>
          <w:szCs w:val="20"/>
          <w:vertAlign w:val="superscript"/>
          <w:lang w:val="en-US"/>
        </w:rPr>
        <w:footnoteReference w:id="137"/>
      </w:r>
      <w:r w:rsidRPr="002964A7">
        <w:rPr>
          <w:rFonts w:ascii="Verdana" w:hAnsi="Verdana" w:cs="Arial"/>
          <w:sz w:val="20"/>
          <w:szCs w:val="20"/>
          <w:lang w:val="es-GT"/>
        </w:rPr>
        <w:t xml:space="preserve">. El 15 de abril de 2009 la </w:t>
      </w:r>
      <w:r w:rsidRPr="002964A7">
        <w:rPr>
          <w:rFonts w:ascii="Verdana" w:hAnsi="Verdana"/>
          <w:sz w:val="20"/>
          <w:szCs w:val="20"/>
          <w:lang w:val="es-GT"/>
        </w:rPr>
        <w:t xml:space="preserve">Sala Penal Transitoria de la Corte Suprema de Justicia del Perú emitió Ejecutoria Suprema, mediante la cual </w:t>
      </w:r>
      <w:r w:rsidRPr="002964A7">
        <w:rPr>
          <w:rFonts w:ascii="Verdana" w:hAnsi="Verdana" w:cs="Arial"/>
          <w:sz w:val="20"/>
          <w:szCs w:val="20"/>
          <w:lang w:val="es-GT"/>
        </w:rPr>
        <w:t xml:space="preserve">declaró, conforme a la opinión de la Fiscalía, no haber nulidad en la </w:t>
      </w:r>
      <w:r w:rsidR="004C74EB">
        <w:rPr>
          <w:rFonts w:ascii="Verdana" w:hAnsi="Verdana" w:cs="Arial"/>
          <w:sz w:val="20"/>
          <w:szCs w:val="20"/>
          <w:lang w:val="es-GT"/>
        </w:rPr>
        <w:t>s</w:t>
      </w:r>
      <w:r w:rsidRPr="002964A7">
        <w:rPr>
          <w:rFonts w:ascii="Verdana" w:hAnsi="Verdana" w:cs="Arial"/>
          <w:sz w:val="20"/>
          <w:szCs w:val="20"/>
          <w:lang w:val="es-GT"/>
        </w:rPr>
        <w:t xml:space="preserve">entencia de 4 de marzo de 2008 en los extremos que declaró de oficio extinguida por prescripción la acción penal a favor de Oscar </w:t>
      </w:r>
      <w:r w:rsidRPr="002964A7">
        <w:rPr>
          <w:rFonts w:ascii="Verdana" w:hAnsi="Verdana" w:cs="Arial"/>
          <w:sz w:val="20"/>
          <w:szCs w:val="20"/>
          <w:lang w:val="es-GT"/>
        </w:rPr>
        <w:lastRenderedPageBreak/>
        <w:t xml:space="preserve">Alberto Carrera González por los delitos de robo agravado y daños, y nula en los extremos que lo absuelve del delito de genocidio, disponiendo que se realice en estos extremos un </w:t>
      </w:r>
      <w:r w:rsidRPr="002964A7">
        <w:rPr>
          <w:rFonts w:ascii="Verdana" w:hAnsi="Verdana" w:cs="Arial"/>
          <w:bCs/>
          <w:sz w:val="20"/>
          <w:szCs w:val="20"/>
          <w:lang w:val="es-GT"/>
        </w:rPr>
        <w:t>nuevo juicio</w:t>
      </w:r>
      <w:r w:rsidRPr="002964A7">
        <w:rPr>
          <w:rFonts w:ascii="Verdana" w:eastAsia="Times New Roman" w:hAnsi="Verdana" w:cs="Arial"/>
          <w:bCs/>
          <w:sz w:val="20"/>
          <w:szCs w:val="20"/>
          <w:vertAlign w:val="superscript"/>
          <w:lang w:val="en-US"/>
        </w:rPr>
        <w:footnoteReference w:id="138"/>
      </w:r>
      <w:r w:rsidRPr="002964A7">
        <w:rPr>
          <w:rFonts w:ascii="Verdana" w:hAnsi="Verdana"/>
          <w:sz w:val="20"/>
          <w:szCs w:val="20"/>
          <w:lang w:val="es-GT"/>
        </w:rPr>
        <w:t xml:space="preserve">. En consecuencia, </w:t>
      </w:r>
      <w:r w:rsidRPr="002964A7">
        <w:rPr>
          <w:rFonts w:ascii="Verdana" w:hAnsi="Verdana" w:cs="Arial"/>
          <w:sz w:val="20"/>
          <w:szCs w:val="20"/>
          <w:lang w:val="es-GT"/>
        </w:rPr>
        <w:t>el proceso fue devuelto a la Sala Penal Nacional, la cual el 9 de noviembre de 2009 dispuso que:</w:t>
      </w:r>
    </w:p>
    <w:p w:rsidR="00106A1E" w:rsidRPr="00E70F38" w:rsidRDefault="00106A1E" w:rsidP="00106A1E">
      <w:pPr>
        <w:spacing w:after="0" w:line="240" w:lineRule="auto"/>
        <w:jc w:val="both"/>
        <w:rPr>
          <w:rFonts w:ascii="Verdana" w:eastAsia="Calibri" w:hAnsi="Verdana" w:cs="Arial"/>
          <w:sz w:val="16"/>
          <w:szCs w:val="16"/>
          <w:lang w:val="es-GT"/>
        </w:rPr>
      </w:pPr>
    </w:p>
    <w:p w:rsidR="00106A1E" w:rsidRPr="00E70F38" w:rsidRDefault="00106A1E" w:rsidP="00106A1E">
      <w:pPr>
        <w:autoSpaceDE w:val="0"/>
        <w:autoSpaceDN w:val="0"/>
        <w:adjustRightInd w:val="0"/>
        <w:spacing w:after="0" w:line="240" w:lineRule="auto"/>
        <w:ind w:left="360" w:right="360"/>
        <w:jc w:val="both"/>
        <w:rPr>
          <w:rFonts w:ascii="Verdana" w:hAnsi="Verdana" w:cs="Arial"/>
          <w:sz w:val="16"/>
          <w:szCs w:val="16"/>
          <w:lang w:val="es-GT"/>
        </w:rPr>
      </w:pPr>
      <w:r w:rsidRPr="00E70F38">
        <w:rPr>
          <w:rFonts w:ascii="Verdana" w:hAnsi="Verdana" w:cs="Arial"/>
          <w:sz w:val="16"/>
          <w:szCs w:val="16"/>
          <w:lang w:val="es-GT"/>
        </w:rPr>
        <w:t>[E]l acusado ausente Javier Bendezú Vargas registra domicilio en la ciudad de Lima, encontrándose en situación de retiro del Ejército Peruano; el acusado Duilio Chipana Tarqui se encuentra según informe de la Secretaría General del Ministerio de Defensa en actividad en la unidad Esc. Cmdos.; de igual manera el acusado Fidel Gino Eusebio Huaytalla aparece como miembro del Ejército peruano en actividad en la unidad BTN CS.N.77 y Dennis Wilfredo Pacheco registra dirección domiciliaria en Buenos Aires Argentina; por lo que estando a su situación jurídica es del caso disponer lo siguiente: a) Ofíciese a la Dirección Nacional de Migraciones a efectos de que remitan el reporte de movimiento migratorio de los acusados antes mencionados; b) Cursar oficios reiterativos de las órdenes de ubicación y captura de los acusados ausentes a nivel nacional e internacional; c) Solicitar al Ejército Peruano remita información actualizada sobre la unidad en que se encuentran los acusados Chipana Tarqui y Eusebio Huaytalla, haciendo de su conocimiento la condición de reos ausentes en la presente causa</w:t>
      </w:r>
      <w:r w:rsidRPr="00E70F38">
        <w:rPr>
          <w:rFonts w:ascii="Verdana" w:eastAsia="Calibri" w:hAnsi="Verdana" w:cs="Arial"/>
          <w:sz w:val="16"/>
          <w:szCs w:val="16"/>
          <w:vertAlign w:val="superscript"/>
          <w:lang w:val="en-US"/>
        </w:rPr>
        <w:footnoteReference w:id="139"/>
      </w:r>
      <w:r w:rsidRPr="00E70F38">
        <w:rPr>
          <w:rFonts w:ascii="Verdana" w:hAnsi="Verdana" w:cs="Arial"/>
          <w:sz w:val="16"/>
          <w:szCs w:val="16"/>
          <w:lang w:val="es-GT"/>
        </w:rPr>
        <w:t>.</w:t>
      </w:r>
    </w:p>
    <w:p w:rsidR="00106A1E" w:rsidRPr="00E70F38" w:rsidRDefault="00106A1E" w:rsidP="00106A1E">
      <w:pPr>
        <w:autoSpaceDE w:val="0"/>
        <w:autoSpaceDN w:val="0"/>
        <w:adjustRightInd w:val="0"/>
        <w:spacing w:after="0" w:line="240" w:lineRule="auto"/>
        <w:jc w:val="both"/>
        <w:rPr>
          <w:rFonts w:ascii="Verdana" w:hAnsi="Verdana"/>
          <w:sz w:val="16"/>
          <w:szCs w:val="16"/>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Cs/>
          <w:sz w:val="20"/>
          <w:szCs w:val="20"/>
          <w:lang w:val="es-GT"/>
        </w:rPr>
      </w:pPr>
      <w:r w:rsidRPr="002964A7">
        <w:rPr>
          <w:rFonts w:ascii="Verdana" w:hAnsi="Verdana"/>
          <w:bCs/>
          <w:sz w:val="20"/>
          <w:szCs w:val="20"/>
          <w:lang w:val="es-GT"/>
        </w:rPr>
        <w:t>Asimismo,</w:t>
      </w:r>
      <w:r w:rsidRPr="002964A7">
        <w:rPr>
          <w:rFonts w:ascii="Verdana" w:hAnsi="Verdana" w:cs="Arial"/>
          <w:sz w:val="20"/>
          <w:szCs w:val="20"/>
          <w:lang w:val="es-GT"/>
        </w:rPr>
        <w:t xml:space="preserve"> vencido el plazo máximo de detención del acusado Oscar Alberto Carrera González y una vez que </w:t>
      </w:r>
      <w:r w:rsidR="00335E16">
        <w:rPr>
          <w:rFonts w:ascii="Verdana" w:hAnsi="Verdana" w:cs="Arial"/>
          <w:sz w:val="20"/>
          <w:szCs w:val="20"/>
          <w:lang w:val="es-GT"/>
        </w:rPr>
        <w:t>e</w:t>
      </w:r>
      <w:r w:rsidRPr="002964A7">
        <w:rPr>
          <w:rFonts w:ascii="Verdana" w:hAnsi="Verdana" w:cs="Arial"/>
          <w:sz w:val="20"/>
          <w:szCs w:val="20"/>
          <w:lang w:val="es-GT"/>
        </w:rPr>
        <w:t xml:space="preserve">ste solicitó su “libertad por exceso de carcelaria”, el </w:t>
      </w:r>
      <w:r w:rsidRPr="002964A7">
        <w:rPr>
          <w:rFonts w:ascii="Verdana" w:hAnsi="Verdana"/>
          <w:sz w:val="20"/>
          <w:szCs w:val="20"/>
          <w:lang w:val="es-GT"/>
        </w:rPr>
        <w:t xml:space="preserve">15 de junio de 2010 </w:t>
      </w:r>
      <w:r w:rsidRPr="002964A7">
        <w:rPr>
          <w:rFonts w:ascii="Verdana" w:hAnsi="Verdana" w:cs="Arial"/>
          <w:sz w:val="20"/>
          <w:szCs w:val="20"/>
          <w:lang w:val="es-GT"/>
        </w:rPr>
        <w:t xml:space="preserve">la Sala Penal Nacional varió la medida por comparecencia con restricciones, </w:t>
      </w:r>
      <w:r w:rsidRPr="002964A7">
        <w:rPr>
          <w:rFonts w:ascii="Verdana" w:hAnsi="Verdana"/>
          <w:sz w:val="20"/>
          <w:szCs w:val="20"/>
          <w:lang w:eastAsia="es-CR"/>
        </w:rPr>
        <w:t>efectivizándose</w:t>
      </w:r>
      <w:r w:rsidRPr="002964A7">
        <w:rPr>
          <w:rFonts w:ascii="Verdana" w:hAnsi="Verdana" w:cs="Arial"/>
          <w:sz w:val="20"/>
          <w:szCs w:val="20"/>
          <w:lang w:val="es-GT"/>
        </w:rPr>
        <w:t xml:space="preserve"> a partir del 29 de junio de 2010</w:t>
      </w:r>
      <w:r>
        <w:rPr>
          <w:rFonts w:ascii="Verdana" w:hAnsi="Verdana" w:cs="Arial"/>
          <w:sz w:val="20"/>
          <w:szCs w:val="20"/>
          <w:lang w:val="es-GT"/>
        </w:rPr>
        <w:t>.</w:t>
      </w:r>
      <w:r>
        <w:rPr>
          <w:rFonts w:ascii="Verdana" w:hAnsi="Verdana"/>
          <w:sz w:val="20"/>
          <w:szCs w:val="20"/>
          <w:lang w:val="es-GT"/>
        </w:rPr>
        <w:t xml:space="preserve"> A</w:t>
      </w:r>
      <w:r w:rsidRPr="002964A7">
        <w:rPr>
          <w:rFonts w:ascii="Verdana" w:hAnsi="Verdana"/>
          <w:sz w:val="20"/>
          <w:szCs w:val="20"/>
          <w:lang w:val="es-GT"/>
        </w:rPr>
        <w:t>demás, se dictó orden de impedimento de salida del país a fin de garantizar su presencia en el proceso</w:t>
      </w:r>
      <w:r w:rsidRPr="002964A7">
        <w:rPr>
          <w:rFonts w:ascii="Verdana" w:hAnsi="Verdana"/>
          <w:sz w:val="20"/>
          <w:szCs w:val="20"/>
          <w:vertAlign w:val="superscript"/>
          <w:lang w:val="en-US"/>
        </w:rPr>
        <w:footnoteReference w:id="140"/>
      </w:r>
      <w:r w:rsidRPr="002964A7">
        <w:rPr>
          <w:rFonts w:ascii="Verdana" w:hAnsi="Verdana"/>
          <w:sz w:val="20"/>
          <w:szCs w:val="20"/>
          <w:lang w:val="es-GT"/>
        </w:rPr>
        <w:t>.</w:t>
      </w:r>
    </w:p>
    <w:p w:rsidR="00106A1E" w:rsidRPr="002964A7" w:rsidRDefault="00106A1E" w:rsidP="00106A1E">
      <w:pPr>
        <w:spacing w:after="0" w:line="240" w:lineRule="auto"/>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t xml:space="preserve">En julio de 2010 dio inicio el juicio oral en contra del acusado y reo libre Oscar Alberto Carrera Gonzáles, quien tenía como medida coercitiva personal la comparecencia </w:t>
      </w:r>
      <w:r w:rsidRPr="002964A7">
        <w:rPr>
          <w:rFonts w:ascii="Verdana" w:hAnsi="Verdana"/>
          <w:sz w:val="20"/>
          <w:szCs w:val="20"/>
          <w:lang w:eastAsia="es-CR"/>
        </w:rPr>
        <w:t>restringida</w:t>
      </w:r>
      <w:r w:rsidRPr="002964A7">
        <w:rPr>
          <w:rFonts w:ascii="Verdana" w:hAnsi="Verdana" w:cs="Arial"/>
          <w:sz w:val="20"/>
          <w:szCs w:val="20"/>
          <w:lang w:val="es-GT"/>
        </w:rPr>
        <w:t xml:space="preserve"> bajo el cumplimiento de reglas de conducta. El resto de los acusados, Javier Bendezú Vargas, Duilio Chipana Tarqui, Fidel Gino Eusebio Huaytalla y Dennis Wilfredo Pacheco Zambrano, tenían la calidad de reos ausentes sin que a esa fecha se hubiera producido su captura</w:t>
      </w:r>
      <w:r w:rsidRPr="002964A7">
        <w:rPr>
          <w:rFonts w:ascii="Verdana" w:hAnsi="Verdana" w:cs="Arial"/>
          <w:sz w:val="20"/>
          <w:szCs w:val="20"/>
          <w:vertAlign w:val="superscript"/>
          <w:lang w:val="en-US"/>
        </w:rPr>
        <w:footnoteReference w:id="141"/>
      </w:r>
      <w:r w:rsidRPr="002964A7">
        <w:rPr>
          <w:rFonts w:ascii="Verdana" w:hAnsi="Verdana" w:cs="Arial"/>
          <w:sz w:val="20"/>
          <w:szCs w:val="20"/>
          <w:lang w:val="es-GT"/>
        </w:rPr>
        <w:t>. Durante los meses de julio de 2010 a noviembre de 2011 se recibieron las declaraciones del acusado, testigos y peritos, así como se recibió prueba documental que fue debatida en audiencia. Además, se incorporó al debate del proceso, entre otros: a) el Informe Final de la CVR, anexo en el expediente acumulado No. 808-2002, sobre la Masacre de Campesinos de Santa Bárbara; b) las denuncias de los comuneros de Santa Bárbara en julio de 1991 obrante</w:t>
      </w:r>
      <w:r>
        <w:rPr>
          <w:rFonts w:ascii="Verdana" w:hAnsi="Verdana" w:cs="Arial"/>
          <w:sz w:val="20"/>
          <w:szCs w:val="20"/>
          <w:lang w:val="es-GT"/>
        </w:rPr>
        <w:t>s</w:t>
      </w:r>
      <w:r w:rsidRPr="002964A7">
        <w:rPr>
          <w:rFonts w:ascii="Verdana" w:hAnsi="Verdana" w:cs="Arial"/>
          <w:sz w:val="20"/>
          <w:szCs w:val="20"/>
          <w:lang w:val="es-GT"/>
        </w:rPr>
        <w:t xml:space="preserve"> en el expediente principal; c) las declaraciones testimoniales obrantes en el expediente principal; d) el Acta de levantamiento de restos y objetos de la mina “Vallarón” de 18 de julio de 1991 y el Acta de identificación anátomo-patológica preliminar de 19 de julio de 1991; e) el Informe Pericial de Arqueología Forense de 16 y 18 de noviembre de 2009, el Informe Pericial de 25 de enero de 2010, el Acta de la diligencia de recuperación de restos humanos del 1 al 8 de marzo de 2010 y el Informe Pericial de 18 y 19 de abril de 2010; f) declaraciones instructivas y testimoniales del Expediente del Fuero Militar; g) el Acta de Hallazgos y recojo de explosivos de 4 de julio de 1991, Expediente del Fuero Militar; h) el Esquema del Plan Apolonia, Expediente del Fuero Militar; i) el “Manual de Guerra No Convencional”, “Parte informativo enviado a la BSC Lircay, por Escorpio” y “Manual de Guerra No Convencional Contra Subversión”, y j) Piezas del Expediente Militar y Sentencias emitidas en el proceso del Fuero Militar</w:t>
      </w:r>
      <w:r w:rsidRPr="002964A7">
        <w:rPr>
          <w:rFonts w:ascii="Verdana" w:hAnsi="Verdana" w:cs="Arial"/>
          <w:sz w:val="20"/>
          <w:szCs w:val="20"/>
          <w:vertAlign w:val="superscript"/>
          <w:lang w:val="en-US"/>
        </w:rPr>
        <w:footnoteReference w:id="142"/>
      </w:r>
      <w:r w:rsidRPr="002964A7">
        <w:rPr>
          <w:rFonts w:ascii="Verdana" w:hAnsi="Verdana" w:cs="Arial"/>
          <w:sz w:val="20"/>
          <w:szCs w:val="20"/>
          <w:lang w:val="es-GT"/>
        </w:rPr>
        <w:t xml:space="preserve">. </w:t>
      </w:r>
    </w:p>
    <w:p w:rsidR="00106A1E" w:rsidRPr="002964A7" w:rsidRDefault="00106A1E" w:rsidP="00106A1E">
      <w:pPr>
        <w:spacing w:after="0" w:line="240" w:lineRule="auto"/>
        <w:contextualSpacing/>
        <w:jc w:val="both"/>
        <w:rPr>
          <w:rFonts w:ascii="Verdana" w:eastAsia="Calibri" w:hAnsi="Verdana"/>
          <w:b/>
          <w:bCs/>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lastRenderedPageBreak/>
        <w:t>El 28 de enero de 2011 el representante del Ministerio Público solicitó la</w:t>
      </w:r>
      <w:r w:rsidRPr="002964A7">
        <w:rPr>
          <w:rFonts w:ascii="Verdana" w:hAnsi="Verdana"/>
          <w:sz w:val="20"/>
          <w:szCs w:val="20"/>
          <w:lang w:val="es-GT"/>
        </w:rPr>
        <w:t xml:space="preserve"> </w:t>
      </w:r>
      <w:r w:rsidRPr="002964A7">
        <w:rPr>
          <w:rFonts w:ascii="Verdana" w:hAnsi="Verdana" w:cs="Arial"/>
          <w:sz w:val="20"/>
          <w:szCs w:val="20"/>
          <w:lang w:val="es-GT"/>
        </w:rPr>
        <w:t>desvinculación de la acusación escrita respecto al delito de genocidio para que se</w:t>
      </w:r>
      <w:r w:rsidRPr="002964A7">
        <w:rPr>
          <w:rFonts w:ascii="Verdana" w:hAnsi="Verdana"/>
          <w:sz w:val="20"/>
          <w:szCs w:val="20"/>
          <w:lang w:val="es-GT"/>
        </w:rPr>
        <w:t xml:space="preserve"> </w:t>
      </w:r>
      <w:r w:rsidRPr="002964A7">
        <w:rPr>
          <w:rFonts w:ascii="Verdana" w:hAnsi="Verdana" w:cs="Arial"/>
          <w:sz w:val="20"/>
          <w:szCs w:val="20"/>
          <w:lang w:val="es-GT"/>
        </w:rPr>
        <w:t>estableciera una nueva calificación legal del mismo, el delito de homicidio calificado con las</w:t>
      </w:r>
      <w:r w:rsidRPr="002964A7">
        <w:rPr>
          <w:rFonts w:ascii="Verdana" w:hAnsi="Verdana"/>
          <w:sz w:val="20"/>
          <w:szCs w:val="20"/>
          <w:lang w:val="es-GT"/>
        </w:rPr>
        <w:t xml:space="preserve"> </w:t>
      </w:r>
      <w:r w:rsidRPr="002964A7">
        <w:rPr>
          <w:rFonts w:ascii="Verdana" w:hAnsi="Verdana"/>
          <w:sz w:val="20"/>
          <w:szCs w:val="20"/>
          <w:lang w:eastAsia="es-CR"/>
        </w:rPr>
        <w:t>agravantes</w:t>
      </w:r>
      <w:r w:rsidRPr="002964A7">
        <w:rPr>
          <w:rFonts w:ascii="Verdana" w:hAnsi="Verdana" w:cs="Arial"/>
          <w:sz w:val="20"/>
          <w:szCs w:val="20"/>
          <w:lang w:val="es-GT"/>
        </w:rPr>
        <w:t xml:space="preserve"> de ferocidad y gran crueldad con referencia a la muerte de los quince pobladores de Rodeopampa</w:t>
      </w:r>
      <w:r w:rsidRPr="002964A7">
        <w:rPr>
          <w:rFonts w:ascii="Verdana" w:hAnsi="Verdana" w:cs="Arial"/>
          <w:sz w:val="20"/>
          <w:szCs w:val="20"/>
          <w:vertAlign w:val="superscript"/>
          <w:lang w:val="en-US"/>
        </w:rPr>
        <w:footnoteReference w:id="143"/>
      </w:r>
      <w:r w:rsidRPr="002964A7">
        <w:rPr>
          <w:rFonts w:ascii="Verdana" w:hAnsi="Verdana" w:cs="Arial"/>
          <w:sz w:val="20"/>
          <w:szCs w:val="20"/>
          <w:lang w:val="es-GT"/>
        </w:rPr>
        <w:t>.</w:t>
      </w:r>
    </w:p>
    <w:p w:rsidR="00106A1E" w:rsidRPr="002964A7" w:rsidRDefault="00106A1E" w:rsidP="00106A1E">
      <w:pPr>
        <w:spacing w:after="0" w:line="240" w:lineRule="auto"/>
        <w:jc w:val="both"/>
        <w:rPr>
          <w:rFonts w:ascii="Verdana" w:eastAsia="Calibri" w:hAnsi="Verdana"/>
          <w:b/>
          <w:bCs/>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sz w:val="20"/>
          <w:szCs w:val="20"/>
          <w:lang w:val="es-GT"/>
        </w:rPr>
        <w:t xml:space="preserve">Mediante </w:t>
      </w:r>
      <w:r w:rsidR="004C74EB">
        <w:rPr>
          <w:rFonts w:ascii="Verdana" w:hAnsi="Verdana"/>
          <w:sz w:val="20"/>
          <w:szCs w:val="20"/>
          <w:lang w:val="es-GT"/>
        </w:rPr>
        <w:t>s</w:t>
      </w:r>
      <w:r w:rsidRPr="002964A7">
        <w:rPr>
          <w:rFonts w:ascii="Verdana" w:hAnsi="Verdana"/>
          <w:sz w:val="20"/>
          <w:szCs w:val="20"/>
          <w:lang w:val="es-GT"/>
        </w:rPr>
        <w:t>entencia de</w:t>
      </w:r>
      <w:r w:rsidRPr="002964A7">
        <w:rPr>
          <w:rFonts w:ascii="Verdana" w:hAnsi="Verdana" w:cs="Arial"/>
          <w:sz w:val="20"/>
          <w:szCs w:val="20"/>
          <w:lang w:val="es-GT"/>
        </w:rPr>
        <w:t xml:space="preserve"> 9 de febrero de 2012 la Sala Penal Nacional de la Corte Superior de Justica de Lima</w:t>
      </w:r>
      <w:r w:rsidRPr="002964A7">
        <w:rPr>
          <w:rFonts w:ascii="Verdana" w:hAnsi="Verdana"/>
          <w:sz w:val="20"/>
          <w:szCs w:val="20"/>
          <w:lang w:val="es-GT"/>
        </w:rPr>
        <w:t xml:space="preserve"> </w:t>
      </w:r>
      <w:r w:rsidRPr="002964A7">
        <w:rPr>
          <w:rFonts w:ascii="Verdana" w:hAnsi="Verdana"/>
          <w:bCs/>
          <w:sz w:val="20"/>
          <w:szCs w:val="20"/>
          <w:lang w:val="es-GT"/>
        </w:rPr>
        <w:t xml:space="preserve">calificó </w:t>
      </w:r>
      <w:r w:rsidRPr="002964A7">
        <w:rPr>
          <w:rFonts w:ascii="Verdana" w:hAnsi="Verdana"/>
          <w:sz w:val="20"/>
          <w:szCs w:val="20"/>
          <w:lang w:val="es-GT"/>
        </w:rPr>
        <w:t xml:space="preserve">los hechos ocurridos </w:t>
      </w:r>
      <w:r w:rsidRPr="002964A7">
        <w:rPr>
          <w:rFonts w:ascii="Verdana" w:hAnsi="Verdana"/>
          <w:iCs/>
          <w:sz w:val="20"/>
          <w:szCs w:val="20"/>
          <w:lang w:val="es-GT"/>
        </w:rPr>
        <w:t xml:space="preserve">en la comunidad campesina de Santa </w:t>
      </w:r>
      <w:r w:rsidRPr="002964A7">
        <w:rPr>
          <w:rFonts w:ascii="Verdana" w:hAnsi="Verdana"/>
          <w:sz w:val="20"/>
          <w:szCs w:val="20"/>
          <w:lang w:eastAsia="es-CR"/>
        </w:rPr>
        <w:t>Bárbara</w:t>
      </w:r>
      <w:r w:rsidRPr="002964A7">
        <w:rPr>
          <w:rFonts w:ascii="Verdana" w:hAnsi="Verdana" w:cs="Arial"/>
          <w:sz w:val="20"/>
          <w:szCs w:val="20"/>
          <w:lang w:val="es-GT"/>
        </w:rPr>
        <w:t xml:space="preserve"> el 4 de julio de 1991</w:t>
      </w:r>
      <w:r w:rsidRPr="002964A7">
        <w:rPr>
          <w:rFonts w:ascii="Verdana" w:hAnsi="Verdana"/>
          <w:sz w:val="20"/>
          <w:szCs w:val="20"/>
          <w:lang w:val="es-GT"/>
        </w:rPr>
        <w:t xml:space="preserve"> como delito de lesa humanidad y, consecuentemente, su acción penal imprescriptible. En dicha </w:t>
      </w:r>
      <w:r w:rsidR="004C74EB">
        <w:rPr>
          <w:rFonts w:ascii="Verdana" w:hAnsi="Verdana"/>
          <w:sz w:val="20"/>
          <w:szCs w:val="20"/>
          <w:lang w:val="es-GT"/>
        </w:rPr>
        <w:t>s</w:t>
      </w:r>
      <w:r w:rsidRPr="002964A7">
        <w:rPr>
          <w:rFonts w:ascii="Verdana" w:hAnsi="Verdana"/>
          <w:sz w:val="20"/>
          <w:szCs w:val="20"/>
          <w:lang w:val="es-GT"/>
        </w:rPr>
        <w:t>entencia se</w:t>
      </w:r>
      <w:r w:rsidRPr="002964A7">
        <w:rPr>
          <w:rFonts w:ascii="Verdana" w:hAnsi="Verdana" w:cs="Arial"/>
          <w:sz w:val="20"/>
          <w:szCs w:val="20"/>
          <w:lang w:val="es-GT"/>
        </w:rPr>
        <w:t xml:space="preserve"> condenó a Oscar</w:t>
      </w:r>
      <w:r w:rsidRPr="002964A7">
        <w:rPr>
          <w:rFonts w:ascii="Verdana" w:hAnsi="Verdana"/>
          <w:sz w:val="20"/>
          <w:szCs w:val="20"/>
          <w:lang w:val="es-GT"/>
        </w:rPr>
        <w:t xml:space="preserve"> </w:t>
      </w:r>
      <w:r w:rsidRPr="002964A7">
        <w:rPr>
          <w:rFonts w:ascii="Verdana" w:hAnsi="Verdana" w:cs="Arial"/>
          <w:sz w:val="20"/>
          <w:szCs w:val="20"/>
          <w:lang w:val="es-GT"/>
        </w:rPr>
        <w:t>Alberto Carrera Gonz</w:t>
      </w:r>
      <w:r w:rsidR="00C93DD3">
        <w:rPr>
          <w:rFonts w:ascii="Verdana" w:hAnsi="Verdana" w:cs="Arial"/>
          <w:sz w:val="20"/>
          <w:szCs w:val="20"/>
          <w:lang w:val="es-GT"/>
        </w:rPr>
        <w:t>á</w:t>
      </w:r>
      <w:r w:rsidRPr="002964A7">
        <w:rPr>
          <w:rFonts w:ascii="Verdana" w:hAnsi="Verdana" w:cs="Arial"/>
          <w:sz w:val="20"/>
          <w:szCs w:val="20"/>
          <w:lang w:val="es-GT"/>
        </w:rPr>
        <w:t>les como cómplice secundario</w:t>
      </w:r>
      <w:r w:rsidRPr="002964A7">
        <w:rPr>
          <w:rFonts w:ascii="Verdana" w:hAnsi="Verdana"/>
          <w:bCs/>
          <w:sz w:val="20"/>
          <w:szCs w:val="20"/>
          <w:lang w:val="es-GT"/>
        </w:rPr>
        <w:t xml:space="preserve"> </w:t>
      </w:r>
      <w:r w:rsidRPr="002964A7">
        <w:rPr>
          <w:rFonts w:ascii="Verdana" w:hAnsi="Verdana" w:cs="Arial"/>
          <w:sz w:val="20"/>
          <w:szCs w:val="20"/>
          <w:lang w:val="es-GT"/>
        </w:rPr>
        <w:t xml:space="preserve">del delito de homicidio calificado por ferocidad y alevosía a </w:t>
      </w:r>
      <w:r w:rsidRPr="002964A7">
        <w:rPr>
          <w:rFonts w:ascii="Verdana" w:hAnsi="Verdana"/>
          <w:sz w:val="20"/>
          <w:szCs w:val="20"/>
          <w:lang w:val="es-GT"/>
        </w:rPr>
        <w:t xml:space="preserve">9 </w:t>
      </w:r>
      <w:r w:rsidRPr="002964A7">
        <w:rPr>
          <w:rFonts w:ascii="Verdana" w:hAnsi="Verdana" w:cs="Arial"/>
          <w:sz w:val="20"/>
          <w:szCs w:val="20"/>
          <w:lang w:val="es-GT"/>
        </w:rPr>
        <w:t>años de pena privativa de libertad y a pagar la cantidad de 25,000 nuevos soles por concepto de reparación civil a favor de cada uno de los herederos legales de los agraviados, solidariamente con los responsables del hecho punible. Además, reservó</w:t>
      </w:r>
      <w:r w:rsidRPr="002964A7">
        <w:rPr>
          <w:rFonts w:ascii="Verdana" w:hAnsi="Verdana"/>
          <w:sz w:val="20"/>
          <w:szCs w:val="20"/>
          <w:lang w:val="es-GT"/>
        </w:rPr>
        <w:t xml:space="preserve"> el juzgamiento de los reos ausentes Javier Bendezú Vargas y</w:t>
      </w:r>
      <w:r w:rsidRPr="002964A7">
        <w:rPr>
          <w:rFonts w:ascii="Verdana" w:hAnsi="Verdana" w:cs="Arial"/>
          <w:sz w:val="20"/>
          <w:szCs w:val="20"/>
          <w:lang w:val="es-GT"/>
        </w:rPr>
        <w:t xml:space="preserve"> </w:t>
      </w:r>
      <w:r w:rsidRPr="002964A7">
        <w:rPr>
          <w:rFonts w:ascii="Verdana" w:hAnsi="Verdana"/>
          <w:sz w:val="20"/>
          <w:szCs w:val="20"/>
          <w:lang w:val="es-GT"/>
        </w:rPr>
        <w:t>Dennis Wilfredo Pacheco Zambrano y, en consecuencia, ordenó su inmediata ubicación y captura a nivel nacional e internacional, así como el impedimento de salida del país, oficiándose a la División de</w:t>
      </w:r>
      <w:r w:rsidRPr="002964A7">
        <w:rPr>
          <w:rFonts w:ascii="Verdana" w:hAnsi="Verdana" w:cs="Arial"/>
          <w:sz w:val="20"/>
          <w:szCs w:val="20"/>
          <w:lang w:val="es-GT"/>
        </w:rPr>
        <w:t xml:space="preserve"> </w:t>
      </w:r>
      <w:r w:rsidRPr="002964A7">
        <w:rPr>
          <w:rFonts w:ascii="Verdana" w:hAnsi="Verdana"/>
          <w:sz w:val="20"/>
          <w:szCs w:val="20"/>
          <w:lang w:val="es-GT"/>
        </w:rPr>
        <w:t>Requisitorias de la Policía Nacional y a la Oficina Central Nacional-Lima INTERPOL. Por otro lado</w:t>
      </w:r>
      <w:r w:rsidRPr="002964A7">
        <w:rPr>
          <w:rFonts w:ascii="Verdana" w:hAnsi="Verdana" w:cs="Arial"/>
          <w:sz w:val="20"/>
          <w:szCs w:val="20"/>
          <w:lang w:val="es-GT"/>
        </w:rPr>
        <w:t>, declaró fundada de oficio la prescripción de la</w:t>
      </w:r>
      <w:r w:rsidRPr="002964A7">
        <w:rPr>
          <w:rFonts w:ascii="Verdana" w:hAnsi="Verdana"/>
          <w:sz w:val="20"/>
          <w:szCs w:val="20"/>
          <w:lang w:val="es-GT"/>
        </w:rPr>
        <w:t xml:space="preserve"> </w:t>
      </w:r>
      <w:r w:rsidRPr="002964A7">
        <w:rPr>
          <w:rFonts w:ascii="Verdana" w:hAnsi="Verdana" w:cs="Arial"/>
          <w:sz w:val="20"/>
          <w:szCs w:val="20"/>
          <w:lang w:val="es-GT"/>
        </w:rPr>
        <w:t>acción penal a favor de los acusados por los delitos de robo agravado, daños, contra</w:t>
      </w:r>
      <w:r w:rsidRPr="002964A7">
        <w:rPr>
          <w:rFonts w:ascii="Verdana" w:hAnsi="Verdana"/>
          <w:sz w:val="20"/>
          <w:szCs w:val="20"/>
          <w:lang w:val="es-GT"/>
        </w:rPr>
        <w:t xml:space="preserve"> l</w:t>
      </w:r>
      <w:r w:rsidRPr="002964A7">
        <w:rPr>
          <w:rFonts w:ascii="Verdana" w:hAnsi="Verdana" w:cs="Arial"/>
          <w:sz w:val="20"/>
          <w:szCs w:val="20"/>
          <w:lang w:val="es-GT"/>
        </w:rPr>
        <w:t>a administración de justicia y de abuso de autoridad. Asimismo, absolvió a Duilio Chipana Tarqui y Fidel Eusebio Huaytalla por el</w:t>
      </w:r>
      <w:r w:rsidRPr="002964A7">
        <w:rPr>
          <w:rFonts w:ascii="Verdana" w:hAnsi="Verdana"/>
          <w:sz w:val="20"/>
          <w:szCs w:val="20"/>
          <w:lang w:val="es-GT"/>
        </w:rPr>
        <w:t xml:space="preserve"> </w:t>
      </w:r>
      <w:r w:rsidRPr="002964A7">
        <w:rPr>
          <w:rFonts w:ascii="Verdana" w:hAnsi="Verdana" w:cs="Arial"/>
          <w:sz w:val="20"/>
          <w:szCs w:val="20"/>
          <w:lang w:val="es-GT"/>
        </w:rPr>
        <w:t>delito de homicidio calificado</w:t>
      </w:r>
      <w:r w:rsidRPr="002964A7">
        <w:rPr>
          <w:rFonts w:ascii="Verdana" w:hAnsi="Verdana"/>
          <w:sz w:val="20"/>
          <w:szCs w:val="20"/>
          <w:lang w:val="es-GT"/>
        </w:rPr>
        <w:t xml:space="preserve">. </w:t>
      </w:r>
      <w:r w:rsidRPr="002964A7">
        <w:rPr>
          <w:rFonts w:ascii="Verdana" w:hAnsi="Verdana" w:cs="Arial"/>
          <w:sz w:val="20"/>
          <w:szCs w:val="20"/>
          <w:lang w:val="es-GT"/>
        </w:rPr>
        <w:t>A su vez,</w:t>
      </w:r>
      <w:r w:rsidRPr="002964A7">
        <w:rPr>
          <w:rFonts w:ascii="Verdana" w:hAnsi="Verdana"/>
          <w:bCs/>
          <w:sz w:val="20"/>
          <w:szCs w:val="20"/>
          <w:lang w:val="es-GT"/>
        </w:rPr>
        <w:t xml:space="preserve"> se </w:t>
      </w:r>
      <w:r w:rsidRPr="002964A7">
        <w:rPr>
          <w:rFonts w:ascii="Verdana" w:hAnsi="Verdana" w:cs="Arial"/>
          <w:sz w:val="20"/>
          <w:szCs w:val="20"/>
          <w:lang w:val="es-GT"/>
        </w:rPr>
        <w:t xml:space="preserve">dispuso la remisión de copias certificadas de la causa al Ministerio Público para que se investigue a </w:t>
      </w:r>
      <w:r>
        <w:rPr>
          <w:rFonts w:ascii="Verdana" w:hAnsi="Verdana" w:cs="Arial"/>
          <w:sz w:val="20"/>
          <w:szCs w:val="20"/>
          <w:lang w:val="es-GT"/>
        </w:rPr>
        <w:t>otras cinco personas</w:t>
      </w:r>
      <w:r w:rsidRPr="002964A7">
        <w:rPr>
          <w:rFonts w:ascii="Verdana" w:hAnsi="Verdana"/>
          <w:sz w:val="20"/>
          <w:szCs w:val="20"/>
          <w:vertAlign w:val="superscript"/>
          <w:lang w:val="en-US"/>
        </w:rPr>
        <w:footnoteReference w:id="144"/>
      </w:r>
      <w:r w:rsidRPr="002964A7">
        <w:rPr>
          <w:rFonts w:ascii="Verdana" w:hAnsi="Verdana" w:cs="Arial"/>
          <w:sz w:val="20"/>
          <w:szCs w:val="20"/>
          <w:lang w:val="es-GT"/>
        </w:rPr>
        <w:t>.</w:t>
      </w:r>
    </w:p>
    <w:p w:rsidR="00106A1E" w:rsidRPr="002964A7" w:rsidRDefault="00106A1E" w:rsidP="00106A1E">
      <w:pPr>
        <w:spacing w:after="0" w:line="240" w:lineRule="auto"/>
        <w:contextualSpacing/>
        <w:jc w:val="both"/>
        <w:rPr>
          <w:rFonts w:ascii="Verdana" w:eastAsia="Calibri" w:hAnsi="Verdana"/>
          <w:b/>
          <w:bCs/>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cs="Arial"/>
          <w:sz w:val="20"/>
          <w:szCs w:val="20"/>
          <w:lang w:val="es-GT"/>
        </w:rPr>
        <w:t>En virtud de un recurso de nulidad interpuesto por la defensa del condenado y el Fiscal Superior</w:t>
      </w:r>
      <w:r w:rsidRPr="002964A7">
        <w:rPr>
          <w:rFonts w:ascii="Verdana" w:hAnsi="Verdana"/>
          <w:bCs/>
          <w:sz w:val="20"/>
          <w:szCs w:val="20"/>
          <w:lang w:val="es-GT"/>
        </w:rPr>
        <w:t xml:space="preserve"> </w:t>
      </w:r>
      <w:r w:rsidRPr="002964A7">
        <w:rPr>
          <w:rFonts w:ascii="Verdana" w:hAnsi="Verdana" w:cs="Arial"/>
          <w:sz w:val="20"/>
          <w:szCs w:val="20"/>
          <w:lang w:val="es-GT"/>
        </w:rPr>
        <w:t xml:space="preserve">contra dicha </w:t>
      </w:r>
      <w:r w:rsidR="004C74EB">
        <w:rPr>
          <w:rFonts w:ascii="Verdana" w:hAnsi="Verdana" w:cs="Arial"/>
          <w:sz w:val="20"/>
          <w:szCs w:val="20"/>
          <w:lang w:val="es-GT"/>
        </w:rPr>
        <w:t>s</w:t>
      </w:r>
      <w:r w:rsidRPr="002964A7">
        <w:rPr>
          <w:rFonts w:ascii="Verdana" w:hAnsi="Verdana" w:cs="Arial"/>
          <w:sz w:val="20"/>
          <w:szCs w:val="20"/>
          <w:lang w:val="es-GT"/>
        </w:rPr>
        <w:t xml:space="preserve">entencia, la </w:t>
      </w:r>
      <w:r w:rsidRPr="002964A7">
        <w:rPr>
          <w:rFonts w:ascii="Verdana" w:hAnsi="Verdana"/>
          <w:sz w:val="20"/>
          <w:szCs w:val="20"/>
          <w:lang w:val="es-GT"/>
        </w:rPr>
        <w:t xml:space="preserve">Sala Penal Transitoria de la Corte Suprema de Justicia de la República del Perú emitió Ejecutoria Suprema el 29 de mayo de 2013, mediante la </w:t>
      </w:r>
      <w:r w:rsidRPr="002964A7">
        <w:rPr>
          <w:rFonts w:ascii="Verdana" w:hAnsi="Verdana"/>
          <w:sz w:val="20"/>
          <w:szCs w:val="20"/>
          <w:lang w:eastAsia="es-CR"/>
        </w:rPr>
        <w:t>cual</w:t>
      </w:r>
      <w:r w:rsidRPr="002964A7">
        <w:rPr>
          <w:rFonts w:ascii="Verdana" w:hAnsi="Verdana"/>
          <w:sz w:val="20"/>
          <w:szCs w:val="20"/>
          <w:lang w:val="es-GT"/>
        </w:rPr>
        <w:t xml:space="preserve"> reformó la condena de</w:t>
      </w:r>
      <w:r w:rsidRPr="002964A7">
        <w:rPr>
          <w:rFonts w:ascii="Verdana" w:hAnsi="Verdana"/>
          <w:bCs/>
          <w:sz w:val="20"/>
          <w:szCs w:val="20"/>
          <w:lang w:val="es-GT"/>
        </w:rPr>
        <w:t xml:space="preserve"> </w:t>
      </w:r>
      <w:r w:rsidRPr="002964A7">
        <w:rPr>
          <w:rFonts w:ascii="Verdana" w:hAnsi="Verdana"/>
          <w:sz w:val="20"/>
          <w:szCs w:val="20"/>
          <w:lang w:val="es-GT"/>
        </w:rPr>
        <w:t xml:space="preserve">Oscar Alberto Carrera Gonzales </w:t>
      </w:r>
      <w:r w:rsidRPr="002964A7">
        <w:rPr>
          <w:rFonts w:ascii="Verdana" w:hAnsi="Verdana" w:cs="Arial"/>
          <w:sz w:val="20"/>
          <w:szCs w:val="20"/>
          <w:lang w:val="es-GT"/>
        </w:rPr>
        <w:t xml:space="preserve">en el extremo de considerarlo cómplice secundario por </w:t>
      </w:r>
      <w:r w:rsidRPr="002964A7">
        <w:rPr>
          <w:rFonts w:ascii="Verdana" w:hAnsi="Verdana"/>
          <w:sz w:val="20"/>
          <w:szCs w:val="20"/>
          <w:lang w:val="es-GT"/>
        </w:rPr>
        <w:t xml:space="preserve">cómplice </w:t>
      </w:r>
      <w:r w:rsidRPr="002964A7">
        <w:rPr>
          <w:rFonts w:ascii="Verdana" w:hAnsi="Verdana"/>
          <w:bCs/>
          <w:sz w:val="20"/>
          <w:szCs w:val="20"/>
          <w:lang w:val="es-GT"/>
        </w:rPr>
        <w:t xml:space="preserve">primario del </w:t>
      </w:r>
      <w:r w:rsidRPr="002964A7">
        <w:rPr>
          <w:rFonts w:ascii="Verdana" w:hAnsi="Verdana"/>
          <w:sz w:val="20"/>
          <w:szCs w:val="20"/>
          <w:lang w:val="es-GT"/>
        </w:rPr>
        <w:t xml:space="preserve">delito de homicidio calificado e </w:t>
      </w:r>
      <w:r w:rsidRPr="002964A7">
        <w:rPr>
          <w:rFonts w:ascii="Verdana" w:hAnsi="Verdana" w:cs="Arial"/>
          <w:sz w:val="20"/>
          <w:szCs w:val="20"/>
          <w:lang w:val="es-GT"/>
        </w:rPr>
        <w:t xml:space="preserve">imponiéndole 20 años </w:t>
      </w:r>
      <w:r w:rsidRPr="002964A7">
        <w:rPr>
          <w:rFonts w:ascii="Verdana" w:hAnsi="Verdana"/>
          <w:sz w:val="20"/>
          <w:szCs w:val="20"/>
          <w:lang w:val="es-GT"/>
        </w:rPr>
        <w:t>de pena privativa de libertad, la misma que con el descuento de carcelaria a la que fue sujeto desde el 30 de junio de 2007 hasta el 25 de junio de 2010, vence</w:t>
      </w:r>
      <w:r>
        <w:rPr>
          <w:rFonts w:ascii="Verdana" w:hAnsi="Verdana"/>
          <w:sz w:val="20"/>
          <w:szCs w:val="20"/>
          <w:lang w:val="es-GT"/>
        </w:rPr>
        <w:t>rá</w:t>
      </w:r>
      <w:r w:rsidRPr="002964A7">
        <w:rPr>
          <w:rFonts w:ascii="Verdana" w:hAnsi="Verdana"/>
          <w:sz w:val="20"/>
          <w:szCs w:val="20"/>
          <w:lang w:val="es-GT"/>
        </w:rPr>
        <w:t xml:space="preserve"> el 3 de febrero de 2029</w:t>
      </w:r>
      <w:r w:rsidRPr="002964A7">
        <w:rPr>
          <w:rFonts w:ascii="Verdana" w:hAnsi="Verdana"/>
          <w:sz w:val="20"/>
          <w:szCs w:val="20"/>
          <w:vertAlign w:val="superscript"/>
          <w:lang w:val="en-US"/>
        </w:rPr>
        <w:footnoteReference w:id="145"/>
      </w:r>
      <w:r w:rsidRPr="002964A7">
        <w:rPr>
          <w:rFonts w:ascii="Verdana" w:hAnsi="Verdana"/>
          <w:sz w:val="20"/>
          <w:szCs w:val="20"/>
          <w:lang w:val="es-GT"/>
        </w:rPr>
        <w:t>.</w:t>
      </w:r>
    </w:p>
    <w:p w:rsidR="00106A1E" w:rsidRPr="002964A7" w:rsidRDefault="00106A1E" w:rsidP="00106A1E">
      <w:pPr>
        <w:spacing w:after="0" w:line="240" w:lineRule="auto"/>
        <w:contextualSpacing/>
        <w:jc w:val="both"/>
        <w:rPr>
          <w:rFonts w:ascii="Verdana" w:eastAsia="Calibri" w:hAnsi="Verdana" w:cs="Arial"/>
          <w:sz w:val="20"/>
          <w:szCs w:val="20"/>
          <w:lang w:val="es-GT"/>
        </w:rPr>
      </w:pPr>
    </w:p>
    <w:p w:rsidR="00106A1E" w:rsidRPr="002964A7" w:rsidRDefault="00106A1E" w:rsidP="00106A1E">
      <w:pPr>
        <w:autoSpaceDE w:val="0"/>
        <w:autoSpaceDN w:val="0"/>
        <w:adjustRightInd w:val="0"/>
        <w:spacing w:after="0" w:line="240" w:lineRule="auto"/>
        <w:jc w:val="both"/>
        <w:rPr>
          <w:rFonts w:ascii="Verdana" w:hAnsi="Verdana"/>
          <w:i/>
          <w:sz w:val="20"/>
          <w:szCs w:val="20"/>
          <w:lang w:val="es-GT"/>
        </w:rPr>
      </w:pPr>
      <w:r w:rsidRPr="002964A7">
        <w:rPr>
          <w:rFonts w:ascii="Verdana" w:hAnsi="Verdana"/>
          <w:i/>
          <w:sz w:val="20"/>
          <w:szCs w:val="20"/>
          <w:lang w:val="es-GT"/>
        </w:rPr>
        <w:t xml:space="preserve">E.7. Jurisdicción Ordinaria: </w:t>
      </w:r>
      <w:r w:rsidRPr="002964A7">
        <w:rPr>
          <w:rFonts w:ascii="Verdana" w:eastAsia="Calibri" w:hAnsi="Verdana" w:cs="Arial"/>
          <w:i/>
          <w:sz w:val="20"/>
          <w:szCs w:val="20"/>
          <w:lang w:val="es-GT"/>
        </w:rPr>
        <w:t xml:space="preserve">Cuarto Juzgado Penal Supraprovincial de Lima - </w:t>
      </w:r>
      <w:r w:rsidRPr="002964A7">
        <w:rPr>
          <w:rFonts w:ascii="Verdana" w:hAnsi="Verdana" w:cs="Arial"/>
          <w:i/>
          <w:sz w:val="20"/>
          <w:szCs w:val="20"/>
          <w:lang w:val="es-GT"/>
        </w:rPr>
        <w:t>Expediente Penal N</w:t>
      </w:r>
      <w:r>
        <w:rPr>
          <w:rFonts w:ascii="Verdana" w:hAnsi="Verdana" w:cs="Arial"/>
          <w:i/>
          <w:sz w:val="20"/>
          <w:szCs w:val="20"/>
          <w:lang w:val="es-GT"/>
        </w:rPr>
        <w:t>o.</w:t>
      </w:r>
      <w:r w:rsidRPr="002964A7">
        <w:rPr>
          <w:rFonts w:ascii="Verdana" w:hAnsi="Verdana" w:cs="Arial"/>
          <w:i/>
          <w:sz w:val="20"/>
          <w:szCs w:val="20"/>
          <w:lang w:val="es-GT"/>
        </w:rPr>
        <w:t xml:space="preserve"> 2011-0196-0 (</w:t>
      </w:r>
      <w:r w:rsidRPr="002964A7">
        <w:rPr>
          <w:rFonts w:ascii="Verdana" w:eastAsia="Calibri" w:hAnsi="Verdana"/>
          <w:bCs/>
          <w:i/>
          <w:sz w:val="20"/>
          <w:szCs w:val="20"/>
          <w:lang w:val="es-GT"/>
        </w:rPr>
        <w:t>Proceso judicial contra Simón Fidel Breña Palante)</w:t>
      </w:r>
    </w:p>
    <w:p w:rsidR="00106A1E" w:rsidRPr="002964A7" w:rsidRDefault="00106A1E" w:rsidP="00106A1E">
      <w:pPr>
        <w:autoSpaceDE w:val="0"/>
        <w:autoSpaceDN w:val="0"/>
        <w:adjustRightInd w:val="0"/>
        <w:spacing w:after="0" w:line="240" w:lineRule="auto"/>
        <w:jc w:val="both"/>
        <w:rPr>
          <w:rFonts w:ascii="Verdana" w:eastAsia="Calibri" w:hAnsi="Verdana"/>
          <w:b/>
          <w:bCs/>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El 16 de febrero de 2011 la Fiscalía Provincial Penal de Huancavelica del Ministerio Público formalizó denuncia penal en contra de </w:t>
      </w:r>
      <w:r w:rsidRPr="002964A7">
        <w:rPr>
          <w:rFonts w:ascii="Verdana" w:hAnsi="Verdana"/>
          <w:bCs/>
          <w:sz w:val="20"/>
          <w:szCs w:val="20"/>
          <w:lang w:val="es-GT"/>
        </w:rPr>
        <w:t>Simón Fidel Breña Palante por la comisión del delito contra la humanidad en la modalidad genocidio</w:t>
      </w:r>
      <w:r w:rsidRPr="002964A7">
        <w:rPr>
          <w:rFonts w:ascii="Verdana" w:hAnsi="Verdana"/>
          <w:bCs/>
          <w:sz w:val="20"/>
          <w:szCs w:val="20"/>
          <w:vertAlign w:val="superscript"/>
          <w:lang w:val="en-US"/>
        </w:rPr>
        <w:footnoteReference w:id="146"/>
      </w:r>
      <w:r w:rsidRPr="002964A7">
        <w:rPr>
          <w:rFonts w:ascii="Verdana" w:hAnsi="Verdana"/>
          <w:bCs/>
          <w:sz w:val="20"/>
          <w:szCs w:val="20"/>
          <w:lang w:val="es-GT"/>
        </w:rPr>
        <w:t xml:space="preserve">. </w:t>
      </w:r>
      <w:r w:rsidRPr="002964A7">
        <w:rPr>
          <w:rFonts w:ascii="Verdana" w:hAnsi="Verdana" w:cs="Arial"/>
          <w:sz w:val="20"/>
          <w:szCs w:val="20"/>
          <w:lang w:val="es-GT"/>
        </w:rPr>
        <w:t>El 1 de agosto de 2011 el Cuarto Juzgado Penal Supraprovincial de Lima abrió instrucción contra Simón Fidel</w:t>
      </w:r>
      <w:r w:rsidRPr="002964A7">
        <w:rPr>
          <w:rFonts w:ascii="Verdana" w:hAnsi="Verdana"/>
          <w:sz w:val="20"/>
          <w:szCs w:val="20"/>
          <w:lang w:val="es-GT"/>
        </w:rPr>
        <w:t xml:space="preserve"> </w:t>
      </w:r>
      <w:r w:rsidRPr="002964A7">
        <w:rPr>
          <w:rFonts w:ascii="Verdana" w:hAnsi="Verdana"/>
          <w:sz w:val="20"/>
          <w:szCs w:val="20"/>
          <w:lang w:eastAsia="es-CR"/>
        </w:rPr>
        <w:t>Breña</w:t>
      </w:r>
      <w:r w:rsidRPr="002964A7">
        <w:rPr>
          <w:rFonts w:ascii="Verdana" w:hAnsi="Verdana" w:cs="Arial"/>
          <w:sz w:val="20"/>
          <w:szCs w:val="20"/>
          <w:lang w:val="es-GT"/>
        </w:rPr>
        <w:t xml:space="preserve"> Palante por la presunta comisión del delito de genocidio por los hechos del presente caso. Posteriormente, el Ministerio Público en su dictamen acusatorio adecuó la calificación jurídica del auto de procesamiento para efectos de considerársele por la comisión del delito de homicidio calificado con las agravantes de ferocidad con gran crueldad, en un contexto de lesa humanidad</w:t>
      </w:r>
      <w:r w:rsidRPr="002964A7">
        <w:rPr>
          <w:rFonts w:ascii="Verdana" w:eastAsia="Times New Roman" w:hAnsi="Verdana" w:cs="Arial"/>
          <w:sz w:val="20"/>
          <w:szCs w:val="20"/>
          <w:vertAlign w:val="superscript"/>
          <w:lang w:val="en-US"/>
        </w:rPr>
        <w:footnoteReference w:id="147"/>
      </w:r>
      <w:r w:rsidRPr="002964A7">
        <w:rPr>
          <w:rFonts w:ascii="Verdana" w:hAnsi="Verdana" w:cs="Arial"/>
          <w:sz w:val="20"/>
          <w:szCs w:val="20"/>
          <w:lang w:val="es-GT"/>
        </w:rPr>
        <w:t xml:space="preserve">. El 27 de octubre del 2011 </w:t>
      </w:r>
      <w:r w:rsidRPr="002964A7">
        <w:rPr>
          <w:rFonts w:ascii="Verdana" w:hAnsi="Verdana"/>
          <w:bCs/>
          <w:sz w:val="20"/>
          <w:szCs w:val="20"/>
          <w:lang w:val="es-GT"/>
        </w:rPr>
        <w:t>Simón Fidel Breña Palante</w:t>
      </w:r>
      <w:r w:rsidRPr="002964A7">
        <w:rPr>
          <w:rFonts w:ascii="Verdana" w:hAnsi="Verdana" w:cs="Arial"/>
          <w:sz w:val="20"/>
          <w:szCs w:val="20"/>
          <w:lang w:val="es-GT"/>
        </w:rPr>
        <w:t xml:space="preserve"> fue puesto a </w:t>
      </w:r>
      <w:r w:rsidRPr="002964A7">
        <w:rPr>
          <w:rFonts w:ascii="Verdana" w:hAnsi="Verdana" w:cs="Arial"/>
          <w:sz w:val="20"/>
          <w:szCs w:val="20"/>
          <w:lang w:val="es-GT"/>
        </w:rPr>
        <w:lastRenderedPageBreak/>
        <w:t xml:space="preserve">disposición del Juzgado en calidad de detenido </w:t>
      </w:r>
      <w:r w:rsidRPr="002964A7">
        <w:rPr>
          <w:rFonts w:ascii="Verdana" w:hAnsi="Verdana"/>
          <w:bCs/>
          <w:sz w:val="20"/>
          <w:szCs w:val="20"/>
          <w:lang w:val="es-GT"/>
        </w:rPr>
        <w:t xml:space="preserve">y, encontrándose en un establecimiento penitenciario en Lima, </w:t>
      </w:r>
      <w:r>
        <w:rPr>
          <w:rFonts w:ascii="Verdana" w:hAnsi="Verdana"/>
          <w:bCs/>
          <w:sz w:val="20"/>
          <w:szCs w:val="20"/>
          <w:lang w:val="es-GT"/>
        </w:rPr>
        <w:t>los días</w:t>
      </w:r>
      <w:r w:rsidRPr="002964A7">
        <w:rPr>
          <w:rFonts w:ascii="Verdana" w:hAnsi="Verdana" w:cs="Arial"/>
          <w:sz w:val="20"/>
          <w:szCs w:val="20"/>
          <w:lang w:val="es-GT"/>
        </w:rPr>
        <w:t xml:space="preserve"> </w:t>
      </w:r>
      <w:r w:rsidRPr="002964A7">
        <w:rPr>
          <w:rFonts w:ascii="Verdana" w:hAnsi="Verdana"/>
          <w:bCs/>
          <w:sz w:val="20"/>
          <w:szCs w:val="20"/>
          <w:lang w:val="es-GT"/>
        </w:rPr>
        <w:t>30 de noviembre de 2011 y 11 de enero de 2012 rindió su declaración instructiva ante el Juez de la causa</w:t>
      </w:r>
      <w:r w:rsidRPr="002964A7">
        <w:rPr>
          <w:rFonts w:ascii="Verdana" w:hAnsi="Verdana"/>
          <w:bCs/>
          <w:sz w:val="20"/>
          <w:szCs w:val="20"/>
          <w:vertAlign w:val="superscript"/>
          <w:lang w:val="en-US"/>
        </w:rPr>
        <w:footnoteReference w:id="148"/>
      </w:r>
      <w:r w:rsidRPr="002964A7">
        <w:rPr>
          <w:rFonts w:ascii="Verdana" w:hAnsi="Verdana"/>
          <w:bCs/>
          <w:sz w:val="20"/>
          <w:szCs w:val="20"/>
          <w:lang w:val="es-GT"/>
        </w:rPr>
        <w:t xml:space="preserve">. Consta en la prueba que el abogado defensor del señor </w:t>
      </w:r>
      <w:r w:rsidRPr="002964A7">
        <w:rPr>
          <w:rFonts w:ascii="Verdana" w:hAnsi="Verdana" w:cs="Arial"/>
          <w:sz w:val="20"/>
          <w:szCs w:val="20"/>
          <w:lang w:val="es-GT"/>
        </w:rPr>
        <w:t xml:space="preserve">Breña Palante solicitó el corte de secuela del juicio oral argumentando que en la época en que ocurrieron los hechos </w:t>
      </w:r>
      <w:r>
        <w:rPr>
          <w:rFonts w:ascii="Verdana" w:hAnsi="Verdana" w:cs="Arial"/>
          <w:sz w:val="20"/>
          <w:szCs w:val="20"/>
          <w:lang w:val="es-GT"/>
        </w:rPr>
        <w:t xml:space="preserve">este </w:t>
      </w:r>
      <w:r w:rsidRPr="002964A7">
        <w:rPr>
          <w:rFonts w:ascii="Verdana" w:hAnsi="Verdana" w:cs="Arial"/>
          <w:sz w:val="20"/>
          <w:szCs w:val="20"/>
          <w:lang w:val="es-GT"/>
        </w:rPr>
        <w:t xml:space="preserve">era menor de edad. El 4 de enero de 2013 se emitió el auto de procesamiento en contra de Breña Palante y, en cuanto al pedido de corte de secuela, se indicó que </w:t>
      </w:r>
      <w:r>
        <w:rPr>
          <w:rFonts w:ascii="Verdana" w:hAnsi="Verdana" w:cs="Arial"/>
          <w:sz w:val="20"/>
          <w:szCs w:val="20"/>
          <w:lang w:val="es-GT"/>
        </w:rPr>
        <w:t>e</w:t>
      </w:r>
      <w:r w:rsidRPr="002964A7">
        <w:rPr>
          <w:rFonts w:ascii="Verdana" w:hAnsi="Verdana" w:cs="Arial"/>
          <w:sz w:val="20"/>
          <w:szCs w:val="20"/>
          <w:lang w:val="es-GT"/>
        </w:rPr>
        <w:t xml:space="preserve">ste debía ser resuelto al inicio del juicio oral. </w:t>
      </w:r>
    </w:p>
    <w:p w:rsidR="00106A1E" w:rsidRPr="002964A7" w:rsidRDefault="00106A1E" w:rsidP="00106A1E">
      <w:pPr>
        <w:autoSpaceDE w:val="0"/>
        <w:autoSpaceDN w:val="0"/>
        <w:adjustRightInd w:val="0"/>
        <w:spacing w:after="0" w:line="240" w:lineRule="auto"/>
        <w:contextualSpacing/>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El 22 de febrero de 2013 la Sala Penal Nacional </w:t>
      </w:r>
      <w:r w:rsidRPr="002964A7">
        <w:rPr>
          <w:rFonts w:ascii="Verdana" w:hAnsi="Verdana"/>
          <w:sz w:val="20"/>
          <w:szCs w:val="20"/>
          <w:lang w:val="es-GT"/>
        </w:rPr>
        <w:t xml:space="preserve">de la Corte Suprema de Justicia de la República </w:t>
      </w:r>
      <w:r w:rsidRPr="002964A7">
        <w:rPr>
          <w:rFonts w:ascii="Verdana" w:hAnsi="Verdana" w:cs="Arial"/>
          <w:sz w:val="20"/>
          <w:szCs w:val="20"/>
          <w:lang w:val="es-GT"/>
        </w:rPr>
        <w:t>declaró procedente el corte de secuela del proceso seguido contra Simón Fidel</w:t>
      </w:r>
      <w:r w:rsidRPr="002964A7">
        <w:rPr>
          <w:rFonts w:ascii="Verdana" w:hAnsi="Verdana"/>
          <w:sz w:val="20"/>
          <w:szCs w:val="20"/>
          <w:lang w:val="es-GT"/>
        </w:rPr>
        <w:t xml:space="preserve"> </w:t>
      </w:r>
      <w:r w:rsidRPr="002964A7">
        <w:rPr>
          <w:rFonts w:ascii="Verdana" w:hAnsi="Verdana"/>
          <w:sz w:val="20"/>
          <w:szCs w:val="20"/>
          <w:lang w:eastAsia="es-CR"/>
        </w:rPr>
        <w:t>Breña</w:t>
      </w:r>
      <w:r w:rsidRPr="002964A7">
        <w:rPr>
          <w:rFonts w:ascii="Verdana" w:hAnsi="Verdana" w:cs="Arial"/>
          <w:sz w:val="20"/>
          <w:szCs w:val="20"/>
          <w:lang w:val="es-GT"/>
        </w:rPr>
        <w:t xml:space="preserve"> Palante, dado que el 4 de julio de 1991 tenía menos de 18 años de edad (17 años, 10 meses y 22 días), dispuso su inmediata libertad y resolvió que debía ser puesto a disposición del Juez de Familia a efectos de resolver su situación jurídica.</w:t>
      </w:r>
    </w:p>
    <w:p w:rsidR="00106A1E" w:rsidRPr="002964A7" w:rsidRDefault="00106A1E" w:rsidP="00106A1E">
      <w:pPr>
        <w:spacing w:after="0" w:line="240" w:lineRule="auto"/>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2964A7">
        <w:rPr>
          <w:rFonts w:ascii="Verdana" w:hAnsi="Verdana" w:cs="Arial"/>
          <w:sz w:val="20"/>
          <w:szCs w:val="20"/>
          <w:lang w:val="es-GT"/>
        </w:rPr>
        <w:t xml:space="preserve">La Sala Penal Nacional tuvo en consideración que en el caso existían dos situaciones marcadamente diferenciadas. Por un lado, se tenían diversos documentos en los que se consignó como fecha de su nacimiento el 13 de agosto de 1972, misma que fue reconocida por el propio acusado tanto en su manifestación como en su declaración instructiva. Por otro lado, se tenía la copia certificada del Acta Nacimiento del acusado Simón Fidel Breña Palante expedida por el Registro Nacional de Identificación y Estado Civil, en donde se consignó como la fecha de su nacimiento, el 13 de agosto de 1973. En razón que la referida Acta fue consecuencia de un proceso administrativo de inscripción extemporánea </w:t>
      </w:r>
      <w:r w:rsidRPr="002964A7">
        <w:rPr>
          <w:rFonts w:ascii="Verdana" w:hAnsi="Verdana"/>
          <w:sz w:val="20"/>
          <w:szCs w:val="20"/>
          <w:lang w:val="es-GT"/>
        </w:rPr>
        <w:t>en el año 2012</w:t>
      </w:r>
      <w:r w:rsidRPr="002964A7">
        <w:rPr>
          <w:rFonts w:ascii="Verdana" w:hAnsi="Verdana" w:cs="Arial"/>
          <w:sz w:val="20"/>
          <w:szCs w:val="20"/>
        </w:rPr>
        <w:t>, la Sala Penal Nacional consideró que:</w:t>
      </w:r>
    </w:p>
    <w:p w:rsidR="00106A1E" w:rsidRPr="00E15950" w:rsidRDefault="00106A1E" w:rsidP="00106A1E">
      <w:pPr>
        <w:autoSpaceDE w:val="0"/>
        <w:autoSpaceDN w:val="0"/>
        <w:adjustRightInd w:val="0"/>
        <w:spacing w:after="0" w:line="240" w:lineRule="auto"/>
        <w:contextualSpacing/>
        <w:jc w:val="both"/>
        <w:rPr>
          <w:rFonts w:ascii="Verdana" w:hAnsi="Verdana" w:cs="Arial"/>
          <w:sz w:val="16"/>
          <w:szCs w:val="16"/>
        </w:rPr>
      </w:pPr>
    </w:p>
    <w:p w:rsidR="00106A1E" w:rsidRPr="00E15950" w:rsidRDefault="00106A1E" w:rsidP="00106A1E">
      <w:pPr>
        <w:autoSpaceDE w:val="0"/>
        <w:autoSpaceDN w:val="0"/>
        <w:adjustRightInd w:val="0"/>
        <w:spacing w:after="0" w:line="240" w:lineRule="auto"/>
        <w:ind w:left="360" w:right="360"/>
        <w:contextualSpacing/>
        <w:jc w:val="both"/>
        <w:rPr>
          <w:rFonts w:ascii="Verdana" w:hAnsi="Verdana"/>
          <w:sz w:val="16"/>
          <w:szCs w:val="16"/>
          <w:lang w:val="es-GT"/>
        </w:rPr>
      </w:pPr>
      <w:r w:rsidRPr="00E15950">
        <w:rPr>
          <w:rFonts w:ascii="Verdana" w:hAnsi="Verdana" w:cs="Arial"/>
          <w:sz w:val="16"/>
          <w:szCs w:val="16"/>
          <w:lang w:val="es-GT"/>
        </w:rPr>
        <w:t>Si bien, el Acta en mención no genera completa certeza al Colegiado respecto a la fecha de nacimiento del recurrente, al existir documentos que contradicen el año en que nació, lo cierto es que se trata […] de un documento público válido, obtenido de un proceso administrativo regular, que exige necesariamente el cumplimiento de ciertos requisitos, conforme lo establecen las normas de la materia, por lo tanto[,] las consecuencias que pueda generar dicha partida de nacimiento, deben acatarse de manera obligatoria pues al ser resultado de proceso administrativo, goza de respaldo constitucional, más aun si su validez no se ha visto cuestionada por la autoridad competente. En consecuencia</w:t>
      </w:r>
      <w:r>
        <w:rPr>
          <w:rFonts w:ascii="Verdana" w:hAnsi="Verdana" w:cs="Arial"/>
          <w:sz w:val="16"/>
          <w:szCs w:val="16"/>
          <w:lang w:val="es-GT"/>
        </w:rPr>
        <w:t>[,]</w:t>
      </w:r>
      <w:r w:rsidRPr="00E15950">
        <w:rPr>
          <w:rFonts w:ascii="Verdana" w:hAnsi="Verdana" w:cs="Arial"/>
          <w:sz w:val="16"/>
          <w:szCs w:val="16"/>
          <w:lang w:val="es-GT"/>
        </w:rPr>
        <w:t xml:space="preserve"> por tratarse de un documento válido se debe considerar como la verdadera fecha de nacimiento del recurrente, la que se consigna en dicho</w:t>
      </w:r>
      <w:r w:rsidRPr="00E15950">
        <w:rPr>
          <w:rFonts w:ascii="Verdana" w:hAnsi="Verdana"/>
          <w:sz w:val="16"/>
          <w:szCs w:val="16"/>
          <w:lang w:val="es-GT"/>
        </w:rPr>
        <w:t xml:space="preserve"> </w:t>
      </w:r>
      <w:r w:rsidRPr="00E15950">
        <w:rPr>
          <w:rFonts w:ascii="Verdana" w:hAnsi="Verdana" w:cs="Arial"/>
          <w:sz w:val="16"/>
          <w:szCs w:val="16"/>
          <w:lang w:val="es-GT"/>
        </w:rPr>
        <w:t>documento.</w:t>
      </w:r>
    </w:p>
    <w:p w:rsidR="00106A1E" w:rsidRPr="00E15950" w:rsidRDefault="00106A1E" w:rsidP="00106A1E">
      <w:pPr>
        <w:autoSpaceDE w:val="0"/>
        <w:autoSpaceDN w:val="0"/>
        <w:adjustRightInd w:val="0"/>
        <w:spacing w:after="0" w:line="240" w:lineRule="auto"/>
        <w:contextualSpacing/>
        <w:jc w:val="both"/>
        <w:rPr>
          <w:rFonts w:ascii="Verdana" w:hAnsi="Verdana" w:cs="Arial"/>
          <w:sz w:val="16"/>
          <w:szCs w:val="16"/>
          <w:lang w:val="es-GT"/>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bCs/>
          <w:sz w:val="20"/>
          <w:szCs w:val="20"/>
          <w:lang w:val="es-GT"/>
        </w:rPr>
      </w:pPr>
      <w:r w:rsidRPr="002964A7">
        <w:rPr>
          <w:rFonts w:ascii="Verdana" w:hAnsi="Verdana"/>
          <w:sz w:val="20"/>
          <w:szCs w:val="20"/>
          <w:lang w:val="es-GT"/>
        </w:rPr>
        <w:t>En la referida Resolución de</w:t>
      </w:r>
      <w:r w:rsidRPr="002964A7">
        <w:rPr>
          <w:rFonts w:ascii="Verdana" w:hAnsi="Verdana" w:cs="Arial"/>
          <w:sz w:val="20"/>
          <w:szCs w:val="20"/>
          <w:lang w:val="es-GT"/>
        </w:rPr>
        <w:t xml:space="preserve"> 22 de febrero de 2013 la Sala Penal Nacional </w:t>
      </w:r>
      <w:r w:rsidRPr="002964A7">
        <w:rPr>
          <w:rFonts w:ascii="Verdana" w:hAnsi="Verdana"/>
          <w:sz w:val="20"/>
          <w:szCs w:val="20"/>
          <w:lang w:val="es-GT"/>
        </w:rPr>
        <w:t xml:space="preserve">dispuso remitir a la Fiscalía Provincial Penal de Turno de Lima las copias certificadas de los documentos señalados al resolver el corte de secuela del proceso penal, a fin de iniciar las </w:t>
      </w:r>
      <w:r w:rsidRPr="002964A7">
        <w:rPr>
          <w:rFonts w:ascii="Verdana" w:hAnsi="Verdana" w:cs="Arial"/>
          <w:sz w:val="20"/>
          <w:szCs w:val="20"/>
        </w:rPr>
        <w:t>investigaciones</w:t>
      </w:r>
      <w:r w:rsidRPr="002964A7">
        <w:rPr>
          <w:rFonts w:ascii="Verdana" w:hAnsi="Verdana"/>
          <w:sz w:val="20"/>
          <w:szCs w:val="20"/>
          <w:lang w:val="es-GT"/>
        </w:rPr>
        <w:t xml:space="preserve"> y descartar un posible ilícito penal</w:t>
      </w:r>
      <w:r w:rsidRPr="002964A7">
        <w:rPr>
          <w:rFonts w:ascii="Verdana" w:eastAsia="Times New Roman" w:hAnsi="Verdana" w:cs="Arial"/>
          <w:sz w:val="20"/>
          <w:szCs w:val="20"/>
          <w:vertAlign w:val="superscript"/>
          <w:lang w:val="en-US"/>
        </w:rPr>
        <w:footnoteReference w:id="149"/>
      </w:r>
      <w:r w:rsidRPr="002964A7">
        <w:rPr>
          <w:rFonts w:ascii="Verdana" w:hAnsi="Verdana"/>
          <w:sz w:val="20"/>
          <w:szCs w:val="20"/>
          <w:lang w:val="es-GT"/>
        </w:rPr>
        <w:t xml:space="preserve">. Dicha resolución no fue materia de </w:t>
      </w:r>
      <w:r w:rsidRPr="002964A7">
        <w:rPr>
          <w:rFonts w:ascii="Verdana" w:hAnsi="Verdana"/>
          <w:sz w:val="20"/>
          <w:szCs w:val="20"/>
          <w:lang w:eastAsia="es-CR"/>
        </w:rPr>
        <w:t>impugna</w:t>
      </w:r>
      <w:r>
        <w:rPr>
          <w:rFonts w:ascii="Verdana" w:hAnsi="Verdana"/>
          <w:sz w:val="20"/>
          <w:szCs w:val="20"/>
          <w:lang w:eastAsia="es-CR"/>
        </w:rPr>
        <w:t>ción</w:t>
      </w:r>
      <w:r>
        <w:rPr>
          <w:rFonts w:ascii="Verdana" w:hAnsi="Verdana"/>
          <w:sz w:val="20"/>
          <w:szCs w:val="20"/>
          <w:lang w:val="es-GT"/>
        </w:rPr>
        <w:t>;</w:t>
      </w:r>
      <w:r w:rsidRPr="002964A7">
        <w:rPr>
          <w:rFonts w:ascii="Verdana" w:hAnsi="Verdana"/>
          <w:sz w:val="20"/>
          <w:szCs w:val="20"/>
          <w:lang w:val="es-GT"/>
        </w:rPr>
        <w:t xml:space="preserve"> por tanto, el 18 de marzo de 2013 se dispuso anular los antecedentes policiales y judiciales que se hubieran generado contra Simón Fidel Breña Palante y dejarse sin efecto las órdenes de captura e impedimento de salida del país</w:t>
      </w:r>
      <w:r w:rsidRPr="002964A7">
        <w:rPr>
          <w:rFonts w:ascii="Verdana" w:hAnsi="Verdana"/>
          <w:sz w:val="20"/>
          <w:szCs w:val="20"/>
          <w:vertAlign w:val="superscript"/>
          <w:lang w:val="en-US"/>
        </w:rPr>
        <w:footnoteReference w:id="150"/>
      </w:r>
      <w:r w:rsidRPr="002964A7">
        <w:rPr>
          <w:rFonts w:ascii="Verdana" w:hAnsi="Verdana"/>
          <w:sz w:val="20"/>
          <w:szCs w:val="20"/>
          <w:lang w:val="es-GT"/>
        </w:rPr>
        <w:t>.</w:t>
      </w:r>
      <w:r w:rsidRPr="002964A7">
        <w:rPr>
          <w:rFonts w:ascii="Verdana" w:hAnsi="Verdana" w:cs="Arial"/>
          <w:sz w:val="20"/>
          <w:szCs w:val="20"/>
          <w:lang w:val="es-GT"/>
        </w:rPr>
        <w:t xml:space="preserve"> Finalmente, </w:t>
      </w:r>
      <w:r w:rsidRPr="002964A7">
        <w:rPr>
          <w:rFonts w:ascii="Verdana" w:hAnsi="Verdana"/>
          <w:sz w:val="20"/>
          <w:szCs w:val="20"/>
          <w:lang w:val="es-GT"/>
        </w:rPr>
        <w:t>el 21 de febrero de 2014 la Fiscalía Provincial Penal de Lima derivó a la Fiscalía Provincial Penal de Huancavelica</w:t>
      </w:r>
      <w:r w:rsidRPr="002964A7">
        <w:rPr>
          <w:rFonts w:ascii="Verdana" w:hAnsi="Verdana" w:cs="Arial"/>
          <w:sz w:val="20"/>
          <w:szCs w:val="20"/>
          <w:lang w:val="es-GT"/>
        </w:rPr>
        <w:t xml:space="preserve"> </w:t>
      </w:r>
      <w:r w:rsidRPr="002964A7">
        <w:rPr>
          <w:rFonts w:ascii="Verdana" w:hAnsi="Verdana"/>
          <w:sz w:val="20"/>
          <w:szCs w:val="20"/>
          <w:lang w:val="es-GT"/>
        </w:rPr>
        <w:t xml:space="preserve">la investigación preliminar iniciada a mérito de la inscripción extemporánea del señor Simón Fidel Breña Palante ante el </w:t>
      </w:r>
      <w:r w:rsidRPr="002964A7">
        <w:rPr>
          <w:rFonts w:ascii="Verdana" w:hAnsi="Verdana" w:cs="Arial"/>
          <w:sz w:val="20"/>
          <w:szCs w:val="20"/>
          <w:lang w:val="es-GT"/>
        </w:rPr>
        <w:t xml:space="preserve">Registro Nacional de </w:t>
      </w:r>
      <w:r w:rsidRPr="002964A7">
        <w:rPr>
          <w:rFonts w:ascii="Verdana" w:hAnsi="Verdana" w:cs="Arial"/>
          <w:sz w:val="20"/>
          <w:szCs w:val="20"/>
          <w:lang w:val="es-GT"/>
        </w:rPr>
        <w:lastRenderedPageBreak/>
        <w:t>Identificación y Estado Civil</w:t>
      </w:r>
      <w:r w:rsidRPr="002964A7">
        <w:rPr>
          <w:rFonts w:ascii="Verdana" w:hAnsi="Verdana"/>
          <w:sz w:val="20"/>
          <w:szCs w:val="20"/>
          <w:lang w:val="es-GT"/>
        </w:rPr>
        <w:t xml:space="preserve"> en el año 2012</w:t>
      </w:r>
      <w:r w:rsidRPr="002964A7">
        <w:rPr>
          <w:rFonts w:ascii="Verdana" w:hAnsi="Verdana"/>
          <w:sz w:val="20"/>
          <w:szCs w:val="20"/>
          <w:vertAlign w:val="superscript"/>
          <w:lang w:val="en-US"/>
        </w:rPr>
        <w:footnoteReference w:id="151"/>
      </w:r>
      <w:r w:rsidRPr="002964A7">
        <w:rPr>
          <w:rFonts w:ascii="Verdana" w:hAnsi="Verdana"/>
          <w:sz w:val="20"/>
          <w:szCs w:val="20"/>
          <w:lang w:val="es-GT"/>
        </w:rPr>
        <w:t xml:space="preserve">. No se cuenta con mayor información al respecto. </w:t>
      </w:r>
    </w:p>
    <w:p w:rsidR="00106A1E" w:rsidRPr="002964A7" w:rsidRDefault="001154F9" w:rsidP="005A69BF">
      <w:pPr>
        <w:pStyle w:val="Heading3"/>
        <w:spacing w:line="240" w:lineRule="auto"/>
        <w:jc w:val="both"/>
        <w:rPr>
          <w:lang w:val="es-GT"/>
        </w:rPr>
      </w:pPr>
      <w:bookmarkStart w:id="143" w:name="_Toc423102536"/>
      <w:bookmarkStart w:id="144" w:name="_Toc433387489"/>
      <w:r>
        <w:rPr>
          <w:lang w:val="es-GT"/>
        </w:rPr>
        <w:t>F</w:t>
      </w:r>
      <w:r w:rsidR="005A69BF">
        <w:rPr>
          <w:lang w:val="es-GT"/>
        </w:rPr>
        <w:t>.</w:t>
      </w:r>
      <w:r>
        <w:rPr>
          <w:lang w:val="es-GT"/>
        </w:rPr>
        <w:t xml:space="preserve"> </w:t>
      </w:r>
      <w:r w:rsidR="00106A1E" w:rsidRPr="002964A7">
        <w:rPr>
          <w:lang w:val="es-GT"/>
        </w:rPr>
        <w:t>Diligencias relacionadas con la búsqueda</w:t>
      </w:r>
      <w:r w:rsidR="00106A1E">
        <w:rPr>
          <w:lang w:val="es-GT"/>
        </w:rPr>
        <w:t>,</w:t>
      </w:r>
      <w:r w:rsidR="00106A1E" w:rsidRPr="002964A7">
        <w:rPr>
          <w:lang w:val="es-GT"/>
        </w:rPr>
        <w:t xml:space="preserve"> recuperación</w:t>
      </w:r>
      <w:r w:rsidR="00106A1E">
        <w:rPr>
          <w:lang w:val="es-GT"/>
        </w:rPr>
        <w:t xml:space="preserve"> e identificación</w:t>
      </w:r>
      <w:r w:rsidR="00106A1E" w:rsidRPr="002964A7">
        <w:rPr>
          <w:lang w:val="es-GT"/>
        </w:rPr>
        <w:t xml:space="preserve"> de los restos óseos humanos en la mina abandonada “Misteriosa” o “Vallarón” (Fiscalía Penal Supra Provincial de Huancavelica - Expediente N</w:t>
      </w:r>
      <w:r w:rsidR="00106A1E">
        <w:rPr>
          <w:lang w:val="es-GT"/>
        </w:rPr>
        <w:t xml:space="preserve">o. </w:t>
      </w:r>
      <w:r w:rsidR="00106A1E" w:rsidRPr="002964A7">
        <w:rPr>
          <w:lang w:val="es-GT"/>
        </w:rPr>
        <w:t>2008-61-0)</w:t>
      </w:r>
      <w:bookmarkEnd w:id="143"/>
      <w:bookmarkEnd w:id="144"/>
    </w:p>
    <w:p w:rsidR="00106A1E" w:rsidRPr="002964A7" w:rsidRDefault="00106A1E" w:rsidP="00106A1E">
      <w:pPr>
        <w:autoSpaceDE w:val="0"/>
        <w:autoSpaceDN w:val="0"/>
        <w:adjustRightInd w:val="0"/>
        <w:spacing w:after="0" w:line="240" w:lineRule="auto"/>
        <w:contextualSpacing/>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b/>
          <w:sz w:val="20"/>
          <w:szCs w:val="20"/>
          <w:lang w:val="es-GT"/>
        </w:rPr>
      </w:pPr>
      <w:r w:rsidRPr="002964A7">
        <w:rPr>
          <w:rFonts w:ascii="Verdana" w:hAnsi="Verdana" w:cs="Arial"/>
          <w:sz w:val="20"/>
          <w:szCs w:val="20"/>
          <w:lang w:val="es-GT"/>
        </w:rPr>
        <w:t xml:space="preserve">La Corte no tiene claridad </w:t>
      </w:r>
      <w:r w:rsidRPr="002964A7">
        <w:rPr>
          <w:rFonts w:ascii="Verdana" w:hAnsi="Verdana"/>
          <w:sz w:val="20"/>
          <w:szCs w:val="20"/>
          <w:lang w:val="es-GT"/>
        </w:rPr>
        <w:t xml:space="preserve">respecto al número de diligencias practicadas en el marco de </w:t>
      </w:r>
      <w:r w:rsidRPr="002964A7">
        <w:rPr>
          <w:rFonts w:ascii="Verdana" w:hAnsi="Verdana" w:cs="Arial"/>
          <w:sz w:val="20"/>
          <w:szCs w:val="20"/>
          <w:lang w:val="es-GT"/>
        </w:rPr>
        <w:t xml:space="preserve">la búsqueda y recuperación de los restos óseos humanos en la </w:t>
      </w:r>
      <w:r w:rsidRPr="002964A7">
        <w:rPr>
          <w:rFonts w:ascii="Verdana" w:hAnsi="Verdana"/>
          <w:sz w:val="20"/>
          <w:szCs w:val="20"/>
          <w:lang w:val="es-GT"/>
        </w:rPr>
        <w:t>mina abandonada “Misteriosa” o “Vallarón”. Del acervo probatorio del presente caso se desprende que, entre los años 2009 y 2011, se realizaron diversas diligencias, las cual</w:t>
      </w:r>
      <w:r>
        <w:rPr>
          <w:rFonts w:ascii="Verdana" w:hAnsi="Verdana"/>
          <w:sz w:val="20"/>
          <w:szCs w:val="20"/>
          <w:lang w:val="es-GT"/>
        </w:rPr>
        <w:t>es se detallan en este acápite.</w:t>
      </w:r>
    </w:p>
    <w:p w:rsidR="00106A1E" w:rsidRPr="002964A7" w:rsidRDefault="00106A1E" w:rsidP="00106A1E">
      <w:pPr>
        <w:spacing w:after="0" w:line="240" w:lineRule="auto"/>
        <w:contextualSpacing/>
        <w:jc w:val="both"/>
        <w:rPr>
          <w:rFonts w:ascii="Verdana" w:hAnsi="Verdana" w:cs="Arial"/>
          <w:b/>
          <w:sz w:val="20"/>
          <w:szCs w:val="20"/>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Consta en la prueba que se realizó una diligencia de ubicación, registro y constatación fiscal el 23 de octubre de 2009 en la mina </w:t>
      </w:r>
      <w:r w:rsidRPr="002964A7">
        <w:rPr>
          <w:rFonts w:ascii="Verdana" w:hAnsi="Verdana"/>
          <w:sz w:val="20"/>
          <w:szCs w:val="20"/>
          <w:lang w:val="es-GT"/>
        </w:rPr>
        <w:t>abandonada “Misteriosa” o “Vallarón”</w:t>
      </w:r>
      <w:r w:rsidRPr="002964A7">
        <w:rPr>
          <w:rFonts w:ascii="Verdana" w:hAnsi="Verdana" w:cs="Arial"/>
          <w:sz w:val="20"/>
          <w:szCs w:val="20"/>
          <w:lang w:val="es-GT"/>
        </w:rPr>
        <w:t xml:space="preserve">, </w:t>
      </w:r>
      <w:r w:rsidRPr="002964A7">
        <w:rPr>
          <w:rFonts w:ascii="Verdana" w:hAnsi="Verdana" w:cs="Arial"/>
          <w:sz w:val="20"/>
          <w:szCs w:val="20"/>
        </w:rPr>
        <w:t>mediante</w:t>
      </w:r>
      <w:r w:rsidRPr="002964A7">
        <w:rPr>
          <w:rFonts w:ascii="Verdana" w:hAnsi="Verdana" w:cs="Arial"/>
          <w:sz w:val="20"/>
          <w:szCs w:val="20"/>
          <w:lang w:val="es-GT"/>
        </w:rPr>
        <w:t xml:space="preserve"> la cual se ubicó y registró una presunta fosa en el interior de la mina y se recomendó que se realice la intervención arqueológica correspondiente entre abril y octubre para evitar la época de lluvias</w:t>
      </w:r>
      <w:r w:rsidRPr="002964A7">
        <w:rPr>
          <w:rFonts w:ascii="Verdana" w:eastAsia="Times New Roman" w:hAnsi="Verdana" w:cs="Arial"/>
          <w:sz w:val="20"/>
          <w:szCs w:val="20"/>
          <w:vertAlign w:val="superscript"/>
          <w:lang w:val="en-US"/>
        </w:rPr>
        <w:footnoteReference w:id="152"/>
      </w:r>
      <w:r w:rsidRPr="002964A7">
        <w:rPr>
          <w:rFonts w:ascii="Verdana" w:hAnsi="Verdana" w:cs="Arial"/>
          <w:sz w:val="20"/>
          <w:szCs w:val="20"/>
          <w:lang w:val="es-GT"/>
        </w:rPr>
        <w:t xml:space="preserve">. </w:t>
      </w:r>
      <w:r>
        <w:rPr>
          <w:rFonts w:ascii="Verdana" w:hAnsi="Verdana" w:cs="Arial"/>
          <w:sz w:val="20"/>
          <w:szCs w:val="20"/>
          <w:lang w:val="es-GT"/>
        </w:rPr>
        <w:t>Sin embargo</w:t>
      </w:r>
      <w:r w:rsidRPr="002964A7">
        <w:rPr>
          <w:rFonts w:ascii="Verdana" w:hAnsi="Verdana" w:cs="Arial"/>
          <w:sz w:val="20"/>
          <w:szCs w:val="20"/>
          <w:lang w:val="es-GT"/>
        </w:rPr>
        <w:t xml:space="preserve">, consta que </w:t>
      </w:r>
      <w:r>
        <w:rPr>
          <w:rFonts w:ascii="Verdana" w:hAnsi="Verdana" w:cs="Arial"/>
          <w:sz w:val="20"/>
          <w:szCs w:val="20"/>
          <w:lang w:val="es-GT"/>
        </w:rPr>
        <w:t xml:space="preserve">fue hasta los días </w:t>
      </w:r>
      <w:r w:rsidRPr="002964A7">
        <w:rPr>
          <w:rFonts w:ascii="Verdana" w:hAnsi="Verdana" w:cs="Arial"/>
          <w:sz w:val="20"/>
          <w:szCs w:val="20"/>
          <w:lang w:val="es-GT"/>
        </w:rPr>
        <w:t xml:space="preserve">del 16 al 18 de noviembre de 2009 </w:t>
      </w:r>
      <w:r>
        <w:rPr>
          <w:rFonts w:ascii="Verdana" w:hAnsi="Verdana" w:cs="Arial"/>
          <w:sz w:val="20"/>
          <w:szCs w:val="20"/>
          <w:lang w:val="es-GT"/>
        </w:rPr>
        <w:t xml:space="preserve">que </w:t>
      </w:r>
      <w:r w:rsidRPr="002964A7">
        <w:rPr>
          <w:rFonts w:ascii="Verdana" w:hAnsi="Verdana" w:cs="Arial"/>
          <w:sz w:val="20"/>
          <w:szCs w:val="20"/>
          <w:lang w:val="es-GT"/>
        </w:rPr>
        <w:t xml:space="preserve">se realizaron diligencias para la recuperación de restos óseos humanos en la </w:t>
      </w:r>
      <w:r w:rsidRPr="002964A7">
        <w:rPr>
          <w:rFonts w:ascii="Verdana" w:hAnsi="Verdana"/>
          <w:sz w:val="20"/>
          <w:szCs w:val="20"/>
          <w:lang w:val="es-GT"/>
        </w:rPr>
        <w:t xml:space="preserve">mina mediante </w:t>
      </w:r>
      <w:r w:rsidRPr="002964A7">
        <w:rPr>
          <w:rFonts w:ascii="Verdana" w:hAnsi="Verdana" w:cs="Arial"/>
          <w:sz w:val="20"/>
          <w:szCs w:val="20"/>
          <w:lang w:val="es-GT"/>
        </w:rPr>
        <w:t xml:space="preserve">cuatro unidades de excavación identificadas como A, B, C y D desde la parte externa hasta una fracción interna de la mina, y se recuperó evidencia del exterior consistente en un fragmento de cráneo de especie por definir, fragmentos de prendas de color, </w:t>
      </w:r>
      <w:r>
        <w:rPr>
          <w:rFonts w:ascii="Verdana" w:hAnsi="Verdana" w:cs="Arial"/>
          <w:sz w:val="20"/>
          <w:szCs w:val="20"/>
          <w:lang w:val="es-GT"/>
        </w:rPr>
        <w:t xml:space="preserve">y </w:t>
      </w:r>
      <w:r w:rsidRPr="002964A7">
        <w:rPr>
          <w:rFonts w:ascii="Verdana" w:hAnsi="Verdana" w:cs="Arial"/>
          <w:sz w:val="20"/>
          <w:szCs w:val="20"/>
          <w:lang w:val="es-GT"/>
        </w:rPr>
        <w:t>cable que se trataría de mecha lenta de dinamita, la cual fue internada en el Laboratorio de Investigaciones Forenses de Ayacucho. Además, se recomendó culminar con la Intervención Arqueológica Forense en el sitio</w:t>
      </w:r>
      <w:r w:rsidRPr="002964A7">
        <w:rPr>
          <w:rFonts w:ascii="Verdana" w:eastAsia="Times New Roman" w:hAnsi="Verdana" w:cs="Arial"/>
          <w:sz w:val="20"/>
          <w:szCs w:val="20"/>
          <w:vertAlign w:val="superscript"/>
          <w:lang w:val="en-US"/>
        </w:rPr>
        <w:footnoteReference w:id="153"/>
      </w:r>
      <w:r w:rsidRPr="002964A7">
        <w:rPr>
          <w:rFonts w:ascii="Verdana" w:hAnsi="Verdana" w:cs="Arial"/>
          <w:sz w:val="20"/>
          <w:szCs w:val="20"/>
          <w:lang w:val="es-GT"/>
        </w:rPr>
        <w:t xml:space="preserve">. </w:t>
      </w:r>
    </w:p>
    <w:p w:rsidR="00106A1E" w:rsidRPr="002964A7" w:rsidRDefault="00106A1E" w:rsidP="00106A1E">
      <w:pPr>
        <w:spacing w:after="0" w:line="240" w:lineRule="auto"/>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Posteriormente, el 15 de diciembre de 2009 se llevó a cabo una inspección de exploración sobre las condiciones de seguridad para la realización del trabajo de investigación</w:t>
      </w:r>
      <w:r>
        <w:rPr>
          <w:rFonts w:ascii="Verdana" w:hAnsi="Verdana" w:cs="Arial"/>
          <w:sz w:val="20"/>
          <w:szCs w:val="20"/>
          <w:lang w:val="es-GT"/>
        </w:rPr>
        <w:t>,</w:t>
      </w:r>
      <w:r w:rsidRPr="002964A7">
        <w:rPr>
          <w:rFonts w:ascii="Verdana" w:hAnsi="Verdana" w:cs="Arial"/>
          <w:sz w:val="20"/>
          <w:szCs w:val="20"/>
          <w:lang w:val="es-GT"/>
        </w:rPr>
        <w:t xml:space="preserve"> y como resultado de </w:t>
      </w:r>
      <w:r>
        <w:rPr>
          <w:rFonts w:ascii="Verdana" w:hAnsi="Verdana" w:cs="Arial"/>
          <w:sz w:val="20"/>
          <w:szCs w:val="20"/>
          <w:lang w:val="es-GT"/>
        </w:rPr>
        <w:t>e</w:t>
      </w:r>
      <w:r w:rsidRPr="002964A7">
        <w:rPr>
          <w:rFonts w:ascii="Verdana" w:hAnsi="Verdana" w:cs="Arial"/>
          <w:sz w:val="20"/>
          <w:szCs w:val="20"/>
          <w:lang w:val="es-GT"/>
        </w:rPr>
        <w:t xml:space="preserve">stas se realizó un Informe Pericial de 21 de enero de 2010 por </w:t>
      </w:r>
      <w:r w:rsidRPr="002964A7">
        <w:rPr>
          <w:rFonts w:ascii="Verdana" w:hAnsi="Verdana" w:cs="Arial"/>
          <w:sz w:val="20"/>
          <w:szCs w:val="20"/>
        </w:rPr>
        <w:t>el</w:t>
      </w:r>
      <w:r w:rsidRPr="002964A7">
        <w:rPr>
          <w:rFonts w:ascii="Verdana" w:hAnsi="Verdana" w:cs="Arial"/>
          <w:sz w:val="20"/>
          <w:szCs w:val="20"/>
          <w:lang w:val="es-GT"/>
        </w:rPr>
        <w:t xml:space="preserve"> Ingeni</w:t>
      </w:r>
      <w:r>
        <w:rPr>
          <w:rFonts w:ascii="Verdana" w:hAnsi="Verdana" w:cs="Arial"/>
          <w:sz w:val="20"/>
          <w:szCs w:val="20"/>
          <w:lang w:val="es-GT"/>
        </w:rPr>
        <w:t>er</w:t>
      </w:r>
      <w:r w:rsidRPr="002964A7">
        <w:rPr>
          <w:rFonts w:ascii="Verdana" w:hAnsi="Verdana" w:cs="Arial"/>
          <w:sz w:val="20"/>
          <w:szCs w:val="20"/>
          <w:lang w:val="es-GT"/>
        </w:rPr>
        <w:t xml:space="preserve">o de Minas designado para tal efecto. En dicho informe se concluyó que en la bocamina “existen asentamientos de rocas, y </w:t>
      </w:r>
      <w:r>
        <w:rPr>
          <w:rFonts w:ascii="Verdana" w:hAnsi="Verdana" w:cs="Arial"/>
          <w:sz w:val="20"/>
          <w:szCs w:val="20"/>
          <w:lang w:val="es-GT"/>
        </w:rPr>
        <w:t>é</w:t>
      </w:r>
      <w:r w:rsidRPr="002964A7">
        <w:rPr>
          <w:rFonts w:ascii="Verdana" w:hAnsi="Verdana" w:cs="Arial"/>
          <w:sz w:val="20"/>
          <w:szCs w:val="20"/>
          <w:lang w:val="es-GT"/>
        </w:rPr>
        <w:t xml:space="preserve">stas se producen por dos razones: Primero.- Por causas naturales, como filtración de agua y debilitamiento del macizo rocoso de la zona, debido al tiempo transcurrido. Segundo.- Por detonación de carga explosiva”. Asimismo, </w:t>
      </w:r>
      <w:r>
        <w:rPr>
          <w:rFonts w:ascii="Verdana" w:hAnsi="Verdana" w:cs="Arial"/>
          <w:sz w:val="20"/>
          <w:szCs w:val="20"/>
          <w:lang w:val="es-GT"/>
        </w:rPr>
        <w:t xml:space="preserve">se </w:t>
      </w:r>
      <w:r w:rsidRPr="002964A7">
        <w:rPr>
          <w:rFonts w:ascii="Verdana" w:hAnsi="Verdana" w:cs="Arial"/>
          <w:sz w:val="20"/>
          <w:szCs w:val="20"/>
          <w:lang w:val="es-GT"/>
        </w:rPr>
        <w:t xml:space="preserve">señaló que el lugar no presentaba seguridad para realizar trabajo por las condiciones y el estado en que se encontraba, por lo que </w:t>
      </w:r>
      <w:r>
        <w:rPr>
          <w:rFonts w:ascii="Verdana" w:hAnsi="Verdana" w:cs="Arial"/>
          <w:sz w:val="20"/>
          <w:szCs w:val="20"/>
          <w:lang w:val="es-GT"/>
        </w:rPr>
        <w:t xml:space="preserve">se </w:t>
      </w:r>
      <w:r w:rsidRPr="002964A7">
        <w:rPr>
          <w:rFonts w:ascii="Verdana" w:hAnsi="Verdana" w:cs="Arial"/>
          <w:sz w:val="20"/>
          <w:szCs w:val="20"/>
          <w:lang w:val="es-GT"/>
        </w:rPr>
        <w:t>recomendó la colocación de “puntales en línea, enrejándolo a modo de guardacabeza, para evitar caída de material suelto”, los cuales “se sugiere sean puestos por un maestro enmaderador, para garantizar la seguridad de las personas”</w:t>
      </w:r>
      <w:r w:rsidRPr="002964A7">
        <w:rPr>
          <w:rFonts w:ascii="Verdana" w:eastAsia="Times New Roman" w:hAnsi="Verdana" w:cs="Arial"/>
          <w:sz w:val="20"/>
          <w:szCs w:val="20"/>
          <w:vertAlign w:val="superscript"/>
          <w:lang w:val="en-US"/>
        </w:rPr>
        <w:footnoteReference w:id="154"/>
      </w:r>
      <w:r w:rsidRPr="002964A7">
        <w:rPr>
          <w:rFonts w:ascii="Verdana" w:hAnsi="Verdana" w:cs="Arial"/>
          <w:sz w:val="20"/>
          <w:szCs w:val="20"/>
          <w:lang w:val="es-GT"/>
        </w:rPr>
        <w:t>. De la prueba presentada en este caso no es posible verificar si se cumplieron con dichas recomendaciones.</w:t>
      </w:r>
    </w:p>
    <w:p w:rsidR="00106A1E" w:rsidRPr="002964A7" w:rsidRDefault="00106A1E" w:rsidP="00106A1E">
      <w:pPr>
        <w:spacing w:after="0" w:line="240" w:lineRule="auto"/>
        <w:contextualSpacing/>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Del 1 al 8 de marzo de 2010 se realizó la segunda etapa de las labores de recuperación de restos humanos y elementos asociados </w:t>
      </w:r>
      <w:r w:rsidRPr="002964A7">
        <w:rPr>
          <w:rFonts w:ascii="Verdana" w:hAnsi="Verdana"/>
          <w:sz w:val="20"/>
          <w:szCs w:val="20"/>
          <w:lang w:val="es-GT"/>
        </w:rPr>
        <w:t>en la mina abandonada llamada “Misteriosa” o “Vallarón”</w:t>
      </w:r>
      <w:r w:rsidRPr="002964A7">
        <w:rPr>
          <w:rFonts w:ascii="Verdana" w:hAnsi="Verdana" w:cs="Arial"/>
          <w:sz w:val="20"/>
          <w:szCs w:val="20"/>
          <w:lang w:val="es-GT"/>
        </w:rPr>
        <w:t xml:space="preserve">. Participaron </w:t>
      </w:r>
      <w:r w:rsidRPr="002964A7">
        <w:rPr>
          <w:rFonts w:ascii="Verdana" w:hAnsi="Verdana"/>
          <w:sz w:val="20"/>
          <w:szCs w:val="20"/>
          <w:lang w:val="es-GT"/>
        </w:rPr>
        <w:t xml:space="preserve">el Fiscal Provincial Penal Supraprovincial de Huancavelica, miembros del Equipo Forense Especializado del Instituto de Medicina Legal y </w:t>
      </w:r>
      <w:r w:rsidRPr="002964A7">
        <w:rPr>
          <w:rFonts w:ascii="Verdana" w:hAnsi="Verdana" w:cs="Arial"/>
          <w:sz w:val="20"/>
          <w:szCs w:val="20"/>
        </w:rPr>
        <w:t>Ciencias</w:t>
      </w:r>
      <w:r w:rsidRPr="002964A7">
        <w:rPr>
          <w:rFonts w:ascii="Verdana" w:hAnsi="Verdana"/>
          <w:sz w:val="20"/>
          <w:szCs w:val="20"/>
          <w:lang w:val="es-GT"/>
        </w:rPr>
        <w:t xml:space="preserve"> Forenses para los Distritos Judiciales de Ayacucho y Huancavelica, así como el señor Zenón Cirilo Osnayo Tunque</w:t>
      </w:r>
      <w:r w:rsidRPr="002964A7">
        <w:rPr>
          <w:rFonts w:ascii="Verdana" w:hAnsi="Verdana" w:cs="Arial"/>
          <w:sz w:val="20"/>
          <w:szCs w:val="20"/>
          <w:lang w:val="es-GT"/>
        </w:rPr>
        <w:t xml:space="preserve">. En dicha oportunidad tres obreros con experiencia en labores mineras “realizaron la instalación de un sistema eléctrico al interior de la mina </w:t>
      </w:r>
      <w:r w:rsidRPr="002964A7">
        <w:rPr>
          <w:rFonts w:ascii="Verdana" w:hAnsi="Verdana" w:cs="Arial"/>
          <w:sz w:val="20"/>
          <w:szCs w:val="20"/>
          <w:lang w:val="es-GT"/>
        </w:rPr>
        <w:lastRenderedPageBreak/>
        <w:t>(alumbrado de la mina)” y “se realizó el apuntamiento artesanal de techo y las paredes de la mina en la parte más deleznable, que se encontraba aproximadamente a diez metros desde el ingreso a la mina”</w:t>
      </w:r>
      <w:r>
        <w:rPr>
          <w:rFonts w:ascii="Verdana" w:hAnsi="Verdana" w:cs="Arial"/>
          <w:sz w:val="20"/>
          <w:szCs w:val="20"/>
          <w:lang w:val="es-GT"/>
        </w:rPr>
        <w:t>,</w:t>
      </w:r>
      <w:r w:rsidRPr="002964A7">
        <w:rPr>
          <w:rFonts w:ascii="Verdana" w:hAnsi="Verdana" w:cs="Arial"/>
          <w:sz w:val="20"/>
          <w:szCs w:val="20"/>
          <w:lang w:val="es-GT"/>
        </w:rPr>
        <w:t xml:space="preserve"> con apoyo de </w:t>
      </w:r>
      <w:r w:rsidRPr="002964A7">
        <w:rPr>
          <w:rFonts w:ascii="Verdana" w:hAnsi="Verdana"/>
          <w:sz w:val="20"/>
          <w:szCs w:val="20"/>
          <w:lang w:val="es-GT"/>
        </w:rPr>
        <w:t>Zenón Cirilo Osnayo Tunque</w:t>
      </w:r>
      <w:r w:rsidRPr="002964A7">
        <w:rPr>
          <w:rFonts w:ascii="Verdana" w:hAnsi="Verdana" w:cs="Arial"/>
          <w:sz w:val="20"/>
          <w:szCs w:val="20"/>
          <w:lang w:val="es-GT"/>
        </w:rPr>
        <w:t>. Posteriormente, se delimitaron cinco unidades de excavación identificadas como D, E, F, G y H desde la ampliación de la unidad D de noviembre de 2009</w:t>
      </w:r>
      <w:r w:rsidRPr="002964A7">
        <w:rPr>
          <w:rFonts w:ascii="Verdana" w:hAnsi="Verdana"/>
          <w:sz w:val="20"/>
          <w:szCs w:val="20"/>
          <w:lang w:val="es-GT"/>
        </w:rPr>
        <w:t>, y se</w:t>
      </w:r>
      <w:r w:rsidRPr="002964A7">
        <w:rPr>
          <w:rFonts w:ascii="Verdana" w:hAnsi="Verdana" w:cs="Arial"/>
          <w:sz w:val="20"/>
          <w:szCs w:val="20"/>
          <w:lang w:val="es-GT"/>
        </w:rPr>
        <w:t xml:space="preserve"> recuperaron fragmentos óseos</w:t>
      </w:r>
      <w:r w:rsidRPr="002964A7">
        <w:rPr>
          <w:rFonts w:ascii="Verdana" w:hAnsi="Verdana" w:cs="Arial"/>
          <w:b/>
          <w:sz w:val="20"/>
          <w:szCs w:val="20"/>
          <w:lang w:val="es-GT"/>
        </w:rPr>
        <w:t xml:space="preserve"> </w:t>
      </w:r>
      <w:r w:rsidRPr="002964A7">
        <w:rPr>
          <w:rFonts w:ascii="Verdana" w:hAnsi="Verdana" w:cs="Arial"/>
          <w:sz w:val="20"/>
          <w:szCs w:val="20"/>
          <w:lang w:val="es-GT"/>
        </w:rPr>
        <w:t>humanos, vértebras en relación anatómica, piezas dentarias, fragmentos de</w:t>
      </w:r>
      <w:r w:rsidRPr="002964A7">
        <w:rPr>
          <w:rFonts w:ascii="Verdana" w:hAnsi="Verdana" w:cs="Arial"/>
          <w:b/>
          <w:sz w:val="20"/>
          <w:szCs w:val="20"/>
          <w:lang w:val="es-GT"/>
        </w:rPr>
        <w:t xml:space="preserve"> </w:t>
      </w:r>
      <w:r w:rsidRPr="002964A7">
        <w:rPr>
          <w:rFonts w:ascii="Verdana" w:hAnsi="Verdana" w:cs="Arial"/>
          <w:sz w:val="20"/>
          <w:szCs w:val="20"/>
          <w:lang w:val="es-GT"/>
        </w:rPr>
        <w:t>prendas, calzados, casquillos de arma de fuego, mechas lentas de</w:t>
      </w:r>
      <w:r w:rsidRPr="002964A7">
        <w:rPr>
          <w:rFonts w:ascii="Verdana" w:hAnsi="Verdana" w:cs="Arial"/>
          <w:b/>
          <w:sz w:val="20"/>
          <w:szCs w:val="20"/>
          <w:lang w:val="es-GT"/>
        </w:rPr>
        <w:t xml:space="preserve"> </w:t>
      </w:r>
      <w:r w:rsidRPr="002964A7">
        <w:rPr>
          <w:rFonts w:ascii="Verdana" w:hAnsi="Verdana" w:cs="Arial"/>
          <w:sz w:val="20"/>
          <w:szCs w:val="20"/>
          <w:lang w:val="es-GT"/>
        </w:rPr>
        <w:t xml:space="preserve">explosivos y otros elementos asociados. La mayor parte de las evidencias recuperadas fueron halladas en las unidades G y H, lugar donde el señor </w:t>
      </w:r>
      <w:r w:rsidRPr="002964A7">
        <w:rPr>
          <w:rFonts w:ascii="Verdana" w:hAnsi="Verdana"/>
          <w:sz w:val="20"/>
          <w:szCs w:val="20"/>
          <w:lang w:val="es-GT"/>
        </w:rPr>
        <w:t>Osnayo Tunque</w:t>
      </w:r>
      <w:r w:rsidRPr="002964A7">
        <w:rPr>
          <w:rFonts w:ascii="Verdana" w:hAnsi="Verdana" w:cs="Arial"/>
          <w:sz w:val="20"/>
          <w:szCs w:val="20"/>
          <w:lang w:val="es-GT"/>
        </w:rPr>
        <w:t xml:space="preserve"> </w:t>
      </w:r>
      <w:r w:rsidRPr="002964A7">
        <w:rPr>
          <w:rFonts w:ascii="Verdana" w:hAnsi="Verdana"/>
          <w:sz w:val="20"/>
          <w:szCs w:val="20"/>
          <w:lang w:val="es-GT"/>
        </w:rPr>
        <w:t>refirió que observó los restos de sus familiares en junio de 1991.</w:t>
      </w:r>
      <w:r w:rsidRPr="002964A7">
        <w:rPr>
          <w:rFonts w:ascii="Verdana" w:hAnsi="Verdana" w:cs="Arial"/>
          <w:sz w:val="20"/>
          <w:szCs w:val="20"/>
          <w:lang w:val="es-GT"/>
        </w:rPr>
        <w:t xml:space="preserve"> Luego de la recuperación de los restos de la unidad H</w:t>
      </w:r>
      <w:r>
        <w:rPr>
          <w:rFonts w:ascii="Verdana" w:hAnsi="Verdana" w:cs="Arial"/>
          <w:sz w:val="20"/>
          <w:szCs w:val="20"/>
          <w:lang w:val="es-GT"/>
        </w:rPr>
        <w:t>,</w:t>
      </w:r>
      <w:r w:rsidRPr="002964A7">
        <w:rPr>
          <w:rFonts w:ascii="Verdana" w:hAnsi="Verdana" w:cs="Arial"/>
          <w:sz w:val="20"/>
          <w:szCs w:val="20"/>
          <w:lang w:val="es-GT"/>
        </w:rPr>
        <w:t xml:space="preserve"> “se excavó un metro más vertical y horizontalmente, no hallándose más evidencias de interés forense, culminando el proceso de excavación en este sitio”. La evidencia recuperada fue internada en el Laboratorio de Investigaciones Forenses de Ayacucho. Según consta en la diligencia de 8 de marzo de 2010</w:t>
      </w:r>
      <w:r>
        <w:rPr>
          <w:rFonts w:ascii="Verdana" w:hAnsi="Verdana" w:cs="Arial"/>
          <w:sz w:val="20"/>
          <w:szCs w:val="20"/>
          <w:lang w:val="es-GT"/>
        </w:rPr>
        <w:t>,</w:t>
      </w:r>
      <w:r w:rsidRPr="002964A7">
        <w:rPr>
          <w:rFonts w:ascii="Verdana" w:hAnsi="Verdana" w:cs="Arial"/>
          <w:sz w:val="20"/>
          <w:szCs w:val="20"/>
          <w:lang w:val="es-GT"/>
        </w:rPr>
        <w:t xml:space="preserve"> </w:t>
      </w:r>
      <w:r w:rsidRPr="002964A7">
        <w:rPr>
          <w:rFonts w:ascii="Verdana" w:hAnsi="Verdana"/>
          <w:sz w:val="20"/>
          <w:szCs w:val="20"/>
          <w:lang w:val="es-GT"/>
        </w:rPr>
        <w:t>el señor Osnayo Tunque</w:t>
      </w:r>
      <w:r w:rsidRPr="002964A7">
        <w:rPr>
          <w:rFonts w:ascii="Verdana" w:hAnsi="Verdana" w:cs="Arial"/>
          <w:sz w:val="20"/>
          <w:szCs w:val="20"/>
          <w:lang w:val="es-GT"/>
        </w:rPr>
        <w:t xml:space="preserve"> expresó encontrarse conforme con el trabajo realizado</w:t>
      </w:r>
      <w:r>
        <w:rPr>
          <w:rFonts w:ascii="Verdana" w:hAnsi="Verdana" w:cs="Arial"/>
          <w:sz w:val="20"/>
          <w:szCs w:val="20"/>
          <w:lang w:val="es-GT"/>
        </w:rPr>
        <w:t>,</w:t>
      </w:r>
      <w:r w:rsidRPr="002964A7">
        <w:rPr>
          <w:rFonts w:ascii="Verdana" w:hAnsi="Verdana" w:cs="Arial"/>
          <w:sz w:val="20"/>
          <w:szCs w:val="20"/>
          <w:lang w:val="es-GT"/>
        </w:rPr>
        <w:t xml:space="preserve"> indicando que más allá del área excavada no existe más evidencias</w:t>
      </w:r>
      <w:r w:rsidRPr="002964A7">
        <w:rPr>
          <w:rFonts w:ascii="Verdana" w:eastAsia="Times New Roman" w:hAnsi="Verdana" w:cs="Arial"/>
          <w:sz w:val="20"/>
          <w:szCs w:val="20"/>
          <w:vertAlign w:val="superscript"/>
          <w:lang w:val="en-US"/>
        </w:rPr>
        <w:footnoteReference w:id="155"/>
      </w:r>
      <w:r w:rsidRPr="002964A7">
        <w:rPr>
          <w:rFonts w:ascii="Verdana" w:hAnsi="Verdana" w:cs="Arial"/>
          <w:sz w:val="20"/>
          <w:szCs w:val="20"/>
          <w:lang w:val="es-GT"/>
        </w:rPr>
        <w:t>.</w:t>
      </w:r>
    </w:p>
    <w:p w:rsidR="00106A1E" w:rsidRPr="002964A7" w:rsidRDefault="00106A1E" w:rsidP="00106A1E">
      <w:pPr>
        <w:spacing w:after="0" w:line="240" w:lineRule="auto"/>
        <w:contextualSpacing/>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Debido a que dicha intervención se realizó en el mes de marzo, el </w:t>
      </w:r>
      <w:r w:rsidRPr="002964A7">
        <w:rPr>
          <w:rFonts w:ascii="Verdana" w:hAnsi="Verdana"/>
          <w:sz w:val="20"/>
          <w:szCs w:val="20"/>
          <w:lang w:val="es-AR"/>
        </w:rPr>
        <w:t xml:space="preserve">arqueólogo forense Luis Alberto Rueda Curimania explicó: </w:t>
      </w:r>
      <w:r w:rsidRPr="002964A7">
        <w:rPr>
          <w:rFonts w:ascii="Verdana" w:hAnsi="Verdana" w:cs="Arial"/>
          <w:sz w:val="20"/>
          <w:szCs w:val="20"/>
          <w:lang w:val="es-GT"/>
        </w:rPr>
        <w:t>“[l]</w:t>
      </w:r>
      <w:r w:rsidRPr="002964A7">
        <w:rPr>
          <w:rFonts w:ascii="Verdana" w:hAnsi="Verdana"/>
          <w:sz w:val="20"/>
          <w:szCs w:val="20"/>
          <w:lang w:val="es-GT"/>
        </w:rPr>
        <w:t xml:space="preserve">as dificultades que encontramos fue el deslizamiento constante de las piedras que en algún momento puso en riesgo nuestras </w:t>
      </w:r>
      <w:r w:rsidRPr="002964A7">
        <w:rPr>
          <w:rFonts w:ascii="Verdana" w:hAnsi="Verdana"/>
          <w:sz w:val="20"/>
          <w:szCs w:val="20"/>
          <w:lang w:eastAsia="es-CR"/>
        </w:rPr>
        <w:t>vidas</w:t>
      </w:r>
      <w:r w:rsidRPr="002964A7">
        <w:rPr>
          <w:rFonts w:ascii="Verdana" w:hAnsi="Verdana"/>
          <w:sz w:val="20"/>
          <w:szCs w:val="20"/>
          <w:lang w:val="es-GT"/>
        </w:rPr>
        <w:t xml:space="preserve">, a pesar de que se habían apuntalado las paredes, así como la constante </w:t>
      </w:r>
      <w:r w:rsidRPr="002964A7">
        <w:rPr>
          <w:rFonts w:ascii="Verdana" w:hAnsi="Verdana" w:cs="Arial"/>
          <w:sz w:val="20"/>
          <w:szCs w:val="20"/>
        </w:rPr>
        <w:t>filtración</w:t>
      </w:r>
      <w:r w:rsidRPr="002964A7">
        <w:rPr>
          <w:rFonts w:ascii="Verdana" w:hAnsi="Verdana"/>
          <w:sz w:val="20"/>
          <w:szCs w:val="20"/>
          <w:lang w:val="es-GT"/>
        </w:rPr>
        <w:t xml:space="preserve"> de agua sobre el lugar, lo cual enlodó la tierra, o el lugar donde se estaba haciendo la recuperación de estos restos”</w:t>
      </w:r>
      <w:r w:rsidRPr="002964A7">
        <w:rPr>
          <w:rFonts w:ascii="Verdana" w:eastAsia="Times New Roman" w:hAnsi="Verdana"/>
          <w:sz w:val="20"/>
          <w:szCs w:val="20"/>
          <w:vertAlign w:val="superscript"/>
          <w:lang w:val="en-US"/>
        </w:rPr>
        <w:footnoteReference w:id="156"/>
      </w:r>
      <w:r w:rsidRPr="002964A7">
        <w:rPr>
          <w:rFonts w:ascii="Verdana" w:hAnsi="Verdana"/>
          <w:sz w:val="20"/>
          <w:szCs w:val="20"/>
          <w:lang w:val="es-GT"/>
        </w:rPr>
        <w:t>.</w:t>
      </w:r>
    </w:p>
    <w:p w:rsidR="00106A1E" w:rsidRPr="002964A7" w:rsidRDefault="00106A1E" w:rsidP="00106A1E">
      <w:pPr>
        <w:spacing w:after="0" w:line="240" w:lineRule="auto"/>
        <w:contextualSpacing/>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cs="Arial"/>
          <w:sz w:val="20"/>
          <w:szCs w:val="20"/>
          <w:lang w:val="es-GT"/>
        </w:rPr>
        <w:t xml:space="preserve">El 12 </w:t>
      </w:r>
      <w:r w:rsidRPr="002964A7">
        <w:rPr>
          <w:rFonts w:ascii="Verdana" w:hAnsi="Verdana" w:cs="Arial"/>
          <w:sz w:val="20"/>
          <w:szCs w:val="20"/>
        </w:rPr>
        <w:t>de</w:t>
      </w:r>
      <w:r w:rsidRPr="002964A7">
        <w:rPr>
          <w:rFonts w:ascii="Verdana" w:hAnsi="Verdana" w:cs="Arial"/>
          <w:sz w:val="20"/>
          <w:szCs w:val="20"/>
          <w:lang w:val="es-GT"/>
        </w:rPr>
        <w:t xml:space="preserve"> octubre de 2011 se realizó una inspección judicial en la mina</w:t>
      </w:r>
      <w:r>
        <w:rPr>
          <w:rFonts w:ascii="Verdana" w:hAnsi="Verdana" w:cs="Arial"/>
          <w:sz w:val="20"/>
          <w:szCs w:val="20"/>
          <w:lang w:val="es-GT"/>
        </w:rPr>
        <w:t>,</w:t>
      </w:r>
      <w:r w:rsidRPr="002964A7">
        <w:rPr>
          <w:rFonts w:ascii="Verdana" w:hAnsi="Verdana" w:cs="Arial"/>
          <w:sz w:val="20"/>
          <w:szCs w:val="20"/>
          <w:lang w:val="es-GT"/>
        </w:rPr>
        <w:t xml:space="preserve"> en la que participaron </w:t>
      </w:r>
      <w:r w:rsidRPr="002964A7">
        <w:rPr>
          <w:rFonts w:ascii="Verdana" w:hAnsi="Verdana"/>
          <w:sz w:val="20"/>
          <w:szCs w:val="20"/>
          <w:lang w:val="es-GT"/>
        </w:rPr>
        <w:t>el Juez del Cuarto Juzgado Penal</w:t>
      </w:r>
      <w:r>
        <w:rPr>
          <w:rFonts w:ascii="Verdana" w:hAnsi="Verdana"/>
          <w:sz w:val="20"/>
          <w:szCs w:val="20"/>
          <w:lang w:val="es-GT"/>
        </w:rPr>
        <w:t>,</w:t>
      </w:r>
      <w:r w:rsidRPr="002964A7">
        <w:rPr>
          <w:rFonts w:ascii="Verdana" w:hAnsi="Verdana"/>
          <w:sz w:val="20"/>
          <w:szCs w:val="20"/>
          <w:lang w:val="es-GT"/>
        </w:rPr>
        <w:t xml:space="preserve"> la Fiscal Penal Supraprovincial de Lima,</w:t>
      </w:r>
      <w:r>
        <w:rPr>
          <w:rFonts w:ascii="Verdana" w:hAnsi="Verdana"/>
          <w:sz w:val="20"/>
          <w:szCs w:val="20"/>
          <w:lang w:val="es-GT"/>
        </w:rPr>
        <w:t xml:space="preserve"> </w:t>
      </w:r>
      <w:r w:rsidRPr="002964A7">
        <w:rPr>
          <w:rFonts w:ascii="Verdana" w:hAnsi="Verdana"/>
          <w:sz w:val="20"/>
          <w:szCs w:val="20"/>
          <w:lang w:val="es-GT"/>
        </w:rPr>
        <w:t xml:space="preserve">el señor </w:t>
      </w:r>
      <w:r w:rsidRPr="002964A7">
        <w:rPr>
          <w:rFonts w:ascii="Verdana" w:hAnsi="Verdana"/>
          <w:sz w:val="20"/>
          <w:szCs w:val="20"/>
          <w:lang w:eastAsia="es-CR"/>
        </w:rPr>
        <w:t>Zenón</w:t>
      </w:r>
      <w:r w:rsidRPr="002964A7">
        <w:rPr>
          <w:rFonts w:ascii="Verdana" w:hAnsi="Verdana"/>
          <w:sz w:val="20"/>
          <w:szCs w:val="20"/>
          <w:lang w:val="es-GT"/>
        </w:rPr>
        <w:t xml:space="preserve"> Cirilo Osnayo Tunque, </w:t>
      </w:r>
      <w:r>
        <w:rPr>
          <w:rFonts w:ascii="Verdana" w:hAnsi="Verdana"/>
          <w:sz w:val="20"/>
          <w:szCs w:val="20"/>
          <w:lang w:val="es-GT"/>
        </w:rPr>
        <w:t xml:space="preserve">el </w:t>
      </w:r>
      <w:r w:rsidRPr="002964A7">
        <w:rPr>
          <w:rFonts w:ascii="Verdana" w:hAnsi="Verdana"/>
          <w:sz w:val="20"/>
          <w:szCs w:val="20"/>
          <w:lang w:val="es-GT"/>
        </w:rPr>
        <w:t>abogado defensor de la parte civil y efectivos policiales. En dicha diligencia se produjo un desprendimiento de tierra</w:t>
      </w:r>
      <w:r>
        <w:rPr>
          <w:rFonts w:ascii="Verdana" w:hAnsi="Verdana"/>
          <w:sz w:val="20"/>
          <w:szCs w:val="20"/>
          <w:lang w:val="es-GT"/>
        </w:rPr>
        <w:t>,</w:t>
      </w:r>
      <w:r w:rsidRPr="002964A7">
        <w:rPr>
          <w:rFonts w:ascii="Verdana" w:hAnsi="Verdana"/>
          <w:sz w:val="20"/>
          <w:szCs w:val="20"/>
          <w:lang w:val="es-GT"/>
        </w:rPr>
        <w:t xml:space="preserve"> hallándose restos de vestimenta, al parecer de arma de fuego y restos óseos, los cuales fueron embalados a fin de que se derivaran al Departamento de Criminalística de la Policía Nacional del Perú (PNP)</w:t>
      </w:r>
      <w:r w:rsidRPr="002964A7">
        <w:rPr>
          <w:rFonts w:ascii="Verdana" w:eastAsia="Times New Roman" w:hAnsi="Verdana"/>
          <w:sz w:val="20"/>
          <w:szCs w:val="20"/>
          <w:vertAlign w:val="superscript"/>
          <w:lang w:val="en-US"/>
        </w:rPr>
        <w:footnoteReference w:id="157"/>
      </w:r>
      <w:r w:rsidRPr="002964A7">
        <w:rPr>
          <w:rFonts w:ascii="Verdana" w:hAnsi="Verdana"/>
          <w:sz w:val="20"/>
          <w:szCs w:val="20"/>
          <w:lang w:val="es-GT"/>
        </w:rPr>
        <w:t xml:space="preserve">. Al respecto, el Estado informó que el Equipo Forense Especializado (EFE) del Instituto de Medicina Legal y Ciencias Forenses del Ministerio Público “no ha participado ni ha tenido conocimiento formal de la realización” de dicha intervención. </w:t>
      </w:r>
    </w:p>
    <w:p w:rsidR="00106A1E" w:rsidRPr="002964A7" w:rsidRDefault="00106A1E" w:rsidP="00106A1E">
      <w:pPr>
        <w:spacing w:after="0" w:line="240" w:lineRule="auto"/>
        <w:ind w:left="720"/>
        <w:contextualSpacing/>
        <w:rPr>
          <w:rFonts w:ascii="Verdana" w:hAnsi="Verdana"/>
          <w:sz w:val="20"/>
          <w:szCs w:val="20"/>
        </w:rPr>
      </w:pPr>
    </w:p>
    <w:p w:rsidR="00106A1E" w:rsidRPr="00802006"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lang w:val="es-GT"/>
        </w:rPr>
        <w:t xml:space="preserve">En razón de la intervención de </w:t>
      </w:r>
      <w:r w:rsidRPr="002964A7">
        <w:rPr>
          <w:rFonts w:ascii="Verdana" w:hAnsi="Verdana" w:cs="Arial"/>
          <w:sz w:val="20"/>
          <w:szCs w:val="20"/>
          <w:lang w:val="es-GT"/>
        </w:rPr>
        <w:t>12 de octubre de 2011</w:t>
      </w:r>
      <w:r w:rsidRPr="002964A7">
        <w:rPr>
          <w:rFonts w:ascii="Verdana" w:hAnsi="Verdana"/>
          <w:sz w:val="20"/>
          <w:szCs w:val="20"/>
          <w:lang w:val="es-GT"/>
        </w:rPr>
        <w:t xml:space="preserve">, no es posible descartar que en el </w:t>
      </w:r>
      <w:r w:rsidRPr="002964A7">
        <w:rPr>
          <w:rFonts w:ascii="Verdana" w:hAnsi="Verdana" w:cs="Arial"/>
          <w:sz w:val="20"/>
          <w:szCs w:val="20"/>
        </w:rPr>
        <w:t>sitio</w:t>
      </w:r>
      <w:r w:rsidRPr="002964A7">
        <w:rPr>
          <w:rFonts w:ascii="Verdana" w:hAnsi="Verdana"/>
          <w:sz w:val="20"/>
          <w:szCs w:val="20"/>
          <w:lang w:val="es-GT"/>
        </w:rPr>
        <w:t xml:space="preserve"> pueda aún encontrarse restos óseos y evidencia</w:t>
      </w:r>
      <w:r w:rsidRPr="002964A7">
        <w:rPr>
          <w:rFonts w:ascii="Verdana" w:eastAsia="Times New Roman" w:hAnsi="Verdana"/>
          <w:sz w:val="20"/>
          <w:szCs w:val="20"/>
          <w:vertAlign w:val="superscript"/>
          <w:lang w:val="en-US"/>
        </w:rPr>
        <w:footnoteReference w:id="158"/>
      </w:r>
      <w:r w:rsidRPr="002964A7">
        <w:rPr>
          <w:rFonts w:ascii="Verdana" w:hAnsi="Verdana"/>
          <w:sz w:val="20"/>
          <w:szCs w:val="20"/>
          <w:lang w:val="es-GT"/>
        </w:rPr>
        <w:t xml:space="preserve">. </w:t>
      </w:r>
      <w:r>
        <w:rPr>
          <w:rFonts w:ascii="Verdana" w:hAnsi="Verdana"/>
          <w:sz w:val="20"/>
          <w:szCs w:val="20"/>
          <w:lang w:val="es-GT"/>
        </w:rPr>
        <w:t xml:space="preserve">No consta diligencia alguna realizada con </w:t>
      </w:r>
      <w:r w:rsidRPr="00802006">
        <w:rPr>
          <w:rFonts w:ascii="Verdana" w:hAnsi="Verdana"/>
          <w:sz w:val="20"/>
          <w:szCs w:val="20"/>
        </w:rPr>
        <w:t>posterioridad.</w:t>
      </w:r>
    </w:p>
    <w:p w:rsidR="00106A1E" w:rsidRPr="00802006" w:rsidRDefault="00106A1E" w:rsidP="00106A1E">
      <w:pPr>
        <w:pStyle w:val="ListParagraph"/>
        <w:rPr>
          <w:rFonts w:ascii="Verdana" w:hAnsi="Verdana" w:cs="Arial"/>
          <w:sz w:val="20"/>
          <w:szCs w:val="20"/>
          <w:lang w:eastAsia="es-CR"/>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802006">
        <w:rPr>
          <w:rFonts w:ascii="Verdana" w:hAnsi="Verdana" w:cs="Arial"/>
          <w:sz w:val="20"/>
          <w:szCs w:val="20"/>
          <w:lang w:eastAsia="es-CR"/>
        </w:rPr>
        <w:t xml:space="preserve">Una vez realizados los análisis de antropología y odontología forenses a </w:t>
      </w:r>
      <w:r w:rsidRPr="00802006">
        <w:rPr>
          <w:rFonts w:ascii="Verdana" w:hAnsi="Verdana" w:cs="Arial"/>
          <w:sz w:val="20"/>
          <w:szCs w:val="20"/>
          <w:lang w:val="es-GT" w:eastAsia="es-CR"/>
        </w:rPr>
        <w:t xml:space="preserve">los restos óseos recuperados </w:t>
      </w:r>
      <w:r w:rsidRPr="00802006">
        <w:rPr>
          <w:rFonts w:ascii="Verdana" w:hAnsi="Verdana"/>
          <w:sz w:val="20"/>
          <w:szCs w:val="20"/>
          <w:lang w:val="es-GT" w:eastAsia="es-CR"/>
        </w:rPr>
        <w:t xml:space="preserve">entre el </w:t>
      </w:r>
      <w:r w:rsidRPr="00802006">
        <w:rPr>
          <w:rFonts w:ascii="Verdana" w:hAnsi="Verdana" w:cs="Arial"/>
          <w:sz w:val="20"/>
          <w:szCs w:val="20"/>
          <w:lang w:val="es-GT" w:eastAsia="es-CR"/>
        </w:rPr>
        <w:t xml:space="preserve">1 y 8 de marzo de 2010 en la </w:t>
      </w:r>
      <w:r w:rsidRPr="00802006">
        <w:rPr>
          <w:rFonts w:ascii="Verdana" w:hAnsi="Verdana"/>
          <w:sz w:val="20"/>
          <w:szCs w:val="20"/>
          <w:lang w:val="es-GT" w:eastAsia="es-CR"/>
        </w:rPr>
        <w:t xml:space="preserve">mina abandonada “Misteriosa” o “Vallarón” </w:t>
      </w:r>
      <w:r w:rsidRPr="00802006">
        <w:rPr>
          <w:rFonts w:ascii="Verdana" w:hAnsi="Verdana" w:cs="Arial"/>
          <w:sz w:val="20"/>
          <w:szCs w:val="20"/>
          <w:lang w:val="es-GT" w:eastAsia="es-CR"/>
        </w:rPr>
        <w:t>(</w:t>
      </w:r>
      <w:r w:rsidRPr="00802006">
        <w:rPr>
          <w:rFonts w:ascii="Verdana" w:hAnsi="Verdana" w:cs="Arial"/>
          <w:i/>
          <w:sz w:val="20"/>
          <w:szCs w:val="20"/>
          <w:lang w:val="es-GT" w:eastAsia="es-CR"/>
        </w:rPr>
        <w:t>supra</w:t>
      </w:r>
      <w:r w:rsidRPr="00802006">
        <w:rPr>
          <w:rFonts w:ascii="Verdana" w:hAnsi="Verdana" w:cs="Arial"/>
          <w:sz w:val="20"/>
          <w:szCs w:val="20"/>
          <w:lang w:val="es-GT" w:eastAsia="es-CR"/>
        </w:rPr>
        <w:t xml:space="preserve"> párr. </w:t>
      </w:r>
      <w:r>
        <w:rPr>
          <w:rFonts w:ascii="Verdana" w:hAnsi="Verdana" w:cs="Arial"/>
          <w:sz w:val="20"/>
          <w:szCs w:val="20"/>
          <w:lang w:val="es-GT" w:eastAsia="es-CR"/>
        </w:rPr>
        <w:t>140</w:t>
      </w:r>
      <w:r w:rsidRPr="00802006">
        <w:rPr>
          <w:rFonts w:ascii="Verdana" w:hAnsi="Verdana" w:cs="Arial"/>
          <w:sz w:val="20"/>
          <w:szCs w:val="20"/>
          <w:lang w:val="es-GT" w:eastAsia="es-CR"/>
        </w:rPr>
        <w:t>)</w:t>
      </w:r>
      <w:r>
        <w:rPr>
          <w:rFonts w:ascii="Verdana" w:hAnsi="Verdana" w:cs="Arial"/>
          <w:sz w:val="20"/>
          <w:szCs w:val="20"/>
          <w:lang w:val="es-GT" w:eastAsia="es-CR"/>
        </w:rPr>
        <w:t xml:space="preserve">, </w:t>
      </w:r>
      <w:r>
        <w:rPr>
          <w:rFonts w:ascii="Verdana" w:hAnsi="Verdana" w:cs="Arial"/>
          <w:sz w:val="20"/>
          <w:szCs w:val="20"/>
          <w:lang w:val="es-GT"/>
        </w:rPr>
        <w:t>en</w:t>
      </w:r>
      <w:r w:rsidRPr="00802006">
        <w:rPr>
          <w:rFonts w:ascii="Verdana" w:hAnsi="Verdana"/>
          <w:sz w:val="20"/>
          <w:szCs w:val="20"/>
          <w:lang w:val="es-GT" w:eastAsia="es-CR"/>
        </w:rPr>
        <w:t xml:space="preserve"> abril y mayo de 2010</w:t>
      </w:r>
      <w:r>
        <w:rPr>
          <w:rFonts w:ascii="Verdana" w:hAnsi="Verdana"/>
          <w:sz w:val="20"/>
          <w:szCs w:val="20"/>
          <w:lang w:val="es-GT" w:eastAsia="es-CR"/>
        </w:rPr>
        <w:t xml:space="preserve"> </w:t>
      </w:r>
      <w:r>
        <w:rPr>
          <w:rFonts w:ascii="Verdana" w:hAnsi="Verdana" w:cs="Arial"/>
          <w:sz w:val="20"/>
          <w:szCs w:val="20"/>
          <w:lang w:eastAsia="es-CR"/>
        </w:rPr>
        <w:t xml:space="preserve">el Laboratorio de Investigaciones Forenses y el Instituto de Medicina Legal del Ministerio Público </w:t>
      </w:r>
      <w:r w:rsidRPr="00802006">
        <w:rPr>
          <w:rFonts w:ascii="Verdana" w:hAnsi="Verdana" w:cs="Arial"/>
          <w:sz w:val="20"/>
          <w:szCs w:val="20"/>
          <w:lang w:eastAsia="es-CR"/>
        </w:rPr>
        <w:t>recomend</w:t>
      </w:r>
      <w:r>
        <w:rPr>
          <w:rFonts w:ascii="Verdana" w:hAnsi="Verdana" w:cs="Arial"/>
          <w:sz w:val="20"/>
          <w:szCs w:val="20"/>
          <w:lang w:eastAsia="es-CR"/>
        </w:rPr>
        <w:t>aron</w:t>
      </w:r>
      <w:r w:rsidRPr="00802006">
        <w:rPr>
          <w:rFonts w:ascii="Verdana" w:hAnsi="Verdana" w:cs="Arial"/>
          <w:sz w:val="20"/>
          <w:szCs w:val="20"/>
          <w:lang w:eastAsia="es-CR"/>
        </w:rPr>
        <w:t xml:space="preserve"> su </w:t>
      </w:r>
      <w:r w:rsidRPr="00802006">
        <w:rPr>
          <w:rFonts w:ascii="Verdana" w:hAnsi="Verdana" w:cs="Arial"/>
          <w:sz w:val="20"/>
          <w:szCs w:val="20"/>
          <w:lang w:val="es-GT" w:eastAsia="es-CR"/>
        </w:rPr>
        <w:t>análisis biomolecular a nivel genético (ADN)</w:t>
      </w:r>
      <w:r w:rsidRPr="00501BAA">
        <w:rPr>
          <w:rFonts w:ascii="Verdana" w:hAnsi="Verdana"/>
          <w:sz w:val="20"/>
          <w:szCs w:val="20"/>
          <w:vertAlign w:val="superscript"/>
          <w:lang w:eastAsia="es-CR"/>
        </w:rPr>
        <w:footnoteReference w:id="159"/>
      </w:r>
      <w:r w:rsidRPr="00802006">
        <w:rPr>
          <w:rFonts w:ascii="Verdana" w:hAnsi="Verdana" w:cs="Arial"/>
          <w:sz w:val="20"/>
          <w:szCs w:val="20"/>
          <w:lang w:eastAsia="es-CR"/>
        </w:rPr>
        <w:t xml:space="preserve">. </w:t>
      </w:r>
      <w:r>
        <w:rPr>
          <w:rFonts w:ascii="Verdana" w:hAnsi="Verdana" w:cs="Arial"/>
          <w:sz w:val="20"/>
          <w:szCs w:val="20"/>
          <w:lang w:eastAsia="es-CR"/>
        </w:rPr>
        <w:t>L</w:t>
      </w:r>
      <w:r w:rsidRPr="00802006">
        <w:rPr>
          <w:rFonts w:ascii="Verdana" w:hAnsi="Verdana" w:cs="Arial"/>
          <w:sz w:val="20"/>
          <w:szCs w:val="20"/>
          <w:lang w:eastAsia="es-CR"/>
        </w:rPr>
        <w:t xml:space="preserve">a Corte nota que la </w:t>
      </w:r>
      <w:r w:rsidRPr="00802006">
        <w:rPr>
          <w:rFonts w:ascii="Verdana" w:hAnsi="Verdana" w:cs="Arial"/>
          <w:sz w:val="20"/>
          <w:szCs w:val="20"/>
          <w:lang w:val="es-GT" w:eastAsia="es-CR"/>
        </w:rPr>
        <w:t xml:space="preserve">información proveniente de </w:t>
      </w:r>
      <w:r w:rsidRPr="00802006">
        <w:rPr>
          <w:rFonts w:ascii="Verdana" w:hAnsi="Verdana" w:cs="Arial"/>
          <w:sz w:val="20"/>
          <w:szCs w:val="20"/>
          <w:lang w:val="es-GT" w:eastAsia="es-CR"/>
        </w:rPr>
        <w:lastRenderedPageBreak/>
        <w:t xml:space="preserve">dependencias del Ministerio Público sobre el </w:t>
      </w:r>
      <w:r w:rsidRPr="00802006">
        <w:rPr>
          <w:rFonts w:ascii="Verdana" w:hAnsi="Verdana"/>
          <w:sz w:val="20"/>
          <w:szCs w:val="20"/>
          <w:lang w:eastAsia="es-CR"/>
        </w:rPr>
        <w:t xml:space="preserve">procesamiento de </w:t>
      </w:r>
      <w:r w:rsidRPr="00802006">
        <w:rPr>
          <w:rFonts w:ascii="Verdana" w:hAnsi="Verdana" w:cs="Arial"/>
          <w:sz w:val="20"/>
          <w:szCs w:val="20"/>
          <w:lang w:val="es-GT" w:eastAsia="es-CR"/>
        </w:rPr>
        <w:t xml:space="preserve">los restos recuperados se encuentra desagregada y presenta serias inconsistencias. No obstante, </w:t>
      </w:r>
      <w:r w:rsidRPr="00802006">
        <w:rPr>
          <w:rFonts w:ascii="Verdana" w:hAnsi="Verdana"/>
          <w:sz w:val="20"/>
          <w:szCs w:val="20"/>
          <w:lang w:eastAsia="es-CR"/>
        </w:rPr>
        <w:t>d</w:t>
      </w:r>
      <w:r w:rsidRPr="00802006">
        <w:rPr>
          <w:rFonts w:ascii="Verdana" w:hAnsi="Verdana"/>
          <w:sz w:val="20"/>
          <w:szCs w:val="20"/>
          <w:lang w:val="es-GT"/>
        </w:rPr>
        <w:t xml:space="preserve">el acervo probatorio </w:t>
      </w:r>
      <w:r w:rsidRPr="00802006">
        <w:rPr>
          <w:rFonts w:ascii="Verdana" w:hAnsi="Verdana" w:cs="Arial"/>
          <w:sz w:val="20"/>
          <w:szCs w:val="20"/>
          <w:lang w:val="es-GT" w:eastAsia="es-CR"/>
        </w:rPr>
        <w:t>es posible concluir que el 30 de septiembre de 2010 fueron muestreados seis familiares</w:t>
      </w:r>
      <w:r>
        <w:rPr>
          <w:rFonts w:ascii="Verdana" w:hAnsi="Verdana" w:cs="Arial"/>
          <w:sz w:val="20"/>
          <w:szCs w:val="20"/>
          <w:lang w:val="es-GT" w:eastAsia="es-CR"/>
        </w:rPr>
        <w:t>,</w:t>
      </w:r>
      <w:r w:rsidRPr="00802006">
        <w:rPr>
          <w:rFonts w:ascii="Verdana" w:hAnsi="Verdana" w:cs="Arial"/>
          <w:sz w:val="20"/>
          <w:szCs w:val="20"/>
          <w:lang w:val="es-GT" w:eastAsia="es-CR"/>
        </w:rPr>
        <w:t xml:space="preserve"> obteniéndose los perfiles genéticos completos de los señores Zenón Cirilo Osnayo Tunque, Zósimo Hilario Quispe, Marino Huamaní Ve</w:t>
      </w:r>
      <w:r>
        <w:rPr>
          <w:rFonts w:ascii="Verdana" w:hAnsi="Verdana" w:cs="Arial"/>
          <w:sz w:val="20"/>
          <w:szCs w:val="20"/>
          <w:lang w:val="es-GT" w:eastAsia="es-CR"/>
        </w:rPr>
        <w:t>r</w:t>
      </w:r>
      <w:r w:rsidRPr="00802006">
        <w:rPr>
          <w:rFonts w:ascii="Verdana" w:hAnsi="Verdana" w:cs="Arial"/>
          <w:sz w:val="20"/>
          <w:szCs w:val="20"/>
          <w:lang w:val="es-GT" w:eastAsia="es-CR"/>
        </w:rPr>
        <w:t>gara, Abilio Hilario Quispe, Gregorio Hilario Quispe y Víctor Carhuapoma de la Cruz</w:t>
      </w:r>
      <w:r w:rsidRPr="00501BAA">
        <w:rPr>
          <w:rFonts w:ascii="Verdana" w:hAnsi="Verdana" w:cs="Arial"/>
          <w:sz w:val="20"/>
          <w:szCs w:val="20"/>
          <w:vertAlign w:val="superscript"/>
          <w:lang w:eastAsia="es-CR"/>
        </w:rPr>
        <w:footnoteReference w:id="160"/>
      </w:r>
      <w:r w:rsidRPr="00802006">
        <w:rPr>
          <w:rFonts w:ascii="Verdana" w:hAnsi="Verdana" w:cs="Arial"/>
          <w:sz w:val="20"/>
          <w:szCs w:val="20"/>
          <w:lang w:val="es-GT" w:eastAsia="es-CR"/>
        </w:rPr>
        <w:t xml:space="preserve">. </w:t>
      </w:r>
      <w:r>
        <w:rPr>
          <w:rFonts w:ascii="Verdana" w:hAnsi="Verdana" w:cs="Arial"/>
          <w:sz w:val="20"/>
          <w:szCs w:val="20"/>
          <w:lang w:val="es-GT" w:eastAsia="es-CR"/>
        </w:rPr>
        <w:t>Además</w:t>
      </w:r>
      <w:r w:rsidRPr="00802006">
        <w:rPr>
          <w:rFonts w:ascii="Verdana" w:hAnsi="Verdana" w:cs="Arial"/>
          <w:sz w:val="20"/>
          <w:szCs w:val="20"/>
          <w:lang w:val="es-GT" w:eastAsia="es-CR"/>
        </w:rPr>
        <w:t>, se llevó a cabo la toma de muestras de los restos óseos recuperados</w:t>
      </w:r>
      <w:r>
        <w:rPr>
          <w:rFonts w:ascii="Verdana" w:hAnsi="Verdana" w:cs="Arial"/>
          <w:sz w:val="20"/>
          <w:szCs w:val="20"/>
          <w:lang w:val="es-GT" w:eastAsia="es-CR"/>
        </w:rPr>
        <w:t>,</w:t>
      </w:r>
      <w:r w:rsidRPr="00802006">
        <w:rPr>
          <w:rFonts w:ascii="Verdana" w:hAnsi="Verdana" w:cs="Arial"/>
          <w:sz w:val="20"/>
          <w:szCs w:val="20"/>
          <w:lang w:val="es-GT" w:eastAsia="es-CR"/>
        </w:rPr>
        <w:t xml:space="preserve"> </w:t>
      </w:r>
      <w:r>
        <w:rPr>
          <w:rFonts w:ascii="Verdana" w:hAnsi="Verdana" w:cs="Arial"/>
          <w:sz w:val="20"/>
          <w:szCs w:val="20"/>
          <w:lang w:val="es-GT" w:eastAsia="es-CR"/>
        </w:rPr>
        <w:t>obteniéndose</w:t>
      </w:r>
      <w:r w:rsidRPr="00802006">
        <w:rPr>
          <w:rFonts w:ascii="Verdana" w:hAnsi="Verdana" w:cs="Arial"/>
          <w:sz w:val="20"/>
          <w:szCs w:val="20"/>
          <w:lang w:val="es-GT" w:eastAsia="es-CR"/>
        </w:rPr>
        <w:t xml:space="preserve"> 4 perfiles genéticos completos, los cuales se emplearon para el cotejo de</w:t>
      </w:r>
      <w:r>
        <w:rPr>
          <w:rFonts w:ascii="Verdana" w:hAnsi="Verdana" w:cs="Arial"/>
          <w:sz w:val="20"/>
          <w:szCs w:val="20"/>
          <w:lang w:val="es-GT" w:eastAsia="es-CR"/>
        </w:rPr>
        <w:t xml:space="preserve"> las</w:t>
      </w:r>
      <w:r w:rsidRPr="00802006">
        <w:rPr>
          <w:rFonts w:ascii="Verdana" w:hAnsi="Verdana" w:cs="Arial"/>
          <w:sz w:val="20"/>
          <w:szCs w:val="20"/>
          <w:lang w:val="es-GT" w:eastAsia="es-CR"/>
        </w:rPr>
        <w:t xml:space="preserve"> seis muestras de los familiares</w:t>
      </w:r>
      <w:r>
        <w:rPr>
          <w:rFonts w:ascii="Verdana" w:hAnsi="Verdana" w:cs="Arial"/>
          <w:sz w:val="20"/>
          <w:szCs w:val="20"/>
          <w:lang w:val="es-GT" w:eastAsia="es-CR"/>
        </w:rPr>
        <w:t>;</w:t>
      </w:r>
      <w:r w:rsidRPr="00802006">
        <w:rPr>
          <w:rFonts w:ascii="Verdana" w:hAnsi="Verdana" w:cs="Arial"/>
          <w:sz w:val="20"/>
          <w:szCs w:val="20"/>
          <w:lang w:val="es-GT" w:eastAsia="es-CR"/>
        </w:rPr>
        <w:t xml:space="preserve"> sin embargo</w:t>
      </w:r>
      <w:r>
        <w:rPr>
          <w:rFonts w:ascii="Verdana" w:hAnsi="Verdana" w:cs="Arial"/>
          <w:sz w:val="20"/>
          <w:szCs w:val="20"/>
          <w:lang w:val="es-GT" w:eastAsia="es-CR"/>
        </w:rPr>
        <w:t xml:space="preserve"> y </w:t>
      </w:r>
      <w:r w:rsidRPr="00802006">
        <w:rPr>
          <w:rFonts w:ascii="Verdana" w:hAnsi="Verdana" w:cs="Arial"/>
          <w:sz w:val="20"/>
          <w:szCs w:val="20"/>
          <w:lang w:val="es-GT" w:eastAsia="es-CR"/>
        </w:rPr>
        <w:t>según</w:t>
      </w:r>
      <w:r>
        <w:rPr>
          <w:rFonts w:ascii="Verdana" w:hAnsi="Verdana" w:cs="Arial"/>
          <w:sz w:val="20"/>
          <w:szCs w:val="20"/>
          <w:lang w:val="es-GT" w:eastAsia="es-CR"/>
        </w:rPr>
        <w:t xml:space="preserve"> consta en el</w:t>
      </w:r>
      <w:r w:rsidRPr="00802006">
        <w:rPr>
          <w:rFonts w:ascii="Verdana" w:hAnsi="Verdana" w:cs="Arial"/>
          <w:sz w:val="20"/>
          <w:szCs w:val="20"/>
          <w:lang w:val="es-GT" w:eastAsia="es-CR"/>
        </w:rPr>
        <w:t xml:space="preserve"> informe </w:t>
      </w:r>
      <w:r>
        <w:rPr>
          <w:rFonts w:ascii="Verdana" w:hAnsi="Verdana" w:cs="Arial"/>
          <w:sz w:val="20"/>
          <w:szCs w:val="20"/>
          <w:lang w:val="es-GT" w:eastAsia="es-CR"/>
        </w:rPr>
        <w:t xml:space="preserve">del Ministerio Público </w:t>
      </w:r>
      <w:r w:rsidRPr="00802006">
        <w:rPr>
          <w:rFonts w:ascii="Verdana" w:hAnsi="Verdana" w:cs="Arial"/>
          <w:sz w:val="20"/>
          <w:szCs w:val="20"/>
          <w:lang w:val="es-GT" w:eastAsia="es-CR"/>
        </w:rPr>
        <w:t xml:space="preserve">de </w:t>
      </w:r>
      <w:r w:rsidRPr="00802006">
        <w:rPr>
          <w:rFonts w:ascii="Verdana" w:hAnsi="Verdana"/>
          <w:sz w:val="20"/>
          <w:szCs w:val="20"/>
          <w:lang w:val="es-GT"/>
        </w:rPr>
        <w:t>24 de octubre de 2012</w:t>
      </w:r>
      <w:r w:rsidRPr="00802006">
        <w:rPr>
          <w:rFonts w:ascii="Verdana" w:hAnsi="Verdana" w:cs="Arial"/>
          <w:sz w:val="20"/>
          <w:szCs w:val="20"/>
          <w:lang w:val="es-GT" w:eastAsia="es-CR"/>
        </w:rPr>
        <w:t>, ninguno de ellos hizo cruce</w:t>
      </w:r>
      <w:r w:rsidRPr="00501BAA">
        <w:rPr>
          <w:rFonts w:ascii="Verdana" w:hAnsi="Verdana"/>
          <w:sz w:val="20"/>
          <w:szCs w:val="20"/>
          <w:vertAlign w:val="superscript"/>
          <w:lang w:eastAsia="es-CR"/>
        </w:rPr>
        <w:footnoteReference w:id="161"/>
      </w:r>
      <w:r w:rsidRPr="00802006">
        <w:rPr>
          <w:rFonts w:ascii="Verdana" w:hAnsi="Verdana" w:cs="Arial"/>
          <w:sz w:val="20"/>
          <w:szCs w:val="20"/>
          <w:lang w:val="es-GT" w:eastAsia="es-CR"/>
        </w:rPr>
        <w:t>. Posteriormente, el 21 de enero de 2015 se obtuvo también el perfil completo del señor Marcelo Hilario Quispe</w:t>
      </w:r>
      <w:r w:rsidRPr="00501BAA">
        <w:rPr>
          <w:rFonts w:ascii="Verdana" w:hAnsi="Verdana" w:cs="Arial"/>
          <w:sz w:val="20"/>
          <w:szCs w:val="20"/>
          <w:vertAlign w:val="superscript"/>
          <w:lang w:eastAsia="es-CR"/>
        </w:rPr>
        <w:footnoteReference w:id="162"/>
      </w:r>
      <w:r w:rsidRPr="00802006">
        <w:rPr>
          <w:rFonts w:ascii="Verdana" w:hAnsi="Verdana" w:cs="Arial"/>
          <w:sz w:val="20"/>
          <w:szCs w:val="20"/>
          <w:lang w:val="es-GT" w:eastAsia="es-CR"/>
        </w:rPr>
        <w:t>.</w:t>
      </w:r>
      <w:r w:rsidRPr="00802006">
        <w:rPr>
          <w:rFonts w:ascii="Verdana" w:hAnsi="Verdana" w:cs="Arial"/>
          <w:sz w:val="20"/>
          <w:szCs w:val="20"/>
          <w:lang w:eastAsia="es-CR"/>
        </w:rPr>
        <w:t xml:space="preserve"> </w:t>
      </w:r>
      <w:r w:rsidRPr="00802006">
        <w:rPr>
          <w:rFonts w:ascii="Verdana" w:hAnsi="Verdana" w:cs="Arial"/>
          <w:sz w:val="20"/>
          <w:szCs w:val="20"/>
          <w:lang w:val="es-GT" w:eastAsia="es-CR"/>
        </w:rPr>
        <w:t xml:space="preserve">Finalmente, si bien </w:t>
      </w:r>
      <w:r w:rsidRPr="00802006">
        <w:rPr>
          <w:rFonts w:ascii="Verdana" w:hAnsi="Verdana" w:cs="Arial"/>
          <w:sz w:val="20"/>
          <w:szCs w:val="20"/>
          <w:lang w:val="es-GT"/>
        </w:rPr>
        <w:t xml:space="preserve">a partir del 22 de enero de 2015 se inició el re-análisis de las muestras del caso, </w:t>
      </w:r>
      <w:r w:rsidRPr="00802006">
        <w:rPr>
          <w:rFonts w:ascii="Verdana" w:hAnsi="Verdana"/>
          <w:bCs/>
          <w:sz w:val="20"/>
          <w:szCs w:val="20"/>
          <w:shd w:val="clear" w:color="auto" w:fill="FFFFFF"/>
          <w:lang w:eastAsia="es-CR"/>
        </w:rPr>
        <w:t xml:space="preserve">aún se mantiene </w:t>
      </w:r>
      <w:r w:rsidRPr="00802006">
        <w:rPr>
          <w:rFonts w:ascii="Verdana" w:hAnsi="Verdana"/>
          <w:sz w:val="20"/>
          <w:szCs w:val="20"/>
          <w:lang w:eastAsia="es-CR"/>
        </w:rPr>
        <w:t>l</w:t>
      </w:r>
      <w:r w:rsidRPr="00802006">
        <w:rPr>
          <w:rFonts w:ascii="Verdana" w:hAnsi="Verdana" w:cs="Univers"/>
          <w:sz w:val="20"/>
          <w:szCs w:val="20"/>
          <w:lang w:val="es-CO" w:eastAsia="es-CR"/>
        </w:rPr>
        <w:t xml:space="preserve">a incertidumbre sobre su correspondencia </w:t>
      </w:r>
      <w:r w:rsidRPr="00802006">
        <w:rPr>
          <w:rFonts w:ascii="Verdana" w:hAnsi="Verdana"/>
          <w:sz w:val="20"/>
          <w:szCs w:val="20"/>
          <w:lang w:eastAsia="es-CR"/>
        </w:rPr>
        <w:t>con las víctimas de este caso</w:t>
      </w:r>
      <w:r>
        <w:rPr>
          <w:rStyle w:val="FootnoteReference"/>
          <w:rFonts w:eastAsiaTheme="minorHAnsi"/>
          <w:szCs w:val="20"/>
          <w:lang w:eastAsia="es-CR"/>
        </w:rPr>
        <w:footnoteReference w:id="163"/>
      </w:r>
      <w:r>
        <w:rPr>
          <w:rFonts w:ascii="Verdana" w:hAnsi="Verdana"/>
          <w:sz w:val="20"/>
          <w:szCs w:val="20"/>
          <w:lang w:eastAsia="es-CR"/>
        </w:rPr>
        <w:t xml:space="preserve">, ninguna de las cuales ha sido identificada. </w:t>
      </w:r>
    </w:p>
    <w:p w:rsidR="00106A1E" w:rsidRPr="002964A7" w:rsidRDefault="001154F9" w:rsidP="00836D0F">
      <w:pPr>
        <w:pStyle w:val="Heading3"/>
        <w:spacing w:line="240" w:lineRule="auto"/>
        <w:jc w:val="both"/>
        <w:rPr>
          <w:lang w:val="es-GT"/>
        </w:rPr>
      </w:pPr>
      <w:bookmarkStart w:id="145" w:name="_Toc423102537"/>
      <w:bookmarkStart w:id="146" w:name="_Toc433387490"/>
      <w:r>
        <w:rPr>
          <w:iCs/>
          <w:lang w:val="es-GT"/>
        </w:rPr>
        <w:t>G</w:t>
      </w:r>
      <w:r w:rsidR="005A69BF">
        <w:rPr>
          <w:iCs/>
          <w:lang w:val="es-GT"/>
        </w:rPr>
        <w:t>.</w:t>
      </w:r>
      <w:r>
        <w:rPr>
          <w:iCs/>
          <w:lang w:val="es-GT"/>
        </w:rPr>
        <w:t xml:space="preserve"> </w:t>
      </w:r>
      <w:r w:rsidR="00106A1E" w:rsidRPr="002964A7">
        <w:rPr>
          <w:iCs/>
          <w:lang w:val="es-GT"/>
        </w:rPr>
        <w:t>Los</w:t>
      </w:r>
      <w:r w:rsidR="00106A1E" w:rsidRPr="002964A7">
        <w:rPr>
          <w:spacing w:val="-2"/>
          <w:lang w:val="es-GT"/>
        </w:rPr>
        <w:t xml:space="preserve"> alegados </w:t>
      </w:r>
      <w:r w:rsidR="00106A1E" w:rsidRPr="002964A7">
        <w:rPr>
          <w:lang w:val="es-GT"/>
        </w:rPr>
        <w:t xml:space="preserve">mecanismos de encubrimiento, falta de debida diligencia </w:t>
      </w:r>
      <w:r w:rsidR="00106A1E">
        <w:rPr>
          <w:lang w:val="es-GT"/>
        </w:rPr>
        <w:t xml:space="preserve">e </w:t>
      </w:r>
      <w:r w:rsidR="00106A1E" w:rsidRPr="002964A7">
        <w:rPr>
          <w:lang w:val="es-GT"/>
        </w:rPr>
        <w:t>irregularidades en la captura de los procesados ausentes y los procedimientos forenses</w:t>
      </w:r>
      <w:bookmarkEnd w:id="145"/>
      <w:bookmarkEnd w:id="146"/>
    </w:p>
    <w:p w:rsidR="00106A1E" w:rsidRPr="002964A7" w:rsidRDefault="00106A1E" w:rsidP="00106A1E">
      <w:pPr>
        <w:spacing w:after="0" w:line="240" w:lineRule="auto"/>
        <w:contextualSpacing/>
        <w:jc w:val="both"/>
        <w:rPr>
          <w:rFonts w:ascii="Verdana" w:eastAsia="Calibri" w:hAnsi="Verdana"/>
          <w:b/>
          <w:spacing w:val="-2"/>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GT"/>
        </w:rPr>
        <w:t xml:space="preserve">Una parte fundamental de los hechos del presente caso se refiere a las alegaciones, por parte de la </w:t>
      </w:r>
      <w:r w:rsidRPr="002964A7">
        <w:rPr>
          <w:rFonts w:ascii="Verdana" w:hAnsi="Verdana"/>
          <w:iCs/>
          <w:sz w:val="20"/>
          <w:szCs w:val="20"/>
          <w:lang w:val="es-GT"/>
        </w:rPr>
        <w:t xml:space="preserve">Comisión y de los representantes, respecto a que, desde </w:t>
      </w:r>
      <w:r w:rsidRPr="002964A7">
        <w:rPr>
          <w:rFonts w:ascii="Verdana" w:hAnsi="Verdana"/>
          <w:sz w:val="20"/>
          <w:szCs w:val="20"/>
          <w:lang w:val="es-GT"/>
        </w:rPr>
        <w:t xml:space="preserve">el inicio de la ejecución de las alegadas desapariciones forzadas, se activaron una serie de </w:t>
      </w:r>
      <w:r w:rsidRPr="002964A7">
        <w:rPr>
          <w:rFonts w:ascii="Verdana" w:hAnsi="Verdana" w:cs="Arial"/>
          <w:sz w:val="20"/>
          <w:szCs w:val="20"/>
        </w:rPr>
        <w:t>mecanismos</w:t>
      </w:r>
      <w:r w:rsidRPr="002964A7">
        <w:rPr>
          <w:rFonts w:ascii="Verdana" w:hAnsi="Verdana"/>
          <w:sz w:val="20"/>
          <w:szCs w:val="20"/>
          <w:lang w:val="es-GT"/>
        </w:rPr>
        <w:t xml:space="preserve"> de encubrimiento que tuvieron un claro carácter deliberado y que incluyen, por lo menos: la negación de las detenciones; el uso de dinamita en múltiples oportunidades y durante los primeros diez días de ocurridos los hechos en la mina abandonada llamada “Misteriosa” o “Vallarón” como un mecanismo </w:t>
      </w:r>
      <w:r w:rsidRPr="002964A7">
        <w:rPr>
          <w:rFonts w:ascii="Verdana" w:hAnsi="Verdana" w:cs="Arial"/>
          <w:sz w:val="20"/>
          <w:szCs w:val="20"/>
          <w:lang w:val="es-GT"/>
        </w:rPr>
        <w:t xml:space="preserve">para destruir las evidencias de lo ocurrido, </w:t>
      </w:r>
      <w:r w:rsidRPr="002964A7">
        <w:rPr>
          <w:rFonts w:ascii="Verdana" w:hAnsi="Verdana" w:cs="Helvetica"/>
          <w:sz w:val="20"/>
          <w:szCs w:val="20"/>
          <w:lang w:val="es-GT" w:bidi="en-US"/>
        </w:rPr>
        <w:t>desaparecer de manera definitiva los restos</w:t>
      </w:r>
      <w:r w:rsidRPr="002964A7">
        <w:rPr>
          <w:rFonts w:ascii="Verdana" w:hAnsi="Verdana" w:cs="Arial"/>
          <w:sz w:val="20"/>
          <w:szCs w:val="20"/>
          <w:lang w:val="es-GT"/>
        </w:rPr>
        <w:t xml:space="preserve"> </w:t>
      </w:r>
      <w:r w:rsidRPr="002964A7">
        <w:rPr>
          <w:rFonts w:ascii="Verdana" w:hAnsi="Verdana"/>
          <w:sz w:val="20"/>
          <w:szCs w:val="20"/>
          <w:lang w:val="es-GT"/>
        </w:rPr>
        <w:t xml:space="preserve">de las víctimas </w:t>
      </w:r>
      <w:r w:rsidRPr="002964A7">
        <w:rPr>
          <w:rFonts w:ascii="Verdana" w:hAnsi="Verdana" w:cs="Arial"/>
          <w:sz w:val="20"/>
          <w:szCs w:val="20"/>
          <w:lang w:val="es-GT"/>
        </w:rPr>
        <w:t xml:space="preserve">y con ello evitar </w:t>
      </w:r>
      <w:r w:rsidRPr="002964A7">
        <w:rPr>
          <w:rFonts w:ascii="Verdana" w:hAnsi="Verdana"/>
          <w:sz w:val="20"/>
          <w:szCs w:val="20"/>
          <w:lang w:val="es-GT"/>
        </w:rPr>
        <w:t>revelar su suerte;</w:t>
      </w:r>
      <w:r w:rsidRPr="002964A7">
        <w:rPr>
          <w:rFonts w:ascii="Verdana" w:hAnsi="Verdana"/>
          <w:spacing w:val="-2"/>
          <w:sz w:val="20"/>
          <w:szCs w:val="20"/>
          <w:lang w:val="es-GT"/>
        </w:rPr>
        <w:t xml:space="preserve"> </w:t>
      </w:r>
      <w:r w:rsidRPr="002964A7">
        <w:rPr>
          <w:rFonts w:ascii="Verdana" w:hAnsi="Verdana"/>
          <w:sz w:val="20"/>
          <w:szCs w:val="20"/>
          <w:lang w:val="es-GT"/>
        </w:rPr>
        <w:t>hostigamientos y detenciones de comuneros que denunciaron los hechos</w:t>
      </w:r>
      <w:r>
        <w:rPr>
          <w:rFonts w:ascii="Verdana" w:hAnsi="Verdana"/>
          <w:sz w:val="20"/>
          <w:szCs w:val="20"/>
          <w:lang w:val="es-GT"/>
        </w:rPr>
        <w:t>, y</w:t>
      </w:r>
      <w:r w:rsidRPr="002964A7">
        <w:rPr>
          <w:rFonts w:ascii="Verdana" w:hAnsi="Verdana"/>
          <w:sz w:val="20"/>
          <w:szCs w:val="20"/>
          <w:lang w:val="es-GT"/>
        </w:rPr>
        <w:t xml:space="preserve"> amenazas a operadores judiciales</w:t>
      </w:r>
      <w:r>
        <w:rPr>
          <w:rFonts w:ascii="Verdana" w:hAnsi="Verdana"/>
          <w:sz w:val="20"/>
          <w:szCs w:val="20"/>
          <w:lang w:val="es-GT"/>
        </w:rPr>
        <w:t>.</w:t>
      </w:r>
      <w:r w:rsidRPr="002964A7">
        <w:rPr>
          <w:rFonts w:ascii="Verdana" w:hAnsi="Verdana"/>
          <w:sz w:val="20"/>
          <w:szCs w:val="20"/>
          <w:lang w:val="es-GT"/>
        </w:rPr>
        <w:t xml:space="preserve"> </w:t>
      </w:r>
      <w:r>
        <w:rPr>
          <w:rFonts w:ascii="Verdana" w:hAnsi="Verdana"/>
          <w:sz w:val="20"/>
          <w:szCs w:val="20"/>
        </w:rPr>
        <w:t>Asimismo, alegaron la</w:t>
      </w:r>
      <w:r w:rsidRPr="002964A7">
        <w:rPr>
          <w:rFonts w:ascii="Verdana" w:hAnsi="Verdana"/>
          <w:sz w:val="20"/>
          <w:szCs w:val="20"/>
        </w:rPr>
        <w:t xml:space="preserve"> falta de debida diligencia</w:t>
      </w:r>
      <w:r>
        <w:rPr>
          <w:rFonts w:ascii="Verdana" w:hAnsi="Verdana"/>
          <w:sz w:val="20"/>
          <w:szCs w:val="20"/>
        </w:rPr>
        <w:t xml:space="preserve"> e irregularidades</w:t>
      </w:r>
      <w:r w:rsidRPr="002964A7">
        <w:rPr>
          <w:rFonts w:ascii="Verdana" w:hAnsi="Verdana"/>
          <w:sz w:val="20"/>
          <w:szCs w:val="20"/>
        </w:rPr>
        <w:t xml:space="preserve"> en la captura de los procesados ausentes</w:t>
      </w:r>
      <w:r>
        <w:rPr>
          <w:rFonts w:ascii="Verdana" w:hAnsi="Verdana"/>
          <w:sz w:val="20"/>
          <w:szCs w:val="20"/>
        </w:rPr>
        <w:t>, así como en</w:t>
      </w:r>
      <w:r w:rsidRPr="002964A7">
        <w:rPr>
          <w:rFonts w:ascii="Verdana" w:hAnsi="Verdana"/>
          <w:sz w:val="20"/>
          <w:szCs w:val="20"/>
        </w:rPr>
        <w:t xml:space="preserve"> los procedimientos forenses, </w:t>
      </w:r>
      <w:r>
        <w:rPr>
          <w:rFonts w:ascii="Verdana" w:hAnsi="Verdana"/>
          <w:sz w:val="20"/>
          <w:szCs w:val="20"/>
        </w:rPr>
        <w:t xml:space="preserve">siendo que esta última </w:t>
      </w:r>
      <w:r w:rsidRPr="002964A7">
        <w:rPr>
          <w:rFonts w:ascii="Verdana" w:hAnsi="Verdana"/>
          <w:sz w:val="20"/>
          <w:szCs w:val="20"/>
        </w:rPr>
        <w:t>situación ha impedido la identificación de los restos óseos recuperados y su entrega a los familiares</w:t>
      </w:r>
      <w:r w:rsidRPr="002964A7">
        <w:rPr>
          <w:rFonts w:ascii="Verdana" w:hAnsi="Verdana" w:cs="Arial"/>
          <w:sz w:val="20"/>
          <w:szCs w:val="20"/>
        </w:rPr>
        <w:t xml:space="preserve">, sin que </w:t>
      </w:r>
      <w:r w:rsidRPr="002964A7">
        <w:rPr>
          <w:rFonts w:ascii="Verdana" w:hAnsi="Verdana"/>
          <w:sz w:val="20"/>
          <w:szCs w:val="20"/>
        </w:rPr>
        <w:t>al día de hoy se conozca</w:t>
      </w:r>
      <w:r w:rsidRPr="002964A7">
        <w:rPr>
          <w:rFonts w:ascii="Verdana" w:hAnsi="Verdana"/>
          <w:spacing w:val="-2"/>
          <w:sz w:val="20"/>
          <w:szCs w:val="20"/>
          <w:lang w:val="es-GT"/>
        </w:rPr>
        <w:t xml:space="preserve"> </w:t>
      </w:r>
      <w:r w:rsidRPr="002964A7">
        <w:rPr>
          <w:rFonts w:ascii="Verdana" w:hAnsi="Verdana"/>
          <w:sz w:val="20"/>
          <w:szCs w:val="20"/>
        </w:rPr>
        <w:t xml:space="preserve">con exactitud, a través de medios que ofrezcan certeza a los familiares, el destino y paradero final de las víctimas desaparecidas. </w:t>
      </w:r>
      <w:r w:rsidRPr="002964A7">
        <w:rPr>
          <w:rFonts w:ascii="Verdana" w:hAnsi="Verdana"/>
          <w:spacing w:val="-2"/>
          <w:sz w:val="20"/>
          <w:szCs w:val="20"/>
          <w:lang w:val="es-GT"/>
        </w:rPr>
        <w:t xml:space="preserve">La determinación de si esos hechos han resultado probados y su eventual consecuencia jurídica se hará en </w:t>
      </w:r>
      <w:r>
        <w:rPr>
          <w:rFonts w:ascii="Verdana" w:hAnsi="Verdana"/>
          <w:spacing w:val="-2"/>
          <w:sz w:val="20"/>
          <w:szCs w:val="20"/>
          <w:lang w:val="es-GT"/>
        </w:rPr>
        <w:t>el capítulo IX</w:t>
      </w:r>
      <w:r w:rsidRPr="002964A7">
        <w:rPr>
          <w:rFonts w:ascii="Verdana" w:hAnsi="Verdana"/>
          <w:spacing w:val="-2"/>
          <w:sz w:val="20"/>
          <w:szCs w:val="20"/>
          <w:lang w:val="es-GT"/>
        </w:rPr>
        <w:t xml:space="preserve"> de esta Sentencia.</w:t>
      </w:r>
    </w:p>
    <w:p w:rsidR="00D068ED" w:rsidRDefault="00D068ED" w:rsidP="00106A1E">
      <w:pPr>
        <w:keepNext/>
        <w:spacing w:after="0" w:line="240" w:lineRule="auto"/>
        <w:jc w:val="center"/>
        <w:outlineLvl w:val="0"/>
        <w:rPr>
          <w:rFonts w:ascii="Verdana" w:eastAsia="Calibri" w:hAnsi="Verdana"/>
          <w:b/>
          <w:sz w:val="20"/>
          <w:lang w:val="es-GT"/>
        </w:rPr>
      </w:pPr>
    </w:p>
    <w:p w:rsidR="00106A1E" w:rsidRPr="002964A7" w:rsidRDefault="00106A1E" w:rsidP="001154F9">
      <w:pPr>
        <w:pStyle w:val="Heading1"/>
      </w:pPr>
      <w:bookmarkStart w:id="147" w:name="_Toc421549319"/>
      <w:bookmarkStart w:id="148" w:name="_Toc421864956"/>
      <w:bookmarkStart w:id="149" w:name="_Toc423102538"/>
      <w:bookmarkStart w:id="150" w:name="_Toc433387491"/>
      <w:r w:rsidRPr="002964A7">
        <w:t>IX</w:t>
      </w:r>
      <w:bookmarkStart w:id="151" w:name="_Toc405774647"/>
      <w:bookmarkStart w:id="152" w:name="_Toc405857850"/>
      <w:bookmarkStart w:id="153" w:name="_Toc395213507"/>
      <w:bookmarkStart w:id="154" w:name="_Toc396514864"/>
      <w:bookmarkStart w:id="155" w:name="_Toc396515156"/>
      <w:bookmarkStart w:id="156" w:name="_Toc402039457"/>
      <w:bookmarkStart w:id="157" w:name="_Toc403670719"/>
      <w:bookmarkStart w:id="158" w:name="_Toc403671455"/>
      <w:bookmarkEnd w:id="147"/>
      <w:bookmarkEnd w:id="148"/>
      <w:bookmarkEnd w:id="149"/>
      <w:bookmarkEnd w:id="150"/>
    </w:p>
    <w:p w:rsidR="00106A1E" w:rsidRPr="002964A7" w:rsidRDefault="00106A1E" w:rsidP="001154F9">
      <w:pPr>
        <w:pStyle w:val="Heading1"/>
      </w:pPr>
      <w:bookmarkStart w:id="159" w:name="_Toc421864957"/>
      <w:bookmarkStart w:id="160" w:name="_Toc423102539"/>
      <w:bookmarkStart w:id="161" w:name="_Toc433387492"/>
      <w:r w:rsidRPr="002964A7">
        <w:t>FONDO</w:t>
      </w:r>
      <w:bookmarkEnd w:id="159"/>
      <w:bookmarkEnd w:id="160"/>
      <w:bookmarkEnd w:id="161"/>
    </w:p>
    <w:p w:rsidR="00106A1E" w:rsidRPr="002964A7" w:rsidRDefault="00106A1E" w:rsidP="00106A1E">
      <w:pPr>
        <w:pStyle w:val="ListParagraph"/>
        <w:autoSpaceDE w:val="0"/>
        <w:autoSpaceDN w:val="0"/>
        <w:adjustRightInd w:val="0"/>
        <w:spacing w:after="0" w:line="240" w:lineRule="auto"/>
        <w:ind w:left="0"/>
        <w:jc w:val="both"/>
        <w:rPr>
          <w:rFonts w:ascii="Verdana" w:hAnsi="Verdana" w:cs="Arial"/>
          <w:b/>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b/>
          <w:sz w:val="20"/>
          <w:szCs w:val="20"/>
          <w:lang w:val="es-GT"/>
        </w:rPr>
      </w:pPr>
      <w:r w:rsidRPr="002964A7">
        <w:rPr>
          <w:rFonts w:ascii="Verdana" w:hAnsi="Verdana" w:cs="Arial"/>
          <w:sz w:val="20"/>
          <w:szCs w:val="20"/>
          <w:lang w:val="es-GT"/>
        </w:rPr>
        <w:t>Se ha alega</w:t>
      </w:r>
      <w:r>
        <w:rPr>
          <w:rFonts w:ascii="Verdana" w:hAnsi="Verdana" w:cs="Arial"/>
          <w:sz w:val="20"/>
          <w:szCs w:val="20"/>
          <w:lang w:val="es-GT"/>
        </w:rPr>
        <w:t>d</w:t>
      </w:r>
      <w:r w:rsidRPr="002964A7">
        <w:rPr>
          <w:rFonts w:ascii="Verdana" w:hAnsi="Verdana" w:cs="Arial"/>
          <w:sz w:val="20"/>
          <w:szCs w:val="20"/>
          <w:lang w:val="es-GT"/>
        </w:rPr>
        <w:t xml:space="preserve">o que los hechos probados en el caso configurarían violaciones de varios </w:t>
      </w:r>
      <w:r w:rsidRPr="002964A7">
        <w:rPr>
          <w:rFonts w:ascii="Verdana" w:hAnsi="Verdana" w:cs="Arial"/>
          <w:sz w:val="20"/>
          <w:szCs w:val="20"/>
        </w:rPr>
        <w:t>derechos</w:t>
      </w:r>
      <w:r w:rsidRPr="002964A7">
        <w:rPr>
          <w:rFonts w:ascii="Verdana" w:hAnsi="Verdana" w:cs="Arial"/>
          <w:sz w:val="20"/>
          <w:szCs w:val="20"/>
          <w:lang w:val="es-GT"/>
        </w:rPr>
        <w:t xml:space="preserve"> y obligaciones consagradas en la Convención Americana, la Convención Interamericana para Prevenir y Sancionar la Tortura y la Convención Interamericana sobre Desaparición Forzada de Personas. Específicamente, se ha alegado violaciones a los siguientes derechos:</w:t>
      </w:r>
    </w:p>
    <w:p w:rsidR="00106A1E" w:rsidRPr="002964A7" w:rsidRDefault="00106A1E" w:rsidP="00106A1E">
      <w:pPr>
        <w:pStyle w:val="ListParagraph"/>
        <w:autoSpaceDE w:val="0"/>
        <w:autoSpaceDN w:val="0"/>
        <w:adjustRightInd w:val="0"/>
        <w:spacing w:after="0" w:line="240" w:lineRule="auto"/>
        <w:ind w:left="0"/>
        <w:jc w:val="both"/>
        <w:rPr>
          <w:rFonts w:ascii="Verdana" w:hAnsi="Verdana" w:cs="Arial"/>
          <w:sz w:val="20"/>
          <w:szCs w:val="20"/>
          <w:lang w:val="es-GT"/>
        </w:rPr>
      </w:pPr>
    </w:p>
    <w:p w:rsidR="00106A1E" w:rsidRPr="00CB2948" w:rsidRDefault="00106A1E" w:rsidP="001154F9">
      <w:pPr>
        <w:pStyle w:val="ListParagraph"/>
        <w:numPr>
          <w:ilvl w:val="0"/>
          <w:numId w:val="14"/>
        </w:numPr>
        <w:autoSpaceDE w:val="0"/>
        <w:autoSpaceDN w:val="0"/>
        <w:adjustRightInd w:val="0"/>
        <w:spacing w:after="0" w:line="240" w:lineRule="auto"/>
        <w:jc w:val="both"/>
        <w:rPr>
          <w:rFonts w:ascii="Verdana" w:eastAsia="Calibri" w:hAnsi="Verdana" w:cs="Arial"/>
          <w:sz w:val="20"/>
          <w:szCs w:val="20"/>
          <w:lang w:val="es-CO"/>
        </w:rPr>
      </w:pPr>
      <w:r w:rsidRPr="002964A7">
        <w:rPr>
          <w:rFonts w:ascii="Verdana" w:hAnsi="Verdana"/>
          <w:spacing w:val="-2"/>
          <w:sz w:val="20"/>
          <w:szCs w:val="20"/>
          <w:lang w:eastAsia="es-CR"/>
        </w:rPr>
        <w:t>Derechos a la libertad personal, integridad personal, vida y reconocimiento de la personalidad jurídica</w:t>
      </w:r>
      <w:r>
        <w:rPr>
          <w:rFonts w:ascii="Verdana" w:hAnsi="Verdana"/>
          <w:spacing w:val="-2"/>
          <w:sz w:val="20"/>
          <w:szCs w:val="20"/>
          <w:lang w:eastAsia="es-CR"/>
        </w:rPr>
        <w:t>, así como el d</w:t>
      </w:r>
      <w:r w:rsidRPr="00CB2948">
        <w:rPr>
          <w:rFonts w:ascii="Verdana" w:eastAsia="Calibri" w:hAnsi="Verdana" w:cs="Arial"/>
          <w:sz w:val="20"/>
          <w:szCs w:val="20"/>
          <w:lang w:val="es-CO"/>
        </w:rPr>
        <w:t xml:space="preserve">erecho a la especial </w:t>
      </w:r>
      <w:r w:rsidRPr="00CB2948">
        <w:rPr>
          <w:rFonts w:ascii="Verdana" w:hAnsi="Verdana"/>
          <w:spacing w:val="-2"/>
          <w:sz w:val="20"/>
          <w:szCs w:val="20"/>
          <w:lang w:eastAsia="es-CR"/>
        </w:rPr>
        <w:t>protección</w:t>
      </w:r>
      <w:r w:rsidRPr="00CB2948">
        <w:rPr>
          <w:rFonts w:ascii="Verdana" w:eastAsia="Calibri" w:hAnsi="Verdana" w:cs="Arial"/>
          <w:sz w:val="20"/>
          <w:szCs w:val="20"/>
          <w:lang w:val="es-CO"/>
        </w:rPr>
        <w:t xml:space="preserve"> de l</w:t>
      </w:r>
      <w:r>
        <w:rPr>
          <w:rFonts w:ascii="Verdana" w:eastAsia="Calibri" w:hAnsi="Verdana" w:cs="Arial"/>
          <w:sz w:val="20"/>
          <w:szCs w:val="20"/>
          <w:lang w:val="es-CO"/>
        </w:rPr>
        <w:t>as</w:t>
      </w:r>
      <w:r w:rsidRPr="00CB2948">
        <w:rPr>
          <w:rFonts w:ascii="Verdana" w:eastAsia="Calibri" w:hAnsi="Verdana" w:cs="Arial"/>
          <w:sz w:val="20"/>
          <w:szCs w:val="20"/>
          <w:lang w:val="es-CO"/>
        </w:rPr>
        <w:t xml:space="preserve"> niñas</w:t>
      </w:r>
      <w:r>
        <w:rPr>
          <w:rFonts w:ascii="Verdana" w:eastAsia="Calibri" w:hAnsi="Verdana" w:cs="Arial"/>
          <w:sz w:val="20"/>
          <w:szCs w:val="20"/>
          <w:lang w:val="es-CO"/>
        </w:rPr>
        <w:t xml:space="preserve"> y los niños</w:t>
      </w:r>
      <w:r w:rsidRPr="00CB2948">
        <w:rPr>
          <w:rFonts w:ascii="Verdana" w:eastAsia="Calibri" w:hAnsi="Verdana" w:cs="Arial"/>
          <w:sz w:val="20"/>
          <w:szCs w:val="20"/>
          <w:lang w:val="es-CO"/>
        </w:rPr>
        <w:t xml:space="preserve"> y </w:t>
      </w:r>
      <w:r>
        <w:rPr>
          <w:rFonts w:ascii="Verdana" w:eastAsia="Calibri" w:hAnsi="Verdana" w:cs="Arial"/>
          <w:sz w:val="20"/>
          <w:szCs w:val="20"/>
          <w:lang w:val="es-CO"/>
        </w:rPr>
        <w:t xml:space="preserve">el </w:t>
      </w:r>
      <w:r w:rsidRPr="00CB2948">
        <w:rPr>
          <w:rFonts w:ascii="Verdana" w:eastAsia="Calibri" w:hAnsi="Verdana" w:cs="Arial"/>
          <w:sz w:val="20"/>
          <w:szCs w:val="20"/>
          <w:lang w:val="es-CO"/>
        </w:rPr>
        <w:t xml:space="preserve">derecho a la protección de la familia; </w:t>
      </w:r>
    </w:p>
    <w:p w:rsidR="00106A1E" w:rsidRPr="002964A7" w:rsidRDefault="00106A1E" w:rsidP="001154F9">
      <w:pPr>
        <w:pStyle w:val="ListParagraph"/>
        <w:numPr>
          <w:ilvl w:val="0"/>
          <w:numId w:val="14"/>
        </w:numPr>
        <w:autoSpaceDE w:val="0"/>
        <w:autoSpaceDN w:val="0"/>
        <w:adjustRightInd w:val="0"/>
        <w:spacing w:after="0" w:line="240" w:lineRule="auto"/>
        <w:jc w:val="both"/>
        <w:rPr>
          <w:rFonts w:ascii="Verdana" w:hAnsi="Verdana" w:cs="Tahoma"/>
          <w:bCs/>
          <w:sz w:val="20"/>
          <w:szCs w:val="20"/>
          <w:lang w:val="es-ES_tradnl"/>
        </w:rPr>
      </w:pPr>
      <w:r w:rsidRPr="002964A7">
        <w:rPr>
          <w:rFonts w:ascii="Verdana" w:eastAsia="Calibri" w:hAnsi="Verdana" w:cs="Arial"/>
          <w:sz w:val="20"/>
          <w:szCs w:val="20"/>
          <w:lang w:val="es-CO"/>
        </w:rPr>
        <w:t>Derecho</w:t>
      </w:r>
      <w:r w:rsidRPr="002964A7">
        <w:rPr>
          <w:rFonts w:ascii="Verdana" w:hAnsi="Verdana" w:cs="Tahoma"/>
          <w:bCs/>
          <w:sz w:val="20"/>
          <w:szCs w:val="20"/>
          <w:lang w:val="es-ES_tradnl"/>
        </w:rPr>
        <w:t xml:space="preserve"> de propiedad y a la vida privada y familiar</w:t>
      </w:r>
      <w:r>
        <w:rPr>
          <w:rFonts w:ascii="Verdana" w:hAnsi="Verdana" w:cs="Tahoma"/>
          <w:bCs/>
          <w:sz w:val="20"/>
          <w:szCs w:val="20"/>
          <w:lang w:val="es-ES_tradnl"/>
        </w:rPr>
        <w:t>;</w:t>
      </w:r>
    </w:p>
    <w:p w:rsidR="00106A1E" w:rsidRPr="002964A7" w:rsidRDefault="00106A1E" w:rsidP="001154F9">
      <w:pPr>
        <w:pStyle w:val="ListParagraph"/>
        <w:numPr>
          <w:ilvl w:val="0"/>
          <w:numId w:val="14"/>
        </w:numPr>
        <w:autoSpaceDE w:val="0"/>
        <w:autoSpaceDN w:val="0"/>
        <w:adjustRightInd w:val="0"/>
        <w:spacing w:after="0" w:line="240" w:lineRule="auto"/>
        <w:ind w:right="15"/>
        <w:jc w:val="both"/>
        <w:rPr>
          <w:rFonts w:ascii="Verdana" w:hAnsi="Verdana"/>
          <w:sz w:val="20"/>
          <w:szCs w:val="20"/>
        </w:rPr>
      </w:pPr>
      <w:r>
        <w:rPr>
          <w:rFonts w:ascii="Verdana" w:hAnsi="Verdana"/>
          <w:sz w:val="20"/>
          <w:szCs w:val="20"/>
          <w:lang w:val="es-ES_tradnl"/>
        </w:rPr>
        <w:t>D</w:t>
      </w:r>
      <w:r w:rsidRPr="002964A7">
        <w:rPr>
          <w:rFonts w:ascii="Verdana" w:hAnsi="Verdana"/>
          <w:sz w:val="20"/>
          <w:szCs w:val="20"/>
        </w:rPr>
        <w:t>erecho</w:t>
      </w:r>
      <w:r>
        <w:rPr>
          <w:rFonts w:ascii="Verdana" w:hAnsi="Verdana"/>
          <w:sz w:val="20"/>
          <w:szCs w:val="20"/>
        </w:rPr>
        <w:t>s</w:t>
      </w:r>
      <w:r w:rsidRPr="002964A7">
        <w:rPr>
          <w:rFonts w:ascii="Verdana" w:hAnsi="Verdana"/>
          <w:sz w:val="20"/>
          <w:szCs w:val="20"/>
        </w:rPr>
        <w:t xml:space="preserve"> a las garantías y la protección judicial y a la libertad personal y los artículo</w:t>
      </w:r>
      <w:r>
        <w:rPr>
          <w:rFonts w:ascii="Verdana" w:hAnsi="Verdana"/>
          <w:sz w:val="20"/>
          <w:szCs w:val="20"/>
        </w:rPr>
        <w:t>s</w:t>
      </w:r>
      <w:r w:rsidRPr="002964A7">
        <w:rPr>
          <w:rFonts w:ascii="Verdana" w:hAnsi="Verdana"/>
          <w:sz w:val="20"/>
          <w:szCs w:val="20"/>
        </w:rPr>
        <w:t xml:space="preserve"> </w:t>
      </w:r>
      <w:r>
        <w:rPr>
          <w:rFonts w:ascii="Verdana" w:hAnsi="Verdana"/>
          <w:sz w:val="20"/>
          <w:szCs w:val="20"/>
        </w:rPr>
        <w:t>I y III</w:t>
      </w:r>
      <w:r w:rsidRPr="002964A7">
        <w:rPr>
          <w:rFonts w:ascii="Verdana" w:hAnsi="Verdana"/>
          <w:sz w:val="20"/>
          <w:szCs w:val="20"/>
        </w:rPr>
        <w:t xml:space="preserve"> de la </w:t>
      </w:r>
      <w:r>
        <w:rPr>
          <w:rFonts w:ascii="Verdana" w:hAnsi="Verdana"/>
          <w:sz w:val="20"/>
          <w:szCs w:val="20"/>
        </w:rPr>
        <w:t>C</w:t>
      </w:r>
      <w:r w:rsidRPr="002964A7">
        <w:rPr>
          <w:rFonts w:ascii="Verdana" w:hAnsi="Verdana"/>
          <w:sz w:val="20"/>
          <w:szCs w:val="20"/>
        </w:rPr>
        <w:t xml:space="preserve">onvención </w:t>
      </w:r>
      <w:r>
        <w:rPr>
          <w:rFonts w:ascii="Verdana" w:hAnsi="Verdana"/>
          <w:sz w:val="20"/>
          <w:szCs w:val="20"/>
        </w:rPr>
        <w:t>I</w:t>
      </w:r>
      <w:r w:rsidRPr="002964A7">
        <w:rPr>
          <w:rFonts w:ascii="Verdana" w:hAnsi="Verdana"/>
          <w:sz w:val="20"/>
          <w:szCs w:val="20"/>
        </w:rPr>
        <w:t xml:space="preserve">nteramericana sobre </w:t>
      </w:r>
      <w:r>
        <w:rPr>
          <w:rFonts w:ascii="Verdana" w:hAnsi="Verdana"/>
          <w:sz w:val="20"/>
          <w:szCs w:val="20"/>
        </w:rPr>
        <w:t>D</w:t>
      </w:r>
      <w:r w:rsidRPr="002964A7">
        <w:rPr>
          <w:rFonts w:ascii="Verdana" w:hAnsi="Verdana"/>
          <w:sz w:val="20"/>
          <w:szCs w:val="20"/>
        </w:rPr>
        <w:t xml:space="preserve">esaparición </w:t>
      </w:r>
      <w:r>
        <w:rPr>
          <w:rFonts w:ascii="Verdana" w:hAnsi="Verdana"/>
          <w:sz w:val="20"/>
          <w:szCs w:val="20"/>
        </w:rPr>
        <w:t>F</w:t>
      </w:r>
      <w:r w:rsidRPr="002964A7">
        <w:rPr>
          <w:rFonts w:ascii="Verdana" w:hAnsi="Verdana"/>
          <w:sz w:val="20"/>
          <w:szCs w:val="20"/>
        </w:rPr>
        <w:t xml:space="preserve">orzada de </w:t>
      </w:r>
      <w:r>
        <w:rPr>
          <w:rFonts w:ascii="Verdana" w:hAnsi="Verdana"/>
          <w:sz w:val="20"/>
          <w:szCs w:val="20"/>
        </w:rPr>
        <w:t>P</w:t>
      </w:r>
      <w:r w:rsidRPr="002964A7">
        <w:rPr>
          <w:rFonts w:ascii="Verdana" w:hAnsi="Verdana"/>
          <w:sz w:val="20"/>
          <w:szCs w:val="20"/>
        </w:rPr>
        <w:t xml:space="preserve">ersonas, así como los artículos 1, 6 y 8 de la </w:t>
      </w:r>
      <w:r>
        <w:rPr>
          <w:rFonts w:ascii="Verdana" w:hAnsi="Verdana"/>
          <w:sz w:val="20"/>
          <w:szCs w:val="20"/>
        </w:rPr>
        <w:t>C</w:t>
      </w:r>
      <w:r w:rsidRPr="002964A7">
        <w:rPr>
          <w:rFonts w:ascii="Verdana" w:hAnsi="Verdana"/>
          <w:sz w:val="20"/>
          <w:szCs w:val="20"/>
        </w:rPr>
        <w:t xml:space="preserve">onvención </w:t>
      </w:r>
      <w:r>
        <w:rPr>
          <w:rFonts w:ascii="Verdana" w:hAnsi="Verdana"/>
          <w:sz w:val="20"/>
          <w:szCs w:val="20"/>
        </w:rPr>
        <w:t>I</w:t>
      </w:r>
      <w:r w:rsidRPr="002964A7">
        <w:rPr>
          <w:rFonts w:ascii="Verdana" w:hAnsi="Verdana"/>
          <w:sz w:val="20"/>
          <w:szCs w:val="20"/>
        </w:rPr>
        <w:t xml:space="preserve">nteramericana para </w:t>
      </w:r>
      <w:r>
        <w:rPr>
          <w:rFonts w:ascii="Verdana" w:hAnsi="Verdana"/>
          <w:sz w:val="20"/>
          <w:szCs w:val="20"/>
        </w:rPr>
        <w:t>P</w:t>
      </w:r>
      <w:r w:rsidRPr="002964A7">
        <w:rPr>
          <w:rFonts w:ascii="Verdana" w:hAnsi="Verdana"/>
          <w:sz w:val="20"/>
          <w:szCs w:val="20"/>
        </w:rPr>
        <w:t xml:space="preserve">revenir y </w:t>
      </w:r>
      <w:r>
        <w:rPr>
          <w:rFonts w:ascii="Verdana" w:hAnsi="Verdana"/>
          <w:sz w:val="20"/>
          <w:szCs w:val="20"/>
        </w:rPr>
        <w:t>S</w:t>
      </w:r>
      <w:r w:rsidRPr="002964A7">
        <w:rPr>
          <w:rFonts w:ascii="Verdana" w:hAnsi="Verdana"/>
          <w:sz w:val="20"/>
          <w:szCs w:val="20"/>
        </w:rPr>
        <w:t xml:space="preserve">ancionar la </w:t>
      </w:r>
      <w:r>
        <w:rPr>
          <w:rFonts w:ascii="Verdana" w:hAnsi="Verdana"/>
          <w:sz w:val="20"/>
          <w:szCs w:val="20"/>
        </w:rPr>
        <w:t>T</w:t>
      </w:r>
      <w:r w:rsidRPr="002964A7">
        <w:rPr>
          <w:rFonts w:ascii="Verdana" w:hAnsi="Verdana"/>
          <w:sz w:val="20"/>
          <w:szCs w:val="20"/>
        </w:rPr>
        <w:t>ortura</w:t>
      </w:r>
      <w:r>
        <w:rPr>
          <w:rFonts w:ascii="Verdana" w:hAnsi="Verdana"/>
          <w:sz w:val="20"/>
          <w:szCs w:val="20"/>
        </w:rPr>
        <w:t>, y</w:t>
      </w:r>
    </w:p>
    <w:p w:rsidR="00106A1E" w:rsidRPr="002964A7" w:rsidRDefault="00106A1E" w:rsidP="001154F9">
      <w:pPr>
        <w:pStyle w:val="ListParagraph"/>
        <w:numPr>
          <w:ilvl w:val="0"/>
          <w:numId w:val="14"/>
        </w:numPr>
        <w:autoSpaceDE w:val="0"/>
        <w:autoSpaceDN w:val="0"/>
        <w:adjustRightInd w:val="0"/>
        <w:spacing w:after="0" w:line="240" w:lineRule="auto"/>
        <w:jc w:val="both"/>
        <w:rPr>
          <w:rFonts w:ascii="Verdana" w:hAnsi="Verdana" w:cs="Arial"/>
          <w:sz w:val="20"/>
          <w:szCs w:val="20"/>
          <w:lang w:val="es-GT"/>
        </w:rPr>
      </w:pPr>
      <w:r w:rsidRPr="002964A7">
        <w:rPr>
          <w:rFonts w:ascii="Verdana" w:hAnsi="Verdana" w:cs="Arial"/>
          <w:sz w:val="20"/>
          <w:szCs w:val="20"/>
          <w:lang w:val="es-GT"/>
        </w:rPr>
        <w:t>Derecho a la integridad personal de los familiares de las personas desaparecidas.</w:t>
      </w:r>
    </w:p>
    <w:p w:rsidR="00106A1E" w:rsidRPr="002964A7" w:rsidRDefault="00106A1E" w:rsidP="00106A1E">
      <w:pPr>
        <w:pStyle w:val="ListParagraph"/>
        <w:autoSpaceDE w:val="0"/>
        <w:autoSpaceDN w:val="0"/>
        <w:adjustRightInd w:val="0"/>
        <w:spacing w:after="0" w:line="240" w:lineRule="auto"/>
        <w:jc w:val="both"/>
        <w:rPr>
          <w:rFonts w:ascii="Verdana" w:hAnsi="Verdana" w:cs="Arial"/>
          <w:sz w:val="20"/>
          <w:szCs w:val="20"/>
          <w:lang w:val="es-GT"/>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rPr>
      </w:pPr>
      <w:r w:rsidRPr="002964A7">
        <w:rPr>
          <w:rFonts w:ascii="Verdana" w:hAnsi="Verdana" w:cs="Arial"/>
          <w:sz w:val="20"/>
          <w:szCs w:val="20"/>
          <w:lang w:val="es-GT"/>
        </w:rPr>
        <w:t xml:space="preserve">Dichos alegatos serán abordados en el orden especificado en el párrafo anterior. </w:t>
      </w:r>
    </w:p>
    <w:p w:rsidR="00106A1E" w:rsidRDefault="00106A1E" w:rsidP="00106A1E">
      <w:pPr>
        <w:pStyle w:val="Heading1"/>
        <w:rPr>
          <w:szCs w:val="20"/>
        </w:rPr>
      </w:pPr>
      <w:bookmarkStart w:id="162" w:name="_Toc421549321"/>
      <w:bookmarkStart w:id="163" w:name="_Toc421864958"/>
      <w:bookmarkStart w:id="164" w:name="_Toc423102540"/>
    </w:p>
    <w:p w:rsidR="00106A1E" w:rsidRPr="002964A7" w:rsidRDefault="00106A1E" w:rsidP="001154F9">
      <w:pPr>
        <w:pStyle w:val="Heading2"/>
        <w:numPr>
          <w:ilvl w:val="0"/>
          <w:numId w:val="0"/>
        </w:numPr>
        <w:ind w:left="360"/>
      </w:pPr>
      <w:bookmarkStart w:id="165" w:name="_Toc433387493"/>
      <w:r w:rsidRPr="002964A7">
        <w:t>IX.I</w:t>
      </w:r>
      <w:bookmarkEnd w:id="162"/>
      <w:bookmarkEnd w:id="163"/>
      <w:bookmarkEnd w:id="164"/>
      <w:bookmarkEnd w:id="165"/>
    </w:p>
    <w:p w:rsidR="00106A1E" w:rsidRPr="002964A7" w:rsidRDefault="00106A1E" w:rsidP="00483DC7">
      <w:pPr>
        <w:pStyle w:val="Heading2"/>
        <w:numPr>
          <w:ilvl w:val="0"/>
          <w:numId w:val="0"/>
        </w:numPr>
        <w:spacing w:line="240" w:lineRule="auto"/>
        <w:jc w:val="both"/>
        <w:rPr>
          <w:rFonts w:cs="Verdana"/>
          <w:caps/>
          <w:snapToGrid w:val="0"/>
          <w:lang w:eastAsia="es-CR"/>
        </w:rPr>
      </w:pPr>
      <w:bookmarkStart w:id="166" w:name="_Toc405774648"/>
      <w:bookmarkStart w:id="167" w:name="_Toc405857851"/>
      <w:bookmarkStart w:id="168" w:name="_Toc421864959"/>
      <w:bookmarkStart w:id="169" w:name="_Toc423102541"/>
      <w:bookmarkStart w:id="170" w:name="_Toc433387494"/>
      <w:bookmarkEnd w:id="151"/>
      <w:bookmarkEnd w:id="152"/>
      <w:r w:rsidRPr="002964A7">
        <w:rPr>
          <w:spacing w:val="-2"/>
          <w:lang w:eastAsia="es-CR"/>
        </w:rPr>
        <w:t xml:space="preserve">DERECHOS A LA LIBERTAD PERSONAL, INTEGRIDAD PERSONAL, VIDA Y RECONOCIMIENTO DE LA PERSONALIDAD JURÍDICA, </w:t>
      </w:r>
      <w:bookmarkStart w:id="171" w:name="_Toc375517130"/>
      <w:bookmarkStart w:id="172" w:name="_Toc370421889"/>
      <w:bookmarkEnd w:id="153"/>
      <w:bookmarkEnd w:id="154"/>
      <w:bookmarkEnd w:id="155"/>
      <w:bookmarkEnd w:id="156"/>
      <w:bookmarkEnd w:id="157"/>
      <w:bookmarkEnd w:id="158"/>
      <w:bookmarkEnd w:id="166"/>
      <w:bookmarkEnd w:id="167"/>
      <w:r w:rsidRPr="00D91FEA">
        <w:rPr>
          <w:spacing w:val="-2"/>
          <w:lang w:eastAsia="es-CR"/>
        </w:rPr>
        <w:t>ASÍ COMO EL D</w:t>
      </w:r>
      <w:r w:rsidRPr="00D91FEA">
        <w:rPr>
          <w:spacing w:val="-2"/>
          <w:lang w:val="es-CO" w:eastAsia="es-CR"/>
        </w:rPr>
        <w:t xml:space="preserve">ERECHO A LA ESPECIAL </w:t>
      </w:r>
      <w:r w:rsidRPr="00D91FEA">
        <w:rPr>
          <w:spacing w:val="-2"/>
          <w:lang w:eastAsia="es-CR"/>
        </w:rPr>
        <w:t>PROTECCIÓN</w:t>
      </w:r>
      <w:r w:rsidRPr="00D91FEA">
        <w:rPr>
          <w:spacing w:val="-2"/>
          <w:lang w:val="es-CO" w:eastAsia="es-CR"/>
        </w:rPr>
        <w:t xml:space="preserve"> DE LAS NIÑAS Y LOS NIÑOS</w:t>
      </w:r>
      <w:bookmarkStart w:id="173" w:name="_Toc370421891"/>
      <w:bookmarkStart w:id="174" w:name="_Toc375517131"/>
      <w:bookmarkEnd w:id="168"/>
      <w:bookmarkEnd w:id="169"/>
      <w:bookmarkEnd w:id="170"/>
      <w:bookmarkEnd w:id="171"/>
      <w:bookmarkEnd w:id="172"/>
    </w:p>
    <w:bookmarkEnd w:id="173"/>
    <w:bookmarkEnd w:id="174"/>
    <w:p w:rsidR="00106A1E" w:rsidRDefault="00106A1E" w:rsidP="00106A1E">
      <w:pPr>
        <w:autoSpaceDE w:val="0"/>
        <w:autoSpaceDN w:val="0"/>
        <w:adjustRightInd w:val="0"/>
        <w:spacing w:after="0" w:line="240" w:lineRule="auto"/>
        <w:jc w:val="both"/>
        <w:rPr>
          <w:rFonts w:ascii="Verdana" w:hAnsi="Verdana" w:cs="Arial"/>
          <w:sz w:val="20"/>
          <w:szCs w:val="20"/>
          <w:lang w:val="es-PE" w:eastAsia="es-CR"/>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794E82">
        <w:rPr>
          <w:rFonts w:ascii="Verdana" w:hAnsi="Verdana" w:cs="Arial"/>
          <w:sz w:val="20"/>
          <w:szCs w:val="20"/>
          <w:lang w:val="es-PE" w:eastAsia="es-CR"/>
        </w:rPr>
        <w:t xml:space="preserve">La </w:t>
      </w:r>
      <w:r w:rsidRPr="00794E82">
        <w:rPr>
          <w:rFonts w:ascii="Verdana" w:hAnsi="Verdana" w:cs="Arial"/>
          <w:b/>
          <w:i/>
          <w:sz w:val="20"/>
          <w:szCs w:val="20"/>
          <w:lang w:val="es-PE" w:eastAsia="es-CR"/>
        </w:rPr>
        <w:t>Comisión</w:t>
      </w:r>
      <w:r w:rsidRPr="00794E82">
        <w:rPr>
          <w:rFonts w:ascii="Verdana" w:hAnsi="Verdana" w:cs="Arial"/>
          <w:sz w:val="20"/>
          <w:szCs w:val="20"/>
          <w:lang w:val="es-PE" w:eastAsia="es-CR"/>
        </w:rPr>
        <w:t xml:space="preserve"> y </w:t>
      </w:r>
      <w:r w:rsidRPr="00794E82">
        <w:rPr>
          <w:rFonts w:ascii="Verdana" w:hAnsi="Verdana"/>
          <w:sz w:val="20"/>
          <w:szCs w:val="20"/>
          <w:lang w:eastAsia="es-CR"/>
        </w:rPr>
        <w:t xml:space="preserve">los </w:t>
      </w:r>
      <w:r w:rsidRPr="00794E82">
        <w:rPr>
          <w:rFonts w:ascii="Verdana" w:hAnsi="Verdana"/>
          <w:b/>
          <w:i/>
          <w:sz w:val="20"/>
          <w:szCs w:val="20"/>
          <w:lang w:eastAsia="es-CR"/>
        </w:rPr>
        <w:t>representantes</w:t>
      </w:r>
      <w:r w:rsidRPr="00794E82">
        <w:rPr>
          <w:rFonts w:ascii="Verdana" w:hAnsi="Verdana"/>
          <w:sz w:val="20"/>
          <w:szCs w:val="20"/>
          <w:lang w:eastAsia="es-CR"/>
        </w:rPr>
        <w:t xml:space="preserve"> </w:t>
      </w:r>
      <w:r w:rsidRPr="00794E82">
        <w:rPr>
          <w:rFonts w:ascii="Verdana" w:hAnsi="Verdana" w:cs="Arial"/>
          <w:sz w:val="20"/>
          <w:szCs w:val="20"/>
          <w:lang w:val="es-PE" w:eastAsia="es-CR"/>
        </w:rPr>
        <w:t xml:space="preserve">sostuvieron </w:t>
      </w:r>
      <w:r w:rsidRPr="00794E82">
        <w:rPr>
          <w:rFonts w:ascii="Verdana" w:hAnsi="Verdana" w:cs="Arial"/>
          <w:sz w:val="20"/>
          <w:szCs w:val="20"/>
        </w:rPr>
        <w:t xml:space="preserve">que lo sucedido a 15 víctimas del presente caso debe calificarse dentro del concepto de desaparición forzada. </w:t>
      </w:r>
      <w:r w:rsidRPr="00794E82">
        <w:rPr>
          <w:rFonts w:ascii="Verdana" w:hAnsi="Verdana"/>
          <w:sz w:val="20"/>
          <w:szCs w:val="20"/>
          <w:lang w:eastAsia="es-CR"/>
        </w:rPr>
        <w:t xml:space="preserve">El </w:t>
      </w:r>
      <w:r w:rsidRPr="00794E82">
        <w:rPr>
          <w:rFonts w:ascii="Verdana" w:hAnsi="Verdana"/>
          <w:b/>
          <w:i/>
          <w:sz w:val="20"/>
          <w:szCs w:val="20"/>
          <w:lang w:eastAsia="es-CR"/>
        </w:rPr>
        <w:t>Estado</w:t>
      </w:r>
      <w:r w:rsidRPr="00794E82">
        <w:rPr>
          <w:rFonts w:ascii="Verdana" w:hAnsi="Verdana"/>
          <w:sz w:val="20"/>
          <w:szCs w:val="20"/>
          <w:lang w:eastAsia="es-CR"/>
        </w:rPr>
        <w:t xml:space="preserve"> basó su defensa en calificar jurídicamente los hechos como ejecuciones extrajudiciales</w:t>
      </w:r>
      <w:r w:rsidRPr="00794E82">
        <w:rPr>
          <w:rFonts w:ascii="Verdana" w:hAnsi="Verdana"/>
          <w:sz w:val="20"/>
          <w:szCs w:val="20"/>
        </w:rPr>
        <w:t xml:space="preserve">. </w:t>
      </w:r>
      <w:r w:rsidRPr="00794E82">
        <w:rPr>
          <w:rFonts w:ascii="Verdana" w:hAnsi="Verdana"/>
          <w:spacing w:val="-2"/>
          <w:sz w:val="20"/>
          <w:szCs w:val="20"/>
          <w:lang w:eastAsia="es-CR"/>
        </w:rPr>
        <w:t xml:space="preserve">En el presente capítulo la Corte expondrá los argumentos de la Comisión y de las partes, establecerá la calificación jurídica de </w:t>
      </w:r>
      <w:r w:rsidRPr="00794E82">
        <w:rPr>
          <w:rFonts w:ascii="Verdana" w:hAnsi="Verdana" w:cs="Arial"/>
          <w:sz w:val="20"/>
          <w:szCs w:val="20"/>
          <w:lang w:val="es-GT"/>
        </w:rPr>
        <w:t>los</w:t>
      </w:r>
      <w:r w:rsidRPr="00794E82">
        <w:rPr>
          <w:rFonts w:ascii="Verdana" w:hAnsi="Verdana"/>
          <w:spacing w:val="-2"/>
          <w:sz w:val="20"/>
          <w:szCs w:val="20"/>
          <w:lang w:eastAsia="es-CR"/>
        </w:rPr>
        <w:t xml:space="preserve"> hechos del caso, y procederá a examinar las alegadas violaciones de los derechos al reconocimiento de la personalidad jurídica</w:t>
      </w:r>
      <w:r w:rsidRPr="00794E82">
        <w:rPr>
          <w:rFonts w:ascii="Verdana" w:hAnsi="Verdana"/>
          <w:caps/>
          <w:spacing w:val="-2"/>
          <w:sz w:val="20"/>
          <w:szCs w:val="20"/>
          <w:vertAlign w:val="superscript"/>
          <w:lang w:eastAsia="es-CR"/>
        </w:rPr>
        <w:footnoteReference w:id="164"/>
      </w:r>
      <w:r w:rsidRPr="00794E82">
        <w:rPr>
          <w:rFonts w:ascii="Verdana" w:hAnsi="Verdana"/>
          <w:spacing w:val="-2"/>
          <w:sz w:val="20"/>
          <w:szCs w:val="20"/>
          <w:lang w:eastAsia="es-CR"/>
        </w:rPr>
        <w:t>, a la vida</w:t>
      </w:r>
      <w:r w:rsidRPr="00794E82">
        <w:rPr>
          <w:rFonts w:ascii="Verdana" w:hAnsi="Verdana"/>
          <w:caps/>
          <w:spacing w:val="-2"/>
          <w:sz w:val="20"/>
          <w:szCs w:val="20"/>
          <w:vertAlign w:val="superscript"/>
          <w:lang w:eastAsia="es-CR"/>
        </w:rPr>
        <w:footnoteReference w:id="165"/>
      </w:r>
      <w:r w:rsidRPr="00794E82">
        <w:rPr>
          <w:rFonts w:ascii="Verdana" w:hAnsi="Verdana"/>
          <w:spacing w:val="-2"/>
          <w:sz w:val="20"/>
          <w:szCs w:val="20"/>
          <w:lang w:eastAsia="es-CR"/>
        </w:rPr>
        <w:t>, a la integridad personal</w:t>
      </w:r>
      <w:r w:rsidRPr="00794E82">
        <w:rPr>
          <w:rFonts w:ascii="Verdana" w:hAnsi="Verdana"/>
          <w:caps/>
          <w:spacing w:val="-2"/>
          <w:sz w:val="20"/>
          <w:szCs w:val="20"/>
          <w:vertAlign w:val="superscript"/>
          <w:lang w:eastAsia="es-CR"/>
        </w:rPr>
        <w:footnoteReference w:id="166"/>
      </w:r>
      <w:r>
        <w:rPr>
          <w:rFonts w:ascii="Verdana" w:hAnsi="Verdana"/>
          <w:spacing w:val="-2"/>
          <w:sz w:val="20"/>
          <w:szCs w:val="20"/>
          <w:lang w:eastAsia="es-CR"/>
        </w:rPr>
        <w:t>,</w:t>
      </w:r>
      <w:r w:rsidRPr="00794E82">
        <w:rPr>
          <w:rFonts w:ascii="Verdana" w:hAnsi="Verdana"/>
          <w:spacing w:val="-2"/>
          <w:sz w:val="20"/>
          <w:szCs w:val="20"/>
          <w:lang w:eastAsia="es-CR"/>
        </w:rPr>
        <w:t xml:space="preserve"> a la libertad personal</w:t>
      </w:r>
      <w:r w:rsidRPr="00794E82">
        <w:rPr>
          <w:rFonts w:ascii="Verdana" w:hAnsi="Verdana"/>
          <w:caps/>
          <w:spacing w:val="-2"/>
          <w:sz w:val="20"/>
          <w:szCs w:val="20"/>
          <w:vertAlign w:val="superscript"/>
          <w:lang w:eastAsia="es-CR"/>
        </w:rPr>
        <w:footnoteReference w:id="167"/>
      </w:r>
      <w:r w:rsidRPr="00794E82">
        <w:rPr>
          <w:rFonts w:ascii="Verdana" w:hAnsi="Verdana"/>
          <w:spacing w:val="-2"/>
          <w:sz w:val="20"/>
          <w:szCs w:val="20"/>
          <w:lang w:eastAsia="es-CR"/>
        </w:rPr>
        <w:t xml:space="preserve">, </w:t>
      </w:r>
      <w:r>
        <w:rPr>
          <w:rFonts w:ascii="Verdana" w:hAnsi="Verdana"/>
          <w:spacing w:val="-2"/>
          <w:sz w:val="20"/>
          <w:szCs w:val="20"/>
          <w:lang w:eastAsia="es-CR"/>
        </w:rPr>
        <w:t>a la protección de la honra y de la dignidad</w:t>
      </w:r>
      <w:r>
        <w:rPr>
          <w:rStyle w:val="FootnoteReference"/>
          <w:rFonts w:eastAsiaTheme="minorHAnsi"/>
          <w:spacing w:val="-2"/>
          <w:szCs w:val="20"/>
          <w:lang w:eastAsia="es-CR"/>
        </w:rPr>
        <w:footnoteReference w:id="168"/>
      </w:r>
      <w:r>
        <w:rPr>
          <w:rFonts w:ascii="Verdana" w:hAnsi="Verdana"/>
          <w:spacing w:val="-2"/>
          <w:sz w:val="20"/>
          <w:szCs w:val="20"/>
          <w:lang w:eastAsia="es-CR"/>
        </w:rPr>
        <w:t>, a la protección a la familia</w:t>
      </w:r>
      <w:r>
        <w:rPr>
          <w:rStyle w:val="FootnoteReference"/>
          <w:rFonts w:eastAsiaTheme="minorHAnsi"/>
          <w:spacing w:val="-2"/>
          <w:szCs w:val="20"/>
          <w:lang w:eastAsia="es-CR"/>
        </w:rPr>
        <w:footnoteReference w:id="169"/>
      </w:r>
      <w:r>
        <w:rPr>
          <w:rFonts w:ascii="Verdana" w:hAnsi="Verdana"/>
          <w:spacing w:val="-2"/>
          <w:sz w:val="20"/>
          <w:szCs w:val="20"/>
          <w:lang w:eastAsia="es-CR"/>
        </w:rPr>
        <w:t xml:space="preserve"> y a los derechos del niño</w:t>
      </w:r>
      <w:r>
        <w:rPr>
          <w:rStyle w:val="FootnoteReference"/>
          <w:rFonts w:eastAsiaTheme="minorHAnsi"/>
          <w:spacing w:val="-2"/>
          <w:szCs w:val="20"/>
          <w:lang w:eastAsia="es-CR"/>
        </w:rPr>
        <w:footnoteReference w:id="170"/>
      </w:r>
      <w:r>
        <w:rPr>
          <w:rFonts w:ascii="Verdana" w:hAnsi="Verdana"/>
          <w:spacing w:val="-2"/>
          <w:sz w:val="20"/>
          <w:szCs w:val="20"/>
          <w:lang w:eastAsia="es-CR"/>
        </w:rPr>
        <w:t>,</w:t>
      </w:r>
      <w:r>
        <w:rPr>
          <w:rFonts w:ascii="Verdana" w:hAnsi="Verdana" w:cs="Arial"/>
          <w:sz w:val="20"/>
          <w:szCs w:val="20"/>
        </w:rPr>
        <w:t xml:space="preserve"> </w:t>
      </w:r>
      <w:r w:rsidRPr="006B4D90">
        <w:rPr>
          <w:rFonts w:ascii="Verdana" w:hAnsi="Verdana"/>
          <w:spacing w:val="-2"/>
          <w:sz w:val="20"/>
          <w:szCs w:val="20"/>
          <w:lang w:eastAsia="es-CR"/>
        </w:rPr>
        <w:t xml:space="preserve">en relación con las </w:t>
      </w:r>
      <w:r w:rsidRPr="006B4D90">
        <w:rPr>
          <w:rFonts w:ascii="Verdana" w:hAnsi="Verdana"/>
          <w:spacing w:val="-2"/>
          <w:sz w:val="20"/>
          <w:szCs w:val="20"/>
          <w:lang w:eastAsia="es-CR"/>
        </w:rPr>
        <w:lastRenderedPageBreak/>
        <w:t>obligaciones de respeto y garantía establecidas en el artículo 1.1</w:t>
      </w:r>
      <w:r w:rsidRPr="00794E82">
        <w:rPr>
          <w:rFonts w:ascii="Verdana" w:hAnsi="Verdana"/>
          <w:caps/>
          <w:spacing w:val="-2"/>
          <w:sz w:val="20"/>
          <w:szCs w:val="20"/>
          <w:vertAlign w:val="superscript"/>
          <w:lang w:eastAsia="es-CR"/>
        </w:rPr>
        <w:footnoteReference w:id="171"/>
      </w:r>
      <w:r>
        <w:rPr>
          <w:rFonts w:ascii="Verdana" w:hAnsi="Verdana"/>
          <w:spacing w:val="-2"/>
          <w:sz w:val="20"/>
          <w:szCs w:val="20"/>
          <w:lang w:eastAsia="es-CR"/>
        </w:rPr>
        <w:t xml:space="preserve"> </w:t>
      </w:r>
      <w:r w:rsidRPr="006B4D90">
        <w:rPr>
          <w:rFonts w:ascii="Verdana" w:hAnsi="Verdana"/>
          <w:spacing w:val="-2"/>
          <w:sz w:val="20"/>
          <w:szCs w:val="20"/>
          <w:lang w:eastAsia="es-CR"/>
        </w:rPr>
        <w:t xml:space="preserve">de la Convención Americana, en perjuicio de </w:t>
      </w:r>
      <w:r>
        <w:rPr>
          <w:rFonts w:ascii="Verdana" w:hAnsi="Verdana"/>
          <w:spacing w:val="-2"/>
          <w:sz w:val="20"/>
          <w:szCs w:val="20"/>
          <w:lang w:eastAsia="es-CR"/>
        </w:rPr>
        <w:t>15</w:t>
      </w:r>
      <w:r w:rsidRPr="006B4D90">
        <w:rPr>
          <w:rFonts w:ascii="Verdana" w:hAnsi="Verdana"/>
          <w:spacing w:val="-2"/>
          <w:sz w:val="20"/>
          <w:szCs w:val="20"/>
          <w:lang w:eastAsia="es-CR"/>
        </w:rPr>
        <w:t xml:space="preserve"> víctimas del presente caso.</w:t>
      </w:r>
    </w:p>
    <w:p w:rsidR="00106A1E" w:rsidRPr="00794E82" w:rsidRDefault="00106A1E" w:rsidP="001154F9">
      <w:pPr>
        <w:pStyle w:val="Heading3"/>
        <w:rPr>
          <w:rFonts w:eastAsia="Calibri" w:cs="Arial"/>
          <w:lang w:val="es-CO" w:eastAsia="es-CR"/>
        </w:rPr>
      </w:pPr>
      <w:bookmarkStart w:id="175" w:name="_Toc423102542"/>
      <w:bookmarkStart w:id="176" w:name="_Toc433387495"/>
      <w:r w:rsidRPr="00794E82">
        <w:rPr>
          <w:rFonts w:eastAsia="Calibri"/>
          <w:lang w:val="es-CO" w:eastAsia="es-CR"/>
        </w:rPr>
        <w:t>A</w:t>
      </w:r>
      <w:r w:rsidR="00400758">
        <w:rPr>
          <w:rFonts w:eastAsia="Calibri"/>
          <w:lang w:val="es-CO" w:eastAsia="es-CR"/>
        </w:rPr>
        <w:t>.</w:t>
      </w:r>
      <w:r w:rsidRPr="00794E82">
        <w:rPr>
          <w:rFonts w:eastAsia="Calibri"/>
          <w:lang w:val="es-CO" w:eastAsia="es-CR"/>
        </w:rPr>
        <w:t xml:space="preserve"> Argumentos de la Comisión y de las partes</w:t>
      </w:r>
      <w:bookmarkEnd w:id="175"/>
      <w:bookmarkEnd w:id="176"/>
    </w:p>
    <w:p w:rsidR="00106A1E" w:rsidRPr="00794E82" w:rsidRDefault="00106A1E" w:rsidP="00106A1E">
      <w:pPr>
        <w:autoSpaceDE w:val="0"/>
        <w:autoSpaceDN w:val="0"/>
        <w:adjustRightInd w:val="0"/>
        <w:spacing w:after="0" w:line="240" w:lineRule="auto"/>
        <w:jc w:val="both"/>
        <w:rPr>
          <w:rFonts w:ascii="Verdana" w:eastAsia="Calibri" w:hAnsi="Verdana" w:cs="Arial"/>
          <w:sz w:val="20"/>
          <w:szCs w:val="20"/>
          <w:lang w:val="es-CO"/>
        </w:rPr>
      </w:pPr>
    </w:p>
    <w:p w:rsidR="00106A1E" w:rsidRPr="00794E82"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794E82">
        <w:rPr>
          <w:rFonts w:ascii="Verdana" w:hAnsi="Verdana" w:cs="Arial"/>
          <w:sz w:val="20"/>
          <w:szCs w:val="20"/>
          <w:lang w:val="es-PE" w:eastAsia="es-CR"/>
        </w:rPr>
        <w:t>La</w:t>
      </w:r>
      <w:r w:rsidRPr="00794E82">
        <w:rPr>
          <w:rFonts w:ascii="Verdana" w:hAnsi="Verdana" w:cs="Arial"/>
          <w:sz w:val="20"/>
          <w:szCs w:val="20"/>
        </w:rPr>
        <w:t xml:space="preserve"> </w:t>
      </w:r>
      <w:r w:rsidRPr="00794E82">
        <w:rPr>
          <w:rFonts w:ascii="Verdana" w:hAnsi="Verdana" w:cs="Arial"/>
          <w:b/>
          <w:i/>
          <w:sz w:val="20"/>
          <w:szCs w:val="20"/>
        </w:rPr>
        <w:t>Comisión</w:t>
      </w:r>
      <w:r w:rsidRPr="00794E82">
        <w:rPr>
          <w:rFonts w:ascii="Verdana" w:hAnsi="Verdana" w:cs="Arial"/>
          <w:sz w:val="20"/>
          <w:szCs w:val="20"/>
        </w:rPr>
        <w:t xml:space="preserve"> </w:t>
      </w:r>
      <w:r w:rsidRPr="00794E82">
        <w:rPr>
          <w:rFonts w:ascii="Verdana" w:hAnsi="Verdana" w:cs="Arial"/>
          <w:sz w:val="20"/>
          <w:szCs w:val="20"/>
          <w:lang w:val="es-GT"/>
        </w:rPr>
        <w:t>presentó</w:t>
      </w:r>
      <w:r w:rsidRPr="00794E82">
        <w:rPr>
          <w:rFonts w:ascii="Verdana" w:hAnsi="Verdana" w:cs="Arial"/>
          <w:sz w:val="20"/>
          <w:szCs w:val="20"/>
        </w:rPr>
        <w:t xml:space="preserve"> los siguientes argumentos</w:t>
      </w:r>
      <w:r w:rsidRPr="00794E82">
        <w:rPr>
          <w:rFonts w:ascii="Verdana" w:hAnsi="Verdana"/>
          <w:spacing w:val="-2"/>
          <w:sz w:val="20"/>
          <w:szCs w:val="20"/>
          <w:lang w:eastAsia="es-CR"/>
        </w:rPr>
        <w:t xml:space="preserve"> </w:t>
      </w:r>
      <w:r w:rsidRPr="00794E82">
        <w:rPr>
          <w:rFonts w:ascii="Verdana" w:hAnsi="Verdana" w:cs="Arial"/>
          <w:sz w:val="20"/>
          <w:szCs w:val="20"/>
        </w:rPr>
        <w:t>para sostener la calificación jurídica de</w:t>
      </w:r>
      <w:r>
        <w:rPr>
          <w:rFonts w:ascii="Verdana" w:hAnsi="Verdana" w:cs="Arial"/>
          <w:sz w:val="20"/>
          <w:szCs w:val="20"/>
        </w:rPr>
        <w:t xml:space="preserve"> los hechos como</w:t>
      </w:r>
      <w:r w:rsidRPr="00794E82">
        <w:rPr>
          <w:rFonts w:ascii="Verdana" w:hAnsi="Verdana" w:cs="Arial"/>
          <w:sz w:val="20"/>
          <w:szCs w:val="20"/>
        </w:rPr>
        <w:t xml:space="preserve"> </w:t>
      </w:r>
      <w:r w:rsidRPr="00794E82">
        <w:rPr>
          <w:rFonts w:ascii="Verdana" w:hAnsi="Verdana"/>
          <w:spacing w:val="-2"/>
          <w:sz w:val="20"/>
          <w:szCs w:val="20"/>
          <w:lang w:val="es-GT"/>
        </w:rPr>
        <w:t>desaparición</w:t>
      </w:r>
      <w:r w:rsidRPr="00794E82">
        <w:rPr>
          <w:rFonts w:ascii="Verdana" w:hAnsi="Verdana" w:cs="Arial"/>
          <w:sz w:val="20"/>
          <w:szCs w:val="20"/>
        </w:rPr>
        <w:t xml:space="preserve"> forzada: </w:t>
      </w:r>
    </w:p>
    <w:p w:rsidR="00106A1E" w:rsidRPr="00794E82" w:rsidRDefault="00106A1E" w:rsidP="00106A1E">
      <w:pPr>
        <w:autoSpaceDE w:val="0"/>
        <w:autoSpaceDN w:val="0"/>
        <w:adjustRightInd w:val="0"/>
        <w:spacing w:after="0" w:line="240" w:lineRule="auto"/>
        <w:jc w:val="both"/>
        <w:rPr>
          <w:rFonts w:ascii="Verdana" w:eastAsia="Calibri" w:hAnsi="Verdana" w:cs="Arial"/>
          <w:sz w:val="20"/>
          <w:szCs w:val="20"/>
        </w:rPr>
      </w:pPr>
    </w:p>
    <w:p w:rsidR="00106A1E" w:rsidRPr="00794E82" w:rsidRDefault="00106A1E" w:rsidP="001154F9">
      <w:pPr>
        <w:numPr>
          <w:ilvl w:val="0"/>
          <w:numId w:val="10"/>
        </w:numPr>
        <w:autoSpaceDE w:val="0"/>
        <w:autoSpaceDN w:val="0"/>
        <w:adjustRightInd w:val="0"/>
        <w:spacing w:after="0" w:line="240" w:lineRule="auto"/>
        <w:ind w:left="360" w:firstLine="0"/>
        <w:jc w:val="both"/>
        <w:rPr>
          <w:rFonts w:ascii="Verdana" w:eastAsia="Calibri" w:hAnsi="Verdana" w:cs="Arial"/>
          <w:sz w:val="20"/>
          <w:szCs w:val="20"/>
        </w:rPr>
      </w:pPr>
      <w:r w:rsidRPr="00794E82">
        <w:rPr>
          <w:rFonts w:ascii="Verdana" w:eastAsia="Calibri" w:hAnsi="Verdana" w:cs="Arial"/>
          <w:sz w:val="20"/>
          <w:szCs w:val="20"/>
        </w:rPr>
        <w:t xml:space="preserve">En los hechos de este caso se presentan </w:t>
      </w:r>
      <w:r w:rsidRPr="00794E82">
        <w:rPr>
          <w:rFonts w:ascii="Verdana" w:hAnsi="Verdana"/>
          <w:sz w:val="20"/>
          <w:szCs w:val="20"/>
          <w:lang w:eastAsia="es-CR"/>
        </w:rPr>
        <w:t xml:space="preserve">los elementos concurrentes y constitutivos </w:t>
      </w:r>
      <w:r w:rsidRPr="00794E82">
        <w:rPr>
          <w:rFonts w:ascii="Verdana" w:eastAsia="Calibri" w:hAnsi="Verdana" w:cs="Arial"/>
          <w:sz w:val="20"/>
          <w:szCs w:val="20"/>
        </w:rPr>
        <w:t>de la desaparición forzada, ya que</w:t>
      </w:r>
      <w:r w:rsidRPr="00794E82">
        <w:rPr>
          <w:rFonts w:ascii="Verdana" w:hAnsi="Verdana" w:cs="Arial"/>
          <w:sz w:val="20"/>
          <w:szCs w:val="20"/>
          <w:lang w:val="es-VE" w:eastAsia="es-CR"/>
        </w:rPr>
        <w:t>: i) existió una detención ilegal y arbitraria por parte de las fuerzas de seguridad estatal; ii) las víctimas fueron trasladadas a una distancia sustancial del lugar donde fueron detenidas, a un lugar aislado, precisamente con el fin de encubrir y ocultar los hechos; iii) las autoridades se rehusaron a colaborar con la investigación judicial</w:t>
      </w:r>
      <w:r>
        <w:rPr>
          <w:rFonts w:ascii="Verdana" w:hAnsi="Verdana" w:cs="Arial"/>
          <w:sz w:val="20"/>
          <w:szCs w:val="20"/>
          <w:lang w:val="es-VE" w:eastAsia="es-CR"/>
        </w:rPr>
        <w:t>,</w:t>
      </w:r>
      <w:r w:rsidRPr="00794E82">
        <w:rPr>
          <w:rFonts w:ascii="Verdana" w:hAnsi="Verdana" w:cs="Arial"/>
          <w:sz w:val="20"/>
          <w:szCs w:val="20"/>
          <w:lang w:val="es-VE" w:eastAsia="es-CR"/>
        </w:rPr>
        <w:t xml:space="preserve"> y iv) días después de los hechos algunos militares regresaron a la mina con el fin de intentar borrar las huellas materiales del crimen y prevenir cualquier esclarecimiento o investigación posterior de los mismos</w:t>
      </w:r>
      <w:r w:rsidRPr="00794E82">
        <w:rPr>
          <w:rFonts w:ascii="Verdana" w:eastAsia="Calibri" w:hAnsi="Verdana" w:cs="Arial"/>
          <w:sz w:val="20"/>
          <w:szCs w:val="20"/>
        </w:rPr>
        <w:t xml:space="preserve">. </w:t>
      </w:r>
    </w:p>
    <w:p w:rsidR="00106A1E" w:rsidRPr="00794E82" w:rsidRDefault="00106A1E" w:rsidP="00106A1E">
      <w:pPr>
        <w:autoSpaceDE w:val="0"/>
        <w:autoSpaceDN w:val="0"/>
        <w:adjustRightInd w:val="0"/>
        <w:spacing w:after="0" w:line="240" w:lineRule="auto"/>
        <w:ind w:left="360"/>
        <w:jc w:val="both"/>
        <w:rPr>
          <w:rFonts w:ascii="Verdana" w:eastAsia="Calibri" w:hAnsi="Verdana" w:cs="Arial"/>
          <w:sz w:val="20"/>
          <w:szCs w:val="20"/>
        </w:rPr>
      </w:pPr>
    </w:p>
    <w:p w:rsidR="00106A1E" w:rsidRPr="00794E82" w:rsidRDefault="00106A1E" w:rsidP="001154F9">
      <w:pPr>
        <w:numPr>
          <w:ilvl w:val="0"/>
          <w:numId w:val="10"/>
        </w:numPr>
        <w:autoSpaceDE w:val="0"/>
        <w:autoSpaceDN w:val="0"/>
        <w:adjustRightInd w:val="0"/>
        <w:spacing w:after="0" w:line="240" w:lineRule="auto"/>
        <w:ind w:left="360" w:firstLine="0"/>
        <w:jc w:val="both"/>
        <w:rPr>
          <w:rFonts w:ascii="Verdana" w:eastAsia="Calibri" w:hAnsi="Verdana" w:cs="Arial"/>
          <w:sz w:val="20"/>
          <w:szCs w:val="20"/>
        </w:rPr>
      </w:pPr>
      <w:r w:rsidRPr="00794E82">
        <w:rPr>
          <w:rFonts w:ascii="Verdana" w:eastAsia="Calibri" w:hAnsi="Verdana" w:cs="Arial"/>
          <w:sz w:val="20"/>
          <w:szCs w:val="20"/>
        </w:rPr>
        <w:t xml:space="preserve">El </w:t>
      </w:r>
      <w:r w:rsidRPr="00794E82">
        <w:rPr>
          <w:rFonts w:ascii="Verdana" w:eastAsia="Calibri" w:hAnsi="Verdana" w:cs="Arial"/>
          <w:i/>
          <w:iCs/>
          <w:sz w:val="20"/>
          <w:szCs w:val="20"/>
        </w:rPr>
        <w:t xml:space="preserve">modus operandi </w:t>
      </w:r>
      <w:r w:rsidRPr="00794E82">
        <w:rPr>
          <w:rFonts w:ascii="Verdana" w:eastAsia="Calibri" w:hAnsi="Verdana" w:cs="Arial"/>
          <w:sz w:val="20"/>
          <w:szCs w:val="20"/>
        </w:rPr>
        <w:t>utilizado en este caso en la destrucción de evidencias sería coincidente con las observaciones del Informe de la CVR, el cual incluyó como modalidades utilizadas en la época para destruir evidencias de la desaparición forzada, entre otras, la mutilación o</w:t>
      </w:r>
      <w:r w:rsidRPr="00794E82">
        <w:rPr>
          <w:rFonts w:ascii="Verdana" w:eastAsia="Calibri" w:hAnsi="Verdana"/>
          <w:i/>
          <w:iCs/>
          <w:sz w:val="20"/>
          <w:szCs w:val="20"/>
        </w:rPr>
        <w:t xml:space="preserve"> </w:t>
      </w:r>
      <w:r w:rsidRPr="00794E82">
        <w:rPr>
          <w:rFonts w:ascii="Verdana" w:eastAsia="Calibri" w:hAnsi="Verdana" w:cs="Arial"/>
          <w:sz w:val="20"/>
          <w:szCs w:val="20"/>
        </w:rPr>
        <w:t>incineración de los restos mortales de las víctimas.</w:t>
      </w:r>
    </w:p>
    <w:p w:rsidR="00106A1E" w:rsidRPr="00794E82" w:rsidRDefault="00106A1E" w:rsidP="00106A1E">
      <w:pPr>
        <w:autoSpaceDE w:val="0"/>
        <w:autoSpaceDN w:val="0"/>
        <w:adjustRightInd w:val="0"/>
        <w:spacing w:after="0" w:line="240" w:lineRule="auto"/>
        <w:ind w:left="360"/>
        <w:jc w:val="both"/>
        <w:rPr>
          <w:rFonts w:ascii="Verdana" w:eastAsia="Calibri" w:hAnsi="Verdana" w:cs="Arial"/>
          <w:sz w:val="20"/>
          <w:szCs w:val="20"/>
        </w:rPr>
      </w:pPr>
    </w:p>
    <w:p w:rsidR="00106A1E" w:rsidRPr="00794E82" w:rsidRDefault="00106A1E" w:rsidP="001154F9">
      <w:pPr>
        <w:numPr>
          <w:ilvl w:val="0"/>
          <w:numId w:val="10"/>
        </w:numPr>
        <w:autoSpaceDE w:val="0"/>
        <w:autoSpaceDN w:val="0"/>
        <w:adjustRightInd w:val="0"/>
        <w:spacing w:after="0" w:line="240" w:lineRule="auto"/>
        <w:ind w:left="360" w:firstLine="0"/>
        <w:jc w:val="both"/>
        <w:rPr>
          <w:rFonts w:ascii="Verdana" w:eastAsia="Calibri" w:hAnsi="Verdana" w:cs="Arial"/>
          <w:sz w:val="20"/>
          <w:szCs w:val="20"/>
        </w:rPr>
      </w:pPr>
      <w:r w:rsidRPr="00794E82">
        <w:rPr>
          <w:rFonts w:ascii="Verdana" w:eastAsia="Calibri" w:hAnsi="Verdana" w:cs="Arial"/>
          <w:sz w:val="20"/>
          <w:szCs w:val="20"/>
        </w:rPr>
        <w:t>Hasta la fecha no se ha entregado a los familiares de las víctimas el resultado de las pruebas de ADN realizadas recién en el año 2010, y</w:t>
      </w:r>
      <w:r w:rsidRPr="00794E82">
        <w:rPr>
          <w:rFonts w:ascii="Verdana" w:hAnsi="Verdana"/>
          <w:sz w:val="20"/>
          <w:szCs w:val="20"/>
          <w:lang w:eastAsia="es-CR"/>
        </w:rPr>
        <w:t xml:space="preserve"> al día de hoy no se conoce con exactitud, a través de medios que ofrezcan certeza a los familiares, el destino y paradero final de las víctimas desaparecidas.</w:t>
      </w:r>
    </w:p>
    <w:p w:rsidR="00106A1E" w:rsidRPr="00794E82" w:rsidRDefault="00106A1E" w:rsidP="00106A1E">
      <w:pPr>
        <w:autoSpaceDE w:val="0"/>
        <w:autoSpaceDN w:val="0"/>
        <w:adjustRightInd w:val="0"/>
        <w:spacing w:after="0" w:line="240" w:lineRule="auto"/>
        <w:ind w:left="360"/>
        <w:jc w:val="both"/>
        <w:rPr>
          <w:rFonts w:ascii="Verdana" w:eastAsia="Calibri" w:hAnsi="Verdana" w:cs="Arial"/>
          <w:sz w:val="20"/>
          <w:szCs w:val="20"/>
        </w:rPr>
      </w:pPr>
    </w:p>
    <w:p w:rsidR="00106A1E" w:rsidRPr="00794E82" w:rsidRDefault="00106A1E" w:rsidP="001154F9">
      <w:pPr>
        <w:numPr>
          <w:ilvl w:val="0"/>
          <w:numId w:val="10"/>
        </w:numPr>
        <w:autoSpaceDE w:val="0"/>
        <w:autoSpaceDN w:val="0"/>
        <w:adjustRightInd w:val="0"/>
        <w:spacing w:after="0" w:line="240" w:lineRule="auto"/>
        <w:ind w:left="360" w:firstLine="0"/>
        <w:jc w:val="both"/>
        <w:rPr>
          <w:rFonts w:ascii="Verdana" w:eastAsia="Calibri" w:hAnsi="Verdana" w:cs="Arial"/>
          <w:sz w:val="20"/>
          <w:szCs w:val="20"/>
        </w:rPr>
      </w:pPr>
      <w:r w:rsidRPr="00794E82">
        <w:rPr>
          <w:rFonts w:ascii="Verdana" w:hAnsi="Verdana"/>
          <w:sz w:val="20"/>
          <w:szCs w:val="20"/>
          <w:lang w:eastAsia="es-CR"/>
        </w:rPr>
        <w:t xml:space="preserve">Los hechos del presente caso se enmarcaron en un contexto </w:t>
      </w:r>
      <w:r w:rsidRPr="00794E82">
        <w:rPr>
          <w:rFonts w:ascii="Verdana" w:hAnsi="Verdana"/>
          <w:bCs/>
          <w:sz w:val="20"/>
          <w:szCs w:val="20"/>
          <w:lang w:val="es-AR" w:eastAsia="es-CR"/>
        </w:rPr>
        <w:t xml:space="preserve">en el que </w:t>
      </w:r>
      <w:r w:rsidRPr="00794E82">
        <w:rPr>
          <w:rFonts w:ascii="Verdana" w:eastAsia="Calibri" w:hAnsi="Verdana" w:cs="Arial"/>
          <w:sz w:val="20"/>
          <w:szCs w:val="20"/>
        </w:rPr>
        <w:t>las víctimas de desapariciones forzadas en la época en el Perú correspondían generalmente a personas identificadas por las autoridades de la policía, las fuerzas militares o</w:t>
      </w:r>
      <w:r w:rsidRPr="00794E82">
        <w:rPr>
          <w:rFonts w:ascii="Verdana" w:eastAsia="Calibri" w:hAnsi="Verdana"/>
          <w:i/>
          <w:iCs/>
          <w:sz w:val="20"/>
          <w:szCs w:val="20"/>
        </w:rPr>
        <w:t xml:space="preserve"> </w:t>
      </w:r>
      <w:r w:rsidRPr="00794E82">
        <w:rPr>
          <w:rFonts w:ascii="Verdana" w:eastAsia="Calibri" w:hAnsi="Verdana" w:cs="Arial"/>
          <w:sz w:val="20"/>
          <w:szCs w:val="20"/>
        </w:rPr>
        <w:t xml:space="preserve">los comandos paramilitares, como presuntos miembros, colaboradores o simpatizantes de Sendero Luminoso o del MRTA. </w:t>
      </w:r>
    </w:p>
    <w:p w:rsidR="00106A1E" w:rsidRPr="00794E82" w:rsidRDefault="00106A1E" w:rsidP="00106A1E">
      <w:pPr>
        <w:autoSpaceDE w:val="0"/>
        <w:autoSpaceDN w:val="0"/>
        <w:adjustRightInd w:val="0"/>
        <w:spacing w:after="0" w:line="240" w:lineRule="auto"/>
        <w:jc w:val="both"/>
        <w:rPr>
          <w:rFonts w:ascii="Verdana" w:hAnsi="Verdana"/>
          <w:b/>
          <w:sz w:val="20"/>
          <w:szCs w:val="20"/>
          <w:lang w:eastAsia="es-CR"/>
        </w:rPr>
      </w:pPr>
    </w:p>
    <w:p w:rsidR="00106A1E" w:rsidRPr="00794E82"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Univers"/>
          <w:sz w:val="20"/>
          <w:szCs w:val="20"/>
          <w:lang w:val="es-ES_tradnl" w:eastAsia="es-CR"/>
        </w:rPr>
      </w:pPr>
      <w:r w:rsidRPr="00794E82">
        <w:rPr>
          <w:rFonts w:ascii="Verdana" w:hAnsi="Verdana" w:cs="Arial"/>
          <w:sz w:val="20"/>
          <w:szCs w:val="20"/>
          <w:lang w:val="es-PE" w:eastAsia="es-CR"/>
        </w:rPr>
        <w:t>En razón de lo anterior</w:t>
      </w:r>
      <w:r w:rsidRPr="00794E82">
        <w:rPr>
          <w:rFonts w:ascii="Verdana" w:hAnsi="Verdana" w:cs="Arial"/>
          <w:sz w:val="20"/>
          <w:szCs w:val="20"/>
        </w:rPr>
        <w:t xml:space="preserve">, la Comisión sostuvo que el Estado violó </w:t>
      </w:r>
      <w:r w:rsidRPr="00794E82">
        <w:rPr>
          <w:rFonts w:ascii="Verdana" w:hAnsi="Verdana" w:cs="Univers"/>
          <w:sz w:val="20"/>
          <w:szCs w:val="20"/>
          <w:lang w:val="es-ES_tradnl" w:eastAsia="es-CR"/>
        </w:rPr>
        <w:t xml:space="preserve">los derechos a la </w:t>
      </w:r>
      <w:r w:rsidRPr="00794E82">
        <w:rPr>
          <w:rFonts w:ascii="Verdana" w:hAnsi="Verdana"/>
          <w:sz w:val="20"/>
          <w:szCs w:val="20"/>
          <w:lang w:val="es-MX" w:eastAsia="es-CR"/>
        </w:rPr>
        <w:t>libertad</w:t>
      </w:r>
      <w:r w:rsidRPr="00794E82">
        <w:rPr>
          <w:rFonts w:ascii="Verdana" w:hAnsi="Verdana" w:cs="Univers"/>
          <w:sz w:val="20"/>
          <w:szCs w:val="20"/>
          <w:lang w:val="es-ES_tradnl" w:eastAsia="es-CR"/>
        </w:rPr>
        <w:t xml:space="preserve"> personal, integridad personal, vida y reconocimiento de la personalidad jurídica, consagrados en los artículos 7, 5, 4</w:t>
      </w:r>
      <w:r>
        <w:rPr>
          <w:rFonts w:ascii="Verdana" w:hAnsi="Verdana" w:cs="Univers"/>
          <w:sz w:val="20"/>
          <w:szCs w:val="20"/>
          <w:lang w:val="es-ES_tradnl" w:eastAsia="es-CR"/>
        </w:rPr>
        <w:t>.1</w:t>
      </w:r>
      <w:r w:rsidRPr="00794E82">
        <w:rPr>
          <w:rFonts w:ascii="Verdana" w:hAnsi="Verdana" w:cs="Univers"/>
          <w:sz w:val="20"/>
          <w:szCs w:val="20"/>
          <w:lang w:val="es-ES_tradnl" w:eastAsia="es-CR"/>
        </w:rPr>
        <w:t xml:space="preserve"> y 3 de la Convención Americana, en relación con las obligaciones </w:t>
      </w:r>
      <w:r w:rsidRPr="00794E82">
        <w:rPr>
          <w:rFonts w:ascii="Verdana" w:hAnsi="Verdana" w:cs="Arial"/>
          <w:sz w:val="20"/>
          <w:szCs w:val="20"/>
        </w:rPr>
        <w:t>establecidas</w:t>
      </w:r>
      <w:r w:rsidRPr="00794E82">
        <w:rPr>
          <w:rFonts w:ascii="Verdana" w:hAnsi="Verdana" w:cs="Univers"/>
          <w:sz w:val="20"/>
          <w:szCs w:val="20"/>
          <w:lang w:val="es-ES_tradnl" w:eastAsia="es-CR"/>
        </w:rPr>
        <w:t xml:space="preserve"> en el artículo 1.1 del mismo instrumento, en perjuicio de 15 víctimas del presente caso</w:t>
      </w:r>
      <w:r w:rsidRPr="00794E82">
        <w:rPr>
          <w:rFonts w:ascii="Verdana" w:hAnsi="Verdana" w:cs="Arial"/>
          <w:sz w:val="20"/>
          <w:szCs w:val="20"/>
          <w:lang w:val="es-PE" w:eastAsia="es-CR"/>
        </w:rPr>
        <w:t xml:space="preserve">, </w:t>
      </w:r>
      <w:r w:rsidRPr="00794E82">
        <w:rPr>
          <w:rFonts w:ascii="Verdana" w:hAnsi="Verdana" w:cs="Univers"/>
          <w:sz w:val="20"/>
          <w:szCs w:val="20"/>
          <w:lang w:val="es-ES_tradnl" w:eastAsia="es-CR"/>
        </w:rPr>
        <w:t xml:space="preserve">con el agravante que siete de las </w:t>
      </w:r>
      <w:r w:rsidRPr="00794E82">
        <w:rPr>
          <w:rFonts w:ascii="Verdana" w:hAnsi="Verdana"/>
          <w:spacing w:val="-2"/>
          <w:sz w:val="20"/>
          <w:szCs w:val="20"/>
          <w:lang w:eastAsia="es-CR"/>
        </w:rPr>
        <w:t>mismas</w:t>
      </w:r>
      <w:r w:rsidRPr="00794E82">
        <w:rPr>
          <w:rFonts w:ascii="Verdana" w:hAnsi="Verdana" w:cs="Univers"/>
          <w:sz w:val="20"/>
          <w:szCs w:val="20"/>
          <w:lang w:val="es-ES_tradnl" w:eastAsia="es-CR"/>
        </w:rPr>
        <w:t xml:space="preserve"> eran </w:t>
      </w:r>
      <w:r w:rsidRPr="002964A7">
        <w:rPr>
          <w:rFonts w:ascii="Verdana" w:hAnsi="Verdana"/>
          <w:sz w:val="20"/>
          <w:szCs w:val="20"/>
          <w:lang w:val="es-ES"/>
        </w:rPr>
        <w:t>niñ</w:t>
      </w:r>
      <w:r>
        <w:rPr>
          <w:rFonts w:ascii="Verdana" w:hAnsi="Verdana"/>
          <w:sz w:val="20"/>
          <w:szCs w:val="20"/>
          <w:lang w:val="es-ES"/>
        </w:rPr>
        <w:t>a</w:t>
      </w:r>
      <w:r w:rsidRPr="002964A7">
        <w:rPr>
          <w:rFonts w:ascii="Verdana" w:hAnsi="Verdana"/>
          <w:sz w:val="20"/>
          <w:szCs w:val="20"/>
          <w:lang w:val="es-ES"/>
        </w:rPr>
        <w:t>s y niñ</w:t>
      </w:r>
      <w:r>
        <w:rPr>
          <w:rFonts w:ascii="Verdana" w:hAnsi="Verdana"/>
          <w:sz w:val="20"/>
          <w:szCs w:val="20"/>
          <w:lang w:val="es-ES"/>
        </w:rPr>
        <w:t>o</w:t>
      </w:r>
      <w:r w:rsidRPr="002964A7">
        <w:rPr>
          <w:rFonts w:ascii="Verdana" w:hAnsi="Verdana"/>
          <w:sz w:val="20"/>
          <w:szCs w:val="20"/>
          <w:lang w:val="es-ES"/>
        </w:rPr>
        <w:t>s</w:t>
      </w:r>
      <w:r w:rsidRPr="00794E82" w:rsidDel="00BB3D01">
        <w:rPr>
          <w:rFonts w:ascii="Verdana" w:hAnsi="Verdana" w:cs="Univers"/>
          <w:sz w:val="20"/>
          <w:szCs w:val="20"/>
          <w:lang w:val="es-ES_tradnl" w:eastAsia="es-CR"/>
        </w:rPr>
        <w:t xml:space="preserve"> </w:t>
      </w:r>
      <w:r w:rsidRPr="00794E82">
        <w:rPr>
          <w:rFonts w:ascii="Verdana" w:hAnsi="Verdana" w:cs="Univers"/>
          <w:sz w:val="20"/>
          <w:szCs w:val="20"/>
          <w:lang w:val="es-ES_tradnl" w:eastAsia="es-CR"/>
        </w:rPr>
        <w:t xml:space="preserve">al momento de los hechos, en los siguientes términos: </w:t>
      </w:r>
    </w:p>
    <w:p w:rsidR="00106A1E" w:rsidRPr="00794E82" w:rsidRDefault="00106A1E" w:rsidP="00106A1E">
      <w:pPr>
        <w:autoSpaceDE w:val="0"/>
        <w:autoSpaceDN w:val="0"/>
        <w:adjustRightInd w:val="0"/>
        <w:spacing w:after="0" w:line="240" w:lineRule="auto"/>
        <w:jc w:val="both"/>
        <w:rPr>
          <w:rFonts w:ascii="Verdana" w:hAnsi="Verdana" w:cs="Arial"/>
          <w:sz w:val="20"/>
          <w:szCs w:val="20"/>
          <w:lang w:val="es-ES_tradnl" w:eastAsia="es-CR"/>
        </w:rPr>
      </w:pPr>
    </w:p>
    <w:p w:rsidR="00106A1E" w:rsidRPr="00794E82" w:rsidRDefault="00106A1E" w:rsidP="001154F9">
      <w:pPr>
        <w:numPr>
          <w:ilvl w:val="0"/>
          <w:numId w:val="11"/>
        </w:numPr>
        <w:autoSpaceDE w:val="0"/>
        <w:autoSpaceDN w:val="0"/>
        <w:adjustRightInd w:val="0"/>
        <w:spacing w:after="0" w:line="240" w:lineRule="auto"/>
        <w:ind w:left="360" w:firstLine="0"/>
        <w:jc w:val="both"/>
        <w:rPr>
          <w:rFonts w:ascii="Verdana" w:hAnsi="Verdana" w:cs="Arial"/>
          <w:sz w:val="20"/>
          <w:szCs w:val="20"/>
          <w:lang w:val="es-PE" w:eastAsia="es-CR"/>
        </w:rPr>
      </w:pPr>
      <w:r w:rsidRPr="00794E82">
        <w:rPr>
          <w:rFonts w:ascii="Verdana" w:hAnsi="Verdana" w:cs="Arial"/>
          <w:sz w:val="20"/>
          <w:szCs w:val="20"/>
          <w:lang w:val="es-PE" w:eastAsia="es-CR"/>
        </w:rPr>
        <w:t xml:space="preserve">Existió </w:t>
      </w:r>
      <w:r w:rsidRPr="00794E82">
        <w:rPr>
          <w:rFonts w:ascii="Verdana" w:hAnsi="Verdana" w:cs="Arial"/>
          <w:sz w:val="20"/>
          <w:szCs w:val="20"/>
          <w:lang w:val="es-VE" w:eastAsia="es-CR"/>
        </w:rPr>
        <w:t>una detención ilegal y arbitraria por las fuerzas de seguridad del Estado.</w:t>
      </w:r>
      <w:r w:rsidRPr="00794E82">
        <w:rPr>
          <w:rFonts w:ascii="Verdana" w:hAnsi="Verdana" w:cs="Arial"/>
          <w:sz w:val="20"/>
          <w:szCs w:val="20"/>
          <w:lang w:val="es-PE" w:eastAsia="es-CR"/>
        </w:rPr>
        <w:t xml:space="preserve"> </w:t>
      </w:r>
    </w:p>
    <w:p w:rsidR="00106A1E" w:rsidRPr="00794E82" w:rsidRDefault="00106A1E" w:rsidP="00106A1E">
      <w:pPr>
        <w:autoSpaceDE w:val="0"/>
        <w:autoSpaceDN w:val="0"/>
        <w:adjustRightInd w:val="0"/>
        <w:spacing w:after="0" w:line="240" w:lineRule="auto"/>
        <w:ind w:left="360"/>
        <w:jc w:val="both"/>
        <w:rPr>
          <w:rFonts w:ascii="Verdana" w:hAnsi="Verdana" w:cs="Arial"/>
          <w:sz w:val="20"/>
          <w:szCs w:val="20"/>
          <w:lang w:val="es-PE" w:eastAsia="es-CR"/>
        </w:rPr>
      </w:pPr>
    </w:p>
    <w:p w:rsidR="00106A1E" w:rsidRPr="00794E82" w:rsidRDefault="00106A1E" w:rsidP="001154F9">
      <w:pPr>
        <w:numPr>
          <w:ilvl w:val="0"/>
          <w:numId w:val="11"/>
        </w:numPr>
        <w:autoSpaceDE w:val="0"/>
        <w:autoSpaceDN w:val="0"/>
        <w:adjustRightInd w:val="0"/>
        <w:spacing w:after="0" w:line="240" w:lineRule="auto"/>
        <w:ind w:left="360" w:firstLine="0"/>
        <w:jc w:val="both"/>
        <w:rPr>
          <w:rFonts w:ascii="Verdana" w:hAnsi="Verdana" w:cs="Arial"/>
          <w:sz w:val="20"/>
          <w:szCs w:val="20"/>
          <w:lang w:val="es-PE" w:eastAsia="es-CR"/>
        </w:rPr>
      </w:pPr>
      <w:r w:rsidRPr="00794E82">
        <w:rPr>
          <w:rFonts w:ascii="Verdana" w:hAnsi="Verdana" w:cs="Arial"/>
          <w:sz w:val="20"/>
          <w:szCs w:val="20"/>
          <w:lang w:val="es-PE" w:eastAsia="es-CR"/>
        </w:rPr>
        <w:t>E</w:t>
      </w:r>
      <w:r w:rsidRPr="00794E82">
        <w:rPr>
          <w:rFonts w:ascii="Verdana" w:eastAsia="Calibri" w:hAnsi="Verdana" w:cs="Arial"/>
          <w:sz w:val="20"/>
          <w:szCs w:val="20"/>
        </w:rPr>
        <w:t>n la época de los hechos, la</w:t>
      </w:r>
      <w:r>
        <w:rPr>
          <w:rFonts w:ascii="Verdana" w:eastAsia="Calibri" w:hAnsi="Verdana" w:cs="Arial"/>
          <w:sz w:val="20"/>
          <w:szCs w:val="20"/>
        </w:rPr>
        <w:t>s</w:t>
      </w:r>
      <w:r w:rsidRPr="00794E82">
        <w:rPr>
          <w:rFonts w:ascii="Verdana" w:eastAsia="Calibri" w:hAnsi="Verdana" w:cs="Arial"/>
          <w:sz w:val="20"/>
          <w:szCs w:val="20"/>
        </w:rPr>
        <w:t xml:space="preserve"> desaparici</w:t>
      </w:r>
      <w:r>
        <w:rPr>
          <w:rFonts w:ascii="Verdana" w:eastAsia="Calibri" w:hAnsi="Verdana" w:cs="Arial"/>
          <w:sz w:val="20"/>
          <w:szCs w:val="20"/>
        </w:rPr>
        <w:t>o</w:t>
      </w:r>
      <w:r w:rsidRPr="00794E82">
        <w:rPr>
          <w:rFonts w:ascii="Verdana" w:eastAsia="Calibri" w:hAnsi="Verdana" w:cs="Arial"/>
          <w:sz w:val="20"/>
          <w:szCs w:val="20"/>
        </w:rPr>
        <w:t>n</w:t>
      </w:r>
      <w:r>
        <w:rPr>
          <w:rFonts w:ascii="Verdana" w:eastAsia="Calibri" w:hAnsi="Verdana" w:cs="Arial"/>
          <w:sz w:val="20"/>
          <w:szCs w:val="20"/>
        </w:rPr>
        <w:t>es</w:t>
      </w:r>
      <w:r w:rsidRPr="00794E82">
        <w:rPr>
          <w:rFonts w:ascii="Verdana" w:eastAsia="Calibri" w:hAnsi="Verdana" w:cs="Arial"/>
          <w:sz w:val="20"/>
          <w:szCs w:val="20"/>
        </w:rPr>
        <w:t xml:space="preserve"> forzada</w:t>
      </w:r>
      <w:r>
        <w:rPr>
          <w:rFonts w:ascii="Verdana" w:eastAsia="Calibri" w:hAnsi="Verdana" w:cs="Arial"/>
          <w:sz w:val="20"/>
          <w:szCs w:val="20"/>
        </w:rPr>
        <w:t>s</w:t>
      </w:r>
      <w:r w:rsidRPr="00794E82">
        <w:rPr>
          <w:rFonts w:ascii="Verdana" w:eastAsia="Calibri" w:hAnsi="Verdana" w:cs="Arial"/>
          <w:sz w:val="20"/>
          <w:szCs w:val="20"/>
        </w:rPr>
        <w:t xml:space="preserve"> a menudo eran precedidas por tratos crueles, inhumanos o degradantes, generalmente destinados a lograr confesiones auto inculpatorias por parte de las víctimas, a lograr que estas proporcionaran información sobre los grupos subversivos o a generar temor en la población que la inhibiera de colaborar con </w:t>
      </w:r>
      <w:r w:rsidR="00335E16">
        <w:rPr>
          <w:rFonts w:ascii="Verdana" w:eastAsia="Calibri" w:hAnsi="Verdana" w:cs="Arial"/>
          <w:sz w:val="20"/>
          <w:szCs w:val="20"/>
        </w:rPr>
        <w:t>e</w:t>
      </w:r>
      <w:r w:rsidRPr="00794E82">
        <w:rPr>
          <w:rFonts w:ascii="Verdana" w:eastAsia="Calibri" w:hAnsi="Verdana" w:cs="Arial"/>
          <w:sz w:val="20"/>
          <w:szCs w:val="20"/>
        </w:rPr>
        <w:t xml:space="preserve">stos. Asimismo, en el caso concreto, </w:t>
      </w:r>
      <w:r w:rsidRPr="00794E82">
        <w:rPr>
          <w:rFonts w:ascii="Verdana" w:hAnsi="Verdana" w:cs="Arial"/>
          <w:sz w:val="20"/>
          <w:szCs w:val="20"/>
          <w:lang w:val="es-PE" w:eastAsia="es-CR"/>
        </w:rPr>
        <w:t xml:space="preserve">mientras las 15 víctimas eran trasladadas a la mina “Misteriosa” el 4 de julio de 1991, </w:t>
      </w:r>
      <w:r w:rsidRPr="00794E82">
        <w:rPr>
          <w:rFonts w:ascii="Verdana" w:hAnsi="Verdana" w:cs="Arial"/>
          <w:sz w:val="20"/>
          <w:szCs w:val="20"/>
          <w:lang w:val="es-PE" w:eastAsia="es-CR"/>
        </w:rPr>
        <w:lastRenderedPageBreak/>
        <w:t xml:space="preserve">fueron golpeadas y obligadas a caminar varias horas con las manos atadas y amarrados del cuello y no se les proporcionó alimentos ni agua. En consecuencia, </w:t>
      </w:r>
      <w:r w:rsidRPr="00794E82">
        <w:rPr>
          <w:rFonts w:ascii="Verdana" w:hAnsi="Verdana" w:cs="Univers"/>
          <w:sz w:val="20"/>
          <w:szCs w:val="20"/>
          <w:lang w:val="es-ES_tradnl" w:eastAsia="es-CR"/>
        </w:rPr>
        <w:t xml:space="preserve">las víctimas fueron humilladas, torturadas y temieron por sus vidas, siendo que algunas de ellas eran </w:t>
      </w:r>
      <w:r w:rsidRPr="00BB3D01">
        <w:rPr>
          <w:rFonts w:ascii="Verdana" w:hAnsi="Verdana" w:cs="Univers"/>
          <w:sz w:val="20"/>
          <w:szCs w:val="20"/>
          <w:lang w:val="es-ES" w:eastAsia="es-CR"/>
        </w:rPr>
        <w:t>niñas y niños</w:t>
      </w:r>
      <w:r w:rsidRPr="00794E82">
        <w:rPr>
          <w:rFonts w:ascii="Verdana" w:hAnsi="Verdana" w:cs="Univers"/>
          <w:sz w:val="20"/>
          <w:szCs w:val="20"/>
          <w:lang w:val="es-ES_tradnl" w:eastAsia="es-CR"/>
        </w:rPr>
        <w:t>.</w:t>
      </w:r>
    </w:p>
    <w:p w:rsidR="00106A1E" w:rsidRPr="00794E82" w:rsidRDefault="00106A1E" w:rsidP="00106A1E">
      <w:pPr>
        <w:autoSpaceDE w:val="0"/>
        <w:autoSpaceDN w:val="0"/>
        <w:adjustRightInd w:val="0"/>
        <w:spacing w:after="0" w:line="240" w:lineRule="auto"/>
        <w:ind w:left="360"/>
        <w:jc w:val="both"/>
        <w:rPr>
          <w:rFonts w:ascii="Verdana" w:hAnsi="Verdana" w:cs="Arial"/>
          <w:sz w:val="20"/>
          <w:szCs w:val="20"/>
          <w:lang w:val="es-PE" w:eastAsia="es-CR"/>
        </w:rPr>
      </w:pPr>
    </w:p>
    <w:p w:rsidR="00106A1E" w:rsidRPr="00794E82" w:rsidRDefault="00106A1E" w:rsidP="001154F9">
      <w:pPr>
        <w:numPr>
          <w:ilvl w:val="0"/>
          <w:numId w:val="11"/>
        </w:numPr>
        <w:autoSpaceDE w:val="0"/>
        <w:autoSpaceDN w:val="0"/>
        <w:adjustRightInd w:val="0"/>
        <w:spacing w:after="0" w:line="240" w:lineRule="auto"/>
        <w:ind w:left="360" w:firstLine="0"/>
        <w:jc w:val="both"/>
        <w:rPr>
          <w:rFonts w:ascii="Verdana" w:hAnsi="Verdana" w:cs="Arial"/>
          <w:sz w:val="20"/>
          <w:szCs w:val="20"/>
          <w:lang w:val="es-PE" w:eastAsia="es-CR"/>
        </w:rPr>
      </w:pPr>
      <w:r w:rsidRPr="00794E82">
        <w:rPr>
          <w:rFonts w:ascii="Verdana" w:hAnsi="Verdana" w:cs="Arial"/>
          <w:sz w:val="20"/>
          <w:szCs w:val="20"/>
          <w:lang w:val="es-PE" w:eastAsia="es-CR"/>
        </w:rPr>
        <w:t xml:space="preserve">De conformidad con todos los indicios </w:t>
      </w:r>
      <w:r w:rsidRPr="00794E82">
        <w:rPr>
          <w:rFonts w:ascii="Verdana" w:eastAsia="Calibri" w:hAnsi="Verdana" w:cs="Arial"/>
          <w:sz w:val="20"/>
          <w:szCs w:val="20"/>
        </w:rPr>
        <w:t xml:space="preserve">y del Informe de la CVR, era razonable </w:t>
      </w:r>
      <w:r w:rsidRPr="00794E82">
        <w:rPr>
          <w:rFonts w:ascii="Verdana" w:hAnsi="Verdana" w:cs="Arial"/>
          <w:sz w:val="20"/>
          <w:szCs w:val="20"/>
          <w:lang w:val="es-PE" w:eastAsia="es-CR"/>
        </w:rPr>
        <w:t xml:space="preserve">inferir que miembros de la patrulla militar “Escorpio” dieron muerte a las víctimas y, posteriormente, dinamitaron sus cuerpos. Al respecto, en sus alegatos finales sostuvo que </w:t>
      </w:r>
      <w:r w:rsidRPr="00794E82">
        <w:rPr>
          <w:rFonts w:ascii="Verdana" w:hAnsi="Verdana" w:cs="Helvetica"/>
          <w:sz w:val="20"/>
          <w:szCs w:val="20"/>
          <w:lang w:eastAsia="es-CR" w:bidi="en-US"/>
        </w:rPr>
        <w:t>en casos de desaparición forzada</w:t>
      </w:r>
      <w:r w:rsidRPr="00794E82">
        <w:rPr>
          <w:rFonts w:ascii="Verdana" w:hAnsi="Verdana" w:cs="Arial"/>
          <w:sz w:val="20"/>
          <w:szCs w:val="20"/>
          <w:lang w:val="es-PE" w:eastAsia="es-CR"/>
        </w:rPr>
        <w:t xml:space="preserve"> </w:t>
      </w:r>
      <w:r w:rsidRPr="00794E82">
        <w:rPr>
          <w:rFonts w:ascii="Verdana" w:hAnsi="Verdana" w:cs="Helvetica"/>
          <w:sz w:val="20"/>
          <w:szCs w:val="20"/>
          <w:lang w:eastAsia="es-CR" w:bidi="en-US"/>
        </w:rPr>
        <w:t xml:space="preserve">la muerte de las víctimas ha estado presente desde el inicio de la jurisprudencia de la Corte, en </w:t>
      </w:r>
      <w:r w:rsidRPr="00794E82">
        <w:rPr>
          <w:rFonts w:ascii="Verdana" w:hAnsi="Verdana" w:cs="Univers"/>
          <w:sz w:val="20"/>
          <w:szCs w:val="20"/>
          <w:lang w:val="es-ES_tradnl" w:eastAsia="es-CR"/>
        </w:rPr>
        <w:t>los</w:t>
      </w:r>
      <w:r w:rsidRPr="00794E82">
        <w:rPr>
          <w:rFonts w:ascii="Verdana" w:hAnsi="Verdana" w:cs="Helvetica"/>
          <w:sz w:val="20"/>
          <w:szCs w:val="20"/>
          <w:lang w:eastAsia="es-CR" w:bidi="en-US"/>
        </w:rPr>
        <w:t xml:space="preserve"> cuales se declaró la violación del derecho a la vida, entre otros, por presumir dicha muerte, y que </w:t>
      </w:r>
      <w:r w:rsidRPr="00794E82">
        <w:rPr>
          <w:rFonts w:ascii="Verdana" w:hAnsi="Verdana" w:cs="Arial"/>
          <w:sz w:val="20"/>
          <w:szCs w:val="20"/>
          <w:lang w:val="es-PE" w:eastAsia="es-CR"/>
        </w:rPr>
        <w:t>l</w:t>
      </w:r>
      <w:r w:rsidRPr="00794E82">
        <w:rPr>
          <w:rFonts w:ascii="Verdana" w:hAnsi="Verdana" w:cs="Helvetica"/>
          <w:sz w:val="20"/>
          <w:szCs w:val="20"/>
          <w:lang w:eastAsia="es-CR" w:bidi="en-US"/>
        </w:rPr>
        <w:t xml:space="preserve">a existencia de mayores o menores indicios sobre </w:t>
      </w:r>
      <w:r w:rsidR="00335E16">
        <w:rPr>
          <w:rFonts w:ascii="Verdana" w:hAnsi="Verdana" w:cs="Helvetica"/>
          <w:sz w:val="20"/>
          <w:szCs w:val="20"/>
          <w:lang w:eastAsia="es-CR" w:bidi="en-US"/>
        </w:rPr>
        <w:t>e</w:t>
      </w:r>
      <w:r w:rsidRPr="00794E82">
        <w:rPr>
          <w:rFonts w:ascii="Verdana" w:hAnsi="Verdana" w:cs="Helvetica"/>
          <w:sz w:val="20"/>
          <w:szCs w:val="20"/>
          <w:lang w:eastAsia="es-CR" w:bidi="en-US"/>
        </w:rPr>
        <w:t>sta, no modificó la calificación como desaparición forzada. Aclaró que lo que califica el hecho como desaparición es precisamente lo que los agentes estatales hacen después de dar muerte a la víctima, esto es, la adopción de medidas dirigidas a borrar todo rastro de los cuerpos para evitar que sean identificados o su destino y paradero sea establecido</w:t>
      </w:r>
      <w:r w:rsidRPr="00794E82">
        <w:rPr>
          <w:rFonts w:ascii="Verdana" w:hAnsi="Verdana" w:cs="Helvetica"/>
          <w:sz w:val="20"/>
          <w:szCs w:val="20"/>
          <w:vertAlign w:val="superscript"/>
          <w:lang w:eastAsia="es-CR" w:bidi="en-US"/>
        </w:rPr>
        <w:footnoteReference w:id="172"/>
      </w:r>
      <w:r w:rsidRPr="00794E82">
        <w:rPr>
          <w:rFonts w:ascii="Verdana" w:hAnsi="Verdana" w:cs="Helvetica"/>
          <w:sz w:val="20"/>
          <w:szCs w:val="20"/>
          <w:lang w:eastAsia="es-CR" w:bidi="en-US"/>
        </w:rPr>
        <w:t xml:space="preserve">. </w:t>
      </w:r>
    </w:p>
    <w:p w:rsidR="00106A1E" w:rsidRPr="00794E82" w:rsidRDefault="00106A1E" w:rsidP="00106A1E">
      <w:pPr>
        <w:autoSpaceDE w:val="0"/>
        <w:autoSpaceDN w:val="0"/>
        <w:adjustRightInd w:val="0"/>
        <w:spacing w:after="0" w:line="240" w:lineRule="auto"/>
        <w:ind w:left="360"/>
        <w:jc w:val="both"/>
        <w:rPr>
          <w:rFonts w:ascii="Verdana" w:hAnsi="Verdana" w:cs="Arial"/>
          <w:sz w:val="20"/>
          <w:szCs w:val="20"/>
          <w:lang w:val="es-PE" w:eastAsia="es-CR"/>
        </w:rPr>
      </w:pPr>
    </w:p>
    <w:p w:rsidR="00106A1E" w:rsidRPr="00794E82" w:rsidRDefault="00106A1E" w:rsidP="001154F9">
      <w:pPr>
        <w:numPr>
          <w:ilvl w:val="0"/>
          <w:numId w:val="11"/>
        </w:numPr>
        <w:autoSpaceDE w:val="0"/>
        <w:autoSpaceDN w:val="0"/>
        <w:adjustRightInd w:val="0"/>
        <w:spacing w:after="0" w:line="240" w:lineRule="auto"/>
        <w:ind w:left="360" w:firstLine="0"/>
        <w:jc w:val="both"/>
        <w:rPr>
          <w:rFonts w:ascii="Verdana" w:hAnsi="Verdana" w:cs="Arial"/>
          <w:sz w:val="20"/>
          <w:szCs w:val="20"/>
          <w:lang w:val="es-PE" w:eastAsia="es-CR"/>
        </w:rPr>
      </w:pPr>
      <w:r w:rsidRPr="00794E82">
        <w:rPr>
          <w:rFonts w:ascii="Verdana" w:eastAsia="Calibri" w:hAnsi="Verdana" w:cs="Arial"/>
          <w:sz w:val="20"/>
          <w:szCs w:val="20"/>
          <w:lang w:val="es-PE"/>
        </w:rPr>
        <w:t>Por</w:t>
      </w:r>
      <w:r w:rsidRPr="00794E82">
        <w:rPr>
          <w:rFonts w:ascii="Verdana" w:hAnsi="Verdana" w:cs="Arial"/>
          <w:sz w:val="20"/>
          <w:szCs w:val="20"/>
          <w:lang w:val="es-ES" w:eastAsia="es-CR"/>
        </w:rPr>
        <w:t xml:space="preserve"> su propia naturaleza, la desaparición forzada de personas busca la anulación jurídica del </w:t>
      </w:r>
      <w:r w:rsidRPr="00794E82">
        <w:rPr>
          <w:rFonts w:ascii="Verdana" w:hAnsi="Verdana"/>
          <w:sz w:val="20"/>
          <w:szCs w:val="20"/>
          <w:lang w:val="es-MX" w:eastAsia="es-CR"/>
        </w:rPr>
        <w:t>individuo</w:t>
      </w:r>
      <w:r w:rsidRPr="00794E82">
        <w:rPr>
          <w:rFonts w:ascii="Verdana" w:hAnsi="Verdana" w:cs="Arial"/>
          <w:sz w:val="20"/>
          <w:szCs w:val="20"/>
          <w:lang w:val="es-ES" w:eastAsia="es-CR"/>
        </w:rPr>
        <w:t xml:space="preserve"> </w:t>
      </w:r>
      <w:r w:rsidRPr="00794E82">
        <w:rPr>
          <w:rFonts w:ascii="Verdana" w:eastAsia="Calibri" w:hAnsi="Verdana" w:cs="Arial"/>
          <w:sz w:val="20"/>
          <w:szCs w:val="20"/>
        </w:rPr>
        <w:t xml:space="preserve">para sustraerlo de la protección que las leyes y la justicia le otorgan. De este modo, el aparato represivo garantiza que las personas puedan ser privadas impunemente de sus derechos, colocándolas fuera del alcance de toda posible tutela judicial. </w:t>
      </w:r>
    </w:p>
    <w:p w:rsidR="00106A1E" w:rsidRDefault="00106A1E" w:rsidP="00106A1E">
      <w:pPr>
        <w:autoSpaceDE w:val="0"/>
        <w:autoSpaceDN w:val="0"/>
        <w:adjustRightInd w:val="0"/>
        <w:spacing w:after="0" w:line="240" w:lineRule="auto"/>
        <w:jc w:val="both"/>
        <w:rPr>
          <w:rFonts w:ascii="Verdana" w:hAnsi="Verdana" w:cs="Arial"/>
          <w:sz w:val="20"/>
          <w:szCs w:val="20"/>
          <w:lang w:val="es-PE" w:eastAsia="es-CR"/>
        </w:rPr>
      </w:pPr>
    </w:p>
    <w:p w:rsidR="00106A1E" w:rsidRPr="001F0ACE"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z w:val="20"/>
          <w:szCs w:val="20"/>
          <w:lang w:val="es-CO"/>
        </w:rPr>
      </w:pPr>
      <w:r>
        <w:rPr>
          <w:rFonts w:ascii="Verdana" w:eastAsia="Calibri" w:hAnsi="Verdana" w:cs="Arial"/>
          <w:sz w:val="20"/>
          <w:szCs w:val="20"/>
          <w:lang w:val="es-CO"/>
        </w:rPr>
        <w:t>Asimismo, l</w:t>
      </w:r>
      <w:r w:rsidRPr="002964A7">
        <w:rPr>
          <w:rFonts w:ascii="Verdana" w:eastAsia="Calibri" w:hAnsi="Verdana" w:cs="Arial"/>
          <w:sz w:val="20"/>
          <w:szCs w:val="20"/>
          <w:lang w:val="es-CO"/>
        </w:rPr>
        <w:t xml:space="preserve">a </w:t>
      </w:r>
      <w:r w:rsidRPr="00A86B94">
        <w:rPr>
          <w:rFonts w:ascii="Verdana" w:eastAsia="Calibri" w:hAnsi="Verdana" w:cs="Arial"/>
          <w:sz w:val="20"/>
          <w:szCs w:val="20"/>
          <w:lang w:val="es-CO"/>
        </w:rPr>
        <w:t xml:space="preserve">Comisión </w:t>
      </w:r>
      <w:r w:rsidRPr="002964A7">
        <w:rPr>
          <w:rFonts w:ascii="Verdana" w:eastAsia="Calibri" w:hAnsi="Verdana" w:cs="Arial"/>
          <w:sz w:val="20"/>
          <w:szCs w:val="20"/>
          <w:lang w:val="es-CO"/>
        </w:rPr>
        <w:t xml:space="preserve">argumentó que </w:t>
      </w:r>
      <w:r w:rsidRPr="002964A7">
        <w:rPr>
          <w:rFonts w:ascii="Verdana" w:eastAsia="Calibri" w:hAnsi="Verdana" w:cs="Arial"/>
          <w:sz w:val="20"/>
          <w:szCs w:val="20"/>
        </w:rPr>
        <w:t xml:space="preserve">la comunidad de Santa Bárbara era considerada por el Ejército como una “zona roja” al haberse detectado presuntamente la presencia de miembros de grupos subversivos que incursionaban en </w:t>
      </w:r>
      <w:r w:rsidRPr="002964A7">
        <w:rPr>
          <w:rFonts w:ascii="Verdana" w:hAnsi="Verdana" w:cs="Arial"/>
          <w:sz w:val="20"/>
          <w:szCs w:val="20"/>
          <w:lang w:eastAsia="es-CR"/>
        </w:rPr>
        <w:t>minas</w:t>
      </w:r>
      <w:r w:rsidRPr="002964A7">
        <w:rPr>
          <w:rFonts w:ascii="Verdana" w:eastAsia="Calibri" w:hAnsi="Verdana" w:cs="Arial"/>
          <w:sz w:val="20"/>
          <w:szCs w:val="20"/>
        </w:rPr>
        <w:t xml:space="preserve"> y poblados aledaños, y que la detención de Ramón Hilario Moran y de Francisco Hilario Torres y sus familiares se realizó al haber sido percibidos por los soldados como miembros o familiares de miembros de grupos subversivos. En este sentido, </w:t>
      </w:r>
      <w:r w:rsidRPr="00A86B94">
        <w:rPr>
          <w:rFonts w:ascii="Verdana" w:eastAsia="Calibri" w:hAnsi="Verdana" w:cs="Arial"/>
          <w:sz w:val="20"/>
          <w:szCs w:val="20"/>
          <w:lang w:val="es-CO"/>
        </w:rPr>
        <w:t xml:space="preserve">la desaparición forzada de las </w:t>
      </w:r>
      <w:r w:rsidRPr="00A86B94">
        <w:rPr>
          <w:rFonts w:ascii="Verdana" w:eastAsia="Calibri" w:hAnsi="Verdana" w:cs="Arial"/>
          <w:sz w:val="20"/>
          <w:szCs w:val="20"/>
        </w:rPr>
        <w:t>víctimas</w:t>
      </w:r>
      <w:r w:rsidRPr="00A86B94">
        <w:rPr>
          <w:rFonts w:ascii="Verdana" w:eastAsia="Calibri" w:hAnsi="Verdana" w:cs="Arial"/>
          <w:sz w:val="20"/>
          <w:szCs w:val="20"/>
          <w:lang w:val="es-CO"/>
        </w:rPr>
        <w:t xml:space="preserve"> del caso</w:t>
      </w:r>
      <w:r>
        <w:rPr>
          <w:rFonts w:ascii="Verdana" w:eastAsia="Calibri" w:hAnsi="Verdana" w:cs="Arial"/>
          <w:sz w:val="20"/>
          <w:szCs w:val="20"/>
          <w:lang w:val="es-CO"/>
        </w:rPr>
        <w:t xml:space="preserve">, incluyendo las siete </w:t>
      </w:r>
      <w:r w:rsidRPr="002964A7">
        <w:rPr>
          <w:rFonts w:ascii="Verdana" w:hAnsi="Verdana"/>
          <w:sz w:val="20"/>
          <w:szCs w:val="20"/>
          <w:lang w:val="es-ES"/>
        </w:rPr>
        <w:t>niñ</w:t>
      </w:r>
      <w:r>
        <w:rPr>
          <w:rFonts w:ascii="Verdana" w:hAnsi="Verdana"/>
          <w:sz w:val="20"/>
          <w:szCs w:val="20"/>
          <w:lang w:val="es-ES"/>
        </w:rPr>
        <w:t>a</w:t>
      </w:r>
      <w:r w:rsidRPr="002964A7">
        <w:rPr>
          <w:rFonts w:ascii="Verdana" w:hAnsi="Verdana"/>
          <w:sz w:val="20"/>
          <w:szCs w:val="20"/>
          <w:lang w:val="es-ES"/>
        </w:rPr>
        <w:t>s y niñ</w:t>
      </w:r>
      <w:r>
        <w:rPr>
          <w:rFonts w:ascii="Verdana" w:hAnsi="Verdana"/>
          <w:sz w:val="20"/>
          <w:szCs w:val="20"/>
          <w:lang w:val="es-ES"/>
        </w:rPr>
        <w:t>o</w:t>
      </w:r>
      <w:r w:rsidRPr="002964A7">
        <w:rPr>
          <w:rFonts w:ascii="Verdana" w:hAnsi="Verdana"/>
          <w:sz w:val="20"/>
          <w:szCs w:val="20"/>
          <w:lang w:val="es-ES"/>
        </w:rPr>
        <w:t>s</w:t>
      </w:r>
      <w:r>
        <w:rPr>
          <w:rFonts w:ascii="Verdana" w:eastAsia="Calibri" w:hAnsi="Verdana" w:cs="Arial"/>
          <w:sz w:val="20"/>
          <w:szCs w:val="20"/>
          <w:lang w:val="es-CO"/>
        </w:rPr>
        <w:t>,</w:t>
      </w:r>
      <w:r w:rsidRPr="00A86B94">
        <w:rPr>
          <w:rFonts w:ascii="Verdana" w:eastAsia="Calibri" w:hAnsi="Verdana" w:cs="Arial"/>
          <w:sz w:val="20"/>
          <w:szCs w:val="20"/>
          <w:lang w:val="es-CO"/>
        </w:rPr>
        <w:t xml:space="preserve"> </w:t>
      </w:r>
      <w:r>
        <w:rPr>
          <w:rFonts w:ascii="Verdana" w:eastAsia="Calibri" w:hAnsi="Verdana" w:cs="Arial"/>
          <w:sz w:val="20"/>
          <w:szCs w:val="20"/>
          <w:lang w:val="es-CO"/>
        </w:rPr>
        <w:t>tuvo</w:t>
      </w:r>
      <w:r w:rsidRPr="00A86B94">
        <w:rPr>
          <w:rFonts w:ascii="Verdana" w:eastAsia="Calibri" w:hAnsi="Verdana" w:cs="Arial"/>
          <w:sz w:val="20"/>
          <w:szCs w:val="20"/>
          <w:lang w:val="es-CO"/>
        </w:rPr>
        <w:t xml:space="preserve"> como propósito castigar</w:t>
      </w:r>
      <w:r>
        <w:rPr>
          <w:rFonts w:ascii="Verdana" w:eastAsia="Calibri" w:hAnsi="Verdana" w:cs="Arial"/>
          <w:sz w:val="20"/>
          <w:szCs w:val="20"/>
          <w:lang w:val="es-CO"/>
        </w:rPr>
        <w:t xml:space="preserve"> a</w:t>
      </w:r>
      <w:r w:rsidRPr="00A86B94">
        <w:rPr>
          <w:rFonts w:ascii="Verdana" w:eastAsia="Calibri" w:hAnsi="Verdana" w:cs="Arial"/>
          <w:sz w:val="20"/>
          <w:szCs w:val="20"/>
          <w:lang w:val="es-CO"/>
        </w:rPr>
        <w:t xml:space="preserve"> </w:t>
      </w:r>
      <w:r>
        <w:rPr>
          <w:rFonts w:ascii="Verdana" w:eastAsia="Calibri" w:hAnsi="Verdana" w:cs="Arial"/>
          <w:sz w:val="20"/>
          <w:szCs w:val="20"/>
          <w:lang w:val="es-CO"/>
        </w:rPr>
        <w:t>las</w:t>
      </w:r>
      <w:r w:rsidRPr="00A86B94">
        <w:rPr>
          <w:rFonts w:ascii="Verdana" w:eastAsia="Calibri" w:hAnsi="Verdana" w:cs="Arial"/>
          <w:sz w:val="20"/>
          <w:szCs w:val="20"/>
          <w:lang w:val="es-CO"/>
        </w:rPr>
        <w:t xml:space="preserve"> dos familias</w:t>
      </w:r>
      <w:r>
        <w:rPr>
          <w:rFonts w:ascii="Verdana" w:eastAsia="Calibri" w:hAnsi="Verdana" w:cs="Arial"/>
          <w:sz w:val="20"/>
          <w:szCs w:val="20"/>
          <w:lang w:val="es-CO"/>
        </w:rPr>
        <w:t>, así como</w:t>
      </w:r>
      <w:r w:rsidRPr="006C5C16">
        <w:rPr>
          <w:rFonts w:ascii="Verdana" w:eastAsia="Calibri" w:hAnsi="Verdana" w:cs="Arial"/>
          <w:sz w:val="20"/>
          <w:szCs w:val="20"/>
          <w:lang w:val="es-CO"/>
        </w:rPr>
        <w:t xml:space="preserve"> producir un efecto intimidatorio en el resto de la comunidad y, en general, </w:t>
      </w:r>
      <w:r>
        <w:rPr>
          <w:rFonts w:ascii="Verdana" w:eastAsia="Calibri" w:hAnsi="Verdana" w:cs="Arial"/>
          <w:sz w:val="20"/>
          <w:szCs w:val="20"/>
          <w:lang w:val="es-CO"/>
        </w:rPr>
        <w:t>en</w:t>
      </w:r>
      <w:r w:rsidRPr="006C5C16">
        <w:rPr>
          <w:rFonts w:ascii="Verdana" w:eastAsia="Calibri" w:hAnsi="Verdana" w:cs="Arial"/>
          <w:sz w:val="20"/>
          <w:szCs w:val="20"/>
          <w:lang w:val="es-CO"/>
        </w:rPr>
        <w:t xml:space="preserve"> todos los habitantes de la zona. Por ende, el Estado </w:t>
      </w:r>
      <w:r w:rsidRPr="00FF2A18">
        <w:rPr>
          <w:rFonts w:ascii="Verdana" w:eastAsia="Calibri" w:hAnsi="Verdana" w:cs="Arial"/>
          <w:sz w:val="20"/>
          <w:szCs w:val="20"/>
          <w:lang w:val="es-CO"/>
        </w:rPr>
        <w:t>había incumplido su obligación de protección a la familia</w:t>
      </w:r>
      <w:r w:rsidR="00E14343">
        <w:rPr>
          <w:rFonts w:ascii="Verdana" w:eastAsia="Calibri" w:hAnsi="Verdana" w:cs="Arial"/>
          <w:sz w:val="20"/>
          <w:szCs w:val="20"/>
          <w:lang w:val="es-CO"/>
        </w:rPr>
        <w:t>,</w:t>
      </w:r>
      <w:r w:rsidRPr="00FF2A18">
        <w:rPr>
          <w:rFonts w:ascii="Verdana" w:eastAsia="Calibri" w:hAnsi="Verdana" w:cs="Arial"/>
          <w:sz w:val="20"/>
          <w:szCs w:val="20"/>
          <w:lang w:val="es-CO"/>
        </w:rPr>
        <w:t xml:space="preserve"> consagrada en el artículo 17 de la Convención, </w:t>
      </w:r>
      <w:r w:rsidRPr="00D27874">
        <w:rPr>
          <w:rFonts w:ascii="Verdana" w:eastAsia="Calibri" w:hAnsi="Verdana" w:cs="Arial"/>
          <w:sz w:val="20"/>
          <w:szCs w:val="20"/>
          <w:lang w:val="es-CO"/>
        </w:rPr>
        <w:t>en perjuicio de las 15 víctimas y sus familiares</w:t>
      </w:r>
      <w:r>
        <w:rPr>
          <w:rFonts w:ascii="Verdana" w:eastAsia="Calibri" w:hAnsi="Verdana" w:cs="Arial"/>
          <w:sz w:val="20"/>
          <w:szCs w:val="20"/>
          <w:lang w:val="es-CO"/>
        </w:rPr>
        <w:t xml:space="preserve">, así como sus obligaciones de </w:t>
      </w:r>
      <w:r w:rsidRPr="007935EC">
        <w:rPr>
          <w:rFonts w:ascii="Verdana" w:eastAsia="Calibri" w:hAnsi="Verdana" w:cs="Arial"/>
          <w:sz w:val="20"/>
          <w:szCs w:val="20"/>
          <w:lang w:val="es-CO"/>
        </w:rPr>
        <w:t>brindar a l</w:t>
      </w:r>
      <w:r>
        <w:rPr>
          <w:rFonts w:ascii="Verdana" w:eastAsia="Calibri" w:hAnsi="Verdana" w:cs="Arial"/>
          <w:sz w:val="20"/>
          <w:szCs w:val="20"/>
          <w:lang w:val="es-CO"/>
        </w:rPr>
        <w:t>a</w:t>
      </w:r>
      <w:r w:rsidRPr="007935EC">
        <w:rPr>
          <w:rFonts w:ascii="Verdana" w:eastAsia="Calibri" w:hAnsi="Verdana" w:cs="Arial"/>
          <w:sz w:val="20"/>
          <w:szCs w:val="20"/>
          <w:lang w:val="es-CO"/>
        </w:rPr>
        <w:t xml:space="preserve">s siete </w:t>
      </w:r>
      <w:r w:rsidRPr="00BB3D01">
        <w:rPr>
          <w:rFonts w:ascii="Verdana" w:eastAsia="Calibri" w:hAnsi="Verdana" w:cs="Arial"/>
          <w:sz w:val="20"/>
          <w:szCs w:val="20"/>
          <w:lang w:val="es-ES"/>
        </w:rPr>
        <w:t>niñas y niños</w:t>
      </w:r>
      <w:r w:rsidRPr="00BB3D01" w:rsidDel="00BB3D01">
        <w:rPr>
          <w:rFonts w:ascii="Verdana" w:eastAsia="Calibri" w:hAnsi="Verdana" w:cs="Arial"/>
          <w:sz w:val="20"/>
          <w:szCs w:val="20"/>
          <w:lang w:val="es-CO"/>
        </w:rPr>
        <w:t xml:space="preserve"> </w:t>
      </w:r>
      <w:r w:rsidRPr="007935EC">
        <w:rPr>
          <w:rFonts w:ascii="Verdana" w:eastAsia="Calibri" w:hAnsi="Verdana" w:cs="Arial"/>
          <w:sz w:val="20"/>
          <w:szCs w:val="20"/>
          <w:lang w:val="es-CO"/>
        </w:rPr>
        <w:t>desaparecidos las garantías y la protección necesaria que se deriva de su especial condición de vulnerabilidad</w:t>
      </w:r>
      <w:r>
        <w:rPr>
          <w:rFonts w:ascii="Verdana" w:eastAsia="Calibri" w:hAnsi="Verdana" w:cs="Arial"/>
          <w:sz w:val="20"/>
          <w:szCs w:val="20"/>
          <w:lang w:val="es-CO"/>
        </w:rPr>
        <w:t xml:space="preserve">, </w:t>
      </w:r>
      <w:r w:rsidRPr="007935EC">
        <w:rPr>
          <w:rFonts w:ascii="Verdana" w:eastAsia="Calibri" w:hAnsi="Verdana" w:cs="Arial"/>
          <w:sz w:val="20"/>
          <w:szCs w:val="20"/>
          <w:lang w:val="es-CO"/>
        </w:rPr>
        <w:t>establecidas en el artículo 19 de la Convención</w:t>
      </w:r>
      <w:r>
        <w:rPr>
          <w:rStyle w:val="FootnoteReference"/>
          <w:rFonts w:eastAsia="Calibri" w:cs="Arial"/>
          <w:szCs w:val="20"/>
          <w:lang w:val="es-CO"/>
        </w:rPr>
        <w:footnoteReference w:id="173"/>
      </w:r>
      <w:r w:rsidRPr="007935EC">
        <w:rPr>
          <w:rFonts w:ascii="Verdana" w:eastAsia="Calibri" w:hAnsi="Verdana" w:cs="Arial"/>
          <w:sz w:val="20"/>
          <w:szCs w:val="20"/>
          <w:lang w:val="es-CO"/>
        </w:rPr>
        <w:t xml:space="preserve">. Además, notó que, conforme a los hechos probados, el niño P.C.M., presunto desertor de Sendero Luminoso, sirvió de guía para el cumplimiento del operativo “Apolonia”, a pesar de la </w:t>
      </w:r>
      <w:r w:rsidRPr="007935EC">
        <w:rPr>
          <w:rFonts w:ascii="Verdana" w:hAnsi="Verdana" w:cs="Arial"/>
          <w:sz w:val="20"/>
          <w:szCs w:val="20"/>
          <w:lang w:eastAsia="es-CR"/>
        </w:rPr>
        <w:t>prohibición</w:t>
      </w:r>
      <w:r w:rsidRPr="007935EC">
        <w:rPr>
          <w:rFonts w:ascii="Verdana" w:eastAsia="Calibri" w:hAnsi="Verdana" w:cs="Arial"/>
          <w:sz w:val="20"/>
          <w:szCs w:val="20"/>
          <w:lang w:val="es-CO"/>
        </w:rPr>
        <w:t xml:space="preserve"> de reclutamiento en las fuerzas armadas o grupos armados distintos a </w:t>
      </w:r>
      <w:r>
        <w:rPr>
          <w:rFonts w:ascii="Verdana" w:eastAsia="Calibri" w:hAnsi="Verdana" w:cs="Arial"/>
          <w:sz w:val="20"/>
          <w:szCs w:val="20"/>
          <w:lang w:val="es-CO"/>
        </w:rPr>
        <w:t>e</w:t>
      </w:r>
      <w:r w:rsidRPr="007935EC">
        <w:rPr>
          <w:rFonts w:ascii="Verdana" w:eastAsia="Calibri" w:hAnsi="Verdana" w:cs="Arial"/>
          <w:sz w:val="20"/>
          <w:szCs w:val="20"/>
          <w:lang w:val="es-CO"/>
        </w:rPr>
        <w:t xml:space="preserve">stas y de su utilización en las hostilidades, en contravención del </w:t>
      </w:r>
      <w:r w:rsidRPr="007935EC">
        <w:rPr>
          <w:rFonts w:ascii="Verdana" w:eastAsia="Calibri" w:hAnsi="Verdana" w:cs="Arial"/>
          <w:i/>
          <w:sz w:val="20"/>
          <w:szCs w:val="20"/>
          <w:lang w:val="es-CO"/>
        </w:rPr>
        <w:t>corpus juris</w:t>
      </w:r>
      <w:r w:rsidRPr="007935EC">
        <w:rPr>
          <w:rFonts w:ascii="Verdana" w:eastAsia="Calibri" w:hAnsi="Verdana" w:cs="Arial"/>
          <w:sz w:val="20"/>
          <w:szCs w:val="20"/>
          <w:lang w:val="es-CO"/>
        </w:rPr>
        <w:t xml:space="preserve"> internacional de protección de los derechos de los niños, niñas y adolescentes. </w:t>
      </w:r>
    </w:p>
    <w:p w:rsidR="00106A1E" w:rsidRPr="00794E82" w:rsidRDefault="00106A1E" w:rsidP="00106A1E">
      <w:pPr>
        <w:autoSpaceDE w:val="0"/>
        <w:autoSpaceDN w:val="0"/>
        <w:adjustRightInd w:val="0"/>
        <w:spacing w:after="0" w:line="240" w:lineRule="auto"/>
        <w:jc w:val="both"/>
        <w:rPr>
          <w:rFonts w:ascii="Verdana" w:hAnsi="Verdana" w:cs="Arial"/>
          <w:sz w:val="20"/>
          <w:szCs w:val="20"/>
          <w:lang w:val="es-PE" w:eastAsia="es-CR"/>
        </w:rPr>
      </w:pPr>
    </w:p>
    <w:p w:rsidR="00106A1E" w:rsidRPr="00B243B4"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794E82">
        <w:rPr>
          <w:rFonts w:ascii="Verdana" w:hAnsi="Verdana" w:cs="Arial"/>
          <w:sz w:val="20"/>
          <w:szCs w:val="20"/>
          <w:lang w:val="es-PE" w:eastAsia="es-CR"/>
        </w:rPr>
        <w:t>Los</w:t>
      </w:r>
      <w:r w:rsidRPr="00794E82">
        <w:rPr>
          <w:rFonts w:ascii="Verdana" w:hAnsi="Verdana"/>
          <w:sz w:val="20"/>
          <w:szCs w:val="20"/>
          <w:lang w:eastAsia="es-CR"/>
        </w:rPr>
        <w:t xml:space="preserve"> </w:t>
      </w:r>
      <w:r w:rsidRPr="00794E82">
        <w:rPr>
          <w:rFonts w:ascii="Verdana" w:hAnsi="Verdana"/>
          <w:b/>
          <w:i/>
          <w:sz w:val="20"/>
          <w:szCs w:val="20"/>
          <w:lang w:eastAsia="es-CR"/>
        </w:rPr>
        <w:t>representantes</w:t>
      </w:r>
      <w:r w:rsidRPr="00794E82">
        <w:rPr>
          <w:rFonts w:ascii="Verdana" w:hAnsi="Verdana"/>
          <w:sz w:val="20"/>
          <w:szCs w:val="20"/>
          <w:lang w:eastAsia="es-CR"/>
        </w:rPr>
        <w:t xml:space="preserve"> coincidieron sustancialmente con los argumentos de la Comisión</w:t>
      </w:r>
      <w:r w:rsidRPr="00794E82">
        <w:rPr>
          <w:rFonts w:ascii="Verdana" w:hAnsi="Verdana" w:cs="Arial"/>
          <w:sz w:val="20"/>
          <w:szCs w:val="20"/>
        </w:rPr>
        <w:t xml:space="preserve">. Además, solicitaron a la Corte que determine la responsabilidad agravada del Estado en dos vertientes: i) </w:t>
      </w:r>
      <w:r w:rsidRPr="00794E82">
        <w:rPr>
          <w:rFonts w:ascii="Verdana" w:hAnsi="Verdana" w:cs="Helvetica"/>
          <w:sz w:val="20"/>
          <w:szCs w:val="20"/>
          <w:lang w:eastAsia="es-CR" w:bidi="en-US"/>
        </w:rPr>
        <w:t>debido</w:t>
      </w:r>
      <w:r w:rsidRPr="00794E82">
        <w:rPr>
          <w:rFonts w:ascii="Verdana" w:hAnsi="Verdana" w:cs="Arial"/>
          <w:sz w:val="20"/>
          <w:szCs w:val="20"/>
        </w:rPr>
        <w:t xml:space="preserve"> a que todas las violaciones cometidas en este caso se produjeron en el contexto de una estrategia militar creada y ejecutada por el Estado y ii) </w:t>
      </w:r>
      <w:r w:rsidRPr="00794E82">
        <w:rPr>
          <w:rFonts w:ascii="Verdana" w:hAnsi="Verdana" w:cs="Arial"/>
          <w:sz w:val="20"/>
          <w:szCs w:val="20"/>
        </w:rPr>
        <w:lastRenderedPageBreak/>
        <w:t xml:space="preserve">por el contexto de la grave desprotección de los niños y las niñas. </w:t>
      </w:r>
      <w:r w:rsidRPr="00794E82">
        <w:rPr>
          <w:rFonts w:ascii="Verdana" w:hAnsi="Verdana"/>
          <w:sz w:val="20"/>
          <w:szCs w:val="20"/>
          <w:lang w:eastAsia="es-CR"/>
        </w:rPr>
        <w:t xml:space="preserve">Aunado a ello, alegaron que </w:t>
      </w:r>
      <w:r w:rsidRPr="00794E82">
        <w:rPr>
          <w:rFonts w:ascii="Verdana" w:hAnsi="Verdana" w:cs="Arial"/>
          <w:sz w:val="20"/>
          <w:szCs w:val="20"/>
        </w:rPr>
        <w:t xml:space="preserve">el Estado es responsable por el incumplimiento del deber de </w:t>
      </w:r>
      <w:r w:rsidRPr="00794E82">
        <w:rPr>
          <w:rFonts w:ascii="Verdana" w:hAnsi="Verdana" w:cs="Univers"/>
          <w:sz w:val="20"/>
          <w:szCs w:val="20"/>
          <w:lang w:val="es-ES_tradnl" w:eastAsia="es-CR"/>
        </w:rPr>
        <w:t>garantía</w:t>
      </w:r>
      <w:r w:rsidRPr="00794E82">
        <w:rPr>
          <w:rFonts w:ascii="Verdana" w:hAnsi="Verdana" w:cs="Arial"/>
          <w:sz w:val="20"/>
          <w:szCs w:val="20"/>
        </w:rPr>
        <w:t xml:space="preserve"> por</w:t>
      </w:r>
      <w:r w:rsidRPr="00794E82">
        <w:rPr>
          <w:rFonts w:ascii="Verdana" w:hAnsi="Verdana"/>
          <w:sz w:val="20"/>
          <w:szCs w:val="20"/>
          <w:lang w:eastAsia="es-CR"/>
        </w:rPr>
        <w:t xml:space="preserve"> </w:t>
      </w:r>
      <w:r w:rsidRPr="00794E82">
        <w:rPr>
          <w:rFonts w:ascii="Verdana" w:hAnsi="Verdana" w:cs="Arial"/>
          <w:sz w:val="20"/>
          <w:szCs w:val="20"/>
        </w:rPr>
        <w:t xml:space="preserve">la falta de una investigación efectiva de los hechos en perjuicio de las víctimas desaparecidas, dadas </w:t>
      </w:r>
      <w:r w:rsidRPr="00794E82">
        <w:rPr>
          <w:rFonts w:ascii="Verdana" w:hAnsi="Verdana"/>
          <w:sz w:val="20"/>
          <w:szCs w:val="20"/>
          <w:lang w:eastAsia="es-CR"/>
        </w:rPr>
        <w:t>las injerencias del Estado “</w:t>
      </w:r>
      <w:r w:rsidRPr="00794E82">
        <w:rPr>
          <w:rFonts w:ascii="Verdana" w:hAnsi="Verdana"/>
          <w:sz w:val="20"/>
          <w:szCs w:val="20"/>
          <w:lang w:val="es-VE" w:eastAsia="es-CR"/>
        </w:rPr>
        <w:t xml:space="preserve">destinadas a imposibilitar una investigación seria y efectiva de la desaparición forzada de las víctimas”. </w:t>
      </w:r>
    </w:p>
    <w:p w:rsidR="00106A1E" w:rsidRPr="00B243B4" w:rsidRDefault="00106A1E" w:rsidP="00106A1E">
      <w:pPr>
        <w:pStyle w:val="ListParagraph"/>
        <w:rPr>
          <w:rFonts w:ascii="Verdana" w:eastAsia="Calibri" w:hAnsi="Verdana" w:cs="Arial"/>
          <w:sz w:val="20"/>
          <w:szCs w:val="20"/>
          <w:lang w:val="es-CO"/>
        </w:rPr>
      </w:pPr>
    </w:p>
    <w:p w:rsidR="00106A1E" w:rsidRPr="00B243B4"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B243B4">
        <w:rPr>
          <w:rFonts w:ascii="Verdana" w:eastAsia="Calibri" w:hAnsi="Verdana" w:cs="Arial"/>
          <w:sz w:val="20"/>
          <w:szCs w:val="20"/>
          <w:lang w:val="es-CO"/>
        </w:rPr>
        <w:t>Por otro lado, los representantes alegaron que</w:t>
      </w:r>
      <w:r>
        <w:rPr>
          <w:rFonts w:ascii="Verdana" w:eastAsia="Calibri" w:hAnsi="Verdana" w:cs="Arial"/>
          <w:sz w:val="20"/>
          <w:szCs w:val="20"/>
          <w:lang w:val="es-CO"/>
        </w:rPr>
        <w:t>,</w:t>
      </w:r>
      <w:r w:rsidRPr="00B243B4">
        <w:rPr>
          <w:rFonts w:ascii="Verdana" w:eastAsia="Calibri" w:hAnsi="Verdana" w:cs="Arial"/>
          <w:sz w:val="20"/>
          <w:szCs w:val="20"/>
          <w:lang w:val="es-CO"/>
        </w:rPr>
        <w:t xml:space="preserve"> </w:t>
      </w:r>
      <w:r w:rsidRPr="00B243B4">
        <w:rPr>
          <w:rFonts w:ascii="Verdana" w:eastAsia="Calibri" w:hAnsi="Verdana" w:cs="Arial"/>
          <w:sz w:val="20"/>
          <w:szCs w:val="20"/>
        </w:rPr>
        <w:t xml:space="preserve">en el presente caso, </w:t>
      </w:r>
      <w:r w:rsidRPr="00B243B4">
        <w:rPr>
          <w:rFonts w:ascii="Verdana" w:eastAsia="Calibri" w:hAnsi="Verdana" w:cs="Arial"/>
          <w:sz w:val="20"/>
          <w:szCs w:val="20"/>
          <w:lang w:val="es-MX"/>
        </w:rPr>
        <w:t xml:space="preserve">los militares no hicieron ninguna diferenciación de trato </w:t>
      </w:r>
      <w:r w:rsidRPr="00B243B4">
        <w:rPr>
          <w:rFonts w:ascii="Verdana" w:eastAsia="Calibri" w:hAnsi="Verdana" w:cs="Arial"/>
          <w:sz w:val="20"/>
          <w:szCs w:val="20"/>
        </w:rPr>
        <w:t>para</w:t>
      </w:r>
      <w:r w:rsidRPr="00B243B4">
        <w:rPr>
          <w:rFonts w:ascii="Verdana" w:eastAsia="Calibri" w:hAnsi="Verdana" w:cs="Arial"/>
          <w:sz w:val="20"/>
          <w:szCs w:val="20"/>
          <w:lang w:val="es-MX"/>
        </w:rPr>
        <w:t xml:space="preserve"> </w:t>
      </w:r>
      <w:r>
        <w:rPr>
          <w:rFonts w:ascii="Verdana" w:eastAsia="Calibri" w:hAnsi="Verdana" w:cs="Arial"/>
          <w:sz w:val="20"/>
          <w:szCs w:val="20"/>
          <w:lang w:val="es-MX"/>
        </w:rPr>
        <w:t>las</w:t>
      </w:r>
      <w:r w:rsidRPr="00BB3D01">
        <w:rPr>
          <w:rFonts w:ascii="Verdana" w:hAnsi="Verdana"/>
          <w:sz w:val="20"/>
          <w:szCs w:val="20"/>
          <w:lang w:val="es-ES"/>
        </w:rPr>
        <w:t xml:space="preserve"> </w:t>
      </w:r>
      <w:r w:rsidRPr="002964A7">
        <w:rPr>
          <w:rFonts w:ascii="Verdana" w:hAnsi="Verdana"/>
          <w:sz w:val="20"/>
          <w:szCs w:val="20"/>
          <w:lang w:val="es-ES"/>
        </w:rPr>
        <w:t>niñ</w:t>
      </w:r>
      <w:r>
        <w:rPr>
          <w:rFonts w:ascii="Verdana" w:hAnsi="Verdana"/>
          <w:sz w:val="20"/>
          <w:szCs w:val="20"/>
          <w:lang w:val="es-ES"/>
        </w:rPr>
        <w:t>a</w:t>
      </w:r>
      <w:r w:rsidRPr="002964A7">
        <w:rPr>
          <w:rFonts w:ascii="Verdana" w:hAnsi="Verdana"/>
          <w:sz w:val="20"/>
          <w:szCs w:val="20"/>
          <w:lang w:val="es-ES"/>
        </w:rPr>
        <w:t>s y niñ</w:t>
      </w:r>
      <w:r>
        <w:rPr>
          <w:rFonts w:ascii="Verdana" w:hAnsi="Verdana"/>
          <w:sz w:val="20"/>
          <w:szCs w:val="20"/>
          <w:lang w:val="es-ES"/>
        </w:rPr>
        <w:t>o</w:t>
      </w:r>
      <w:r w:rsidRPr="002964A7">
        <w:rPr>
          <w:rFonts w:ascii="Verdana" w:hAnsi="Verdana"/>
          <w:sz w:val="20"/>
          <w:szCs w:val="20"/>
          <w:lang w:val="es-ES"/>
        </w:rPr>
        <w:t>s</w:t>
      </w:r>
      <w:r w:rsidRPr="00B243B4">
        <w:rPr>
          <w:rFonts w:ascii="Verdana" w:eastAsia="Calibri" w:hAnsi="Verdana" w:cs="Arial"/>
          <w:sz w:val="20"/>
          <w:szCs w:val="20"/>
          <w:lang w:val="es-MX"/>
        </w:rPr>
        <w:t xml:space="preserve"> víctimas, vulnerando flagrantemente el deber de protección especial debida a estas. </w:t>
      </w:r>
      <w:r w:rsidRPr="00B243B4">
        <w:rPr>
          <w:rFonts w:ascii="Verdana" w:eastAsia="Calibri" w:hAnsi="Verdana" w:cs="Arial"/>
          <w:sz w:val="20"/>
          <w:szCs w:val="20"/>
          <w:lang w:val="es-CO"/>
        </w:rPr>
        <w:t xml:space="preserve">Asimismo, los hechos del caso formarían parte de un panorama generalizado de violencia contra </w:t>
      </w:r>
      <w:r>
        <w:rPr>
          <w:rFonts w:ascii="Verdana" w:eastAsia="Calibri" w:hAnsi="Verdana" w:cs="Arial"/>
          <w:sz w:val="20"/>
          <w:szCs w:val="20"/>
          <w:lang w:val="es-CO"/>
        </w:rPr>
        <w:t xml:space="preserve">las </w:t>
      </w:r>
      <w:r w:rsidRPr="002964A7">
        <w:rPr>
          <w:rFonts w:ascii="Verdana" w:hAnsi="Verdana"/>
          <w:sz w:val="20"/>
          <w:szCs w:val="20"/>
          <w:lang w:val="es-ES"/>
        </w:rPr>
        <w:t>niñ</w:t>
      </w:r>
      <w:r>
        <w:rPr>
          <w:rFonts w:ascii="Verdana" w:hAnsi="Verdana"/>
          <w:sz w:val="20"/>
          <w:szCs w:val="20"/>
          <w:lang w:val="es-ES"/>
        </w:rPr>
        <w:t>a</w:t>
      </w:r>
      <w:r w:rsidRPr="002964A7">
        <w:rPr>
          <w:rFonts w:ascii="Verdana" w:hAnsi="Verdana"/>
          <w:sz w:val="20"/>
          <w:szCs w:val="20"/>
          <w:lang w:val="es-ES"/>
        </w:rPr>
        <w:t xml:space="preserve">s y </w:t>
      </w:r>
      <w:r>
        <w:rPr>
          <w:rFonts w:ascii="Verdana" w:hAnsi="Verdana"/>
          <w:sz w:val="20"/>
          <w:szCs w:val="20"/>
          <w:lang w:val="es-ES"/>
        </w:rPr>
        <w:t xml:space="preserve">los </w:t>
      </w:r>
      <w:r w:rsidRPr="002964A7">
        <w:rPr>
          <w:rFonts w:ascii="Verdana" w:hAnsi="Verdana"/>
          <w:sz w:val="20"/>
          <w:szCs w:val="20"/>
          <w:lang w:val="es-ES"/>
        </w:rPr>
        <w:t>niñ</w:t>
      </w:r>
      <w:r>
        <w:rPr>
          <w:rFonts w:ascii="Verdana" w:hAnsi="Verdana"/>
          <w:sz w:val="20"/>
          <w:szCs w:val="20"/>
          <w:lang w:val="es-ES"/>
        </w:rPr>
        <w:t>o</w:t>
      </w:r>
      <w:r w:rsidRPr="002964A7">
        <w:rPr>
          <w:rFonts w:ascii="Verdana" w:hAnsi="Verdana"/>
          <w:sz w:val="20"/>
          <w:szCs w:val="20"/>
          <w:lang w:val="es-ES"/>
        </w:rPr>
        <w:t>s</w:t>
      </w:r>
      <w:r w:rsidRPr="00B243B4">
        <w:rPr>
          <w:rFonts w:ascii="Verdana" w:eastAsia="Calibri" w:hAnsi="Verdana" w:cs="Arial"/>
          <w:sz w:val="20"/>
          <w:szCs w:val="20"/>
          <w:lang w:val="es-CO"/>
        </w:rPr>
        <w:t>, tanto a nivel nacional como en la región de Huancavelica</w:t>
      </w:r>
      <w:r w:rsidRPr="00B243B4">
        <w:rPr>
          <w:rFonts w:ascii="Verdana" w:eastAsia="Calibri" w:hAnsi="Verdana" w:cs="Arial"/>
          <w:sz w:val="20"/>
          <w:szCs w:val="20"/>
        </w:rPr>
        <w:t>.</w:t>
      </w:r>
      <w:r w:rsidRPr="00B243B4">
        <w:rPr>
          <w:rFonts w:ascii="Verdana" w:eastAsia="Calibri" w:hAnsi="Verdana"/>
          <w:sz w:val="20"/>
          <w:szCs w:val="20"/>
        </w:rPr>
        <w:t xml:space="preserve"> </w:t>
      </w:r>
      <w:r w:rsidRPr="00B243B4">
        <w:rPr>
          <w:rFonts w:ascii="Verdana" w:eastAsia="Calibri" w:hAnsi="Verdana" w:cs="Arial"/>
          <w:sz w:val="20"/>
          <w:szCs w:val="20"/>
          <w:lang w:val="es-CO"/>
        </w:rPr>
        <w:t xml:space="preserve">Advirtieron también que el Estado ocultó la condición de menores de edad de las víctimas en documentos oficiales, esto es, </w:t>
      </w:r>
      <w:r>
        <w:rPr>
          <w:rFonts w:ascii="Verdana" w:eastAsia="Calibri" w:hAnsi="Verdana" w:cs="Arial"/>
          <w:sz w:val="20"/>
          <w:szCs w:val="20"/>
          <w:lang w:val="es-CO"/>
        </w:rPr>
        <w:t xml:space="preserve">en </w:t>
      </w:r>
      <w:r w:rsidRPr="00B243B4">
        <w:rPr>
          <w:rFonts w:ascii="Verdana" w:eastAsia="Calibri" w:hAnsi="Verdana" w:cs="Arial"/>
          <w:sz w:val="20"/>
          <w:szCs w:val="20"/>
          <w:lang w:val="es-CO"/>
        </w:rPr>
        <w:t xml:space="preserve">las partidas de defunción con edades fraudulentas. </w:t>
      </w:r>
      <w:r w:rsidRPr="00B243B4">
        <w:rPr>
          <w:rFonts w:ascii="Verdana" w:eastAsia="Calibri" w:hAnsi="Verdana" w:cs="Arial"/>
          <w:sz w:val="20"/>
          <w:szCs w:val="20"/>
        </w:rPr>
        <w:t xml:space="preserve">En consecuencia, solicitaron que la Corte declare que </w:t>
      </w:r>
      <w:r w:rsidRPr="00B243B4">
        <w:rPr>
          <w:rFonts w:ascii="Verdana" w:eastAsia="Calibri" w:hAnsi="Verdana" w:cs="Arial"/>
          <w:sz w:val="20"/>
          <w:szCs w:val="20"/>
          <w:lang w:val="es-CO"/>
        </w:rPr>
        <w:t>el Estado es responsable por la violación de la obligación de adoptar medidas de protección especial para</w:t>
      </w:r>
      <w:r>
        <w:rPr>
          <w:rFonts w:ascii="Verdana" w:eastAsia="Calibri" w:hAnsi="Verdana" w:cs="Arial"/>
          <w:sz w:val="20"/>
          <w:szCs w:val="20"/>
          <w:lang w:val="es-CO"/>
        </w:rPr>
        <w:t xml:space="preserve"> las</w:t>
      </w:r>
      <w:r w:rsidRPr="00B243B4">
        <w:rPr>
          <w:rFonts w:ascii="Verdana" w:eastAsia="Calibri" w:hAnsi="Verdana" w:cs="Arial"/>
          <w:sz w:val="20"/>
          <w:szCs w:val="20"/>
          <w:lang w:val="es-CO"/>
        </w:rPr>
        <w:t xml:space="preserve"> </w:t>
      </w:r>
      <w:r w:rsidRPr="002964A7">
        <w:rPr>
          <w:rFonts w:ascii="Verdana" w:hAnsi="Verdana"/>
          <w:sz w:val="20"/>
          <w:szCs w:val="20"/>
          <w:lang w:val="es-ES"/>
        </w:rPr>
        <w:t>niñ</w:t>
      </w:r>
      <w:r>
        <w:rPr>
          <w:rFonts w:ascii="Verdana" w:hAnsi="Verdana"/>
          <w:sz w:val="20"/>
          <w:szCs w:val="20"/>
          <w:lang w:val="es-ES"/>
        </w:rPr>
        <w:t>a</w:t>
      </w:r>
      <w:r w:rsidRPr="002964A7">
        <w:rPr>
          <w:rFonts w:ascii="Verdana" w:hAnsi="Verdana"/>
          <w:sz w:val="20"/>
          <w:szCs w:val="20"/>
          <w:lang w:val="es-ES"/>
        </w:rPr>
        <w:t xml:space="preserve">s y </w:t>
      </w:r>
      <w:r>
        <w:rPr>
          <w:rFonts w:ascii="Verdana" w:hAnsi="Verdana"/>
          <w:sz w:val="20"/>
          <w:szCs w:val="20"/>
          <w:lang w:val="es-ES"/>
        </w:rPr>
        <w:t xml:space="preserve">los </w:t>
      </w:r>
      <w:r w:rsidRPr="002964A7">
        <w:rPr>
          <w:rFonts w:ascii="Verdana" w:hAnsi="Verdana"/>
          <w:sz w:val="20"/>
          <w:szCs w:val="20"/>
          <w:lang w:val="es-ES"/>
        </w:rPr>
        <w:t>niñ</w:t>
      </w:r>
      <w:r>
        <w:rPr>
          <w:rFonts w:ascii="Verdana" w:hAnsi="Verdana"/>
          <w:sz w:val="20"/>
          <w:szCs w:val="20"/>
          <w:lang w:val="es-ES"/>
        </w:rPr>
        <w:t>o</w:t>
      </w:r>
      <w:r w:rsidRPr="002964A7">
        <w:rPr>
          <w:rFonts w:ascii="Verdana" w:hAnsi="Verdana"/>
          <w:sz w:val="20"/>
          <w:szCs w:val="20"/>
          <w:lang w:val="es-ES"/>
        </w:rPr>
        <w:t>s</w:t>
      </w:r>
      <w:r w:rsidRPr="00B243B4" w:rsidDel="00BB3D01">
        <w:rPr>
          <w:rFonts w:ascii="Verdana" w:eastAsia="Calibri" w:hAnsi="Verdana" w:cs="Arial"/>
          <w:sz w:val="20"/>
          <w:szCs w:val="20"/>
          <w:lang w:val="es-CO"/>
        </w:rPr>
        <w:t xml:space="preserve"> </w:t>
      </w:r>
      <w:r w:rsidRPr="00B243B4">
        <w:rPr>
          <w:rFonts w:ascii="Verdana" w:eastAsia="Calibri" w:hAnsi="Verdana" w:cs="Arial"/>
          <w:sz w:val="20"/>
          <w:szCs w:val="20"/>
        </w:rPr>
        <w:t xml:space="preserve">en el contexto del conflicto armado </w:t>
      </w:r>
      <w:r w:rsidRPr="00B243B4">
        <w:rPr>
          <w:rFonts w:ascii="Verdana" w:eastAsia="Calibri" w:hAnsi="Verdana" w:cs="Arial"/>
          <w:sz w:val="20"/>
          <w:szCs w:val="20"/>
          <w:lang w:val="es-CO"/>
        </w:rPr>
        <w:t>interno peruano</w:t>
      </w:r>
      <w:r>
        <w:rPr>
          <w:rStyle w:val="FootnoteReference"/>
          <w:rFonts w:eastAsia="Calibri" w:cs="Arial"/>
          <w:szCs w:val="20"/>
          <w:lang w:val="es-CO"/>
        </w:rPr>
        <w:footnoteReference w:id="174"/>
      </w:r>
      <w:r w:rsidRPr="00B243B4">
        <w:rPr>
          <w:rFonts w:ascii="Verdana" w:eastAsia="Calibri" w:hAnsi="Verdana" w:cs="Arial"/>
          <w:sz w:val="20"/>
          <w:szCs w:val="20"/>
        </w:rPr>
        <w:t xml:space="preserve">, en violación del artículo 19 de la Convención, en perjuicio de </w:t>
      </w:r>
      <w:r>
        <w:rPr>
          <w:rFonts w:ascii="Verdana" w:eastAsia="Calibri" w:hAnsi="Verdana" w:cs="Arial"/>
          <w:sz w:val="20"/>
          <w:szCs w:val="20"/>
        </w:rPr>
        <w:t>las</w:t>
      </w:r>
      <w:r w:rsidRPr="00B243B4">
        <w:rPr>
          <w:rFonts w:ascii="Verdana" w:eastAsia="Calibri" w:hAnsi="Verdana" w:cs="Arial"/>
          <w:sz w:val="20"/>
          <w:szCs w:val="20"/>
        </w:rPr>
        <w:t xml:space="preserve"> siete niñ</w:t>
      </w:r>
      <w:r>
        <w:rPr>
          <w:rFonts w:ascii="Verdana" w:eastAsia="Calibri" w:hAnsi="Verdana" w:cs="Arial"/>
          <w:sz w:val="20"/>
          <w:szCs w:val="20"/>
        </w:rPr>
        <w:t>a</w:t>
      </w:r>
      <w:r w:rsidRPr="00B243B4">
        <w:rPr>
          <w:rFonts w:ascii="Verdana" w:eastAsia="Calibri" w:hAnsi="Verdana" w:cs="Arial"/>
          <w:sz w:val="20"/>
          <w:szCs w:val="20"/>
        </w:rPr>
        <w:t>s y</w:t>
      </w:r>
      <w:r w:rsidRPr="00B243B4">
        <w:rPr>
          <w:rFonts w:ascii="Verdana" w:eastAsia="Calibri" w:hAnsi="Verdana" w:cs="Arial"/>
          <w:sz w:val="20"/>
          <w:szCs w:val="20"/>
          <w:lang w:val="es-CO"/>
        </w:rPr>
        <w:t xml:space="preserve"> niñ</w:t>
      </w:r>
      <w:r>
        <w:rPr>
          <w:rFonts w:ascii="Verdana" w:eastAsia="Calibri" w:hAnsi="Verdana" w:cs="Arial"/>
          <w:sz w:val="20"/>
          <w:szCs w:val="20"/>
          <w:lang w:val="es-CO"/>
        </w:rPr>
        <w:t>o</w:t>
      </w:r>
      <w:r w:rsidRPr="00B243B4">
        <w:rPr>
          <w:rFonts w:ascii="Verdana" w:eastAsia="Calibri" w:hAnsi="Verdana" w:cs="Arial"/>
          <w:sz w:val="20"/>
          <w:szCs w:val="20"/>
          <w:lang w:val="es-CO"/>
        </w:rPr>
        <w:t xml:space="preserve">s </w:t>
      </w:r>
      <w:r w:rsidRPr="00B243B4">
        <w:rPr>
          <w:rFonts w:ascii="Verdana" w:eastAsia="Calibri" w:hAnsi="Verdana" w:cs="Arial"/>
          <w:sz w:val="20"/>
          <w:szCs w:val="20"/>
        </w:rPr>
        <w:t>forzosamente desaparecidos, y que dada la existencia de un contexto de violaciones de derechos humanos contra niñ</w:t>
      </w:r>
      <w:r>
        <w:rPr>
          <w:rFonts w:ascii="Verdana" w:eastAsia="Calibri" w:hAnsi="Verdana" w:cs="Arial"/>
          <w:sz w:val="20"/>
          <w:szCs w:val="20"/>
        </w:rPr>
        <w:t>a</w:t>
      </w:r>
      <w:r w:rsidRPr="00B243B4">
        <w:rPr>
          <w:rFonts w:ascii="Verdana" w:eastAsia="Calibri" w:hAnsi="Verdana" w:cs="Arial"/>
          <w:sz w:val="20"/>
          <w:szCs w:val="20"/>
        </w:rPr>
        <w:t>s y niñ</w:t>
      </w:r>
      <w:r>
        <w:rPr>
          <w:rFonts w:ascii="Verdana" w:eastAsia="Calibri" w:hAnsi="Verdana" w:cs="Arial"/>
          <w:sz w:val="20"/>
          <w:szCs w:val="20"/>
        </w:rPr>
        <w:t>o</w:t>
      </w:r>
      <w:r w:rsidRPr="00B243B4">
        <w:rPr>
          <w:rFonts w:ascii="Verdana" w:eastAsia="Calibri" w:hAnsi="Verdana" w:cs="Arial"/>
          <w:sz w:val="20"/>
          <w:szCs w:val="20"/>
        </w:rPr>
        <w:t xml:space="preserve">s, declare que el Estado incurrió en responsabilidad agravada. </w:t>
      </w:r>
    </w:p>
    <w:p w:rsidR="00106A1E" w:rsidRPr="002964A7" w:rsidRDefault="00106A1E" w:rsidP="00106A1E">
      <w:pPr>
        <w:autoSpaceDE w:val="0"/>
        <w:autoSpaceDN w:val="0"/>
        <w:adjustRightInd w:val="0"/>
        <w:spacing w:after="0" w:line="240" w:lineRule="auto"/>
        <w:ind w:right="15"/>
        <w:jc w:val="both"/>
        <w:rPr>
          <w:rFonts w:ascii="Verdana" w:eastAsia="Calibri" w:hAnsi="Verdana" w:cs="Arial"/>
          <w:b/>
          <w:sz w:val="20"/>
          <w:szCs w:val="20"/>
        </w:rPr>
      </w:pPr>
    </w:p>
    <w:p w:rsidR="00106A1E" w:rsidRPr="003F4942"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b/>
          <w:sz w:val="20"/>
          <w:szCs w:val="20"/>
        </w:rPr>
      </w:pPr>
      <w:r w:rsidRPr="003F4942">
        <w:rPr>
          <w:rFonts w:ascii="Verdana" w:eastAsia="Calibri" w:hAnsi="Verdana"/>
          <w:sz w:val="20"/>
          <w:szCs w:val="20"/>
        </w:rPr>
        <w:t xml:space="preserve">Finalmente, </w:t>
      </w:r>
      <w:r>
        <w:rPr>
          <w:rFonts w:ascii="Verdana" w:eastAsia="Calibri" w:hAnsi="Verdana"/>
          <w:sz w:val="20"/>
          <w:szCs w:val="20"/>
        </w:rPr>
        <w:t xml:space="preserve">los representantes coincidieron con los argumentos de la Comisión respecto a la violación del </w:t>
      </w:r>
      <w:r w:rsidRPr="003F4942">
        <w:rPr>
          <w:rFonts w:ascii="Verdana" w:eastAsia="Calibri" w:hAnsi="Verdana"/>
          <w:sz w:val="20"/>
          <w:szCs w:val="20"/>
        </w:rPr>
        <w:t xml:space="preserve">derecho a la protección de la </w:t>
      </w:r>
      <w:r w:rsidRPr="003F4942">
        <w:rPr>
          <w:rFonts w:ascii="Verdana" w:eastAsia="Calibri" w:hAnsi="Verdana" w:cs="Arial"/>
          <w:sz w:val="20"/>
          <w:szCs w:val="20"/>
        </w:rPr>
        <w:t>familia</w:t>
      </w:r>
      <w:r w:rsidRPr="003F4942">
        <w:rPr>
          <w:rFonts w:ascii="Verdana" w:eastAsia="Calibri" w:hAnsi="Verdana"/>
          <w:sz w:val="20"/>
          <w:szCs w:val="20"/>
        </w:rPr>
        <w:t>, consagrado en el artículo 17 de la Convención</w:t>
      </w:r>
      <w:r>
        <w:rPr>
          <w:rFonts w:ascii="Verdana" w:eastAsia="Calibri" w:hAnsi="Verdana"/>
          <w:sz w:val="20"/>
          <w:szCs w:val="20"/>
        </w:rPr>
        <w:t xml:space="preserve">. Añadieron además que </w:t>
      </w:r>
      <w:r w:rsidRPr="003F4942">
        <w:rPr>
          <w:rFonts w:ascii="Verdana" w:eastAsia="Calibri" w:hAnsi="Verdana"/>
          <w:sz w:val="20"/>
          <w:szCs w:val="20"/>
        </w:rPr>
        <w:t>el</w:t>
      </w:r>
      <w:r>
        <w:rPr>
          <w:rFonts w:ascii="Verdana" w:eastAsia="Calibri" w:hAnsi="Verdana"/>
          <w:sz w:val="20"/>
          <w:szCs w:val="20"/>
        </w:rPr>
        <w:t xml:space="preserve"> Estado violó el</w:t>
      </w:r>
      <w:r w:rsidRPr="003F4942">
        <w:rPr>
          <w:rFonts w:ascii="Verdana" w:eastAsia="Calibri" w:hAnsi="Verdana"/>
          <w:sz w:val="20"/>
          <w:szCs w:val="20"/>
        </w:rPr>
        <w:t xml:space="preserve"> derecho a la vida privada y familiar contenido en el artículo 11 de la Convención, pues impidió -de manera permanente e irreversible- establecer relaciones con su núcleo familiar y con las personas que forman parte del mismo. </w:t>
      </w:r>
      <w:r>
        <w:rPr>
          <w:rFonts w:ascii="Verdana" w:eastAsia="Calibri" w:hAnsi="Verdana"/>
          <w:sz w:val="20"/>
          <w:szCs w:val="20"/>
        </w:rPr>
        <w:t xml:space="preserve">Finalmente, alegaron el incumplimiento </w:t>
      </w:r>
      <w:r w:rsidRPr="003F4942">
        <w:rPr>
          <w:rFonts w:ascii="Verdana" w:eastAsia="Calibri" w:hAnsi="Verdana" w:cs="Arial"/>
          <w:sz w:val="20"/>
          <w:szCs w:val="20"/>
        </w:rPr>
        <w:t>del deber de garantía por</w:t>
      </w:r>
      <w:r w:rsidRPr="003F4942">
        <w:rPr>
          <w:rFonts w:ascii="Verdana" w:eastAsia="Calibri" w:hAnsi="Verdana"/>
          <w:sz w:val="20"/>
          <w:szCs w:val="20"/>
        </w:rPr>
        <w:t xml:space="preserve"> </w:t>
      </w:r>
      <w:r w:rsidRPr="003F4942">
        <w:rPr>
          <w:rFonts w:ascii="Verdana" w:eastAsia="Calibri" w:hAnsi="Verdana" w:cs="Arial"/>
          <w:sz w:val="20"/>
          <w:szCs w:val="20"/>
        </w:rPr>
        <w:t xml:space="preserve">la falta de una investigación efectiva de los hechos en perjuicio de las víctimas desaparecidas, dadas </w:t>
      </w:r>
      <w:r w:rsidRPr="003F4942">
        <w:rPr>
          <w:rFonts w:ascii="Verdana" w:eastAsia="Calibri" w:hAnsi="Verdana"/>
          <w:sz w:val="20"/>
          <w:szCs w:val="20"/>
        </w:rPr>
        <w:t>las injerencias del Estado “</w:t>
      </w:r>
      <w:r w:rsidRPr="003F4942">
        <w:rPr>
          <w:rFonts w:ascii="Verdana" w:eastAsia="Calibri" w:hAnsi="Verdana"/>
          <w:sz w:val="20"/>
          <w:szCs w:val="20"/>
          <w:lang w:val="es-VE"/>
        </w:rPr>
        <w:t>destinadas a imposibilitar una investigación seria y efectiva</w:t>
      </w:r>
      <w:r>
        <w:rPr>
          <w:rFonts w:ascii="Verdana" w:eastAsia="Calibri" w:hAnsi="Verdana"/>
          <w:sz w:val="20"/>
          <w:szCs w:val="20"/>
          <w:lang w:val="es-VE"/>
        </w:rPr>
        <w:t>”</w:t>
      </w:r>
      <w:r w:rsidRPr="003F4942">
        <w:rPr>
          <w:rFonts w:ascii="Verdana" w:eastAsia="Calibri" w:hAnsi="Verdana"/>
          <w:sz w:val="20"/>
          <w:szCs w:val="20"/>
          <w:lang w:val="es-VE"/>
        </w:rPr>
        <w:t xml:space="preserve">. </w:t>
      </w:r>
    </w:p>
    <w:p w:rsidR="00106A1E" w:rsidRPr="002964A7" w:rsidRDefault="00106A1E" w:rsidP="00106A1E">
      <w:pPr>
        <w:autoSpaceDE w:val="0"/>
        <w:autoSpaceDN w:val="0"/>
        <w:adjustRightInd w:val="0"/>
        <w:spacing w:after="0" w:line="240" w:lineRule="auto"/>
        <w:ind w:right="15"/>
        <w:jc w:val="both"/>
        <w:rPr>
          <w:rFonts w:ascii="Verdana" w:eastAsia="Calibri" w:hAnsi="Verdana"/>
          <w:b/>
          <w:sz w:val="20"/>
          <w:szCs w:val="20"/>
        </w:rPr>
      </w:pPr>
    </w:p>
    <w:p w:rsidR="00106A1E"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eastAsia="es-CR"/>
        </w:rPr>
      </w:pPr>
      <w:r w:rsidRPr="00794E82">
        <w:rPr>
          <w:rFonts w:ascii="Verdana" w:hAnsi="Verdana"/>
          <w:sz w:val="20"/>
          <w:szCs w:val="20"/>
          <w:lang w:eastAsia="es-CR"/>
        </w:rPr>
        <w:t xml:space="preserve">El </w:t>
      </w:r>
      <w:r w:rsidRPr="00794E82">
        <w:rPr>
          <w:rFonts w:ascii="Verdana" w:hAnsi="Verdana"/>
          <w:b/>
          <w:i/>
          <w:sz w:val="20"/>
          <w:szCs w:val="20"/>
          <w:lang w:eastAsia="es-CR"/>
        </w:rPr>
        <w:t>Estado</w:t>
      </w:r>
      <w:r w:rsidRPr="00794E82">
        <w:rPr>
          <w:rFonts w:ascii="Verdana" w:hAnsi="Verdana"/>
          <w:sz w:val="20"/>
          <w:szCs w:val="20"/>
          <w:lang w:eastAsia="es-CR"/>
        </w:rPr>
        <w:t xml:space="preserve"> calificó jurídicamente los hechos como ejecuciones extrajudiciales, reconoció las afectaciones a los artículos 4, 5</w:t>
      </w:r>
      <w:r>
        <w:rPr>
          <w:rFonts w:ascii="Verdana" w:hAnsi="Verdana"/>
          <w:sz w:val="20"/>
          <w:szCs w:val="20"/>
          <w:lang w:eastAsia="es-CR"/>
        </w:rPr>
        <w:t>,</w:t>
      </w:r>
      <w:r w:rsidRPr="00794E82">
        <w:rPr>
          <w:rFonts w:ascii="Verdana" w:hAnsi="Verdana"/>
          <w:sz w:val="20"/>
          <w:szCs w:val="20"/>
          <w:lang w:eastAsia="es-CR"/>
        </w:rPr>
        <w:t xml:space="preserve"> 7</w:t>
      </w:r>
      <w:r>
        <w:rPr>
          <w:rFonts w:ascii="Verdana" w:hAnsi="Verdana"/>
          <w:sz w:val="20"/>
          <w:szCs w:val="20"/>
          <w:lang w:eastAsia="es-CR"/>
        </w:rPr>
        <w:t xml:space="preserve"> y 19</w:t>
      </w:r>
      <w:r w:rsidRPr="00794E82">
        <w:rPr>
          <w:rFonts w:ascii="Verdana" w:hAnsi="Verdana"/>
          <w:sz w:val="20"/>
          <w:szCs w:val="20"/>
          <w:lang w:eastAsia="es-CR"/>
        </w:rPr>
        <w:t xml:space="preserve"> de la Convención Americana, y controvirtió </w:t>
      </w:r>
      <w:r w:rsidRPr="00794E82">
        <w:rPr>
          <w:rFonts w:ascii="Verdana" w:hAnsi="Verdana"/>
          <w:sz w:val="20"/>
          <w:szCs w:val="20"/>
        </w:rPr>
        <w:t xml:space="preserve">la posible vulneración del artículo 3 de la misma, en tanto no es un caso de desapariciones forzadas. </w:t>
      </w:r>
      <w:r>
        <w:rPr>
          <w:rFonts w:ascii="Verdana" w:eastAsia="Calibri" w:hAnsi="Verdana"/>
          <w:sz w:val="20"/>
          <w:szCs w:val="20"/>
        </w:rPr>
        <w:t>Asimismo, señaló que no es aceptable que la Comisión</w:t>
      </w:r>
      <w:r w:rsidRPr="00FB79DA">
        <w:rPr>
          <w:rFonts w:ascii="Verdana" w:eastAsia="Calibri" w:hAnsi="Verdana"/>
          <w:sz w:val="20"/>
          <w:szCs w:val="20"/>
        </w:rPr>
        <w:t xml:space="preserve"> pretenda a</w:t>
      </w:r>
      <w:r>
        <w:rPr>
          <w:rFonts w:ascii="Verdana" w:eastAsia="Calibri" w:hAnsi="Verdana"/>
          <w:sz w:val="20"/>
          <w:szCs w:val="20"/>
        </w:rPr>
        <w:t>plicar el Protocolo Adicional II a los Convenios de Ginebra de 1977</w:t>
      </w:r>
      <w:r w:rsidRPr="00FB79DA">
        <w:rPr>
          <w:rFonts w:ascii="Verdana" w:eastAsia="Calibri" w:hAnsi="Verdana"/>
          <w:sz w:val="20"/>
          <w:szCs w:val="20"/>
        </w:rPr>
        <w:t xml:space="preserve"> de manera inmediata</w:t>
      </w:r>
      <w:r w:rsidRPr="00FB79DA">
        <w:rPr>
          <w:rFonts w:ascii="Verdana" w:eastAsia="Calibri" w:hAnsi="Verdana"/>
          <w:b/>
          <w:sz w:val="20"/>
          <w:szCs w:val="20"/>
        </w:rPr>
        <w:t xml:space="preserve"> </w:t>
      </w:r>
      <w:r w:rsidRPr="00FB79DA">
        <w:rPr>
          <w:rFonts w:ascii="Verdana" w:eastAsia="Calibri" w:hAnsi="Verdana"/>
          <w:sz w:val="20"/>
          <w:szCs w:val="20"/>
        </w:rPr>
        <w:t xml:space="preserve">y se opuso a la pretensión de los representantes de que se declare una “responsabilidad agravada” del Estado. </w:t>
      </w:r>
      <w:r w:rsidRPr="00FB79DA">
        <w:rPr>
          <w:rFonts w:ascii="Verdana" w:eastAsia="Calibri" w:hAnsi="Verdana" w:cs="Arial"/>
          <w:sz w:val="20"/>
          <w:szCs w:val="20"/>
        </w:rPr>
        <w:t xml:space="preserve">Por otro lado, el </w:t>
      </w:r>
      <w:r w:rsidRPr="00FB79DA">
        <w:rPr>
          <w:rFonts w:ascii="Verdana" w:eastAsia="Calibri" w:hAnsi="Verdana"/>
          <w:sz w:val="20"/>
          <w:szCs w:val="20"/>
        </w:rPr>
        <w:t xml:space="preserve">Estado precisó que el derecho a la protección de la familia no ha sido materia de debate en sede jurisdiccional interna, y que si bien hay una condena definitiva para una persona, del proceso seguido en sede nacional no se podía deducir que hubo un acto deliberado de parte del Estado de afectar a núcleos familiares íntegros. </w:t>
      </w:r>
    </w:p>
    <w:p w:rsidR="00106A1E" w:rsidRPr="00FB79DA" w:rsidRDefault="00106A1E" w:rsidP="00106A1E">
      <w:pPr>
        <w:pStyle w:val="ListParagraph"/>
        <w:rPr>
          <w:rFonts w:ascii="Verdana" w:hAnsi="Verdana"/>
          <w:sz w:val="20"/>
          <w:szCs w:val="20"/>
          <w:lang w:eastAsia="es-CR"/>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eastAsia="es-CR"/>
        </w:rPr>
      </w:pPr>
      <w:r w:rsidRPr="00FB79DA">
        <w:rPr>
          <w:rFonts w:ascii="Verdana" w:hAnsi="Verdana"/>
          <w:sz w:val="20"/>
          <w:szCs w:val="20"/>
          <w:lang w:eastAsia="es-CR"/>
        </w:rPr>
        <w:t xml:space="preserve">Además, </w:t>
      </w:r>
      <w:r w:rsidRPr="00FB79DA">
        <w:rPr>
          <w:rFonts w:ascii="Verdana" w:eastAsia="Calibri" w:hAnsi="Verdana"/>
          <w:sz w:val="20"/>
          <w:szCs w:val="20"/>
        </w:rPr>
        <w:t xml:space="preserve">en </w:t>
      </w:r>
      <w:r>
        <w:rPr>
          <w:rFonts w:ascii="Verdana" w:hAnsi="Verdana"/>
          <w:sz w:val="20"/>
          <w:szCs w:val="20"/>
          <w:lang w:eastAsia="es-CR"/>
        </w:rPr>
        <w:t xml:space="preserve">la </w:t>
      </w:r>
      <w:r w:rsidR="00884B9C">
        <w:rPr>
          <w:rFonts w:ascii="Verdana" w:hAnsi="Verdana"/>
          <w:sz w:val="20"/>
          <w:szCs w:val="20"/>
          <w:lang w:eastAsia="es-CR"/>
        </w:rPr>
        <w:t>audiencia</w:t>
      </w:r>
      <w:r>
        <w:rPr>
          <w:rFonts w:ascii="Verdana" w:hAnsi="Verdana"/>
          <w:sz w:val="20"/>
          <w:szCs w:val="20"/>
          <w:lang w:eastAsia="es-CR"/>
        </w:rPr>
        <w:t xml:space="preserve"> pública y</w:t>
      </w:r>
      <w:r w:rsidRPr="00FB79DA">
        <w:rPr>
          <w:rFonts w:ascii="Verdana" w:hAnsi="Verdana"/>
          <w:sz w:val="20"/>
          <w:szCs w:val="20"/>
          <w:lang w:eastAsia="es-CR"/>
        </w:rPr>
        <w:t xml:space="preserve"> </w:t>
      </w:r>
      <w:r w:rsidRPr="00FB79DA">
        <w:rPr>
          <w:rFonts w:ascii="Verdana" w:eastAsia="Calibri" w:hAnsi="Verdana"/>
          <w:sz w:val="20"/>
          <w:szCs w:val="20"/>
        </w:rPr>
        <w:t>sus alegatos finales escritos</w:t>
      </w:r>
      <w:r>
        <w:rPr>
          <w:rFonts w:ascii="Verdana" w:eastAsia="Calibri" w:hAnsi="Verdana"/>
          <w:sz w:val="20"/>
          <w:szCs w:val="20"/>
        </w:rPr>
        <w:t>,</w:t>
      </w:r>
      <w:r w:rsidRPr="00FB79DA">
        <w:rPr>
          <w:rFonts w:ascii="Verdana" w:eastAsia="Calibri" w:hAnsi="Verdana"/>
          <w:sz w:val="20"/>
          <w:szCs w:val="20"/>
        </w:rPr>
        <w:t xml:space="preserve"> el Estado solicitó la aplicación del principio de subsidiariedad y complementariedad del sistema interamericano en el presente caso. </w:t>
      </w:r>
      <w:r w:rsidRPr="00FB79DA">
        <w:rPr>
          <w:rFonts w:ascii="Verdana" w:hAnsi="Verdana"/>
          <w:sz w:val="20"/>
          <w:szCs w:val="20"/>
          <w:lang w:eastAsia="es-CR"/>
        </w:rPr>
        <w:t>Al respecto,</w:t>
      </w:r>
      <w:r>
        <w:rPr>
          <w:rFonts w:ascii="Verdana" w:hAnsi="Verdana"/>
          <w:sz w:val="20"/>
          <w:szCs w:val="20"/>
          <w:lang w:eastAsia="es-CR"/>
        </w:rPr>
        <w:t xml:space="preserve"> </w:t>
      </w:r>
      <w:r w:rsidRPr="00FB79DA">
        <w:rPr>
          <w:rFonts w:ascii="Verdana" w:hAnsi="Verdana"/>
          <w:sz w:val="20"/>
          <w:szCs w:val="20"/>
          <w:lang w:eastAsia="es-CR"/>
        </w:rPr>
        <w:t xml:space="preserve">argumentó que </w:t>
      </w:r>
      <w:r w:rsidRPr="00FB79DA">
        <w:rPr>
          <w:rFonts w:ascii="Verdana" w:eastAsia="Calibri" w:hAnsi="Verdana"/>
          <w:sz w:val="20"/>
          <w:szCs w:val="20"/>
          <w:lang w:val="es-PR"/>
        </w:rPr>
        <w:t xml:space="preserve">en el caso </w:t>
      </w:r>
      <w:r w:rsidRPr="00FB79DA">
        <w:rPr>
          <w:rFonts w:ascii="Verdana" w:eastAsia="Calibri" w:hAnsi="Verdana"/>
          <w:i/>
          <w:sz w:val="20"/>
          <w:szCs w:val="20"/>
          <w:lang w:val="es-PR"/>
        </w:rPr>
        <w:t xml:space="preserve">Zulema Tarazona y otros Vs. Perú </w:t>
      </w:r>
      <w:r w:rsidRPr="00FB79DA">
        <w:rPr>
          <w:rFonts w:ascii="Verdana" w:hAnsi="Verdana"/>
          <w:sz w:val="20"/>
          <w:szCs w:val="20"/>
          <w:lang w:eastAsia="es-CR"/>
        </w:rPr>
        <w:t xml:space="preserve">la </w:t>
      </w:r>
      <w:r w:rsidRPr="00FB79DA">
        <w:rPr>
          <w:rFonts w:ascii="Verdana" w:eastAsia="Calibri" w:hAnsi="Verdana"/>
          <w:sz w:val="20"/>
          <w:szCs w:val="20"/>
          <w:lang w:val="es-PR"/>
        </w:rPr>
        <w:t xml:space="preserve">aplicación de dicho principio implicó que la Corte no se pronunciara sobre el fondo de la controversia, aproximándose más a “un pronunciamiento preliminar sobre la competencia de la Corte para conocer un caso”. </w:t>
      </w:r>
      <w:r w:rsidRPr="00FB79DA">
        <w:rPr>
          <w:rFonts w:ascii="Verdana" w:eastAsia="Calibri" w:hAnsi="Verdana" w:cs="Arial"/>
          <w:sz w:val="20"/>
          <w:szCs w:val="20"/>
          <w:lang w:val="es-ES_tradnl"/>
        </w:rPr>
        <w:t>Igualmente, recordó que, en el caso</w:t>
      </w:r>
      <w:r w:rsidRPr="00FB79DA">
        <w:rPr>
          <w:rFonts w:ascii="Verdana" w:eastAsia="Calibri" w:hAnsi="Verdana" w:cs="Arial"/>
          <w:i/>
          <w:sz w:val="20"/>
          <w:szCs w:val="20"/>
          <w:lang w:val="es-ES_tradnl"/>
        </w:rPr>
        <w:t xml:space="preserve"> J. Vs. Perú,</w:t>
      </w:r>
      <w:r w:rsidRPr="00FB79DA">
        <w:rPr>
          <w:rFonts w:ascii="Verdana" w:eastAsia="Calibri" w:hAnsi="Verdana" w:cs="Arial"/>
          <w:sz w:val="20"/>
          <w:szCs w:val="20"/>
          <w:lang w:val="es-ES_tradnl"/>
        </w:rPr>
        <w:t xml:space="preserve"> la Corte señaló que la calificación jurídica de los hechos </w:t>
      </w:r>
      <w:r w:rsidRPr="00FB79DA">
        <w:rPr>
          <w:rFonts w:ascii="Verdana" w:eastAsia="Calibri" w:hAnsi="Verdana" w:cs="Arial"/>
          <w:sz w:val="20"/>
          <w:szCs w:val="20"/>
          <w:lang w:val="es-GT"/>
        </w:rPr>
        <w:t>correspondía</w:t>
      </w:r>
      <w:r w:rsidRPr="00FB79DA">
        <w:rPr>
          <w:rFonts w:ascii="Verdana" w:eastAsia="Calibri" w:hAnsi="Verdana" w:cs="Arial"/>
          <w:sz w:val="20"/>
          <w:szCs w:val="20"/>
          <w:lang w:val="es-ES_tradnl"/>
        </w:rPr>
        <w:t xml:space="preserve"> al Estado. </w:t>
      </w:r>
      <w:r w:rsidRPr="00FB79DA">
        <w:rPr>
          <w:rFonts w:ascii="Verdana" w:eastAsia="Calibri" w:hAnsi="Verdana"/>
          <w:sz w:val="20"/>
          <w:szCs w:val="20"/>
        </w:rPr>
        <w:lastRenderedPageBreak/>
        <w:t xml:space="preserve">Según el </w:t>
      </w:r>
      <w:r>
        <w:rPr>
          <w:rFonts w:ascii="Verdana" w:eastAsia="Calibri" w:hAnsi="Verdana"/>
          <w:sz w:val="20"/>
          <w:szCs w:val="20"/>
        </w:rPr>
        <w:t>Perú</w:t>
      </w:r>
      <w:r w:rsidRPr="00FB79DA">
        <w:rPr>
          <w:rFonts w:ascii="Verdana" w:eastAsia="Calibri" w:hAnsi="Verdana"/>
          <w:sz w:val="20"/>
          <w:szCs w:val="20"/>
        </w:rPr>
        <w:t xml:space="preserve">, </w:t>
      </w:r>
      <w:r w:rsidRPr="00FB79DA">
        <w:rPr>
          <w:rFonts w:ascii="Verdana" w:eastAsia="Calibri" w:hAnsi="Verdana"/>
          <w:sz w:val="20"/>
          <w:szCs w:val="20"/>
          <w:lang w:val="es-GT"/>
        </w:rPr>
        <w:t xml:space="preserve">los hechos ocurridos en la </w:t>
      </w:r>
      <w:r>
        <w:rPr>
          <w:rFonts w:ascii="Verdana" w:eastAsia="Calibri" w:hAnsi="Verdana"/>
          <w:sz w:val="20"/>
          <w:szCs w:val="20"/>
          <w:lang w:val="es-GT"/>
        </w:rPr>
        <w:t>c</w:t>
      </w:r>
      <w:r w:rsidRPr="00FB79DA">
        <w:rPr>
          <w:rFonts w:ascii="Verdana" w:eastAsia="Calibri" w:hAnsi="Verdana"/>
          <w:sz w:val="20"/>
          <w:szCs w:val="20"/>
          <w:lang w:val="es-GT"/>
        </w:rPr>
        <w:t xml:space="preserve">omunidad de Santa Bárbara el 4 de julio de 1991, y que son los mismos que han sido sometidos para conocimiento de la Corte, fueron objeto </w:t>
      </w:r>
      <w:r>
        <w:rPr>
          <w:rFonts w:ascii="Verdana" w:eastAsia="Calibri" w:hAnsi="Verdana"/>
          <w:sz w:val="20"/>
          <w:szCs w:val="20"/>
          <w:lang w:val="es-GT"/>
        </w:rPr>
        <w:t xml:space="preserve">de </w:t>
      </w:r>
      <w:r w:rsidRPr="00FB79DA">
        <w:rPr>
          <w:rFonts w:ascii="Verdana" w:eastAsia="Calibri" w:hAnsi="Verdana"/>
          <w:sz w:val="20"/>
          <w:szCs w:val="20"/>
          <w:lang w:val="es-GT"/>
        </w:rPr>
        <w:t xml:space="preserve">investigación, proceso, sanción y determinación de una reparación por parte de las autoridades jurisdiccionales </w:t>
      </w:r>
      <w:r w:rsidR="00E14343">
        <w:rPr>
          <w:rFonts w:ascii="Verdana" w:eastAsia="Calibri" w:hAnsi="Verdana"/>
          <w:sz w:val="20"/>
          <w:szCs w:val="20"/>
          <w:lang w:val="es-GT"/>
        </w:rPr>
        <w:t>internas</w:t>
      </w:r>
      <w:r w:rsidR="00E14343" w:rsidRPr="00FB79DA">
        <w:rPr>
          <w:rFonts w:ascii="Verdana" w:eastAsia="Calibri" w:hAnsi="Verdana"/>
          <w:sz w:val="20"/>
          <w:szCs w:val="20"/>
          <w:lang w:val="es-GT"/>
        </w:rPr>
        <w:t xml:space="preserve"> </w:t>
      </w:r>
      <w:r w:rsidRPr="00FB79DA">
        <w:rPr>
          <w:rFonts w:ascii="Verdana" w:eastAsia="Calibri" w:hAnsi="Verdana"/>
          <w:sz w:val="20"/>
          <w:szCs w:val="20"/>
          <w:lang w:val="es-GT"/>
        </w:rPr>
        <w:t xml:space="preserve">a través de la </w:t>
      </w:r>
      <w:r w:rsidR="004C74EB">
        <w:rPr>
          <w:rFonts w:ascii="Verdana" w:eastAsia="Calibri" w:hAnsi="Verdana"/>
          <w:sz w:val="20"/>
          <w:szCs w:val="20"/>
          <w:lang w:val="es-GT"/>
        </w:rPr>
        <w:t>s</w:t>
      </w:r>
      <w:r w:rsidRPr="00FB79DA">
        <w:rPr>
          <w:rFonts w:ascii="Verdana" w:eastAsia="Calibri" w:hAnsi="Verdana"/>
          <w:sz w:val="20"/>
          <w:szCs w:val="20"/>
          <w:lang w:val="es-GT"/>
        </w:rPr>
        <w:t xml:space="preserve">entencia emitida por la Sala Penal Nacional el 9 de febrero de 2012 y la Ejecutoria Suprema de 29 de mayo de 2013, lo cual constituyó una decisión judicial definitiva con carácter de cosa juzgada y de obligatorio cumplimiento. </w:t>
      </w:r>
      <w:r w:rsidRPr="00FB79DA">
        <w:rPr>
          <w:rFonts w:ascii="Verdana" w:eastAsia="Calibri" w:hAnsi="Verdana"/>
          <w:sz w:val="20"/>
          <w:szCs w:val="20"/>
        </w:rPr>
        <w:t>Argumentó que son las instancias competentes de administración de justicia nacionales l</w:t>
      </w:r>
      <w:r>
        <w:rPr>
          <w:rFonts w:ascii="Verdana" w:eastAsia="Calibri" w:hAnsi="Verdana"/>
          <w:sz w:val="20"/>
          <w:szCs w:val="20"/>
        </w:rPr>
        <w:t>a</w:t>
      </w:r>
      <w:r w:rsidRPr="00FB79DA">
        <w:rPr>
          <w:rFonts w:ascii="Verdana" w:eastAsia="Calibri" w:hAnsi="Verdana"/>
          <w:sz w:val="20"/>
          <w:szCs w:val="20"/>
        </w:rPr>
        <w:t>s llamad</w:t>
      </w:r>
      <w:r>
        <w:rPr>
          <w:rFonts w:ascii="Verdana" w:eastAsia="Calibri" w:hAnsi="Verdana"/>
          <w:sz w:val="20"/>
          <w:szCs w:val="20"/>
        </w:rPr>
        <w:t>a</w:t>
      </w:r>
      <w:r w:rsidRPr="00FB79DA">
        <w:rPr>
          <w:rFonts w:ascii="Verdana" w:eastAsia="Calibri" w:hAnsi="Verdana"/>
          <w:sz w:val="20"/>
          <w:szCs w:val="20"/>
        </w:rPr>
        <w:t>s a calificar jurídicamente aquellos hechos y, en el presente caso, así lo hicieron los tribunales nacionales, siendo que ni la Comisión ni los representantes cuestionaron la calificación jurídica establecida por los órganos jurisdiccionales nacionales luego del desarchivamiento del caso en el año 2005</w:t>
      </w:r>
      <w:r>
        <w:rPr>
          <w:rFonts w:ascii="Verdana" w:eastAsia="Calibri" w:hAnsi="Verdana"/>
          <w:sz w:val="20"/>
          <w:szCs w:val="20"/>
        </w:rPr>
        <w:t xml:space="preserve">. </w:t>
      </w:r>
      <w:r w:rsidRPr="00FB79DA">
        <w:rPr>
          <w:rFonts w:ascii="Verdana" w:hAnsi="Verdana" w:cs="Arial"/>
          <w:spacing w:val="-2"/>
          <w:sz w:val="20"/>
          <w:szCs w:val="20"/>
          <w:lang w:val="es-GT"/>
        </w:rPr>
        <w:t>En esta línea</w:t>
      </w:r>
      <w:r w:rsidRPr="00FB79DA">
        <w:rPr>
          <w:rFonts w:ascii="Verdana" w:hAnsi="Verdana"/>
          <w:sz w:val="20"/>
          <w:szCs w:val="20"/>
          <w:lang w:eastAsia="es-CR"/>
        </w:rPr>
        <w:t xml:space="preserve">, sostuvo que no procede que la Corte determine y declare la responsabilidad internacional del Estado por la vulneración de los derechos contenidos en los artículos 4, 5, 7 y 19 de la Convención, con base en el respeto irrestricto del principio de subsidiariedad o complementariedad en el sistema interamericano. </w:t>
      </w:r>
      <w:bookmarkStart w:id="177" w:name="_Toc423102543"/>
    </w:p>
    <w:p w:rsidR="00106A1E" w:rsidRPr="00794E82" w:rsidRDefault="00106A1E" w:rsidP="001154F9">
      <w:pPr>
        <w:pStyle w:val="Heading3"/>
        <w:rPr>
          <w:rFonts w:eastAsia="Calibri" w:cs="Arial"/>
          <w:lang w:val="es-CO" w:eastAsia="es-CR"/>
        </w:rPr>
      </w:pPr>
      <w:bookmarkStart w:id="178" w:name="_Toc433387496"/>
      <w:r w:rsidRPr="00794E82">
        <w:rPr>
          <w:rFonts w:eastAsia="Calibri"/>
          <w:lang w:val="es-CO" w:eastAsia="es-CR"/>
        </w:rPr>
        <w:t>B</w:t>
      </w:r>
      <w:r w:rsidR="00BE10D3">
        <w:rPr>
          <w:rFonts w:eastAsia="Calibri"/>
          <w:lang w:val="es-CO" w:eastAsia="es-CR"/>
        </w:rPr>
        <w:t>.</w:t>
      </w:r>
      <w:r w:rsidRPr="00794E82">
        <w:rPr>
          <w:rFonts w:eastAsia="Calibri"/>
          <w:lang w:val="es-CO" w:eastAsia="es-CR"/>
        </w:rPr>
        <w:t xml:space="preserve"> </w:t>
      </w:r>
      <w:r w:rsidRPr="00794E82">
        <w:rPr>
          <w:lang w:val="es-ES" w:eastAsia="es-ES"/>
        </w:rPr>
        <w:t>Consideraciones de la Corte</w:t>
      </w:r>
      <w:bookmarkEnd w:id="177"/>
      <w:bookmarkEnd w:id="178"/>
    </w:p>
    <w:p w:rsidR="00106A1E" w:rsidRPr="00794E82" w:rsidRDefault="00106A1E" w:rsidP="00106A1E">
      <w:pPr>
        <w:autoSpaceDE w:val="0"/>
        <w:autoSpaceDN w:val="0"/>
        <w:adjustRightInd w:val="0"/>
        <w:spacing w:after="0" w:line="240" w:lineRule="auto"/>
        <w:ind w:right="15"/>
        <w:jc w:val="both"/>
        <w:rPr>
          <w:rFonts w:ascii="Verdana" w:hAnsi="Verdana" w:cs="Arial"/>
          <w:b/>
          <w:sz w:val="20"/>
          <w:szCs w:val="20"/>
          <w:lang w:eastAsia="es-CR"/>
        </w:rPr>
      </w:pPr>
    </w:p>
    <w:p w:rsidR="00106A1E" w:rsidRPr="0007312C"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z w:val="20"/>
          <w:szCs w:val="20"/>
          <w:lang w:val="es-PR"/>
        </w:rPr>
      </w:pPr>
      <w:r w:rsidRPr="00794E82">
        <w:rPr>
          <w:rFonts w:ascii="Verdana" w:hAnsi="Verdana" w:cs="Arial"/>
          <w:sz w:val="20"/>
          <w:szCs w:val="20"/>
        </w:rPr>
        <w:t>E</w:t>
      </w:r>
      <w:r w:rsidRPr="00794E82">
        <w:rPr>
          <w:rFonts w:ascii="Verdana" w:hAnsi="Verdana"/>
          <w:sz w:val="20"/>
          <w:szCs w:val="20"/>
          <w:lang w:eastAsia="es-CR"/>
        </w:rPr>
        <w:t xml:space="preserve">n el presente caso, los hechos </w:t>
      </w:r>
      <w:r w:rsidRPr="00794E82">
        <w:rPr>
          <w:rFonts w:ascii="Verdana" w:hAnsi="Verdana"/>
          <w:sz w:val="20"/>
          <w:szCs w:val="20"/>
          <w:lang w:val="es-GT"/>
        </w:rPr>
        <w:t xml:space="preserve">ocurridos </w:t>
      </w:r>
      <w:r w:rsidRPr="00794E82">
        <w:rPr>
          <w:rFonts w:ascii="Verdana" w:hAnsi="Verdana"/>
          <w:iCs/>
          <w:sz w:val="20"/>
          <w:szCs w:val="20"/>
          <w:lang w:val="es-GT"/>
        </w:rPr>
        <w:t xml:space="preserve">en la comunidad campesina de Santa </w:t>
      </w:r>
      <w:r w:rsidRPr="00794E82">
        <w:rPr>
          <w:rFonts w:ascii="Verdana" w:hAnsi="Verdana"/>
          <w:sz w:val="20"/>
          <w:szCs w:val="20"/>
          <w:lang w:eastAsia="es-CR"/>
        </w:rPr>
        <w:t>Bárbara</w:t>
      </w:r>
      <w:r w:rsidRPr="00794E82">
        <w:rPr>
          <w:rFonts w:ascii="Verdana" w:hAnsi="Verdana" w:cs="Arial"/>
          <w:sz w:val="20"/>
          <w:szCs w:val="20"/>
          <w:lang w:val="es-GT"/>
        </w:rPr>
        <w:t xml:space="preserve"> el día 4 de julio de 1991, </w:t>
      </w:r>
      <w:r w:rsidRPr="00794E82">
        <w:rPr>
          <w:rFonts w:ascii="Verdana" w:hAnsi="Verdana"/>
          <w:sz w:val="20"/>
          <w:szCs w:val="20"/>
          <w:lang w:eastAsia="es-CR"/>
        </w:rPr>
        <w:t>que han quedado establecidos y que no se encuentran controvertidos,</w:t>
      </w:r>
      <w:r w:rsidRPr="00794E82">
        <w:rPr>
          <w:rFonts w:ascii="Verdana" w:hAnsi="Verdana" w:cs="Arial"/>
          <w:sz w:val="20"/>
          <w:szCs w:val="20"/>
        </w:rPr>
        <w:t xml:space="preserve"> fueron</w:t>
      </w:r>
      <w:r>
        <w:rPr>
          <w:rFonts w:ascii="Verdana" w:hAnsi="Verdana" w:cs="Arial"/>
          <w:sz w:val="20"/>
          <w:szCs w:val="20"/>
        </w:rPr>
        <w:t xml:space="preserve"> </w:t>
      </w:r>
      <w:r w:rsidRPr="0007312C">
        <w:rPr>
          <w:rFonts w:ascii="Verdana" w:hAnsi="Verdana" w:cs="Arial"/>
          <w:sz w:val="20"/>
          <w:szCs w:val="20"/>
        </w:rPr>
        <w:t xml:space="preserve">investigados, procesados y sancionados por el Estado </w:t>
      </w:r>
      <w:r w:rsidRPr="0007312C">
        <w:rPr>
          <w:rFonts w:ascii="Verdana" w:hAnsi="Verdana"/>
          <w:sz w:val="20"/>
          <w:szCs w:val="20"/>
          <w:lang w:eastAsia="es-CR"/>
        </w:rPr>
        <w:t xml:space="preserve">mediante la </w:t>
      </w:r>
      <w:r w:rsidR="004C74EB">
        <w:rPr>
          <w:rFonts w:ascii="Verdana" w:hAnsi="Verdana" w:cs="Univers"/>
          <w:sz w:val="20"/>
          <w:szCs w:val="20"/>
          <w:lang w:val="es-CO" w:eastAsia="es-CR"/>
        </w:rPr>
        <w:t>s</w:t>
      </w:r>
      <w:r w:rsidRPr="0007312C">
        <w:rPr>
          <w:rFonts w:ascii="Verdana" w:hAnsi="Verdana" w:cs="Univers"/>
          <w:sz w:val="20"/>
          <w:szCs w:val="20"/>
          <w:lang w:val="es-CO" w:eastAsia="es-CR"/>
        </w:rPr>
        <w:t xml:space="preserve">entencia de </w:t>
      </w:r>
      <w:r w:rsidRPr="0007312C">
        <w:rPr>
          <w:rFonts w:ascii="Verdana" w:hAnsi="Verdana" w:cs="Arial"/>
          <w:sz w:val="20"/>
          <w:szCs w:val="20"/>
          <w:lang w:eastAsia="es-CR"/>
        </w:rPr>
        <w:t xml:space="preserve">9 de febrero de 2012 de la Sala Penal Nacional de la Corte Superior de Justicia </w:t>
      </w:r>
      <w:r>
        <w:rPr>
          <w:rFonts w:ascii="Verdana" w:hAnsi="Verdana" w:cs="Arial"/>
          <w:sz w:val="20"/>
          <w:szCs w:val="20"/>
          <w:lang w:eastAsia="es-CR"/>
        </w:rPr>
        <w:t xml:space="preserve">de Lima </w:t>
      </w:r>
      <w:r w:rsidRPr="0007312C">
        <w:rPr>
          <w:rFonts w:ascii="Verdana" w:hAnsi="Verdana" w:cs="Arial"/>
          <w:sz w:val="20"/>
          <w:szCs w:val="20"/>
          <w:lang w:eastAsia="es-CR"/>
        </w:rPr>
        <w:t xml:space="preserve">y la </w:t>
      </w:r>
      <w:r w:rsidRPr="0007312C">
        <w:rPr>
          <w:rFonts w:ascii="Verdana" w:hAnsi="Verdana"/>
          <w:sz w:val="20"/>
          <w:szCs w:val="20"/>
          <w:lang w:eastAsia="es-CR"/>
        </w:rPr>
        <w:t>Ejecutoria Suprema</w:t>
      </w:r>
      <w:r w:rsidRPr="0007312C">
        <w:rPr>
          <w:rFonts w:ascii="Verdana" w:hAnsi="Verdana" w:cs="Arial"/>
          <w:sz w:val="20"/>
          <w:szCs w:val="20"/>
          <w:lang w:eastAsia="es-CR"/>
        </w:rPr>
        <w:t xml:space="preserve"> de </w:t>
      </w:r>
      <w:r w:rsidRPr="0007312C">
        <w:rPr>
          <w:rFonts w:ascii="Verdana" w:hAnsi="Verdana"/>
          <w:sz w:val="20"/>
          <w:szCs w:val="20"/>
          <w:lang w:eastAsia="es-CR"/>
        </w:rPr>
        <w:t xml:space="preserve">29 de mayo de 2013 de </w:t>
      </w:r>
      <w:r w:rsidRPr="0007312C">
        <w:rPr>
          <w:rFonts w:ascii="Verdana" w:hAnsi="Verdana" w:cs="Arial"/>
          <w:sz w:val="20"/>
          <w:szCs w:val="20"/>
          <w:lang w:eastAsia="es-CR"/>
        </w:rPr>
        <w:t xml:space="preserve">la </w:t>
      </w:r>
      <w:r w:rsidRPr="0007312C">
        <w:rPr>
          <w:rFonts w:ascii="Verdana" w:hAnsi="Verdana"/>
          <w:sz w:val="20"/>
          <w:szCs w:val="20"/>
          <w:lang w:eastAsia="es-CR"/>
        </w:rPr>
        <w:t>Sala Penal Transitoria de la Corte Suprema de Justicia del Perú (</w:t>
      </w:r>
      <w:r w:rsidRPr="0007312C">
        <w:rPr>
          <w:rFonts w:ascii="Verdana" w:hAnsi="Verdana"/>
          <w:i/>
          <w:sz w:val="20"/>
          <w:szCs w:val="20"/>
          <w:lang w:eastAsia="es-CR"/>
        </w:rPr>
        <w:t>supra</w:t>
      </w:r>
      <w:r w:rsidRPr="0007312C">
        <w:rPr>
          <w:rFonts w:ascii="Verdana" w:hAnsi="Verdana"/>
          <w:sz w:val="20"/>
          <w:szCs w:val="20"/>
          <w:lang w:eastAsia="es-CR"/>
        </w:rPr>
        <w:t xml:space="preserve"> párr</w:t>
      </w:r>
      <w:r>
        <w:rPr>
          <w:rFonts w:ascii="Verdana" w:hAnsi="Verdana"/>
          <w:sz w:val="20"/>
          <w:szCs w:val="20"/>
          <w:lang w:eastAsia="es-CR"/>
        </w:rPr>
        <w:t>s</w:t>
      </w:r>
      <w:r w:rsidRPr="0007312C">
        <w:rPr>
          <w:rFonts w:ascii="Verdana" w:hAnsi="Verdana"/>
          <w:sz w:val="20"/>
          <w:szCs w:val="20"/>
          <w:lang w:eastAsia="es-CR"/>
        </w:rPr>
        <w:t xml:space="preserve">. </w:t>
      </w:r>
      <w:r>
        <w:rPr>
          <w:rFonts w:ascii="Verdana" w:hAnsi="Verdana"/>
          <w:sz w:val="20"/>
          <w:szCs w:val="20"/>
          <w:lang w:eastAsia="es-CR"/>
        </w:rPr>
        <w:t>131 y 132</w:t>
      </w:r>
      <w:r w:rsidRPr="0007312C">
        <w:rPr>
          <w:rFonts w:ascii="Verdana" w:hAnsi="Verdana"/>
          <w:sz w:val="20"/>
          <w:szCs w:val="20"/>
          <w:lang w:eastAsia="es-CR"/>
        </w:rPr>
        <w:t xml:space="preserve">). </w:t>
      </w:r>
      <w:r w:rsidRPr="0007312C">
        <w:rPr>
          <w:rFonts w:ascii="Verdana" w:hAnsi="Verdana" w:cs="Univers"/>
          <w:sz w:val="20"/>
          <w:szCs w:val="20"/>
          <w:lang w:val="es-CO" w:eastAsia="es-CR"/>
        </w:rPr>
        <w:t xml:space="preserve">La </w:t>
      </w:r>
      <w:r w:rsidR="004C74EB">
        <w:rPr>
          <w:rFonts w:ascii="Verdana" w:hAnsi="Verdana" w:cs="Univers"/>
          <w:sz w:val="20"/>
          <w:szCs w:val="20"/>
          <w:lang w:val="es-CO" w:eastAsia="es-CR"/>
        </w:rPr>
        <w:t>s</w:t>
      </w:r>
      <w:r w:rsidRPr="0007312C">
        <w:rPr>
          <w:rFonts w:ascii="Verdana" w:hAnsi="Verdana" w:cs="Univers"/>
          <w:sz w:val="20"/>
          <w:szCs w:val="20"/>
          <w:lang w:val="es-CO" w:eastAsia="es-CR"/>
        </w:rPr>
        <w:t xml:space="preserve">entencia de </w:t>
      </w:r>
      <w:r w:rsidRPr="0007312C">
        <w:rPr>
          <w:rFonts w:ascii="Verdana" w:hAnsi="Verdana" w:cs="Arial"/>
          <w:sz w:val="20"/>
          <w:szCs w:val="20"/>
          <w:lang w:eastAsia="es-CR"/>
        </w:rPr>
        <w:t>9 de febrero de 2012</w:t>
      </w:r>
      <w:r w:rsidRPr="0007312C">
        <w:rPr>
          <w:rFonts w:ascii="Verdana" w:hAnsi="Verdana" w:cs="Univers"/>
          <w:sz w:val="20"/>
          <w:szCs w:val="20"/>
          <w:lang w:val="es-CO" w:eastAsia="es-CR"/>
        </w:rPr>
        <w:t xml:space="preserve"> </w:t>
      </w:r>
      <w:r w:rsidRPr="0007312C">
        <w:rPr>
          <w:rFonts w:ascii="Verdana" w:hAnsi="Verdana"/>
          <w:sz w:val="20"/>
          <w:szCs w:val="20"/>
          <w:lang w:eastAsia="es-CR"/>
        </w:rPr>
        <w:t>realizó una puntual exposición de los hechos probados judicialmente y</w:t>
      </w:r>
      <w:r w:rsidRPr="0007312C">
        <w:rPr>
          <w:rFonts w:ascii="Verdana" w:hAnsi="Verdana" w:cs="Arial"/>
          <w:sz w:val="20"/>
          <w:szCs w:val="20"/>
          <w:lang w:eastAsia="es-CR"/>
        </w:rPr>
        <w:t xml:space="preserve"> concluyó que </w:t>
      </w:r>
      <w:r w:rsidRPr="0007312C">
        <w:rPr>
          <w:rFonts w:ascii="Verdana" w:hAnsi="Verdana"/>
          <w:bCs/>
          <w:sz w:val="20"/>
          <w:szCs w:val="20"/>
          <w:lang w:val="es-AR" w:eastAsia="es-CR"/>
        </w:rPr>
        <w:t xml:space="preserve">las 15 víctimas “fueron asesinadas” en el interior de la </w:t>
      </w:r>
      <w:r w:rsidRPr="0007312C">
        <w:rPr>
          <w:rFonts w:ascii="Verdana" w:hAnsi="Verdana"/>
          <w:sz w:val="20"/>
          <w:szCs w:val="20"/>
          <w:lang w:eastAsia="es-CR"/>
        </w:rPr>
        <w:t>mina “Misteriosa” o “Vallarón”, que “casi de inmediato se hizo detonar la mina donde habían sido ultimados los agraviados, de una carga a dos cargas de dinamita con el propósito de eliminar las evidencias”, que “la explosión de dinamita, destruyó gran parte de los cuerpos de las víctimas”, y que “en la diligencia de inspección judicial</w:t>
      </w:r>
      <w:r>
        <w:rPr>
          <w:rFonts w:ascii="Verdana" w:hAnsi="Verdana"/>
          <w:sz w:val="20"/>
          <w:szCs w:val="20"/>
          <w:lang w:eastAsia="es-CR"/>
        </w:rPr>
        <w:t xml:space="preserve"> </w:t>
      </w:r>
      <w:r w:rsidRPr="00D27BF2">
        <w:rPr>
          <w:rFonts w:ascii="Verdana" w:hAnsi="Verdana"/>
          <w:sz w:val="20"/>
          <w:szCs w:val="20"/>
          <w:lang w:val="es-PR"/>
        </w:rPr>
        <w:t>[…]</w:t>
      </w:r>
      <w:r>
        <w:rPr>
          <w:rFonts w:ascii="Verdana" w:hAnsi="Verdana"/>
          <w:sz w:val="20"/>
          <w:szCs w:val="20"/>
          <w:lang w:val="es-PR"/>
        </w:rPr>
        <w:t xml:space="preserve"> solo se encontraron</w:t>
      </w:r>
      <w:r w:rsidRPr="0007312C">
        <w:rPr>
          <w:rFonts w:ascii="Verdana" w:hAnsi="Verdana"/>
          <w:sz w:val="20"/>
          <w:szCs w:val="20"/>
          <w:lang w:eastAsia="es-CR"/>
        </w:rPr>
        <w:t xml:space="preserve"> restos humanos”</w:t>
      </w:r>
      <w:r w:rsidRPr="00794E82">
        <w:rPr>
          <w:rFonts w:ascii="Verdana" w:hAnsi="Verdana"/>
          <w:sz w:val="20"/>
          <w:szCs w:val="20"/>
          <w:vertAlign w:val="superscript"/>
          <w:lang w:eastAsia="es-CR"/>
        </w:rPr>
        <w:footnoteReference w:id="175"/>
      </w:r>
      <w:r w:rsidRPr="0007312C">
        <w:rPr>
          <w:rFonts w:ascii="Verdana" w:hAnsi="Verdana"/>
          <w:sz w:val="20"/>
          <w:szCs w:val="20"/>
          <w:lang w:eastAsia="es-CR"/>
        </w:rPr>
        <w:t xml:space="preserve">. </w:t>
      </w:r>
      <w:r>
        <w:rPr>
          <w:rFonts w:ascii="Verdana" w:hAnsi="Verdana"/>
          <w:sz w:val="20"/>
          <w:szCs w:val="20"/>
          <w:lang w:eastAsia="es-CR"/>
        </w:rPr>
        <w:t>L</w:t>
      </w:r>
      <w:r w:rsidRPr="0007312C">
        <w:rPr>
          <w:rFonts w:ascii="Verdana" w:hAnsi="Verdana"/>
          <w:sz w:val="20"/>
          <w:szCs w:val="20"/>
          <w:lang w:eastAsia="es-CR"/>
        </w:rPr>
        <w:t>a Corte valora los esfuerzos del Estado</w:t>
      </w:r>
      <w:r>
        <w:rPr>
          <w:rFonts w:ascii="Verdana" w:hAnsi="Verdana"/>
          <w:sz w:val="20"/>
          <w:szCs w:val="20"/>
          <w:lang w:eastAsia="es-CR"/>
        </w:rPr>
        <w:t xml:space="preserve"> al emitir dichas sentencias internas</w:t>
      </w:r>
      <w:r w:rsidRPr="0007312C">
        <w:rPr>
          <w:rFonts w:ascii="Verdana" w:hAnsi="Verdana"/>
          <w:sz w:val="20"/>
          <w:szCs w:val="20"/>
          <w:lang w:eastAsia="es-CR"/>
        </w:rPr>
        <w:t xml:space="preserve"> </w:t>
      </w:r>
      <w:r>
        <w:rPr>
          <w:rFonts w:ascii="Verdana" w:hAnsi="Verdana"/>
          <w:sz w:val="20"/>
          <w:szCs w:val="20"/>
          <w:lang w:eastAsia="es-CR"/>
        </w:rPr>
        <w:t>y considera que son referentes importantes en el actuar estatal</w:t>
      </w:r>
      <w:r w:rsidRPr="0007312C">
        <w:rPr>
          <w:rFonts w:ascii="Verdana" w:hAnsi="Verdana"/>
          <w:sz w:val="20"/>
          <w:szCs w:val="20"/>
          <w:lang w:eastAsia="es-CR"/>
        </w:rPr>
        <w:t xml:space="preserve">. </w:t>
      </w:r>
    </w:p>
    <w:p w:rsidR="00106A1E" w:rsidRPr="00794E82" w:rsidRDefault="00106A1E" w:rsidP="00106A1E">
      <w:pPr>
        <w:pStyle w:val="ListParagraph"/>
        <w:autoSpaceDE w:val="0"/>
        <w:autoSpaceDN w:val="0"/>
        <w:adjustRightInd w:val="0"/>
        <w:spacing w:after="0" w:line="240" w:lineRule="auto"/>
        <w:ind w:left="0"/>
        <w:jc w:val="both"/>
        <w:rPr>
          <w:rFonts w:ascii="Verdana" w:hAnsi="Verdana"/>
          <w:sz w:val="20"/>
          <w:szCs w:val="20"/>
          <w:lang w:val="es-PR"/>
        </w:rPr>
      </w:pPr>
    </w:p>
    <w:p w:rsidR="00106A1E" w:rsidRPr="006A6A6E"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PR"/>
        </w:rPr>
      </w:pPr>
      <w:r w:rsidRPr="00794E82">
        <w:rPr>
          <w:rFonts w:ascii="Verdana" w:hAnsi="Verdana"/>
          <w:sz w:val="20"/>
          <w:szCs w:val="20"/>
          <w:lang w:eastAsia="es-CR"/>
        </w:rPr>
        <w:t>En cambio, se mantiene la controversia</w:t>
      </w:r>
      <w:r w:rsidRPr="00794E82">
        <w:rPr>
          <w:rFonts w:ascii="Verdana" w:hAnsi="Verdana" w:cs="Arial"/>
          <w:sz w:val="20"/>
          <w:szCs w:val="20"/>
        </w:rPr>
        <w:t xml:space="preserve"> </w:t>
      </w:r>
      <w:r w:rsidRPr="00794E82">
        <w:rPr>
          <w:rFonts w:ascii="Verdana" w:hAnsi="Verdana"/>
          <w:sz w:val="20"/>
          <w:szCs w:val="20"/>
          <w:lang w:eastAsia="es-CR"/>
        </w:rPr>
        <w:t xml:space="preserve">entre las partes sobre </w:t>
      </w:r>
      <w:r w:rsidRPr="00794E82">
        <w:rPr>
          <w:rFonts w:ascii="Verdana" w:hAnsi="Verdana"/>
          <w:spacing w:val="-2"/>
          <w:sz w:val="20"/>
          <w:szCs w:val="20"/>
          <w:lang w:val="es-GT"/>
        </w:rPr>
        <w:t xml:space="preserve">los hechos acontecidos con posterioridad al día 4 de julio de 1991, así como </w:t>
      </w:r>
      <w:r w:rsidRPr="00794E82">
        <w:rPr>
          <w:rFonts w:ascii="Verdana" w:hAnsi="Verdana"/>
          <w:sz w:val="20"/>
          <w:szCs w:val="20"/>
          <w:lang w:eastAsia="es-CR"/>
        </w:rPr>
        <w:t>respecto a</w:t>
      </w:r>
      <w:r w:rsidRPr="00794E82">
        <w:rPr>
          <w:rFonts w:ascii="Verdana" w:hAnsi="Verdana"/>
          <w:spacing w:val="-2"/>
          <w:sz w:val="20"/>
          <w:szCs w:val="20"/>
          <w:lang w:val="es-GT"/>
        </w:rPr>
        <w:t xml:space="preserve"> </w:t>
      </w:r>
      <w:r w:rsidRPr="00794E82">
        <w:rPr>
          <w:rFonts w:ascii="Verdana" w:hAnsi="Verdana"/>
          <w:sz w:val="20"/>
          <w:szCs w:val="20"/>
          <w:lang w:eastAsia="es-CR"/>
        </w:rPr>
        <w:t xml:space="preserve">si se ha configurado la presunta desaparición forzada de las 15 víctimas y si </w:t>
      </w:r>
      <w:r w:rsidR="00335E16">
        <w:rPr>
          <w:rFonts w:ascii="Verdana" w:hAnsi="Verdana"/>
          <w:sz w:val="20"/>
          <w:szCs w:val="20"/>
          <w:lang w:eastAsia="es-CR"/>
        </w:rPr>
        <w:t>e</w:t>
      </w:r>
      <w:r w:rsidRPr="00794E82">
        <w:rPr>
          <w:rFonts w:ascii="Verdana" w:hAnsi="Verdana"/>
          <w:sz w:val="20"/>
          <w:szCs w:val="20"/>
          <w:lang w:eastAsia="es-CR"/>
        </w:rPr>
        <w:t xml:space="preserve">sta es atribuible al Estado. </w:t>
      </w:r>
      <w:r w:rsidRPr="00794E82">
        <w:rPr>
          <w:rFonts w:ascii="Verdana" w:hAnsi="Verdana" w:cs="Arial"/>
          <w:sz w:val="20"/>
          <w:szCs w:val="20"/>
          <w:lang w:eastAsia="es-CR"/>
        </w:rPr>
        <w:t>Al respecto,</w:t>
      </w:r>
      <w:r w:rsidRPr="00794E82">
        <w:rPr>
          <w:rFonts w:ascii="Verdana" w:hAnsi="Verdana"/>
          <w:sz w:val="20"/>
          <w:szCs w:val="20"/>
          <w:lang w:eastAsia="es-CR"/>
        </w:rPr>
        <w:t xml:space="preserve"> la defensa del Estado se basó principalmente en que existen elementos </w:t>
      </w:r>
      <w:r w:rsidRPr="00794E82">
        <w:rPr>
          <w:rFonts w:ascii="Verdana" w:hAnsi="Verdana" w:cs="Helvetica"/>
          <w:sz w:val="20"/>
          <w:szCs w:val="20"/>
          <w:lang w:eastAsia="es-CR" w:bidi="en-US"/>
        </w:rPr>
        <w:t>claros</w:t>
      </w:r>
      <w:r w:rsidRPr="00794E82">
        <w:rPr>
          <w:rFonts w:ascii="Verdana" w:hAnsi="Verdana"/>
          <w:sz w:val="20"/>
          <w:szCs w:val="20"/>
          <w:lang w:eastAsia="es-CR"/>
        </w:rPr>
        <w:t xml:space="preserve"> para determinar que lo ocurrido a las víctimas fue una ejecución extrajudicial y </w:t>
      </w:r>
      <w:r w:rsidRPr="00794E82">
        <w:rPr>
          <w:rFonts w:ascii="Verdana" w:eastAsia="Calibri" w:hAnsi="Verdana"/>
          <w:sz w:val="20"/>
          <w:szCs w:val="20"/>
        </w:rPr>
        <w:t xml:space="preserve">solicitó </w:t>
      </w:r>
      <w:r w:rsidR="002F1966">
        <w:rPr>
          <w:rFonts w:ascii="Verdana" w:eastAsia="Calibri" w:hAnsi="Verdana"/>
          <w:sz w:val="20"/>
          <w:szCs w:val="20"/>
        </w:rPr>
        <w:t xml:space="preserve">que </w:t>
      </w:r>
      <w:r w:rsidRPr="00794E82">
        <w:rPr>
          <w:rFonts w:ascii="Verdana" w:eastAsia="Calibri" w:hAnsi="Verdana"/>
          <w:sz w:val="20"/>
          <w:szCs w:val="20"/>
        </w:rPr>
        <w:t>se aplique el principio de subsidiariedad y complementariedad en el presente caso, ya que</w:t>
      </w:r>
      <w:r>
        <w:rPr>
          <w:rFonts w:ascii="Verdana" w:eastAsia="Calibri" w:hAnsi="Verdana"/>
          <w:sz w:val="20"/>
          <w:szCs w:val="20"/>
        </w:rPr>
        <w:t xml:space="preserve"> se tiene</w:t>
      </w:r>
      <w:r w:rsidRPr="006C756C">
        <w:rPr>
          <w:rFonts w:ascii="Verdana" w:eastAsia="Calibri" w:hAnsi="Verdana"/>
          <w:sz w:val="20"/>
          <w:szCs w:val="20"/>
          <w:lang w:val="es-GT"/>
        </w:rPr>
        <w:t xml:space="preserve"> una decisión judicial </w:t>
      </w:r>
      <w:r>
        <w:rPr>
          <w:rFonts w:ascii="Verdana" w:eastAsia="Calibri" w:hAnsi="Verdana"/>
          <w:sz w:val="20"/>
          <w:szCs w:val="20"/>
          <w:lang w:val="es-GT"/>
        </w:rPr>
        <w:t xml:space="preserve">interna </w:t>
      </w:r>
      <w:r w:rsidRPr="006C756C">
        <w:rPr>
          <w:rFonts w:ascii="Verdana" w:eastAsia="Calibri" w:hAnsi="Verdana"/>
          <w:sz w:val="20"/>
          <w:szCs w:val="20"/>
          <w:lang w:val="es-GT"/>
        </w:rPr>
        <w:t>definitiva con carácter de cosa juzgada y de obligatorio cumplimiento</w:t>
      </w:r>
      <w:r>
        <w:rPr>
          <w:rFonts w:ascii="Verdana" w:hAnsi="Verdana"/>
          <w:sz w:val="20"/>
          <w:szCs w:val="20"/>
        </w:rPr>
        <w:t>.</w:t>
      </w:r>
    </w:p>
    <w:p w:rsidR="00106A1E" w:rsidRPr="00794E82" w:rsidRDefault="00106A1E" w:rsidP="00106A1E">
      <w:pPr>
        <w:pStyle w:val="ListParagraph"/>
        <w:autoSpaceDE w:val="0"/>
        <w:autoSpaceDN w:val="0"/>
        <w:adjustRightInd w:val="0"/>
        <w:spacing w:after="0" w:line="240" w:lineRule="auto"/>
        <w:ind w:left="0"/>
        <w:jc w:val="both"/>
        <w:rPr>
          <w:rFonts w:ascii="Verdana" w:hAnsi="Verdana"/>
          <w:sz w:val="20"/>
          <w:szCs w:val="20"/>
          <w:lang w:val="es-PR"/>
        </w:rPr>
      </w:pPr>
    </w:p>
    <w:p w:rsidR="00106A1E" w:rsidRPr="00794E82"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Times"/>
          <w:noProof/>
          <w:sz w:val="20"/>
          <w:szCs w:val="20"/>
          <w:lang w:val="es-ES_tradnl"/>
        </w:rPr>
      </w:pPr>
      <w:r w:rsidRPr="00794E82">
        <w:rPr>
          <w:rFonts w:ascii="Verdana" w:eastAsia="Calibri" w:hAnsi="Verdana" w:cs="Arial"/>
          <w:sz w:val="20"/>
          <w:szCs w:val="20"/>
          <w:lang w:val="es-GT"/>
        </w:rPr>
        <w:t xml:space="preserve">La Corte recuerda que </w:t>
      </w:r>
      <w:r w:rsidRPr="00794E82">
        <w:rPr>
          <w:rFonts w:ascii="Verdana" w:eastAsia="Calibri" w:hAnsi="Verdana"/>
          <w:sz w:val="20"/>
          <w:szCs w:val="20"/>
        </w:rPr>
        <w:t xml:space="preserve">el principio de subsidiariedad y complementariedad </w:t>
      </w:r>
      <w:r w:rsidRPr="00794E82">
        <w:rPr>
          <w:rFonts w:ascii="Verdana" w:hAnsi="Verdana" w:cs="Times"/>
          <w:noProof/>
          <w:sz w:val="20"/>
          <w:szCs w:val="20"/>
          <w:lang w:val="es-ES_tradnl"/>
        </w:rPr>
        <w:t xml:space="preserve">informa transversalmente el Sistema Interamericano de Derechos Humanos, el </w:t>
      </w:r>
      <w:r w:rsidRPr="00794E82">
        <w:rPr>
          <w:rFonts w:ascii="Verdana" w:hAnsi="Verdana"/>
          <w:sz w:val="20"/>
          <w:szCs w:val="20"/>
          <w:lang w:val="es-ES_tradnl" w:eastAsia="es-ES"/>
        </w:rPr>
        <w:t>cual</w:t>
      </w:r>
      <w:r w:rsidRPr="00794E82">
        <w:rPr>
          <w:rFonts w:ascii="Verdana" w:hAnsi="Verdana" w:cs="Times"/>
          <w:noProof/>
          <w:sz w:val="20"/>
          <w:szCs w:val="20"/>
          <w:lang w:val="es-ES_tradnl"/>
        </w:rPr>
        <w:t xml:space="preserve"> es, tal como lo expresa el Preámbulo de la misma Convención Americana, “coadyuvante o complementario de la [protección] que ofrece el derecho interno de los Estados americanos”. El Estado “es el principal garante de los derechos humanos de las personas, de manera que, si se produce un acto violatorio de dichos derechos, es el propio Estado quien tiene el deber de resolver el asunto a nivel interno y, [en su caso,] reparar, </w:t>
      </w:r>
      <w:r w:rsidRPr="00794E82">
        <w:rPr>
          <w:rFonts w:ascii="Verdana" w:hAnsi="Verdana"/>
          <w:sz w:val="20"/>
          <w:szCs w:val="20"/>
        </w:rPr>
        <w:t>antes</w:t>
      </w:r>
      <w:r w:rsidRPr="00794E82">
        <w:rPr>
          <w:rFonts w:ascii="Verdana" w:hAnsi="Verdana" w:cs="Times"/>
          <w:noProof/>
          <w:sz w:val="20"/>
          <w:szCs w:val="20"/>
          <w:lang w:val="es-ES_tradnl"/>
        </w:rPr>
        <w:t xml:space="preserve"> de tener que responder ante instancias internacionales como el Sistema Interamericano de </w:t>
      </w:r>
      <w:r w:rsidRPr="00794E82">
        <w:rPr>
          <w:rFonts w:ascii="Verdana" w:hAnsi="Verdana" w:cs="Times"/>
          <w:noProof/>
          <w:sz w:val="20"/>
          <w:szCs w:val="20"/>
          <w:lang w:val="es-ES_tradnl"/>
        </w:rPr>
        <w:lastRenderedPageBreak/>
        <w:t>Protección de los Derechos Humanos, lo cual deriva del carácter subsidiario que reviste el proceso internacional frente a los sistemas nacionales de garantías de los derechos humanos”</w:t>
      </w:r>
      <w:r w:rsidRPr="00794E82">
        <w:rPr>
          <w:rFonts w:ascii="Verdana" w:hAnsi="Verdana"/>
          <w:noProof/>
          <w:sz w:val="20"/>
          <w:szCs w:val="20"/>
          <w:vertAlign w:val="superscript"/>
          <w:lang w:val="es-ES_tradnl"/>
        </w:rPr>
        <w:footnoteReference w:id="176"/>
      </w:r>
      <w:r w:rsidRPr="00794E82">
        <w:rPr>
          <w:rFonts w:ascii="Verdana" w:hAnsi="Verdana" w:cs="Times"/>
          <w:noProof/>
          <w:sz w:val="20"/>
          <w:szCs w:val="20"/>
          <w:lang w:val="es-ES_tradnl"/>
        </w:rPr>
        <w:t xml:space="preserve">. El referido </w:t>
      </w:r>
      <w:r w:rsidRPr="00794E82">
        <w:rPr>
          <w:rFonts w:ascii="Verdana" w:hAnsi="Verdana" w:cs="Times"/>
          <w:noProof/>
          <w:sz w:val="20"/>
          <w:szCs w:val="20"/>
          <w:lang w:val="es-CL"/>
        </w:rPr>
        <w:t xml:space="preserve">carácter subsidiario </w:t>
      </w:r>
      <w:r w:rsidRPr="00794E82">
        <w:rPr>
          <w:rFonts w:ascii="Verdana" w:hAnsi="Verdana" w:cs="Times"/>
          <w:noProof/>
          <w:sz w:val="20"/>
          <w:szCs w:val="20"/>
          <w:lang w:val="es-ES_tradnl"/>
        </w:rPr>
        <w:t>de</w:t>
      </w:r>
      <w:r w:rsidRPr="00794E82">
        <w:rPr>
          <w:rFonts w:ascii="Verdana" w:hAnsi="Verdana" w:cs="Times"/>
          <w:noProof/>
          <w:sz w:val="20"/>
          <w:szCs w:val="20"/>
          <w:lang w:val="es-CL"/>
        </w:rPr>
        <w:t xml:space="preserve"> la jurisdicción </w:t>
      </w:r>
      <w:r w:rsidRPr="00794E82">
        <w:rPr>
          <w:rFonts w:ascii="Verdana" w:hAnsi="Verdana" w:cs="Times"/>
          <w:noProof/>
          <w:sz w:val="20"/>
          <w:szCs w:val="20"/>
          <w:lang w:val="es-ES_tradnl"/>
        </w:rPr>
        <w:t>internacional</w:t>
      </w:r>
      <w:r w:rsidRPr="00794E82">
        <w:rPr>
          <w:rFonts w:ascii="Verdana" w:hAnsi="Verdana" w:cs="Times"/>
          <w:noProof/>
          <w:sz w:val="20"/>
          <w:szCs w:val="20"/>
          <w:lang w:val="es-CL"/>
        </w:rPr>
        <w:t xml:space="preserve"> </w:t>
      </w:r>
      <w:r w:rsidRPr="00794E82">
        <w:rPr>
          <w:rFonts w:ascii="Verdana" w:hAnsi="Verdana" w:cs="Times"/>
          <w:noProof/>
          <w:sz w:val="20"/>
          <w:szCs w:val="20"/>
          <w:lang w:val="es-ES_tradnl"/>
        </w:rPr>
        <w:t>significa que el sistema de protección instaurado por la Convención Americana sobre Derechos Humanos no sustituye a las jurisdicci</w:t>
      </w:r>
      <w:r w:rsidRPr="00794E82">
        <w:rPr>
          <w:rFonts w:ascii="Verdana" w:eastAsia="Calibri" w:hAnsi="Verdana" w:cs="Times"/>
          <w:noProof/>
          <w:sz w:val="20"/>
          <w:szCs w:val="20"/>
          <w:lang w:val="es-ES"/>
        </w:rPr>
        <w:t>ones nacionales, sino q</w:t>
      </w:r>
      <w:r w:rsidRPr="00794E82">
        <w:rPr>
          <w:rFonts w:ascii="Verdana" w:hAnsi="Verdana" w:cs="Times"/>
          <w:noProof/>
          <w:sz w:val="20"/>
          <w:szCs w:val="20"/>
          <w:lang w:val="es-ES_tradnl"/>
        </w:rPr>
        <w:t>ue las complementa.</w:t>
      </w:r>
    </w:p>
    <w:p w:rsidR="00106A1E" w:rsidRPr="00794E82" w:rsidRDefault="00106A1E" w:rsidP="00106A1E">
      <w:pPr>
        <w:autoSpaceDE w:val="0"/>
        <w:autoSpaceDN w:val="0"/>
        <w:adjustRightInd w:val="0"/>
        <w:spacing w:after="0" w:line="240" w:lineRule="auto"/>
        <w:ind w:right="15"/>
        <w:contextualSpacing/>
        <w:jc w:val="both"/>
        <w:rPr>
          <w:rFonts w:ascii="Verdana" w:eastAsia="Calibri" w:hAnsi="Verdana" w:cs="Arial"/>
          <w:sz w:val="20"/>
          <w:szCs w:val="20"/>
          <w:lang w:val="es-GT"/>
        </w:rPr>
      </w:pPr>
    </w:p>
    <w:p w:rsidR="00106A1E" w:rsidRPr="00836293" w:rsidRDefault="00106A1E"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z w:val="20"/>
          <w:szCs w:val="20"/>
          <w:lang w:val="es-PR"/>
        </w:rPr>
      </w:pPr>
      <w:r w:rsidRPr="00794E82">
        <w:rPr>
          <w:rFonts w:ascii="Verdana" w:eastAsia="Calibri" w:hAnsi="Verdana" w:cs="Arial"/>
          <w:sz w:val="20"/>
          <w:szCs w:val="20"/>
          <w:lang w:val="es-GT"/>
        </w:rPr>
        <w:t>Al respecto, la Corte aplicó el principio de subsidiariedad o complementariedad en el</w:t>
      </w:r>
      <w:r w:rsidRPr="00794E82">
        <w:rPr>
          <w:rFonts w:ascii="Verdana" w:eastAsia="Calibri" w:hAnsi="Verdana" w:cs="Arial"/>
          <w:i/>
          <w:sz w:val="20"/>
          <w:szCs w:val="20"/>
          <w:lang w:val="es-GT"/>
        </w:rPr>
        <w:t xml:space="preserve"> </w:t>
      </w:r>
      <w:r w:rsidRPr="00794E82">
        <w:rPr>
          <w:rFonts w:ascii="Verdana" w:eastAsia="Calibri" w:hAnsi="Verdana" w:cs="Arial"/>
          <w:sz w:val="20"/>
          <w:szCs w:val="20"/>
          <w:lang w:val="es-GT"/>
        </w:rPr>
        <w:t xml:space="preserve">caso </w:t>
      </w:r>
      <w:r w:rsidRPr="00794E82">
        <w:rPr>
          <w:rFonts w:ascii="Verdana" w:eastAsia="Calibri" w:hAnsi="Verdana" w:cs="Arial"/>
          <w:i/>
          <w:sz w:val="20"/>
          <w:szCs w:val="20"/>
          <w:lang w:val="es-GT"/>
        </w:rPr>
        <w:t>Tarazona</w:t>
      </w:r>
      <w:r>
        <w:rPr>
          <w:rFonts w:ascii="Verdana" w:eastAsia="Calibri" w:hAnsi="Verdana" w:cs="Arial"/>
          <w:i/>
          <w:sz w:val="20"/>
          <w:szCs w:val="20"/>
          <w:lang w:val="es-GT"/>
        </w:rPr>
        <w:t xml:space="preserve"> Arrieta y Otros</w:t>
      </w:r>
      <w:r w:rsidRPr="00794E82">
        <w:rPr>
          <w:rFonts w:ascii="Verdana" w:eastAsia="Calibri" w:hAnsi="Verdana" w:cs="Arial"/>
          <w:sz w:val="20"/>
          <w:szCs w:val="20"/>
          <w:lang w:val="es-GT"/>
        </w:rPr>
        <w:t xml:space="preserve"> después de haber realizado un análisis de fondo de las investigaciones llevadas a cabo en el caso y de haber concluido que </w:t>
      </w:r>
      <w:r w:rsidR="00335E16">
        <w:rPr>
          <w:rFonts w:ascii="Verdana" w:eastAsia="Calibri" w:hAnsi="Verdana" w:cs="Arial"/>
          <w:sz w:val="20"/>
          <w:szCs w:val="20"/>
          <w:lang w:val="es-GT"/>
        </w:rPr>
        <w:t>e</w:t>
      </w:r>
      <w:r w:rsidRPr="00794E82">
        <w:rPr>
          <w:rFonts w:ascii="Verdana" w:eastAsia="Calibri" w:hAnsi="Verdana" w:cs="Arial"/>
          <w:sz w:val="20"/>
          <w:szCs w:val="20"/>
          <w:lang w:val="es-GT"/>
        </w:rPr>
        <w:t>stas fueron efectivas</w:t>
      </w:r>
      <w:r w:rsidRPr="00794E82">
        <w:rPr>
          <w:rFonts w:ascii="Verdana" w:eastAsia="Calibri" w:hAnsi="Verdana" w:cs="Arial"/>
          <w:sz w:val="20"/>
          <w:szCs w:val="20"/>
          <w:vertAlign w:val="superscript"/>
          <w:lang w:val="en-US"/>
        </w:rPr>
        <w:footnoteReference w:id="177"/>
      </w:r>
      <w:r w:rsidRPr="00794E82">
        <w:rPr>
          <w:rFonts w:ascii="Verdana" w:eastAsia="Calibri" w:hAnsi="Verdana" w:cs="Arial"/>
          <w:sz w:val="20"/>
          <w:szCs w:val="20"/>
          <w:lang w:val="es-GT"/>
        </w:rPr>
        <w:t>.</w:t>
      </w:r>
      <w:r w:rsidRPr="00794E82">
        <w:rPr>
          <w:rFonts w:ascii="Verdana" w:eastAsia="Calibri" w:hAnsi="Verdana"/>
          <w:sz w:val="20"/>
          <w:szCs w:val="20"/>
          <w:lang w:val="es-GT"/>
        </w:rPr>
        <w:t xml:space="preserve"> Igualmente, en el </w:t>
      </w:r>
      <w:r w:rsidRPr="00E64C5C">
        <w:rPr>
          <w:rFonts w:ascii="Verdana" w:eastAsia="Calibri" w:hAnsi="Verdana"/>
          <w:i/>
          <w:sz w:val="20"/>
          <w:szCs w:val="20"/>
          <w:lang w:val="es-GT"/>
        </w:rPr>
        <w:t>Caso</w:t>
      </w:r>
      <w:r w:rsidRPr="00794E82">
        <w:rPr>
          <w:rFonts w:ascii="Verdana" w:eastAsia="Calibri" w:hAnsi="Verdana"/>
          <w:i/>
          <w:sz w:val="20"/>
          <w:szCs w:val="20"/>
          <w:lang w:val="es-GT"/>
        </w:rPr>
        <w:t xml:space="preserve"> J.</w:t>
      </w:r>
      <w:r>
        <w:rPr>
          <w:rFonts w:ascii="Verdana" w:eastAsia="Calibri" w:hAnsi="Verdana"/>
          <w:i/>
          <w:sz w:val="20"/>
          <w:szCs w:val="20"/>
          <w:lang w:val="es-GT"/>
        </w:rPr>
        <w:t xml:space="preserve"> </w:t>
      </w:r>
      <w:r w:rsidRPr="00794E82">
        <w:rPr>
          <w:rFonts w:ascii="Verdana" w:eastAsia="Calibri" w:hAnsi="Verdana"/>
          <w:sz w:val="20"/>
          <w:szCs w:val="20"/>
          <w:lang w:val="es-GT"/>
        </w:rPr>
        <w:t>aplic</w:t>
      </w:r>
      <w:r w:rsidRPr="00794E82">
        <w:rPr>
          <w:rFonts w:ascii="Verdana" w:eastAsia="Calibri" w:hAnsi="Verdana" w:cs="Arial"/>
          <w:sz w:val="20"/>
          <w:szCs w:val="20"/>
          <w:lang w:val="es-GT"/>
        </w:rPr>
        <w:t>ó</w:t>
      </w:r>
      <w:r w:rsidRPr="00794E82">
        <w:rPr>
          <w:rFonts w:ascii="Verdana" w:eastAsia="Calibri" w:hAnsi="Verdana"/>
          <w:sz w:val="20"/>
          <w:szCs w:val="20"/>
          <w:lang w:val="es-GT"/>
        </w:rPr>
        <w:t xml:space="preserve"> </w:t>
      </w:r>
      <w:r w:rsidRPr="00794E82">
        <w:rPr>
          <w:rFonts w:ascii="Verdana" w:eastAsia="Calibri" w:hAnsi="Verdana" w:cs="Arial"/>
          <w:sz w:val="20"/>
          <w:szCs w:val="20"/>
          <w:lang w:val="es-GT"/>
        </w:rPr>
        <w:t xml:space="preserve">dicho principio al señalar que correspondía al Estado, </w:t>
      </w:r>
      <w:r w:rsidRPr="00794E82">
        <w:rPr>
          <w:rFonts w:ascii="Verdana" w:eastAsia="Calibri" w:hAnsi="Verdana"/>
          <w:sz w:val="20"/>
          <w:szCs w:val="20"/>
          <w:lang w:val="es-ES_tradnl"/>
        </w:rPr>
        <w:t>en el marco de su obligación de investigar</w:t>
      </w:r>
      <w:r w:rsidRPr="00794E82">
        <w:rPr>
          <w:rFonts w:ascii="Verdana" w:eastAsia="Calibri" w:hAnsi="Verdana"/>
          <w:sz w:val="20"/>
          <w:szCs w:val="20"/>
          <w:vertAlign w:val="superscript"/>
          <w:lang w:val="es-ES_tradnl"/>
        </w:rPr>
        <w:footnoteReference w:id="178"/>
      </w:r>
      <w:r w:rsidRPr="00794E82">
        <w:rPr>
          <w:rFonts w:ascii="Verdana" w:eastAsia="Calibri" w:hAnsi="Verdana"/>
          <w:sz w:val="20"/>
          <w:szCs w:val="20"/>
          <w:lang w:val="es-ES_tradnl"/>
        </w:rPr>
        <w:t xml:space="preserve">, determinar la calificación jurídica específica que correspondía a los maltratos sufridos por la señora J, pero lo hizo porque </w:t>
      </w:r>
      <w:r w:rsidRPr="00794E82">
        <w:rPr>
          <w:rFonts w:ascii="Verdana" w:eastAsia="Calibri" w:hAnsi="Verdana"/>
          <w:bCs/>
          <w:sz w:val="20"/>
          <w:szCs w:val="20"/>
          <w:lang w:val="es-GT"/>
        </w:rPr>
        <w:t xml:space="preserve">ya había realizado un análisis de fondo de los hechos en el cual determinó que </w:t>
      </w:r>
      <w:r>
        <w:rPr>
          <w:rFonts w:ascii="Verdana" w:eastAsia="Calibri" w:hAnsi="Verdana"/>
          <w:bCs/>
          <w:sz w:val="20"/>
          <w:szCs w:val="20"/>
          <w:lang w:val="es-GT"/>
        </w:rPr>
        <w:t>e</w:t>
      </w:r>
      <w:r w:rsidRPr="00794E82">
        <w:rPr>
          <w:rFonts w:ascii="Verdana" w:eastAsia="Calibri" w:hAnsi="Verdana"/>
          <w:bCs/>
          <w:sz w:val="20"/>
          <w:szCs w:val="20"/>
          <w:lang w:val="es-GT"/>
        </w:rPr>
        <w:t>stos configuraban una violación del artículo 5.2 de la Convención y que el Perú no había realizado investigación alguna al respecto</w:t>
      </w:r>
      <w:r w:rsidRPr="00794E82">
        <w:rPr>
          <w:rFonts w:ascii="Verdana" w:eastAsia="Calibri" w:hAnsi="Verdana"/>
          <w:bCs/>
          <w:sz w:val="20"/>
          <w:szCs w:val="20"/>
          <w:vertAlign w:val="superscript"/>
          <w:lang w:val="es-GT"/>
        </w:rPr>
        <w:footnoteReference w:id="179"/>
      </w:r>
      <w:r w:rsidRPr="00794E82">
        <w:rPr>
          <w:rFonts w:ascii="Verdana" w:eastAsia="Calibri" w:hAnsi="Verdana"/>
          <w:bCs/>
          <w:sz w:val="20"/>
          <w:szCs w:val="20"/>
          <w:lang w:val="es-GT"/>
        </w:rPr>
        <w:t xml:space="preserve">. En suma, en ambos casos no se trató de un pronunciamiento </w:t>
      </w:r>
      <w:r w:rsidRPr="00794E82">
        <w:rPr>
          <w:rFonts w:ascii="Verdana" w:eastAsia="Calibri" w:hAnsi="Verdana"/>
          <w:sz w:val="20"/>
          <w:szCs w:val="20"/>
          <w:lang w:val="es-PR"/>
        </w:rPr>
        <w:t xml:space="preserve">preliminar sobre la competencia de la Corte para conocer un caso, sino de una conclusión a la que llegó este Tribunal una vez que realizó un análisis sobre el fondo en </w:t>
      </w:r>
      <w:r>
        <w:rPr>
          <w:rFonts w:ascii="Verdana" w:eastAsia="Calibri" w:hAnsi="Verdana"/>
          <w:sz w:val="20"/>
          <w:szCs w:val="20"/>
          <w:lang w:val="es-PR"/>
        </w:rPr>
        <w:t>los referidos</w:t>
      </w:r>
      <w:r w:rsidRPr="00794E82">
        <w:rPr>
          <w:rFonts w:ascii="Verdana" w:eastAsia="Calibri" w:hAnsi="Verdana"/>
          <w:sz w:val="20"/>
          <w:szCs w:val="20"/>
          <w:lang w:val="es-PR"/>
        </w:rPr>
        <w:t xml:space="preserve"> casos. </w:t>
      </w:r>
      <w:r>
        <w:rPr>
          <w:rFonts w:ascii="Verdana" w:eastAsia="Calibri" w:hAnsi="Verdana"/>
          <w:sz w:val="20"/>
          <w:szCs w:val="20"/>
          <w:lang w:val="es-PR"/>
        </w:rPr>
        <w:t xml:space="preserve">En el presente caso, tal como han sido expuestos los </w:t>
      </w:r>
      <w:r w:rsidRPr="00836293">
        <w:rPr>
          <w:rFonts w:ascii="Verdana" w:hAnsi="Verdana"/>
          <w:sz w:val="20"/>
          <w:szCs w:val="20"/>
          <w:lang w:eastAsia="es-CR"/>
        </w:rPr>
        <w:t xml:space="preserve">argumentos </w:t>
      </w:r>
      <w:r>
        <w:rPr>
          <w:rFonts w:ascii="Verdana" w:eastAsia="Calibri" w:hAnsi="Verdana"/>
          <w:sz w:val="20"/>
          <w:szCs w:val="20"/>
          <w:lang w:val="es-PR"/>
        </w:rPr>
        <w:t>de</w:t>
      </w:r>
      <w:r w:rsidRPr="00836293">
        <w:rPr>
          <w:rFonts w:ascii="Verdana" w:eastAsia="Calibri" w:hAnsi="Verdana"/>
          <w:sz w:val="20"/>
          <w:szCs w:val="20"/>
          <w:lang w:val="es-PR"/>
        </w:rPr>
        <w:t xml:space="preserve"> las partes y la Comisión, así como teniendo en cuenta los aspectos que se mantienen controvertidos, la Corte no encuentra elementos para apartarse de </w:t>
      </w:r>
      <w:r>
        <w:rPr>
          <w:rFonts w:ascii="Verdana" w:eastAsia="Calibri" w:hAnsi="Verdana"/>
          <w:sz w:val="20"/>
          <w:szCs w:val="20"/>
          <w:lang w:val="es-PR"/>
        </w:rPr>
        <w:t>los</w:t>
      </w:r>
      <w:r w:rsidRPr="00836293">
        <w:rPr>
          <w:rFonts w:ascii="Verdana" w:eastAsia="Calibri" w:hAnsi="Verdana"/>
          <w:sz w:val="20"/>
          <w:szCs w:val="20"/>
          <w:lang w:val="es-PR"/>
        </w:rPr>
        <w:t xml:space="preserve"> precedentes</w:t>
      </w:r>
      <w:r>
        <w:rPr>
          <w:rFonts w:ascii="Verdana" w:eastAsia="Calibri" w:hAnsi="Verdana"/>
          <w:sz w:val="20"/>
          <w:szCs w:val="20"/>
          <w:lang w:val="es-PR"/>
        </w:rPr>
        <w:t xml:space="preserve"> indicados</w:t>
      </w:r>
      <w:r w:rsidRPr="00836293">
        <w:rPr>
          <w:rFonts w:ascii="Verdana" w:eastAsia="Calibri" w:hAnsi="Verdana"/>
          <w:sz w:val="20"/>
          <w:szCs w:val="20"/>
          <w:lang w:val="es-PR"/>
        </w:rPr>
        <w:t xml:space="preserve">. Por ende, realizará el análisis de fondo de </w:t>
      </w:r>
      <w:r w:rsidRPr="00836293">
        <w:rPr>
          <w:rFonts w:ascii="Verdana" w:eastAsia="Calibri" w:hAnsi="Verdana" w:cs="Arial"/>
          <w:sz w:val="20"/>
          <w:szCs w:val="20"/>
          <w:lang w:val="es-GT"/>
        </w:rPr>
        <w:t>este</w:t>
      </w:r>
      <w:r w:rsidRPr="00836293">
        <w:rPr>
          <w:rFonts w:ascii="Verdana" w:eastAsia="Calibri" w:hAnsi="Verdana" w:cs="Arial"/>
          <w:i/>
          <w:sz w:val="20"/>
          <w:szCs w:val="20"/>
          <w:lang w:val="es-GT"/>
        </w:rPr>
        <w:t xml:space="preserve"> </w:t>
      </w:r>
      <w:r w:rsidRPr="00836293">
        <w:rPr>
          <w:rFonts w:ascii="Verdana" w:eastAsia="Calibri" w:hAnsi="Verdana" w:cs="Arial"/>
          <w:sz w:val="20"/>
          <w:szCs w:val="20"/>
          <w:lang w:val="es-GT"/>
        </w:rPr>
        <w:t>caso</w:t>
      </w:r>
      <w:r w:rsidRPr="00836293">
        <w:rPr>
          <w:rFonts w:ascii="Verdana" w:eastAsia="Calibri" w:hAnsi="Verdana"/>
          <w:sz w:val="20"/>
          <w:szCs w:val="20"/>
          <w:lang w:val="es-PR"/>
        </w:rPr>
        <w:t xml:space="preserve"> y, posteriormente, evaluará si procede aplicar el </w:t>
      </w:r>
      <w:r w:rsidRPr="00836293">
        <w:rPr>
          <w:rFonts w:ascii="Verdana" w:eastAsia="Calibri" w:hAnsi="Verdana" w:cs="Arial"/>
          <w:sz w:val="20"/>
          <w:szCs w:val="20"/>
          <w:lang w:val="es-GT"/>
        </w:rPr>
        <w:t>principio de subsidiariedad o complementariedad al mismo</w:t>
      </w:r>
      <w:r w:rsidRPr="00836293">
        <w:rPr>
          <w:rFonts w:ascii="Verdana" w:eastAsia="Calibri" w:hAnsi="Verdana"/>
          <w:sz w:val="20"/>
          <w:szCs w:val="20"/>
          <w:lang w:val="es-PR"/>
        </w:rPr>
        <w:t>.</w:t>
      </w:r>
    </w:p>
    <w:p w:rsidR="00106A1E" w:rsidRPr="002D686E" w:rsidRDefault="00106A1E" w:rsidP="00106A1E">
      <w:pPr>
        <w:autoSpaceDE w:val="0"/>
        <w:autoSpaceDN w:val="0"/>
        <w:adjustRightInd w:val="0"/>
        <w:spacing w:after="0" w:line="240" w:lineRule="auto"/>
        <w:contextualSpacing/>
        <w:jc w:val="both"/>
        <w:rPr>
          <w:rFonts w:ascii="Verdana" w:eastAsia="Batang" w:hAnsi="Verdana" w:cs="Times"/>
          <w:sz w:val="20"/>
          <w:szCs w:val="20"/>
          <w:lang w:val="es-PR" w:eastAsia="es-CR"/>
        </w:rPr>
      </w:pPr>
    </w:p>
    <w:p w:rsidR="00106A1E" w:rsidRPr="001808A2"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794E82">
        <w:rPr>
          <w:rFonts w:ascii="Verdana" w:hAnsi="Verdana"/>
          <w:spacing w:val="-2"/>
          <w:sz w:val="20"/>
          <w:szCs w:val="20"/>
        </w:rPr>
        <w:t xml:space="preserve">La Corte recuerda que la desaparición forzada de personas es una violación de derechos humanos constituida por tres elementos concurrentes: a) la privación de la libertad; b) la intervención directa de agentes estatales o la aquiescencia de </w:t>
      </w:r>
      <w:r>
        <w:rPr>
          <w:rFonts w:ascii="Verdana" w:hAnsi="Verdana"/>
          <w:spacing w:val="-2"/>
          <w:sz w:val="20"/>
          <w:szCs w:val="20"/>
        </w:rPr>
        <w:t>e</w:t>
      </w:r>
      <w:r w:rsidRPr="00794E82">
        <w:rPr>
          <w:rFonts w:ascii="Verdana" w:hAnsi="Verdana"/>
          <w:spacing w:val="-2"/>
          <w:sz w:val="20"/>
          <w:szCs w:val="20"/>
        </w:rPr>
        <w:t>stos, y c) la negativa de reconocer la detención y de revelar la suerte o el paradero de la persona interesada</w:t>
      </w:r>
      <w:r w:rsidRPr="00794E82">
        <w:rPr>
          <w:rStyle w:val="FootnoteReference"/>
          <w:rFonts w:eastAsiaTheme="minorHAnsi"/>
          <w:spacing w:val="-2"/>
          <w:szCs w:val="20"/>
        </w:rPr>
        <w:footnoteReference w:id="180"/>
      </w:r>
      <w:r w:rsidRPr="00794E82">
        <w:rPr>
          <w:rFonts w:ascii="Verdana" w:hAnsi="Verdana"/>
          <w:spacing w:val="-2"/>
          <w:sz w:val="20"/>
          <w:szCs w:val="20"/>
        </w:rPr>
        <w:t>.</w:t>
      </w:r>
      <w:r w:rsidRPr="00794E82">
        <w:rPr>
          <w:rFonts w:ascii="Verdana" w:hAnsi="Verdana" w:cs="Arial"/>
          <w:sz w:val="20"/>
          <w:szCs w:val="20"/>
        </w:rPr>
        <w:t xml:space="preserve"> Al respecto, </w:t>
      </w:r>
      <w:r w:rsidRPr="00794E82">
        <w:rPr>
          <w:rFonts w:ascii="Verdana" w:hAnsi="Verdana"/>
          <w:spacing w:val="-2"/>
          <w:sz w:val="20"/>
          <w:szCs w:val="20"/>
        </w:rPr>
        <w:t>este Tribunal ha desarrollado en su jurisprudencia el carácter pluriofensivo de la desaparición forzada, así como su naturaleza permanente o continua</w:t>
      </w:r>
      <w:r w:rsidRPr="00794E82">
        <w:rPr>
          <w:rFonts w:ascii="Verdana" w:hAnsi="Verdana"/>
          <w:spacing w:val="-2"/>
          <w:sz w:val="20"/>
          <w:szCs w:val="20"/>
          <w:lang w:eastAsia="es-CR"/>
        </w:rPr>
        <w:t xml:space="preserve">, </w:t>
      </w:r>
      <w:r w:rsidRPr="00794E82">
        <w:rPr>
          <w:rFonts w:ascii="Verdana" w:hAnsi="Verdana" w:cs="Times"/>
          <w:sz w:val="20"/>
          <w:szCs w:val="20"/>
          <w:lang w:eastAsia="es-CR"/>
        </w:rPr>
        <w:t xml:space="preserve">en la cual </w:t>
      </w:r>
      <w:r>
        <w:rPr>
          <w:rFonts w:ascii="Verdana" w:hAnsi="Verdana" w:cs="Times"/>
          <w:sz w:val="20"/>
          <w:szCs w:val="20"/>
          <w:lang w:eastAsia="es-CR"/>
        </w:rPr>
        <w:t>la</w:t>
      </w:r>
      <w:r w:rsidRPr="00794E82">
        <w:rPr>
          <w:rFonts w:ascii="Verdana" w:hAnsi="Verdana" w:cs="Times"/>
          <w:sz w:val="20"/>
          <w:szCs w:val="20"/>
          <w:lang w:eastAsia="es-CR"/>
        </w:rPr>
        <w:t xml:space="preserve"> desaparición y su ejecución se inician con la privación de la libertad de la persona y la subsiguiente falta de información sobre su destino, y permanece mientras no se conozca el paradero de la persona desaparecida o se hallen sus restos de modo que se determine con certeza su identidad</w:t>
      </w:r>
      <w:r w:rsidRPr="00794E82">
        <w:rPr>
          <w:rFonts w:ascii="Verdana" w:hAnsi="Verdana"/>
          <w:spacing w:val="-2"/>
          <w:sz w:val="20"/>
          <w:szCs w:val="20"/>
          <w:vertAlign w:val="superscript"/>
          <w:lang w:eastAsia="es-CR"/>
        </w:rPr>
        <w:footnoteReference w:id="181"/>
      </w:r>
      <w:r w:rsidRPr="00794E82">
        <w:rPr>
          <w:rFonts w:ascii="Verdana" w:hAnsi="Verdana"/>
          <w:sz w:val="20"/>
          <w:szCs w:val="20"/>
          <w:lang w:eastAsia="es-CR"/>
        </w:rPr>
        <w:t>.</w:t>
      </w:r>
      <w:r w:rsidRPr="00794E82">
        <w:rPr>
          <w:rFonts w:ascii="Verdana" w:hAnsi="Verdana"/>
          <w:spacing w:val="-2"/>
          <w:sz w:val="20"/>
          <w:szCs w:val="20"/>
        </w:rPr>
        <w:t xml:space="preserve"> Mientras perdure la desaparición </w:t>
      </w:r>
      <w:r w:rsidRPr="00794E82">
        <w:rPr>
          <w:rFonts w:ascii="Verdana" w:hAnsi="Verdana"/>
          <w:sz w:val="20"/>
          <w:szCs w:val="20"/>
        </w:rPr>
        <w:t xml:space="preserve">los Estados tienen el deber correlativo de </w:t>
      </w:r>
      <w:r w:rsidRPr="001808A2">
        <w:rPr>
          <w:rFonts w:ascii="Verdana" w:hAnsi="Verdana"/>
          <w:sz w:val="20"/>
          <w:szCs w:val="20"/>
        </w:rPr>
        <w:t>investigarla y, eventualmente, sancionar a los responsables, conforme a las obligaciones derivadas de la Convención Americana y, en particular, de la Convención Interamericana sobre Desaparición Forzada de Personas</w:t>
      </w:r>
      <w:r w:rsidRPr="001808A2">
        <w:rPr>
          <w:rStyle w:val="FootnoteReference"/>
          <w:rFonts w:eastAsiaTheme="minorHAnsi"/>
          <w:szCs w:val="20"/>
        </w:rPr>
        <w:footnoteReference w:id="182"/>
      </w:r>
      <w:r w:rsidRPr="001808A2">
        <w:rPr>
          <w:rFonts w:ascii="Verdana" w:hAnsi="Verdana"/>
          <w:sz w:val="20"/>
          <w:szCs w:val="20"/>
        </w:rPr>
        <w:t>.</w:t>
      </w:r>
    </w:p>
    <w:p w:rsidR="00106A1E" w:rsidRPr="001808A2" w:rsidRDefault="00106A1E" w:rsidP="00106A1E">
      <w:pPr>
        <w:pStyle w:val="ListParagraph"/>
        <w:autoSpaceDE w:val="0"/>
        <w:autoSpaceDN w:val="0"/>
        <w:adjustRightInd w:val="0"/>
        <w:spacing w:after="0" w:line="240" w:lineRule="auto"/>
        <w:ind w:left="0"/>
        <w:jc w:val="both"/>
        <w:rPr>
          <w:rFonts w:ascii="Verdana" w:hAnsi="Verdana" w:cs="Arial"/>
          <w:sz w:val="20"/>
          <w:szCs w:val="20"/>
        </w:rPr>
      </w:pPr>
    </w:p>
    <w:p w:rsidR="00106A1E" w:rsidRPr="00ED2FA6"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1808A2">
        <w:rPr>
          <w:rFonts w:ascii="Verdana" w:hAnsi="Verdana" w:cs="Times"/>
          <w:sz w:val="20"/>
          <w:szCs w:val="20"/>
        </w:rPr>
        <w:lastRenderedPageBreak/>
        <w:t xml:space="preserve">En el presente caso, </w:t>
      </w:r>
      <w:r w:rsidRPr="001808A2">
        <w:rPr>
          <w:rFonts w:ascii="Verdana" w:hAnsi="Verdana"/>
          <w:sz w:val="20"/>
          <w:szCs w:val="20"/>
          <w:lang w:eastAsia="es-CR"/>
        </w:rPr>
        <w:t xml:space="preserve">no hay controversia en que 14 víctimas fueron extraídas de sus viviendas y privadas de su libertad el día 4 de julio de </w:t>
      </w:r>
      <w:r>
        <w:rPr>
          <w:rFonts w:ascii="Verdana" w:hAnsi="Verdana"/>
          <w:sz w:val="20"/>
          <w:szCs w:val="20"/>
          <w:lang w:eastAsia="es-CR"/>
        </w:rPr>
        <w:t>1</w:t>
      </w:r>
      <w:r w:rsidRPr="001808A2">
        <w:rPr>
          <w:rFonts w:ascii="Verdana" w:hAnsi="Verdana"/>
          <w:sz w:val="20"/>
          <w:szCs w:val="20"/>
          <w:lang w:eastAsia="es-CR"/>
        </w:rPr>
        <w:t xml:space="preserve">991, y que ese mismo día una víctima más fue privada de libertad </w:t>
      </w:r>
      <w:r w:rsidRPr="001808A2">
        <w:rPr>
          <w:rFonts w:ascii="Verdana" w:hAnsi="Verdana"/>
          <w:sz w:val="20"/>
          <w:szCs w:val="20"/>
          <w:lang w:val="es-GT"/>
        </w:rPr>
        <w:t>en el camino hacia Rodeopampa</w:t>
      </w:r>
      <w:r w:rsidRPr="001808A2">
        <w:rPr>
          <w:rFonts w:ascii="Verdana" w:hAnsi="Verdana"/>
          <w:sz w:val="20"/>
          <w:szCs w:val="20"/>
          <w:lang w:eastAsia="es-CR"/>
        </w:rPr>
        <w:t xml:space="preserve">. Las 15 víctimas permanecieron en estado de privación de libertad y bajo custodia estatal mientras fueron trasladadas </w:t>
      </w:r>
      <w:r w:rsidRPr="001808A2">
        <w:rPr>
          <w:rFonts w:ascii="Verdana" w:hAnsi="Verdana"/>
          <w:iCs/>
          <w:sz w:val="20"/>
          <w:szCs w:val="20"/>
          <w:lang w:eastAsia="es-CR"/>
        </w:rPr>
        <w:t xml:space="preserve">a la </w:t>
      </w:r>
      <w:r w:rsidRPr="001808A2">
        <w:rPr>
          <w:rFonts w:ascii="Verdana" w:hAnsi="Verdana"/>
          <w:sz w:val="20"/>
          <w:szCs w:val="20"/>
          <w:lang w:eastAsia="es-CR"/>
        </w:rPr>
        <w:t xml:space="preserve">mina abandonada </w:t>
      </w:r>
      <w:r w:rsidRPr="001808A2">
        <w:rPr>
          <w:rFonts w:ascii="Verdana" w:hAnsi="Verdana" w:cs="Helvetica"/>
          <w:sz w:val="20"/>
          <w:szCs w:val="20"/>
          <w:lang w:eastAsia="es-CR" w:bidi="en-US"/>
        </w:rPr>
        <w:t>llamada</w:t>
      </w:r>
      <w:r w:rsidRPr="001808A2">
        <w:rPr>
          <w:rFonts w:ascii="Verdana" w:hAnsi="Verdana"/>
          <w:sz w:val="20"/>
          <w:szCs w:val="20"/>
          <w:lang w:eastAsia="es-CR"/>
        </w:rPr>
        <w:t xml:space="preserve"> “Misteriosa” o “Vallarón”, esto es, a un lugar aislado, apartándolos del camino y a distancia sustancial de sus residencias</w:t>
      </w:r>
      <w:r w:rsidRPr="001808A2">
        <w:rPr>
          <w:rFonts w:ascii="Verdana" w:hAnsi="Verdana"/>
          <w:iCs/>
          <w:sz w:val="20"/>
          <w:szCs w:val="20"/>
          <w:lang w:eastAsia="es-CR"/>
        </w:rPr>
        <w:t xml:space="preserve">. </w:t>
      </w:r>
      <w:bookmarkStart w:id="179" w:name="_Ref405801207"/>
      <w:r>
        <w:rPr>
          <w:rFonts w:ascii="Verdana" w:hAnsi="Verdana" w:cs="Arial"/>
          <w:sz w:val="20"/>
          <w:szCs w:val="20"/>
        </w:rPr>
        <w:t>Ahora bien</w:t>
      </w:r>
      <w:r w:rsidRPr="00ED2FA6">
        <w:rPr>
          <w:rFonts w:ascii="Verdana" w:hAnsi="Verdana"/>
          <w:sz w:val="20"/>
          <w:szCs w:val="20"/>
        </w:rPr>
        <w:t xml:space="preserve">, corresponde a la Corte </w:t>
      </w:r>
      <w:r w:rsidRPr="00ED2FA6">
        <w:rPr>
          <w:rFonts w:ascii="Verdana" w:hAnsi="Verdana"/>
          <w:sz w:val="20"/>
          <w:szCs w:val="20"/>
          <w:lang w:eastAsia="es-CR"/>
        </w:rPr>
        <w:t>abordar los aspectos que se mantienen controvertidos entre las partes respecto a los hechos acontecidos con posterioridad al día 4 de julio de 1991, así como analizar si lo sucedido a 15 víctimas del presente caso constituyen ejecuciones extrajudiciales o desapariciones forzadas</w:t>
      </w:r>
      <w:r>
        <w:rPr>
          <w:rFonts w:ascii="Verdana" w:hAnsi="Verdana"/>
          <w:sz w:val="20"/>
          <w:szCs w:val="20"/>
          <w:lang w:eastAsia="es-CR"/>
        </w:rPr>
        <w:t>.</w:t>
      </w:r>
      <w:r w:rsidRPr="00ED2FA6">
        <w:rPr>
          <w:rFonts w:ascii="Verdana" w:hAnsi="Verdana" w:cs="Times"/>
          <w:sz w:val="20"/>
          <w:szCs w:val="20"/>
        </w:rPr>
        <w:t xml:space="preserve"> </w:t>
      </w:r>
    </w:p>
    <w:p w:rsidR="00106A1E" w:rsidRPr="00ED2FA6" w:rsidRDefault="00106A1E" w:rsidP="00106A1E">
      <w:pPr>
        <w:pStyle w:val="ListParagraph"/>
        <w:rPr>
          <w:rFonts w:ascii="Verdana" w:hAnsi="Verdana" w:cs="Arial"/>
          <w:sz w:val="20"/>
          <w:szCs w:val="20"/>
          <w:lang w:eastAsia="es-CR"/>
        </w:rPr>
      </w:pPr>
    </w:p>
    <w:bookmarkEnd w:id="179"/>
    <w:p w:rsidR="00106A1E" w:rsidRPr="007C72C1"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1808A2">
        <w:rPr>
          <w:rFonts w:ascii="Verdana" w:hAnsi="Verdana"/>
          <w:bCs/>
          <w:sz w:val="20"/>
          <w:szCs w:val="20"/>
          <w:lang w:val="es-AR" w:eastAsia="es-CR"/>
        </w:rPr>
        <w:t>Según</w:t>
      </w:r>
      <w:r w:rsidRPr="001808A2">
        <w:rPr>
          <w:rFonts w:ascii="Verdana" w:hAnsi="Verdana"/>
          <w:sz w:val="20"/>
          <w:szCs w:val="20"/>
          <w:lang w:eastAsia="es-CR"/>
        </w:rPr>
        <w:t xml:space="preserve"> la definición contenida en la Convención Interamericana sobre Desaparición Forzada de Personas</w:t>
      </w:r>
      <w:r w:rsidRPr="001808A2">
        <w:rPr>
          <w:rFonts w:ascii="Verdana" w:hAnsi="Verdana"/>
          <w:sz w:val="20"/>
          <w:szCs w:val="20"/>
          <w:vertAlign w:val="superscript"/>
          <w:lang w:eastAsia="es-CR"/>
        </w:rPr>
        <w:footnoteReference w:id="183"/>
      </w:r>
      <w:r w:rsidRPr="001808A2">
        <w:rPr>
          <w:rFonts w:ascii="Verdana" w:hAnsi="Verdana"/>
          <w:sz w:val="20"/>
          <w:szCs w:val="20"/>
          <w:lang w:eastAsia="es-CR"/>
        </w:rPr>
        <w:t xml:space="preserve"> y la jurisprudencia de esta Corte, “una de las características de la desaparición forzada, a diferencia de la ejecución extrajudicial, es que conlleva la negativa del Estado de reconocer que la víctima está bajo su control y de proporcionar información al respecto, con el propósito de generar incertidumbre acerca de su paradero, vida o muerte, de provocar intimidación y supresión de derechos”</w:t>
      </w:r>
      <w:r w:rsidRPr="001808A2">
        <w:rPr>
          <w:rFonts w:ascii="Verdana" w:hAnsi="Verdana"/>
          <w:sz w:val="20"/>
          <w:szCs w:val="20"/>
          <w:vertAlign w:val="superscript"/>
          <w:lang w:eastAsia="es-CR"/>
        </w:rPr>
        <w:footnoteReference w:id="184"/>
      </w:r>
      <w:r w:rsidRPr="001808A2">
        <w:rPr>
          <w:rFonts w:ascii="Verdana" w:hAnsi="Verdana"/>
          <w:sz w:val="20"/>
          <w:szCs w:val="20"/>
          <w:lang w:eastAsia="es-CR"/>
        </w:rPr>
        <w:t xml:space="preserve">. </w:t>
      </w:r>
      <w:r w:rsidRPr="001808A2">
        <w:rPr>
          <w:rFonts w:ascii="Verdana" w:hAnsi="Verdana"/>
          <w:spacing w:val="-2"/>
          <w:sz w:val="20"/>
          <w:szCs w:val="20"/>
          <w:lang w:eastAsia="es-CR"/>
        </w:rPr>
        <w:t xml:space="preserve">Al respecto, este Tribunal ha reconocido que </w:t>
      </w:r>
      <w:r w:rsidRPr="001808A2">
        <w:rPr>
          <w:rFonts w:ascii="Verdana" w:hAnsi="Verdana" w:cs="Times"/>
          <w:spacing w:val="-2"/>
          <w:sz w:val="20"/>
          <w:szCs w:val="20"/>
          <w:lang w:eastAsia="es-CR"/>
        </w:rPr>
        <w:t>la desaparición forzada</w:t>
      </w:r>
      <w:r w:rsidRPr="007C72C1">
        <w:rPr>
          <w:rFonts w:ascii="Verdana" w:hAnsi="Verdana" w:cs="Times"/>
          <w:spacing w:val="-2"/>
          <w:sz w:val="20"/>
          <w:szCs w:val="20"/>
          <w:lang w:eastAsia="es-CR"/>
        </w:rPr>
        <w:t xml:space="preserve"> ha incluido con frecuencia la ejecución de los detenidos, en secreto y sin fórmula de juicio, seguida del ocultamiento del cadáver con el objeto de borrar toda huella material del crimen y procurar la impunidad de quienes lo cometieron</w:t>
      </w:r>
      <w:r w:rsidRPr="00794E82">
        <w:rPr>
          <w:rFonts w:ascii="Verdana" w:hAnsi="Verdana"/>
          <w:spacing w:val="-2"/>
          <w:sz w:val="20"/>
          <w:szCs w:val="20"/>
          <w:vertAlign w:val="superscript"/>
          <w:lang w:eastAsia="es-CR"/>
        </w:rPr>
        <w:footnoteReference w:id="185"/>
      </w:r>
      <w:r w:rsidRPr="007C72C1">
        <w:rPr>
          <w:rFonts w:ascii="Verdana" w:hAnsi="Verdana" w:cs="Times"/>
          <w:spacing w:val="-2"/>
          <w:sz w:val="20"/>
          <w:szCs w:val="20"/>
          <w:lang w:eastAsia="es-CR"/>
        </w:rPr>
        <w:t xml:space="preserve">. </w:t>
      </w:r>
      <w:r w:rsidRPr="007C72C1">
        <w:rPr>
          <w:rFonts w:ascii="Verdana" w:hAnsi="Verdana" w:cs="Cambria"/>
          <w:sz w:val="20"/>
          <w:szCs w:val="20"/>
          <w:lang w:eastAsia="es-CR"/>
        </w:rPr>
        <w:t>En este sentido, la Corte ha conocido de casos en los cuales la existencia de mayores o menores indicios sobre la muerte de las víctimas no modificó la calificación como desaparición forzada</w:t>
      </w:r>
      <w:r w:rsidRPr="00794E82">
        <w:rPr>
          <w:rFonts w:ascii="Verdana" w:hAnsi="Verdana" w:cs="Cambria"/>
          <w:sz w:val="20"/>
          <w:szCs w:val="20"/>
          <w:vertAlign w:val="superscript"/>
          <w:lang w:eastAsia="es-CR"/>
        </w:rPr>
        <w:footnoteReference w:id="186"/>
      </w:r>
      <w:r w:rsidRPr="007C72C1">
        <w:rPr>
          <w:rFonts w:ascii="Verdana" w:hAnsi="Verdana" w:cs="Cambria"/>
          <w:sz w:val="20"/>
          <w:szCs w:val="20"/>
          <w:lang w:eastAsia="es-CR"/>
        </w:rPr>
        <w:t xml:space="preserve">. </w:t>
      </w:r>
    </w:p>
    <w:p w:rsidR="00106A1E" w:rsidRPr="00794E82" w:rsidRDefault="00106A1E" w:rsidP="00106A1E">
      <w:pPr>
        <w:autoSpaceDE w:val="0"/>
        <w:autoSpaceDN w:val="0"/>
        <w:adjustRightInd w:val="0"/>
        <w:spacing w:after="0" w:line="240" w:lineRule="auto"/>
        <w:jc w:val="both"/>
        <w:rPr>
          <w:rFonts w:ascii="Verdana" w:hAnsi="Verdana"/>
          <w:sz w:val="20"/>
          <w:szCs w:val="20"/>
          <w:lang w:eastAsia="es-CR"/>
        </w:rPr>
      </w:pPr>
    </w:p>
    <w:p w:rsidR="00106A1E" w:rsidRPr="00EE781C"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794E82">
        <w:rPr>
          <w:rFonts w:ascii="Verdana" w:hAnsi="Verdana" w:cs="Cambria"/>
          <w:sz w:val="20"/>
          <w:szCs w:val="20"/>
          <w:lang w:eastAsia="es-CR"/>
        </w:rPr>
        <w:t xml:space="preserve">En </w:t>
      </w:r>
      <w:r w:rsidRPr="00794E82">
        <w:rPr>
          <w:rFonts w:ascii="Verdana" w:hAnsi="Verdana"/>
          <w:sz w:val="20"/>
          <w:szCs w:val="20"/>
          <w:lang w:eastAsia="es-CR"/>
        </w:rPr>
        <w:t>específico</w:t>
      </w:r>
      <w:r w:rsidRPr="00794E82">
        <w:rPr>
          <w:rFonts w:ascii="Verdana" w:hAnsi="Verdana" w:cs="Cambria"/>
          <w:sz w:val="20"/>
          <w:szCs w:val="20"/>
          <w:lang w:eastAsia="es-CR"/>
        </w:rPr>
        <w:t>, d</w:t>
      </w:r>
      <w:r w:rsidRPr="00794E82">
        <w:rPr>
          <w:rFonts w:ascii="Verdana" w:hAnsi="Verdana"/>
          <w:sz w:val="20"/>
          <w:szCs w:val="20"/>
          <w:lang w:eastAsia="es-CR"/>
        </w:rPr>
        <w:t xml:space="preserve">el análisis de los casos </w:t>
      </w:r>
      <w:r w:rsidRPr="00794E82">
        <w:rPr>
          <w:rFonts w:ascii="Verdana" w:hAnsi="Verdana"/>
          <w:bCs/>
          <w:i/>
          <w:sz w:val="20"/>
          <w:szCs w:val="20"/>
          <w:shd w:val="clear" w:color="auto" w:fill="FFFFFF"/>
          <w:lang w:eastAsia="es-CR"/>
        </w:rPr>
        <w:t>Rodríguez Vera y otros (Desaparecidos del Palacio de Justicia)</w:t>
      </w:r>
      <w:r w:rsidRPr="00794E82">
        <w:rPr>
          <w:rFonts w:ascii="Verdana" w:hAnsi="Verdana"/>
          <w:bCs/>
          <w:i/>
          <w:sz w:val="20"/>
          <w:szCs w:val="20"/>
          <w:shd w:val="clear" w:color="auto" w:fill="FFFFFF"/>
          <w:vertAlign w:val="superscript"/>
          <w:lang w:eastAsia="es-CR"/>
        </w:rPr>
        <w:footnoteReference w:id="187"/>
      </w:r>
      <w:r w:rsidRPr="00794E82">
        <w:rPr>
          <w:rFonts w:ascii="Verdana" w:hAnsi="Verdana"/>
          <w:bCs/>
          <w:i/>
          <w:sz w:val="20"/>
          <w:szCs w:val="20"/>
          <w:shd w:val="clear" w:color="auto" w:fill="FFFFFF"/>
          <w:lang w:eastAsia="es-CR"/>
        </w:rPr>
        <w:t>,</w:t>
      </w:r>
      <w:r w:rsidRPr="00794E82">
        <w:rPr>
          <w:rFonts w:ascii="Verdana" w:hAnsi="Verdana"/>
          <w:i/>
          <w:sz w:val="20"/>
          <w:szCs w:val="20"/>
          <w:lang w:eastAsia="es-CR"/>
        </w:rPr>
        <w:t xml:space="preserve"> </w:t>
      </w:r>
      <w:r w:rsidRPr="00794E82">
        <w:rPr>
          <w:rFonts w:ascii="Verdana" w:hAnsi="Verdana"/>
          <w:bCs/>
          <w:i/>
          <w:sz w:val="20"/>
          <w:szCs w:val="20"/>
          <w:shd w:val="clear" w:color="auto" w:fill="FFFFFF"/>
          <w:lang w:eastAsia="es-CR"/>
        </w:rPr>
        <w:t>Ibsen Cárdenas e Ibsen Peña</w:t>
      </w:r>
      <w:r w:rsidRPr="00794E82">
        <w:rPr>
          <w:rFonts w:ascii="Verdana" w:hAnsi="Verdana"/>
          <w:bCs/>
          <w:i/>
          <w:sz w:val="20"/>
          <w:szCs w:val="20"/>
          <w:shd w:val="clear" w:color="auto" w:fill="FFFFFF"/>
          <w:vertAlign w:val="superscript"/>
          <w:lang w:eastAsia="es-CR"/>
        </w:rPr>
        <w:footnoteReference w:id="188"/>
      </w:r>
      <w:r w:rsidRPr="00794E82">
        <w:rPr>
          <w:rFonts w:ascii="Verdana" w:hAnsi="Verdana"/>
          <w:i/>
          <w:sz w:val="20"/>
          <w:szCs w:val="20"/>
          <w:lang w:eastAsia="es-CR"/>
        </w:rPr>
        <w:t xml:space="preserve">, </w:t>
      </w:r>
      <w:r w:rsidRPr="00794E82">
        <w:rPr>
          <w:rFonts w:ascii="Verdana" w:hAnsi="Verdana"/>
          <w:bCs/>
          <w:i/>
          <w:sz w:val="20"/>
          <w:szCs w:val="20"/>
          <w:shd w:val="clear" w:color="auto" w:fill="FFFFFF"/>
          <w:lang w:eastAsia="es-CR"/>
        </w:rPr>
        <w:t>La Cantuta</w:t>
      </w:r>
      <w:r w:rsidRPr="00794E82">
        <w:rPr>
          <w:rFonts w:ascii="Verdana" w:hAnsi="Verdana"/>
          <w:bCs/>
          <w:i/>
          <w:sz w:val="20"/>
          <w:szCs w:val="20"/>
          <w:shd w:val="clear" w:color="auto" w:fill="FFFFFF"/>
          <w:vertAlign w:val="superscript"/>
          <w:lang w:eastAsia="es-CR"/>
        </w:rPr>
        <w:footnoteReference w:id="189"/>
      </w:r>
      <w:r w:rsidRPr="00794E82">
        <w:rPr>
          <w:rFonts w:ascii="Verdana" w:hAnsi="Verdana"/>
          <w:i/>
          <w:sz w:val="20"/>
          <w:szCs w:val="20"/>
          <w:lang w:eastAsia="es-CR"/>
        </w:rPr>
        <w:t xml:space="preserve">, </w:t>
      </w:r>
      <w:r w:rsidRPr="00794E82">
        <w:rPr>
          <w:rFonts w:ascii="Verdana" w:hAnsi="Verdana"/>
          <w:bCs/>
          <w:i/>
          <w:sz w:val="20"/>
          <w:szCs w:val="20"/>
          <w:shd w:val="clear" w:color="auto" w:fill="FFFFFF"/>
          <w:lang w:eastAsia="es-CR"/>
        </w:rPr>
        <w:t>Gómez Palomino</w:t>
      </w:r>
      <w:r w:rsidRPr="00794E82">
        <w:rPr>
          <w:rFonts w:ascii="Verdana" w:hAnsi="Verdana"/>
          <w:bCs/>
          <w:i/>
          <w:sz w:val="20"/>
          <w:szCs w:val="20"/>
          <w:shd w:val="clear" w:color="auto" w:fill="FFFFFF"/>
          <w:vertAlign w:val="superscript"/>
          <w:lang w:eastAsia="es-CR"/>
        </w:rPr>
        <w:footnoteReference w:id="190"/>
      </w:r>
      <w:r w:rsidRPr="00794E82">
        <w:rPr>
          <w:rFonts w:ascii="Verdana" w:hAnsi="Verdana"/>
          <w:i/>
          <w:sz w:val="20"/>
          <w:szCs w:val="20"/>
          <w:lang w:eastAsia="es-CR"/>
        </w:rPr>
        <w:t xml:space="preserve">, </w:t>
      </w:r>
      <w:r w:rsidRPr="00794E82">
        <w:rPr>
          <w:rFonts w:ascii="Verdana" w:hAnsi="Verdana"/>
          <w:bCs/>
          <w:i/>
          <w:sz w:val="20"/>
          <w:szCs w:val="20"/>
          <w:shd w:val="clear" w:color="auto" w:fill="FFFFFF"/>
          <w:lang w:eastAsia="es-CR"/>
        </w:rPr>
        <w:lastRenderedPageBreak/>
        <w:t>19 C</w:t>
      </w:r>
      <w:r w:rsidRPr="00EE781C">
        <w:rPr>
          <w:rFonts w:ascii="Verdana" w:hAnsi="Verdana"/>
          <w:bCs/>
          <w:i/>
          <w:sz w:val="20"/>
          <w:szCs w:val="20"/>
          <w:shd w:val="clear" w:color="auto" w:fill="FFFFFF"/>
          <w:lang w:eastAsia="es-CR"/>
        </w:rPr>
        <w:t>omerciantes</w:t>
      </w:r>
      <w:r w:rsidRPr="00EE781C">
        <w:rPr>
          <w:rFonts w:ascii="Verdana" w:hAnsi="Verdana"/>
          <w:bCs/>
          <w:i/>
          <w:sz w:val="20"/>
          <w:szCs w:val="20"/>
          <w:shd w:val="clear" w:color="auto" w:fill="FFFFFF"/>
          <w:vertAlign w:val="superscript"/>
          <w:lang w:eastAsia="es-CR"/>
        </w:rPr>
        <w:footnoteReference w:id="191"/>
      </w:r>
      <w:r w:rsidRPr="00EE781C">
        <w:rPr>
          <w:rFonts w:ascii="Verdana" w:hAnsi="Verdana"/>
          <w:sz w:val="20"/>
          <w:szCs w:val="20"/>
          <w:lang w:eastAsia="es-CR"/>
        </w:rPr>
        <w:t>,</w:t>
      </w:r>
      <w:r w:rsidRPr="00EE781C">
        <w:rPr>
          <w:rFonts w:ascii="Verdana" w:hAnsi="Verdana"/>
          <w:i/>
          <w:sz w:val="20"/>
          <w:szCs w:val="20"/>
          <w:lang w:eastAsia="es-CR"/>
        </w:rPr>
        <w:t xml:space="preserve"> </w:t>
      </w:r>
      <w:r w:rsidRPr="00EE781C">
        <w:rPr>
          <w:rFonts w:ascii="Verdana" w:hAnsi="Verdana"/>
          <w:bCs/>
          <w:i/>
          <w:sz w:val="20"/>
          <w:szCs w:val="20"/>
          <w:shd w:val="clear" w:color="auto" w:fill="FFFFFF"/>
          <w:lang w:eastAsia="es-CR"/>
        </w:rPr>
        <w:t>Bámaca Velásquez</w:t>
      </w:r>
      <w:r w:rsidRPr="00EE781C">
        <w:rPr>
          <w:rFonts w:ascii="Verdana" w:hAnsi="Verdana"/>
          <w:bCs/>
          <w:i/>
          <w:sz w:val="20"/>
          <w:szCs w:val="20"/>
          <w:shd w:val="clear" w:color="auto" w:fill="FFFFFF"/>
          <w:vertAlign w:val="superscript"/>
          <w:lang w:eastAsia="es-CR"/>
        </w:rPr>
        <w:footnoteReference w:id="192"/>
      </w:r>
      <w:r w:rsidRPr="00EE781C">
        <w:rPr>
          <w:rFonts w:ascii="Verdana" w:hAnsi="Verdana"/>
          <w:sz w:val="20"/>
          <w:szCs w:val="20"/>
          <w:lang w:eastAsia="es-CR"/>
        </w:rPr>
        <w:t xml:space="preserve"> y </w:t>
      </w:r>
      <w:r w:rsidRPr="00EE781C">
        <w:rPr>
          <w:rFonts w:ascii="Verdana" w:hAnsi="Verdana"/>
          <w:bCs/>
          <w:i/>
          <w:sz w:val="20"/>
          <w:szCs w:val="20"/>
          <w:shd w:val="clear" w:color="auto" w:fill="FFFFFF"/>
          <w:lang w:eastAsia="es-CR"/>
        </w:rPr>
        <w:t>Castillo Páez</w:t>
      </w:r>
      <w:r w:rsidRPr="00EE781C">
        <w:rPr>
          <w:rFonts w:ascii="Verdana" w:hAnsi="Verdana" w:cs="Cambria"/>
          <w:sz w:val="20"/>
          <w:szCs w:val="20"/>
          <w:vertAlign w:val="superscript"/>
          <w:lang w:eastAsia="es-CR"/>
        </w:rPr>
        <w:footnoteReference w:id="193"/>
      </w:r>
      <w:r w:rsidRPr="00EE781C">
        <w:rPr>
          <w:rFonts w:ascii="Verdana" w:hAnsi="Verdana"/>
          <w:bCs/>
          <w:i/>
          <w:sz w:val="20"/>
          <w:szCs w:val="20"/>
          <w:shd w:val="clear" w:color="auto" w:fill="FFFFFF"/>
          <w:lang w:eastAsia="es-CR"/>
        </w:rPr>
        <w:t>,</w:t>
      </w:r>
      <w:r w:rsidRPr="00EE781C">
        <w:rPr>
          <w:rFonts w:ascii="Verdana" w:hAnsi="Verdana"/>
          <w:sz w:val="20"/>
          <w:szCs w:val="20"/>
          <w:lang w:eastAsia="es-CR"/>
        </w:rPr>
        <w:t xml:space="preserve"> </w:t>
      </w:r>
      <w:r w:rsidRPr="00EE781C">
        <w:rPr>
          <w:rFonts w:ascii="Verdana" w:hAnsi="Verdana" w:cs="Cambria"/>
          <w:sz w:val="20"/>
          <w:szCs w:val="20"/>
          <w:lang w:eastAsia="es-CR"/>
        </w:rPr>
        <w:t>lo que calificó el hecho como desaparición fue precisamente lo que los agentes estatales hicieron después de dar muerte a las víctimas, esto es, la adopción de medidas dirigidas a ocultar lo que realmente había ocurrido o borrar todo rastro de los cuerpos para evitar su identificación o que su destino y paradero fuera establecido</w:t>
      </w:r>
      <w:r>
        <w:rPr>
          <w:rStyle w:val="FootnoteReference"/>
          <w:rFonts w:eastAsiaTheme="minorHAnsi" w:cs="Cambria"/>
          <w:szCs w:val="20"/>
          <w:lang w:eastAsia="es-CR"/>
        </w:rPr>
        <w:footnoteReference w:id="194"/>
      </w:r>
      <w:r w:rsidRPr="00EE781C">
        <w:rPr>
          <w:rFonts w:ascii="Verdana" w:hAnsi="Verdana" w:cs="Cambria"/>
          <w:sz w:val="20"/>
          <w:szCs w:val="20"/>
          <w:lang w:eastAsia="es-CR"/>
        </w:rPr>
        <w:t>.</w:t>
      </w:r>
    </w:p>
    <w:p w:rsidR="00106A1E" w:rsidRPr="00EE781C" w:rsidRDefault="00106A1E" w:rsidP="00106A1E">
      <w:pPr>
        <w:spacing w:after="0" w:line="240" w:lineRule="auto"/>
        <w:contextualSpacing/>
        <w:rPr>
          <w:rFonts w:ascii="Verdana" w:eastAsia="Calibri" w:hAnsi="Verdana" w:cs="Verdana"/>
          <w:sz w:val="20"/>
          <w:szCs w:val="20"/>
        </w:rPr>
      </w:pPr>
    </w:p>
    <w:p w:rsidR="00106A1E" w:rsidRPr="00EE781C"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EE781C">
        <w:rPr>
          <w:rFonts w:ascii="Verdana" w:hAnsi="Verdana" w:cs="Verdana"/>
          <w:sz w:val="20"/>
          <w:szCs w:val="20"/>
          <w:lang w:eastAsia="es-CR"/>
        </w:rPr>
        <w:t xml:space="preserve">Es bajo este orden de ideas que, tal como ya fue señalado, los actos constitutivos de desaparición forzada tienen carácter </w:t>
      </w:r>
      <w:r w:rsidRPr="003265CA">
        <w:rPr>
          <w:rFonts w:ascii="Verdana" w:hAnsi="Verdana"/>
          <w:sz w:val="20"/>
          <w:szCs w:val="20"/>
          <w:lang w:eastAsia="es-CR"/>
        </w:rPr>
        <w:t>permanente</w:t>
      </w:r>
      <w:r w:rsidRPr="003265CA">
        <w:rPr>
          <w:rFonts w:ascii="Verdana" w:hAnsi="Verdana" w:cs="Verdana"/>
          <w:sz w:val="20"/>
          <w:szCs w:val="20"/>
          <w:lang w:eastAsia="es-CR"/>
        </w:rPr>
        <w:t xml:space="preserve"> mientras no se </w:t>
      </w:r>
      <w:r w:rsidRPr="003265CA">
        <w:rPr>
          <w:rFonts w:ascii="Verdana" w:hAnsi="Verdana" w:cs="Helvetica"/>
          <w:sz w:val="20"/>
          <w:szCs w:val="20"/>
          <w:lang w:eastAsia="es-CR" w:bidi="en-US"/>
        </w:rPr>
        <w:t>conozca</w:t>
      </w:r>
      <w:r w:rsidRPr="003265CA">
        <w:rPr>
          <w:rFonts w:ascii="Verdana" w:hAnsi="Verdana" w:cs="Verdana"/>
          <w:sz w:val="20"/>
          <w:szCs w:val="20"/>
          <w:lang w:eastAsia="es-CR"/>
        </w:rPr>
        <w:t xml:space="preserve"> el paradero de la víctima o se hallen sus restos. Sin</w:t>
      </w:r>
      <w:r w:rsidRPr="00EE781C">
        <w:rPr>
          <w:rFonts w:ascii="Verdana" w:hAnsi="Verdana" w:cs="Verdana"/>
          <w:sz w:val="20"/>
          <w:szCs w:val="20"/>
          <w:lang w:eastAsia="es-CR"/>
        </w:rPr>
        <w:t xml:space="preserve"> embargo, particularmente en relación con este </w:t>
      </w:r>
      <w:r w:rsidRPr="00EE781C">
        <w:rPr>
          <w:rFonts w:ascii="Verdana" w:hAnsi="Verdana" w:cs="Verdana"/>
          <w:sz w:val="20"/>
          <w:szCs w:val="20"/>
          <w:lang w:eastAsia="es-CR"/>
        </w:rPr>
        <w:lastRenderedPageBreak/>
        <w:t>último aspecto, de manera reiterada el Tribunal ha indicado que</w:t>
      </w:r>
      <w:r w:rsidRPr="00EE781C">
        <w:rPr>
          <w:rFonts w:ascii="Verdana" w:hAnsi="Verdana"/>
          <w:sz w:val="20"/>
          <w:szCs w:val="20"/>
          <w:lang w:eastAsia="es-CR"/>
        </w:rPr>
        <w:t xml:space="preserve"> </w:t>
      </w:r>
      <w:r w:rsidRPr="00EE781C">
        <w:rPr>
          <w:rFonts w:ascii="Verdana" w:hAnsi="Verdana" w:cs="Verdana"/>
          <w:sz w:val="20"/>
          <w:szCs w:val="20"/>
          <w:lang w:eastAsia="es-CR"/>
        </w:rPr>
        <w:t xml:space="preserve">no se trata meramente del acto de encontrar los restos de una determinada persona sino que ello, lógicamente, debe ir acompañado de la realización de las pruebas o análisis que permitan comprobar que, efectivamente, esos restos corresponden a esa persona. Por lo tanto, en casos de presunta desaparición forzada en que existan indicios de que la alegada víctima ha fallecido, la determinación de si se ha configurado dicho fenómeno y la cesación del mismo, en caso de que los restos hayan sido localizados, requiere necesariamente, establecer de la manera más fehaciente la identidad del individuo a quien pertenecen dichos restos. En tal sentido, la autoridad correspondiente debe proceder a la pronta exhumación de </w:t>
      </w:r>
      <w:r w:rsidR="00335E16">
        <w:rPr>
          <w:rFonts w:ascii="Verdana" w:hAnsi="Verdana" w:cs="Verdana"/>
          <w:sz w:val="20"/>
          <w:szCs w:val="20"/>
          <w:lang w:eastAsia="es-CR"/>
        </w:rPr>
        <w:t>e</w:t>
      </w:r>
      <w:r w:rsidRPr="00EE781C">
        <w:rPr>
          <w:rFonts w:ascii="Verdana" w:hAnsi="Verdana" w:cs="Verdana"/>
          <w:sz w:val="20"/>
          <w:szCs w:val="20"/>
          <w:lang w:eastAsia="es-CR"/>
        </w:rPr>
        <w:t>stos para que sean examinados por un profesional competente</w:t>
      </w:r>
      <w:r w:rsidRPr="00EE781C">
        <w:rPr>
          <w:rFonts w:ascii="Verdana" w:hAnsi="Verdana"/>
          <w:sz w:val="20"/>
          <w:szCs w:val="20"/>
          <w:vertAlign w:val="superscript"/>
          <w:lang w:eastAsia="es-CR"/>
        </w:rPr>
        <w:footnoteReference w:id="195"/>
      </w:r>
      <w:r w:rsidRPr="00EE781C">
        <w:rPr>
          <w:rFonts w:ascii="Verdana" w:hAnsi="Verdana" w:cs="Verdana"/>
          <w:sz w:val="20"/>
          <w:szCs w:val="20"/>
          <w:lang w:eastAsia="es-CR"/>
        </w:rPr>
        <w:t xml:space="preserve">. </w:t>
      </w:r>
      <w:r w:rsidRPr="00EE781C">
        <w:rPr>
          <w:rFonts w:ascii="Verdana" w:hAnsi="Verdana"/>
          <w:sz w:val="20"/>
          <w:szCs w:val="20"/>
          <w:lang w:eastAsia="es-CR"/>
        </w:rPr>
        <w:t>Dicha exhumación debe llevarse a cabo de forma que proteja la integridad de los restos a fin de establecer, en la medida de lo posible, la identidad de la persona fallecida, la fecha en que murió, la forma y causa de muerte, así como la existencia de posibles lesiones o indicios de tortura</w:t>
      </w:r>
      <w:r w:rsidRPr="00EE781C">
        <w:rPr>
          <w:rFonts w:ascii="Verdana" w:hAnsi="Verdana"/>
          <w:sz w:val="20"/>
          <w:szCs w:val="20"/>
          <w:vertAlign w:val="superscript"/>
          <w:lang w:eastAsia="es-CR"/>
        </w:rPr>
        <w:footnoteReference w:id="196"/>
      </w:r>
      <w:r w:rsidRPr="00EE781C">
        <w:rPr>
          <w:rFonts w:ascii="Verdana" w:hAnsi="Verdana"/>
          <w:sz w:val="20"/>
          <w:szCs w:val="20"/>
          <w:lang w:eastAsia="es-CR"/>
        </w:rPr>
        <w:t xml:space="preserve">. </w:t>
      </w:r>
      <w:r w:rsidRPr="00EE781C">
        <w:rPr>
          <w:rFonts w:ascii="Verdana" w:hAnsi="Verdana" w:cs="Verdana"/>
          <w:sz w:val="20"/>
          <w:szCs w:val="20"/>
          <w:lang w:eastAsia="es-CR"/>
        </w:rPr>
        <w:t xml:space="preserve">Mientras los restos no sean </w:t>
      </w:r>
      <w:r w:rsidRPr="00EE781C">
        <w:rPr>
          <w:rFonts w:ascii="Verdana" w:hAnsi="Verdana"/>
          <w:sz w:val="20"/>
          <w:szCs w:val="20"/>
          <w:lang w:val="es-ES_tradnl" w:eastAsia="es-CR"/>
        </w:rPr>
        <w:t>debidamente localizados e identificados</w:t>
      </w:r>
      <w:r w:rsidRPr="00EE781C">
        <w:rPr>
          <w:rFonts w:ascii="Verdana" w:hAnsi="Verdana" w:cs="Verdana"/>
          <w:sz w:val="20"/>
          <w:szCs w:val="20"/>
          <w:lang w:eastAsia="es-CR"/>
        </w:rPr>
        <w:t>, la desaparición forzada sigue ejecutándose</w:t>
      </w:r>
      <w:r w:rsidRPr="00EE781C">
        <w:rPr>
          <w:rFonts w:ascii="Verdana" w:hAnsi="Verdana"/>
          <w:sz w:val="20"/>
          <w:szCs w:val="20"/>
          <w:vertAlign w:val="superscript"/>
          <w:lang w:eastAsia="es-CR"/>
        </w:rPr>
        <w:footnoteReference w:id="197"/>
      </w:r>
      <w:r w:rsidRPr="00EE781C">
        <w:rPr>
          <w:rFonts w:ascii="Verdana" w:hAnsi="Verdana" w:cs="Verdana"/>
          <w:sz w:val="20"/>
          <w:szCs w:val="20"/>
          <w:lang w:eastAsia="es-CR"/>
        </w:rPr>
        <w:t>.</w:t>
      </w:r>
    </w:p>
    <w:p w:rsidR="00106A1E" w:rsidRPr="00EE781C" w:rsidRDefault="00106A1E" w:rsidP="00106A1E">
      <w:pPr>
        <w:pStyle w:val="ListParagraph"/>
        <w:autoSpaceDE w:val="0"/>
        <w:autoSpaceDN w:val="0"/>
        <w:adjustRightInd w:val="0"/>
        <w:spacing w:after="0" w:line="240" w:lineRule="auto"/>
        <w:ind w:left="0"/>
        <w:jc w:val="both"/>
        <w:rPr>
          <w:rFonts w:ascii="Verdana" w:hAnsi="Verdana"/>
          <w:sz w:val="20"/>
          <w:szCs w:val="20"/>
          <w:lang w:eastAsia="es-CR"/>
        </w:rPr>
      </w:pPr>
    </w:p>
    <w:p w:rsidR="00106A1E" w:rsidRPr="00EE781C"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EE781C">
        <w:rPr>
          <w:rFonts w:ascii="Verdana" w:hAnsi="Verdana"/>
          <w:spacing w:val="-2"/>
          <w:sz w:val="20"/>
          <w:szCs w:val="20"/>
        </w:rPr>
        <w:t>La Corte recuerda que una desaparición forzada se configura por una pluralidad de conductas que, cohesionadas por un único fin, vulneran de manera permanente, mientras subsistan, distintos bienes jurídicos protegidos por la Convención</w:t>
      </w:r>
      <w:r w:rsidRPr="00EE781C">
        <w:rPr>
          <w:rFonts w:ascii="Verdana" w:eastAsia="Batang" w:hAnsi="Verdana"/>
          <w:sz w:val="20"/>
          <w:szCs w:val="20"/>
          <w:vertAlign w:val="superscript"/>
          <w:lang w:val="es-CL"/>
        </w:rPr>
        <w:footnoteReference w:id="198"/>
      </w:r>
      <w:r w:rsidRPr="00EE781C">
        <w:rPr>
          <w:rFonts w:ascii="Verdana" w:hAnsi="Verdana"/>
          <w:spacing w:val="-2"/>
          <w:sz w:val="20"/>
          <w:szCs w:val="20"/>
        </w:rPr>
        <w:t xml:space="preserve">. Por tanto, el examen de una </w:t>
      </w:r>
      <w:r w:rsidRPr="00EE781C">
        <w:rPr>
          <w:rFonts w:ascii="Verdana" w:hAnsi="Verdana"/>
          <w:spacing w:val="-2"/>
          <w:sz w:val="20"/>
          <w:szCs w:val="20"/>
          <w:lang w:eastAsia="es-CR"/>
        </w:rPr>
        <w:t xml:space="preserve">posible desaparición forzada debe ser consecuente con la violación compleja de derechos humanos que </w:t>
      </w:r>
      <w:r w:rsidR="00335E16">
        <w:rPr>
          <w:rFonts w:ascii="Verdana" w:hAnsi="Verdana"/>
          <w:spacing w:val="-2"/>
          <w:sz w:val="20"/>
          <w:szCs w:val="20"/>
          <w:lang w:eastAsia="es-CR"/>
        </w:rPr>
        <w:t>e</w:t>
      </w:r>
      <w:r w:rsidRPr="00EE781C">
        <w:rPr>
          <w:rFonts w:ascii="Verdana" w:hAnsi="Verdana"/>
          <w:spacing w:val="-2"/>
          <w:sz w:val="20"/>
          <w:szCs w:val="20"/>
          <w:lang w:eastAsia="es-CR"/>
        </w:rPr>
        <w:t>sta conlleva y no debe enfocarse de manera aislada, dividida y fragmentada s</w:t>
      </w:r>
      <w:r w:rsidR="005E414F">
        <w:rPr>
          <w:rFonts w:ascii="Verdana" w:hAnsi="Verdana"/>
          <w:spacing w:val="-2"/>
          <w:sz w:val="20"/>
          <w:szCs w:val="20"/>
          <w:lang w:eastAsia="es-CR"/>
        </w:rPr>
        <w:t>o</w:t>
      </w:r>
      <w:r w:rsidRPr="00EE781C">
        <w:rPr>
          <w:rFonts w:ascii="Verdana" w:hAnsi="Verdana"/>
          <w:spacing w:val="-2"/>
          <w:sz w:val="20"/>
          <w:szCs w:val="20"/>
          <w:lang w:eastAsia="es-CR"/>
        </w:rPr>
        <w:t>lo en la detención, la posible tortura o el riesgo de perder la vida</w:t>
      </w:r>
      <w:r w:rsidRPr="00EE781C">
        <w:rPr>
          <w:rFonts w:ascii="Verdana" w:hAnsi="Verdana" w:cs="Times"/>
          <w:spacing w:val="-2"/>
          <w:sz w:val="20"/>
          <w:szCs w:val="20"/>
          <w:vertAlign w:val="superscript"/>
          <w:lang w:eastAsia="es-CR"/>
        </w:rPr>
        <w:footnoteReference w:id="199"/>
      </w:r>
      <w:r w:rsidRPr="00EE781C">
        <w:rPr>
          <w:rFonts w:ascii="Verdana" w:hAnsi="Verdana"/>
          <w:spacing w:val="-2"/>
          <w:sz w:val="20"/>
          <w:szCs w:val="20"/>
          <w:lang w:eastAsia="es-CR"/>
        </w:rPr>
        <w:t>.</w:t>
      </w:r>
      <w:r w:rsidRPr="00EE781C">
        <w:rPr>
          <w:rFonts w:ascii="Verdana" w:hAnsi="Verdana"/>
          <w:sz w:val="20"/>
          <w:szCs w:val="20"/>
          <w:lang w:eastAsia="es-CR"/>
        </w:rPr>
        <w:t xml:space="preserve"> </w:t>
      </w:r>
      <w:r w:rsidRPr="00EE781C">
        <w:rPr>
          <w:rFonts w:ascii="Verdana" w:hAnsi="Verdana"/>
          <w:spacing w:val="-2"/>
          <w:sz w:val="20"/>
          <w:szCs w:val="20"/>
        </w:rPr>
        <w:t>En tal sentido, su análisis debe abarcar la totalidad del conjunto de los hechos que se presentan a consideración del Tribunal. S</w:t>
      </w:r>
      <w:r w:rsidR="005E414F">
        <w:rPr>
          <w:rFonts w:ascii="Verdana" w:hAnsi="Verdana"/>
          <w:spacing w:val="-2"/>
          <w:sz w:val="20"/>
          <w:szCs w:val="20"/>
        </w:rPr>
        <w:t>o</w:t>
      </w:r>
      <w:r w:rsidRPr="00EE781C">
        <w:rPr>
          <w:rFonts w:ascii="Verdana" w:hAnsi="Verdana"/>
          <w:spacing w:val="-2"/>
          <w:sz w:val="20"/>
          <w:szCs w:val="20"/>
        </w:rPr>
        <w:t xml:space="preserve">lo de este modo el análisis legal de la desaparición forzada es consecuente con la compleja violación a derechos humanos que </w:t>
      </w:r>
      <w:r w:rsidR="00335E16">
        <w:rPr>
          <w:rFonts w:ascii="Verdana" w:hAnsi="Verdana"/>
          <w:spacing w:val="-2"/>
          <w:sz w:val="20"/>
          <w:szCs w:val="20"/>
        </w:rPr>
        <w:t>e</w:t>
      </w:r>
      <w:r w:rsidRPr="00EE781C">
        <w:rPr>
          <w:rFonts w:ascii="Verdana" w:hAnsi="Verdana"/>
          <w:spacing w:val="-2"/>
          <w:sz w:val="20"/>
          <w:szCs w:val="20"/>
        </w:rPr>
        <w:t>sta conlleva</w:t>
      </w:r>
      <w:r w:rsidRPr="00EE781C">
        <w:rPr>
          <w:rStyle w:val="FootnoteReference"/>
          <w:rFonts w:eastAsiaTheme="minorHAnsi"/>
          <w:spacing w:val="-2"/>
          <w:szCs w:val="20"/>
        </w:rPr>
        <w:footnoteReference w:id="200"/>
      </w:r>
      <w:r w:rsidRPr="00EE781C">
        <w:rPr>
          <w:rFonts w:ascii="Verdana" w:hAnsi="Verdana"/>
          <w:spacing w:val="-2"/>
          <w:sz w:val="20"/>
          <w:szCs w:val="20"/>
        </w:rPr>
        <w:t xml:space="preserve">. </w:t>
      </w:r>
      <w:r w:rsidRPr="00EE781C">
        <w:rPr>
          <w:rFonts w:ascii="Verdana" w:hAnsi="Verdana"/>
          <w:spacing w:val="-2"/>
          <w:sz w:val="20"/>
          <w:szCs w:val="20"/>
          <w:lang w:eastAsia="es-CR"/>
        </w:rPr>
        <w:t xml:space="preserve">En virtud del carácter complejo y pluriofensivo de la desaparición forzada, la Corte analizará en el siguiente orden los elementos que, de forma conjunta e integral, contribuyen a determinar si en este caso las víctimas fueron </w:t>
      </w:r>
      <w:r w:rsidRPr="00EE781C">
        <w:rPr>
          <w:rFonts w:ascii="Verdana" w:hAnsi="Verdana"/>
          <w:spacing w:val="-2"/>
          <w:sz w:val="20"/>
          <w:szCs w:val="20"/>
        </w:rPr>
        <w:t>desaparecidas forzadamente</w:t>
      </w:r>
      <w:r w:rsidRPr="00EE781C">
        <w:rPr>
          <w:rFonts w:ascii="Verdana" w:hAnsi="Verdana"/>
          <w:spacing w:val="-2"/>
          <w:sz w:val="20"/>
          <w:szCs w:val="20"/>
          <w:lang w:eastAsia="es-CR"/>
        </w:rPr>
        <w:t xml:space="preserve">: </w:t>
      </w:r>
      <w:r w:rsidRPr="00EE781C">
        <w:rPr>
          <w:rFonts w:ascii="Verdana" w:hAnsi="Verdana"/>
          <w:sz w:val="20"/>
          <w:szCs w:val="20"/>
          <w:lang w:eastAsia="es-CR"/>
        </w:rPr>
        <w:t xml:space="preserve">a) </w:t>
      </w:r>
      <w:r>
        <w:rPr>
          <w:rFonts w:ascii="Verdana" w:hAnsi="Verdana"/>
          <w:spacing w:val="-2"/>
          <w:sz w:val="20"/>
          <w:szCs w:val="20"/>
          <w:lang w:eastAsia="es-CR"/>
        </w:rPr>
        <w:t>l</w:t>
      </w:r>
      <w:r w:rsidRPr="00EE781C">
        <w:rPr>
          <w:rFonts w:ascii="Verdana" w:hAnsi="Verdana"/>
          <w:spacing w:val="-2"/>
          <w:sz w:val="20"/>
          <w:szCs w:val="20"/>
          <w:lang w:eastAsia="es-CR"/>
        </w:rPr>
        <w:t>a negativa de las autoridades del Ejército de reconocer la detención de las víctimas durante los primeros días de ocurridos los hechos</w:t>
      </w:r>
      <w:r w:rsidRPr="00EE781C">
        <w:rPr>
          <w:rFonts w:ascii="Verdana" w:hAnsi="Verdana" w:cs="Arial"/>
          <w:sz w:val="20"/>
          <w:szCs w:val="20"/>
          <w:lang w:eastAsia="es-CR"/>
        </w:rPr>
        <w:t>;</w:t>
      </w:r>
      <w:r w:rsidRPr="00EE781C">
        <w:rPr>
          <w:rFonts w:ascii="Verdana" w:hAnsi="Verdana"/>
          <w:sz w:val="20"/>
          <w:szCs w:val="20"/>
          <w:lang w:eastAsia="es-CR"/>
        </w:rPr>
        <w:t xml:space="preserve"> b) </w:t>
      </w:r>
      <w:r>
        <w:rPr>
          <w:rFonts w:ascii="Verdana" w:hAnsi="Verdana"/>
          <w:bCs/>
          <w:sz w:val="20"/>
          <w:szCs w:val="20"/>
          <w:lang w:val="es-AR" w:eastAsia="es-CR"/>
        </w:rPr>
        <w:t>e</w:t>
      </w:r>
      <w:r w:rsidRPr="00EE781C">
        <w:rPr>
          <w:rFonts w:ascii="Verdana" w:hAnsi="Verdana" w:cs="Arial"/>
          <w:sz w:val="20"/>
          <w:szCs w:val="20"/>
          <w:lang w:eastAsia="es-CR"/>
        </w:rPr>
        <w:t xml:space="preserve">l </w:t>
      </w:r>
      <w:r w:rsidRPr="00EE781C">
        <w:rPr>
          <w:rFonts w:ascii="Verdana" w:hAnsi="Verdana" w:cs="Arial"/>
          <w:i/>
          <w:iCs/>
          <w:sz w:val="20"/>
          <w:szCs w:val="20"/>
          <w:lang w:eastAsia="es-CR"/>
        </w:rPr>
        <w:t>modus operandi</w:t>
      </w:r>
      <w:r w:rsidRPr="00EE781C">
        <w:rPr>
          <w:rFonts w:ascii="Verdana" w:hAnsi="Verdana" w:cs="Arial"/>
          <w:iCs/>
          <w:sz w:val="20"/>
          <w:szCs w:val="20"/>
          <w:lang w:eastAsia="es-CR"/>
        </w:rPr>
        <w:t xml:space="preserve"> </w:t>
      </w:r>
      <w:r w:rsidRPr="00EE781C">
        <w:rPr>
          <w:rFonts w:ascii="Verdana" w:hAnsi="Verdana" w:cs="Arial"/>
          <w:sz w:val="20"/>
          <w:szCs w:val="20"/>
          <w:lang w:eastAsia="es-CR"/>
        </w:rPr>
        <w:t xml:space="preserve">utilizado en la destrucción de evidencias </w:t>
      </w:r>
      <w:r w:rsidRPr="00EE781C">
        <w:rPr>
          <w:rFonts w:ascii="Verdana" w:hAnsi="Verdana"/>
          <w:spacing w:val="-2"/>
          <w:sz w:val="20"/>
          <w:szCs w:val="20"/>
          <w:lang w:eastAsia="es-CR"/>
        </w:rPr>
        <w:t>durante los primeros días de ocurridos los hechos</w:t>
      </w:r>
      <w:r w:rsidRPr="00EE781C">
        <w:rPr>
          <w:rFonts w:ascii="Verdana" w:hAnsi="Verdana"/>
          <w:sz w:val="20"/>
          <w:szCs w:val="20"/>
          <w:lang w:eastAsia="es-CR"/>
        </w:rPr>
        <w:t xml:space="preserve">; c) </w:t>
      </w:r>
      <w:r>
        <w:rPr>
          <w:rFonts w:ascii="Verdana" w:hAnsi="Verdana"/>
          <w:sz w:val="20"/>
          <w:szCs w:val="20"/>
          <w:lang w:eastAsia="es-CR"/>
        </w:rPr>
        <w:t>l</w:t>
      </w:r>
      <w:r w:rsidRPr="00EE781C">
        <w:rPr>
          <w:rFonts w:ascii="Verdana" w:hAnsi="Verdana"/>
          <w:sz w:val="20"/>
          <w:szCs w:val="20"/>
          <w:lang w:eastAsia="es-CR"/>
        </w:rPr>
        <w:t xml:space="preserve">a incertidumbre sobre la evidencia recolectada el 18 de julio de 1991; d) </w:t>
      </w:r>
      <w:r>
        <w:rPr>
          <w:rFonts w:ascii="Verdana" w:hAnsi="Verdana"/>
          <w:sz w:val="20"/>
          <w:szCs w:val="20"/>
          <w:lang w:val="es-ES_tradnl" w:eastAsia="es-CR"/>
        </w:rPr>
        <w:t>l</w:t>
      </w:r>
      <w:r w:rsidRPr="00EE781C">
        <w:rPr>
          <w:rFonts w:ascii="Verdana" w:hAnsi="Verdana"/>
          <w:sz w:val="20"/>
          <w:szCs w:val="20"/>
          <w:lang w:val="es-ES_tradnl" w:eastAsia="es-CR"/>
        </w:rPr>
        <w:t xml:space="preserve">a </w:t>
      </w:r>
      <w:r w:rsidRPr="00EE781C">
        <w:rPr>
          <w:rFonts w:ascii="Verdana" w:hAnsi="Verdana" w:cs="Arial"/>
          <w:sz w:val="20"/>
          <w:szCs w:val="20"/>
          <w:lang w:eastAsia="es-CR"/>
        </w:rPr>
        <w:t>inscripción de las partidas de defunción en los años 1991 y 1992</w:t>
      </w:r>
      <w:r w:rsidR="00DF4162">
        <w:rPr>
          <w:rFonts w:ascii="Verdana" w:hAnsi="Verdana" w:cs="Arial"/>
          <w:sz w:val="20"/>
          <w:szCs w:val="20"/>
          <w:lang w:eastAsia="es-CR"/>
        </w:rPr>
        <w:t>, y</w:t>
      </w:r>
      <w:r w:rsidRPr="00EE781C">
        <w:rPr>
          <w:rFonts w:ascii="Verdana" w:hAnsi="Verdana"/>
          <w:sz w:val="20"/>
          <w:szCs w:val="20"/>
          <w:lang w:eastAsia="es-CR"/>
        </w:rPr>
        <w:t xml:space="preserve"> e) </w:t>
      </w:r>
      <w:r>
        <w:rPr>
          <w:rFonts w:ascii="Verdana" w:hAnsi="Verdana"/>
          <w:spacing w:val="-2"/>
          <w:sz w:val="20"/>
          <w:szCs w:val="20"/>
          <w:lang w:eastAsia="es-CR"/>
        </w:rPr>
        <w:t>d</w:t>
      </w:r>
      <w:r w:rsidRPr="00EE781C">
        <w:rPr>
          <w:rFonts w:ascii="Verdana" w:hAnsi="Verdana"/>
          <w:spacing w:val="-2"/>
          <w:sz w:val="20"/>
          <w:szCs w:val="20"/>
          <w:lang w:eastAsia="es-CR"/>
        </w:rPr>
        <w:t xml:space="preserve">iligencias de búsqueda, </w:t>
      </w:r>
      <w:r w:rsidRPr="00EE781C">
        <w:rPr>
          <w:rFonts w:ascii="Verdana" w:hAnsi="Verdana" w:cs="Arial"/>
          <w:sz w:val="20"/>
          <w:szCs w:val="20"/>
          <w:lang w:eastAsia="es-CR"/>
        </w:rPr>
        <w:t>recuperación y eventual identificación de los restos óseos humanos recuperados.</w:t>
      </w:r>
    </w:p>
    <w:p w:rsidR="00106A1E" w:rsidRPr="009201B5" w:rsidRDefault="00106A1E" w:rsidP="00106A1E">
      <w:pPr>
        <w:spacing w:after="0" w:line="240" w:lineRule="auto"/>
        <w:jc w:val="both"/>
        <w:rPr>
          <w:rFonts w:ascii="Verdana" w:hAnsi="Verdana"/>
          <w:b/>
          <w:sz w:val="20"/>
          <w:szCs w:val="20"/>
          <w:lang w:val="es-PR"/>
        </w:rPr>
      </w:pPr>
    </w:p>
    <w:p w:rsidR="00106A1E" w:rsidRPr="002964A7" w:rsidRDefault="00106A1E" w:rsidP="001154F9">
      <w:pPr>
        <w:numPr>
          <w:ilvl w:val="0"/>
          <w:numId w:val="12"/>
        </w:numPr>
        <w:spacing w:after="0" w:line="240" w:lineRule="auto"/>
        <w:contextualSpacing/>
        <w:jc w:val="both"/>
        <w:rPr>
          <w:rFonts w:ascii="Verdana" w:hAnsi="Verdana"/>
          <w:bCs/>
          <w:i/>
          <w:sz w:val="20"/>
          <w:szCs w:val="20"/>
          <w:lang w:eastAsia="es-CR"/>
        </w:rPr>
      </w:pPr>
      <w:r w:rsidRPr="002964A7">
        <w:rPr>
          <w:rFonts w:ascii="Verdana" w:hAnsi="Verdana"/>
          <w:i/>
          <w:spacing w:val="-2"/>
          <w:sz w:val="20"/>
          <w:szCs w:val="20"/>
          <w:lang w:eastAsia="es-CR"/>
        </w:rPr>
        <w:t>La negativa de las autoridades del Ejército de reconocer la detención de las víctimas durante los primeros días de ocurridos los hechos</w:t>
      </w:r>
    </w:p>
    <w:p w:rsidR="00106A1E" w:rsidRPr="000F6053" w:rsidRDefault="00106A1E" w:rsidP="00106A1E">
      <w:pPr>
        <w:spacing w:after="0" w:line="240" w:lineRule="auto"/>
        <w:contextualSpacing/>
        <w:jc w:val="both"/>
        <w:rPr>
          <w:rFonts w:ascii="Verdana" w:hAnsi="Verdana"/>
          <w:bCs/>
          <w:i/>
          <w:sz w:val="20"/>
          <w:szCs w:val="20"/>
          <w:lang w:eastAsia="es-CR"/>
        </w:rPr>
      </w:pPr>
    </w:p>
    <w:p w:rsidR="00106A1E" w:rsidRPr="000F6053"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0F6053">
        <w:rPr>
          <w:rFonts w:ascii="Verdana" w:hAnsi="Verdana" w:cs="Times"/>
          <w:sz w:val="20"/>
          <w:szCs w:val="20"/>
          <w:lang w:val="es-ES_tradnl" w:eastAsia="es-CR"/>
        </w:rPr>
        <w:lastRenderedPageBreak/>
        <w:t>Es un hecho probado</w:t>
      </w:r>
      <w:r w:rsidRPr="000F6053">
        <w:rPr>
          <w:rFonts w:ascii="Verdana" w:hAnsi="Verdana"/>
          <w:sz w:val="20"/>
          <w:szCs w:val="20"/>
          <w:lang w:eastAsia="es-CR"/>
        </w:rPr>
        <w:t xml:space="preserve"> que</w:t>
      </w:r>
      <w:r>
        <w:rPr>
          <w:rFonts w:ascii="Verdana" w:hAnsi="Verdana"/>
          <w:sz w:val="20"/>
          <w:szCs w:val="20"/>
          <w:lang w:eastAsia="es-CR"/>
        </w:rPr>
        <w:t>,</w:t>
      </w:r>
      <w:r w:rsidRPr="000F6053">
        <w:rPr>
          <w:rFonts w:ascii="Verdana" w:hAnsi="Verdana"/>
          <w:sz w:val="20"/>
          <w:szCs w:val="20"/>
          <w:lang w:eastAsia="es-CR"/>
        </w:rPr>
        <w:t xml:space="preserve"> en el marco de las investigaciones </w:t>
      </w:r>
      <w:r>
        <w:rPr>
          <w:rFonts w:ascii="Verdana" w:hAnsi="Verdana"/>
          <w:sz w:val="20"/>
          <w:szCs w:val="20"/>
          <w:lang w:eastAsia="es-CR"/>
        </w:rPr>
        <w:t>realizadas</w:t>
      </w:r>
      <w:r w:rsidRPr="000F6053">
        <w:rPr>
          <w:rFonts w:ascii="Verdana" w:hAnsi="Verdana"/>
          <w:sz w:val="20"/>
          <w:szCs w:val="20"/>
          <w:lang w:eastAsia="es-CR"/>
        </w:rPr>
        <w:t xml:space="preserve"> por la </w:t>
      </w:r>
      <w:r w:rsidRPr="000F6053">
        <w:rPr>
          <w:rFonts w:ascii="Verdana" w:hAnsi="Verdana" w:cs="Arial"/>
          <w:sz w:val="20"/>
          <w:szCs w:val="20"/>
          <w:lang w:eastAsia="es-CR"/>
        </w:rPr>
        <w:t>Fiscal Provincial Especial de Prevención del Delito de Huancavelica</w:t>
      </w:r>
      <w:r w:rsidRPr="000F6053">
        <w:rPr>
          <w:rFonts w:ascii="Verdana" w:hAnsi="Verdana"/>
          <w:sz w:val="20"/>
          <w:szCs w:val="20"/>
          <w:lang w:eastAsia="es-CR"/>
        </w:rPr>
        <w:t>, el 11 de julio de 1991 autoridades del Ejército negaron la detención</w:t>
      </w:r>
      <w:r w:rsidRPr="000F6053">
        <w:rPr>
          <w:rFonts w:ascii="Verdana" w:hAnsi="Verdana"/>
          <w:sz w:val="20"/>
          <w:szCs w:val="20"/>
          <w:vertAlign w:val="superscript"/>
          <w:lang w:eastAsia="es-CR"/>
        </w:rPr>
        <w:t xml:space="preserve"> </w:t>
      </w:r>
      <w:r w:rsidRPr="000F6053">
        <w:rPr>
          <w:rFonts w:ascii="Verdana" w:hAnsi="Verdana" w:cs="Arial"/>
          <w:sz w:val="20"/>
          <w:szCs w:val="20"/>
          <w:lang w:eastAsia="es-CR"/>
        </w:rPr>
        <w:t>de los catorce pobladores de la comunidad campesina de Santa Bárbara (</w:t>
      </w:r>
      <w:r w:rsidRPr="000F6053">
        <w:rPr>
          <w:rFonts w:ascii="Verdana" w:hAnsi="Verdana" w:cs="Arial"/>
          <w:i/>
          <w:sz w:val="20"/>
          <w:szCs w:val="20"/>
          <w:lang w:eastAsia="es-CR"/>
        </w:rPr>
        <w:t>supra</w:t>
      </w:r>
      <w:r w:rsidRPr="000F6053">
        <w:rPr>
          <w:rFonts w:ascii="Verdana" w:hAnsi="Verdana" w:cs="Arial"/>
          <w:sz w:val="20"/>
          <w:szCs w:val="20"/>
          <w:lang w:eastAsia="es-CR"/>
        </w:rPr>
        <w:t xml:space="preserve"> párr. </w:t>
      </w:r>
      <w:r>
        <w:rPr>
          <w:rFonts w:ascii="Verdana" w:hAnsi="Verdana" w:cs="Arial"/>
          <w:sz w:val="20"/>
          <w:szCs w:val="20"/>
          <w:lang w:eastAsia="es-CR"/>
        </w:rPr>
        <w:t>95</w:t>
      </w:r>
      <w:r w:rsidRPr="000F6053">
        <w:rPr>
          <w:rFonts w:ascii="Verdana" w:hAnsi="Verdana" w:cs="Arial"/>
          <w:sz w:val="20"/>
          <w:szCs w:val="20"/>
          <w:lang w:eastAsia="es-CR"/>
        </w:rPr>
        <w:t>).</w:t>
      </w:r>
      <w:r w:rsidRPr="000F6053">
        <w:rPr>
          <w:rFonts w:ascii="Verdana" w:hAnsi="Verdana"/>
          <w:sz w:val="20"/>
          <w:szCs w:val="20"/>
          <w:lang w:eastAsia="es-CR"/>
        </w:rPr>
        <w:t xml:space="preserve"> Al respecto, la </w:t>
      </w:r>
      <w:r w:rsidR="004C74EB">
        <w:rPr>
          <w:rFonts w:ascii="Verdana" w:hAnsi="Verdana" w:cs="Univers"/>
          <w:sz w:val="20"/>
          <w:szCs w:val="20"/>
          <w:lang w:val="es-CO" w:eastAsia="es-CR"/>
        </w:rPr>
        <w:t>s</w:t>
      </w:r>
      <w:r w:rsidRPr="000F6053">
        <w:rPr>
          <w:rFonts w:ascii="Verdana" w:hAnsi="Verdana" w:cs="Univers"/>
          <w:sz w:val="20"/>
          <w:szCs w:val="20"/>
          <w:lang w:val="es-CO" w:eastAsia="es-CR"/>
        </w:rPr>
        <w:t>entencia de la</w:t>
      </w:r>
      <w:r w:rsidRPr="000F6053">
        <w:rPr>
          <w:rFonts w:ascii="Verdana" w:hAnsi="Verdana" w:cs="Arial"/>
          <w:sz w:val="20"/>
          <w:szCs w:val="20"/>
          <w:lang w:eastAsia="es-CR"/>
        </w:rPr>
        <w:t xml:space="preserve"> Sala Penal Nacional de la Corte Superior de Justica de Lima</w:t>
      </w:r>
      <w:r w:rsidRPr="000F6053">
        <w:rPr>
          <w:rFonts w:ascii="Verdana" w:hAnsi="Verdana"/>
          <w:sz w:val="20"/>
          <w:szCs w:val="20"/>
          <w:lang w:eastAsia="es-CR"/>
        </w:rPr>
        <w:t xml:space="preserve"> </w:t>
      </w:r>
      <w:r w:rsidRPr="000F6053">
        <w:rPr>
          <w:rFonts w:ascii="Verdana" w:hAnsi="Verdana" w:cs="Univers"/>
          <w:sz w:val="20"/>
          <w:szCs w:val="20"/>
          <w:lang w:val="es-CO" w:eastAsia="es-CR"/>
        </w:rPr>
        <w:t xml:space="preserve">de </w:t>
      </w:r>
      <w:r w:rsidRPr="000F6053">
        <w:rPr>
          <w:rFonts w:ascii="Verdana" w:hAnsi="Verdana" w:cs="Arial"/>
          <w:sz w:val="20"/>
          <w:szCs w:val="20"/>
          <w:lang w:eastAsia="es-CR"/>
        </w:rPr>
        <w:t>9 de febrero de 2012 tuvo por probado que</w:t>
      </w:r>
      <w:r>
        <w:rPr>
          <w:rFonts w:ascii="Verdana" w:hAnsi="Verdana" w:cs="Arial"/>
          <w:sz w:val="20"/>
          <w:szCs w:val="20"/>
          <w:lang w:eastAsia="es-CR"/>
        </w:rPr>
        <w:t>,</w:t>
      </w:r>
      <w:r w:rsidRPr="000F6053">
        <w:rPr>
          <w:rFonts w:ascii="Verdana" w:hAnsi="Verdana" w:cs="Arial"/>
          <w:sz w:val="20"/>
          <w:szCs w:val="20"/>
          <w:lang w:eastAsia="es-CR"/>
        </w:rPr>
        <w:t xml:space="preserve"> “después del asesinato de los agraviados, la patrulla [</w:t>
      </w:r>
      <w:r w:rsidRPr="000F6053">
        <w:rPr>
          <w:rFonts w:ascii="Verdana" w:hAnsi="Verdana"/>
          <w:sz w:val="20"/>
          <w:szCs w:val="20"/>
          <w:lang w:eastAsia="es-CR"/>
        </w:rPr>
        <w:t>militar ‘Escorpio’</w:t>
      </w:r>
      <w:r w:rsidRPr="000F6053">
        <w:rPr>
          <w:rFonts w:ascii="Verdana" w:hAnsi="Verdana" w:cs="Arial"/>
          <w:sz w:val="20"/>
          <w:szCs w:val="20"/>
          <w:lang w:eastAsia="es-CR"/>
        </w:rPr>
        <w:t xml:space="preserve">] retornó a la base de Lircay, emitiéndose un informe falso sobre las circunstancias de la muerte”, mediante el cual se </w:t>
      </w:r>
      <w:r>
        <w:rPr>
          <w:rFonts w:ascii="Verdana" w:hAnsi="Verdana" w:cs="Arial"/>
          <w:sz w:val="20"/>
          <w:szCs w:val="20"/>
          <w:lang w:eastAsia="es-CR"/>
        </w:rPr>
        <w:t>señal</w:t>
      </w:r>
      <w:r w:rsidRPr="000F6053">
        <w:rPr>
          <w:rFonts w:ascii="Verdana" w:hAnsi="Verdana" w:cs="Arial"/>
          <w:sz w:val="20"/>
          <w:szCs w:val="20"/>
          <w:lang w:eastAsia="es-CR"/>
        </w:rPr>
        <w:t>ó que “todo el plan se había realizado sin novedad</w:t>
      </w:r>
      <w:r>
        <w:rPr>
          <w:rFonts w:ascii="Verdana" w:hAnsi="Verdana" w:cs="Arial"/>
          <w:sz w:val="20"/>
          <w:szCs w:val="20"/>
          <w:lang w:eastAsia="es-CR"/>
        </w:rPr>
        <w:t>[,]</w:t>
      </w:r>
      <w:r w:rsidRPr="000F6053">
        <w:rPr>
          <w:rFonts w:ascii="Verdana" w:hAnsi="Verdana" w:cs="Arial"/>
          <w:sz w:val="20"/>
          <w:szCs w:val="20"/>
          <w:lang w:eastAsia="es-CR"/>
        </w:rPr>
        <w:t xml:space="preserve"> ocultando de esta forma la matanza de los pobladores de Rodeopampa”</w:t>
      </w:r>
      <w:r w:rsidRPr="000F6053">
        <w:rPr>
          <w:rFonts w:ascii="Verdana" w:hAnsi="Verdana" w:cs="Arial"/>
          <w:sz w:val="20"/>
          <w:szCs w:val="20"/>
          <w:vertAlign w:val="superscript"/>
          <w:lang w:eastAsia="es-CR"/>
        </w:rPr>
        <w:footnoteReference w:id="201"/>
      </w:r>
      <w:r w:rsidRPr="000F6053">
        <w:rPr>
          <w:rFonts w:ascii="Verdana" w:hAnsi="Verdana"/>
          <w:iCs/>
          <w:sz w:val="20"/>
          <w:szCs w:val="20"/>
          <w:lang w:eastAsia="es-CR"/>
        </w:rPr>
        <w:t>.</w:t>
      </w:r>
      <w:r w:rsidRPr="000F6053">
        <w:rPr>
          <w:rFonts w:ascii="Verdana" w:hAnsi="Verdana"/>
          <w:sz w:val="20"/>
          <w:szCs w:val="20"/>
          <w:lang w:eastAsia="es-CR"/>
        </w:rPr>
        <w:t xml:space="preserve"> </w:t>
      </w:r>
      <w:r w:rsidRPr="000F6053">
        <w:rPr>
          <w:rFonts w:ascii="Verdana" w:eastAsia="Times New Roman" w:hAnsi="Verdana" w:cs="Arial"/>
          <w:color w:val="000000"/>
          <w:spacing w:val="-2"/>
          <w:sz w:val="20"/>
          <w:szCs w:val="20"/>
          <w:shd w:val="clear" w:color="auto" w:fill="FFFFFF"/>
          <w:lang w:eastAsia="es-CR"/>
        </w:rPr>
        <w:t xml:space="preserve">Lo anterior </w:t>
      </w:r>
      <w:r w:rsidRPr="000F6053">
        <w:rPr>
          <w:rFonts w:ascii="Verdana" w:hAnsi="Verdana"/>
          <w:spacing w:val="-2"/>
          <w:sz w:val="20"/>
          <w:szCs w:val="20"/>
        </w:rPr>
        <w:t>revela que las autoridades del Ejército ocultaron información sobre lo ocurrido a las víctimas, lo cual, de ser el caso, es acorde con la negativa de información que forma parte de una desaparición forzada.</w:t>
      </w:r>
    </w:p>
    <w:p w:rsidR="00106A1E" w:rsidRPr="000F6053" w:rsidRDefault="00106A1E" w:rsidP="00106A1E">
      <w:pPr>
        <w:spacing w:after="0" w:line="240" w:lineRule="auto"/>
        <w:contextualSpacing/>
        <w:jc w:val="both"/>
        <w:rPr>
          <w:rFonts w:ascii="Verdana" w:hAnsi="Verdana"/>
          <w:i/>
          <w:sz w:val="20"/>
          <w:szCs w:val="20"/>
          <w:lang w:eastAsia="es-CR"/>
        </w:rPr>
      </w:pPr>
    </w:p>
    <w:p w:rsidR="00106A1E" w:rsidRPr="00676467" w:rsidRDefault="00106A1E" w:rsidP="001154F9">
      <w:pPr>
        <w:numPr>
          <w:ilvl w:val="0"/>
          <w:numId w:val="12"/>
        </w:numPr>
        <w:spacing w:after="0" w:line="240" w:lineRule="auto"/>
        <w:contextualSpacing/>
        <w:jc w:val="both"/>
        <w:rPr>
          <w:rFonts w:ascii="Verdana" w:hAnsi="Verdana"/>
          <w:i/>
          <w:sz w:val="20"/>
          <w:szCs w:val="20"/>
          <w:lang w:eastAsia="es-CR"/>
        </w:rPr>
      </w:pPr>
      <w:r w:rsidRPr="000F6053">
        <w:rPr>
          <w:rFonts w:ascii="Verdana" w:hAnsi="Verdana"/>
          <w:bCs/>
          <w:i/>
          <w:sz w:val="20"/>
          <w:szCs w:val="20"/>
          <w:lang w:val="es-AR" w:eastAsia="es-CR"/>
        </w:rPr>
        <w:t>E</w:t>
      </w:r>
      <w:r w:rsidRPr="000F6053">
        <w:rPr>
          <w:rFonts w:ascii="Verdana" w:eastAsia="Calibri" w:hAnsi="Verdana" w:cs="Arial"/>
          <w:i/>
          <w:sz w:val="20"/>
          <w:szCs w:val="20"/>
          <w:lang w:eastAsia="es-CR"/>
        </w:rPr>
        <w:t xml:space="preserve">l </w:t>
      </w:r>
      <w:r w:rsidRPr="000F6053">
        <w:rPr>
          <w:rFonts w:ascii="Verdana" w:eastAsia="Calibri" w:hAnsi="Verdana" w:cs="Arial"/>
          <w:iCs/>
          <w:sz w:val="20"/>
          <w:szCs w:val="20"/>
          <w:lang w:eastAsia="es-CR"/>
        </w:rPr>
        <w:t>modus</w:t>
      </w:r>
      <w:r w:rsidRPr="00676467">
        <w:rPr>
          <w:rFonts w:ascii="Verdana" w:eastAsia="Calibri" w:hAnsi="Verdana" w:cs="Arial"/>
          <w:iCs/>
          <w:sz w:val="20"/>
          <w:szCs w:val="20"/>
          <w:lang w:eastAsia="es-CR"/>
        </w:rPr>
        <w:t xml:space="preserve"> operandi</w:t>
      </w:r>
      <w:r w:rsidRPr="00676467">
        <w:rPr>
          <w:rFonts w:ascii="Verdana" w:eastAsia="Calibri" w:hAnsi="Verdana" w:cs="Arial"/>
          <w:i/>
          <w:iCs/>
          <w:sz w:val="20"/>
          <w:szCs w:val="20"/>
          <w:lang w:eastAsia="es-CR"/>
        </w:rPr>
        <w:t xml:space="preserve"> </w:t>
      </w:r>
      <w:r w:rsidRPr="00676467">
        <w:rPr>
          <w:rFonts w:ascii="Verdana" w:eastAsia="Calibri" w:hAnsi="Verdana" w:cs="Arial"/>
          <w:i/>
          <w:sz w:val="20"/>
          <w:szCs w:val="20"/>
          <w:lang w:eastAsia="es-CR"/>
        </w:rPr>
        <w:t xml:space="preserve">utilizado en la destrucción de evidencias </w:t>
      </w:r>
      <w:r w:rsidRPr="00676467">
        <w:rPr>
          <w:rFonts w:ascii="Verdana" w:hAnsi="Verdana"/>
          <w:i/>
          <w:spacing w:val="-2"/>
          <w:sz w:val="20"/>
          <w:szCs w:val="20"/>
          <w:lang w:eastAsia="es-CR"/>
        </w:rPr>
        <w:t>durante los primeros días de ocurridos los hechos</w:t>
      </w:r>
    </w:p>
    <w:p w:rsidR="00106A1E" w:rsidRPr="00676467" w:rsidRDefault="00106A1E" w:rsidP="00106A1E">
      <w:pPr>
        <w:spacing w:after="0" w:line="240" w:lineRule="auto"/>
        <w:contextualSpacing/>
        <w:jc w:val="both"/>
        <w:rPr>
          <w:rFonts w:ascii="Verdana" w:eastAsia="MS Mincho" w:hAnsi="Verdana" w:cs="Arial"/>
          <w:sz w:val="20"/>
          <w:szCs w:val="20"/>
          <w:lang w:val="es-ES_tradnl"/>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iCs/>
          <w:sz w:val="20"/>
          <w:szCs w:val="20"/>
          <w:lang w:eastAsia="es-CR"/>
        </w:rPr>
      </w:pPr>
      <w:r w:rsidRPr="002964A7">
        <w:rPr>
          <w:rFonts w:ascii="Verdana" w:hAnsi="Verdana"/>
          <w:sz w:val="20"/>
          <w:szCs w:val="20"/>
          <w:lang w:val="es-ES_tradnl" w:eastAsia="es-CR"/>
        </w:rPr>
        <w:t>Es un hecho probado que</w:t>
      </w:r>
      <w:r w:rsidRPr="002964A7">
        <w:rPr>
          <w:rFonts w:ascii="Verdana" w:hAnsi="Verdana"/>
          <w:sz w:val="20"/>
          <w:szCs w:val="20"/>
          <w:lang w:eastAsia="es-CR"/>
        </w:rPr>
        <w:t xml:space="preserve"> el 4 de julio de 1991 y una vez que las víctimas de este caso fueron </w:t>
      </w:r>
      <w:r w:rsidRPr="002964A7">
        <w:rPr>
          <w:rFonts w:ascii="Verdana" w:hAnsi="Verdana"/>
          <w:iCs/>
          <w:sz w:val="20"/>
          <w:szCs w:val="20"/>
          <w:lang w:eastAsia="es-CR"/>
        </w:rPr>
        <w:t>acribilladas con fusiles, sus restos</w:t>
      </w:r>
      <w:r w:rsidRPr="002964A7">
        <w:rPr>
          <w:rFonts w:ascii="Verdana" w:hAnsi="Verdana"/>
          <w:sz w:val="20"/>
          <w:szCs w:val="20"/>
          <w:lang w:eastAsia="es-CR"/>
        </w:rPr>
        <w:t xml:space="preserve"> fueron dinamitados, </w:t>
      </w:r>
      <w:r w:rsidRPr="002964A7">
        <w:rPr>
          <w:rFonts w:ascii="Verdana" w:hAnsi="Verdana"/>
          <w:iCs/>
          <w:sz w:val="20"/>
          <w:szCs w:val="20"/>
          <w:lang w:eastAsia="es-CR"/>
        </w:rPr>
        <w:t>provocando su fraccionamiento</w:t>
      </w:r>
      <w:r w:rsidRPr="002964A7">
        <w:rPr>
          <w:rFonts w:ascii="Verdana" w:hAnsi="Verdana"/>
          <w:sz w:val="20"/>
          <w:szCs w:val="20"/>
          <w:lang w:eastAsia="es-CR"/>
        </w:rPr>
        <w:t>. Posteriormente y en el marco de la búsqueda de las víctimas, el 8 de julio</w:t>
      </w:r>
      <w:r>
        <w:rPr>
          <w:rFonts w:ascii="Verdana" w:hAnsi="Verdana"/>
          <w:sz w:val="20"/>
          <w:szCs w:val="20"/>
          <w:lang w:eastAsia="es-CR"/>
        </w:rPr>
        <w:t xml:space="preserve"> de 1991</w:t>
      </w:r>
      <w:r w:rsidRPr="002964A7">
        <w:rPr>
          <w:rFonts w:ascii="Verdana" w:hAnsi="Verdana"/>
          <w:sz w:val="20"/>
          <w:szCs w:val="20"/>
          <w:lang w:eastAsia="es-CR"/>
        </w:rPr>
        <w:t xml:space="preserve"> tres de sus familiares pudieron </w:t>
      </w:r>
      <w:r w:rsidRPr="002964A7">
        <w:rPr>
          <w:rFonts w:ascii="Verdana" w:hAnsi="Verdana" w:cs="Helvetica"/>
          <w:sz w:val="20"/>
          <w:szCs w:val="20"/>
          <w:lang w:eastAsia="es-CR" w:bidi="en-US"/>
        </w:rPr>
        <w:t>observar</w:t>
      </w:r>
      <w:r w:rsidRPr="002964A7">
        <w:rPr>
          <w:rFonts w:ascii="Verdana" w:hAnsi="Verdana"/>
          <w:sz w:val="20"/>
          <w:szCs w:val="20"/>
          <w:lang w:eastAsia="es-CR"/>
        </w:rPr>
        <w:t xml:space="preserve"> restos de cuerpos humanos en la mina y algunos de ellos lograron reconocer los cuerpos de al menos cinco de sus familiares e identificaron también algunas de sus pertenencias. En cambio, el 11 de julio, es decir, tres días después, otro familiar de las víctimas únicamente reconoció el cadáver de un familiar entre cuerpos humanos semienterrados. Finalmente, </w:t>
      </w:r>
      <w:r w:rsidRPr="002964A7">
        <w:rPr>
          <w:rFonts w:ascii="Verdana" w:hAnsi="Verdana" w:cs="Arial"/>
          <w:sz w:val="20"/>
          <w:szCs w:val="20"/>
          <w:lang w:eastAsia="es-CR"/>
        </w:rPr>
        <w:t>en la diligencia realizada el 18 de julio únicamente</w:t>
      </w:r>
      <w:r w:rsidRPr="002964A7">
        <w:rPr>
          <w:rFonts w:ascii="Verdana" w:hAnsi="Verdana"/>
          <w:sz w:val="20"/>
          <w:szCs w:val="20"/>
          <w:lang w:eastAsia="es-CR"/>
        </w:rPr>
        <w:t xml:space="preserve"> se pudieron encontrar </w:t>
      </w:r>
      <w:r w:rsidRPr="002964A7">
        <w:rPr>
          <w:rFonts w:ascii="Verdana" w:hAnsi="Verdana"/>
          <w:iCs/>
          <w:sz w:val="20"/>
          <w:szCs w:val="20"/>
          <w:lang w:eastAsia="es-CR"/>
        </w:rPr>
        <w:t>diversas partes</w:t>
      </w:r>
      <w:r>
        <w:rPr>
          <w:rFonts w:ascii="Verdana" w:hAnsi="Verdana"/>
          <w:iCs/>
          <w:sz w:val="20"/>
          <w:szCs w:val="20"/>
          <w:lang w:eastAsia="es-CR"/>
        </w:rPr>
        <w:t xml:space="preserve"> humanas</w:t>
      </w:r>
      <w:r w:rsidRPr="002964A7">
        <w:rPr>
          <w:rFonts w:ascii="Verdana" w:hAnsi="Verdana"/>
          <w:iCs/>
          <w:sz w:val="20"/>
          <w:szCs w:val="20"/>
          <w:lang w:eastAsia="es-CR"/>
        </w:rPr>
        <w:t xml:space="preserve"> y órganos desperdigados por el lugar</w:t>
      </w:r>
      <w:r>
        <w:rPr>
          <w:rFonts w:ascii="Verdana" w:hAnsi="Verdana"/>
          <w:iCs/>
          <w:sz w:val="20"/>
          <w:szCs w:val="20"/>
          <w:lang w:eastAsia="es-CR"/>
        </w:rPr>
        <w:t>,</w:t>
      </w:r>
      <w:r w:rsidRPr="002964A7">
        <w:rPr>
          <w:rFonts w:ascii="Verdana" w:hAnsi="Verdana"/>
          <w:iCs/>
          <w:sz w:val="20"/>
          <w:szCs w:val="20"/>
          <w:lang w:eastAsia="es-CR"/>
        </w:rPr>
        <w:t xml:space="preserve"> sin que en esa oportunidad se pudiera reconocer ningún cuerpo ni pertenencias de las víctimas. Es decir, entre </w:t>
      </w:r>
      <w:r>
        <w:rPr>
          <w:rFonts w:ascii="Verdana" w:hAnsi="Verdana"/>
          <w:iCs/>
          <w:sz w:val="20"/>
          <w:szCs w:val="20"/>
          <w:lang w:eastAsia="es-CR"/>
        </w:rPr>
        <w:t>los días</w:t>
      </w:r>
      <w:r w:rsidRPr="002964A7">
        <w:rPr>
          <w:rFonts w:ascii="Verdana" w:hAnsi="Verdana"/>
          <w:iCs/>
          <w:sz w:val="20"/>
          <w:szCs w:val="20"/>
          <w:lang w:eastAsia="es-CR"/>
        </w:rPr>
        <w:t xml:space="preserve"> 4, 8, 11 y 18 de julio de 1991 gradualmente los restos humanos que presuntivamente habían quedado en la mina se tornaron irreconocibles, siendo que en todas esas oportunidades se observaron</w:t>
      </w:r>
      <w:r w:rsidRPr="002964A7">
        <w:rPr>
          <w:rFonts w:ascii="Verdana" w:hAnsi="Verdana"/>
          <w:sz w:val="20"/>
          <w:szCs w:val="20"/>
          <w:lang w:eastAsia="es-CR"/>
        </w:rPr>
        <w:t xml:space="preserve"> </w:t>
      </w:r>
      <w:r w:rsidRPr="002964A7">
        <w:rPr>
          <w:rFonts w:ascii="Verdana" w:hAnsi="Verdana" w:cs="Arial"/>
          <w:sz w:val="20"/>
          <w:szCs w:val="20"/>
        </w:rPr>
        <w:t>cartuchos de dinamita y pedazos de mechas</w:t>
      </w:r>
      <w:r w:rsidRPr="002964A7">
        <w:rPr>
          <w:rFonts w:ascii="Verdana" w:hAnsi="Verdana"/>
          <w:iCs/>
          <w:sz w:val="20"/>
          <w:szCs w:val="20"/>
          <w:lang w:eastAsia="es-CR"/>
        </w:rPr>
        <w:t xml:space="preserve"> (</w:t>
      </w:r>
      <w:r w:rsidRPr="002964A7">
        <w:rPr>
          <w:rFonts w:ascii="Verdana" w:hAnsi="Verdana"/>
          <w:i/>
          <w:iCs/>
          <w:sz w:val="20"/>
          <w:szCs w:val="20"/>
          <w:lang w:eastAsia="es-CR"/>
        </w:rPr>
        <w:t>supra</w:t>
      </w:r>
      <w:r w:rsidRPr="002964A7">
        <w:rPr>
          <w:rFonts w:ascii="Verdana" w:hAnsi="Verdana"/>
          <w:iCs/>
          <w:sz w:val="20"/>
          <w:szCs w:val="20"/>
          <w:lang w:eastAsia="es-CR"/>
        </w:rPr>
        <w:t xml:space="preserve"> párrs. </w:t>
      </w:r>
      <w:r>
        <w:rPr>
          <w:rFonts w:ascii="Verdana" w:hAnsi="Verdana"/>
          <w:iCs/>
          <w:sz w:val="20"/>
          <w:szCs w:val="20"/>
          <w:lang w:eastAsia="es-CR"/>
        </w:rPr>
        <w:t>93, 94 y 101</w:t>
      </w:r>
      <w:r w:rsidRPr="002964A7">
        <w:rPr>
          <w:rFonts w:ascii="Verdana" w:hAnsi="Verdana"/>
          <w:iCs/>
          <w:sz w:val="20"/>
          <w:szCs w:val="20"/>
          <w:lang w:eastAsia="es-CR"/>
        </w:rPr>
        <w:t>).</w:t>
      </w:r>
    </w:p>
    <w:p w:rsidR="00106A1E" w:rsidRPr="002964A7" w:rsidRDefault="00106A1E" w:rsidP="00106A1E">
      <w:pPr>
        <w:autoSpaceDE w:val="0"/>
        <w:autoSpaceDN w:val="0"/>
        <w:adjustRightInd w:val="0"/>
        <w:spacing w:after="0" w:line="240" w:lineRule="auto"/>
        <w:jc w:val="both"/>
        <w:rPr>
          <w:rFonts w:ascii="Verdana" w:hAnsi="Verdana"/>
          <w:iCs/>
          <w:sz w:val="20"/>
          <w:szCs w:val="20"/>
          <w:lang w:eastAsia="es-CR"/>
        </w:rPr>
      </w:pPr>
    </w:p>
    <w:p w:rsidR="00106A1E" w:rsidRPr="00445E80"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iCs/>
          <w:sz w:val="20"/>
          <w:szCs w:val="20"/>
          <w:lang w:eastAsia="es-CR"/>
        </w:rPr>
      </w:pPr>
      <w:r w:rsidRPr="002964A7">
        <w:rPr>
          <w:rFonts w:ascii="Verdana" w:hAnsi="Verdana" w:cs="Univers"/>
          <w:sz w:val="20"/>
          <w:szCs w:val="20"/>
          <w:lang w:val="es-CO" w:eastAsia="es-CR"/>
        </w:rPr>
        <w:t xml:space="preserve">Al respecto, </w:t>
      </w:r>
      <w:r w:rsidRPr="002964A7">
        <w:rPr>
          <w:rFonts w:ascii="Verdana" w:hAnsi="Verdana"/>
          <w:sz w:val="20"/>
          <w:szCs w:val="20"/>
          <w:lang w:eastAsia="es-CR"/>
        </w:rPr>
        <w:t xml:space="preserve">en </w:t>
      </w:r>
      <w:r>
        <w:rPr>
          <w:rFonts w:ascii="Verdana" w:hAnsi="Verdana"/>
          <w:sz w:val="20"/>
          <w:szCs w:val="20"/>
          <w:lang w:eastAsia="es-CR"/>
        </w:rPr>
        <w:t>su</w:t>
      </w:r>
      <w:r w:rsidRPr="002964A7">
        <w:rPr>
          <w:rFonts w:ascii="Verdana" w:hAnsi="Verdana"/>
          <w:sz w:val="20"/>
          <w:szCs w:val="20"/>
          <w:lang w:eastAsia="es-CR"/>
        </w:rPr>
        <w:t xml:space="preserve"> </w:t>
      </w:r>
      <w:r w:rsidR="004C74EB">
        <w:rPr>
          <w:rFonts w:ascii="Verdana" w:hAnsi="Verdana"/>
          <w:sz w:val="20"/>
          <w:szCs w:val="20"/>
          <w:lang w:eastAsia="es-CR"/>
        </w:rPr>
        <w:t>s</w:t>
      </w:r>
      <w:r w:rsidRPr="002964A7">
        <w:rPr>
          <w:rFonts w:ascii="Verdana" w:hAnsi="Verdana"/>
          <w:sz w:val="20"/>
          <w:szCs w:val="20"/>
          <w:lang w:eastAsia="es-CR"/>
        </w:rPr>
        <w:t>entencia de</w:t>
      </w:r>
      <w:r w:rsidRPr="002964A7">
        <w:rPr>
          <w:rFonts w:ascii="Verdana" w:hAnsi="Verdana" w:cs="Arial"/>
          <w:sz w:val="20"/>
          <w:szCs w:val="20"/>
          <w:lang w:eastAsia="es-CR"/>
        </w:rPr>
        <w:t xml:space="preserve"> 9 de febrero de 2012 la Sala Penal Nacional de la Corte Superior de Justica de Lima</w:t>
      </w:r>
      <w:r w:rsidRPr="002964A7">
        <w:rPr>
          <w:rFonts w:ascii="Verdana" w:hAnsi="Verdana"/>
          <w:iCs/>
          <w:sz w:val="20"/>
          <w:szCs w:val="20"/>
          <w:lang w:eastAsia="es-CR"/>
        </w:rPr>
        <w:t xml:space="preserve"> </w:t>
      </w:r>
      <w:r w:rsidRPr="002964A7">
        <w:rPr>
          <w:rFonts w:ascii="Verdana" w:hAnsi="Verdana"/>
          <w:sz w:val="20"/>
          <w:szCs w:val="20"/>
          <w:lang w:eastAsia="es-CR"/>
        </w:rPr>
        <w:t xml:space="preserve">estableció </w:t>
      </w:r>
      <w:r w:rsidRPr="002964A7">
        <w:rPr>
          <w:rFonts w:ascii="Verdana" w:hAnsi="Verdana"/>
          <w:sz w:val="20"/>
          <w:szCs w:val="20"/>
          <w:lang w:val="es-ES" w:eastAsia="es-CR"/>
        </w:rPr>
        <w:t xml:space="preserve">como hecho </w:t>
      </w:r>
      <w:r w:rsidRPr="002964A7">
        <w:rPr>
          <w:rFonts w:ascii="Verdana" w:hAnsi="Verdana" w:cs="Helvetica"/>
          <w:sz w:val="20"/>
          <w:szCs w:val="20"/>
          <w:lang w:eastAsia="es-CR" w:bidi="en-US"/>
        </w:rPr>
        <w:t>probado</w:t>
      </w:r>
      <w:r w:rsidRPr="002964A7">
        <w:rPr>
          <w:rFonts w:ascii="Verdana" w:hAnsi="Verdana"/>
          <w:sz w:val="20"/>
          <w:szCs w:val="20"/>
          <w:lang w:val="es-ES" w:eastAsia="es-CR"/>
        </w:rPr>
        <w:t xml:space="preserve"> que se dio la orden a cuatro militares “de retornar a borrar las evidencias del crimen, y que </w:t>
      </w:r>
      <w:r w:rsidR="00335E16">
        <w:rPr>
          <w:rFonts w:ascii="Verdana" w:hAnsi="Verdana"/>
          <w:sz w:val="20"/>
          <w:szCs w:val="20"/>
          <w:lang w:val="es-ES" w:eastAsia="es-CR"/>
        </w:rPr>
        <w:t>e</w:t>
      </w:r>
      <w:r w:rsidRPr="002964A7">
        <w:rPr>
          <w:rFonts w:ascii="Verdana" w:hAnsi="Verdana"/>
          <w:sz w:val="20"/>
          <w:szCs w:val="20"/>
          <w:lang w:val="es-ES" w:eastAsia="es-CR"/>
        </w:rPr>
        <w:t xml:space="preserve">stos aceptaron, enrumbándose en camión de retorno a la mina Misteriosa, tan solo dos días después de </w:t>
      </w:r>
      <w:r w:rsidRPr="002964A7">
        <w:rPr>
          <w:rFonts w:ascii="Verdana" w:hAnsi="Verdana"/>
          <w:sz w:val="20"/>
          <w:szCs w:val="20"/>
          <w:lang w:eastAsia="es-CR"/>
        </w:rPr>
        <w:t>ocurridos</w:t>
      </w:r>
      <w:r w:rsidRPr="002964A7">
        <w:rPr>
          <w:rFonts w:ascii="Verdana" w:hAnsi="Verdana"/>
          <w:sz w:val="20"/>
          <w:szCs w:val="20"/>
          <w:lang w:val="es-ES" w:eastAsia="es-CR"/>
        </w:rPr>
        <w:t xml:space="preserve"> los hechos – el seis de julio de 1991”</w:t>
      </w:r>
      <w:r w:rsidRPr="002964A7">
        <w:rPr>
          <w:rFonts w:ascii="Verdana" w:hAnsi="Verdana"/>
          <w:sz w:val="20"/>
          <w:szCs w:val="20"/>
          <w:vertAlign w:val="superscript"/>
        </w:rPr>
        <w:footnoteReference w:id="202"/>
      </w:r>
      <w:r w:rsidRPr="002964A7">
        <w:rPr>
          <w:rFonts w:ascii="Verdana" w:hAnsi="Verdana"/>
          <w:sz w:val="20"/>
          <w:szCs w:val="20"/>
          <w:lang w:eastAsia="es-CR"/>
        </w:rPr>
        <w:t>. La Sala Penal Nacional no determinó lo ocurrido con posterioridad</w:t>
      </w:r>
      <w:r>
        <w:rPr>
          <w:rFonts w:ascii="Verdana" w:hAnsi="Verdana"/>
          <w:sz w:val="20"/>
          <w:szCs w:val="20"/>
          <w:lang w:eastAsia="es-CR"/>
        </w:rPr>
        <w:t xml:space="preserve"> a ello</w:t>
      </w:r>
      <w:r w:rsidRPr="002964A7">
        <w:rPr>
          <w:rFonts w:ascii="Verdana" w:hAnsi="Verdana"/>
          <w:sz w:val="20"/>
          <w:szCs w:val="20"/>
          <w:lang w:eastAsia="es-CR"/>
        </w:rPr>
        <w:t xml:space="preserve">. Las declaraciones a nivel interno de un acusado y dos testigos indican que si bien cuatro personas se dirigieron con rumbo a la mina, no llegaron a </w:t>
      </w:r>
      <w:r w:rsidR="00335E16">
        <w:rPr>
          <w:rFonts w:ascii="Verdana" w:hAnsi="Verdana"/>
          <w:sz w:val="20"/>
          <w:szCs w:val="20"/>
          <w:lang w:eastAsia="es-CR"/>
        </w:rPr>
        <w:t>e</w:t>
      </w:r>
      <w:r w:rsidRPr="002964A7">
        <w:rPr>
          <w:rFonts w:ascii="Verdana" w:hAnsi="Verdana"/>
          <w:sz w:val="20"/>
          <w:szCs w:val="20"/>
          <w:lang w:eastAsia="es-CR"/>
        </w:rPr>
        <w:t>sta y tampoco cumplieron la orden</w:t>
      </w:r>
      <w:r w:rsidRPr="002964A7">
        <w:rPr>
          <w:rFonts w:ascii="Verdana" w:hAnsi="Verdana"/>
          <w:sz w:val="20"/>
          <w:szCs w:val="20"/>
          <w:vertAlign w:val="superscript"/>
          <w:lang w:eastAsia="es-CR"/>
        </w:rPr>
        <w:footnoteReference w:id="203"/>
      </w:r>
      <w:r w:rsidRPr="002964A7">
        <w:rPr>
          <w:rFonts w:ascii="Verdana" w:hAnsi="Verdana"/>
          <w:sz w:val="20"/>
          <w:szCs w:val="20"/>
          <w:lang w:eastAsia="es-CR"/>
        </w:rPr>
        <w:t xml:space="preserve">. A su vez, otro testigo sostuvo en su declaración que, “[u]na semana después”, el </w:t>
      </w:r>
      <w:r w:rsidRPr="002964A7">
        <w:rPr>
          <w:rFonts w:ascii="Verdana" w:hAnsi="Verdana"/>
          <w:sz w:val="20"/>
          <w:szCs w:val="20"/>
          <w:lang w:val="es-GT" w:eastAsia="es-CR"/>
        </w:rPr>
        <w:t xml:space="preserve">Teniente al mando de la patrulla “Escorpio” </w:t>
      </w:r>
      <w:r w:rsidRPr="002964A7">
        <w:rPr>
          <w:rFonts w:ascii="Verdana" w:hAnsi="Verdana"/>
          <w:sz w:val="20"/>
          <w:szCs w:val="20"/>
          <w:lang w:eastAsia="es-CR"/>
        </w:rPr>
        <w:t>“les ordenó que regresaran a la mina para mover los cuerpos […]. Ésta misión fue encomendada a un grupo de 08 o 10 militares vestidos de civil”. Explicó que “[l]a entrada de la mina estaba tapada de piedras, [las cuales] remov</w:t>
      </w:r>
      <w:r w:rsidR="00884B9C">
        <w:rPr>
          <w:rFonts w:ascii="Verdana" w:hAnsi="Verdana"/>
          <w:sz w:val="20"/>
          <w:szCs w:val="20"/>
          <w:lang w:eastAsia="es-CR"/>
        </w:rPr>
        <w:t>i</w:t>
      </w:r>
      <w:r w:rsidRPr="002964A7">
        <w:rPr>
          <w:rFonts w:ascii="Verdana" w:hAnsi="Verdana"/>
          <w:sz w:val="20"/>
          <w:szCs w:val="20"/>
          <w:lang w:eastAsia="es-CR"/>
        </w:rPr>
        <w:t xml:space="preserve">[eron] para extraer los miembros humanos desmembrados, y </w:t>
      </w:r>
      <w:r w:rsidRPr="00445E80">
        <w:rPr>
          <w:rFonts w:ascii="Verdana" w:hAnsi="Verdana"/>
          <w:sz w:val="20"/>
          <w:szCs w:val="20"/>
          <w:lang w:eastAsia="es-CR"/>
        </w:rPr>
        <w:t xml:space="preserve">colocarlos en mochilas, las cuales no eran muy grandes, refiriendo que </w:t>
      </w:r>
      <w:r w:rsidRPr="00445E80">
        <w:rPr>
          <w:rFonts w:ascii="Verdana" w:hAnsi="Verdana"/>
          <w:i/>
          <w:sz w:val="20"/>
          <w:szCs w:val="20"/>
          <w:lang w:eastAsia="es-CR"/>
        </w:rPr>
        <w:t>llevó una pierna al interior de éstas</w:t>
      </w:r>
      <w:r w:rsidRPr="00445E80">
        <w:rPr>
          <w:rFonts w:ascii="Verdana" w:hAnsi="Verdana"/>
          <w:sz w:val="20"/>
          <w:szCs w:val="20"/>
          <w:lang w:eastAsia="es-CR"/>
        </w:rPr>
        <w:t xml:space="preserve">, y al no poder obtener las demás partes humanas, se procedió a hacerlas estallar con dinamita, que presumiblemente pertenecía a la base. Una </w:t>
      </w:r>
      <w:r w:rsidRPr="00445E80">
        <w:rPr>
          <w:rFonts w:ascii="Verdana" w:hAnsi="Verdana"/>
          <w:sz w:val="20"/>
          <w:szCs w:val="20"/>
          <w:lang w:eastAsia="es-CR"/>
        </w:rPr>
        <w:lastRenderedPageBreak/>
        <w:t>hora después, colocaron las partes humanas en costales, hundiéndolas en el río con piedras que ponían en su interior, y finalizada la acción, regresaron a la base”</w:t>
      </w:r>
      <w:r w:rsidRPr="00445E80">
        <w:rPr>
          <w:rFonts w:ascii="Verdana" w:hAnsi="Verdana"/>
          <w:sz w:val="20"/>
          <w:szCs w:val="20"/>
          <w:vertAlign w:val="superscript"/>
          <w:lang w:eastAsia="es-CR"/>
        </w:rPr>
        <w:footnoteReference w:id="204"/>
      </w:r>
      <w:r w:rsidRPr="00445E80">
        <w:rPr>
          <w:rFonts w:ascii="Verdana" w:hAnsi="Verdana"/>
          <w:sz w:val="20"/>
          <w:szCs w:val="20"/>
          <w:lang w:eastAsia="es-CR"/>
        </w:rPr>
        <w:t>.</w:t>
      </w:r>
    </w:p>
    <w:p w:rsidR="00106A1E" w:rsidRPr="00445E80" w:rsidRDefault="00106A1E" w:rsidP="00106A1E">
      <w:pPr>
        <w:autoSpaceDE w:val="0"/>
        <w:autoSpaceDN w:val="0"/>
        <w:adjustRightInd w:val="0"/>
        <w:spacing w:after="0" w:line="240" w:lineRule="auto"/>
        <w:jc w:val="both"/>
        <w:rPr>
          <w:rFonts w:ascii="Verdana" w:hAnsi="Verdana"/>
          <w:sz w:val="20"/>
          <w:szCs w:val="20"/>
          <w:lang w:eastAsia="es-CR"/>
        </w:rPr>
      </w:pPr>
    </w:p>
    <w:p w:rsidR="00106A1E" w:rsidRPr="00445E80"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445E80">
        <w:rPr>
          <w:rFonts w:ascii="Verdana" w:hAnsi="Verdana"/>
          <w:iCs/>
          <w:sz w:val="20"/>
          <w:szCs w:val="20"/>
          <w:lang w:eastAsia="es-CR"/>
        </w:rPr>
        <w:t>Los elementos indicados permiten a la Corte concluir que</w:t>
      </w:r>
      <w:r>
        <w:rPr>
          <w:rFonts w:ascii="Verdana" w:hAnsi="Verdana"/>
          <w:iCs/>
          <w:sz w:val="20"/>
          <w:szCs w:val="20"/>
          <w:lang w:eastAsia="es-CR"/>
        </w:rPr>
        <w:t>,</w:t>
      </w:r>
      <w:r w:rsidRPr="00445E80">
        <w:rPr>
          <w:rFonts w:ascii="Verdana" w:hAnsi="Verdana"/>
          <w:iCs/>
          <w:sz w:val="20"/>
          <w:szCs w:val="20"/>
          <w:lang w:eastAsia="es-CR"/>
        </w:rPr>
        <w:t xml:space="preserve"> </w:t>
      </w:r>
      <w:r w:rsidRPr="00445E80">
        <w:rPr>
          <w:rFonts w:ascii="Verdana" w:hAnsi="Verdana"/>
          <w:sz w:val="20"/>
          <w:szCs w:val="20"/>
          <w:lang w:eastAsia="es-CR"/>
        </w:rPr>
        <w:t>durante los primeros catorce días de ocurridos los hechos</w:t>
      </w:r>
      <w:r>
        <w:rPr>
          <w:rFonts w:ascii="Verdana" w:hAnsi="Verdana"/>
          <w:sz w:val="20"/>
          <w:szCs w:val="20"/>
          <w:lang w:eastAsia="es-CR"/>
        </w:rPr>
        <w:t>,</w:t>
      </w:r>
      <w:r w:rsidRPr="00445E80">
        <w:rPr>
          <w:rFonts w:ascii="Verdana" w:hAnsi="Verdana"/>
          <w:sz w:val="20"/>
          <w:szCs w:val="20"/>
          <w:lang w:eastAsia="es-CR"/>
        </w:rPr>
        <w:t xml:space="preserve"> el sitio en el que presuntamente se encontraban los restos de las víctimas fue intervenido por agentes estatales, así como dinamitado en reiteradas oportunidades, con la clara intención de desaparecer de manera definitiva la evidencia y </w:t>
      </w:r>
      <w:r w:rsidRPr="00445E80">
        <w:rPr>
          <w:rFonts w:ascii="Verdana" w:hAnsi="Verdana" w:cs="Times"/>
          <w:spacing w:val="-2"/>
          <w:sz w:val="20"/>
          <w:szCs w:val="20"/>
          <w:lang w:eastAsia="es-CR"/>
        </w:rPr>
        <w:t xml:space="preserve">borrar toda </w:t>
      </w:r>
      <w:r w:rsidRPr="00445E80">
        <w:rPr>
          <w:rFonts w:ascii="Verdana" w:hAnsi="Verdana" w:cs="Helvetica"/>
          <w:sz w:val="20"/>
          <w:szCs w:val="20"/>
          <w:lang w:eastAsia="es-CR" w:bidi="en-US"/>
        </w:rPr>
        <w:t>huella</w:t>
      </w:r>
      <w:r w:rsidRPr="00445E80">
        <w:rPr>
          <w:rFonts w:ascii="Verdana" w:hAnsi="Verdana" w:cs="Times"/>
          <w:spacing w:val="-2"/>
          <w:sz w:val="20"/>
          <w:szCs w:val="20"/>
          <w:lang w:eastAsia="es-CR"/>
        </w:rPr>
        <w:t xml:space="preserve"> material del crimen. </w:t>
      </w:r>
      <w:r w:rsidRPr="00445E80">
        <w:rPr>
          <w:rFonts w:ascii="Verdana" w:hAnsi="Verdana"/>
          <w:iCs/>
          <w:sz w:val="20"/>
          <w:szCs w:val="20"/>
          <w:lang w:eastAsia="es-CR"/>
        </w:rPr>
        <w:t>E</w:t>
      </w:r>
      <w:r w:rsidRPr="00445E80">
        <w:rPr>
          <w:rFonts w:ascii="Verdana" w:hAnsi="Verdana"/>
          <w:bCs/>
          <w:sz w:val="20"/>
          <w:szCs w:val="20"/>
          <w:lang w:val="es-AR" w:eastAsia="es-CR"/>
        </w:rPr>
        <w:t xml:space="preserve">n los casos </w:t>
      </w:r>
      <w:r w:rsidRPr="00445E80">
        <w:rPr>
          <w:rFonts w:ascii="Verdana" w:hAnsi="Verdana"/>
          <w:bCs/>
          <w:i/>
          <w:sz w:val="20"/>
          <w:szCs w:val="20"/>
          <w:shd w:val="clear" w:color="auto" w:fill="FFFFFF"/>
          <w:lang w:eastAsia="es-CR"/>
        </w:rPr>
        <w:t>Anzualdo Castro</w:t>
      </w:r>
      <w:r w:rsidRPr="00445E80">
        <w:rPr>
          <w:rFonts w:ascii="Verdana" w:hAnsi="Verdana"/>
          <w:bCs/>
          <w:sz w:val="20"/>
          <w:szCs w:val="20"/>
          <w:shd w:val="clear" w:color="auto" w:fill="FFFFFF"/>
          <w:vertAlign w:val="superscript"/>
          <w:lang w:eastAsia="es-CR"/>
        </w:rPr>
        <w:footnoteReference w:id="205"/>
      </w:r>
      <w:r w:rsidRPr="00445E80">
        <w:rPr>
          <w:rFonts w:ascii="Verdana" w:hAnsi="Verdana"/>
          <w:bCs/>
          <w:sz w:val="20"/>
          <w:szCs w:val="20"/>
          <w:lang w:val="es-AR" w:eastAsia="es-CR"/>
        </w:rPr>
        <w:t xml:space="preserve">, </w:t>
      </w:r>
      <w:r w:rsidRPr="00445E80">
        <w:rPr>
          <w:rFonts w:ascii="Verdana" w:hAnsi="Verdana"/>
          <w:bCs/>
          <w:i/>
          <w:sz w:val="20"/>
          <w:szCs w:val="20"/>
          <w:shd w:val="clear" w:color="auto" w:fill="FFFFFF"/>
          <w:lang w:eastAsia="es-CR"/>
        </w:rPr>
        <w:t>Gómez Palomino</w:t>
      </w:r>
      <w:r w:rsidRPr="00445E80">
        <w:rPr>
          <w:rFonts w:ascii="Verdana" w:hAnsi="Verdana"/>
          <w:bCs/>
          <w:sz w:val="20"/>
          <w:szCs w:val="20"/>
          <w:shd w:val="clear" w:color="auto" w:fill="FFFFFF"/>
          <w:vertAlign w:val="superscript"/>
          <w:lang w:eastAsia="es-CR"/>
        </w:rPr>
        <w:footnoteReference w:id="206"/>
      </w:r>
      <w:r w:rsidRPr="00445E80">
        <w:rPr>
          <w:rFonts w:ascii="Verdana" w:hAnsi="Verdana"/>
          <w:bCs/>
          <w:sz w:val="20"/>
          <w:szCs w:val="20"/>
          <w:shd w:val="clear" w:color="auto" w:fill="FFFFFF"/>
          <w:lang w:eastAsia="es-CR"/>
        </w:rPr>
        <w:t xml:space="preserve"> y</w:t>
      </w:r>
      <w:r w:rsidRPr="00445E80">
        <w:rPr>
          <w:rFonts w:ascii="Verdana" w:hAnsi="Verdana"/>
          <w:bCs/>
          <w:sz w:val="20"/>
          <w:szCs w:val="20"/>
          <w:lang w:val="es-AR" w:eastAsia="es-CR"/>
        </w:rPr>
        <w:t xml:space="preserve"> </w:t>
      </w:r>
      <w:r w:rsidRPr="00445E80">
        <w:rPr>
          <w:rFonts w:ascii="Verdana" w:hAnsi="Verdana"/>
          <w:bCs/>
          <w:i/>
          <w:sz w:val="20"/>
          <w:szCs w:val="20"/>
          <w:shd w:val="clear" w:color="auto" w:fill="FFFFFF"/>
          <w:lang w:eastAsia="es-CR"/>
        </w:rPr>
        <w:t>La Cantuta</w:t>
      </w:r>
      <w:r w:rsidRPr="00445E80">
        <w:rPr>
          <w:rFonts w:ascii="Verdana" w:hAnsi="Verdana"/>
          <w:bCs/>
          <w:sz w:val="20"/>
          <w:szCs w:val="20"/>
          <w:shd w:val="clear" w:color="auto" w:fill="FFFFFF"/>
          <w:vertAlign w:val="superscript"/>
          <w:lang w:eastAsia="es-CR"/>
        </w:rPr>
        <w:footnoteReference w:id="207"/>
      </w:r>
      <w:r w:rsidRPr="00445E80">
        <w:rPr>
          <w:rFonts w:ascii="Verdana" w:hAnsi="Verdana"/>
          <w:bCs/>
          <w:sz w:val="20"/>
          <w:szCs w:val="20"/>
          <w:shd w:val="clear" w:color="auto" w:fill="FFFFFF"/>
          <w:lang w:eastAsia="es-CR"/>
        </w:rPr>
        <w:t>,</w:t>
      </w:r>
      <w:r w:rsidRPr="00445E80">
        <w:rPr>
          <w:rFonts w:ascii="Verdana" w:hAnsi="Verdana"/>
          <w:bCs/>
          <w:sz w:val="20"/>
          <w:szCs w:val="20"/>
          <w:lang w:val="es-AR" w:eastAsia="es-CR"/>
        </w:rPr>
        <w:t xml:space="preserve"> todos contra el Perú y los cuales se refieren a la desaparición forzada de las víctimas, la Corte tomó en cuenta que, de conformidad con el Informe Final de </w:t>
      </w:r>
      <w:r w:rsidRPr="00445E80">
        <w:rPr>
          <w:rFonts w:ascii="Verdana" w:hAnsi="Verdana" w:cs="Arial"/>
          <w:sz w:val="20"/>
          <w:szCs w:val="20"/>
          <w:lang w:eastAsia="es-CR"/>
        </w:rPr>
        <w:t xml:space="preserve">la CVR, las modalidades empleadas para destruir evidencias de los delitos cometidos durante la desaparición forzada en el marco del conflicto armado peruano incluían, entre otras, la mutilación, incineración, </w:t>
      </w:r>
      <w:r w:rsidRPr="00445E80">
        <w:rPr>
          <w:rFonts w:ascii="Verdana" w:hAnsi="Verdana"/>
          <w:sz w:val="20"/>
          <w:szCs w:val="20"/>
          <w:lang w:eastAsia="es-CR"/>
        </w:rPr>
        <w:t xml:space="preserve">abandono en zonas inaccesibles o aisladas o sepultura </w:t>
      </w:r>
      <w:r w:rsidRPr="00445E80">
        <w:rPr>
          <w:rFonts w:ascii="Verdana" w:hAnsi="Verdana" w:cs="Arial"/>
          <w:sz w:val="20"/>
          <w:szCs w:val="20"/>
          <w:lang w:eastAsia="es-CR"/>
        </w:rPr>
        <w:t xml:space="preserve">de los restos mortales de las víctimas, así como su </w:t>
      </w:r>
      <w:r w:rsidRPr="00445E80">
        <w:rPr>
          <w:rFonts w:ascii="Verdana" w:hAnsi="Verdana"/>
          <w:sz w:val="20"/>
          <w:szCs w:val="20"/>
          <w:lang w:eastAsia="es-CR"/>
        </w:rPr>
        <w:t>esparcimiento en diferentes lugares</w:t>
      </w:r>
      <w:r w:rsidRPr="00445E80">
        <w:rPr>
          <w:rFonts w:ascii="Verdana" w:hAnsi="Verdana"/>
          <w:sz w:val="20"/>
          <w:szCs w:val="20"/>
          <w:vertAlign w:val="superscript"/>
          <w:lang w:eastAsia="es-CR"/>
        </w:rPr>
        <w:footnoteReference w:id="208"/>
      </w:r>
      <w:r w:rsidRPr="00445E80">
        <w:rPr>
          <w:rFonts w:ascii="Verdana" w:hAnsi="Verdana" w:cs="Arial"/>
          <w:sz w:val="20"/>
          <w:szCs w:val="20"/>
          <w:lang w:eastAsia="es-CR"/>
        </w:rPr>
        <w:t>.</w:t>
      </w:r>
      <w:r w:rsidRPr="00445E80">
        <w:rPr>
          <w:rFonts w:ascii="Verdana" w:hAnsi="Verdana"/>
          <w:sz w:val="20"/>
          <w:szCs w:val="20"/>
          <w:lang w:eastAsia="es-CR"/>
        </w:rPr>
        <w:t xml:space="preserve"> </w:t>
      </w:r>
      <w:r w:rsidRPr="00445E80">
        <w:rPr>
          <w:rFonts w:ascii="Verdana" w:hAnsi="Verdana"/>
          <w:bCs/>
          <w:sz w:val="20"/>
          <w:szCs w:val="20"/>
          <w:lang w:val="es-AR" w:eastAsia="es-CR"/>
        </w:rPr>
        <w:t xml:space="preserve">Así pues, la Corte advierte que el referido </w:t>
      </w:r>
      <w:r w:rsidRPr="00445E80">
        <w:rPr>
          <w:rFonts w:ascii="Verdana" w:hAnsi="Verdana"/>
          <w:bCs/>
          <w:i/>
          <w:sz w:val="20"/>
          <w:szCs w:val="20"/>
          <w:lang w:val="es-AR" w:eastAsia="es-CR"/>
        </w:rPr>
        <w:t xml:space="preserve">modus operandi </w:t>
      </w:r>
      <w:r w:rsidRPr="00445E80">
        <w:rPr>
          <w:rFonts w:ascii="Verdana" w:hAnsi="Verdana" w:cs="Arial"/>
          <w:sz w:val="20"/>
          <w:szCs w:val="20"/>
          <w:lang w:eastAsia="es-CR"/>
        </w:rPr>
        <w:t xml:space="preserve">empleado </w:t>
      </w:r>
      <w:r w:rsidRPr="00445E80">
        <w:rPr>
          <w:rFonts w:ascii="Verdana" w:hAnsi="Verdana"/>
          <w:bCs/>
          <w:sz w:val="20"/>
          <w:szCs w:val="20"/>
          <w:lang w:val="es-AR" w:eastAsia="es-CR"/>
        </w:rPr>
        <w:t>coincide con el utilizado en el presente caso</w:t>
      </w:r>
      <w:r w:rsidRPr="00445E80">
        <w:rPr>
          <w:rFonts w:ascii="Verdana" w:hAnsi="Verdana"/>
          <w:sz w:val="20"/>
          <w:szCs w:val="20"/>
          <w:lang w:eastAsia="es-CR"/>
        </w:rPr>
        <w:t>, lo cual</w:t>
      </w:r>
      <w:r w:rsidRPr="00445E80">
        <w:rPr>
          <w:rFonts w:ascii="Verdana" w:hAnsi="Verdana"/>
          <w:spacing w:val="-2"/>
          <w:sz w:val="20"/>
          <w:szCs w:val="20"/>
        </w:rPr>
        <w:t xml:space="preserve">, </w:t>
      </w:r>
      <w:r w:rsidRPr="00445E80">
        <w:rPr>
          <w:rFonts w:ascii="Verdana" w:eastAsia="Times New Roman" w:hAnsi="Verdana" w:cs="Arial"/>
          <w:color w:val="000000"/>
          <w:spacing w:val="-2"/>
          <w:sz w:val="20"/>
          <w:szCs w:val="20"/>
          <w:shd w:val="clear" w:color="auto" w:fill="FFFFFF"/>
          <w:lang w:eastAsia="es-CR"/>
        </w:rPr>
        <w:t>a efectos de determinar lo ocurrido a las víctimas,</w:t>
      </w:r>
      <w:r w:rsidRPr="00445E80">
        <w:rPr>
          <w:rFonts w:ascii="Verdana" w:hAnsi="Verdana"/>
          <w:sz w:val="20"/>
          <w:szCs w:val="20"/>
          <w:lang w:eastAsia="es-CR"/>
        </w:rPr>
        <w:t xml:space="preserve"> </w:t>
      </w:r>
      <w:r w:rsidRPr="00445E80">
        <w:rPr>
          <w:rFonts w:ascii="Verdana" w:eastAsia="Times New Roman" w:hAnsi="Verdana" w:cs="Arial"/>
          <w:color w:val="000000"/>
          <w:spacing w:val="-2"/>
          <w:sz w:val="20"/>
          <w:szCs w:val="20"/>
          <w:shd w:val="clear" w:color="auto" w:fill="FFFFFF"/>
          <w:lang w:eastAsia="es-CR"/>
        </w:rPr>
        <w:t>constituye un indicio sobre su posible desaparición forzada.</w:t>
      </w:r>
    </w:p>
    <w:p w:rsidR="00106A1E" w:rsidRPr="00E27DB3" w:rsidRDefault="00106A1E" w:rsidP="00106A1E">
      <w:pPr>
        <w:tabs>
          <w:tab w:val="left" w:pos="720"/>
          <w:tab w:val="num" w:pos="5057"/>
        </w:tabs>
        <w:spacing w:after="0" w:line="240" w:lineRule="auto"/>
        <w:contextualSpacing/>
        <w:jc w:val="both"/>
        <w:rPr>
          <w:rFonts w:ascii="Verdana" w:eastAsia="MS Mincho" w:hAnsi="Verdana"/>
          <w:bCs/>
          <w:sz w:val="20"/>
          <w:szCs w:val="20"/>
        </w:rPr>
      </w:pPr>
    </w:p>
    <w:p w:rsidR="00106A1E" w:rsidRPr="00445E80" w:rsidRDefault="00106A1E" w:rsidP="001154F9">
      <w:pPr>
        <w:numPr>
          <w:ilvl w:val="0"/>
          <w:numId w:val="12"/>
        </w:numPr>
        <w:spacing w:after="0" w:line="240" w:lineRule="auto"/>
        <w:contextualSpacing/>
        <w:jc w:val="both"/>
        <w:rPr>
          <w:rFonts w:ascii="Verdana" w:hAnsi="Verdana"/>
          <w:i/>
          <w:sz w:val="20"/>
          <w:szCs w:val="20"/>
          <w:lang w:eastAsia="es-CR"/>
        </w:rPr>
      </w:pPr>
      <w:r w:rsidRPr="00445E80">
        <w:rPr>
          <w:rFonts w:ascii="Verdana" w:hAnsi="Verdana"/>
          <w:i/>
          <w:sz w:val="20"/>
          <w:szCs w:val="20"/>
          <w:lang w:eastAsia="es-CR"/>
        </w:rPr>
        <w:t>La incertidumbre sobre la evidencia recolectada el 18 de julio de 1991</w:t>
      </w:r>
    </w:p>
    <w:p w:rsidR="00106A1E" w:rsidRPr="00445E80" w:rsidRDefault="00106A1E" w:rsidP="00106A1E">
      <w:pPr>
        <w:spacing w:after="0" w:line="240" w:lineRule="auto"/>
        <w:contextualSpacing/>
        <w:jc w:val="both"/>
        <w:rPr>
          <w:rFonts w:ascii="Verdana" w:hAnsi="Verdana"/>
          <w:i/>
          <w:sz w:val="20"/>
          <w:szCs w:val="20"/>
          <w:lang w:eastAsia="es-CR"/>
        </w:rPr>
      </w:pPr>
    </w:p>
    <w:p w:rsidR="00106A1E" w:rsidRPr="00B3473D"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445E80">
        <w:rPr>
          <w:rFonts w:ascii="Verdana" w:hAnsi="Verdana" w:cs="Arial"/>
          <w:sz w:val="20"/>
          <w:szCs w:val="20"/>
          <w:lang w:eastAsia="es-CR"/>
        </w:rPr>
        <w:t xml:space="preserve">El 18 de julio de 1991 se realizó la búsqueda y recuperación de restos, los cuales al día siguiente </w:t>
      </w:r>
      <w:r w:rsidRPr="00445E80">
        <w:rPr>
          <w:rFonts w:ascii="Verdana" w:hAnsi="Verdana"/>
          <w:sz w:val="20"/>
          <w:szCs w:val="20"/>
          <w:lang w:eastAsia="es-CR"/>
        </w:rPr>
        <w:t xml:space="preserve">fueron identificados como 19 piezas de restos humanos </w:t>
      </w:r>
      <w:r w:rsidRPr="00445E80">
        <w:rPr>
          <w:rFonts w:ascii="Verdana" w:hAnsi="Verdana" w:cs="HiddenHorzOCR"/>
          <w:sz w:val="20"/>
          <w:szCs w:val="20"/>
          <w:lang w:eastAsia="es-CR"/>
        </w:rPr>
        <w:t>probables</w:t>
      </w:r>
      <w:r w:rsidRPr="00445E80">
        <w:rPr>
          <w:rFonts w:ascii="Verdana" w:hAnsi="Verdana"/>
          <w:sz w:val="20"/>
          <w:szCs w:val="20"/>
          <w:lang w:eastAsia="es-CR"/>
        </w:rPr>
        <w:t xml:space="preserve">. Si bien dichos restos </w:t>
      </w:r>
      <w:r w:rsidRPr="00445E80">
        <w:rPr>
          <w:rFonts w:ascii="Verdana" w:hAnsi="Verdana" w:cs="Arial"/>
          <w:sz w:val="20"/>
          <w:szCs w:val="20"/>
          <w:lang w:eastAsia="es-CR"/>
        </w:rPr>
        <w:t>fueron enviados al Médico Legista</w:t>
      </w:r>
      <w:r>
        <w:rPr>
          <w:rFonts w:ascii="Verdana" w:hAnsi="Verdana" w:cs="Arial"/>
          <w:sz w:val="20"/>
          <w:szCs w:val="20"/>
          <w:lang w:eastAsia="es-CR"/>
        </w:rPr>
        <w:t>,</w:t>
      </w:r>
      <w:r w:rsidRPr="00445E80">
        <w:rPr>
          <w:rFonts w:ascii="Verdana" w:hAnsi="Verdana" w:cs="Arial"/>
          <w:sz w:val="20"/>
          <w:szCs w:val="20"/>
          <w:lang w:eastAsia="es-CR"/>
        </w:rPr>
        <w:t xml:space="preserve"> no consta que se hubiera realizado diligencia posterior alguna a fin de </w:t>
      </w:r>
      <w:r w:rsidRPr="00445E80">
        <w:rPr>
          <w:rFonts w:ascii="Verdana" w:hAnsi="Verdana" w:cs="Helvetica"/>
          <w:sz w:val="20"/>
          <w:szCs w:val="20"/>
          <w:lang w:eastAsia="es-CR" w:bidi="en-US"/>
        </w:rPr>
        <w:t>identificar</w:t>
      </w:r>
      <w:r w:rsidRPr="00445E80">
        <w:rPr>
          <w:rFonts w:ascii="Verdana" w:hAnsi="Verdana" w:cs="Arial"/>
          <w:sz w:val="20"/>
          <w:szCs w:val="20"/>
          <w:lang w:eastAsia="es-CR"/>
        </w:rPr>
        <w:t xml:space="preserve"> a quiénes pertenecían. Ese día también se documentó el hallazgo de cartuchos de dinamita, pedazos de mecha y otros restos, los cuales fueron remitidos a la Jefatura Departamental de la Policía Técnica del Cercado para fines investigativos y de</w:t>
      </w:r>
      <w:r w:rsidRPr="002964A7">
        <w:rPr>
          <w:rFonts w:ascii="Verdana" w:hAnsi="Verdana" w:cs="Arial"/>
          <w:sz w:val="20"/>
          <w:szCs w:val="20"/>
          <w:lang w:eastAsia="es-CR"/>
        </w:rPr>
        <w:t xml:space="preserve"> esclarecimiento de los hechos</w:t>
      </w:r>
      <w:r>
        <w:rPr>
          <w:rFonts w:ascii="Verdana" w:hAnsi="Verdana" w:cs="Arial"/>
          <w:sz w:val="20"/>
          <w:szCs w:val="20"/>
          <w:lang w:eastAsia="es-CR"/>
        </w:rPr>
        <w:t>. T</w:t>
      </w:r>
      <w:r w:rsidRPr="002964A7">
        <w:rPr>
          <w:rFonts w:ascii="Verdana" w:hAnsi="Verdana" w:cs="Arial"/>
          <w:sz w:val="20"/>
          <w:szCs w:val="20"/>
          <w:lang w:eastAsia="es-CR"/>
        </w:rPr>
        <w:t xml:space="preserve">ampoco consta que se hubiera realizado diligencia </w:t>
      </w:r>
      <w:r w:rsidRPr="00B3473D">
        <w:rPr>
          <w:rFonts w:ascii="Verdana" w:hAnsi="Verdana" w:cs="Arial"/>
          <w:sz w:val="20"/>
          <w:szCs w:val="20"/>
          <w:lang w:eastAsia="es-CR"/>
        </w:rPr>
        <w:t xml:space="preserve">posterior alguna sobre los mismos. Más aun, estando bajo custodia estatal, hasta ahora se desconoce lo ocurrido con la referida </w:t>
      </w:r>
      <w:r w:rsidRPr="00B3473D">
        <w:rPr>
          <w:rFonts w:ascii="Verdana" w:hAnsi="Verdana"/>
          <w:sz w:val="20"/>
          <w:szCs w:val="20"/>
          <w:lang w:eastAsia="es-CR"/>
        </w:rPr>
        <w:t>evidencia recolectada</w:t>
      </w:r>
      <w:r w:rsidRPr="00B3473D">
        <w:rPr>
          <w:rFonts w:ascii="Verdana" w:hAnsi="Verdana" w:cs="Arial"/>
          <w:sz w:val="20"/>
          <w:szCs w:val="20"/>
          <w:lang w:eastAsia="es-CR"/>
        </w:rPr>
        <w:t>, según ha sido informado por el Estado (</w:t>
      </w:r>
      <w:r w:rsidRPr="00B3473D">
        <w:rPr>
          <w:rFonts w:ascii="Verdana" w:hAnsi="Verdana" w:cs="Arial"/>
          <w:i/>
          <w:sz w:val="20"/>
          <w:szCs w:val="20"/>
          <w:lang w:eastAsia="es-CR"/>
        </w:rPr>
        <w:t>supra</w:t>
      </w:r>
      <w:r w:rsidRPr="00B3473D">
        <w:rPr>
          <w:rFonts w:ascii="Verdana" w:hAnsi="Verdana" w:cs="Arial"/>
          <w:sz w:val="20"/>
          <w:szCs w:val="20"/>
          <w:lang w:eastAsia="es-CR"/>
        </w:rPr>
        <w:t xml:space="preserve"> párr. </w:t>
      </w:r>
      <w:r>
        <w:rPr>
          <w:rFonts w:ascii="Verdana" w:hAnsi="Verdana" w:cs="Arial"/>
          <w:sz w:val="20"/>
          <w:szCs w:val="20"/>
          <w:lang w:eastAsia="es-CR"/>
        </w:rPr>
        <w:t>101</w:t>
      </w:r>
      <w:r w:rsidRPr="00B3473D">
        <w:rPr>
          <w:rFonts w:ascii="Verdana" w:hAnsi="Verdana" w:cs="Arial"/>
          <w:sz w:val="20"/>
          <w:szCs w:val="20"/>
          <w:lang w:eastAsia="es-CR"/>
        </w:rPr>
        <w:t>).</w:t>
      </w:r>
    </w:p>
    <w:p w:rsidR="00106A1E" w:rsidRPr="00B3473D" w:rsidRDefault="00106A1E" w:rsidP="00106A1E">
      <w:pPr>
        <w:autoSpaceDE w:val="0"/>
        <w:autoSpaceDN w:val="0"/>
        <w:adjustRightInd w:val="0"/>
        <w:spacing w:after="0" w:line="240" w:lineRule="auto"/>
        <w:jc w:val="both"/>
        <w:rPr>
          <w:rFonts w:ascii="Verdana" w:hAnsi="Verdana"/>
          <w:sz w:val="20"/>
          <w:szCs w:val="20"/>
          <w:lang w:eastAsia="es-CR"/>
        </w:rPr>
      </w:pPr>
    </w:p>
    <w:p w:rsidR="00106A1E" w:rsidRPr="00B3473D"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B3473D">
        <w:rPr>
          <w:rFonts w:ascii="Verdana" w:hAnsi="Verdana"/>
          <w:sz w:val="20"/>
          <w:szCs w:val="20"/>
          <w:lang w:eastAsia="es-CR"/>
        </w:rPr>
        <w:t xml:space="preserve">A la luz de la </w:t>
      </w:r>
      <w:r w:rsidRPr="00B3473D">
        <w:rPr>
          <w:rFonts w:ascii="Verdana" w:hAnsi="Verdana"/>
          <w:spacing w:val="-2"/>
          <w:sz w:val="20"/>
          <w:szCs w:val="20"/>
          <w:lang w:eastAsia="es-CR"/>
        </w:rPr>
        <w:t>negativa de las autoridades del Ejército de reconocer la detención de las víctimas durante los primeros días de ocurrida</w:t>
      </w:r>
      <w:r w:rsidRPr="00B3473D">
        <w:rPr>
          <w:rFonts w:ascii="Verdana" w:hAnsi="Verdana"/>
          <w:sz w:val="20"/>
          <w:szCs w:val="20"/>
          <w:lang w:eastAsia="es-CR"/>
        </w:rPr>
        <w:t xml:space="preserve"> </w:t>
      </w:r>
      <w:r w:rsidRPr="00B3473D">
        <w:rPr>
          <w:rFonts w:ascii="Verdana" w:hAnsi="Verdana"/>
          <w:bCs/>
          <w:sz w:val="20"/>
          <w:szCs w:val="20"/>
          <w:lang w:val="es-AR" w:eastAsia="es-CR"/>
        </w:rPr>
        <w:t xml:space="preserve">y </w:t>
      </w:r>
      <w:r w:rsidRPr="00B3473D">
        <w:rPr>
          <w:rFonts w:ascii="Verdana" w:hAnsi="Verdana" w:cs="Arial"/>
          <w:sz w:val="20"/>
          <w:szCs w:val="20"/>
          <w:lang w:eastAsia="es-CR"/>
        </w:rPr>
        <w:t xml:space="preserve">el </w:t>
      </w:r>
      <w:r w:rsidRPr="00B3473D">
        <w:rPr>
          <w:rFonts w:ascii="Verdana" w:hAnsi="Verdana" w:cs="Arial"/>
          <w:i/>
          <w:iCs/>
          <w:sz w:val="20"/>
          <w:szCs w:val="20"/>
          <w:lang w:eastAsia="es-CR"/>
        </w:rPr>
        <w:t>modus operandi</w:t>
      </w:r>
      <w:r w:rsidRPr="00B3473D">
        <w:rPr>
          <w:rFonts w:ascii="Verdana" w:hAnsi="Verdana" w:cs="Arial"/>
          <w:iCs/>
          <w:sz w:val="20"/>
          <w:szCs w:val="20"/>
          <w:lang w:eastAsia="es-CR"/>
        </w:rPr>
        <w:t xml:space="preserve"> </w:t>
      </w:r>
      <w:r w:rsidRPr="00B3473D">
        <w:rPr>
          <w:rFonts w:ascii="Verdana" w:hAnsi="Verdana" w:cs="Arial"/>
          <w:sz w:val="20"/>
          <w:szCs w:val="20"/>
          <w:lang w:eastAsia="es-CR"/>
        </w:rPr>
        <w:t>utilizado en la destrucción de evidencias,</w:t>
      </w:r>
      <w:r w:rsidRPr="00B3473D">
        <w:rPr>
          <w:rFonts w:ascii="Verdana" w:hAnsi="Verdana"/>
          <w:sz w:val="20"/>
          <w:szCs w:val="20"/>
          <w:lang w:eastAsia="es-CR"/>
        </w:rPr>
        <w:t xml:space="preserve"> la Corte considera que la actual incertidumbre sobre el destino de los restos humanos y evidencia encontrada en el año 1991 no es un hecho aislado, por el contrario, </w:t>
      </w:r>
      <w:r w:rsidRPr="00B3473D">
        <w:rPr>
          <w:rFonts w:ascii="Verdana" w:hAnsi="Verdana"/>
          <w:spacing w:val="-2"/>
          <w:sz w:val="20"/>
          <w:szCs w:val="20"/>
        </w:rPr>
        <w:t>de ser el caso,</w:t>
      </w:r>
      <w:r w:rsidRPr="00B3473D">
        <w:rPr>
          <w:rFonts w:ascii="Verdana" w:hAnsi="Verdana"/>
          <w:sz w:val="20"/>
          <w:szCs w:val="20"/>
          <w:lang w:eastAsia="es-CR"/>
        </w:rPr>
        <w:t xml:space="preserve"> contribuyó </w:t>
      </w:r>
      <w:r w:rsidRPr="00B3473D">
        <w:rPr>
          <w:rFonts w:ascii="Verdana" w:hAnsi="Verdana" w:cs="Arial"/>
          <w:sz w:val="20"/>
          <w:szCs w:val="20"/>
          <w:lang w:eastAsia="es-CR"/>
        </w:rPr>
        <w:t xml:space="preserve">a </w:t>
      </w:r>
      <w:r w:rsidRPr="00B3473D">
        <w:rPr>
          <w:rFonts w:ascii="Verdana" w:hAnsi="Verdana"/>
          <w:sz w:val="20"/>
          <w:szCs w:val="20"/>
          <w:lang w:eastAsia="es-CR"/>
        </w:rPr>
        <w:t xml:space="preserve">la negativa de las autoridades estatales de proporcionar información y revelar la suerte o paradero de las víctimas, lo cual </w:t>
      </w:r>
      <w:r w:rsidRPr="00B3473D">
        <w:rPr>
          <w:rFonts w:ascii="Verdana" w:hAnsi="Verdana"/>
          <w:spacing w:val="-2"/>
          <w:sz w:val="20"/>
          <w:szCs w:val="20"/>
        </w:rPr>
        <w:t>constituye un indicio adicional de lo ocurrido a las víctimas</w:t>
      </w:r>
      <w:r>
        <w:rPr>
          <w:rFonts w:ascii="Verdana" w:hAnsi="Verdana"/>
          <w:spacing w:val="-2"/>
          <w:sz w:val="20"/>
          <w:szCs w:val="20"/>
        </w:rPr>
        <w:t>.</w:t>
      </w:r>
    </w:p>
    <w:p w:rsidR="00106A1E" w:rsidRPr="00B3473D" w:rsidRDefault="00106A1E" w:rsidP="00106A1E">
      <w:pPr>
        <w:spacing w:after="0" w:line="240" w:lineRule="auto"/>
        <w:contextualSpacing/>
        <w:jc w:val="both"/>
        <w:rPr>
          <w:rFonts w:ascii="Verdana" w:hAnsi="Verdana"/>
          <w:i/>
          <w:sz w:val="20"/>
          <w:szCs w:val="20"/>
          <w:lang w:eastAsia="es-CR"/>
        </w:rPr>
      </w:pPr>
    </w:p>
    <w:p w:rsidR="00106A1E" w:rsidRPr="00B3473D" w:rsidRDefault="00106A1E" w:rsidP="001154F9">
      <w:pPr>
        <w:numPr>
          <w:ilvl w:val="0"/>
          <w:numId w:val="12"/>
        </w:numPr>
        <w:spacing w:after="0" w:line="240" w:lineRule="auto"/>
        <w:contextualSpacing/>
        <w:jc w:val="both"/>
        <w:rPr>
          <w:rFonts w:ascii="Verdana" w:hAnsi="Verdana"/>
          <w:i/>
          <w:sz w:val="20"/>
          <w:szCs w:val="20"/>
          <w:lang w:eastAsia="es-CR"/>
        </w:rPr>
      </w:pPr>
      <w:r w:rsidRPr="00B3473D">
        <w:rPr>
          <w:rFonts w:ascii="Verdana" w:hAnsi="Verdana"/>
          <w:i/>
          <w:sz w:val="20"/>
          <w:szCs w:val="20"/>
          <w:lang w:val="es-ES_tradnl" w:eastAsia="es-CR"/>
        </w:rPr>
        <w:t xml:space="preserve">La </w:t>
      </w:r>
      <w:r w:rsidRPr="00B3473D">
        <w:rPr>
          <w:rFonts w:ascii="Verdana" w:hAnsi="Verdana" w:cs="Arial"/>
          <w:i/>
          <w:sz w:val="20"/>
          <w:szCs w:val="20"/>
          <w:lang w:eastAsia="es-CR"/>
        </w:rPr>
        <w:t xml:space="preserve">inscripción de las partidas de defunción en </w:t>
      </w:r>
      <w:r>
        <w:rPr>
          <w:rFonts w:ascii="Verdana" w:hAnsi="Verdana" w:cs="Arial"/>
          <w:i/>
          <w:sz w:val="20"/>
          <w:szCs w:val="20"/>
          <w:lang w:eastAsia="es-CR"/>
        </w:rPr>
        <w:t>los</w:t>
      </w:r>
      <w:r w:rsidRPr="00B3473D">
        <w:rPr>
          <w:rFonts w:ascii="Verdana" w:hAnsi="Verdana" w:cs="Arial"/>
          <w:i/>
          <w:sz w:val="20"/>
          <w:szCs w:val="20"/>
          <w:lang w:eastAsia="es-CR"/>
        </w:rPr>
        <w:t xml:space="preserve"> año</w:t>
      </w:r>
      <w:r>
        <w:rPr>
          <w:rFonts w:ascii="Verdana" w:hAnsi="Verdana" w:cs="Arial"/>
          <w:i/>
          <w:sz w:val="20"/>
          <w:szCs w:val="20"/>
          <w:lang w:eastAsia="es-CR"/>
        </w:rPr>
        <w:t>s</w:t>
      </w:r>
      <w:r w:rsidRPr="00B3473D">
        <w:rPr>
          <w:rFonts w:ascii="Verdana" w:hAnsi="Verdana" w:cs="Arial"/>
          <w:i/>
          <w:sz w:val="20"/>
          <w:szCs w:val="20"/>
          <w:lang w:eastAsia="es-CR"/>
        </w:rPr>
        <w:t xml:space="preserve"> 1991 y 1992</w:t>
      </w:r>
    </w:p>
    <w:p w:rsidR="00106A1E" w:rsidRPr="00B3473D" w:rsidRDefault="00106A1E" w:rsidP="00106A1E">
      <w:pPr>
        <w:spacing w:after="0" w:line="240" w:lineRule="auto"/>
        <w:contextualSpacing/>
        <w:jc w:val="both"/>
        <w:rPr>
          <w:rFonts w:ascii="Verdana" w:hAnsi="Verdana"/>
          <w:i/>
          <w:sz w:val="20"/>
          <w:szCs w:val="20"/>
          <w:lang w:eastAsia="es-CR"/>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Univers"/>
          <w:sz w:val="20"/>
          <w:szCs w:val="20"/>
          <w:lang w:val="es-CO" w:eastAsia="es-CR"/>
        </w:rPr>
      </w:pPr>
      <w:r w:rsidRPr="00B3473D">
        <w:rPr>
          <w:rFonts w:ascii="Verdana" w:hAnsi="Verdana" w:cs="Arial"/>
          <w:sz w:val="20"/>
          <w:szCs w:val="20"/>
          <w:lang w:eastAsia="es-CR"/>
        </w:rPr>
        <w:t>Es</w:t>
      </w:r>
      <w:r w:rsidRPr="00B3473D">
        <w:rPr>
          <w:rFonts w:ascii="Verdana" w:hAnsi="Verdana" w:cs="Arial"/>
          <w:sz w:val="20"/>
          <w:szCs w:val="20"/>
        </w:rPr>
        <w:t xml:space="preserve"> un hecho probado que </w:t>
      </w:r>
      <w:r w:rsidRPr="00B3473D">
        <w:rPr>
          <w:rFonts w:ascii="Verdana" w:hAnsi="Verdana" w:cs="Arial"/>
          <w:sz w:val="20"/>
          <w:szCs w:val="20"/>
          <w:lang w:eastAsia="es-CR"/>
        </w:rPr>
        <w:t>en diciembre de 1991 se realizó la inscripción de las partidas de defunción de dos víctimas del presente caso</w:t>
      </w:r>
      <w:r>
        <w:rPr>
          <w:rFonts w:ascii="Verdana" w:hAnsi="Verdana" w:cs="Arial"/>
          <w:sz w:val="20"/>
          <w:szCs w:val="20"/>
          <w:lang w:eastAsia="es-CR"/>
        </w:rPr>
        <w:t>,</w:t>
      </w:r>
      <w:r w:rsidRPr="00B3473D">
        <w:rPr>
          <w:rFonts w:ascii="Verdana" w:hAnsi="Verdana" w:cs="Arial"/>
          <w:sz w:val="20"/>
          <w:szCs w:val="20"/>
          <w:lang w:eastAsia="es-CR"/>
        </w:rPr>
        <w:t xml:space="preserve"> en las que se señaló como fecha de fallecimiento el 4 de julio de 1991. En dichas actas se indicó que el fallecimiento fue acreditado con certificado médico, lo cual es claro que no sucedió</w:t>
      </w:r>
      <w:r w:rsidRPr="00B3473D">
        <w:rPr>
          <w:rFonts w:ascii="Verdana" w:hAnsi="Verdana" w:cs="Arial"/>
          <w:sz w:val="20"/>
          <w:szCs w:val="20"/>
          <w:lang w:val="es-CO" w:eastAsia="es-CR"/>
        </w:rPr>
        <w:t xml:space="preserve">. </w:t>
      </w:r>
      <w:r w:rsidRPr="00B3473D">
        <w:rPr>
          <w:rFonts w:ascii="Verdana" w:hAnsi="Verdana" w:cs="Arial"/>
          <w:sz w:val="20"/>
          <w:szCs w:val="20"/>
          <w:lang w:eastAsia="es-CR"/>
        </w:rPr>
        <w:t>A su vez, consta que en marzo de 1992 se realizó la</w:t>
      </w:r>
      <w:r w:rsidRPr="002964A7">
        <w:rPr>
          <w:rFonts w:ascii="Verdana" w:hAnsi="Verdana" w:cs="Arial"/>
          <w:sz w:val="20"/>
          <w:szCs w:val="20"/>
          <w:lang w:eastAsia="es-CR"/>
        </w:rPr>
        <w:t xml:space="preserve"> inscripción de las partidas de defunción de otras doce víctimas del caso, en las </w:t>
      </w:r>
      <w:r w:rsidRPr="002964A7">
        <w:rPr>
          <w:rFonts w:ascii="Verdana" w:hAnsi="Verdana" w:cs="Helvetica"/>
          <w:sz w:val="20"/>
          <w:szCs w:val="20"/>
          <w:lang w:eastAsia="es-CR" w:bidi="en-US"/>
        </w:rPr>
        <w:t>cuales</w:t>
      </w:r>
      <w:r w:rsidRPr="002964A7">
        <w:rPr>
          <w:rFonts w:ascii="Verdana" w:hAnsi="Verdana" w:cs="Arial"/>
          <w:sz w:val="20"/>
          <w:szCs w:val="20"/>
          <w:lang w:eastAsia="es-CR"/>
        </w:rPr>
        <w:t xml:space="preserve"> también se señaló como fecha de fallecimiento el 4 de julio de </w:t>
      </w:r>
      <w:r w:rsidRPr="002964A7">
        <w:rPr>
          <w:rFonts w:ascii="Verdana" w:hAnsi="Verdana" w:cs="Arial"/>
          <w:sz w:val="20"/>
          <w:szCs w:val="20"/>
          <w:lang w:eastAsia="es-CR"/>
        </w:rPr>
        <w:lastRenderedPageBreak/>
        <w:t xml:space="preserve">1991. Dichos </w:t>
      </w:r>
      <w:r w:rsidRPr="002964A7">
        <w:rPr>
          <w:rFonts w:ascii="Verdana" w:hAnsi="Verdana" w:cs="Univers"/>
          <w:sz w:val="20"/>
          <w:szCs w:val="20"/>
          <w:lang w:val="es-CO" w:eastAsia="es-CR"/>
        </w:rPr>
        <w:t xml:space="preserve">registros fueron realizados por orden del </w:t>
      </w:r>
      <w:r w:rsidRPr="002964A7">
        <w:rPr>
          <w:rFonts w:ascii="Verdana" w:hAnsi="Verdana" w:cs="Arial"/>
          <w:sz w:val="20"/>
          <w:szCs w:val="20"/>
          <w:lang w:eastAsia="es-CR"/>
        </w:rPr>
        <w:t>Juez del Sexto Juzgado Militar Permanente de Ayacucho</w:t>
      </w:r>
      <w:r w:rsidRPr="002964A7">
        <w:rPr>
          <w:rFonts w:ascii="Verdana" w:hAnsi="Verdana" w:cs="Univers"/>
          <w:sz w:val="20"/>
          <w:szCs w:val="20"/>
          <w:lang w:val="es-CO" w:eastAsia="es-CR"/>
        </w:rPr>
        <w:t xml:space="preserve"> y </w:t>
      </w:r>
      <w:r w:rsidRPr="002964A7">
        <w:rPr>
          <w:rFonts w:ascii="Verdana" w:hAnsi="Verdana" w:cs="Arial"/>
          <w:sz w:val="20"/>
          <w:szCs w:val="20"/>
          <w:lang w:eastAsia="es-CR"/>
        </w:rPr>
        <w:t xml:space="preserve">en las edades de las seis niñas y niños se indicó una edad mayor a los 18 años </w:t>
      </w:r>
      <w:r w:rsidRPr="002964A7">
        <w:rPr>
          <w:rFonts w:ascii="Verdana" w:hAnsi="Verdana"/>
          <w:sz w:val="20"/>
          <w:szCs w:val="20"/>
          <w:lang w:eastAsia="es-CR"/>
        </w:rPr>
        <w:t>(</w:t>
      </w:r>
      <w:r w:rsidRPr="002964A7">
        <w:rPr>
          <w:rFonts w:ascii="Verdana" w:hAnsi="Verdana"/>
          <w:i/>
          <w:sz w:val="20"/>
          <w:szCs w:val="20"/>
          <w:lang w:eastAsia="es-CR"/>
        </w:rPr>
        <w:t>supra</w:t>
      </w:r>
      <w:r w:rsidRPr="002964A7">
        <w:rPr>
          <w:rFonts w:ascii="Verdana" w:hAnsi="Verdana"/>
          <w:sz w:val="20"/>
          <w:szCs w:val="20"/>
          <w:lang w:eastAsia="es-CR"/>
        </w:rPr>
        <w:t xml:space="preserve"> párr. </w:t>
      </w:r>
      <w:r>
        <w:rPr>
          <w:rFonts w:ascii="Verdana" w:hAnsi="Verdana"/>
          <w:sz w:val="20"/>
          <w:szCs w:val="20"/>
          <w:lang w:eastAsia="es-CR"/>
        </w:rPr>
        <w:t>107</w:t>
      </w:r>
      <w:r w:rsidRPr="002964A7">
        <w:rPr>
          <w:rFonts w:ascii="Verdana" w:hAnsi="Verdana"/>
          <w:sz w:val="20"/>
          <w:szCs w:val="20"/>
          <w:lang w:eastAsia="es-CR"/>
        </w:rPr>
        <w:t>)</w:t>
      </w:r>
      <w:r w:rsidRPr="002964A7">
        <w:rPr>
          <w:rFonts w:ascii="Verdana" w:hAnsi="Verdana" w:cs="Arial"/>
          <w:sz w:val="20"/>
          <w:szCs w:val="20"/>
          <w:lang w:eastAsia="es-CR"/>
        </w:rPr>
        <w:t xml:space="preserve">. </w:t>
      </w:r>
      <w:r w:rsidRPr="002964A7">
        <w:rPr>
          <w:rFonts w:ascii="Verdana" w:hAnsi="Verdana" w:cs="Univers"/>
          <w:sz w:val="20"/>
          <w:szCs w:val="20"/>
          <w:lang w:val="es-CO" w:eastAsia="es-CR"/>
        </w:rPr>
        <w:t xml:space="preserve">Al respecto, </w:t>
      </w:r>
      <w:r w:rsidRPr="002964A7">
        <w:rPr>
          <w:rFonts w:ascii="Verdana" w:hAnsi="Verdana"/>
          <w:sz w:val="20"/>
          <w:szCs w:val="20"/>
          <w:lang w:eastAsia="es-CR"/>
        </w:rPr>
        <w:t xml:space="preserve">mediante </w:t>
      </w:r>
      <w:r w:rsidR="004C74EB">
        <w:rPr>
          <w:rFonts w:ascii="Verdana" w:hAnsi="Verdana"/>
          <w:sz w:val="20"/>
          <w:szCs w:val="20"/>
          <w:lang w:eastAsia="es-CR"/>
        </w:rPr>
        <w:t>s</w:t>
      </w:r>
      <w:r w:rsidRPr="002964A7">
        <w:rPr>
          <w:rFonts w:ascii="Verdana" w:hAnsi="Verdana"/>
          <w:sz w:val="20"/>
          <w:szCs w:val="20"/>
          <w:lang w:eastAsia="es-CR"/>
        </w:rPr>
        <w:t>entencia de</w:t>
      </w:r>
      <w:r w:rsidRPr="002964A7">
        <w:rPr>
          <w:rFonts w:ascii="Verdana" w:hAnsi="Verdana" w:cs="Arial"/>
          <w:sz w:val="20"/>
          <w:szCs w:val="20"/>
          <w:lang w:eastAsia="es-CR"/>
        </w:rPr>
        <w:t xml:space="preserve"> 9 de febrero del 2012 la Sala Penal Nacional de la Corte Superior de Justica de Lima</w:t>
      </w:r>
      <w:r w:rsidRPr="002964A7">
        <w:rPr>
          <w:rFonts w:ascii="Verdana" w:hAnsi="Verdana"/>
          <w:sz w:val="20"/>
          <w:szCs w:val="20"/>
          <w:lang w:eastAsia="es-CR"/>
        </w:rPr>
        <w:t xml:space="preserve"> </w:t>
      </w:r>
      <w:r w:rsidRPr="002964A7">
        <w:rPr>
          <w:rFonts w:ascii="Verdana" w:hAnsi="Verdana"/>
          <w:bCs/>
          <w:sz w:val="20"/>
          <w:szCs w:val="20"/>
          <w:lang w:eastAsia="es-CR"/>
        </w:rPr>
        <w:t>consideró que “</w:t>
      </w:r>
      <w:r w:rsidRPr="002964A7">
        <w:rPr>
          <w:rFonts w:ascii="Verdana" w:hAnsi="Verdana"/>
          <w:sz w:val="20"/>
          <w:szCs w:val="20"/>
        </w:rPr>
        <w:t>se trat[ó] de encubrir las edades reales de las víctimas, para lo cual el fuero militar ordenó la inscripción de las actas de defunción con edades que fluctuaban entre</w:t>
      </w:r>
      <w:r w:rsidRPr="002964A7">
        <w:rPr>
          <w:rFonts w:ascii="Verdana" w:hAnsi="Verdana" w:cs="Univers"/>
          <w:sz w:val="20"/>
          <w:szCs w:val="20"/>
          <w:lang w:val="es-CO" w:eastAsia="es-CR"/>
        </w:rPr>
        <w:t xml:space="preserve"> diecinueve y cuarenta y dos años, </w:t>
      </w:r>
      <w:r w:rsidRPr="002964A7">
        <w:rPr>
          <w:rFonts w:ascii="Verdana" w:hAnsi="Verdana"/>
          <w:sz w:val="20"/>
          <w:szCs w:val="20"/>
        </w:rPr>
        <w:t>edades que les permitirían concluir que las</w:t>
      </w:r>
      <w:r w:rsidRPr="002964A7">
        <w:rPr>
          <w:rFonts w:ascii="Verdana" w:hAnsi="Verdana" w:cs="Univers"/>
          <w:sz w:val="20"/>
          <w:szCs w:val="20"/>
          <w:lang w:val="es-CO" w:eastAsia="es-CR"/>
        </w:rPr>
        <w:t xml:space="preserve"> </w:t>
      </w:r>
      <w:r w:rsidRPr="002964A7">
        <w:rPr>
          <w:rFonts w:ascii="Verdana" w:hAnsi="Verdana"/>
          <w:sz w:val="20"/>
          <w:szCs w:val="20"/>
        </w:rPr>
        <w:t>muertes fueron producto de un enfrentamiento armado con elementos</w:t>
      </w:r>
      <w:r w:rsidRPr="002964A7">
        <w:rPr>
          <w:rFonts w:ascii="Verdana" w:hAnsi="Verdana" w:cs="Univers"/>
          <w:sz w:val="20"/>
          <w:szCs w:val="20"/>
          <w:lang w:val="es-CO" w:eastAsia="es-CR"/>
        </w:rPr>
        <w:t xml:space="preserve"> </w:t>
      </w:r>
      <w:r w:rsidRPr="002964A7">
        <w:rPr>
          <w:rFonts w:ascii="Verdana" w:hAnsi="Verdana"/>
          <w:sz w:val="20"/>
          <w:szCs w:val="20"/>
        </w:rPr>
        <w:t>subversivos”</w:t>
      </w:r>
      <w:r w:rsidRPr="002964A7">
        <w:rPr>
          <w:rFonts w:ascii="Verdana" w:hAnsi="Verdana"/>
          <w:sz w:val="20"/>
          <w:szCs w:val="20"/>
          <w:vertAlign w:val="superscript"/>
        </w:rPr>
        <w:footnoteReference w:id="209"/>
      </w:r>
      <w:r w:rsidRPr="002964A7">
        <w:rPr>
          <w:rFonts w:ascii="Verdana" w:hAnsi="Verdana"/>
          <w:sz w:val="20"/>
          <w:szCs w:val="20"/>
        </w:rPr>
        <w:t>.</w:t>
      </w:r>
      <w:r w:rsidRPr="002964A7">
        <w:rPr>
          <w:rFonts w:ascii="Verdana" w:hAnsi="Verdana" w:cs="Univers"/>
          <w:sz w:val="20"/>
          <w:szCs w:val="20"/>
          <w:lang w:val="es-CO" w:eastAsia="es-CR"/>
        </w:rPr>
        <w:t xml:space="preserve"> </w:t>
      </w:r>
    </w:p>
    <w:p w:rsidR="00106A1E" w:rsidRPr="002964A7" w:rsidRDefault="00106A1E" w:rsidP="00106A1E">
      <w:pPr>
        <w:spacing w:after="0" w:line="240" w:lineRule="auto"/>
        <w:contextualSpacing/>
        <w:rPr>
          <w:rFonts w:ascii="Verdana" w:eastAsia="Calibri" w:hAnsi="Verdana" w:cs="Arial"/>
          <w:sz w:val="20"/>
          <w:szCs w:val="20"/>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eastAsia="es-CR"/>
        </w:rPr>
      </w:pPr>
      <w:r w:rsidRPr="002964A7">
        <w:rPr>
          <w:rFonts w:ascii="Verdana" w:hAnsi="Verdana" w:cs="Arial"/>
          <w:sz w:val="20"/>
          <w:szCs w:val="20"/>
          <w:lang w:eastAsia="es-CR"/>
        </w:rPr>
        <w:t xml:space="preserve">Las </w:t>
      </w:r>
      <w:r w:rsidRPr="002964A7">
        <w:rPr>
          <w:rFonts w:ascii="Verdana" w:hAnsi="Verdana" w:cs="Univers"/>
          <w:sz w:val="20"/>
          <w:szCs w:val="20"/>
          <w:lang w:val="es-CO" w:eastAsia="es-CR"/>
        </w:rPr>
        <w:t xml:space="preserve">irregularidades en la manera en que fueron realizados </w:t>
      </w:r>
      <w:r w:rsidRPr="002964A7">
        <w:rPr>
          <w:rFonts w:ascii="Verdana" w:hAnsi="Verdana" w:cs="Helvetica"/>
          <w:sz w:val="20"/>
          <w:szCs w:val="20"/>
          <w:lang w:eastAsia="es-CR" w:bidi="en-US"/>
        </w:rPr>
        <w:t>los</w:t>
      </w:r>
      <w:r w:rsidRPr="002964A7">
        <w:rPr>
          <w:rFonts w:ascii="Verdana" w:hAnsi="Verdana" w:cs="Univers"/>
          <w:sz w:val="20"/>
          <w:szCs w:val="20"/>
          <w:lang w:val="es-CO" w:eastAsia="es-CR"/>
        </w:rPr>
        <w:t xml:space="preserve"> </w:t>
      </w:r>
      <w:r>
        <w:rPr>
          <w:rFonts w:ascii="Verdana" w:hAnsi="Verdana" w:cs="Univers"/>
          <w:sz w:val="20"/>
          <w:szCs w:val="20"/>
          <w:lang w:val="es-CO" w:eastAsia="es-CR"/>
        </w:rPr>
        <w:t xml:space="preserve">registros de los </w:t>
      </w:r>
      <w:r w:rsidRPr="002964A7">
        <w:rPr>
          <w:rFonts w:ascii="Verdana" w:hAnsi="Verdana" w:cs="Univers"/>
          <w:sz w:val="20"/>
          <w:szCs w:val="20"/>
          <w:lang w:val="es-CO" w:eastAsia="es-CR"/>
        </w:rPr>
        <w:t>certificados de defunción en diciembre de 1991, así como los datos incluidos en ellos,</w:t>
      </w:r>
      <w:r w:rsidRPr="002964A7">
        <w:rPr>
          <w:rFonts w:ascii="Verdana" w:hAnsi="Verdana" w:cs="Arial"/>
          <w:sz w:val="20"/>
          <w:szCs w:val="20"/>
          <w:lang w:eastAsia="es-CR"/>
        </w:rPr>
        <w:t xml:space="preserve"> </w:t>
      </w:r>
      <w:r w:rsidRPr="002964A7">
        <w:rPr>
          <w:rFonts w:ascii="Verdana" w:hAnsi="Verdana" w:cs="Univers"/>
          <w:sz w:val="20"/>
          <w:szCs w:val="20"/>
          <w:lang w:val="es-CO" w:eastAsia="es-CR"/>
        </w:rPr>
        <w:t xml:space="preserve">en el marco de </w:t>
      </w:r>
      <w:r w:rsidRPr="002964A7">
        <w:rPr>
          <w:rFonts w:ascii="Verdana" w:hAnsi="Verdana"/>
          <w:sz w:val="20"/>
          <w:szCs w:val="20"/>
          <w:lang w:eastAsia="es-CR"/>
        </w:rPr>
        <w:t>la</w:t>
      </w:r>
      <w:r w:rsidRPr="002964A7">
        <w:rPr>
          <w:rFonts w:ascii="Verdana" w:hAnsi="Verdana" w:cs="Univers"/>
          <w:sz w:val="20"/>
          <w:szCs w:val="20"/>
          <w:lang w:val="es-CO" w:eastAsia="es-CR"/>
        </w:rPr>
        <w:t xml:space="preserve"> investigación y proceso penal militar, constituy</w:t>
      </w:r>
      <w:r>
        <w:rPr>
          <w:rFonts w:ascii="Verdana" w:hAnsi="Verdana" w:cs="Univers"/>
          <w:sz w:val="20"/>
          <w:szCs w:val="20"/>
          <w:lang w:val="es-CO" w:eastAsia="es-CR"/>
        </w:rPr>
        <w:t>eron</w:t>
      </w:r>
      <w:r w:rsidRPr="002964A7">
        <w:rPr>
          <w:rFonts w:ascii="Verdana" w:hAnsi="Verdana" w:cs="Univers"/>
          <w:sz w:val="20"/>
          <w:szCs w:val="20"/>
          <w:lang w:val="es-CO" w:eastAsia="es-CR"/>
        </w:rPr>
        <w:t xml:space="preserve"> un elemento adicional que </w:t>
      </w:r>
      <w:r w:rsidRPr="002964A7">
        <w:rPr>
          <w:rFonts w:ascii="Verdana" w:hAnsi="Verdana"/>
          <w:sz w:val="20"/>
          <w:szCs w:val="20"/>
          <w:lang w:eastAsia="es-CR"/>
        </w:rPr>
        <w:t xml:space="preserve">propició </w:t>
      </w:r>
      <w:r w:rsidRPr="002964A7">
        <w:rPr>
          <w:rFonts w:ascii="Verdana" w:hAnsi="Verdana" w:cs="Arial"/>
          <w:sz w:val="20"/>
          <w:szCs w:val="20"/>
          <w:lang w:eastAsia="es-CR"/>
        </w:rPr>
        <w:t>la</w:t>
      </w:r>
      <w:r w:rsidRPr="002964A7">
        <w:rPr>
          <w:rFonts w:ascii="Verdana" w:hAnsi="Verdana" w:cs="Univers"/>
          <w:sz w:val="20"/>
          <w:szCs w:val="20"/>
          <w:lang w:val="es-CO" w:eastAsia="es-CR"/>
        </w:rPr>
        <w:t xml:space="preserve"> </w:t>
      </w:r>
      <w:r w:rsidRPr="002964A7">
        <w:rPr>
          <w:rFonts w:ascii="Verdana" w:hAnsi="Verdana"/>
          <w:sz w:val="20"/>
          <w:szCs w:val="20"/>
          <w:lang w:eastAsia="es-CR"/>
        </w:rPr>
        <w:t xml:space="preserve">incertidumbre acerca de lo sucedido a </w:t>
      </w:r>
      <w:r>
        <w:rPr>
          <w:rFonts w:ascii="Verdana" w:hAnsi="Verdana"/>
          <w:sz w:val="20"/>
          <w:szCs w:val="20"/>
          <w:lang w:eastAsia="es-CR"/>
        </w:rPr>
        <w:t>las 15 víctimas del caso</w:t>
      </w:r>
      <w:r w:rsidRPr="002964A7">
        <w:rPr>
          <w:rFonts w:ascii="Verdana" w:hAnsi="Verdana"/>
          <w:sz w:val="20"/>
          <w:szCs w:val="20"/>
          <w:lang w:eastAsia="es-CR"/>
        </w:rPr>
        <w:t>.</w:t>
      </w:r>
    </w:p>
    <w:p w:rsidR="00106A1E" w:rsidRPr="00281DB7" w:rsidRDefault="00106A1E" w:rsidP="00106A1E">
      <w:pPr>
        <w:spacing w:after="0" w:line="240" w:lineRule="auto"/>
        <w:contextualSpacing/>
        <w:jc w:val="both"/>
        <w:rPr>
          <w:rFonts w:ascii="Verdana" w:hAnsi="Verdana"/>
          <w:i/>
          <w:sz w:val="20"/>
          <w:szCs w:val="20"/>
          <w:lang w:eastAsia="es-CR"/>
        </w:rPr>
      </w:pPr>
    </w:p>
    <w:p w:rsidR="00106A1E" w:rsidRPr="00281DB7" w:rsidRDefault="00106A1E" w:rsidP="001154F9">
      <w:pPr>
        <w:numPr>
          <w:ilvl w:val="0"/>
          <w:numId w:val="12"/>
        </w:numPr>
        <w:spacing w:after="0" w:line="240" w:lineRule="auto"/>
        <w:contextualSpacing/>
        <w:jc w:val="both"/>
        <w:rPr>
          <w:rFonts w:ascii="Verdana" w:hAnsi="Verdana"/>
          <w:i/>
          <w:sz w:val="20"/>
          <w:szCs w:val="20"/>
          <w:lang w:eastAsia="es-CR"/>
        </w:rPr>
      </w:pPr>
      <w:r w:rsidRPr="00281DB7">
        <w:rPr>
          <w:rFonts w:ascii="Verdana" w:hAnsi="Verdana"/>
          <w:i/>
          <w:spacing w:val="-2"/>
          <w:sz w:val="20"/>
          <w:szCs w:val="20"/>
          <w:lang w:eastAsia="es-CR"/>
        </w:rPr>
        <w:t xml:space="preserve">Diligencias de búsqueda, </w:t>
      </w:r>
      <w:r w:rsidRPr="00281DB7">
        <w:rPr>
          <w:rFonts w:ascii="Verdana" w:hAnsi="Verdana" w:cs="Arial"/>
          <w:i/>
          <w:sz w:val="20"/>
          <w:szCs w:val="20"/>
          <w:lang w:eastAsia="es-CR"/>
        </w:rPr>
        <w:t>recuperación y eventual identificación de los restos óseos humanos recuperados</w:t>
      </w:r>
    </w:p>
    <w:p w:rsidR="00106A1E" w:rsidRPr="002964A7" w:rsidRDefault="00106A1E" w:rsidP="00106A1E">
      <w:pPr>
        <w:spacing w:after="0" w:line="240" w:lineRule="auto"/>
        <w:contextualSpacing/>
        <w:rPr>
          <w:rFonts w:ascii="Verdana" w:eastAsia="Calibri" w:hAnsi="Verdana" w:cs="Arial"/>
          <w:sz w:val="20"/>
          <w:szCs w:val="20"/>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Pr>
          <w:rFonts w:ascii="Verdana" w:hAnsi="Verdana"/>
          <w:sz w:val="20"/>
          <w:szCs w:val="20"/>
          <w:lang w:eastAsia="es-CR"/>
        </w:rPr>
        <w:t>E</w:t>
      </w:r>
      <w:r w:rsidRPr="002964A7">
        <w:rPr>
          <w:rFonts w:ascii="Verdana" w:hAnsi="Verdana"/>
          <w:sz w:val="20"/>
          <w:szCs w:val="20"/>
        </w:rPr>
        <w:t xml:space="preserve">l testigo del Estado, </w:t>
      </w:r>
      <w:r w:rsidRPr="002964A7">
        <w:rPr>
          <w:rFonts w:ascii="Verdana" w:hAnsi="Verdana"/>
          <w:sz w:val="20"/>
          <w:szCs w:val="20"/>
          <w:lang w:val="es-AR" w:eastAsia="es-CR"/>
        </w:rPr>
        <w:t>Luis Alberto Rueda Curimania, explicó que</w:t>
      </w:r>
      <w:r w:rsidRPr="002964A7">
        <w:rPr>
          <w:rFonts w:ascii="Verdana" w:hAnsi="Verdana" w:cs="Arial"/>
          <w:sz w:val="20"/>
          <w:szCs w:val="20"/>
          <w:lang w:eastAsia="es-CR"/>
        </w:rPr>
        <w:t xml:space="preserve"> l</w:t>
      </w:r>
      <w:r w:rsidRPr="002964A7">
        <w:rPr>
          <w:rFonts w:ascii="Verdana" w:hAnsi="Verdana"/>
          <w:sz w:val="20"/>
          <w:szCs w:val="20"/>
        </w:rPr>
        <w:t xml:space="preserve">as etapas de una investigación antropológica forense que están reguladas internacionalmente son, “una primera etapa que es la </w:t>
      </w:r>
      <w:r w:rsidRPr="002964A7">
        <w:rPr>
          <w:rFonts w:ascii="Verdana" w:hAnsi="Verdana"/>
          <w:sz w:val="20"/>
          <w:szCs w:val="20"/>
          <w:lang w:eastAsia="es-CR"/>
        </w:rPr>
        <w:t>investigación</w:t>
      </w:r>
      <w:r w:rsidRPr="002964A7">
        <w:rPr>
          <w:rFonts w:ascii="Verdana" w:hAnsi="Verdana"/>
          <w:sz w:val="20"/>
          <w:szCs w:val="20"/>
        </w:rPr>
        <w:t xml:space="preserve"> preliminar forense; una segunda que es la etapa de recuperación de restos humanos y elementos asociados, también llamado exhumación; y la otra etapa es el análisis de estos restos recuperados con fines de identificación y determinación de la causa y manera de muerte”</w:t>
      </w:r>
      <w:r w:rsidRPr="002964A7">
        <w:rPr>
          <w:rFonts w:ascii="Verdana" w:hAnsi="Verdana"/>
          <w:sz w:val="20"/>
          <w:szCs w:val="20"/>
          <w:vertAlign w:val="superscript"/>
          <w:lang w:eastAsia="es-CR"/>
        </w:rPr>
        <w:footnoteReference w:id="210"/>
      </w:r>
      <w:r w:rsidRPr="002964A7">
        <w:rPr>
          <w:rFonts w:ascii="Verdana" w:hAnsi="Verdana"/>
          <w:sz w:val="20"/>
          <w:szCs w:val="20"/>
          <w:lang w:eastAsia="es-CR"/>
        </w:rPr>
        <w:t>. Tal como se indica en los siguientes párrafos, dichas etapas presentan omisiones y deficiencias especialmente graves que se han prolongado en el tiempo hasta el día de hoy.</w:t>
      </w:r>
    </w:p>
    <w:p w:rsidR="00106A1E" w:rsidRPr="002964A7" w:rsidRDefault="00106A1E" w:rsidP="00106A1E">
      <w:pPr>
        <w:autoSpaceDE w:val="0"/>
        <w:autoSpaceDN w:val="0"/>
        <w:adjustRightInd w:val="0"/>
        <w:spacing w:after="0" w:line="240" w:lineRule="auto"/>
        <w:jc w:val="both"/>
        <w:rPr>
          <w:rFonts w:ascii="Verdana" w:hAnsi="Verdana" w:cs="Arial"/>
          <w:sz w:val="20"/>
          <w:szCs w:val="20"/>
          <w:lang w:val="es-ES" w:eastAsia="es-CR"/>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2964A7">
        <w:rPr>
          <w:rFonts w:ascii="Verdana" w:hAnsi="Verdana" w:cs="Arial"/>
          <w:sz w:val="20"/>
          <w:szCs w:val="20"/>
          <w:lang w:eastAsia="es-CR"/>
        </w:rPr>
        <w:t xml:space="preserve">Primero, con posterioridad a la diligencia de </w:t>
      </w:r>
      <w:r w:rsidRPr="002964A7">
        <w:rPr>
          <w:rFonts w:ascii="Verdana" w:hAnsi="Verdana"/>
          <w:sz w:val="20"/>
          <w:szCs w:val="20"/>
          <w:lang w:eastAsia="es-CR"/>
        </w:rPr>
        <w:t xml:space="preserve">18 de julio de 1991 y </w:t>
      </w:r>
      <w:r w:rsidR="005E414F" w:rsidRPr="002964A7">
        <w:rPr>
          <w:rFonts w:ascii="Verdana" w:hAnsi="Verdana"/>
          <w:sz w:val="20"/>
          <w:szCs w:val="20"/>
          <w:lang w:eastAsia="es-CR"/>
        </w:rPr>
        <w:t>a</w:t>
      </w:r>
      <w:r w:rsidR="005E414F">
        <w:rPr>
          <w:rFonts w:ascii="Verdana" w:hAnsi="Verdana"/>
          <w:sz w:val="20"/>
          <w:szCs w:val="20"/>
          <w:lang w:eastAsia="es-CR"/>
        </w:rPr>
        <w:t>u</w:t>
      </w:r>
      <w:r w:rsidR="005E414F" w:rsidRPr="002964A7">
        <w:rPr>
          <w:rFonts w:ascii="Verdana" w:hAnsi="Verdana"/>
          <w:sz w:val="20"/>
          <w:szCs w:val="20"/>
          <w:lang w:eastAsia="es-CR"/>
        </w:rPr>
        <w:t>n</w:t>
      </w:r>
      <w:r w:rsidRPr="002964A7">
        <w:rPr>
          <w:rFonts w:ascii="Verdana" w:hAnsi="Verdana" w:cs="Arial"/>
          <w:sz w:val="20"/>
          <w:szCs w:val="20"/>
          <w:lang w:eastAsia="es-CR"/>
        </w:rPr>
        <w:t xml:space="preserve"> estando bajo custodia estatal, se desconoce lo ocurrido con </w:t>
      </w:r>
      <w:r w:rsidRPr="002964A7">
        <w:rPr>
          <w:rFonts w:ascii="Verdana" w:hAnsi="Verdana" w:cs="Helvetica"/>
          <w:sz w:val="20"/>
          <w:szCs w:val="20"/>
          <w:lang w:eastAsia="es-CR" w:bidi="en-US"/>
        </w:rPr>
        <w:t>los restos recuperados y la</w:t>
      </w:r>
      <w:r w:rsidRPr="002964A7">
        <w:rPr>
          <w:rFonts w:ascii="Verdana" w:hAnsi="Verdana" w:cs="Arial"/>
          <w:sz w:val="20"/>
          <w:szCs w:val="20"/>
          <w:lang w:eastAsia="es-CR"/>
        </w:rPr>
        <w:t xml:space="preserve"> </w:t>
      </w:r>
      <w:r w:rsidRPr="002964A7">
        <w:rPr>
          <w:rFonts w:ascii="Verdana" w:hAnsi="Verdana"/>
          <w:sz w:val="20"/>
          <w:szCs w:val="20"/>
          <w:lang w:eastAsia="es-CR"/>
        </w:rPr>
        <w:t>evidencia recolectada</w:t>
      </w:r>
      <w:r w:rsidRPr="002964A7">
        <w:rPr>
          <w:rFonts w:ascii="Verdana" w:hAnsi="Verdana" w:cs="Arial"/>
          <w:sz w:val="20"/>
          <w:szCs w:val="20"/>
          <w:lang w:eastAsia="es-CR"/>
        </w:rPr>
        <w:t xml:space="preserve"> </w:t>
      </w:r>
      <w:r w:rsidRPr="002964A7">
        <w:rPr>
          <w:rFonts w:ascii="Verdana" w:hAnsi="Verdana" w:cs="Helvetica"/>
          <w:sz w:val="20"/>
          <w:szCs w:val="20"/>
          <w:lang w:eastAsia="es-CR" w:bidi="en-US"/>
        </w:rPr>
        <w:t>en esa oportunidad</w:t>
      </w:r>
      <w:r w:rsidRPr="002964A7">
        <w:rPr>
          <w:rFonts w:ascii="Verdana" w:hAnsi="Verdana"/>
          <w:sz w:val="20"/>
          <w:szCs w:val="20"/>
          <w:lang w:eastAsia="es-CR"/>
        </w:rPr>
        <w:t xml:space="preserve">. Sobre este </w:t>
      </w:r>
      <w:r w:rsidRPr="002964A7">
        <w:rPr>
          <w:rFonts w:ascii="Verdana" w:hAnsi="Verdana" w:cs="Helvetica"/>
          <w:sz w:val="20"/>
          <w:szCs w:val="20"/>
          <w:lang w:eastAsia="es-CR" w:bidi="en-US"/>
        </w:rPr>
        <w:t>punto</w:t>
      </w:r>
      <w:r w:rsidRPr="002964A7">
        <w:rPr>
          <w:rFonts w:ascii="Verdana" w:hAnsi="Verdana"/>
          <w:sz w:val="20"/>
          <w:szCs w:val="20"/>
          <w:lang w:eastAsia="es-CR"/>
        </w:rPr>
        <w:t>, durante la audiencia pública ante este Tribunal se solicitó al Estado que presentara</w:t>
      </w:r>
      <w:r>
        <w:rPr>
          <w:rFonts w:ascii="Verdana" w:hAnsi="Verdana"/>
          <w:sz w:val="20"/>
          <w:szCs w:val="20"/>
          <w:lang w:eastAsia="es-CR"/>
        </w:rPr>
        <w:t>,</w:t>
      </w:r>
      <w:r w:rsidRPr="002964A7">
        <w:rPr>
          <w:rFonts w:ascii="Verdana" w:hAnsi="Verdana"/>
          <w:sz w:val="20"/>
          <w:szCs w:val="20"/>
          <w:lang w:eastAsia="es-CR"/>
        </w:rPr>
        <w:t xml:space="preserve"> como prueba para mejor resolver</w:t>
      </w:r>
      <w:r>
        <w:rPr>
          <w:rFonts w:ascii="Verdana" w:hAnsi="Verdana"/>
          <w:sz w:val="20"/>
          <w:szCs w:val="20"/>
          <w:lang w:eastAsia="es-CR"/>
        </w:rPr>
        <w:t>,</w:t>
      </w:r>
      <w:r w:rsidRPr="002964A7">
        <w:rPr>
          <w:rFonts w:ascii="Verdana" w:hAnsi="Verdana"/>
          <w:sz w:val="20"/>
          <w:szCs w:val="20"/>
          <w:lang w:eastAsia="es-CR"/>
        </w:rPr>
        <w:t xml:space="preserve"> información actualizada sobre las gestiones realizadas a fin de ubicar los restos encontrados en la mina en julio de 1991. En respuesta, </w:t>
      </w:r>
      <w:r>
        <w:rPr>
          <w:rFonts w:ascii="Verdana" w:hAnsi="Verdana"/>
          <w:sz w:val="20"/>
          <w:szCs w:val="20"/>
          <w:lang w:eastAsia="es-CR"/>
        </w:rPr>
        <w:t xml:space="preserve">el Perú </w:t>
      </w:r>
      <w:r w:rsidRPr="002964A7">
        <w:rPr>
          <w:rFonts w:ascii="Verdana" w:hAnsi="Verdana"/>
          <w:sz w:val="20"/>
          <w:szCs w:val="20"/>
          <w:lang w:eastAsia="es-CR"/>
        </w:rPr>
        <w:t>indicó que</w:t>
      </w:r>
      <w:r w:rsidRPr="002964A7">
        <w:rPr>
          <w:rFonts w:ascii="Verdana" w:hAnsi="Verdana" w:cs="Arial"/>
          <w:sz w:val="20"/>
          <w:szCs w:val="20"/>
          <w:lang w:eastAsia="es-CR"/>
        </w:rPr>
        <w:t xml:space="preserve"> </w:t>
      </w:r>
      <w:r w:rsidRPr="002964A7">
        <w:rPr>
          <w:rFonts w:ascii="Verdana" w:hAnsi="Verdana"/>
          <w:sz w:val="20"/>
          <w:szCs w:val="20"/>
          <w:lang w:eastAsia="es-CR"/>
        </w:rPr>
        <w:t>el Equipo Forense Especializado (EFE) del Instituto de Medicina Legal y Ciencias Forenses del Ministerio Público “no brindó información concerniente a la diligencia del 18 de julio de 1991”. Para la Corte resulta de especial relevancia que</w:t>
      </w:r>
      <w:r>
        <w:rPr>
          <w:rFonts w:ascii="Verdana" w:hAnsi="Verdana"/>
          <w:sz w:val="20"/>
          <w:szCs w:val="20"/>
          <w:lang w:eastAsia="es-CR"/>
        </w:rPr>
        <w:t>,</w:t>
      </w:r>
      <w:r w:rsidRPr="002964A7">
        <w:rPr>
          <w:rFonts w:ascii="Verdana" w:hAnsi="Verdana"/>
          <w:sz w:val="20"/>
          <w:szCs w:val="20"/>
          <w:lang w:eastAsia="es-CR"/>
        </w:rPr>
        <w:t xml:space="preserve"> por más de 23 años</w:t>
      </w:r>
      <w:r>
        <w:rPr>
          <w:rFonts w:ascii="Verdana" w:hAnsi="Verdana"/>
          <w:sz w:val="20"/>
          <w:szCs w:val="20"/>
          <w:lang w:eastAsia="es-CR"/>
        </w:rPr>
        <w:t>,</w:t>
      </w:r>
      <w:r w:rsidRPr="002964A7">
        <w:rPr>
          <w:rFonts w:ascii="Verdana" w:hAnsi="Verdana"/>
          <w:sz w:val="20"/>
          <w:szCs w:val="20"/>
          <w:lang w:eastAsia="es-CR"/>
        </w:rPr>
        <w:t xml:space="preserve"> el Estado no haya desplegado esfuerzo alguno para ubicar dichos restos</w:t>
      </w:r>
      <w:r w:rsidRPr="002964A7">
        <w:rPr>
          <w:rFonts w:ascii="Verdana" w:hAnsi="Verdana" w:cs="Arial"/>
          <w:sz w:val="20"/>
          <w:szCs w:val="20"/>
          <w:lang w:eastAsia="es-CR"/>
        </w:rPr>
        <w:t xml:space="preserve"> y que aún a pesar de </w:t>
      </w:r>
      <w:r>
        <w:rPr>
          <w:rFonts w:ascii="Verdana" w:hAnsi="Verdana" w:cs="Arial"/>
          <w:sz w:val="20"/>
          <w:szCs w:val="20"/>
          <w:lang w:eastAsia="es-CR"/>
        </w:rPr>
        <w:t>h</w:t>
      </w:r>
      <w:r w:rsidRPr="002964A7">
        <w:rPr>
          <w:rFonts w:ascii="Verdana" w:hAnsi="Verdana" w:cs="Arial"/>
          <w:sz w:val="20"/>
          <w:szCs w:val="20"/>
          <w:lang w:eastAsia="es-CR"/>
        </w:rPr>
        <w:t>aber sido requerida por este Tribunal, dicha información no haya sido proporcionada</w:t>
      </w:r>
      <w:r w:rsidRPr="002964A7">
        <w:rPr>
          <w:rFonts w:ascii="Verdana" w:hAnsi="Verdana"/>
          <w:sz w:val="20"/>
          <w:szCs w:val="20"/>
          <w:lang w:eastAsia="es-CR"/>
        </w:rPr>
        <w:t xml:space="preserve"> (</w:t>
      </w:r>
      <w:r w:rsidRPr="002964A7">
        <w:rPr>
          <w:rFonts w:ascii="Verdana" w:hAnsi="Verdana"/>
          <w:i/>
          <w:sz w:val="20"/>
          <w:szCs w:val="20"/>
          <w:lang w:eastAsia="es-CR"/>
        </w:rPr>
        <w:t>supra</w:t>
      </w:r>
      <w:r w:rsidRPr="002964A7">
        <w:rPr>
          <w:rFonts w:ascii="Verdana" w:hAnsi="Verdana"/>
          <w:sz w:val="20"/>
          <w:szCs w:val="20"/>
          <w:lang w:eastAsia="es-CR"/>
        </w:rPr>
        <w:t xml:space="preserve"> párrs. </w:t>
      </w:r>
      <w:r>
        <w:rPr>
          <w:rFonts w:ascii="Verdana" w:hAnsi="Verdana"/>
          <w:sz w:val="20"/>
          <w:szCs w:val="20"/>
          <w:lang w:eastAsia="es-CR"/>
        </w:rPr>
        <w:t>101 y 171</w:t>
      </w:r>
      <w:r w:rsidRPr="002964A7">
        <w:rPr>
          <w:rFonts w:ascii="Verdana" w:hAnsi="Verdana"/>
          <w:sz w:val="20"/>
          <w:szCs w:val="20"/>
          <w:lang w:eastAsia="es-CR"/>
        </w:rPr>
        <w:t>)</w:t>
      </w:r>
      <w:r w:rsidRPr="002964A7">
        <w:rPr>
          <w:rFonts w:ascii="Verdana" w:hAnsi="Verdana" w:cs="Arial"/>
          <w:sz w:val="20"/>
          <w:szCs w:val="20"/>
          <w:lang w:eastAsia="es-CR"/>
        </w:rPr>
        <w:t xml:space="preserve">. </w:t>
      </w:r>
    </w:p>
    <w:p w:rsidR="00106A1E" w:rsidRPr="002964A7" w:rsidRDefault="00106A1E" w:rsidP="00106A1E">
      <w:pPr>
        <w:spacing w:after="0" w:line="240" w:lineRule="auto"/>
        <w:contextualSpacing/>
        <w:rPr>
          <w:rFonts w:ascii="Verdana" w:eastAsia="Calibri" w:hAnsi="Verdana" w:cs="Arial"/>
          <w:sz w:val="20"/>
          <w:szCs w:val="20"/>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rPr>
      </w:pPr>
      <w:r w:rsidRPr="002964A7">
        <w:rPr>
          <w:rFonts w:ascii="Verdana" w:hAnsi="Verdana" w:cs="Arial"/>
          <w:sz w:val="20"/>
          <w:szCs w:val="20"/>
          <w:lang w:eastAsia="es-CR"/>
        </w:rPr>
        <w:t xml:space="preserve">Segundo, </w:t>
      </w:r>
      <w:r w:rsidRPr="002964A7">
        <w:rPr>
          <w:rFonts w:ascii="Verdana" w:hAnsi="Verdana" w:cs="Arial"/>
          <w:sz w:val="20"/>
          <w:szCs w:val="20"/>
        </w:rPr>
        <w:t xml:space="preserve">durante los primeros 18 años de ocurridos los hechos </w:t>
      </w:r>
      <w:r w:rsidRPr="002964A7">
        <w:rPr>
          <w:rFonts w:ascii="Verdana" w:hAnsi="Verdana" w:cs="Helvetica"/>
          <w:sz w:val="20"/>
          <w:szCs w:val="20"/>
          <w:lang w:eastAsia="es-CR" w:bidi="en-US"/>
        </w:rPr>
        <w:t xml:space="preserve">hubo una omisión absoluta </w:t>
      </w:r>
      <w:r w:rsidRPr="002964A7">
        <w:rPr>
          <w:rFonts w:ascii="Verdana" w:hAnsi="Verdana" w:cs="Arial"/>
          <w:sz w:val="20"/>
          <w:szCs w:val="20"/>
        </w:rPr>
        <w:t xml:space="preserve">por parte del Estado de realizar actividad investigativa a fin de </w:t>
      </w:r>
      <w:r w:rsidRPr="002964A7">
        <w:rPr>
          <w:rFonts w:ascii="Verdana" w:hAnsi="Verdana" w:cs="Arial"/>
          <w:sz w:val="20"/>
          <w:szCs w:val="20"/>
          <w:lang w:val="es-GT" w:eastAsia="es-CR"/>
        </w:rPr>
        <w:t xml:space="preserve">buscar, recuperar y eventualmente identificar a las 15 víctimas </w:t>
      </w:r>
      <w:r w:rsidRPr="002964A7">
        <w:rPr>
          <w:rFonts w:ascii="Verdana" w:hAnsi="Verdana" w:cs="Helvetica"/>
          <w:sz w:val="20"/>
          <w:szCs w:val="20"/>
          <w:lang w:eastAsia="es-CR" w:bidi="en-US"/>
        </w:rPr>
        <w:t>de</w:t>
      </w:r>
      <w:r w:rsidRPr="002964A7">
        <w:rPr>
          <w:rFonts w:ascii="Verdana" w:hAnsi="Verdana" w:cs="Arial"/>
          <w:sz w:val="20"/>
          <w:szCs w:val="20"/>
          <w:lang w:val="es-GT" w:eastAsia="es-CR"/>
        </w:rPr>
        <w:t xml:space="preserve"> este caso. </w:t>
      </w:r>
      <w:r w:rsidRPr="002964A7">
        <w:rPr>
          <w:rFonts w:ascii="Verdana" w:hAnsi="Verdana" w:cs="Arial"/>
          <w:sz w:val="20"/>
          <w:szCs w:val="20"/>
          <w:lang w:eastAsia="es-CR"/>
        </w:rPr>
        <w:t>D</w:t>
      </w:r>
      <w:r w:rsidRPr="002964A7">
        <w:rPr>
          <w:rFonts w:ascii="Verdana" w:hAnsi="Verdana"/>
          <w:sz w:val="20"/>
          <w:szCs w:val="20"/>
          <w:lang w:eastAsia="es-CR"/>
        </w:rPr>
        <w:t xml:space="preserve">urante ese mismo tiempo tampoco se tiene conocimiento que el sitio </w:t>
      </w:r>
      <w:r>
        <w:rPr>
          <w:rFonts w:ascii="Verdana" w:hAnsi="Verdana"/>
          <w:sz w:val="20"/>
          <w:szCs w:val="20"/>
          <w:lang w:eastAsia="es-CR"/>
        </w:rPr>
        <w:t xml:space="preserve">de la mina </w:t>
      </w:r>
      <w:r w:rsidRPr="002964A7">
        <w:rPr>
          <w:rFonts w:ascii="Verdana" w:hAnsi="Verdana"/>
          <w:sz w:val="20"/>
          <w:szCs w:val="20"/>
          <w:lang w:eastAsia="es-CR"/>
        </w:rPr>
        <w:t>haya sido custodiado a fin de evitar alteraciones a manos de terceros.</w:t>
      </w:r>
      <w:r w:rsidRPr="002964A7">
        <w:rPr>
          <w:rFonts w:ascii="Verdana" w:hAnsi="Verdana" w:cs="Arial"/>
          <w:sz w:val="20"/>
          <w:szCs w:val="20"/>
          <w:lang w:val="es-GT" w:eastAsia="es-CR"/>
        </w:rPr>
        <w:t xml:space="preserve"> </w:t>
      </w:r>
      <w:r w:rsidRPr="002964A7">
        <w:rPr>
          <w:rFonts w:ascii="Verdana" w:hAnsi="Verdana"/>
          <w:sz w:val="20"/>
          <w:szCs w:val="20"/>
          <w:lang w:eastAsia="es-CR"/>
        </w:rPr>
        <w:t xml:space="preserve">De la prueba presentada en este caso se desprende que </w:t>
      </w:r>
      <w:r w:rsidRPr="002964A7">
        <w:rPr>
          <w:rFonts w:ascii="Verdana" w:hAnsi="Verdana" w:cs="Arial"/>
          <w:sz w:val="20"/>
          <w:szCs w:val="20"/>
        </w:rPr>
        <w:t xml:space="preserve">recién </w:t>
      </w:r>
      <w:r w:rsidRPr="002964A7">
        <w:rPr>
          <w:rFonts w:ascii="Verdana" w:hAnsi="Verdana"/>
          <w:sz w:val="20"/>
          <w:szCs w:val="20"/>
          <w:lang w:eastAsia="es-CR"/>
        </w:rPr>
        <w:t xml:space="preserve">en </w:t>
      </w:r>
      <w:r w:rsidRPr="002964A7">
        <w:rPr>
          <w:rFonts w:ascii="Verdana" w:hAnsi="Verdana" w:cs="Helvetica"/>
          <w:sz w:val="20"/>
          <w:szCs w:val="20"/>
          <w:lang w:eastAsia="es-CR" w:bidi="en-US"/>
        </w:rPr>
        <w:t xml:space="preserve">el año 2009 </w:t>
      </w:r>
      <w:r w:rsidRPr="002964A7">
        <w:rPr>
          <w:rFonts w:ascii="Verdana" w:hAnsi="Verdana" w:cs="Arial"/>
          <w:sz w:val="20"/>
          <w:szCs w:val="20"/>
          <w:lang w:eastAsia="es-CR"/>
        </w:rPr>
        <w:t>se practicaron nuevamente diligencias en la mina</w:t>
      </w:r>
      <w:r w:rsidRPr="002964A7">
        <w:rPr>
          <w:rFonts w:ascii="Verdana" w:hAnsi="Verdana"/>
          <w:sz w:val="20"/>
          <w:szCs w:val="20"/>
          <w:lang w:val="es-GT" w:eastAsia="es-CR"/>
        </w:rPr>
        <w:t xml:space="preserve"> “Misteriosa” o “Vallarón” (</w:t>
      </w:r>
      <w:r w:rsidRPr="002964A7">
        <w:rPr>
          <w:rFonts w:ascii="Verdana" w:hAnsi="Verdana"/>
          <w:i/>
          <w:sz w:val="20"/>
          <w:szCs w:val="20"/>
          <w:lang w:val="es-GT" w:eastAsia="es-CR"/>
        </w:rPr>
        <w:t>supra</w:t>
      </w:r>
      <w:r w:rsidRPr="002964A7">
        <w:rPr>
          <w:rFonts w:ascii="Verdana" w:hAnsi="Verdana"/>
          <w:sz w:val="20"/>
          <w:szCs w:val="20"/>
          <w:lang w:val="es-GT" w:eastAsia="es-CR"/>
        </w:rPr>
        <w:t xml:space="preserve"> párr</w:t>
      </w:r>
      <w:r>
        <w:rPr>
          <w:rFonts w:ascii="Verdana" w:hAnsi="Verdana"/>
          <w:sz w:val="20"/>
          <w:szCs w:val="20"/>
          <w:lang w:val="es-GT" w:eastAsia="es-CR"/>
        </w:rPr>
        <w:t>s</w:t>
      </w:r>
      <w:r w:rsidRPr="002964A7">
        <w:rPr>
          <w:rFonts w:ascii="Verdana" w:hAnsi="Verdana"/>
          <w:sz w:val="20"/>
          <w:szCs w:val="20"/>
          <w:lang w:val="es-GT" w:eastAsia="es-CR"/>
        </w:rPr>
        <w:t xml:space="preserve">. </w:t>
      </w:r>
      <w:r>
        <w:rPr>
          <w:rFonts w:ascii="Verdana" w:hAnsi="Verdana"/>
          <w:sz w:val="20"/>
          <w:szCs w:val="20"/>
          <w:lang w:val="es-GT" w:eastAsia="es-CR"/>
        </w:rPr>
        <w:t>137 a 139</w:t>
      </w:r>
      <w:r w:rsidRPr="002964A7">
        <w:rPr>
          <w:rFonts w:ascii="Verdana" w:hAnsi="Verdana"/>
          <w:sz w:val="20"/>
          <w:szCs w:val="20"/>
          <w:lang w:val="es-GT" w:eastAsia="es-CR"/>
        </w:rPr>
        <w:t>)</w:t>
      </w:r>
      <w:r w:rsidRPr="002964A7">
        <w:rPr>
          <w:rFonts w:ascii="Verdana" w:hAnsi="Verdana" w:cs="Helvetica"/>
          <w:sz w:val="20"/>
          <w:szCs w:val="20"/>
          <w:lang w:eastAsia="es-CR" w:bidi="en-US"/>
        </w:rPr>
        <w:t xml:space="preserve">. </w:t>
      </w:r>
      <w:r>
        <w:rPr>
          <w:rFonts w:ascii="Verdana" w:hAnsi="Verdana" w:cs="Arial"/>
          <w:sz w:val="20"/>
          <w:szCs w:val="20"/>
        </w:rPr>
        <w:t xml:space="preserve">Además, una vez que </w:t>
      </w:r>
      <w:r w:rsidRPr="002964A7">
        <w:rPr>
          <w:rFonts w:ascii="Verdana" w:hAnsi="Verdana" w:cs="Arial"/>
          <w:sz w:val="20"/>
          <w:szCs w:val="20"/>
          <w:lang w:val="es-GT" w:eastAsia="es-CR"/>
        </w:rPr>
        <w:t xml:space="preserve">se realizaron </w:t>
      </w:r>
      <w:r w:rsidRPr="002964A7">
        <w:rPr>
          <w:rFonts w:ascii="Verdana" w:hAnsi="Verdana" w:cs="Helvetica"/>
          <w:sz w:val="20"/>
          <w:szCs w:val="20"/>
          <w:lang w:eastAsia="es-CR" w:bidi="en-US"/>
        </w:rPr>
        <w:t>entrevistas</w:t>
      </w:r>
      <w:r w:rsidRPr="002964A7">
        <w:rPr>
          <w:rFonts w:ascii="Verdana" w:hAnsi="Verdana" w:cs="Arial"/>
          <w:sz w:val="20"/>
          <w:szCs w:val="20"/>
          <w:lang w:val="es-GT" w:eastAsia="es-CR"/>
        </w:rPr>
        <w:t xml:space="preserve"> a testigos y familiares,</w:t>
      </w:r>
      <w:r>
        <w:rPr>
          <w:rFonts w:ascii="Verdana" w:hAnsi="Verdana" w:cs="Arial"/>
          <w:sz w:val="20"/>
          <w:szCs w:val="20"/>
          <w:lang w:val="es-GT" w:eastAsia="es-CR"/>
        </w:rPr>
        <w:t xml:space="preserve"> y</w:t>
      </w:r>
      <w:r w:rsidRPr="002964A7">
        <w:rPr>
          <w:rFonts w:ascii="Verdana" w:hAnsi="Verdana" w:cs="Arial"/>
          <w:sz w:val="20"/>
          <w:szCs w:val="20"/>
          <w:lang w:val="es-GT" w:eastAsia="es-CR"/>
        </w:rPr>
        <w:t xml:space="preserve"> encuestas (instrumento – ficha de dato </w:t>
      </w:r>
      <w:r w:rsidRPr="002964A7">
        <w:rPr>
          <w:rFonts w:ascii="Verdana" w:hAnsi="Verdana" w:cs="Arial"/>
          <w:i/>
          <w:sz w:val="20"/>
          <w:szCs w:val="20"/>
          <w:lang w:val="es-GT" w:eastAsia="es-CR"/>
        </w:rPr>
        <w:t>ante mortem</w:t>
      </w:r>
      <w:r w:rsidRPr="002964A7">
        <w:rPr>
          <w:rFonts w:ascii="Verdana" w:hAnsi="Verdana" w:cs="Arial"/>
          <w:sz w:val="20"/>
          <w:szCs w:val="20"/>
          <w:lang w:val="es-GT" w:eastAsia="es-CR"/>
        </w:rPr>
        <w:t>)</w:t>
      </w:r>
      <w:r>
        <w:rPr>
          <w:rFonts w:ascii="Verdana" w:hAnsi="Verdana" w:cs="Arial"/>
          <w:sz w:val="20"/>
          <w:szCs w:val="20"/>
          <w:lang w:val="es-GT" w:eastAsia="es-CR"/>
        </w:rPr>
        <w:t>,</w:t>
      </w:r>
      <w:r>
        <w:rPr>
          <w:rFonts w:ascii="Verdana" w:hAnsi="Verdana" w:cs="Arial"/>
          <w:sz w:val="20"/>
          <w:szCs w:val="20"/>
        </w:rPr>
        <w:t xml:space="preserve"> los días</w:t>
      </w:r>
      <w:r>
        <w:rPr>
          <w:rFonts w:ascii="Verdana" w:hAnsi="Verdana" w:cs="Arial"/>
          <w:sz w:val="20"/>
          <w:szCs w:val="20"/>
          <w:lang w:val="es-GT" w:eastAsia="es-CR"/>
        </w:rPr>
        <w:t xml:space="preserve"> 18 y 19 de abril de 2010</w:t>
      </w:r>
      <w:r w:rsidRPr="002964A7">
        <w:rPr>
          <w:rFonts w:ascii="Verdana" w:hAnsi="Verdana" w:cs="Arial"/>
          <w:sz w:val="20"/>
          <w:szCs w:val="20"/>
          <w:lang w:val="es-GT" w:eastAsia="es-CR"/>
        </w:rPr>
        <w:t xml:space="preserve"> se elaboró </w:t>
      </w:r>
      <w:r>
        <w:rPr>
          <w:rFonts w:ascii="Verdana" w:hAnsi="Verdana" w:cs="Arial"/>
          <w:sz w:val="20"/>
          <w:szCs w:val="20"/>
          <w:lang w:val="es-GT" w:eastAsia="es-CR"/>
        </w:rPr>
        <w:t xml:space="preserve">un </w:t>
      </w:r>
      <w:r w:rsidRPr="002964A7">
        <w:rPr>
          <w:rFonts w:ascii="Verdana" w:hAnsi="Verdana" w:cs="Arial"/>
          <w:sz w:val="20"/>
          <w:szCs w:val="20"/>
          <w:lang w:val="es-GT" w:eastAsia="es-CR"/>
        </w:rPr>
        <w:t>resumen de fichas ante mortem</w:t>
      </w:r>
      <w:r w:rsidRPr="002964A7">
        <w:rPr>
          <w:rFonts w:ascii="Verdana" w:hAnsi="Verdana" w:cs="Arial"/>
          <w:sz w:val="20"/>
          <w:szCs w:val="20"/>
          <w:vertAlign w:val="superscript"/>
          <w:lang w:eastAsia="es-CR"/>
        </w:rPr>
        <w:footnoteReference w:id="211"/>
      </w:r>
      <w:r w:rsidRPr="002964A7">
        <w:rPr>
          <w:rFonts w:ascii="Verdana" w:hAnsi="Verdana" w:cs="Arial"/>
          <w:sz w:val="20"/>
          <w:szCs w:val="20"/>
          <w:lang w:val="es-GT" w:eastAsia="es-CR"/>
        </w:rPr>
        <w:t xml:space="preserve">. El 30 de septiembre de 2010 fueron </w:t>
      </w:r>
      <w:r>
        <w:rPr>
          <w:rFonts w:ascii="Verdana" w:hAnsi="Verdana" w:cs="Arial"/>
          <w:sz w:val="20"/>
          <w:szCs w:val="20"/>
          <w:lang w:val="es-GT" w:eastAsia="es-CR"/>
        </w:rPr>
        <w:t>“</w:t>
      </w:r>
      <w:r w:rsidRPr="002964A7">
        <w:rPr>
          <w:rFonts w:ascii="Verdana" w:hAnsi="Verdana" w:cs="Arial"/>
          <w:sz w:val="20"/>
          <w:szCs w:val="20"/>
          <w:lang w:val="es-GT" w:eastAsia="es-CR"/>
        </w:rPr>
        <w:t>muestreados</w:t>
      </w:r>
      <w:r>
        <w:rPr>
          <w:rFonts w:ascii="Verdana" w:hAnsi="Verdana" w:cs="Arial"/>
          <w:sz w:val="20"/>
          <w:szCs w:val="20"/>
          <w:lang w:val="es-GT" w:eastAsia="es-CR"/>
        </w:rPr>
        <w:t>”</w:t>
      </w:r>
      <w:r w:rsidRPr="002964A7">
        <w:rPr>
          <w:rFonts w:ascii="Verdana" w:hAnsi="Verdana" w:cs="Arial"/>
          <w:sz w:val="20"/>
          <w:szCs w:val="20"/>
          <w:lang w:val="es-GT" w:eastAsia="es-CR"/>
        </w:rPr>
        <w:t xml:space="preserve"> seis familiares</w:t>
      </w:r>
      <w:r>
        <w:rPr>
          <w:rFonts w:ascii="Verdana" w:hAnsi="Verdana" w:cs="Arial"/>
          <w:sz w:val="20"/>
          <w:szCs w:val="20"/>
          <w:lang w:val="es-GT" w:eastAsia="es-CR"/>
        </w:rPr>
        <w:t>,</w:t>
      </w:r>
      <w:r w:rsidRPr="002964A7">
        <w:rPr>
          <w:rFonts w:ascii="Verdana" w:hAnsi="Verdana" w:cs="Arial"/>
          <w:sz w:val="20"/>
          <w:szCs w:val="20"/>
          <w:lang w:val="es-GT" w:eastAsia="es-CR"/>
        </w:rPr>
        <w:t xml:space="preserve"> obteniéndose </w:t>
      </w:r>
      <w:r>
        <w:rPr>
          <w:rFonts w:ascii="Verdana" w:hAnsi="Verdana" w:cs="Arial"/>
          <w:sz w:val="20"/>
          <w:szCs w:val="20"/>
          <w:lang w:val="es-GT" w:eastAsia="es-CR"/>
        </w:rPr>
        <w:t>sus</w:t>
      </w:r>
      <w:r w:rsidRPr="002964A7">
        <w:rPr>
          <w:rFonts w:ascii="Verdana" w:hAnsi="Verdana" w:cs="Arial"/>
          <w:sz w:val="20"/>
          <w:szCs w:val="20"/>
          <w:lang w:val="es-GT" w:eastAsia="es-CR"/>
        </w:rPr>
        <w:t xml:space="preserve"> perfiles genéticos </w:t>
      </w:r>
      <w:r w:rsidRPr="002964A7">
        <w:rPr>
          <w:rFonts w:ascii="Verdana" w:hAnsi="Verdana" w:cs="Arial"/>
          <w:sz w:val="20"/>
          <w:szCs w:val="20"/>
          <w:lang w:val="es-GT" w:eastAsia="es-CR"/>
        </w:rPr>
        <w:lastRenderedPageBreak/>
        <w:t>completos</w:t>
      </w:r>
      <w:r>
        <w:rPr>
          <w:rFonts w:ascii="Verdana" w:hAnsi="Verdana" w:cs="Arial"/>
          <w:sz w:val="20"/>
          <w:szCs w:val="20"/>
          <w:lang w:val="es-GT" w:eastAsia="es-CR"/>
        </w:rPr>
        <w:t xml:space="preserve"> y, p</w:t>
      </w:r>
      <w:r w:rsidRPr="002964A7">
        <w:rPr>
          <w:rFonts w:ascii="Verdana" w:hAnsi="Verdana" w:cs="Arial"/>
          <w:sz w:val="20"/>
          <w:szCs w:val="20"/>
          <w:lang w:val="es-GT" w:eastAsia="es-CR"/>
        </w:rPr>
        <w:t xml:space="preserve">osteriormente, el 21 de enero de 2015 se obtuvo </w:t>
      </w:r>
      <w:r>
        <w:rPr>
          <w:rFonts w:ascii="Verdana" w:hAnsi="Verdana" w:cs="Arial"/>
          <w:sz w:val="20"/>
          <w:szCs w:val="20"/>
          <w:lang w:val="es-GT" w:eastAsia="es-CR"/>
        </w:rPr>
        <w:t xml:space="preserve">el </w:t>
      </w:r>
      <w:r w:rsidRPr="002964A7">
        <w:rPr>
          <w:rFonts w:ascii="Verdana" w:hAnsi="Verdana" w:cs="Arial"/>
          <w:sz w:val="20"/>
          <w:szCs w:val="20"/>
          <w:lang w:val="es-GT" w:eastAsia="es-CR"/>
        </w:rPr>
        <w:t>perfil completo de</w:t>
      </w:r>
      <w:r>
        <w:rPr>
          <w:rFonts w:ascii="Verdana" w:hAnsi="Verdana" w:cs="Arial"/>
          <w:sz w:val="20"/>
          <w:szCs w:val="20"/>
          <w:lang w:val="es-GT" w:eastAsia="es-CR"/>
        </w:rPr>
        <w:t xml:space="preserve"> un familiar más</w:t>
      </w:r>
      <w:r w:rsidRPr="002964A7">
        <w:rPr>
          <w:rFonts w:ascii="Verdana" w:hAnsi="Verdana" w:cs="Arial"/>
          <w:sz w:val="20"/>
          <w:szCs w:val="20"/>
          <w:lang w:val="es-GT" w:eastAsia="es-CR"/>
        </w:rPr>
        <w:t xml:space="preserve"> </w:t>
      </w:r>
      <w:r>
        <w:rPr>
          <w:rFonts w:ascii="Verdana" w:hAnsi="Verdana" w:cs="Arial"/>
          <w:sz w:val="20"/>
          <w:szCs w:val="20"/>
          <w:lang w:val="es-GT" w:eastAsia="es-CR"/>
        </w:rPr>
        <w:t>(</w:t>
      </w:r>
      <w:r w:rsidRPr="006C3B7D">
        <w:rPr>
          <w:rFonts w:ascii="Verdana" w:hAnsi="Verdana" w:cs="Arial"/>
          <w:i/>
          <w:sz w:val="20"/>
          <w:szCs w:val="20"/>
          <w:lang w:val="es-GT" w:eastAsia="es-CR"/>
        </w:rPr>
        <w:t>supra</w:t>
      </w:r>
      <w:r>
        <w:rPr>
          <w:rFonts w:ascii="Verdana" w:hAnsi="Verdana" w:cs="Arial"/>
          <w:sz w:val="20"/>
          <w:szCs w:val="20"/>
          <w:lang w:val="es-GT" w:eastAsia="es-CR"/>
        </w:rPr>
        <w:t xml:space="preserve"> párr. 144)</w:t>
      </w:r>
      <w:r w:rsidRPr="002964A7">
        <w:rPr>
          <w:rFonts w:ascii="Verdana" w:hAnsi="Verdana" w:cs="Arial"/>
          <w:sz w:val="20"/>
          <w:szCs w:val="20"/>
          <w:lang w:val="es-GT" w:eastAsia="es-CR"/>
        </w:rPr>
        <w:t xml:space="preserve">. </w:t>
      </w:r>
      <w:r w:rsidRPr="002964A7">
        <w:rPr>
          <w:rFonts w:ascii="Verdana" w:hAnsi="Verdana" w:cs="Arial"/>
          <w:sz w:val="20"/>
          <w:szCs w:val="20"/>
          <w:lang w:eastAsia="es-CR"/>
        </w:rPr>
        <w:t>No consta que se hayan desplegado esfuerzos a fin de ubicar y obtener información adicional de otros familiares</w:t>
      </w:r>
      <w:r w:rsidRPr="002964A7">
        <w:rPr>
          <w:rFonts w:ascii="Verdana" w:hAnsi="Verdana"/>
          <w:sz w:val="20"/>
          <w:szCs w:val="20"/>
          <w:lang w:eastAsia="es-CR"/>
        </w:rPr>
        <w:t>.</w:t>
      </w:r>
    </w:p>
    <w:p w:rsidR="00106A1E" w:rsidRPr="002964A7" w:rsidRDefault="00106A1E" w:rsidP="00106A1E">
      <w:pPr>
        <w:spacing w:after="0" w:line="240" w:lineRule="auto"/>
        <w:contextualSpacing/>
        <w:jc w:val="both"/>
        <w:rPr>
          <w:rFonts w:ascii="Verdana" w:hAnsi="Verdana" w:cs="Arial"/>
          <w:sz w:val="20"/>
          <w:szCs w:val="20"/>
          <w:lang w:val="es-GT" w:eastAsia="es-CR"/>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eastAsia="es-CR"/>
        </w:rPr>
      </w:pPr>
      <w:r w:rsidRPr="002964A7">
        <w:rPr>
          <w:rFonts w:ascii="Verdana" w:hAnsi="Verdana"/>
          <w:sz w:val="20"/>
          <w:szCs w:val="20"/>
          <w:lang w:eastAsia="es-CR"/>
        </w:rPr>
        <w:t xml:space="preserve">Tercero, si bien </w:t>
      </w:r>
      <w:r w:rsidRPr="002964A7">
        <w:rPr>
          <w:rFonts w:ascii="Verdana" w:hAnsi="Verdana" w:cs="Arial"/>
          <w:sz w:val="20"/>
          <w:szCs w:val="20"/>
          <w:lang w:eastAsia="es-CR"/>
        </w:rPr>
        <w:t xml:space="preserve">en el acervo probatorio no se tiene claridad </w:t>
      </w:r>
      <w:r w:rsidRPr="002964A7">
        <w:rPr>
          <w:rFonts w:ascii="Verdana" w:hAnsi="Verdana" w:cs="Helvetica"/>
          <w:sz w:val="20"/>
          <w:szCs w:val="20"/>
          <w:lang w:eastAsia="es-CR" w:bidi="en-US"/>
        </w:rPr>
        <w:t>sobre</w:t>
      </w:r>
      <w:r w:rsidRPr="002964A7">
        <w:rPr>
          <w:rFonts w:ascii="Verdana" w:hAnsi="Verdana"/>
          <w:sz w:val="20"/>
          <w:szCs w:val="20"/>
          <w:lang w:eastAsia="es-CR"/>
        </w:rPr>
        <w:t xml:space="preserve"> el número de diligencias practicadas en el marco de </w:t>
      </w:r>
      <w:r w:rsidRPr="002964A7">
        <w:rPr>
          <w:rFonts w:ascii="Verdana" w:hAnsi="Verdana" w:cs="Arial"/>
          <w:sz w:val="20"/>
          <w:szCs w:val="20"/>
          <w:lang w:eastAsia="es-CR"/>
        </w:rPr>
        <w:t xml:space="preserve">la búsqueda y recuperación de los restos óseos humanos en la </w:t>
      </w:r>
      <w:r w:rsidRPr="002964A7">
        <w:rPr>
          <w:rFonts w:ascii="Verdana" w:hAnsi="Verdana"/>
          <w:sz w:val="20"/>
          <w:szCs w:val="20"/>
          <w:lang w:eastAsia="es-CR"/>
        </w:rPr>
        <w:t xml:space="preserve">mina entre </w:t>
      </w:r>
      <w:r>
        <w:rPr>
          <w:rFonts w:ascii="Verdana" w:hAnsi="Verdana"/>
          <w:sz w:val="20"/>
          <w:szCs w:val="20"/>
          <w:lang w:eastAsia="es-CR"/>
        </w:rPr>
        <w:t>los</w:t>
      </w:r>
      <w:r w:rsidRPr="002964A7">
        <w:rPr>
          <w:rFonts w:ascii="Verdana" w:hAnsi="Verdana"/>
          <w:sz w:val="20"/>
          <w:szCs w:val="20"/>
          <w:lang w:eastAsia="es-CR"/>
        </w:rPr>
        <w:t xml:space="preserve"> año</w:t>
      </w:r>
      <w:r>
        <w:rPr>
          <w:rFonts w:ascii="Verdana" w:hAnsi="Verdana"/>
          <w:sz w:val="20"/>
          <w:szCs w:val="20"/>
          <w:lang w:eastAsia="es-CR"/>
        </w:rPr>
        <w:t>s</w:t>
      </w:r>
      <w:r w:rsidRPr="002964A7">
        <w:rPr>
          <w:rFonts w:ascii="Verdana" w:hAnsi="Verdana"/>
          <w:sz w:val="20"/>
          <w:szCs w:val="20"/>
          <w:lang w:eastAsia="es-CR"/>
        </w:rPr>
        <w:t xml:space="preserve"> 2009 y 2011, es claro que no se siguieron las recomendaciones realizadas por los expertos respecto a la intervención del sitio. En efecto, no obstante la recomendación de que </w:t>
      </w:r>
      <w:r w:rsidRPr="002964A7">
        <w:rPr>
          <w:rFonts w:ascii="Verdana" w:hAnsi="Verdana" w:cs="Arial"/>
          <w:sz w:val="20"/>
          <w:szCs w:val="20"/>
          <w:lang w:val="es-GT" w:eastAsia="es-CR"/>
        </w:rPr>
        <w:t xml:space="preserve">la intervención arqueológica forense se realizara entre abril y octubre para evitar la época de lluvias, </w:t>
      </w:r>
      <w:r w:rsidR="00335E16">
        <w:rPr>
          <w:rFonts w:ascii="Verdana" w:hAnsi="Verdana" w:cs="Arial"/>
          <w:sz w:val="20"/>
          <w:szCs w:val="20"/>
          <w:lang w:val="es-GT" w:eastAsia="es-CR"/>
        </w:rPr>
        <w:t>e</w:t>
      </w:r>
      <w:r w:rsidRPr="002964A7">
        <w:rPr>
          <w:rFonts w:ascii="Verdana" w:hAnsi="Verdana" w:cs="Arial"/>
          <w:sz w:val="20"/>
          <w:szCs w:val="20"/>
          <w:lang w:val="es-GT" w:eastAsia="es-CR"/>
        </w:rPr>
        <w:t>stas se realizaron del 16 al 18 de noviembre de 2009 y del 1 al 8 de marzo de 2010.</w:t>
      </w:r>
      <w:r w:rsidRPr="002964A7">
        <w:rPr>
          <w:rFonts w:ascii="Verdana" w:hAnsi="Verdana" w:cs="Arial"/>
          <w:sz w:val="20"/>
          <w:szCs w:val="20"/>
          <w:lang w:eastAsia="es-CR"/>
        </w:rPr>
        <w:t xml:space="preserve"> Tampoco </w:t>
      </w:r>
      <w:r w:rsidRPr="002964A7">
        <w:rPr>
          <w:rFonts w:ascii="Verdana" w:hAnsi="Verdana" w:cs="Arial"/>
          <w:sz w:val="20"/>
          <w:szCs w:val="20"/>
          <w:lang w:val="es-GT" w:eastAsia="es-CR"/>
        </w:rPr>
        <w:t xml:space="preserve">es posible verificar si se cumplieron con las recomendaciones sobre las medidas a tomar para la seguridad del sitio, según el informe pericial de 21 de enero de 2010. En razón de todo ello, las diligencias practicadas del 1 al 8 de marzo de 2010 presentaron </w:t>
      </w:r>
      <w:r w:rsidRPr="002964A7">
        <w:rPr>
          <w:rFonts w:ascii="Verdana" w:hAnsi="Verdana"/>
          <w:sz w:val="20"/>
          <w:szCs w:val="20"/>
          <w:lang w:val="es-GT" w:eastAsia="es-CR"/>
        </w:rPr>
        <w:t>la constante filtración de agua sobre el lugar que</w:t>
      </w:r>
      <w:r w:rsidRPr="002964A7">
        <w:rPr>
          <w:rFonts w:ascii="Verdana" w:hAnsi="Verdana" w:cs="Arial"/>
          <w:sz w:val="20"/>
          <w:szCs w:val="20"/>
          <w:lang w:val="es-GT" w:eastAsia="es-CR"/>
        </w:rPr>
        <w:t xml:space="preserve"> </w:t>
      </w:r>
      <w:r w:rsidRPr="002964A7">
        <w:rPr>
          <w:rFonts w:ascii="Verdana" w:hAnsi="Verdana"/>
          <w:sz w:val="20"/>
          <w:szCs w:val="20"/>
          <w:lang w:val="es-GT" w:eastAsia="es-CR"/>
        </w:rPr>
        <w:t>enlodó la tierra</w:t>
      </w:r>
      <w:r w:rsidRPr="002964A7">
        <w:rPr>
          <w:rFonts w:ascii="Verdana" w:hAnsi="Verdana" w:cs="Arial"/>
          <w:sz w:val="20"/>
          <w:szCs w:val="20"/>
          <w:lang w:val="es-GT" w:eastAsia="es-CR"/>
        </w:rPr>
        <w:t xml:space="preserve"> y el </w:t>
      </w:r>
      <w:r w:rsidRPr="002964A7">
        <w:rPr>
          <w:rFonts w:ascii="Verdana" w:hAnsi="Verdana"/>
          <w:sz w:val="20"/>
          <w:szCs w:val="20"/>
          <w:lang w:val="es-GT" w:eastAsia="es-CR"/>
        </w:rPr>
        <w:t>deslizamiento constante de las piedras</w:t>
      </w:r>
      <w:r w:rsidRPr="002964A7">
        <w:rPr>
          <w:rFonts w:ascii="Verdana" w:hAnsi="Verdana"/>
          <w:sz w:val="20"/>
          <w:szCs w:val="20"/>
          <w:lang w:eastAsia="es-CR"/>
        </w:rPr>
        <w:t xml:space="preserve"> (</w:t>
      </w:r>
      <w:r w:rsidRPr="002964A7">
        <w:rPr>
          <w:rFonts w:ascii="Verdana" w:hAnsi="Verdana"/>
          <w:i/>
          <w:sz w:val="20"/>
          <w:szCs w:val="20"/>
          <w:lang w:eastAsia="es-CR"/>
        </w:rPr>
        <w:t>supra</w:t>
      </w:r>
      <w:r w:rsidRPr="002964A7">
        <w:rPr>
          <w:rFonts w:ascii="Verdana" w:hAnsi="Verdana"/>
          <w:sz w:val="20"/>
          <w:szCs w:val="20"/>
          <w:lang w:eastAsia="es-CR"/>
        </w:rPr>
        <w:t xml:space="preserve"> párrs. </w:t>
      </w:r>
      <w:r>
        <w:rPr>
          <w:rFonts w:ascii="Verdana" w:hAnsi="Verdana"/>
          <w:sz w:val="20"/>
          <w:szCs w:val="20"/>
          <w:lang w:eastAsia="es-CR"/>
        </w:rPr>
        <w:t>138 a 141</w:t>
      </w:r>
      <w:r w:rsidRPr="002964A7">
        <w:rPr>
          <w:rFonts w:ascii="Verdana" w:hAnsi="Verdana"/>
          <w:sz w:val="20"/>
          <w:szCs w:val="20"/>
          <w:lang w:eastAsia="es-CR"/>
        </w:rPr>
        <w:t>).</w:t>
      </w:r>
    </w:p>
    <w:p w:rsidR="00106A1E" w:rsidRPr="002964A7" w:rsidRDefault="00106A1E" w:rsidP="00106A1E">
      <w:pPr>
        <w:spacing w:after="0" w:line="240" w:lineRule="auto"/>
        <w:ind w:left="720"/>
        <w:contextualSpacing/>
        <w:rPr>
          <w:rFonts w:ascii="Verdana" w:eastAsia="Calibri" w:hAnsi="Verdana"/>
          <w:sz w:val="20"/>
          <w:szCs w:val="20"/>
          <w:lang w:val="en-US"/>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val="es-GT" w:eastAsia="es-CR"/>
        </w:rPr>
      </w:pPr>
      <w:r w:rsidRPr="002964A7">
        <w:rPr>
          <w:rFonts w:ascii="Verdana" w:hAnsi="Verdana"/>
          <w:sz w:val="20"/>
          <w:szCs w:val="20"/>
          <w:lang w:eastAsia="es-CR"/>
        </w:rPr>
        <w:t xml:space="preserve">Cuarto, estando bajo custodia estatal, </w:t>
      </w:r>
      <w:r w:rsidRPr="00F0761C">
        <w:rPr>
          <w:rFonts w:ascii="Verdana" w:hAnsi="Verdana" w:cs="Arial"/>
          <w:sz w:val="20"/>
          <w:szCs w:val="20"/>
          <w:lang w:eastAsia="es-CR"/>
        </w:rPr>
        <w:t xml:space="preserve">se desconoce el procesamiento y paradero de la evidencia recolectada </w:t>
      </w:r>
      <w:r>
        <w:rPr>
          <w:rFonts w:ascii="Verdana" w:hAnsi="Verdana" w:cs="Arial"/>
          <w:sz w:val="20"/>
          <w:szCs w:val="20"/>
          <w:lang w:eastAsia="es-CR"/>
        </w:rPr>
        <w:t>d</w:t>
      </w:r>
      <w:r w:rsidRPr="00F0761C">
        <w:rPr>
          <w:rFonts w:ascii="Verdana" w:hAnsi="Verdana" w:cs="Arial"/>
          <w:sz w:val="20"/>
          <w:szCs w:val="20"/>
          <w:lang w:eastAsia="es-CR"/>
        </w:rPr>
        <w:t xml:space="preserve">el </w:t>
      </w:r>
      <w:r w:rsidRPr="00F620CD">
        <w:rPr>
          <w:rFonts w:ascii="Verdana" w:hAnsi="Verdana" w:cs="Arial"/>
          <w:sz w:val="20"/>
          <w:szCs w:val="20"/>
          <w:lang w:eastAsia="es-CR"/>
        </w:rPr>
        <w:t xml:space="preserve">16 al 18 de noviembre de 2009 y el 12 de octubre de 2011, la cual fue </w:t>
      </w:r>
      <w:r w:rsidRPr="00D80454">
        <w:rPr>
          <w:rFonts w:ascii="Verdana" w:hAnsi="Verdana" w:cs="Arial"/>
          <w:sz w:val="20"/>
          <w:szCs w:val="20"/>
          <w:lang w:eastAsia="es-CR"/>
        </w:rPr>
        <w:t>internada en el Laboratorio de Investigaciones Forenses de Ayacucho y</w:t>
      </w:r>
      <w:r w:rsidRPr="005F4FFD">
        <w:rPr>
          <w:rFonts w:ascii="Verdana" w:hAnsi="Verdana" w:cs="Arial"/>
          <w:sz w:val="20"/>
          <w:szCs w:val="20"/>
          <w:lang w:eastAsia="es-CR"/>
        </w:rPr>
        <w:t xml:space="preserve"> embalada a fin de que se derivara al Departamento de Criminalística de la PNP, respectivamente. </w:t>
      </w:r>
      <w:r w:rsidRPr="00F0761C">
        <w:rPr>
          <w:rFonts w:ascii="Verdana" w:hAnsi="Verdana" w:cs="Arial"/>
          <w:sz w:val="20"/>
          <w:szCs w:val="20"/>
          <w:lang w:eastAsia="es-CR"/>
        </w:rPr>
        <w:t>Tampoco es posible verificar si se dio seguimiento a los nuevos hallazgos de evidencia en el sitio (</w:t>
      </w:r>
      <w:r w:rsidRPr="00F0761C">
        <w:rPr>
          <w:rFonts w:ascii="Verdana" w:hAnsi="Verdana" w:cs="Arial"/>
          <w:i/>
          <w:sz w:val="20"/>
          <w:szCs w:val="20"/>
          <w:lang w:eastAsia="es-CR"/>
        </w:rPr>
        <w:t>supra</w:t>
      </w:r>
      <w:r w:rsidRPr="00F0761C">
        <w:rPr>
          <w:rFonts w:ascii="Verdana" w:hAnsi="Verdana" w:cs="Arial"/>
          <w:sz w:val="20"/>
          <w:szCs w:val="20"/>
          <w:lang w:eastAsia="es-CR"/>
        </w:rPr>
        <w:t xml:space="preserve"> párrs. </w:t>
      </w:r>
      <w:r>
        <w:rPr>
          <w:rFonts w:ascii="Verdana" w:hAnsi="Verdana" w:cs="Arial"/>
          <w:sz w:val="20"/>
          <w:szCs w:val="20"/>
          <w:lang w:eastAsia="es-CR"/>
        </w:rPr>
        <w:t>138, 142 y 143</w:t>
      </w:r>
      <w:r w:rsidRPr="00F0761C">
        <w:rPr>
          <w:rFonts w:ascii="Verdana" w:hAnsi="Verdana" w:cs="Arial"/>
          <w:sz w:val="20"/>
          <w:szCs w:val="20"/>
          <w:lang w:eastAsia="es-CR"/>
        </w:rPr>
        <w:t>).</w:t>
      </w:r>
    </w:p>
    <w:p w:rsidR="00106A1E" w:rsidRPr="00EE2620" w:rsidRDefault="00106A1E" w:rsidP="00106A1E">
      <w:pPr>
        <w:autoSpaceDE w:val="0"/>
        <w:autoSpaceDN w:val="0"/>
        <w:adjustRightInd w:val="0"/>
        <w:spacing w:after="0" w:line="240" w:lineRule="auto"/>
        <w:jc w:val="both"/>
        <w:rPr>
          <w:rFonts w:ascii="Verdana" w:hAnsi="Verdana" w:cs="Arial"/>
          <w:sz w:val="20"/>
          <w:szCs w:val="20"/>
          <w:lang w:val="es-GT" w:eastAsia="es-CR"/>
        </w:rPr>
      </w:pPr>
    </w:p>
    <w:p w:rsidR="00106A1E" w:rsidRPr="002964A7"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2964A7">
        <w:rPr>
          <w:rFonts w:ascii="Verdana" w:hAnsi="Verdana"/>
          <w:sz w:val="20"/>
          <w:szCs w:val="20"/>
          <w:lang w:eastAsia="es-CR"/>
        </w:rPr>
        <w:t xml:space="preserve">Quinto, previamente a </w:t>
      </w:r>
      <w:r w:rsidRPr="002964A7">
        <w:rPr>
          <w:rFonts w:ascii="Verdana" w:hAnsi="Verdana" w:cs="Arial"/>
          <w:sz w:val="20"/>
          <w:szCs w:val="20"/>
          <w:lang w:eastAsia="es-CR"/>
        </w:rPr>
        <w:t xml:space="preserve">los trabajos de excavación y exhumación de restos óseos en los años 2009 y 2010 es claro que </w:t>
      </w:r>
      <w:r w:rsidRPr="002964A7">
        <w:rPr>
          <w:rFonts w:ascii="Verdana" w:hAnsi="Verdana"/>
          <w:sz w:val="20"/>
          <w:szCs w:val="20"/>
          <w:lang w:eastAsia="es-CR"/>
        </w:rPr>
        <w:t xml:space="preserve">no </w:t>
      </w:r>
      <w:r w:rsidRPr="002964A7">
        <w:rPr>
          <w:rFonts w:ascii="Verdana" w:hAnsi="Verdana" w:cs="Arial"/>
          <w:sz w:val="20"/>
          <w:szCs w:val="20"/>
          <w:lang w:eastAsia="es-CR"/>
        </w:rPr>
        <w:t>se realizó un adecuado registro de la ubicación y superficie determinada de la fosa y una clasificación del entierro de acuerdo con su antigüedad, características y estado de conservación</w:t>
      </w:r>
      <w:r w:rsidRPr="002964A7">
        <w:rPr>
          <w:rFonts w:ascii="Verdana" w:hAnsi="Verdana" w:cs="Arial"/>
          <w:sz w:val="20"/>
          <w:szCs w:val="20"/>
          <w:vertAlign w:val="superscript"/>
          <w:lang w:eastAsia="es-CR"/>
        </w:rPr>
        <w:footnoteReference w:id="212"/>
      </w:r>
      <w:r w:rsidRPr="002964A7">
        <w:rPr>
          <w:rFonts w:ascii="Verdana" w:hAnsi="Verdana" w:cs="Arial"/>
          <w:sz w:val="20"/>
          <w:szCs w:val="20"/>
          <w:lang w:eastAsia="es-CR"/>
        </w:rPr>
        <w:t>, de tal manera que se permitiera identificar la profundidad y superficie probables de localización de evidencia en la fosa</w:t>
      </w:r>
      <w:r w:rsidRPr="002964A7">
        <w:rPr>
          <w:rFonts w:ascii="Verdana" w:hAnsi="Verdana"/>
          <w:sz w:val="20"/>
          <w:szCs w:val="20"/>
          <w:lang w:eastAsia="es-CR"/>
        </w:rPr>
        <w:t xml:space="preserve">. Al respecto, </w:t>
      </w:r>
      <w:r w:rsidRPr="002964A7">
        <w:rPr>
          <w:rFonts w:ascii="Verdana" w:hAnsi="Verdana" w:cs="Arial"/>
          <w:sz w:val="20"/>
          <w:szCs w:val="20"/>
          <w:lang w:eastAsia="es-CR"/>
        </w:rPr>
        <w:t xml:space="preserve">el </w:t>
      </w:r>
      <w:r w:rsidRPr="002964A7">
        <w:rPr>
          <w:rFonts w:ascii="Verdana" w:hAnsi="Verdana"/>
          <w:sz w:val="20"/>
          <w:szCs w:val="20"/>
          <w:lang w:val="es-AR" w:eastAsia="es-CR"/>
        </w:rPr>
        <w:t>arqueólogo forense Luis Alberto Rueda Curimania explicó que</w:t>
      </w:r>
      <w:r>
        <w:rPr>
          <w:rFonts w:ascii="Verdana" w:hAnsi="Verdana"/>
          <w:sz w:val="20"/>
          <w:szCs w:val="20"/>
          <w:lang w:val="es-AR" w:eastAsia="es-CR"/>
        </w:rPr>
        <w:t>,</w:t>
      </w:r>
      <w:r w:rsidRPr="002964A7">
        <w:rPr>
          <w:rFonts w:ascii="Verdana" w:hAnsi="Verdana" w:cs="Arial"/>
          <w:sz w:val="20"/>
          <w:szCs w:val="20"/>
          <w:lang w:eastAsia="es-CR"/>
        </w:rPr>
        <w:t xml:space="preserve"> en la intervención de marzo de 2010,</w:t>
      </w:r>
      <w:r w:rsidRPr="002964A7">
        <w:rPr>
          <w:rFonts w:ascii="Verdana" w:hAnsi="Verdana"/>
          <w:sz w:val="20"/>
          <w:szCs w:val="20"/>
          <w:lang w:eastAsia="es-CR"/>
        </w:rPr>
        <w:t xml:space="preserve"> “excavamos desde inicio de la bocamina hacia el lugar donde nos indicó el familiar [Zenón Cirilo Osnayo Tunque] que realmente son 5 metros cúbicos en un área de 3 x 2, y eso es lo que se llegó a intervenir y se avanzó un poco más para ver que no queden más evidencias”. Explicó que la intervención se realizó de esa manera teniendo en cuenta el lugar en donde dicho familiar indicó que “vio los individuos apilados” en el año 1991 y que al retirarse del lugar </w:t>
      </w:r>
      <w:r>
        <w:rPr>
          <w:rFonts w:ascii="Verdana" w:hAnsi="Verdana"/>
          <w:sz w:val="20"/>
          <w:szCs w:val="20"/>
          <w:lang w:eastAsia="es-CR"/>
        </w:rPr>
        <w:t xml:space="preserve">este </w:t>
      </w:r>
      <w:r w:rsidRPr="002964A7">
        <w:rPr>
          <w:rFonts w:ascii="Verdana" w:hAnsi="Verdana"/>
          <w:sz w:val="20"/>
          <w:szCs w:val="20"/>
          <w:lang w:eastAsia="es-CR"/>
        </w:rPr>
        <w:t>“escuch[ó] tres explosiones”</w:t>
      </w:r>
      <w:r w:rsidRPr="002964A7">
        <w:rPr>
          <w:rFonts w:ascii="Verdana" w:hAnsi="Verdana"/>
          <w:sz w:val="20"/>
          <w:szCs w:val="20"/>
          <w:vertAlign w:val="superscript"/>
          <w:lang w:eastAsia="es-CR"/>
        </w:rPr>
        <w:footnoteReference w:id="213"/>
      </w:r>
      <w:r w:rsidRPr="002964A7">
        <w:rPr>
          <w:rFonts w:ascii="Verdana" w:hAnsi="Verdana"/>
          <w:sz w:val="20"/>
          <w:szCs w:val="20"/>
          <w:lang w:eastAsia="es-CR"/>
        </w:rPr>
        <w:t>. Para la Corte</w:t>
      </w:r>
      <w:r>
        <w:rPr>
          <w:rFonts w:ascii="Verdana" w:hAnsi="Verdana"/>
          <w:sz w:val="20"/>
          <w:szCs w:val="20"/>
          <w:lang w:eastAsia="es-CR"/>
        </w:rPr>
        <w:t>,</w:t>
      </w:r>
      <w:r w:rsidRPr="002964A7">
        <w:rPr>
          <w:rFonts w:ascii="Verdana" w:hAnsi="Verdana"/>
          <w:sz w:val="20"/>
          <w:szCs w:val="20"/>
          <w:lang w:eastAsia="es-CR"/>
        </w:rPr>
        <w:t xml:space="preserve"> </w:t>
      </w:r>
      <w:r w:rsidRPr="002964A7">
        <w:rPr>
          <w:rFonts w:ascii="Verdana" w:hAnsi="Verdana" w:cs="Arial"/>
          <w:sz w:val="20"/>
          <w:szCs w:val="20"/>
          <w:lang w:eastAsia="es-CR"/>
        </w:rPr>
        <w:t>la ausencia de un registro del estado de la fosa y de un plan que respondiera a las necesidades del sitio tuvo como consecuencias que</w:t>
      </w:r>
      <w:r>
        <w:rPr>
          <w:rFonts w:ascii="Verdana" w:hAnsi="Verdana" w:cs="Arial"/>
          <w:sz w:val="20"/>
          <w:szCs w:val="20"/>
          <w:lang w:eastAsia="es-CR"/>
        </w:rPr>
        <w:t>,</w:t>
      </w:r>
      <w:r w:rsidRPr="002964A7">
        <w:rPr>
          <w:rFonts w:ascii="Verdana" w:hAnsi="Verdana" w:cs="Arial"/>
          <w:sz w:val="20"/>
          <w:szCs w:val="20"/>
          <w:lang w:eastAsia="es-CR"/>
        </w:rPr>
        <w:t xml:space="preserve"> concluidas las intervenciones de noviembre de 2009 y marzo de 2010, en octubre de 2011, al producirse </w:t>
      </w:r>
      <w:r w:rsidRPr="002964A7">
        <w:rPr>
          <w:rFonts w:ascii="Verdana" w:hAnsi="Verdana"/>
          <w:sz w:val="20"/>
          <w:szCs w:val="20"/>
          <w:lang w:eastAsia="es-CR"/>
        </w:rPr>
        <w:t>un desprendimiento de tierra, se hallara nueva evidencia</w:t>
      </w:r>
      <w:r w:rsidRPr="002964A7">
        <w:rPr>
          <w:rFonts w:ascii="Verdana" w:hAnsi="Verdana" w:cs="Arial"/>
          <w:sz w:val="20"/>
          <w:szCs w:val="20"/>
          <w:lang w:eastAsia="es-CR"/>
        </w:rPr>
        <w:t xml:space="preserve">. En consecuencia, </w:t>
      </w:r>
      <w:r w:rsidRPr="002964A7">
        <w:rPr>
          <w:rFonts w:ascii="Verdana" w:hAnsi="Verdana"/>
          <w:sz w:val="20"/>
          <w:szCs w:val="20"/>
          <w:lang w:eastAsia="es-CR"/>
        </w:rPr>
        <w:t>no es posible descartar que en el sitio puedan aún encontrarse restos óseos</w:t>
      </w:r>
      <w:r w:rsidRPr="002964A7">
        <w:rPr>
          <w:rFonts w:ascii="Verdana" w:hAnsi="Verdana" w:cs="Arial"/>
          <w:sz w:val="20"/>
          <w:szCs w:val="20"/>
          <w:lang w:eastAsia="es-CR"/>
        </w:rPr>
        <w:t xml:space="preserve"> (</w:t>
      </w:r>
      <w:r w:rsidRPr="002964A7">
        <w:rPr>
          <w:rFonts w:ascii="Verdana" w:hAnsi="Verdana" w:cs="Arial"/>
          <w:i/>
          <w:sz w:val="20"/>
          <w:szCs w:val="20"/>
          <w:lang w:eastAsia="es-CR"/>
        </w:rPr>
        <w:t>supra</w:t>
      </w:r>
      <w:r w:rsidRPr="002964A7">
        <w:rPr>
          <w:rFonts w:ascii="Verdana" w:hAnsi="Verdana" w:cs="Arial"/>
          <w:sz w:val="20"/>
          <w:szCs w:val="20"/>
          <w:lang w:eastAsia="es-CR"/>
        </w:rPr>
        <w:t xml:space="preserve"> párr</w:t>
      </w:r>
      <w:r>
        <w:rPr>
          <w:rFonts w:ascii="Verdana" w:hAnsi="Verdana" w:cs="Arial"/>
          <w:sz w:val="20"/>
          <w:szCs w:val="20"/>
          <w:lang w:eastAsia="es-CR"/>
        </w:rPr>
        <w:t>s</w:t>
      </w:r>
      <w:r w:rsidRPr="002964A7">
        <w:rPr>
          <w:rFonts w:ascii="Verdana" w:hAnsi="Verdana" w:cs="Arial"/>
          <w:sz w:val="20"/>
          <w:szCs w:val="20"/>
          <w:lang w:eastAsia="es-CR"/>
        </w:rPr>
        <w:t xml:space="preserve">. </w:t>
      </w:r>
      <w:r>
        <w:rPr>
          <w:rFonts w:ascii="Verdana" w:hAnsi="Verdana" w:cs="Arial"/>
          <w:sz w:val="20"/>
          <w:szCs w:val="20"/>
          <w:lang w:eastAsia="es-CR"/>
        </w:rPr>
        <w:t>142 y 143</w:t>
      </w:r>
      <w:r w:rsidRPr="002964A7">
        <w:rPr>
          <w:rFonts w:ascii="Verdana" w:hAnsi="Verdana" w:cs="Arial"/>
          <w:sz w:val="20"/>
          <w:szCs w:val="20"/>
          <w:lang w:eastAsia="es-CR"/>
        </w:rPr>
        <w:t>).</w:t>
      </w:r>
    </w:p>
    <w:p w:rsidR="00106A1E" w:rsidRPr="002964A7" w:rsidRDefault="00106A1E" w:rsidP="00106A1E">
      <w:pPr>
        <w:pStyle w:val="ListParagraph"/>
        <w:autoSpaceDE w:val="0"/>
        <w:autoSpaceDN w:val="0"/>
        <w:adjustRightInd w:val="0"/>
        <w:spacing w:after="0" w:line="240" w:lineRule="auto"/>
        <w:ind w:left="0"/>
        <w:jc w:val="both"/>
        <w:rPr>
          <w:rFonts w:ascii="Verdana" w:hAnsi="Verdana" w:cs="Arial"/>
          <w:sz w:val="20"/>
          <w:szCs w:val="20"/>
          <w:lang w:eastAsia="es-CR"/>
        </w:rPr>
      </w:pPr>
    </w:p>
    <w:p w:rsidR="00106A1E" w:rsidRPr="00C31511"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2964A7">
        <w:rPr>
          <w:rFonts w:ascii="Verdana" w:hAnsi="Verdana" w:cs="Arial"/>
          <w:sz w:val="20"/>
          <w:szCs w:val="20"/>
          <w:lang w:eastAsia="es-CR"/>
        </w:rPr>
        <w:t xml:space="preserve">Sexto, la Corte constató que </w:t>
      </w:r>
      <w:r w:rsidRPr="002964A7">
        <w:rPr>
          <w:rFonts w:ascii="Verdana" w:hAnsi="Verdana" w:cs="Arial"/>
          <w:sz w:val="20"/>
          <w:szCs w:val="20"/>
          <w:lang w:val="es-GT" w:eastAsia="es-CR"/>
        </w:rPr>
        <w:t xml:space="preserve">una vez que en </w:t>
      </w:r>
      <w:r w:rsidRPr="002964A7">
        <w:rPr>
          <w:rFonts w:ascii="Verdana" w:hAnsi="Verdana"/>
          <w:sz w:val="20"/>
          <w:szCs w:val="20"/>
          <w:lang w:val="es-GT" w:eastAsia="es-CR"/>
        </w:rPr>
        <w:t xml:space="preserve">abril y mayo de 2010 </w:t>
      </w:r>
      <w:r w:rsidRPr="002964A7">
        <w:rPr>
          <w:rFonts w:ascii="Verdana" w:hAnsi="Verdana" w:cs="Arial"/>
          <w:sz w:val="20"/>
          <w:szCs w:val="20"/>
          <w:lang w:eastAsia="es-CR"/>
        </w:rPr>
        <w:t>se recomend</w:t>
      </w:r>
      <w:r>
        <w:rPr>
          <w:rFonts w:ascii="Verdana" w:hAnsi="Verdana" w:cs="Arial"/>
          <w:sz w:val="20"/>
          <w:szCs w:val="20"/>
          <w:lang w:eastAsia="es-CR"/>
        </w:rPr>
        <w:t xml:space="preserve">aron </w:t>
      </w:r>
      <w:r w:rsidRPr="002964A7">
        <w:rPr>
          <w:rFonts w:ascii="Verdana" w:hAnsi="Verdana" w:cs="Arial"/>
          <w:sz w:val="20"/>
          <w:szCs w:val="20"/>
          <w:lang w:eastAsia="es-CR"/>
        </w:rPr>
        <w:t>l</w:t>
      </w:r>
      <w:r>
        <w:rPr>
          <w:rFonts w:ascii="Verdana" w:hAnsi="Verdana" w:cs="Arial"/>
          <w:sz w:val="20"/>
          <w:szCs w:val="20"/>
          <w:lang w:eastAsia="es-CR"/>
        </w:rPr>
        <w:t>os</w:t>
      </w:r>
      <w:r w:rsidRPr="002964A7">
        <w:rPr>
          <w:rFonts w:ascii="Verdana" w:hAnsi="Verdana" w:cs="Arial"/>
          <w:sz w:val="20"/>
          <w:szCs w:val="20"/>
          <w:lang w:eastAsia="es-CR"/>
        </w:rPr>
        <w:t xml:space="preserve"> </w:t>
      </w:r>
      <w:r w:rsidRPr="002964A7">
        <w:rPr>
          <w:rFonts w:ascii="Verdana" w:hAnsi="Verdana" w:cs="Arial"/>
          <w:sz w:val="20"/>
          <w:szCs w:val="20"/>
          <w:lang w:val="es-GT" w:eastAsia="es-CR"/>
        </w:rPr>
        <w:t xml:space="preserve">análisis biomoleculares a nivel genético (ADN) de los restos óseos recuperados en la </w:t>
      </w:r>
      <w:r w:rsidRPr="002964A7">
        <w:rPr>
          <w:rFonts w:ascii="Verdana" w:hAnsi="Verdana"/>
          <w:sz w:val="20"/>
          <w:szCs w:val="20"/>
          <w:lang w:val="es-GT" w:eastAsia="es-CR"/>
        </w:rPr>
        <w:t xml:space="preserve">mina abandonada “Misteriosa” o “Vallarón” </w:t>
      </w:r>
      <w:r>
        <w:rPr>
          <w:rFonts w:ascii="Verdana" w:hAnsi="Verdana"/>
          <w:sz w:val="20"/>
          <w:szCs w:val="20"/>
          <w:lang w:val="es-GT" w:eastAsia="es-CR"/>
        </w:rPr>
        <w:t>entre el</w:t>
      </w:r>
      <w:r w:rsidRPr="002964A7">
        <w:rPr>
          <w:rFonts w:ascii="Verdana" w:hAnsi="Verdana"/>
          <w:sz w:val="20"/>
          <w:szCs w:val="20"/>
          <w:lang w:val="es-GT" w:eastAsia="es-CR"/>
        </w:rPr>
        <w:t xml:space="preserve"> </w:t>
      </w:r>
      <w:r w:rsidRPr="002964A7">
        <w:rPr>
          <w:rFonts w:ascii="Verdana" w:hAnsi="Verdana" w:cs="Arial"/>
          <w:sz w:val="20"/>
          <w:szCs w:val="20"/>
          <w:lang w:val="es-GT" w:eastAsia="es-CR"/>
        </w:rPr>
        <w:t xml:space="preserve">1 </w:t>
      </w:r>
      <w:r>
        <w:rPr>
          <w:rFonts w:ascii="Verdana" w:hAnsi="Verdana" w:cs="Arial"/>
          <w:sz w:val="20"/>
          <w:szCs w:val="20"/>
          <w:lang w:val="es-GT" w:eastAsia="es-CR"/>
        </w:rPr>
        <w:t>y</w:t>
      </w:r>
      <w:r w:rsidRPr="002964A7">
        <w:rPr>
          <w:rFonts w:ascii="Verdana" w:hAnsi="Verdana" w:cs="Arial"/>
          <w:sz w:val="20"/>
          <w:szCs w:val="20"/>
          <w:lang w:val="es-GT" w:eastAsia="es-CR"/>
        </w:rPr>
        <w:t xml:space="preserve"> 8 de marzo de 2010</w:t>
      </w:r>
      <w:r w:rsidRPr="002964A7">
        <w:rPr>
          <w:rFonts w:ascii="Verdana" w:hAnsi="Verdana" w:cs="Arial"/>
          <w:sz w:val="20"/>
          <w:szCs w:val="20"/>
          <w:lang w:eastAsia="es-CR"/>
        </w:rPr>
        <w:t>,</w:t>
      </w:r>
      <w:r w:rsidRPr="002964A7">
        <w:rPr>
          <w:rFonts w:ascii="Verdana" w:hAnsi="Verdana" w:cs="Arial"/>
          <w:sz w:val="20"/>
          <w:szCs w:val="20"/>
          <w:lang w:val="es-GT" w:eastAsia="es-CR"/>
        </w:rPr>
        <w:t xml:space="preserve"> </w:t>
      </w:r>
      <w:r w:rsidRPr="002964A7">
        <w:rPr>
          <w:rFonts w:ascii="Verdana" w:hAnsi="Verdana"/>
          <w:sz w:val="20"/>
          <w:szCs w:val="20"/>
          <w:lang w:val="es-GT" w:eastAsia="es-CR"/>
        </w:rPr>
        <w:t>l</w:t>
      </w:r>
      <w:r w:rsidRPr="002964A7">
        <w:rPr>
          <w:rFonts w:ascii="Verdana" w:hAnsi="Verdana" w:cs="Arial"/>
          <w:sz w:val="20"/>
          <w:szCs w:val="20"/>
          <w:lang w:val="es-GT" w:eastAsia="es-CR"/>
        </w:rPr>
        <w:t xml:space="preserve">a información proveniente de dependencias del Ministerio Público sobre su </w:t>
      </w:r>
      <w:r w:rsidRPr="002964A7">
        <w:rPr>
          <w:rFonts w:ascii="Verdana" w:hAnsi="Verdana"/>
          <w:sz w:val="20"/>
          <w:szCs w:val="20"/>
          <w:lang w:eastAsia="es-CR"/>
        </w:rPr>
        <w:t>procesamiento</w:t>
      </w:r>
      <w:r w:rsidRPr="002964A7">
        <w:rPr>
          <w:rFonts w:ascii="Verdana" w:hAnsi="Verdana" w:cs="Arial"/>
          <w:sz w:val="20"/>
          <w:szCs w:val="20"/>
          <w:lang w:val="es-GT" w:eastAsia="es-CR"/>
        </w:rPr>
        <w:t xml:space="preserve"> durante los años 2010 a 2015 se encuentra desagregada</w:t>
      </w:r>
      <w:r>
        <w:rPr>
          <w:rFonts w:ascii="Verdana" w:hAnsi="Verdana" w:cs="Arial"/>
          <w:sz w:val="20"/>
          <w:szCs w:val="20"/>
          <w:lang w:val="es-GT" w:eastAsia="es-CR"/>
        </w:rPr>
        <w:t xml:space="preserve"> y</w:t>
      </w:r>
      <w:r w:rsidRPr="002964A7">
        <w:rPr>
          <w:rFonts w:ascii="Verdana" w:hAnsi="Verdana" w:cs="Arial"/>
          <w:sz w:val="20"/>
          <w:szCs w:val="20"/>
          <w:lang w:val="es-GT" w:eastAsia="es-CR"/>
        </w:rPr>
        <w:t xml:space="preserve"> presenta serias inconsistencias. En efecto, por un lado, la información sobre el </w:t>
      </w:r>
      <w:r w:rsidRPr="002964A7">
        <w:rPr>
          <w:rFonts w:ascii="Verdana" w:hAnsi="Verdana"/>
          <w:sz w:val="20"/>
          <w:szCs w:val="20"/>
          <w:lang w:eastAsia="es-CR"/>
        </w:rPr>
        <w:t>cálculo del número mínimo de individuos</w:t>
      </w:r>
      <w:r w:rsidRPr="002964A7">
        <w:rPr>
          <w:rFonts w:ascii="Verdana" w:hAnsi="Verdana" w:cs="Arial"/>
          <w:sz w:val="20"/>
          <w:szCs w:val="20"/>
          <w:lang w:eastAsia="es-CR"/>
        </w:rPr>
        <w:t xml:space="preserve"> “NMI” </w:t>
      </w:r>
      <w:r w:rsidRPr="002964A7">
        <w:rPr>
          <w:rFonts w:ascii="Verdana" w:hAnsi="Verdana" w:cs="Arial"/>
          <w:sz w:val="20"/>
          <w:szCs w:val="20"/>
          <w:lang w:val="es-GT" w:eastAsia="es-CR"/>
        </w:rPr>
        <w:t xml:space="preserve">varía </w:t>
      </w:r>
      <w:r w:rsidRPr="002964A7">
        <w:rPr>
          <w:rFonts w:ascii="Verdana" w:hAnsi="Verdana" w:cs="Arial"/>
          <w:sz w:val="20"/>
          <w:szCs w:val="20"/>
          <w:lang w:eastAsia="es-CR"/>
        </w:rPr>
        <w:t>de 8, 13 y 15 individuos probables,</w:t>
      </w:r>
      <w:r w:rsidRPr="002964A7">
        <w:rPr>
          <w:rFonts w:ascii="Verdana" w:hAnsi="Verdana" w:cs="Arial"/>
          <w:sz w:val="20"/>
          <w:szCs w:val="20"/>
          <w:lang w:val="es-GT" w:eastAsia="es-CR"/>
        </w:rPr>
        <w:t xml:space="preserve"> según tres informes </w:t>
      </w:r>
      <w:r w:rsidRPr="002964A7">
        <w:rPr>
          <w:rFonts w:ascii="Verdana" w:hAnsi="Verdana" w:cs="Arial"/>
          <w:sz w:val="20"/>
          <w:szCs w:val="20"/>
          <w:lang w:val="es-GT" w:eastAsia="es-CR"/>
        </w:rPr>
        <w:lastRenderedPageBreak/>
        <w:t>realizados en mayo de 2010,</w:t>
      </w:r>
      <w:r w:rsidRPr="002964A7">
        <w:rPr>
          <w:rFonts w:ascii="Verdana" w:hAnsi="Verdana" w:cs="Arial"/>
          <w:sz w:val="20"/>
          <w:szCs w:val="20"/>
          <w:lang w:eastAsia="es-CR"/>
        </w:rPr>
        <w:t xml:space="preserve"> octubre de 2012 y febrero de 2015</w:t>
      </w:r>
      <w:r w:rsidRPr="002964A7">
        <w:rPr>
          <w:rFonts w:ascii="Verdana" w:hAnsi="Verdana"/>
          <w:sz w:val="20"/>
          <w:szCs w:val="20"/>
          <w:vertAlign w:val="superscript"/>
          <w:lang w:eastAsia="es-CR"/>
        </w:rPr>
        <w:footnoteReference w:id="214"/>
      </w:r>
      <w:r w:rsidRPr="002964A7">
        <w:rPr>
          <w:rFonts w:ascii="Verdana" w:hAnsi="Verdana" w:cs="Arial"/>
          <w:sz w:val="20"/>
          <w:szCs w:val="20"/>
          <w:lang w:eastAsia="es-CR"/>
        </w:rPr>
        <w:t>. Para la Corte</w:t>
      </w:r>
      <w:r>
        <w:rPr>
          <w:rFonts w:ascii="Verdana" w:hAnsi="Verdana" w:cs="Arial"/>
          <w:sz w:val="20"/>
          <w:szCs w:val="20"/>
          <w:lang w:eastAsia="es-CR"/>
        </w:rPr>
        <w:t>,</w:t>
      </w:r>
      <w:r w:rsidRPr="002964A7">
        <w:rPr>
          <w:rFonts w:ascii="Verdana" w:hAnsi="Verdana" w:cs="Arial"/>
          <w:sz w:val="20"/>
          <w:szCs w:val="20"/>
          <w:lang w:eastAsia="es-CR"/>
        </w:rPr>
        <w:t xml:space="preserve"> una oportuna y adecuada </w:t>
      </w:r>
      <w:r w:rsidRPr="002964A7">
        <w:rPr>
          <w:rFonts w:ascii="Verdana" w:hAnsi="Verdana"/>
          <w:sz w:val="20"/>
          <w:szCs w:val="20"/>
        </w:rPr>
        <w:t xml:space="preserve">estimación del número mínimo de individuos en el </w:t>
      </w:r>
      <w:r w:rsidRPr="002964A7">
        <w:rPr>
          <w:rFonts w:ascii="Verdana" w:hAnsi="Verdana" w:cs="Times New Roman"/>
          <w:sz w:val="20"/>
          <w:szCs w:val="20"/>
        </w:rPr>
        <w:t>análisis de los restos recuperados</w:t>
      </w:r>
      <w:r w:rsidRPr="002964A7">
        <w:rPr>
          <w:rFonts w:ascii="Verdana" w:hAnsi="Verdana"/>
          <w:sz w:val="20"/>
          <w:szCs w:val="20"/>
        </w:rPr>
        <w:t xml:space="preserve"> es un aspecto importante en casos como el presente</w:t>
      </w:r>
      <w:r>
        <w:rPr>
          <w:rFonts w:ascii="Verdana" w:hAnsi="Verdana"/>
          <w:sz w:val="20"/>
          <w:szCs w:val="20"/>
        </w:rPr>
        <w:t>,</w:t>
      </w:r>
      <w:r w:rsidRPr="002964A7">
        <w:rPr>
          <w:rFonts w:ascii="Verdana" w:hAnsi="Verdana"/>
          <w:sz w:val="20"/>
          <w:szCs w:val="20"/>
        </w:rPr>
        <w:t xml:space="preserve"> en que </w:t>
      </w:r>
      <w:r>
        <w:rPr>
          <w:rFonts w:ascii="Verdana" w:hAnsi="Verdana"/>
          <w:sz w:val="20"/>
          <w:szCs w:val="20"/>
        </w:rPr>
        <w:t xml:space="preserve">es altamente probable que los </w:t>
      </w:r>
      <w:r w:rsidRPr="002964A7">
        <w:rPr>
          <w:rFonts w:ascii="Verdana" w:hAnsi="Verdana"/>
          <w:sz w:val="20"/>
          <w:szCs w:val="20"/>
        </w:rPr>
        <w:t xml:space="preserve">restos </w:t>
      </w:r>
      <w:r>
        <w:rPr>
          <w:rFonts w:ascii="Verdana" w:hAnsi="Verdana"/>
          <w:sz w:val="20"/>
          <w:szCs w:val="20"/>
        </w:rPr>
        <w:t xml:space="preserve">se encuentren </w:t>
      </w:r>
      <w:r w:rsidRPr="002964A7">
        <w:rPr>
          <w:rFonts w:ascii="Verdana" w:hAnsi="Verdana"/>
          <w:sz w:val="20"/>
          <w:szCs w:val="20"/>
        </w:rPr>
        <w:t>mezclados.</w:t>
      </w:r>
      <w:r w:rsidRPr="009607D8">
        <w:rPr>
          <w:rFonts w:ascii="Verdana" w:hAnsi="Verdana"/>
          <w:sz w:val="20"/>
          <w:szCs w:val="20"/>
        </w:rPr>
        <w:t xml:space="preserve"> </w:t>
      </w:r>
      <w:r w:rsidRPr="00C31511">
        <w:rPr>
          <w:rFonts w:ascii="Verdana" w:hAnsi="Verdana"/>
          <w:sz w:val="20"/>
          <w:szCs w:val="20"/>
        </w:rPr>
        <w:t xml:space="preserve">Por otro lado, </w:t>
      </w:r>
      <w:r w:rsidRPr="00C31511">
        <w:rPr>
          <w:rFonts w:ascii="Verdana" w:hAnsi="Verdana" w:cs="Arial"/>
          <w:sz w:val="20"/>
          <w:szCs w:val="20"/>
          <w:lang w:eastAsia="es-CR"/>
        </w:rPr>
        <w:t xml:space="preserve">la información sobre los </w:t>
      </w:r>
      <w:r w:rsidRPr="00C31511">
        <w:rPr>
          <w:rFonts w:ascii="Verdana" w:hAnsi="Verdana" w:cs="Arial"/>
          <w:sz w:val="20"/>
          <w:szCs w:val="20"/>
          <w:lang w:val="es-GT" w:eastAsia="es-CR"/>
        </w:rPr>
        <w:t xml:space="preserve">resultados de las pruebas de Laboratorio de ADN indica que se obtuvieron 4 perfiles genéticos completos de los restos recuperados, los cuales se emplearon para el cotejo de las muestras de </w:t>
      </w:r>
      <w:r>
        <w:rPr>
          <w:rFonts w:ascii="Verdana" w:hAnsi="Verdana" w:cs="Arial"/>
          <w:sz w:val="20"/>
          <w:szCs w:val="20"/>
          <w:lang w:val="es-GT" w:eastAsia="es-CR"/>
        </w:rPr>
        <w:t>seis</w:t>
      </w:r>
      <w:r w:rsidRPr="00C31511">
        <w:rPr>
          <w:rFonts w:ascii="Verdana" w:hAnsi="Verdana" w:cs="Arial"/>
          <w:sz w:val="20"/>
          <w:szCs w:val="20"/>
          <w:lang w:val="es-GT" w:eastAsia="es-CR"/>
        </w:rPr>
        <w:t xml:space="preserve"> familiares</w:t>
      </w:r>
      <w:r>
        <w:rPr>
          <w:rFonts w:ascii="Verdana" w:hAnsi="Verdana" w:cs="Arial"/>
          <w:sz w:val="20"/>
          <w:szCs w:val="20"/>
          <w:lang w:val="es-GT" w:eastAsia="es-CR"/>
        </w:rPr>
        <w:t>;</w:t>
      </w:r>
      <w:r w:rsidRPr="00C31511">
        <w:rPr>
          <w:rFonts w:ascii="Verdana" w:hAnsi="Verdana" w:cs="Arial"/>
          <w:sz w:val="20"/>
          <w:szCs w:val="20"/>
          <w:lang w:val="es-GT" w:eastAsia="es-CR"/>
        </w:rPr>
        <w:t xml:space="preserve"> sin embargo, ninguno de ellos hizo cruce.</w:t>
      </w:r>
      <w:r w:rsidRPr="00C31511">
        <w:rPr>
          <w:rFonts w:ascii="Verdana" w:hAnsi="Verdana" w:cs="Arial"/>
          <w:sz w:val="20"/>
          <w:szCs w:val="20"/>
          <w:lang w:eastAsia="es-CR"/>
        </w:rPr>
        <w:t xml:space="preserve"> E</w:t>
      </w:r>
      <w:r w:rsidRPr="00C31511">
        <w:rPr>
          <w:rFonts w:ascii="Verdana" w:hAnsi="Verdana" w:cs="Arial"/>
          <w:sz w:val="20"/>
          <w:szCs w:val="20"/>
          <w:lang w:val="es-GT" w:eastAsia="es-CR"/>
        </w:rPr>
        <w:t xml:space="preserve">n cuanto </w:t>
      </w:r>
      <w:r>
        <w:rPr>
          <w:rFonts w:ascii="Verdana" w:hAnsi="Verdana" w:cs="Arial"/>
          <w:sz w:val="20"/>
          <w:szCs w:val="20"/>
          <w:lang w:val="es-GT" w:eastAsia="es-CR"/>
        </w:rPr>
        <w:t>a</w:t>
      </w:r>
      <w:r w:rsidRPr="00C31511">
        <w:rPr>
          <w:rFonts w:ascii="Verdana" w:hAnsi="Verdana" w:cs="Arial"/>
          <w:sz w:val="20"/>
          <w:szCs w:val="20"/>
          <w:lang w:val="es-GT" w:eastAsia="es-CR"/>
        </w:rPr>
        <w:t xml:space="preserve">l número de perfiles genéticos incompletos obtenidos de los restos óseos, la información varía de 9 perfiles y 11 perfiles, según dos informes realizados en octubre de 2012 y febrero de 2015. Cabe señalar que el </w:t>
      </w:r>
      <w:r w:rsidRPr="00C31511">
        <w:rPr>
          <w:rFonts w:ascii="Verdana" w:hAnsi="Verdana"/>
          <w:sz w:val="20"/>
          <w:szCs w:val="20"/>
          <w:lang w:val="es-GT"/>
        </w:rPr>
        <w:t>20 de marzo de 2014 se informó que</w:t>
      </w:r>
      <w:r w:rsidRPr="00C31511">
        <w:rPr>
          <w:rFonts w:ascii="Verdana" w:hAnsi="Verdana"/>
          <w:spacing w:val="-2"/>
          <w:sz w:val="20"/>
          <w:szCs w:val="20"/>
        </w:rPr>
        <w:t xml:space="preserve"> </w:t>
      </w:r>
      <w:r w:rsidRPr="00C31511">
        <w:rPr>
          <w:rFonts w:ascii="Verdana" w:hAnsi="Verdana" w:cs="Arial"/>
          <w:sz w:val="20"/>
          <w:szCs w:val="20"/>
        </w:rPr>
        <w:t xml:space="preserve">se estaría regularizando el reprocesamiento de los 9 restos óseos que resultaron con perfiles incompletos, no obstante que eran “reducidas </w:t>
      </w:r>
      <w:r w:rsidRPr="00C31511">
        <w:rPr>
          <w:rFonts w:ascii="Verdana" w:hAnsi="Verdana"/>
          <w:spacing w:val="-2"/>
          <w:sz w:val="20"/>
          <w:szCs w:val="20"/>
        </w:rPr>
        <w:t>las posibilidades de identificación de los restos óseos humanos”</w:t>
      </w:r>
      <w:r w:rsidRPr="00C31511">
        <w:rPr>
          <w:rFonts w:ascii="Verdana" w:hAnsi="Verdana" w:cs="Arial"/>
          <w:sz w:val="20"/>
          <w:szCs w:val="20"/>
          <w:lang w:val="es-GT" w:eastAsia="es-CR"/>
        </w:rPr>
        <w:t>. Además, el</w:t>
      </w:r>
      <w:r w:rsidRPr="00C31511">
        <w:rPr>
          <w:rFonts w:ascii="Verdana" w:hAnsi="Verdana" w:cs="Arial"/>
          <w:sz w:val="20"/>
          <w:szCs w:val="20"/>
          <w:lang w:val="es-GT"/>
        </w:rPr>
        <w:t xml:space="preserve"> 19 de febrero de 2015 se informó que a partir del 22 de enero de 2015 se inició el re-análisis de las muestras del caso y se logró “obtener 3 perfiles genéticos completos más que probablemente pertenecerían al mismo grupo familiar”</w:t>
      </w:r>
      <w:r w:rsidRPr="002964A7">
        <w:rPr>
          <w:rFonts w:ascii="Verdana" w:hAnsi="Verdana"/>
          <w:sz w:val="20"/>
          <w:szCs w:val="20"/>
          <w:vertAlign w:val="superscript"/>
          <w:lang w:eastAsia="es-CR"/>
        </w:rPr>
        <w:footnoteReference w:id="215"/>
      </w:r>
      <w:r w:rsidRPr="00C31511">
        <w:rPr>
          <w:rFonts w:ascii="Verdana" w:hAnsi="Verdana" w:cs="Arial"/>
          <w:sz w:val="20"/>
          <w:szCs w:val="20"/>
          <w:lang w:val="es-GT" w:eastAsia="es-CR"/>
        </w:rPr>
        <w:t>.</w:t>
      </w:r>
    </w:p>
    <w:p w:rsidR="00106A1E" w:rsidRPr="00332A88" w:rsidRDefault="00106A1E" w:rsidP="00106A1E">
      <w:pPr>
        <w:pStyle w:val="ListParagraph"/>
        <w:rPr>
          <w:rFonts w:ascii="Verdana" w:hAnsi="Verdana" w:cs="Arial"/>
          <w:sz w:val="20"/>
          <w:szCs w:val="20"/>
          <w:lang w:val="es-GT" w:eastAsia="es-CR"/>
        </w:rPr>
      </w:pPr>
    </w:p>
    <w:p w:rsidR="00106A1E"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332A88">
        <w:rPr>
          <w:rFonts w:ascii="Verdana" w:hAnsi="Verdana" w:cs="Arial"/>
          <w:sz w:val="20"/>
          <w:szCs w:val="20"/>
          <w:lang w:val="es-GT" w:eastAsia="es-CR"/>
        </w:rPr>
        <w:t xml:space="preserve">En definitiva, </w:t>
      </w:r>
      <w:r>
        <w:rPr>
          <w:rFonts w:ascii="Verdana" w:hAnsi="Verdana" w:cs="Arial"/>
          <w:sz w:val="20"/>
          <w:szCs w:val="20"/>
          <w:lang w:val="es-GT" w:eastAsia="es-CR"/>
        </w:rPr>
        <w:t>s</w:t>
      </w:r>
      <w:r w:rsidRPr="00332A88">
        <w:rPr>
          <w:rFonts w:ascii="Verdana" w:hAnsi="Verdana" w:cs="Arial"/>
          <w:sz w:val="20"/>
          <w:szCs w:val="20"/>
          <w:lang w:val="es-GT" w:eastAsia="es-CR"/>
        </w:rPr>
        <w:t xml:space="preserve">i bien mediante informes de dependencias del Ministerio Público </w:t>
      </w:r>
      <w:r w:rsidRPr="00332A88">
        <w:rPr>
          <w:rFonts w:ascii="Verdana" w:hAnsi="Verdana" w:cs="Arial"/>
          <w:sz w:val="20"/>
          <w:szCs w:val="20"/>
          <w:lang w:val="es-GT"/>
        </w:rPr>
        <w:t>de</w:t>
      </w:r>
      <w:r w:rsidRPr="00332A88">
        <w:rPr>
          <w:rFonts w:ascii="Verdana" w:hAnsi="Verdana"/>
          <w:sz w:val="20"/>
          <w:szCs w:val="20"/>
          <w:lang w:val="es-GT" w:eastAsia="es-CR"/>
        </w:rPr>
        <w:t xml:space="preserve"> abril y mayo de 2010 </w:t>
      </w:r>
      <w:r w:rsidRPr="00332A88">
        <w:rPr>
          <w:rFonts w:ascii="Verdana" w:hAnsi="Verdana" w:cs="Arial"/>
          <w:sz w:val="20"/>
          <w:szCs w:val="20"/>
          <w:lang w:eastAsia="es-CR"/>
        </w:rPr>
        <w:t>se recomend</w:t>
      </w:r>
      <w:r>
        <w:rPr>
          <w:rFonts w:ascii="Verdana" w:hAnsi="Verdana" w:cs="Arial"/>
          <w:sz w:val="20"/>
          <w:szCs w:val="20"/>
          <w:lang w:eastAsia="es-CR"/>
        </w:rPr>
        <w:t xml:space="preserve">aron </w:t>
      </w:r>
      <w:r w:rsidRPr="00332A88">
        <w:rPr>
          <w:rFonts w:ascii="Verdana" w:hAnsi="Verdana" w:cs="Arial"/>
          <w:sz w:val="20"/>
          <w:szCs w:val="20"/>
          <w:lang w:eastAsia="es-CR"/>
        </w:rPr>
        <w:t>l</w:t>
      </w:r>
      <w:r>
        <w:rPr>
          <w:rFonts w:ascii="Verdana" w:hAnsi="Verdana" w:cs="Arial"/>
          <w:sz w:val="20"/>
          <w:szCs w:val="20"/>
          <w:lang w:eastAsia="es-CR"/>
        </w:rPr>
        <w:t>os</w:t>
      </w:r>
      <w:r w:rsidRPr="00332A88">
        <w:rPr>
          <w:rFonts w:ascii="Verdana" w:hAnsi="Verdana" w:cs="Arial"/>
          <w:sz w:val="20"/>
          <w:szCs w:val="20"/>
          <w:lang w:eastAsia="es-CR"/>
        </w:rPr>
        <w:t xml:space="preserve"> </w:t>
      </w:r>
      <w:r w:rsidRPr="00332A88">
        <w:rPr>
          <w:rFonts w:ascii="Verdana" w:hAnsi="Verdana" w:cs="Arial"/>
          <w:sz w:val="20"/>
          <w:szCs w:val="20"/>
          <w:lang w:val="es-GT" w:eastAsia="es-CR"/>
        </w:rPr>
        <w:t>análisis biomoleculares a nivel genético (ADN)</w:t>
      </w:r>
      <w:r w:rsidRPr="00332A88">
        <w:rPr>
          <w:rFonts w:ascii="Verdana" w:hAnsi="Verdana" w:cs="Arial"/>
          <w:sz w:val="20"/>
          <w:szCs w:val="20"/>
          <w:lang w:eastAsia="es-CR"/>
        </w:rPr>
        <w:t xml:space="preserve">, a más de 5 años de contar con dicha recomendación científica, </w:t>
      </w:r>
      <w:r>
        <w:rPr>
          <w:rFonts w:ascii="Verdana" w:hAnsi="Verdana" w:cs="Arial"/>
          <w:sz w:val="20"/>
          <w:szCs w:val="20"/>
          <w:lang w:eastAsia="es-CR"/>
        </w:rPr>
        <w:t xml:space="preserve">aún </w:t>
      </w:r>
      <w:r w:rsidRPr="00332A88">
        <w:rPr>
          <w:rFonts w:ascii="Verdana" w:hAnsi="Verdana" w:cs="Arial"/>
          <w:sz w:val="20"/>
          <w:szCs w:val="20"/>
          <w:lang w:eastAsia="es-CR"/>
        </w:rPr>
        <w:t xml:space="preserve">no se </w:t>
      </w:r>
      <w:r w:rsidRPr="00332A88">
        <w:rPr>
          <w:rFonts w:ascii="Verdana" w:hAnsi="Verdana"/>
          <w:sz w:val="20"/>
          <w:szCs w:val="20"/>
          <w:lang w:eastAsia="es-CR"/>
        </w:rPr>
        <w:t>tiene</w:t>
      </w:r>
      <w:r w:rsidRPr="00332A88">
        <w:rPr>
          <w:rFonts w:ascii="Verdana" w:hAnsi="Verdana" w:cs="Arial"/>
          <w:sz w:val="20"/>
          <w:szCs w:val="20"/>
          <w:lang w:eastAsia="es-CR"/>
        </w:rPr>
        <w:t xml:space="preserve"> certeza sobre </w:t>
      </w:r>
      <w:r>
        <w:rPr>
          <w:rFonts w:ascii="Verdana" w:hAnsi="Verdana" w:cs="Arial"/>
          <w:sz w:val="20"/>
          <w:szCs w:val="20"/>
          <w:lang w:eastAsia="es-CR"/>
        </w:rPr>
        <w:t xml:space="preserve">el </w:t>
      </w:r>
      <w:r w:rsidRPr="00332A88">
        <w:rPr>
          <w:rFonts w:ascii="Verdana" w:hAnsi="Verdana" w:cs="Arial"/>
          <w:sz w:val="20"/>
          <w:szCs w:val="20"/>
          <w:lang w:eastAsia="es-CR"/>
        </w:rPr>
        <w:t xml:space="preserve">rigor metodológico y científico de los análisis realizados </w:t>
      </w:r>
      <w:r w:rsidRPr="00332A88">
        <w:rPr>
          <w:rFonts w:ascii="Verdana" w:hAnsi="Verdana"/>
          <w:bCs/>
          <w:sz w:val="20"/>
          <w:szCs w:val="20"/>
          <w:shd w:val="clear" w:color="auto" w:fill="FFFFFF"/>
          <w:lang w:eastAsia="es-CR"/>
        </w:rPr>
        <w:t xml:space="preserve">a los restos óseos recuperados en la mina </w:t>
      </w:r>
      <w:r w:rsidRPr="00332A88">
        <w:rPr>
          <w:rFonts w:ascii="Verdana" w:hAnsi="Verdana" w:cs="Arial"/>
          <w:sz w:val="20"/>
          <w:szCs w:val="20"/>
          <w:lang w:eastAsia="es-CR"/>
        </w:rPr>
        <w:t>y tampoco resultados concretos sobre su</w:t>
      </w:r>
      <w:r w:rsidRPr="00332A88">
        <w:rPr>
          <w:rFonts w:ascii="Verdana" w:hAnsi="Verdana"/>
          <w:bCs/>
          <w:sz w:val="20"/>
          <w:szCs w:val="20"/>
          <w:shd w:val="clear" w:color="auto" w:fill="FFFFFF"/>
          <w:lang w:eastAsia="es-CR"/>
        </w:rPr>
        <w:t xml:space="preserve"> eventual identificación. </w:t>
      </w:r>
    </w:p>
    <w:p w:rsidR="00106A1E" w:rsidRPr="008D060B" w:rsidRDefault="00106A1E" w:rsidP="00106A1E">
      <w:pPr>
        <w:pStyle w:val="ListParagraph"/>
        <w:rPr>
          <w:rFonts w:ascii="Verdana" w:hAnsi="Verdana"/>
          <w:spacing w:val="-2"/>
          <w:sz w:val="20"/>
          <w:szCs w:val="20"/>
          <w:lang w:eastAsia="es-CR"/>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8D060B">
        <w:rPr>
          <w:rFonts w:ascii="Verdana" w:hAnsi="Verdana"/>
          <w:spacing w:val="-2"/>
          <w:sz w:val="20"/>
          <w:szCs w:val="20"/>
          <w:lang w:eastAsia="es-CR"/>
        </w:rPr>
        <w:t xml:space="preserve">En razón de todo lo anterior, la Corte concluye que </w:t>
      </w:r>
      <w:r w:rsidRPr="008D060B">
        <w:rPr>
          <w:rFonts w:ascii="Verdana" w:hAnsi="Verdana"/>
          <w:sz w:val="20"/>
          <w:szCs w:val="20"/>
          <w:lang w:eastAsia="es-CR"/>
        </w:rPr>
        <w:t xml:space="preserve">la </w:t>
      </w:r>
      <w:r w:rsidRPr="008D060B">
        <w:rPr>
          <w:rFonts w:ascii="Verdana" w:hAnsi="Verdana"/>
          <w:sz w:val="20"/>
          <w:szCs w:val="20"/>
        </w:rPr>
        <w:t>investigación forense en la búsqueda, recuperación, análisis y eventual identificación de restos</w:t>
      </w:r>
      <w:r w:rsidRPr="008D060B">
        <w:rPr>
          <w:rFonts w:ascii="Verdana" w:hAnsi="Verdana"/>
          <w:sz w:val="20"/>
          <w:szCs w:val="20"/>
          <w:lang w:eastAsia="es-CR"/>
        </w:rPr>
        <w:t xml:space="preserve"> </w:t>
      </w:r>
      <w:r w:rsidRPr="008D060B">
        <w:rPr>
          <w:rFonts w:ascii="Verdana" w:hAnsi="Verdana"/>
          <w:sz w:val="20"/>
          <w:szCs w:val="20"/>
          <w:lang w:val="es-PR"/>
        </w:rPr>
        <w:t>se ha caracterizado por una clara</w:t>
      </w:r>
      <w:r w:rsidRPr="008D060B">
        <w:rPr>
          <w:rFonts w:cs="Verdana"/>
          <w:szCs w:val="20"/>
          <w:lang w:val="es-ES"/>
        </w:rPr>
        <w:t xml:space="preserve"> </w:t>
      </w:r>
      <w:r w:rsidRPr="008D060B">
        <w:rPr>
          <w:rFonts w:ascii="Verdana" w:hAnsi="Verdana" w:cs="Arial"/>
          <w:sz w:val="20"/>
          <w:szCs w:val="20"/>
          <w:lang w:eastAsia="es-CR"/>
        </w:rPr>
        <w:t xml:space="preserve">falta de </w:t>
      </w:r>
      <w:r w:rsidRPr="008D060B">
        <w:rPr>
          <w:rFonts w:ascii="Verdana" w:hAnsi="Verdana"/>
          <w:sz w:val="20"/>
          <w:szCs w:val="20"/>
          <w:lang w:eastAsia="es-CR"/>
        </w:rPr>
        <w:t>seriedad y debida diligencia,</w:t>
      </w:r>
      <w:r w:rsidRPr="008D060B">
        <w:rPr>
          <w:rFonts w:ascii="Verdana" w:hAnsi="Verdana" w:cs="Arial"/>
          <w:sz w:val="20"/>
          <w:szCs w:val="20"/>
          <w:lang w:eastAsia="es-CR"/>
        </w:rPr>
        <w:t xml:space="preserve"> especialmente grave, a partir del mes de julio de 1991, que continuó durante </w:t>
      </w:r>
      <w:r w:rsidRPr="008D060B">
        <w:rPr>
          <w:rFonts w:ascii="Verdana" w:hAnsi="Verdana" w:cs="Arial"/>
          <w:sz w:val="20"/>
          <w:szCs w:val="20"/>
        </w:rPr>
        <w:t>los primeros 18 años de ocurridos los hechos, y que permaneció con posterioridad al año 2009 hasta el día de hoy</w:t>
      </w:r>
      <w:r w:rsidRPr="008D060B">
        <w:rPr>
          <w:rFonts w:ascii="Verdana" w:hAnsi="Verdana" w:cs="Arial"/>
          <w:sz w:val="20"/>
          <w:szCs w:val="20"/>
          <w:lang w:eastAsia="es-CR"/>
        </w:rPr>
        <w:t xml:space="preserve">. </w:t>
      </w:r>
      <w:r>
        <w:rPr>
          <w:rFonts w:ascii="Verdana" w:hAnsi="Verdana" w:cs="Arial"/>
          <w:sz w:val="20"/>
          <w:szCs w:val="20"/>
          <w:lang w:eastAsia="es-CR"/>
        </w:rPr>
        <w:t>Por ello,</w:t>
      </w:r>
      <w:r w:rsidRPr="008D060B">
        <w:rPr>
          <w:rFonts w:ascii="Verdana" w:hAnsi="Verdana" w:cs="Arial"/>
          <w:sz w:val="20"/>
          <w:szCs w:val="20"/>
          <w:lang w:eastAsia="es-CR"/>
        </w:rPr>
        <w:t xml:space="preserve"> </w:t>
      </w:r>
      <w:r w:rsidRPr="008D060B">
        <w:rPr>
          <w:rFonts w:ascii="Verdana" w:hAnsi="Verdana"/>
          <w:sz w:val="20"/>
          <w:szCs w:val="20"/>
          <w:lang w:eastAsia="es-CR"/>
        </w:rPr>
        <w:t xml:space="preserve">aún se mantiene </w:t>
      </w:r>
      <w:r w:rsidRPr="008D060B">
        <w:rPr>
          <w:rFonts w:ascii="Verdana" w:hAnsi="Verdana"/>
          <w:spacing w:val="-2"/>
          <w:sz w:val="20"/>
          <w:szCs w:val="20"/>
          <w:lang w:eastAsia="es-CR"/>
        </w:rPr>
        <w:t xml:space="preserve">la falta de un esclarecimiento definitivo del paradero de las víctimas </w:t>
      </w:r>
      <w:r w:rsidRPr="008D060B">
        <w:rPr>
          <w:rFonts w:ascii="Verdana" w:hAnsi="Verdana" w:cs="Cambria"/>
          <w:sz w:val="20"/>
          <w:szCs w:val="20"/>
          <w:lang w:eastAsia="es-CR"/>
        </w:rPr>
        <w:t>y la</w:t>
      </w:r>
      <w:r w:rsidRPr="008D060B">
        <w:rPr>
          <w:rFonts w:ascii="Verdana" w:hAnsi="Verdana" w:cs="Verdana"/>
          <w:sz w:val="20"/>
          <w:szCs w:val="20"/>
          <w:lang w:eastAsia="es-CR"/>
        </w:rPr>
        <w:t xml:space="preserve"> </w:t>
      </w:r>
      <w:r w:rsidRPr="00F57F1A">
        <w:rPr>
          <w:rFonts w:ascii="Verdana" w:hAnsi="Verdana" w:cs="Cambria"/>
          <w:sz w:val="20"/>
          <w:szCs w:val="20"/>
          <w:lang w:eastAsia="es-CR"/>
        </w:rPr>
        <w:t>incertidumbre</w:t>
      </w:r>
      <w:r w:rsidRPr="008D060B">
        <w:rPr>
          <w:rFonts w:ascii="Verdana" w:hAnsi="Verdana" w:cs="Cambria"/>
          <w:sz w:val="20"/>
          <w:szCs w:val="20"/>
          <w:lang w:eastAsia="es-CR"/>
        </w:rPr>
        <w:t xml:space="preserve"> sobre si los restos encontrados </w:t>
      </w:r>
      <w:r>
        <w:rPr>
          <w:rFonts w:ascii="Verdana" w:hAnsi="Verdana" w:cs="Cambria"/>
          <w:sz w:val="20"/>
          <w:szCs w:val="20"/>
          <w:lang w:eastAsia="es-CR"/>
        </w:rPr>
        <w:t>-</w:t>
      </w:r>
      <w:r w:rsidRPr="008D060B">
        <w:rPr>
          <w:rFonts w:ascii="Verdana" w:hAnsi="Verdana" w:cs="Cambria"/>
          <w:sz w:val="20"/>
          <w:szCs w:val="20"/>
          <w:lang w:eastAsia="es-CR"/>
        </w:rPr>
        <w:t xml:space="preserve">y los que aún pudieran </w:t>
      </w:r>
      <w:r w:rsidRPr="008D060B">
        <w:rPr>
          <w:rFonts w:ascii="Verdana" w:hAnsi="Verdana"/>
          <w:sz w:val="20"/>
          <w:szCs w:val="20"/>
          <w:lang w:eastAsia="es-CR"/>
        </w:rPr>
        <w:t>quedar</w:t>
      </w:r>
      <w:r w:rsidRPr="008D060B">
        <w:rPr>
          <w:rFonts w:ascii="Verdana" w:hAnsi="Verdana" w:cs="Cambria"/>
          <w:sz w:val="20"/>
          <w:szCs w:val="20"/>
          <w:lang w:eastAsia="es-CR"/>
        </w:rPr>
        <w:t xml:space="preserve"> en la mina</w:t>
      </w:r>
      <w:r>
        <w:rPr>
          <w:rFonts w:ascii="Verdana" w:hAnsi="Verdana" w:cs="Cambria"/>
          <w:sz w:val="20"/>
          <w:szCs w:val="20"/>
          <w:lang w:eastAsia="es-CR"/>
        </w:rPr>
        <w:t>-</w:t>
      </w:r>
      <w:r w:rsidRPr="008D060B">
        <w:rPr>
          <w:rFonts w:ascii="Verdana" w:hAnsi="Verdana" w:cs="Cambria"/>
          <w:sz w:val="20"/>
          <w:szCs w:val="20"/>
          <w:lang w:eastAsia="es-CR"/>
        </w:rPr>
        <w:t xml:space="preserve"> son los de las víctimas </w:t>
      </w:r>
      <w:r w:rsidRPr="008D060B">
        <w:rPr>
          <w:rFonts w:ascii="Verdana" w:hAnsi="Verdana"/>
          <w:sz w:val="20"/>
          <w:szCs w:val="20"/>
          <w:lang w:eastAsia="es-CR"/>
        </w:rPr>
        <w:t>de este caso</w:t>
      </w:r>
      <w:r w:rsidRPr="008D060B">
        <w:rPr>
          <w:rFonts w:ascii="Verdana" w:hAnsi="Verdana"/>
          <w:spacing w:val="-2"/>
          <w:sz w:val="20"/>
          <w:szCs w:val="20"/>
          <w:lang w:eastAsia="es-CR"/>
        </w:rPr>
        <w:t>. En su defensa sobre estos aspectos específicos del caso, el Estado se ha apoyado en su propia negligencia</w:t>
      </w:r>
      <w:r w:rsidRPr="008D060B">
        <w:rPr>
          <w:rFonts w:ascii="Verdana" w:hAnsi="Verdana" w:cs="Arial"/>
          <w:sz w:val="20"/>
          <w:szCs w:val="20"/>
          <w:lang w:eastAsia="es-CR"/>
        </w:rPr>
        <w:t xml:space="preserve">, pues las investigaciones correspondientes del Ministerio Público </w:t>
      </w:r>
      <w:r w:rsidRPr="008D060B">
        <w:rPr>
          <w:rFonts w:ascii="Verdana" w:hAnsi="Verdana"/>
          <w:spacing w:val="-2"/>
          <w:sz w:val="20"/>
          <w:szCs w:val="20"/>
          <w:lang w:eastAsia="es-CR"/>
        </w:rPr>
        <w:t>no se han conducido como se debe. Todo ello es un indicio adicional de lo ocurrido a las víctimas del caso.</w:t>
      </w:r>
    </w:p>
    <w:p w:rsidR="00106A1E" w:rsidRDefault="00106A1E" w:rsidP="00C95D2D">
      <w:pPr>
        <w:pStyle w:val="Heading3"/>
        <w:spacing w:line="240" w:lineRule="auto"/>
        <w:jc w:val="both"/>
        <w:rPr>
          <w:lang w:eastAsia="es-CR"/>
        </w:rPr>
      </w:pPr>
      <w:bookmarkStart w:id="180" w:name="_Toc423102544"/>
      <w:bookmarkStart w:id="181" w:name="_Toc433387497"/>
      <w:r>
        <w:rPr>
          <w:lang w:eastAsia="es-CR"/>
        </w:rPr>
        <w:t>C</w:t>
      </w:r>
      <w:r w:rsidRPr="00794E82">
        <w:rPr>
          <w:lang w:eastAsia="es-CR"/>
        </w:rPr>
        <w:t xml:space="preserve">. Determinación de la </w:t>
      </w:r>
      <w:r>
        <w:rPr>
          <w:lang w:eastAsia="es-CR"/>
        </w:rPr>
        <w:t xml:space="preserve">ocurrencia </w:t>
      </w:r>
      <w:r w:rsidRPr="00794E82">
        <w:rPr>
          <w:lang w:eastAsia="es-CR"/>
        </w:rPr>
        <w:t>de las alegadas desapariciones forzadas y su permanencia en el tiempo en el presente caso</w:t>
      </w:r>
      <w:bookmarkEnd w:id="180"/>
      <w:bookmarkEnd w:id="181"/>
    </w:p>
    <w:p w:rsidR="00106A1E" w:rsidRPr="002964A7" w:rsidRDefault="00106A1E" w:rsidP="00106A1E">
      <w:pPr>
        <w:autoSpaceDE w:val="0"/>
        <w:autoSpaceDN w:val="0"/>
        <w:adjustRightInd w:val="0"/>
        <w:spacing w:after="0" w:line="240" w:lineRule="auto"/>
        <w:jc w:val="both"/>
        <w:rPr>
          <w:rFonts w:ascii="Verdana" w:hAnsi="Verdana" w:cs="Arial"/>
          <w:sz w:val="20"/>
          <w:szCs w:val="20"/>
          <w:lang w:eastAsia="es-CR"/>
        </w:rPr>
      </w:pPr>
    </w:p>
    <w:p w:rsidR="00106A1E" w:rsidRPr="00EC542E"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2964A7">
        <w:rPr>
          <w:rFonts w:ascii="Verdana" w:hAnsi="Verdana"/>
          <w:bCs/>
          <w:sz w:val="20"/>
          <w:szCs w:val="20"/>
          <w:lang w:val="es-AR" w:eastAsia="es-CR"/>
        </w:rPr>
        <w:t xml:space="preserve">La Corte concluye que las 15 víctimas del presente caso fueron </w:t>
      </w:r>
      <w:r w:rsidRPr="002964A7">
        <w:rPr>
          <w:rFonts w:ascii="Verdana" w:hAnsi="Verdana"/>
          <w:sz w:val="20"/>
          <w:szCs w:val="20"/>
          <w:lang w:eastAsia="es-CR"/>
        </w:rPr>
        <w:t xml:space="preserve">privadas de libertad por agentes estatales </w:t>
      </w:r>
      <w:r w:rsidRPr="002964A7">
        <w:rPr>
          <w:rFonts w:ascii="Verdana" w:hAnsi="Verdana" w:cs="Arial"/>
          <w:sz w:val="20"/>
          <w:szCs w:val="20"/>
          <w:lang w:eastAsia="es-CR"/>
        </w:rPr>
        <w:t xml:space="preserve">y permanecieron </w:t>
      </w:r>
      <w:r w:rsidRPr="002964A7">
        <w:rPr>
          <w:rFonts w:ascii="Verdana" w:hAnsi="Verdana"/>
          <w:sz w:val="20"/>
          <w:szCs w:val="20"/>
          <w:lang w:eastAsia="es-CR"/>
        </w:rPr>
        <w:t xml:space="preserve">bajo custodia estatal mientras fueron trasladadas </w:t>
      </w:r>
      <w:r w:rsidRPr="002964A7">
        <w:rPr>
          <w:rFonts w:ascii="Verdana" w:hAnsi="Verdana"/>
          <w:iCs/>
          <w:sz w:val="20"/>
          <w:szCs w:val="20"/>
          <w:lang w:eastAsia="es-CR"/>
        </w:rPr>
        <w:t xml:space="preserve">a la </w:t>
      </w:r>
      <w:r w:rsidRPr="002964A7">
        <w:rPr>
          <w:rFonts w:ascii="Verdana" w:hAnsi="Verdana"/>
          <w:sz w:val="20"/>
          <w:szCs w:val="20"/>
          <w:lang w:eastAsia="es-CR"/>
        </w:rPr>
        <w:t xml:space="preserve">mina abandonada llamada “Misteriosa” o “Vallarón”. En dicho lugar, </w:t>
      </w:r>
      <w:r w:rsidRPr="002964A7">
        <w:rPr>
          <w:rFonts w:ascii="Verdana" w:hAnsi="Verdana"/>
          <w:spacing w:val="-2"/>
          <w:sz w:val="20"/>
          <w:szCs w:val="20"/>
          <w:lang w:eastAsia="es-CR"/>
        </w:rPr>
        <w:t>fueron</w:t>
      </w:r>
      <w:r w:rsidRPr="002964A7">
        <w:rPr>
          <w:rFonts w:ascii="Verdana" w:hAnsi="Verdana"/>
          <w:iCs/>
          <w:sz w:val="20"/>
          <w:szCs w:val="20"/>
          <w:lang w:eastAsia="es-CR"/>
        </w:rPr>
        <w:t xml:space="preserve"> introducidas al interior del socavón y acribilladas con fusiles </w:t>
      </w:r>
      <w:r w:rsidRPr="002964A7">
        <w:rPr>
          <w:rFonts w:ascii="Verdana" w:hAnsi="Verdana"/>
          <w:sz w:val="20"/>
          <w:szCs w:val="20"/>
          <w:lang w:eastAsia="es-CR"/>
        </w:rPr>
        <w:t xml:space="preserve">por los </w:t>
      </w:r>
      <w:r w:rsidRPr="002964A7">
        <w:rPr>
          <w:rFonts w:ascii="Verdana" w:hAnsi="Verdana"/>
          <w:iCs/>
          <w:sz w:val="20"/>
          <w:szCs w:val="20"/>
          <w:lang w:eastAsia="es-CR"/>
        </w:rPr>
        <w:t xml:space="preserve">efectivos militares </w:t>
      </w:r>
      <w:r w:rsidRPr="002964A7">
        <w:rPr>
          <w:rFonts w:ascii="Verdana" w:hAnsi="Verdana" w:cs="Arial"/>
          <w:sz w:val="20"/>
          <w:szCs w:val="20"/>
          <w:lang w:eastAsia="es-CR"/>
        </w:rPr>
        <w:t xml:space="preserve">y </w:t>
      </w:r>
      <w:r w:rsidRPr="002964A7">
        <w:rPr>
          <w:rFonts w:ascii="Verdana" w:hAnsi="Verdana"/>
          <w:sz w:val="20"/>
          <w:szCs w:val="20"/>
          <w:lang w:eastAsia="es-CR"/>
        </w:rPr>
        <w:t xml:space="preserve">casi de inmediato fueron inmolados sus cuerpos mediante la detonación </w:t>
      </w:r>
      <w:r w:rsidRPr="002964A7">
        <w:rPr>
          <w:rFonts w:ascii="Verdana" w:hAnsi="Verdana"/>
          <w:iCs/>
          <w:sz w:val="20"/>
          <w:szCs w:val="20"/>
        </w:rPr>
        <w:t>de cargas de dinamita, provocando su fraccionamiento</w:t>
      </w:r>
      <w:r w:rsidRPr="002964A7">
        <w:rPr>
          <w:rFonts w:ascii="Verdana" w:hAnsi="Verdana"/>
          <w:sz w:val="20"/>
          <w:szCs w:val="20"/>
          <w:lang w:eastAsia="es-CR"/>
        </w:rPr>
        <w:t xml:space="preserve">. </w:t>
      </w:r>
      <w:r w:rsidRPr="00B2279F">
        <w:rPr>
          <w:rFonts w:ascii="Verdana" w:hAnsi="Verdana"/>
          <w:sz w:val="20"/>
          <w:szCs w:val="20"/>
          <w:lang w:eastAsia="es-CR"/>
        </w:rPr>
        <w:t>Las actuaciones posteriores de las autoridades y</w:t>
      </w:r>
      <w:r w:rsidRPr="00B2279F">
        <w:rPr>
          <w:rFonts w:ascii="Verdana" w:hAnsi="Verdana" w:cs="Arial"/>
          <w:sz w:val="20"/>
          <w:szCs w:val="20"/>
          <w:lang w:eastAsia="es-CR"/>
        </w:rPr>
        <w:t xml:space="preserve"> </w:t>
      </w:r>
      <w:r w:rsidRPr="00B2279F">
        <w:rPr>
          <w:rFonts w:ascii="Verdana" w:hAnsi="Verdana"/>
          <w:sz w:val="20"/>
          <w:szCs w:val="20"/>
          <w:lang w:eastAsia="es-CR"/>
        </w:rPr>
        <w:t>agentes estatales permiten a este Tribunal determinar que</w:t>
      </w:r>
      <w:r>
        <w:rPr>
          <w:rFonts w:ascii="Verdana" w:hAnsi="Verdana"/>
          <w:sz w:val="20"/>
          <w:szCs w:val="20"/>
          <w:lang w:eastAsia="es-CR"/>
        </w:rPr>
        <w:t xml:space="preserve"> </w:t>
      </w:r>
      <w:r w:rsidRPr="00217ECB">
        <w:rPr>
          <w:rFonts w:ascii="Verdana" w:hAnsi="Verdana"/>
          <w:sz w:val="20"/>
          <w:szCs w:val="20"/>
          <w:lang w:eastAsia="es-CR"/>
        </w:rPr>
        <w:t xml:space="preserve">dichos actos tuvieron el propósito de eliminar las evidencias de lo </w:t>
      </w:r>
      <w:r>
        <w:rPr>
          <w:rFonts w:ascii="Verdana" w:hAnsi="Verdana"/>
          <w:sz w:val="20"/>
          <w:szCs w:val="20"/>
          <w:lang w:eastAsia="es-CR"/>
        </w:rPr>
        <w:t>sucedido</w:t>
      </w:r>
      <w:r w:rsidRPr="00217ECB">
        <w:rPr>
          <w:rFonts w:ascii="Verdana" w:hAnsi="Verdana" w:cs="Arial"/>
          <w:sz w:val="20"/>
          <w:szCs w:val="20"/>
          <w:lang w:eastAsia="es-CR"/>
        </w:rPr>
        <w:t xml:space="preserve"> </w:t>
      </w:r>
      <w:r>
        <w:rPr>
          <w:rFonts w:ascii="Verdana" w:hAnsi="Verdana"/>
          <w:sz w:val="20"/>
          <w:szCs w:val="20"/>
          <w:lang w:eastAsia="es-CR"/>
        </w:rPr>
        <w:t>y</w:t>
      </w:r>
      <w:r w:rsidRPr="00217ECB">
        <w:rPr>
          <w:rFonts w:ascii="Verdana" w:hAnsi="Verdana"/>
          <w:sz w:val="20"/>
          <w:szCs w:val="20"/>
          <w:lang w:eastAsia="es-CR"/>
        </w:rPr>
        <w:t xml:space="preserve"> </w:t>
      </w:r>
      <w:r w:rsidRPr="00217ECB">
        <w:rPr>
          <w:rFonts w:ascii="Verdana" w:hAnsi="Verdana" w:cs="Cambria"/>
          <w:sz w:val="20"/>
          <w:szCs w:val="20"/>
          <w:lang w:eastAsia="es-CR"/>
        </w:rPr>
        <w:t>ocultar lo que realmente había ocurrido</w:t>
      </w:r>
      <w:r w:rsidRPr="00217ECB">
        <w:rPr>
          <w:rFonts w:ascii="Verdana" w:hAnsi="Verdana" w:cs="Arial"/>
          <w:sz w:val="20"/>
          <w:szCs w:val="20"/>
          <w:lang w:eastAsia="es-CR"/>
        </w:rPr>
        <w:t xml:space="preserve"> </w:t>
      </w:r>
      <w:r w:rsidRPr="00217ECB">
        <w:rPr>
          <w:rFonts w:ascii="Verdana" w:hAnsi="Verdana" w:cs="Cambria"/>
          <w:sz w:val="20"/>
          <w:szCs w:val="20"/>
          <w:lang w:eastAsia="es-CR"/>
        </w:rPr>
        <w:t>o borrar todo rastro de los cuerpos para evitar su identificación o que su destino y paradero fuera establecido</w:t>
      </w:r>
      <w:r>
        <w:rPr>
          <w:rFonts w:ascii="Verdana" w:hAnsi="Verdana" w:cs="Cambria"/>
          <w:sz w:val="20"/>
          <w:szCs w:val="20"/>
          <w:lang w:eastAsia="es-CR"/>
        </w:rPr>
        <w:t xml:space="preserve">. Por tanto, </w:t>
      </w:r>
      <w:r w:rsidRPr="00EC542E">
        <w:rPr>
          <w:rFonts w:ascii="Verdana" w:hAnsi="Verdana"/>
          <w:sz w:val="20"/>
          <w:szCs w:val="20"/>
          <w:lang w:eastAsia="es-CR"/>
        </w:rPr>
        <w:t xml:space="preserve">existió una negativa del Estado de </w:t>
      </w:r>
      <w:r w:rsidRPr="00EC542E">
        <w:rPr>
          <w:rFonts w:ascii="Verdana" w:hAnsi="Verdana"/>
          <w:spacing w:val="-2"/>
          <w:sz w:val="20"/>
          <w:szCs w:val="20"/>
        </w:rPr>
        <w:t xml:space="preserve">reconocer la detención, así como de </w:t>
      </w:r>
      <w:r w:rsidRPr="00EC542E">
        <w:rPr>
          <w:rFonts w:ascii="Verdana" w:hAnsi="Verdana"/>
          <w:sz w:val="20"/>
          <w:szCs w:val="20"/>
          <w:lang w:eastAsia="es-CR"/>
        </w:rPr>
        <w:t>proporcionar información</w:t>
      </w:r>
      <w:r w:rsidRPr="00EC542E">
        <w:rPr>
          <w:rFonts w:ascii="Verdana" w:hAnsi="Verdana" w:cs="Arial"/>
          <w:sz w:val="20"/>
          <w:szCs w:val="20"/>
          <w:lang w:eastAsia="es-CR"/>
        </w:rPr>
        <w:t xml:space="preserve"> </w:t>
      </w:r>
      <w:r w:rsidRPr="00EC542E">
        <w:rPr>
          <w:rFonts w:ascii="Verdana" w:hAnsi="Verdana" w:cs="Times"/>
          <w:sz w:val="20"/>
          <w:szCs w:val="20"/>
          <w:lang w:eastAsia="es-CR"/>
        </w:rPr>
        <w:t xml:space="preserve">sobre </w:t>
      </w:r>
      <w:r>
        <w:rPr>
          <w:rFonts w:ascii="Verdana" w:hAnsi="Verdana" w:cs="Times"/>
          <w:sz w:val="20"/>
          <w:szCs w:val="20"/>
          <w:lang w:eastAsia="es-CR"/>
        </w:rPr>
        <w:t>el</w:t>
      </w:r>
      <w:r w:rsidRPr="00EC542E">
        <w:rPr>
          <w:rFonts w:ascii="Verdana" w:hAnsi="Verdana" w:cs="Times"/>
          <w:sz w:val="20"/>
          <w:szCs w:val="20"/>
          <w:lang w:eastAsia="es-CR"/>
        </w:rPr>
        <w:t xml:space="preserve"> destino</w:t>
      </w:r>
      <w:r>
        <w:rPr>
          <w:rFonts w:ascii="Verdana" w:hAnsi="Verdana" w:cs="Times"/>
          <w:sz w:val="20"/>
          <w:szCs w:val="20"/>
          <w:lang w:eastAsia="es-CR"/>
        </w:rPr>
        <w:t xml:space="preserve"> de las </w:t>
      </w:r>
      <w:r w:rsidR="00884B9C">
        <w:rPr>
          <w:rFonts w:ascii="Verdana" w:hAnsi="Verdana" w:cs="Times"/>
          <w:sz w:val="20"/>
          <w:szCs w:val="20"/>
          <w:lang w:eastAsia="es-CR"/>
        </w:rPr>
        <w:t>víctimas</w:t>
      </w:r>
      <w:r w:rsidRPr="00EC542E">
        <w:rPr>
          <w:rFonts w:ascii="Verdana" w:hAnsi="Verdana" w:cs="Times"/>
          <w:sz w:val="20"/>
          <w:szCs w:val="20"/>
          <w:lang w:eastAsia="es-CR"/>
        </w:rPr>
        <w:t xml:space="preserve"> y</w:t>
      </w:r>
      <w:r w:rsidRPr="00EC542E">
        <w:rPr>
          <w:rFonts w:ascii="Verdana" w:hAnsi="Verdana"/>
          <w:sz w:val="20"/>
          <w:szCs w:val="20"/>
          <w:lang w:eastAsia="es-CR"/>
        </w:rPr>
        <w:t xml:space="preserve"> revelar su suerte,</w:t>
      </w:r>
      <w:r>
        <w:rPr>
          <w:rFonts w:ascii="Verdana" w:hAnsi="Verdana"/>
          <w:sz w:val="20"/>
          <w:szCs w:val="20"/>
          <w:lang w:eastAsia="es-CR"/>
        </w:rPr>
        <w:t xml:space="preserve"> con el propósito de</w:t>
      </w:r>
      <w:r w:rsidRPr="00EC542E">
        <w:rPr>
          <w:rFonts w:ascii="Verdana" w:hAnsi="Verdana" w:cs="Arial"/>
          <w:sz w:val="20"/>
          <w:szCs w:val="20"/>
          <w:lang w:eastAsia="es-CR"/>
        </w:rPr>
        <w:t xml:space="preserve"> </w:t>
      </w:r>
      <w:r w:rsidRPr="00EC542E">
        <w:rPr>
          <w:rFonts w:ascii="Verdana" w:hAnsi="Verdana"/>
          <w:sz w:val="20"/>
          <w:szCs w:val="20"/>
          <w:lang w:eastAsia="es-CR"/>
        </w:rPr>
        <w:t>generar incertidumbre acerca de su paradero, vida o muerte, y provocar intimidación y supresión de derechos</w:t>
      </w:r>
      <w:r w:rsidRPr="00EC542E">
        <w:rPr>
          <w:rFonts w:ascii="Verdana" w:hAnsi="Verdana" w:cs="Arial"/>
          <w:sz w:val="20"/>
          <w:szCs w:val="20"/>
          <w:lang w:eastAsia="es-CR"/>
        </w:rPr>
        <w:t xml:space="preserve">. </w:t>
      </w:r>
    </w:p>
    <w:p w:rsidR="00106A1E" w:rsidRPr="005F1E75" w:rsidRDefault="00106A1E" w:rsidP="00106A1E">
      <w:pPr>
        <w:pStyle w:val="ListParagraph"/>
        <w:autoSpaceDE w:val="0"/>
        <w:autoSpaceDN w:val="0"/>
        <w:adjustRightInd w:val="0"/>
        <w:spacing w:after="0" w:line="240" w:lineRule="auto"/>
        <w:ind w:left="0"/>
        <w:jc w:val="both"/>
        <w:rPr>
          <w:rFonts w:ascii="Verdana" w:hAnsi="Verdana" w:cs="Arial"/>
          <w:sz w:val="20"/>
          <w:szCs w:val="20"/>
          <w:lang w:eastAsia="es-CR"/>
        </w:rPr>
      </w:pPr>
    </w:p>
    <w:p w:rsidR="00106A1E" w:rsidRPr="00B371E2"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Pr>
          <w:rFonts w:ascii="Verdana" w:hAnsi="Verdana"/>
          <w:sz w:val="20"/>
          <w:szCs w:val="20"/>
          <w:lang w:val="es-ES" w:eastAsia="es-CR"/>
        </w:rPr>
        <w:t>En efecto</w:t>
      </w:r>
      <w:r w:rsidRPr="002964A7">
        <w:rPr>
          <w:rFonts w:ascii="Verdana" w:hAnsi="Verdana" w:cs="Times"/>
          <w:sz w:val="20"/>
          <w:szCs w:val="20"/>
          <w:lang w:eastAsia="es-CR"/>
        </w:rPr>
        <w:t xml:space="preserve">, en este caso se ha verificado la negativa inicial de las autoridades </w:t>
      </w:r>
      <w:r w:rsidRPr="009A7F12">
        <w:rPr>
          <w:rFonts w:ascii="Verdana" w:hAnsi="Verdana"/>
          <w:spacing w:val="-2"/>
          <w:sz w:val="20"/>
          <w:szCs w:val="20"/>
        </w:rPr>
        <w:t>del Ejército</w:t>
      </w:r>
      <w:r w:rsidRPr="002964A7">
        <w:rPr>
          <w:rFonts w:ascii="Verdana" w:hAnsi="Verdana" w:cs="Times"/>
          <w:sz w:val="20"/>
          <w:szCs w:val="20"/>
          <w:lang w:eastAsia="es-CR"/>
        </w:rPr>
        <w:t xml:space="preserve"> de reconocer la mencionada privaci</w:t>
      </w:r>
      <w:r>
        <w:rPr>
          <w:rFonts w:ascii="Verdana" w:hAnsi="Verdana" w:cs="Times"/>
          <w:sz w:val="20"/>
          <w:szCs w:val="20"/>
          <w:lang w:eastAsia="es-CR"/>
        </w:rPr>
        <w:t xml:space="preserve">ón de libertad de las víctimas, así como que ocultaron y alteraron </w:t>
      </w:r>
      <w:r w:rsidRPr="0058295C">
        <w:rPr>
          <w:rFonts w:ascii="Verdana" w:hAnsi="Verdana"/>
          <w:spacing w:val="-2"/>
          <w:sz w:val="20"/>
          <w:szCs w:val="20"/>
        </w:rPr>
        <w:t>información sobre l</w:t>
      </w:r>
      <w:r>
        <w:rPr>
          <w:rFonts w:ascii="Verdana" w:hAnsi="Verdana"/>
          <w:spacing w:val="-2"/>
          <w:sz w:val="20"/>
          <w:szCs w:val="20"/>
        </w:rPr>
        <w:t>o ocurrido a estas</w:t>
      </w:r>
      <w:r w:rsidRPr="0058295C">
        <w:rPr>
          <w:rFonts w:ascii="Verdana" w:hAnsi="Verdana"/>
          <w:sz w:val="20"/>
          <w:szCs w:val="20"/>
          <w:lang w:eastAsia="es-CR"/>
        </w:rPr>
        <w:t>,</w:t>
      </w:r>
      <w:r w:rsidRPr="0058295C">
        <w:rPr>
          <w:rFonts w:ascii="Verdana" w:hAnsi="Verdana" w:cs="Times"/>
          <w:sz w:val="20"/>
          <w:szCs w:val="20"/>
          <w:lang w:eastAsia="es-CR"/>
        </w:rPr>
        <w:t xml:space="preserve"> a pesar de las denuncias y diligencias realizadas por sus familiares y pobladores de la comunidad Santa Bárbara, así como por los órganos a cargo de las investigaciones.</w:t>
      </w:r>
      <w:r w:rsidRPr="0058295C">
        <w:rPr>
          <w:rFonts w:ascii="Verdana" w:hAnsi="Verdana" w:cs="Arial"/>
          <w:sz w:val="20"/>
          <w:szCs w:val="20"/>
          <w:lang w:eastAsia="es-CR"/>
        </w:rPr>
        <w:t xml:space="preserve"> A</w:t>
      </w:r>
      <w:r>
        <w:rPr>
          <w:rFonts w:ascii="Verdana" w:hAnsi="Verdana" w:cs="Arial"/>
          <w:sz w:val="20"/>
          <w:szCs w:val="20"/>
          <w:lang w:eastAsia="es-CR"/>
        </w:rPr>
        <w:t xml:space="preserve"> su vez</w:t>
      </w:r>
      <w:r w:rsidRPr="0058295C">
        <w:rPr>
          <w:rFonts w:ascii="Verdana" w:hAnsi="Verdana" w:cs="Arial"/>
          <w:sz w:val="20"/>
          <w:szCs w:val="20"/>
          <w:lang w:eastAsia="es-CR"/>
        </w:rPr>
        <w:t xml:space="preserve">, el </w:t>
      </w:r>
      <w:r w:rsidRPr="0058295C">
        <w:rPr>
          <w:rFonts w:ascii="Verdana" w:hAnsi="Verdana" w:cs="Arial"/>
          <w:i/>
          <w:iCs/>
          <w:sz w:val="20"/>
          <w:szCs w:val="20"/>
          <w:lang w:eastAsia="es-CR"/>
        </w:rPr>
        <w:t>modus operandi</w:t>
      </w:r>
      <w:r w:rsidRPr="0058295C">
        <w:rPr>
          <w:rFonts w:ascii="Verdana" w:hAnsi="Verdana" w:cs="Arial"/>
          <w:iCs/>
          <w:sz w:val="20"/>
          <w:szCs w:val="20"/>
          <w:lang w:eastAsia="es-CR"/>
        </w:rPr>
        <w:t xml:space="preserve"> </w:t>
      </w:r>
      <w:r w:rsidRPr="0058295C">
        <w:rPr>
          <w:rFonts w:ascii="Verdana" w:hAnsi="Verdana" w:cs="Arial"/>
          <w:sz w:val="20"/>
          <w:szCs w:val="20"/>
          <w:lang w:eastAsia="es-CR"/>
        </w:rPr>
        <w:t>utilizado en el presente caso en la destrucción de evidencias</w:t>
      </w:r>
      <w:r w:rsidRPr="0058295C">
        <w:rPr>
          <w:rFonts w:ascii="Verdana" w:hAnsi="Verdana" w:cs="Verdana"/>
          <w:sz w:val="20"/>
          <w:szCs w:val="20"/>
          <w:lang w:eastAsia="es-CR"/>
        </w:rPr>
        <w:t xml:space="preserve"> avala esta conclusión. Al respecto, no escapa a la Corte que </w:t>
      </w:r>
      <w:r w:rsidRPr="0058295C">
        <w:rPr>
          <w:rFonts w:ascii="Verdana" w:hAnsi="Verdana"/>
          <w:sz w:val="20"/>
          <w:szCs w:val="20"/>
          <w:lang w:eastAsia="es-CR"/>
        </w:rPr>
        <w:t xml:space="preserve">en el lugar donde fueron dinamitados los cuerpos se ha realizado la recuperación de restos humanos en los años 1991, </w:t>
      </w:r>
      <w:r>
        <w:rPr>
          <w:rFonts w:ascii="Verdana" w:hAnsi="Verdana"/>
          <w:sz w:val="20"/>
          <w:szCs w:val="20"/>
          <w:lang w:eastAsia="es-CR"/>
        </w:rPr>
        <w:t xml:space="preserve">2009, </w:t>
      </w:r>
      <w:r w:rsidRPr="0058295C">
        <w:rPr>
          <w:rFonts w:ascii="Verdana" w:hAnsi="Verdana"/>
          <w:sz w:val="20"/>
          <w:szCs w:val="20"/>
          <w:lang w:eastAsia="es-CR"/>
        </w:rPr>
        <w:t>2010 y 2011, y por diversas irregularidades</w:t>
      </w:r>
      <w:r>
        <w:rPr>
          <w:rFonts w:ascii="Verdana" w:hAnsi="Verdana"/>
          <w:sz w:val="20"/>
          <w:szCs w:val="20"/>
          <w:lang w:eastAsia="es-CR"/>
        </w:rPr>
        <w:t xml:space="preserve"> derivadas de la actuación de las propias autoridades del Estado</w:t>
      </w:r>
      <w:r w:rsidRPr="0058295C">
        <w:rPr>
          <w:rFonts w:ascii="Verdana" w:hAnsi="Verdana"/>
          <w:sz w:val="20"/>
          <w:szCs w:val="20"/>
          <w:lang w:eastAsia="es-CR"/>
        </w:rPr>
        <w:t xml:space="preserve">, no se tiene hasta la fecha la convicción que los restos de las 15 víctimas hayan sido encontrados </w:t>
      </w:r>
      <w:r w:rsidRPr="0058295C">
        <w:rPr>
          <w:rFonts w:ascii="Verdana" w:hAnsi="Verdana"/>
          <w:sz w:val="20"/>
          <w:szCs w:val="20"/>
          <w:lang w:eastAsia="es-CR"/>
        </w:rPr>
        <w:lastRenderedPageBreak/>
        <w:t>e identificados, ni se ha obtenido una respuesta determinante sobre su destino, situación que se mantiene hasta el día de hoy.</w:t>
      </w:r>
      <w:r w:rsidRPr="0058295C">
        <w:rPr>
          <w:rFonts w:ascii="Verdana" w:hAnsi="Verdana" w:cs="Verdana"/>
          <w:sz w:val="20"/>
          <w:szCs w:val="20"/>
          <w:lang w:eastAsia="es-CR"/>
        </w:rPr>
        <w:t xml:space="preserve"> </w:t>
      </w:r>
    </w:p>
    <w:p w:rsidR="00106A1E" w:rsidRPr="002964A7" w:rsidRDefault="00106A1E" w:rsidP="00106A1E">
      <w:pPr>
        <w:autoSpaceDE w:val="0"/>
        <w:autoSpaceDN w:val="0"/>
        <w:adjustRightInd w:val="0"/>
        <w:spacing w:after="0" w:line="240" w:lineRule="auto"/>
        <w:jc w:val="both"/>
        <w:rPr>
          <w:rFonts w:ascii="Verdana" w:hAnsi="Verdana" w:cs="Arial"/>
          <w:sz w:val="20"/>
          <w:szCs w:val="20"/>
          <w:lang w:eastAsia="es-CR"/>
        </w:rPr>
      </w:pPr>
    </w:p>
    <w:p w:rsidR="00106A1E" w:rsidRPr="000934ED"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Pr>
          <w:rFonts w:ascii="Verdana" w:hAnsi="Verdana"/>
          <w:spacing w:val="-2"/>
          <w:sz w:val="20"/>
          <w:szCs w:val="20"/>
          <w:lang w:eastAsia="es-CR"/>
        </w:rPr>
        <w:t>Ahora bien, p</w:t>
      </w:r>
      <w:r w:rsidRPr="00B371E2">
        <w:rPr>
          <w:rFonts w:ascii="Verdana" w:hAnsi="Verdana"/>
          <w:spacing w:val="-2"/>
          <w:sz w:val="20"/>
          <w:szCs w:val="20"/>
          <w:lang w:eastAsia="es-CR"/>
        </w:rPr>
        <w:t>ara la Corte</w:t>
      </w:r>
      <w:r>
        <w:rPr>
          <w:rFonts w:ascii="Verdana" w:hAnsi="Verdana"/>
          <w:spacing w:val="-2"/>
          <w:sz w:val="20"/>
          <w:szCs w:val="20"/>
          <w:lang w:eastAsia="es-CR"/>
        </w:rPr>
        <w:t>,</w:t>
      </w:r>
      <w:r w:rsidRPr="00B371E2">
        <w:rPr>
          <w:rFonts w:ascii="Verdana" w:hAnsi="Verdana"/>
          <w:spacing w:val="-2"/>
          <w:sz w:val="20"/>
          <w:szCs w:val="20"/>
          <w:lang w:eastAsia="es-CR"/>
        </w:rPr>
        <w:t xml:space="preserve"> las </w:t>
      </w:r>
      <w:r w:rsidRPr="00B371E2">
        <w:rPr>
          <w:rFonts w:ascii="Verdana" w:hAnsi="Verdana" w:cs="Univers"/>
          <w:sz w:val="20"/>
          <w:szCs w:val="20"/>
          <w:lang w:val="es-CO" w:eastAsia="es-CR"/>
        </w:rPr>
        <w:t xml:space="preserve">sentencias dictadas a nivel interno </w:t>
      </w:r>
      <w:r>
        <w:rPr>
          <w:rFonts w:ascii="Verdana" w:hAnsi="Verdana" w:cs="Univers"/>
          <w:sz w:val="20"/>
          <w:szCs w:val="20"/>
          <w:lang w:val="es-CO" w:eastAsia="es-CR"/>
        </w:rPr>
        <w:t>los días</w:t>
      </w:r>
      <w:r w:rsidRPr="00B371E2">
        <w:rPr>
          <w:rFonts w:ascii="Verdana" w:hAnsi="Verdana" w:cs="Univers"/>
          <w:sz w:val="20"/>
          <w:szCs w:val="20"/>
          <w:lang w:val="es-CO" w:eastAsia="es-CR"/>
        </w:rPr>
        <w:t xml:space="preserve"> </w:t>
      </w:r>
      <w:r w:rsidRPr="00B371E2">
        <w:rPr>
          <w:rFonts w:ascii="Verdana" w:hAnsi="Verdana" w:cs="Arial"/>
          <w:sz w:val="20"/>
          <w:szCs w:val="20"/>
          <w:lang w:eastAsia="es-CR"/>
        </w:rPr>
        <w:t xml:space="preserve">9 de febrero de 2012 y </w:t>
      </w:r>
      <w:r w:rsidRPr="00B371E2">
        <w:rPr>
          <w:rFonts w:ascii="Verdana" w:hAnsi="Verdana"/>
          <w:sz w:val="20"/>
          <w:szCs w:val="20"/>
          <w:lang w:eastAsia="es-CR"/>
        </w:rPr>
        <w:t>29 de mayo de 2013</w:t>
      </w:r>
      <w:r w:rsidRPr="00B371E2">
        <w:rPr>
          <w:rFonts w:ascii="Verdana" w:hAnsi="Verdana" w:cs="Arial"/>
          <w:sz w:val="20"/>
          <w:szCs w:val="20"/>
          <w:lang w:eastAsia="es-CR"/>
        </w:rPr>
        <w:t xml:space="preserve"> </w:t>
      </w:r>
      <w:r w:rsidRPr="00B371E2">
        <w:rPr>
          <w:rFonts w:ascii="Verdana" w:hAnsi="Verdana"/>
          <w:spacing w:val="-2"/>
          <w:sz w:val="20"/>
          <w:szCs w:val="20"/>
          <w:lang w:eastAsia="es-CR"/>
        </w:rPr>
        <w:t>son un referente importante y positivo en el actuar estatal</w:t>
      </w:r>
      <w:r w:rsidRPr="00B371E2">
        <w:rPr>
          <w:rFonts w:ascii="Verdana" w:hAnsi="Verdana"/>
          <w:sz w:val="20"/>
          <w:szCs w:val="20"/>
          <w:lang w:eastAsia="es-CR"/>
        </w:rPr>
        <w:t xml:space="preserve"> de su Poder Judicial</w:t>
      </w:r>
      <w:r w:rsidRPr="00B371E2">
        <w:rPr>
          <w:rFonts w:ascii="Verdana" w:hAnsi="Verdana"/>
          <w:spacing w:val="-2"/>
          <w:sz w:val="20"/>
          <w:szCs w:val="20"/>
          <w:lang w:eastAsia="es-CR"/>
        </w:rPr>
        <w:t xml:space="preserve">. Sin embargo, </w:t>
      </w:r>
      <w:r w:rsidRPr="00B371E2">
        <w:rPr>
          <w:rFonts w:ascii="Verdana" w:hAnsi="Verdana"/>
          <w:sz w:val="20"/>
          <w:szCs w:val="20"/>
          <w:lang w:val="es-PR"/>
        </w:rPr>
        <w:t>debido a que</w:t>
      </w:r>
      <w:r>
        <w:rPr>
          <w:rFonts w:ascii="Verdana" w:hAnsi="Verdana"/>
          <w:sz w:val="20"/>
          <w:szCs w:val="20"/>
          <w:lang w:val="es-PR"/>
        </w:rPr>
        <w:t xml:space="preserve"> </w:t>
      </w:r>
      <w:r w:rsidRPr="00B371E2">
        <w:rPr>
          <w:rFonts w:ascii="Verdana" w:hAnsi="Verdana"/>
          <w:spacing w:val="-2"/>
          <w:sz w:val="20"/>
          <w:szCs w:val="20"/>
          <w:lang w:eastAsia="es-CR"/>
        </w:rPr>
        <w:t>en este caso</w:t>
      </w:r>
      <w:r w:rsidRPr="00B371E2">
        <w:rPr>
          <w:rFonts w:ascii="Verdana" w:hAnsi="Verdana"/>
          <w:sz w:val="20"/>
          <w:szCs w:val="20"/>
          <w:lang w:val="es-PR"/>
        </w:rPr>
        <w:t xml:space="preserve"> la </w:t>
      </w:r>
      <w:r w:rsidRPr="008D060B">
        <w:rPr>
          <w:rFonts w:ascii="Verdana" w:hAnsi="Verdana"/>
          <w:sz w:val="20"/>
          <w:szCs w:val="20"/>
        </w:rPr>
        <w:t>investigación forense en la búsqueda, recuperación, análisis y eventual identificación de restos</w:t>
      </w:r>
      <w:r w:rsidRPr="008D060B">
        <w:rPr>
          <w:rFonts w:ascii="Verdana" w:hAnsi="Verdana"/>
          <w:sz w:val="20"/>
          <w:szCs w:val="20"/>
          <w:lang w:eastAsia="es-CR"/>
        </w:rPr>
        <w:t xml:space="preserve"> </w:t>
      </w:r>
      <w:r w:rsidRPr="008D060B">
        <w:rPr>
          <w:rFonts w:ascii="Verdana" w:hAnsi="Verdana"/>
          <w:sz w:val="20"/>
          <w:szCs w:val="20"/>
          <w:lang w:val="es-PR"/>
        </w:rPr>
        <w:t>se ha caracterizado por una clara</w:t>
      </w:r>
      <w:r w:rsidRPr="008D060B">
        <w:rPr>
          <w:rFonts w:cs="Verdana"/>
          <w:szCs w:val="20"/>
          <w:lang w:val="es-ES"/>
        </w:rPr>
        <w:t xml:space="preserve"> </w:t>
      </w:r>
      <w:r w:rsidRPr="008D060B">
        <w:rPr>
          <w:rFonts w:ascii="Verdana" w:hAnsi="Verdana" w:cs="Arial"/>
          <w:sz w:val="20"/>
          <w:szCs w:val="20"/>
          <w:lang w:eastAsia="es-CR"/>
        </w:rPr>
        <w:t xml:space="preserve">falta de </w:t>
      </w:r>
      <w:r w:rsidRPr="008D060B">
        <w:rPr>
          <w:rFonts w:ascii="Verdana" w:hAnsi="Verdana"/>
          <w:sz w:val="20"/>
          <w:szCs w:val="20"/>
          <w:lang w:eastAsia="es-CR"/>
        </w:rPr>
        <w:t>seriedad y debida diligencia,</w:t>
      </w:r>
      <w:r>
        <w:rPr>
          <w:rFonts w:ascii="Verdana" w:hAnsi="Verdana" w:cs="Arial"/>
          <w:sz w:val="20"/>
          <w:szCs w:val="20"/>
          <w:lang w:eastAsia="es-CR"/>
        </w:rPr>
        <w:t xml:space="preserve"> especialmente grave, </w:t>
      </w:r>
      <w:r w:rsidRPr="00B371E2">
        <w:rPr>
          <w:rFonts w:ascii="Verdana" w:hAnsi="Verdana"/>
          <w:spacing w:val="-2"/>
          <w:sz w:val="20"/>
          <w:szCs w:val="20"/>
          <w:lang w:eastAsia="es-CR"/>
        </w:rPr>
        <w:t xml:space="preserve">la Corte considera que no procede acoger el alegato estatal sobre la procedencia </w:t>
      </w:r>
      <w:r w:rsidRPr="00B371E2">
        <w:rPr>
          <w:rFonts w:ascii="Verdana" w:eastAsia="Calibri" w:hAnsi="Verdana"/>
          <w:sz w:val="20"/>
          <w:szCs w:val="20"/>
        </w:rPr>
        <w:t>del principio de subsidiariedad y complementariedad</w:t>
      </w:r>
      <w:r>
        <w:rPr>
          <w:rFonts w:ascii="Verdana" w:eastAsia="Calibri" w:hAnsi="Verdana"/>
          <w:sz w:val="20"/>
          <w:szCs w:val="20"/>
        </w:rPr>
        <w:t xml:space="preserve">. Es así que en el presente caso la desaparición forzada de las víctimas permanece </w:t>
      </w:r>
      <w:r>
        <w:rPr>
          <w:rFonts w:ascii="Verdana" w:hAnsi="Verdana"/>
          <w:sz w:val="20"/>
          <w:szCs w:val="20"/>
          <w:lang w:eastAsia="es-CR"/>
        </w:rPr>
        <w:t>hasta el</w:t>
      </w:r>
      <w:r w:rsidRPr="0058295C">
        <w:rPr>
          <w:rFonts w:ascii="Verdana" w:hAnsi="Verdana"/>
          <w:sz w:val="20"/>
          <w:szCs w:val="20"/>
          <w:lang w:eastAsia="es-CR"/>
        </w:rPr>
        <w:t xml:space="preserve"> día de hoy</w:t>
      </w:r>
      <w:r>
        <w:rPr>
          <w:rFonts w:ascii="Verdana" w:hAnsi="Verdana"/>
          <w:sz w:val="20"/>
          <w:szCs w:val="20"/>
          <w:lang w:val="es-PR"/>
        </w:rPr>
        <w:t>.</w:t>
      </w:r>
    </w:p>
    <w:p w:rsidR="00106A1E" w:rsidRPr="00557137" w:rsidRDefault="00106A1E" w:rsidP="00106A1E">
      <w:pPr>
        <w:pStyle w:val="ListParagraph"/>
        <w:autoSpaceDE w:val="0"/>
        <w:autoSpaceDN w:val="0"/>
        <w:adjustRightInd w:val="0"/>
        <w:spacing w:after="0" w:line="240" w:lineRule="auto"/>
        <w:ind w:left="0"/>
        <w:jc w:val="both"/>
        <w:rPr>
          <w:rFonts w:ascii="Verdana" w:hAnsi="Verdana" w:cs="Arial"/>
          <w:sz w:val="20"/>
          <w:szCs w:val="20"/>
          <w:lang w:eastAsia="es-CR"/>
        </w:rPr>
      </w:pPr>
    </w:p>
    <w:p w:rsidR="00106A1E" w:rsidRPr="001154F9"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Pr>
          <w:rFonts w:ascii="Verdana" w:hAnsi="Verdana"/>
          <w:sz w:val="20"/>
          <w:szCs w:val="20"/>
          <w:lang w:eastAsia="es-CR"/>
        </w:rPr>
        <w:t>En razón de todo lo anterior, l</w:t>
      </w:r>
      <w:r w:rsidRPr="002964A7">
        <w:rPr>
          <w:rFonts w:ascii="Verdana" w:hAnsi="Verdana"/>
          <w:sz w:val="20"/>
          <w:szCs w:val="20"/>
          <w:lang w:eastAsia="es-CR"/>
        </w:rPr>
        <w:t xml:space="preserve">a Corte </w:t>
      </w:r>
      <w:r>
        <w:rPr>
          <w:rFonts w:ascii="Verdana" w:hAnsi="Verdana"/>
          <w:sz w:val="20"/>
          <w:szCs w:val="20"/>
          <w:lang w:eastAsia="es-CR"/>
        </w:rPr>
        <w:t>considera</w:t>
      </w:r>
      <w:r w:rsidRPr="002964A7">
        <w:rPr>
          <w:rFonts w:ascii="Verdana" w:hAnsi="Verdana"/>
          <w:sz w:val="20"/>
          <w:szCs w:val="20"/>
          <w:lang w:eastAsia="es-CR"/>
        </w:rPr>
        <w:t xml:space="preserve"> que el Estado es responsable por la desaparición forzada de las 15 víctimas</w:t>
      </w:r>
      <w:r>
        <w:rPr>
          <w:rFonts w:ascii="Verdana" w:hAnsi="Verdana"/>
          <w:sz w:val="20"/>
          <w:szCs w:val="20"/>
          <w:lang w:eastAsia="es-CR"/>
        </w:rPr>
        <w:t xml:space="preserve"> de este caso:</w:t>
      </w:r>
      <w:r w:rsidRPr="002964A7">
        <w:rPr>
          <w:rFonts w:ascii="Verdana" w:hAnsi="Verdana"/>
          <w:sz w:val="20"/>
          <w:szCs w:val="20"/>
          <w:lang w:eastAsia="es-CR"/>
        </w:rPr>
        <w:t xml:space="preserve"> </w:t>
      </w:r>
      <w:r w:rsidRPr="007E4CBE">
        <w:rPr>
          <w:rFonts w:ascii="Verdana" w:hAnsi="Verdana"/>
          <w:sz w:val="20"/>
          <w:szCs w:val="20"/>
          <w:lang w:val="es-GT"/>
        </w:rPr>
        <w:t xml:space="preserve">Yesenia </w:t>
      </w:r>
      <w:r w:rsidRPr="007E4CBE">
        <w:rPr>
          <w:rFonts w:ascii="Verdana" w:hAnsi="Verdana" w:cs="Arial"/>
          <w:sz w:val="20"/>
          <w:szCs w:val="20"/>
          <w:lang w:val="es-GT"/>
        </w:rPr>
        <w:t>Osnayo Hilario</w:t>
      </w:r>
      <w:r w:rsidRPr="007E4CBE">
        <w:rPr>
          <w:rFonts w:ascii="Verdana" w:hAnsi="Verdana"/>
          <w:sz w:val="20"/>
          <w:szCs w:val="20"/>
          <w:lang w:val="es-GT"/>
        </w:rPr>
        <w:t xml:space="preserve">, Miriam </w:t>
      </w:r>
      <w:r w:rsidRPr="007E4CBE">
        <w:rPr>
          <w:rFonts w:ascii="Verdana" w:hAnsi="Verdana" w:cs="Arial"/>
          <w:sz w:val="20"/>
          <w:szCs w:val="20"/>
          <w:lang w:val="es-GT"/>
        </w:rPr>
        <w:t>Osnayo Hilario,</w:t>
      </w:r>
      <w:r w:rsidRPr="007E4CBE">
        <w:rPr>
          <w:rFonts w:ascii="Verdana" w:hAnsi="Verdana"/>
          <w:sz w:val="20"/>
          <w:szCs w:val="20"/>
          <w:lang w:val="es-GT"/>
        </w:rPr>
        <w:t xml:space="preserve"> </w:t>
      </w:r>
      <w:r w:rsidRPr="007E4CBE">
        <w:rPr>
          <w:rFonts w:ascii="Verdana" w:hAnsi="Verdana" w:cs="Arial"/>
          <w:sz w:val="20"/>
          <w:szCs w:val="20"/>
          <w:lang w:val="es-GT"/>
        </w:rPr>
        <w:t>Edith Osnayo Hilario</w:t>
      </w:r>
      <w:r w:rsidRPr="007E4CBE">
        <w:rPr>
          <w:rFonts w:ascii="Verdana" w:hAnsi="Verdana"/>
          <w:sz w:val="20"/>
          <w:szCs w:val="20"/>
          <w:lang w:val="es-GT"/>
        </w:rPr>
        <w:t>, Wilmer Hilario Carhuapoma, Alex Jorge Hilario, Raúl Hilario Guillén, Héctor Hilario Guillén, Francisco Hilario Torres</w:t>
      </w:r>
      <w:r w:rsidRPr="007E4CBE">
        <w:rPr>
          <w:rFonts w:ascii="Verdana" w:hAnsi="Verdana"/>
          <w:sz w:val="20"/>
          <w:szCs w:val="20"/>
        </w:rPr>
        <w:t xml:space="preserve">, </w:t>
      </w:r>
      <w:r w:rsidRPr="007E4CBE">
        <w:rPr>
          <w:rFonts w:ascii="Verdana" w:hAnsi="Verdana"/>
          <w:sz w:val="20"/>
          <w:szCs w:val="20"/>
          <w:lang w:val="es-GT"/>
        </w:rPr>
        <w:t>Mercedes Carhuapoma de la Cruz</w:t>
      </w:r>
      <w:r w:rsidRPr="007E4CBE">
        <w:rPr>
          <w:rFonts w:ascii="Verdana" w:hAnsi="Verdana" w:cs="Arial"/>
          <w:sz w:val="20"/>
          <w:szCs w:val="20"/>
          <w:lang w:val="es-GT"/>
        </w:rPr>
        <w:t>,</w:t>
      </w:r>
      <w:r w:rsidRPr="007E4CBE">
        <w:rPr>
          <w:rFonts w:ascii="Verdana" w:hAnsi="Verdana"/>
          <w:sz w:val="20"/>
          <w:szCs w:val="20"/>
          <w:lang w:val="es-GT"/>
        </w:rPr>
        <w:t xml:space="preserve"> Dionicia Quispe Mallqui, Antonia Hilario Quispe, Magdalena Hilario Quispe, </w:t>
      </w:r>
      <w:r w:rsidRPr="007E4CBE">
        <w:rPr>
          <w:rFonts w:ascii="Verdana" w:hAnsi="Verdana" w:cs="Arial"/>
          <w:sz w:val="20"/>
          <w:szCs w:val="20"/>
          <w:lang w:val="es-GT"/>
        </w:rPr>
        <w:t>Dionicia Guillén Riveros</w:t>
      </w:r>
      <w:r w:rsidRPr="007E4CBE">
        <w:rPr>
          <w:rFonts w:ascii="Verdana" w:hAnsi="Verdana"/>
          <w:sz w:val="20"/>
          <w:szCs w:val="20"/>
          <w:lang w:val="es-GT"/>
        </w:rPr>
        <w:t>, Ramón Hilario Morán y Elihoref Huamaní Vergara.</w:t>
      </w:r>
    </w:p>
    <w:p w:rsidR="00106A1E" w:rsidRPr="00E23350" w:rsidRDefault="00106A1E" w:rsidP="005A256C">
      <w:pPr>
        <w:pStyle w:val="Heading3"/>
        <w:spacing w:line="240" w:lineRule="auto"/>
        <w:jc w:val="both"/>
        <w:rPr>
          <w:rFonts w:cs="Verdana"/>
          <w:caps/>
          <w:snapToGrid w:val="0"/>
          <w:kern w:val="32"/>
          <w:lang w:eastAsia="es-CR"/>
        </w:rPr>
      </w:pPr>
      <w:bookmarkStart w:id="182" w:name="_Toc423102545"/>
      <w:bookmarkStart w:id="183" w:name="_Toc433387498"/>
      <w:r w:rsidRPr="00E23350">
        <w:rPr>
          <w:rFonts w:cs="Verdana"/>
          <w:caps/>
          <w:snapToGrid w:val="0"/>
          <w:kern w:val="32"/>
          <w:lang w:eastAsia="es-CR"/>
        </w:rPr>
        <w:t xml:space="preserve">D. </w:t>
      </w:r>
      <w:r w:rsidRPr="00E23350">
        <w:rPr>
          <w:lang w:eastAsia="es-CR"/>
        </w:rPr>
        <w:t>Violaciones alegadas de los artículos 7, 5.1, 5.2, 4.1, 3, 11, 17 y 19 de la Convención Americana, en virtud de las desapariciones forzadas</w:t>
      </w:r>
      <w:bookmarkEnd w:id="182"/>
      <w:bookmarkEnd w:id="183"/>
    </w:p>
    <w:p w:rsidR="00106A1E" w:rsidRPr="002964A7" w:rsidRDefault="00106A1E" w:rsidP="00106A1E">
      <w:pPr>
        <w:autoSpaceDE w:val="0"/>
        <w:autoSpaceDN w:val="0"/>
        <w:adjustRightInd w:val="0"/>
        <w:spacing w:after="0" w:line="240" w:lineRule="auto"/>
        <w:jc w:val="both"/>
        <w:rPr>
          <w:rFonts w:ascii="Verdana" w:hAnsi="Verdana" w:cs="Arial"/>
          <w:sz w:val="20"/>
          <w:szCs w:val="20"/>
          <w:lang w:eastAsia="es-CR"/>
        </w:rPr>
      </w:pPr>
    </w:p>
    <w:p w:rsidR="00106A1E" w:rsidRPr="00385BF5"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2964A7">
        <w:rPr>
          <w:rFonts w:ascii="Verdana" w:hAnsi="Verdana"/>
          <w:bCs/>
          <w:sz w:val="20"/>
          <w:szCs w:val="20"/>
          <w:lang w:val="es-AR" w:eastAsia="es-CR"/>
        </w:rPr>
        <w:t>En</w:t>
      </w:r>
      <w:r w:rsidRPr="002964A7">
        <w:rPr>
          <w:rFonts w:ascii="Verdana" w:hAnsi="Verdana" w:cs="Times"/>
          <w:sz w:val="20"/>
          <w:szCs w:val="20"/>
          <w:lang w:eastAsia="es-CR"/>
        </w:rPr>
        <w:t xml:space="preserve"> el presente caso, l</w:t>
      </w:r>
      <w:r w:rsidRPr="002964A7">
        <w:rPr>
          <w:rFonts w:ascii="Verdana" w:hAnsi="Verdana"/>
          <w:sz w:val="20"/>
          <w:szCs w:val="20"/>
          <w:lang w:eastAsia="es-CR"/>
        </w:rPr>
        <w:t>a Corte observa que la detención inicial de l</w:t>
      </w:r>
      <w:r>
        <w:rPr>
          <w:rFonts w:ascii="Verdana" w:hAnsi="Verdana"/>
          <w:sz w:val="20"/>
          <w:szCs w:val="20"/>
          <w:lang w:eastAsia="es-CR"/>
        </w:rPr>
        <w:t>a</w:t>
      </w:r>
      <w:r w:rsidRPr="002964A7">
        <w:rPr>
          <w:rFonts w:ascii="Verdana" w:hAnsi="Verdana"/>
          <w:sz w:val="20"/>
          <w:szCs w:val="20"/>
          <w:lang w:eastAsia="es-CR"/>
        </w:rPr>
        <w:t xml:space="preserve">s 15 víctimas </w:t>
      </w:r>
      <w:r>
        <w:rPr>
          <w:rFonts w:ascii="Verdana" w:hAnsi="Verdana"/>
          <w:sz w:val="20"/>
          <w:szCs w:val="20"/>
          <w:lang w:eastAsia="es-CR"/>
        </w:rPr>
        <w:t>señaladas</w:t>
      </w:r>
      <w:r w:rsidRPr="002964A7">
        <w:rPr>
          <w:rFonts w:ascii="Verdana" w:hAnsi="Verdana"/>
          <w:sz w:val="20"/>
          <w:szCs w:val="20"/>
          <w:lang w:eastAsia="es-CR"/>
        </w:rPr>
        <w:t xml:space="preserve"> se </w:t>
      </w:r>
      <w:r w:rsidRPr="002964A7">
        <w:rPr>
          <w:rFonts w:ascii="Verdana" w:hAnsi="Verdana"/>
          <w:spacing w:val="-2"/>
          <w:sz w:val="20"/>
          <w:szCs w:val="20"/>
          <w:lang w:eastAsia="es-CR"/>
        </w:rPr>
        <w:t>realizó</w:t>
      </w:r>
      <w:r w:rsidRPr="002964A7">
        <w:rPr>
          <w:rFonts w:ascii="Verdana" w:hAnsi="Verdana"/>
          <w:sz w:val="20"/>
          <w:szCs w:val="20"/>
          <w:lang w:eastAsia="es-CR"/>
        </w:rPr>
        <w:t xml:space="preserve"> por parte de las fuerzas militares en el marco de un estado de emergencia y suspensión de garantías</w:t>
      </w:r>
      <w:r w:rsidRPr="002964A7">
        <w:rPr>
          <w:rFonts w:ascii="Verdana" w:hAnsi="Verdana" w:cs="Arial"/>
          <w:sz w:val="20"/>
          <w:szCs w:val="20"/>
          <w:lang w:eastAsia="es-CR"/>
        </w:rPr>
        <w:t xml:space="preserve"> </w:t>
      </w:r>
      <w:r w:rsidRPr="002964A7">
        <w:rPr>
          <w:rFonts w:ascii="Verdana" w:hAnsi="Verdana"/>
          <w:sz w:val="20"/>
          <w:szCs w:val="20"/>
          <w:lang w:eastAsia="es-CR"/>
        </w:rPr>
        <w:t>en el que</w:t>
      </w:r>
      <w:r w:rsidRPr="002964A7">
        <w:rPr>
          <w:rFonts w:ascii="Verdana" w:hAnsi="Verdana" w:cs="Arial"/>
          <w:sz w:val="20"/>
          <w:szCs w:val="20"/>
          <w:lang w:eastAsia="es-CR"/>
        </w:rPr>
        <w:t xml:space="preserve"> </w:t>
      </w:r>
      <w:r w:rsidRPr="002964A7">
        <w:rPr>
          <w:rFonts w:ascii="Verdana" w:hAnsi="Verdana"/>
          <w:sz w:val="20"/>
          <w:szCs w:val="20"/>
          <w:lang w:eastAsia="es-CR"/>
        </w:rPr>
        <w:t>las Fuerzas Armadas asumieron el control del orden interno en el Departamento</w:t>
      </w:r>
      <w:r w:rsidRPr="002964A7">
        <w:rPr>
          <w:rFonts w:ascii="Verdana" w:hAnsi="Verdana" w:cs="Arial"/>
          <w:sz w:val="20"/>
          <w:szCs w:val="20"/>
          <w:lang w:eastAsia="es-CR"/>
        </w:rPr>
        <w:t xml:space="preserve"> </w:t>
      </w:r>
      <w:r w:rsidRPr="002964A7">
        <w:rPr>
          <w:rFonts w:ascii="Verdana" w:hAnsi="Verdana"/>
          <w:sz w:val="20"/>
          <w:szCs w:val="20"/>
          <w:lang w:eastAsia="es-CR"/>
        </w:rPr>
        <w:t>de Huancavelica</w:t>
      </w:r>
      <w:r w:rsidRPr="002964A7">
        <w:rPr>
          <w:rFonts w:ascii="Verdana" w:hAnsi="Verdana" w:cs="Arial"/>
          <w:sz w:val="20"/>
          <w:szCs w:val="20"/>
          <w:lang w:eastAsia="es-CR"/>
        </w:rPr>
        <w:t xml:space="preserve"> </w:t>
      </w:r>
      <w:r w:rsidRPr="002964A7">
        <w:rPr>
          <w:rFonts w:ascii="Verdana" w:hAnsi="Verdana"/>
          <w:sz w:val="20"/>
          <w:szCs w:val="20"/>
          <w:lang w:eastAsia="es-CR"/>
        </w:rPr>
        <w:t>(</w:t>
      </w:r>
      <w:r w:rsidRPr="002964A7">
        <w:rPr>
          <w:rFonts w:ascii="Verdana" w:hAnsi="Verdana"/>
          <w:i/>
          <w:sz w:val="20"/>
          <w:szCs w:val="20"/>
          <w:lang w:eastAsia="es-CR"/>
        </w:rPr>
        <w:t xml:space="preserve">supra </w:t>
      </w:r>
      <w:r w:rsidRPr="002964A7">
        <w:rPr>
          <w:rFonts w:ascii="Verdana" w:hAnsi="Verdana"/>
          <w:sz w:val="20"/>
          <w:szCs w:val="20"/>
          <w:lang w:eastAsia="es-CR"/>
        </w:rPr>
        <w:t>párr</w:t>
      </w:r>
      <w:r>
        <w:rPr>
          <w:rFonts w:ascii="Verdana" w:hAnsi="Verdana"/>
          <w:sz w:val="20"/>
          <w:szCs w:val="20"/>
          <w:lang w:eastAsia="es-CR"/>
        </w:rPr>
        <w:t>s</w:t>
      </w:r>
      <w:r w:rsidRPr="002964A7">
        <w:rPr>
          <w:rFonts w:ascii="Verdana" w:hAnsi="Verdana"/>
          <w:sz w:val="20"/>
          <w:szCs w:val="20"/>
          <w:lang w:eastAsia="es-CR"/>
        </w:rPr>
        <w:t xml:space="preserve">. </w:t>
      </w:r>
      <w:r>
        <w:rPr>
          <w:rFonts w:ascii="Verdana" w:hAnsi="Verdana"/>
          <w:sz w:val="20"/>
          <w:szCs w:val="20"/>
          <w:lang w:eastAsia="es-CR"/>
        </w:rPr>
        <w:t>86 y 87</w:t>
      </w:r>
      <w:r w:rsidRPr="002964A7">
        <w:rPr>
          <w:rFonts w:ascii="Verdana" w:hAnsi="Verdana"/>
          <w:sz w:val="20"/>
          <w:szCs w:val="20"/>
          <w:lang w:eastAsia="es-CR"/>
        </w:rPr>
        <w:t xml:space="preserve">), y que dicha privación de libertad fue un paso previo para su desaparición. </w:t>
      </w:r>
      <w:r w:rsidRPr="00385BF5">
        <w:rPr>
          <w:rFonts w:ascii="Verdana" w:hAnsi="Verdana"/>
          <w:sz w:val="20"/>
          <w:szCs w:val="20"/>
          <w:lang w:eastAsia="es-CR"/>
        </w:rPr>
        <w:t>Para la Corte, su traslado a la mina sin ser puestos a disposición de la autoridad competente constituyó evidentemente un acto de abuso de poder que bajo ningún concepto puede ser entendido como el ejercicio de actividades militares para garantizar la seguridad nacional y mantener el orden público en el territorio nacional. Por ende, el Estado es responsable por la violación del artículo 7 de la Convención Americana, en relación con el artículo 1.1 de este instrumento, en perjuicio de l</w:t>
      </w:r>
      <w:r>
        <w:rPr>
          <w:rFonts w:ascii="Verdana" w:hAnsi="Verdana"/>
          <w:sz w:val="20"/>
          <w:szCs w:val="20"/>
          <w:lang w:eastAsia="es-CR"/>
        </w:rPr>
        <w:t>a</w:t>
      </w:r>
      <w:r w:rsidRPr="00385BF5">
        <w:rPr>
          <w:rFonts w:ascii="Verdana" w:hAnsi="Verdana"/>
          <w:sz w:val="20"/>
          <w:szCs w:val="20"/>
          <w:lang w:eastAsia="es-CR"/>
        </w:rPr>
        <w:t xml:space="preserve">s 15 víctimas </w:t>
      </w:r>
      <w:r>
        <w:rPr>
          <w:rFonts w:ascii="Verdana" w:hAnsi="Verdana"/>
          <w:sz w:val="20"/>
          <w:szCs w:val="20"/>
          <w:lang w:eastAsia="es-CR"/>
        </w:rPr>
        <w:t>señaladas (</w:t>
      </w:r>
      <w:r>
        <w:rPr>
          <w:rFonts w:ascii="Verdana" w:hAnsi="Verdana"/>
          <w:i/>
          <w:sz w:val="20"/>
          <w:szCs w:val="20"/>
          <w:lang w:eastAsia="es-CR"/>
        </w:rPr>
        <w:t xml:space="preserve">supra </w:t>
      </w:r>
      <w:r>
        <w:rPr>
          <w:rFonts w:ascii="Verdana" w:hAnsi="Verdana"/>
          <w:sz w:val="20"/>
          <w:szCs w:val="20"/>
          <w:lang w:eastAsia="es-CR"/>
        </w:rPr>
        <w:t>párr. 187)</w:t>
      </w:r>
      <w:r w:rsidRPr="00385BF5">
        <w:rPr>
          <w:rFonts w:ascii="Verdana" w:hAnsi="Verdana"/>
          <w:sz w:val="20"/>
          <w:szCs w:val="20"/>
          <w:lang w:eastAsia="es-CR"/>
        </w:rPr>
        <w:t>.</w:t>
      </w:r>
    </w:p>
    <w:p w:rsidR="00106A1E" w:rsidRPr="002964A7" w:rsidRDefault="00106A1E" w:rsidP="00106A1E">
      <w:pPr>
        <w:autoSpaceDE w:val="0"/>
        <w:autoSpaceDN w:val="0"/>
        <w:adjustRightInd w:val="0"/>
        <w:spacing w:after="0" w:line="240" w:lineRule="auto"/>
        <w:jc w:val="both"/>
        <w:rPr>
          <w:rFonts w:ascii="Verdana" w:eastAsia="Calibri" w:hAnsi="Verdana" w:cs="Arial"/>
          <w:sz w:val="20"/>
          <w:szCs w:val="20"/>
          <w:lang w:eastAsia="es-CR"/>
        </w:rPr>
      </w:pPr>
    </w:p>
    <w:p w:rsidR="00106A1E" w:rsidRPr="0034255F"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2964A7">
        <w:rPr>
          <w:rFonts w:ascii="Verdana" w:hAnsi="Verdana"/>
          <w:sz w:val="20"/>
          <w:szCs w:val="20"/>
          <w:lang w:eastAsia="es-CR"/>
        </w:rPr>
        <w:t>Ahora bien, al ser privadas de libertad</w:t>
      </w:r>
      <w:r>
        <w:rPr>
          <w:rFonts w:ascii="Verdana" w:hAnsi="Verdana"/>
          <w:sz w:val="20"/>
          <w:szCs w:val="20"/>
          <w:lang w:eastAsia="es-CR"/>
        </w:rPr>
        <w:t>, dichas</w:t>
      </w:r>
      <w:r w:rsidRPr="002964A7">
        <w:rPr>
          <w:rFonts w:ascii="Verdana" w:hAnsi="Verdana"/>
          <w:sz w:val="20"/>
          <w:szCs w:val="20"/>
          <w:lang w:eastAsia="es-CR"/>
        </w:rPr>
        <w:t xml:space="preserve"> víctimas fueron golpeadas y obligadas a caminar varias horas amarrad</w:t>
      </w:r>
      <w:r>
        <w:rPr>
          <w:rFonts w:ascii="Verdana" w:hAnsi="Verdana"/>
          <w:sz w:val="20"/>
          <w:szCs w:val="20"/>
          <w:lang w:eastAsia="es-CR"/>
        </w:rPr>
        <w:t>a</w:t>
      </w:r>
      <w:r w:rsidRPr="002964A7">
        <w:rPr>
          <w:rFonts w:ascii="Verdana" w:hAnsi="Verdana"/>
          <w:sz w:val="20"/>
          <w:szCs w:val="20"/>
          <w:lang w:eastAsia="es-CR"/>
        </w:rPr>
        <w:t xml:space="preserve">s y sin alimentos ni agua, además, fueron introducidas en el socavón de la mina previamente a su eliminación </w:t>
      </w:r>
      <w:r w:rsidRPr="002964A7">
        <w:rPr>
          <w:rFonts w:ascii="Verdana" w:hAnsi="Verdana"/>
          <w:spacing w:val="-2"/>
          <w:sz w:val="20"/>
          <w:szCs w:val="20"/>
          <w:lang w:eastAsia="es-CR"/>
        </w:rPr>
        <w:t>(</w:t>
      </w:r>
      <w:r w:rsidRPr="002964A7">
        <w:rPr>
          <w:rFonts w:ascii="Verdana" w:hAnsi="Verdana"/>
          <w:i/>
          <w:spacing w:val="-2"/>
          <w:sz w:val="20"/>
          <w:szCs w:val="20"/>
          <w:lang w:eastAsia="es-CR"/>
        </w:rPr>
        <w:t>supra</w:t>
      </w:r>
      <w:r w:rsidRPr="002964A7">
        <w:rPr>
          <w:rFonts w:ascii="Verdana" w:hAnsi="Verdana"/>
          <w:spacing w:val="-2"/>
          <w:sz w:val="20"/>
          <w:szCs w:val="20"/>
          <w:lang w:eastAsia="es-CR"/>
        </w:rPr>
        <w:t xml:space="preserve"> párr. </w:t>
      </w:r>
      <w:r>
        <w:rPr>
          <w:rFonts w:ascii="Verdana" w:hAnsi="Verdana"/>
          <w:spacing w:val="-2"/>
          <w:sz w:val="20"/>
          <w:szCs w:val="20"/>
          <w:lang w:eastAsia="es-CR"/>
        </w:rPr>
        <w:t>91</w:t>
      </w:r>
      <w:r w:rsidRPr="002964A7">
        <w:rPr>
          <w:rFonts w:ascii="Verdana" w:hAnsi="Verdana"/>
          <w:spacing w:val="-2"/>
          <w:sz w:val="20"/>
          <w:szCs w:val="20"/>
          <w:lang w:eastAsia="es-CR"/>
        </w:rPr>
        <w:t>)</w:t>
      </w:r>
      <w:r w:rsidRPr="002964A7">
        <w:rPr>
          <w:rFonts w:ascii="Verdana" w:hAnsi="Verdana"/>
          <w:sz w:val="20"/>
          <w:szCs w:val="20"/>
          <w:lang w:eastAsia="es-CR"/>
        </w:rPr>
        <w:t>, colocándoseles en una grave situación de vulnerabilidad. Cabe señalar que este hecho pudo generar en las niñas y niños sentimientos de pérdida, intenso temor, incertidumbre, angustia y dolor, los cuales pudieron variar e intensificarse dependiendo de la edad y las circunstancias particulares</w:t>
      </w:r>
      <w:r>
        <w:rPr>
          <w:rFonts w:ascii="Verdana" w:hAnsi="Verdana"/>
          <w:sz w:val="20"/>
          <w:szCs w:val="20"/>
          <w:lang w:eastAsia="es-CR"/>
        </w:rPr>
        <w:t xml:space="preserve"> de cada uno</w:t>
      </w:r>
      <w:r w:rsidRPr="002964A7">
        <w:rPr>
          <w:rFonts w:ascii="Verdana" w:hAnsi="Verdana" w:cs="Times"/>
          <w:sz w:val="20"/>
          <w:szCs w:val="20"/>
          <w:lang w:eastAsia="es-CR"/>
        </w:rPr>
        <w:t xml:space="preserve">. </w:t>
      </w:r>
      <w:r w:rsidRPr="002964A7">
        <w:rPr>
          <w:rFonts w:ascii="Verdana" w:hAnsi="Verdana"/>
          <w:sz w:val="20"/>
          <w:szCs w:val="20"/>
          <w:lang w:eastAsia="es-CR"/>
        </w:rPr>
        <w:t>En razón de lo anterior,</w:t>
      </w:r>
      <w:r w:rsidRPr="002964A7">
        <w:rPr>
          <w:rFonts w:ascii="Verdana" w:hAnsi="Verdana"/>
          <w:bCs/>
          <w:sz w:val="20"/>
          <w:szCs w:val="20"/>
          <w:lang w:eastAsia="es-CR"/>
        </w:rPr>
        <w:t xml:space="preserve"> el Tribunal considera que las víctimas sufrieron un trato contrario a la dignidad inherente al ser humano mientras se encontraban bajo custodia estatal</w:t>
      </w:r>
      <w:r w:rsidRPr="002964A7">
        <w:rPr>
          <w:rFonts w:ascii="Verdana" w:hAnsi="Verdana"/>
          <w:sz w:val="20"/>
          <w:szCs w:val="20"/>
          <w:lang w:eastAsia="es-CR"/>
        </w:rPr>
        <w:t xml:space="preserve"> </w:t>
      </w:r>
      <w:r>
        <w:rPr>
          <w:rFonts w:ascii="Verdana" w:hAnsi="Verdana"/>
          <w:sz w:val="20"/>
          <w:szCs w:val="20"/>
          <w:lang w:eastAsia="es-CR"/>
        </w:rPr>
        <w:t xml:space="preserve">que </w:t>
      </w:r>
      <w:r w:rsidRPr="002964A7">
        <w:rPr>
          <w:rFonts w:ascii="Verdana" w:hAnsi="Verdana" w:cs="Times"/>
          <w:sz w:val="20"/>
          <w:szCs w:val="20"/>
          <w:lang w:eastAsia="es-CR"/>
        </w:rPr>
        <w:t>produjo una afectación a su integridad psíquica, física y moral.</w:t>
      </w:r>
      <w:r w:rsidRPr="002964A7">
        <w:rPr>
          <w:rFonts w:ascii="Verdana" w:hAnsi="Verdana"/>
          <w:sz w:val="20"/>
          <w:szCs w:val="20"/>
          <w:lang w:eastAsia="es-CR"/>
        </w:rPr>
        <w:t xml:space="preserve"> Asimismo,</w:t>
      </w:r>
      <w:r w:rsidRPr="002964A7">
        <w:rPr>
          <w:rFonts w:ascii="Verdana" w:hAnsi="Verdana"/>
          <w:bCs/>
          <w:sz w:val="20"/>
          <w:szCs w:val="20"/>
          <w:lang w:eastAsia="es-CR"/>
        </w:rPr>
        <w:t xml:space="preserve"> </w:t>
      </w:r>
      <w:r w:rsidRPr="002964A7">
        <w:rPr>
          <w:rFonts w:ascii="Verdana" w:hAnsi="Verdana"/>
          <w:spacing w:val="-2"/>
          <w:sz w:val="20"/>
          <w:szCs w:val="20"/>
          <w:lang w:eastAsia="es-CR"/>
        </w:rPr>
        <w:t>dichos actos constituyeron formas de tortura</w:t>
      </w:r>
      <w:r w:rsidRPr="002964A7">
        <w:rPr>
          <w:rFonts w:ascii="Verdana" w:hAnsi="Verdana"/>
          <w:bCs/>
          <w:sz w:val="20"/>
          <w:szCs w:val="20"/>
          <w:lang w:eastAsia="es-CR"/>
        </w:rPr>
        <w:t xml:space="preserve"> debido a que </w:t>
      </w:r>
      <w:r w:rsidRPr="002964A7">
        <w:rPr>
          <w:rFonts w:ascii="Verdana" w:hAnsi="Verdana"/>
          <w:spacing w:val="-2"/>
          <w:sz w:val="20"/>
          <w:szCs w:val="20"/>
          <w:lang w:eastAsia="es-CR"/>
        </w:rPr>
        <w:t>fueron cometidos intencionalmente, que provocaron severos sufrimientos, incluso debido a</w:t>
      </w:r>
      <w:r w:rsidRPr="002964A7">
        <w:rPr>
          <w:rFonts w:ascii="Verdana" w:hAnsi="Verdana"/>
          <w:sz w:val="20"/>
          <w:szCs w:val="20"/>
          <w:lang w:eastAsia="es-CR"/>
        </w:rPr>
        <w:t xml:space="preserve"> la incertidumbre de lo que les podía suceder y el profundo temor de que podrían ser privados de su vida de manera violenta, como en efecto ocurrió, siendo </w:t>
      </w:r>
      <w:r>
        <w:rPr>
          <w:rFonts w:ascii="Verdana" w:hAnsi="Verdana"/>
          <w:sz w:val="20"/>
          <w:szCs w:val="20"/>
          <w:lang w:eastAsia="es-CR"/>
        </w:rPr>
        <w:t>la privación de la vida</w:t>
      </w:r>
      <w:r w:rsidRPr="002964A7">
        <w:rPr>
          <w:rFonts w:ascii="Verdana" w:hAnsi="Verdana"/>
          <w:sz w:val="20"/>
          <w:szCs w:val="20"/>
          <w:lang w:eastAsia="es-CR"/>
        </w:rPr>
        <w:t xml:space="preserve"> la </w:t>
      </w:r>
      <w:r w:rsidRPr="002964A7">
        <w:rPr>
          <w:rFonts w:ascii="Verdana" w:hAnsi="Verdana"/>
          <w:spacing w:val="-2"/>
          <w:sz w:val="20"/>
          <w:szCs w:val="20"/>
          <w:lang w:eastAsia="es-CR"/>
        </w:rPr>
        <w:t xml:space="preserve">finalidad de dichos actos. Por tanto, la Corte determina que el Estado es responsable por la violación del derecho a la integridad personal, reconocido en los artículos </w:t>
      </w:r>
      <w:r w:rsidRPr="002964A7">
        <w:rPr>
          <w:rFonts w:ascii="Verdana" w:hAnsi="Verdana" w:cs="Times"/>
          <w:sz w:val="20"/>
          <w:szCs w:val="20"/>
          <w:lang w:eastAsia="es-CR"/>
        </w:rPr>
        <w:t>5.1 y 5.2 de la Convención Americana,</w:t>
      </w:r>
      <w:r w:rsidRPr="002964A7">
        <w:rPr>
          <w:rFonts w:ascii="Verdana" w:hAnsi="Verdana"/>
          <w:sz w:val="20"/>
          <w:szCs w:val="20"/>
          <w:lang w:eastAsia="es-CR"/>
        </w:rPr>
        <w:t xml:space="preserve"> en relación con el artículo 1.1 del mismo instrumento, en perjuicio de las 15 víctimas</w:t>
      </w:r>
      <w:r>
        <w:rPr>
          <w:rFonts w:ascii="Verdana" w:hAnsi="Verdana"/>
          <w:sz w:val="20"/>
          <w:szCs w:val="20"/>
          <w:lang w:eastAsia="es-CR"/>
        </w:rPr>
        <w:t xml:space="preserve"> señaladas</w:t>
      </w:r>
      <w:r w:rsidRPr="002964A7">
        <w:rPr>
          <w:rFonts w:ascii="Verdana" w:hAnsi="Verdana"/>
          <w:sz w:val="20"/>
          <w:szCs w:val="20"/>
          <w:lang w:eastAsia="es-CR"/>
        </w:rPr>
        <w:t xml:space="preserve"> </w:t>
      </w:r>
      <w:r>
        <w:rPr>
          <w:rFonts w:ascii="Verdana" w:hAnsi="Verdana"/>
          <w:sz w:val="20"/>
          <w:szCs w:val="20"/>
          <w:lang w:eastAsia="es-CR"/>
        </w:rPr>
        <w:t>(</w:t>
      </w:r>
      <w:r>
        <w:rPr>
          <w:rFonts w:ascii="Verdana" w:hAnsi="Verdana"/>
          <w:i/>
          <w:sz w:val="20"/>
          <w:szCs w:val="20"/>
          <w:lang w:eastAsia="es-CR"/>
        </w:rPr>
        <w:t xml:space="preserve">supra </w:t>
      </w:r>
      <w:r>
        <w:rPr>
          <w:rFonts w:ascii="Verdana" w:hAnsi="Verdana"/>
          <w:sz w:val="20"/>
          <w:szCs w:val="20"/>
          <w:lang w:eastAsia="es-CR"/>
        </w:rPr>
        <w:t>párr. 187)</w:t>
      </w:r>
      <w:r w:rsidRPr="002964A7">
        <w:rPr>
          <w:rFonts w:ascii="Verdana" w:hAnsi="Verdana" w:cs="Times"/>
          <w:sz w:val="20"/>
          <w:szCs w:val="20"/>
          <w:lang w:eastAsia="es-CR"/>
        </w:rPr>
        <w:t>.</w:t>
      </w:r>
    </w:p>
    <w:p w:rsidR="00106A1E" w:rsidRPr="0034255F" w:rsidRDefault="00106A1E" w:rsidP="00106A1E">
      <w:pPr>
        <w:autoSpaceDE w:val="0"/>
        <w:autoSpaceDN w:val="0"/>
        <w:adjustRightInd w:val="0"/>
        <w:spacing w:after="0" w:line="240" w:lineRule="auto"/>
        <w:jc w:val="both"/>
        <w:rPr>
          <w:rFonts w:ascii="Verdana" w:eastAsia="Calibri" w:hAnsi="Verdana" w:cs="Arial"/>
          <w:sz w:val="20"/>
          <w:szCs w:val="20"/>
          <w:lang w:eastAsia="es-CR"/>
        </w:rPr>
      </w:pPr>
    </w:p>
    <w:p w:rsidR="00106A1E" w:rsidRPr="0034255F"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34255F">
        <w:rPr>
          <w:rFonts w:ascii="Verdana" w:hAnsi="Verdana"/>
          <w:sz w:val="20"/>
          <w:szCs w:val="20"/>
          <w:lang w:eastAsia="es-CR"/>
        </w:rPr>
        <w:lastRenderedPageBreak/>
        <w:t xml:space="preserve">Asimismo, este Tribunal concluye que el Estado es responsable de la violación del artículo 4.1 </w:t>
      </w:r>
      <w:r w:rsidRPr="0034255F">
        <w:rPr>
          <w:rFonts w:ascii="Verdana" w:hAnsi="Verdana" w:cs="Times"/>
          <w:sz w:val="20"/>
          <w:szCs w:val="20"/>
          <w:lang w:eastAsia="es-CR"/>
        </w:rPr>
        <w:t xml:space="preserve">de la </w:t>
      </w:r>
      <w:r w:rsidRPr="0034255F">
        <w:rPr>
          <w:rFonts w:ascii="Verdana" w:hAnsi="Verdana"/>
          <w:sz w:val="20"/>
          <w:szCs w:val="20"/>
          <w:lang w:eastAsia="es-CR"/>
        </w:rPr>
        <w:t>Convención</w:t>
      </w:r>
      <w:r w:rsidRPr="0034255F">
        <w:rPr>
          <w:rFonts w:ascii="Verdana" w:hAnsi="Verdana" w:cs="Times"/>
          <w:sz w:val="20"/>
          <w:szCs w:val="20"/>
          <w:lang w:eastAsia="es-CR"/>
        </w:rPr>
        <w:t xml:space="preserve"> </w:t>
      </w:r>
      <w:r w:rsidRPr="0034255F">
        <w:rPr>
          <w:rFonts w:ascii="Verdana" w:hAnsi="Verdana"/>
          <w:spacing w:val="-2"/>
          <w:sz w:val="20"/>
          <w:szCs w:val="20"/>
          <w:lang w:eastAsia="es-CR"/>
        </w:rPr>
        <w:t>Americana</w:t>
      </w:r>
      <w:r w:rsidRPr="0034255F">
        <w:rPr>
          <w:rFonts w:ascii="Verdana" w:hAnsi="Verdana" w:cs="Times"/>
          <w:sz w:val="20"/>
          <w:szCs w:val="20"/>
          <w:lang w:eastAsia="es-CR"/>
        </w:rPr>
        <w:t>,</w:t>
      </w:r>
      <w:r w:rsidRPr="0034255F">
        <w:rPr>
          <w:rFonts w:ascii="Verdana" w:hAnsi="Verdana"/>
          <w:sz w:val="20"/>
          <w:szCs w:val="20"/>
          <w:lang w:eastAsia="es-CR"/>
        </w:rPr>
        <w:t xml:space="preserve"> en relación con el artículo 1.1 del mismo instrumento, en perjuicio de los 15 pobladores civiles que fueron introducidos</w:t>
      </w:r>
      <w:r w:rsidRPr="0034255F">
        <w:rPr>
          <w:rFonts w:ascii="Verdana" w:hAnsi="Verdana"/>
          <w:iCs/>
          <w:sz w:val="20"/>
          <w:szCs w:val="20"/>
          <w:lang w:eastAsia="es-CR"/>
        </w:rPr>
        <w:t xml:space="preserve"> y acribillados en la mina </w:t>
      </w:r>
      <w:r w:rsidRPr="0034255F">
        <w:rPr>
          <w:rFonts w:ascii="Verdana" w:hAnsi="Verdana"/>
          <w:sz w:val="20"/>
          <w:szCs w:val="20"/>
          <w:lang w:eastAsia="es-CR"/>
        </w:rPr>
        <w:t>“Misteriosa” o “Vallarón”</w:t>
      </w:r>
      <w:r w:rsidRPr="0034255F">
        <w:rPr>
          <w:rFonts w:ascii="Verdana" w:hAnsi="Verdana"/>
          <w:iCs/>
          <w:sz w:val="20"/>
          <w:szCs w:val="20"/>
          <w:lang w:eastAsia="es-CR"/>
        </w:rPr>
        <w:t xml:space="preserve"> y sus cuerpos dinamitados</w:t>
      </w:r>
      <w:r w:rsidRPr="0034255F">
        <w:rPr>
          <w:rFonts w:ascii="Verdana" w:hAnsi="Verdana"/>
          <w:sz w:val="20"/>
          <w:szCs w:val="20"/>
          <w:lang w:eastAsia="es-CR"/>
        </w:rPr>
        <w:t xml:space="preserve">. </w:t>
      </w:r>
      <w:r>
        <w:rPr>
          <w:rFonts w:ascii="Verdana" w:hAnsi="Verdana" w:cs="Arial"/>
          <w:sz w:val="20"/>
          <w:szCs w:val="20"/>
          <w:lang w:eastAsia="es-CR"/>
        </w:rPr>
        <w:t>Asimismo, la Corte considera que</w:t>
      </w:r>
      <w:r w:rsidRPr="0034255F">
        <w:rPr>
          <w:rFonts w:ascii="Verdana" w:hAnsi="Verdana" w:cs="Arial"/>
          <w:sz w:val="20"/>
          <w:szCs w:val="20"/>
          <w:lang w:eastAsia="es-CR"/>
        </w:rPr>
        <w:t xml:space="preserve"> </w:t>
      </w:r>
      <w:r w:rsidRPr="0034255F">
        <w:rPr>
          <w:rFonts w:ascii="Verdana" w:hAnsi="Verdana"/>
          <w:sz w:val="20"/>
          <w:szCs w:val="20"/>
          <w:lang w:eastAsia="es-CR"/>
        </w:rPr>
        <w:t xml:space="preserve">esta violación se vio agravada respecto de </w:t>
      </w:r>
      <w:r>
        <w:rPr>
          <w:rFonts w:ascii="Verdana" w:hAnsi="Verdana"/>
          <w:sz w:val="20"/>
          <w:szCs w:val="20"/>
          <w:lang w:eastAsia="es-CR"/>
        </w:rPr>
        <w:t>las siete niñas y niños</w:t>
      </w:r>
      <w:r w:rsidRPr="0034255F">
        <w:rPr>
          <w:rFonts w:ascii="Verdana" w:hAnsi="Verdana"/>
          <w:sz w:val="20"/>
          <w:szCs w:val="20"/>
          <w:lang w:eastAsia="es-CR"/>
        </w:rPr>
        <w:t>, así como de la mujer que se encontraba embarazada.</w:t>
      </w:r>
      <w:r w:rsidRPr="0034255F">
        <w:rPr>
          <w:rFonts w:ascii="Verdana" w:hAnsi="Verdana" w:cs="Arial"/>
          <w:sz w:val="20"/>
          <w:szCs w:val="20"/>
          <w:lang w:eastAsia="es-CR"/>
        </w:rPr>
        <w:t xml:space="preserve"> </w:t>
      </w:r>
      <w:r w:rsidRPr="0034255F">
        <w:rPr>
          <w:rFonts w:ascii="Verdana" w:hAnsi="Verdana"/>
          <w:sz w:val="20"/>
          <w:szCs w:val="20"/>
          <w:lang w:eastAsia="es-CR"/>
        </w:rPr>
        <w:t xml:space="preserve">Respecto a la alegada violación del artículo 3 de la Convención y </w:t>
      </w:r>
      <w:r w:rsidRPr="0034255F">
        <w:rPr>
          <w:rFonts w:ascii="Verdana" w:hAnsi="Verdana" w:cs="Verdana"/>
          <w:sz w:val="20"/>
          <w:szCs w:val="20"/>
          <w:lang w:eastAsia="es-CR"/>
        </w:rPr>
        <w:t>de acuerdo con la jurisprudencia reciente de la Corte</w:t>
      </w:r>
      <w:r w:rsidRPr="0034255F">
        <w:rPr>
          <w:rFonts w:ascii="Verdana" w:hAnsi="Verdana" w:cs="Verdana"/>
          <w:bCs/>
          <w:sz w:val="20"/>
          <w:szCs w:val="20"/>
          <w:vertAlign w:val="superscript"/>
          <w:lang w:eastAsia="es-CR"/>
        </w:rPr>
        <w:footnoteReference w:id="216"/>
      </w:r>
      <w:r w:rsidRPr="0034255F">
        <w:rPr>
          <w:rFonts w:ascii="Verdana" w:hAnsi="Verdana" w:cs="Verdana"/>
          <w:sz w:val="20"/>
          <w:szCs w:val="20"/>
          <w:lang w:eastAsia="es-CR"/>
        </w:rPr>
        <w:t>, en el presente caso, el Tribunal considera que las 15 víctimas</w:t>
      </w:r>
      <w:r w:rsidRPr="00203353">
        <w:rPr>
          <w:rFonts w:ascii="Verdana" w:eastAsia="Times New Roman" w:hAnsi="Verdana" w:cs="Times New Roman"/>
          <w:sz w:val="20"/>
          <w:szCs w:val="20"/>
          <w:lang w:eastAsia="es-CR"/>
        </w:rPr>
        <w:t xml:space="preserve"> </w:t>
      </w:r>
      <w:r w:rsidRPr="00203353">
        <w:rPr>
          <w:rFonts w:ascii="Verdana" w:hAnsi="Verdana" w:cs="Verdana"/>
          <w:sz w:val="20"/>
          <w:szCs w:val="20"/>
          <w:lang w:eastAsia="es-CR"/>
        </w:rPr>
        <w:t>señaladas (</w:t>
      </w:r>
      <w:r w:rsidRPr="00203353">
        <w:rPr>
          <w:rFonts w:ascii="Verdana" w:hAnsi="Verdana" w:cs="Verdana"/>
          <w:i/>
          <w:sz w:val="20"/>
          <w:szCs w:val="20"/>
          <w:lang w:eastAsia="es-CR"/>
        </w:rPr>
        <w:t xml:space="preserve">supra </w:t>
      </w:r>
      <w:r w:rsidRPr="00203353">
        <w:rPr>
          <w:rFonts w:ascii="Verdana" w:hAnsi="Verdana" w:cs="Verdana"/>
          <w:sz w:val="20"/>
          <w:szCs w:val="20"/>
          <w:lang w:eastAsia="es-CR"/>
        </w:rPr>
        <w:t>párr. 187)</w:t>
      </w:r>
      <w:r w:rsidRPr="0034255F">
        <w:rPr>
          <w:rFonts w:ascii="Verdana" w:hAnsi="Verdana" w:cs="Verdana"/>
          <w:sz w:val="20"/>
          <w:szCs w:val="20"/>
          <w:lang w:eastAsia="es-CR"/>
        </w:rPr>
        <w:t xml:space="preserve"> fueron puestas en una situación de indeterminación jurídica, que impidió su posibilidad de ser titulares o ejercer en forma efectiva sus derechos en general, por lo cual conllevó una violación de su derecho al reconocimiento de la personalidad jurídica.</w:t>
      </w:r>
    </w:p>
    <w:p w:rsidR="00106A1E" w:rsidRPr="0034255F" w:rsidRDefault="00106A1E" w:rsidP="00106A1E">
      <w:pPr>
        <w:pStyle w:val="ListParagraph"/>
        <w:jc w:val="both"/>
        <w:rPr>
          <w:rFonts w:ascii="Verdana" w:hAnsi="Verdana" w:cs="Arial"/>
          <w:sz w:val="20"/>
          <w:szCs w:val="20"/>
          <w:lang w:eastAsia="es-CR"/>
        </w:rPr>
      </w:pPr>
    </w:p>
    <w:p w:rsidR="00106A1E" w:rsidRPr="00CB2948"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Pr>
          <w:rFonts w:ascii="Verdana" w:hAnsi="Verdana" w:cs="Arial"/>
          <w:sz w:val="20"/>
          <w:szCs w:val="20"/>
          <w:lang w:eastAsia="es-CR"/>
        </w:rPr>
        <w:t>Por otra parte</w:t>
      </w:r>
      <w:r>
        <w:rPr>
          <w:rFonts w:ascii="Verdana" w:hAnsi="Verdana"/>
          <w:sz w:val="20"/>
          <w:szCs w:val="20"/>
        </w:rPr>
        <w:t>, e</w:t>
      </w:r>
      <w:r w:rsidRPr="0034255F">
        <w:rPr>
          <w:rFonts w:ascii="Verdana" w:hAnsi="Verdana"/>
          <w:sz w:val="20"/>
          <w:szCs w:val="20"/>
        </w:rPr>
        <w:t xml:space="preserve">l </w:t>
      </w:r>
      <w:r w:rsidRPr="0034255F">
        <w:rPr>
          <w:rFonts w:ascii="Verdana" w:hAnsi="Verdana"/>
          <w:sz w:val="20"/>
          <w:szCs w:val="20"/>
          <w:lang w:val="es-EC"/>
        </w:rPr>
        <w:t>Tribunal</w:t>
      </w:r>
      <w:r w:rsidRPr="0034255F">
        <w:rPr>
          <w:rFonts w:ascii="Verdana" w:hAnsi="Verdana"/>
          <w:sz w:val="20"/>
          <w:szCs w:val="20"/>
        </w:rPr>
        <w:t xml:space="preserve"> reitera que revisten especial gravedad los casos en los cuales las víctimas de violaciones a los derechos humanos son </w:t>
      </w:r>
      <w:r w:rsidRPr="002964A7">
        <w:rPr>
          <w:rFonts w:ascii="Verdana" w:hAnsi="Verdana"/>
          <w:sz w:val="20"/>
          <w:szCs w:val="20"/>
          <w:lang w:val="es-ES"/>
        </w:rPr>
        <w:t>niñ</w:t>
      </w:r>
      <w:r>
        <w:rPr>
          <w:rFonts w:ascii="Verdana" w:hAnsi="Verdana"/>
          <w:sz w:val="20"/>
          <w:szCs w:val="20"/>
          <w:lang w:val="es-ES"/>
        </w:rPr>
        <w:t>a</w:t>
      </w:r>
      <w:r w:rsidRPr="002964A7">
        <w:rPr>
          <w:rFonts w:ascii="Verdana" w:hAnsi="Verdana"/>
          <w:sz w:val="20"/>
          <w:szCs w:val="20"/>
          <w:lang w:val="es-ES"/>
        </w:rPr>
        <w:t>s y niñ</w:t>
      </w:r>
      <w:r>
        <w:rPr>
          <w:rFonts w:ascii="Verdana" w:hAnsi="Verdana"/>
          <w:sz w:val="20"/>
          <w:szCs w:val="20"/>
          <w:lang w:val="es-ES"/>
        </w:rPr>
        <w:t>o</w:t>
      </w:r>
      <w:r w:rsidRPr="002964A7">
        <w:rPr>
          <w:rFonts w:ascii="Verdana" w:hAnsi="Verdana"/>
          <w:sz w:val="20"/>
          <w:szCs w:val="20"/>
          <w:lang w:val="es-ES"/>
        </w:rPr>
        <w:t>s</w:t>
      </w:r>
      <w:r w:rsidRPr="0034255F">
        <w:rPr>
          <w:rStyle w:val="FootnoteReference"/>
          <w:rFonts w:eastAsiaTheme="minorHAnsi" w:cs="Verdana"/>
          <w:szCs w:val="20"/>
        </w:rPr>
        <w:footnoteReference w:id="217"/>
      </w:r>
      <w:r w:rsidRPr="0034255F">
        <w:rPr>
          <w:rFonts w:ascii="Verdana" w:hAnsi="Verdana"/>
          <w:sz w:val="20"/>
          <w:szCs w:val="20"/>
        </w:rPr>
        <w:t>, quienes</w:t>
      </w:r>
      <w:r w:rsidRPr="0034255F">
        <w:rPr>
          <w:rFonts w:ascii="Verdana" w:hAnsi="Verdana" w:cs="Verdana"/>
          <w:sz w:val="20"/>
          <w:szCs w:val="20"/>
          <w:lang w:val="es-EC"/>
        </w:rPr>
        <w:t xml:space="preserve"> son titulares de los derechos establecidos en la Convención Americana, además de contar con las medidas especiales de protección contempladas en su artículo 19, las cuales deben ser definidas según las circunstancias particulares de cada caso concreto</w:t>
      </w:r>
      <w:r w:rsidRPr="0034255F">
        <w:rPr>
          <w:rStyle w:val="FootnoteReference"/>
          <w:rFonts w:eastAsiaTheme="minorHAnsi" w:cs="Verdana"/>
          <w:szCs w:val="20"/>
          <w:lang w:val="es-EC"/>
        </w:rPr>
        <w:footnoteReference w:id="218"/>
      </w:r>
      <w:r w:rsidRPr="0034255F">
        <w:rPr>
          <w:rFonts w:ascii="Verdana" w:hAnsi="Verdana" w:cs="Verdana"/>
          <w:sz w:val="20"/>
          <w:szCs w:val="20"/>
          <w:lang w:val="es-EC"/>
        </w:rPr>
        <w:t xml:space="preserve">. La adopción de medidas especiales para la protección de </w:t>
      </w:r>
      <w:r>
        <w:rPr>
          <w:rFonts w:ascii="Verdana" w:hAnsi="Verdana" w:cs="Verdana"/>
          <w:sz w:val="20"/>
          <w:szCs w:val="20"/>
          <w:lang w:val="es-EC"/>
        </w:rPr>
        <w:t>las niñas y los niños</w:t>
      </w:r>
      <w:r w:rsidRPr="0034255F">
        <w:rPr>
          <w:rFonts w:ascii="Verdana" w:hAnsi="Verdana" w:cs="Verdana"/>
          <w:sz w:val="20"/>
          <w:szCs w:val="20"/>
          <w:lang w:val="es-EC"/>
        </w:rPr>
        <w:t xml:space="preserve"> corresponde tanto al Estado como a la familia, a la comunidad y a la sociedad a la que pertenecen</w:t>
      </w:r>
      <w:r w:rsidRPr="0034255F">
        <w:rPr>
          <w:rFonts w:ascii="Verdana" w:hAnsi="Verdana" w:cs="Verdana"/>
          <w:sz w:val="20"/>
          <w:szCs w:val="20"/>
          <w:vertAlign w:val="superscript"/>
          <w:lang w:val="es-EC"/>
        </w:rPr>
        <w:footnoteReference w:id="219"/>
      </w:r>
      <w:r w:rsidRPr="0034255F">
        <w:rPr>
          <w:rFonts w:ascii="Verdana" w:hAnsi="Verdana" w:cs="Verdana"/>
          <w:sz w:val="20"/>
          <w:szCs w:val="20"/>
          <w:lang w:val="es-EC"/>
        </w:rPr>
        <w:t xml:space="preserve">, y </w:t>
      </w:r>
      <w:r w:rsidR="00335E16">
        <w:rPr>
          <w:rFonts w:ascii="Verdana" w:hAnsi="Verdana" w:cs="Verdana"/>
          <w:sz w:val="20"/>
          <w:szCs w:val="20"/>
          <w:lang w:val="es-EC"/>
        </w:rPr>
        <w:t>e</w:t>
      </w:r>
      <w:r w:rsidRPr="0034255F">
        <w:rPr>
          <w:rFonts w:ascii="Verdana" w:hAnsi="Verdana" w:cs="Verdana"/>
          <w:sz w:val="20"/>
          <w:szCs w:val="20"/>
          <w:lang w:val="es-EC"/>
        </w:rPr>
        <w:t xml:space="preserve">stas </w:t>
      </w:r>
      <w:r w:rsidRPr="0034255F">
        <w:rPr>
          <w:rFonts w:ascii="Verdana" w:hAnsi="Verdana" w:cs="Verdana"/>
          <w:sz w:val="20"/>
          <w:szCs w:val="20"/>
        </w:rPr>
        <w:t>incluyen las referentes a la no discriminación, a la prohibición de la tortura y a las condiciones que deben observarse en casos de privación de la libertad de niños</w:t>
      </w:r>
      <w:r w:rsidRPr="0034255F">
        <w:rPr>
          <w:rStyle w:val="FootnoteReference"/>
          <w:rFonts w:eastAsiaTheme="minorHAnsi" w:cs="Verdana"/>
          <w:szCs w:val="20"/>
        </w:rPr>
        <w:footnoteReference w:id="220"/>
      </w:r>
      <w:r w:rsidRPr="0034255F">
        <w:rPr>
          <w:rFonts w:ascii="Verdana" w:hAnsi="Verdana" w:cs="Verdana"/>
          <w:sz w:val="20"/>
          <w:szCs w:val="20"/>
        </w:rPr>
        <w:t xml:space="preserve">. </w:t>
      </w:r>
    </w:p>
    <w:p w:rsidR="00106A1E" w:rsidRPr="00CB2948" w:rsidRDefault="00106A1E" w:rsidP="00106A1E">
      <w:pPr>
        <w:pStyle w:val="ListParagraph"/>
        <w:rPr>
          <w:rFonts w:ascii="Verdana" w:hAnsi="Verdana" w:cs="Arial"/>
          <w:sz w:val="20"/>
          <w:szCs w:val="20"/>
          <w:lang w:eastAsia="es-CR"/>
        </w:rPr>
      </w:pPr>
    </w:p>
    <w:p w:rsidR="00106A1E" w:rsidRPr="002B1801"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A956BE">
        <w:rPr>
          <w:rFonts w:ascii="Verdana" w:hAnsi="Verdana" w:cs="Arial"/>
          <w:sz w:val="20"/>
          <w:szCs w:val="20"/>
          <w:lang w:eastAsia="es-CR"/>
        </w:rPr>
        <w:t xml:space="preserve">En el presente caso, dado que al menos siete de las víctimas eran </w:t>
      </w:r>
      <w:r w:rsidRPr="00A956BE">
        <w:rPr>
          <w:rFonts w:ascii="Verdana" w:hAnsi="Verdana"/>
          <w:sz w:val="20"/>
          <w:szCs w:val="20"/>
          <w:lang w:val="es-ES"/>
        </w:rPr>
        <w:t>niñas y niños</w:t>
      </w:r>
      <w:r w:rsidRPr="00A956BE" w:rsidDel="00F425DF">
        <w:rPr>
          <w:rFonts w:ascii="Verdana" w:hAnsi="Verdana" w:cs="Arial"/>
          <w:sz w:val="20"/>
          <w:szCs w:val="20"/>
          <w:lang w:eastAsia="es-CR"/>
        </w:rPr>
        <w:t xml:space="preserve"> </w:t>
      </w:r>
      <w:r w:rsidRPr="00A956BE">
        <w:rPr>
          <w:rFonts w:ascii="Verdana" w:hAnsi="Verdana" w:cs="Arial"/>
          <w:sz w:val="20"/>
          <w:szCs w:val="20"/>
          <w:lang w:eastAsia="es-CR"/>
        </w:rPr>
        <w:t>entre las edades de</w:t>
      </w:r>
      <w:r w:rsidRPr="00A956BE">
        <w:rPr>
          <w:rFonts w:ascii="Verdana" w:hAnsi="Verdana"/>
          <w:sz w:val="20"/>
          <w:szCs w:val="20"/>
          <w:lang w:val="es-GT"/>
        </w:rPr>
        <w:t xml:space="preserve"> 8 meses y 6 años de edad, </w:t>
      </w:r>
      <w:r w:rsidRPr="00A956BE">
        <w:rPr>
          <w:rFonts w:ascii="Verdana" w:hAnsi="Verdana" w:cs="Arial"/>
          <w:sz w:val="20"/>
          <w:szCs w:val="20"/>
          <w:lang w:eastAsia="es-CR"/>
        </w:rPr>
        <w:t xml:space="preserve">la violación a sus derechos se configuró también en relación con el </w:t>
      </w:r>
      <w:r w:rsidRPr="00A956BE">
        <w:rPr>
          <w:rFonts w:ascii="Verdana" w:hAnsi="Verdana"/>
          <w:sz w:val="20"/>
          <w:szCs w:val="20"/>
        </w:rPr>
        <w:t>artículo 19 de la Convención Americana.</w:t>
      </w:r>
      <w:r w:rsidRPr="00A956BE">
        <w:rPr>
          <w:rFonts w:ascii="Verdana" w:hAnsi="Verdana" w:cs="Arial"/>
          <w:sz w:val="20"/>
          <w:szCs w:val="20"/>
          <w:lang w:eastAsia="es-CR"/>
        </w:rPr>
        <w:t xml:space="preserve"> Al respecto, la Corte nota que </w:t>
      </w:r>
      <w:r w:rsidRPr="00A956BE">
        <w:rPr>
          <w:rFonts w:ascii="Verdana" w:hAnsi="Verdana"/>
          <w:sz w:val="20"/>
          <w:szCs w:val="20"/>
        </w:rPr>
        <w:t xml:space="preserve">el </w:t>
      </w:r>
      <w:r w:rsidRPr="00A956BE">
        <w:rPr>
          <w:rFonts w:ascii="Verdana" w:hAnsi="Verdana" w:cs="Tahoma"/>
          <w:sz w:val="20"/>
          <w:szCs w:val="20"/>
          <w:lang w:bidi="en-US"/>
        </w:rPr>
        <w:t>Informe Final de la CVR señaló que</w:t>
      </w:r>
      <w:r w:rsidR="005E414F">
        <w:rPr>
          <w:rFonts w:ascii="Verdana" w:hAnsi="Verdana" w:cs="Tahoma"/>
          <w:sz w:val="20"/>
          <w:szCs w:val="20"/>
          <w:lang w:bidi="en-US"/>
        </w:rPr>
        <w:t>,</w:t>
      </w:r>
      <w:r w:rsidRPr="00A956BE">
        <w:rPr>
          <w:rFonts w:ascii="Verdana" w:hAnsi="Verdana" w:cs="Tahoma"/>
          <w:sz w:val="20"/>
          <w:szCs w:val="20"/>
          <w:lang w:bidi="en-US"/>
        </w:rPr>
        <w:t xml:space="preserve"> “[d]entro de la lógica belicista, la muerte de los niños </w:t>
      </w:r>
      <w:r>
        <w:rPr>
          <w:rFonts w:ascii="Verdana" w:hAnsi="Verdana" w:cs="Tahoma"/>
          <w:sz w:val="20"/>
          <w:szCs w:val="20"/>
          <w:lang w:bidi="en-US"/>
        </w:rPr>
        <w:t>[</w:t>
      </w:r>
      <w:r w:rsidRPr="00A956BE">
        <w:rPr>
          <w:rFonts w:ascii="Verdana" w:hAnsi="Verdana" w:cs="Tahoma"/>
          <w:sz w:val="20"/>
          <w:szCs w:val="20"/>
          <w:lang w:bidi="en-US"/>
        </w:rPr>
        <w:t>y niñas</w:t>
      </w:r>
      <w:r>
        <w:rPr>
          <w:rFonts w:ascii="Verdana" w:hAnsi="Verdana" w:cs="Tahoma"/>
          <w:sz w:val="20"/>
          <w:szCs w:val="20"/>
          <w:lang w:bidi="en-US"/>
        </w:rPr>
        <w:t>]</w:t>
      </w:r>
      <w:r w:rsidRPr="00A956BE">
        <w:rPr>
          <w:rFonts w:ascii="Verdana" w:hAnsi="Verdana" w:cs="Tahoma"/>
          <w:sz w:val="20"/>
          <w:szCs w:val="20"/>
          <w:lang w:bidi="en-US"/>
        </w:rPr>
        <w:t xml:space="preserve"> fue un ‘costo’ para erradicar la subversión”, y “en la lucha por destruir al enemigo no importaba que los muertos [fueran] inocentes y menos aún niños”</w:t>
      </w:r>
      <w:r w:rsidRPr="0034255F">
        <w:rPr>
          <w:rFonts w:ascii="Verdana" w:hAnsi="Verdana" w:cs="Tahoma"/>
          <w:sz w:val="20"/>
          <w:szCs w:val="20"/>
          <w:vertAlign w:val="superscript"/>
          <w:lang w:bidi="en-US"/>
        </w:rPr>
        <w:footnoteReference w:id="221"/>
      </w:r>
      <w:r w:rsidRPr="00A956BE">
        <w:rPr>
          <w:rFonts w:ascii="Verdana" w:hAnsi="Verdana" w:cs="Tahoma"/>
          <w:sz w:val="20"/>
          <w:szCs w:val="20"/>
          <w:lang w:bidi="en-US"/>
        </w:rPr>
        <w:t xml:space="preserve">, y es un hecho probado que </w:t>
      </w:r>
      <w:r w:rsidRPr="00A956BE">
        <w:rPr>
          <w:rFonts w:ascii="Verdana" w:hAnsi="Verdana"/>
          <w:sz w:val="20"/>
          <w:szCs w:val="20"/>
        </w:rPr>
        <w:t xml:space="preserve">se trató de encubrir las edades reales </w:t>
      </w:r>
      <w:r w:rsidRPr="00A956BE">
        <w:rPr>
          <w:rFonts w:ascii="Verdana" w:hAnsi="Verdana"/>
          <w:sz w:val="20"/>
          <w:szCs w:val="20"/>
          <w:lang w:val="es-GT"/>
        </w:rPr>
        <w:t xml:space="preserve">de las niñas y los niños víctimas del presente caso en las actas de defunción emitidas a partir de la orden del Juez del Sexto Juzgado Militar Permanente de Ayacucho de 25 de febrero de 1992, indicándose que </w:t>
      </w:r>
      <w:r w:rsidR="00335E16">
        <w:rPr>
          <w:rFonts w:ascii="Verdana" w:hAnsi="Verdana"/>
          <w:sz w:val="20"/>
          <w:szCs w:val="20"/>
          <w:lang w:val="es-GT"/>
        </w:rPr>
        <w:t>e</w:t>
      </w:r>
      <w:r w:rsidRPr="00A956BE">
        <w:rPr>
          <w:rFonts w:ascii="Verdana" w:hAnsi="Verdana"/>
          <w:sz w:val="20"/>
          <w:szCs w:val="20"/>
          <w:lang w:val="es-GT"/>
        </w:rPr>
        <w:t>stas tenían una edad mayor a los 18 años (</w:t>
      </w:r>
      <w:r w:rsidRPr="00A956BE">
        <w:rPr>
          <w:rFonts w:ascii="Verdana" w:hAnsi="Verdana"/>
          <w:i/>
          <w:sz w:val="20"/>
          <w:szCs w:val="20"/>
          <w:lang w:val="es-GT"/>
        </w:rPr>
        <w:t>supra</w:t>
      </w:r>
      <w:r w:rsidRPr="00A956BE">
        <w:rPr>
          <w:rFonts w:ascii="Verdana" w:hAnsi="Verdana"/>
          <w:sz w:val="20"/>
          <w:szCs w:val="20"/>
          <w:lang w:val="es-GT"/>
        </w:rPr>
        <w:t xml:space="preserve"> </w:t>
      </w:r>
      <w:r>
        <w:rPr>
          <w:rFonts w:ascii="Verdana" w:hAnsi="Verdana"/>
          <w:sz w:val="20"/>
          <w:szCs w:val="20"/>
          <w:lang w:val="es-GT"/>
        </w:rPr>
        <w:t>párrs. 107 y</w:t>
      </w:r>
      <w:r w:rsidRPr="00A956BE">
        <w:rPr>
          <w:rFonts w:ascii="Verdana" w:hAnsi="Verdana"/>
          <w:sz w:val="20"/>
          <w:szCs w:val="20"/>
          <w:lang w:val="es-GT"/>
        </w:rPr>
        <w:t xml:space="preserve"> </w:t>
      </w:r>
      <w:r>
        <w:rPr>
          <w:rFonts w:ascii="Verdana" w:hAnsi="Verdana"/>
          <w:sz w:val="20"/>
          <w:szCs w:val="20"/>
          <w:lang w:val="es-GT"/>
        </w:rPr>
        <w:t>173</w:t>
      </w:r>
      <w:r w:rsidRPr="00A956BE">
        <w:rPr>
          <w:rFonts w:ascii="Verdana" w:hAnsi="Verdana"/>
          <w:sz w:val="20"/>
          <w:szCs w:val="20"/>
          <w:lang w:val="es-GT"/>
        </w:rPr>
        <w:t>)</w:t>
      </w:r>
      <w:r w:rsidRPr="00A956BE">
        <w:rPr>
          <w:rFonts w:ascii="Verdana" w:hAnsi="Verdana"/>
          <w:bCs/>
          <w:sz w:val="20"/>
          <w:szCs w:val="20"/>
          <w:lang w:val="es-GT"/>
        </w:rPr>
        <w:t xml:space="preserve">. </w:t>
      </w:r>
      <w:r w:rsidRPr="00A956BE">
        <w:rPr>
          <w:rFonts w:ascii="Verdana" w:hAnsi="Verdana"/>
          <w:bCs/>
          <w:sz w:val="20"/>
          <w:szCs w:val="20"/>
        </w:rPr>
        <w:t xml:space="preserve">De este modo, el Estado una vez más desconoció sus deberes de especial protección de </w:t>
      </w:r>
      <w:r w:rsidRPr="00087B42">
        <w:rPr>
          <w:rFonts w:ascii="Verdana" w:hAnsi="Verdana"/>
          <w:sz w:val="20"/>
          <w:szCs w:val="20"/>
          <w:lang w:val="es-GT"/>
        </w:rPr>
        <w:t>las niñas y los niños</w:t>
      </w:r>
      <w:r>
        <w:rPr>
          <w:rFonts w:ascii="Verdana" w:hAnsi="Verdana"/>
          <w:bCs/>
          <w:sz w:val="20"/>
          <w:szCs w:val="20"/>
        </w:rPr>
        <w:t>.</w:t>
      </w:r>
    </w:p>
    <w:p w:rsidR="00106A1E" w:rsidRPr="00A956BE" w:rsidRDefault="00106A1E" w:rsidP="00106A1E">
      <w:pPr>
        <w:pStyle w:val="ListParagraph"/>
        <w:autoSpaceDE w:val="0"/>
        <w:autoSpaceDN w:val="0"/>
        <w:adjustRightInd w:val="0"/>
        <w:spacing w:after="0" w:line="240" w:lineRule="auto"/>
        <w:ind w:left="0"/>
        <w:jc w:val="both"/>
        <w:rPr>
          <w:rFonts w:ascii="Verdana" w:hAnsi="Verdana" w:cs="Arial"/>
          <w:sz w:val="20"/>
          <w:szCs w:val="20"/>
          <w:lang w:eastAsia="es-CR"/>
        </w:rPr>
      </w:pPr>
    </w:p>
    <w:p w:rsidR="00106A1E" w:rsidRPr="00087B42"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Pr>
          <w:rFonts w:ascii="Verdana" w:hAnsi="Verdana"/>
          <w:bCs/>
          <w:sz w:val="20"/>
          <w:szCs w:val="20"/>
        </w:rPr>
        <w:t xml:space="preserve">Finalmente, </w:t>
      </w:r>
      <w:r w:rsidRPr="00087B42">
        <w:rPr>
          <w:rFonts w:ascii="Verdana" w:hAnsi="Verdana"/>
          <w:sz w:val="20"/>
          <w:szCs w:val="20"/>
        </w:rPr>
        <w:t xml:space="preserve">la Corte no cuenta con los elementos probatorios suficientes que le permitan concluir </w:t>
      </w:r>
      <w:r w:rsidRPr="00087B42">
        <w:rPr>
          <w:rFonts w:ascii="Verdana" w:eastAsia="Calibri" w:hAnsi="Verdana"/>
          <w:sz w:val="20"/>
          <w:szCs w:val="20"/>
        </w:rPr>
        <w:t>en el presente caso</w:t>
      </w:r>
      <w:r w:rsidRPr="00087B42">
        <w:rPr>
          <w:rFonts w:ascii="Verdana" w:hAnsi="Verdana"/>
          <w:sz w:val="20"/>
          <w:szCs w:val="20"/>
        </w:rPr>
        <w:t xml:space="preserve"> la alegada violación de los artículos 11 y </w:t>
      </w:r>
      <w:r w:rsidRPr="00087B42">
        <w:rPr>
          <w:rFonts w:ascii="Verdana" w:eastAsia="Calibri" w:hAnsi="Verdana"/>
          <w:sz w:val="20"/>
          <w:szCs w:val="20"/>
        </w:rPr>
        <w:t>17 de la Convención Americana, en los términos que ha sido planteado por la Comisión y los representantes (</w:t>
      </w:r>
      <w:r w:rsidRPr="00087B42">
        <w:rPr>
          <w:rFonts w:ascii="Verdana" w:eastAsia="Calibri" w:hAnsi="Verdana"/>
          <w:i/>
          <w:sz w:val="20"/>
          <w:szCs w:val="20"/>
        </w:rPr>
        <w:t>supra</w:t>
      </w:r>
      <w:r w:rsidRPr="00087B42">
        <w:rPr>
          <w:rFonts w:ascii="Verdana" w:eastAsia="Calibri" w:hAnsi="Verdana"/>
          <w:sz w:val="20"/>
          <w:szCs w:val="20"/>
        </w:rPr>
        <w:t xml:space="preserve"> párrs. </w:t>
      </w:r>
      <w:r>
        <w:rPr>
          <w:rFonts w:ascii="Verdana" w:eastAsia="Calibri" w:hAnsi="Verdana"/>
          <w:sz w:val="20"/>
          <w:szCs w:val="20"/>
        </w:rPr>
        <w:t>148, 151 y 154</w:t>
      </w:r>
      <w:r w:rsidRPr="00087B42">
        <w:rPr>
          <w:rFonts w:ascii="Verdana" w:eastAsia="Calibri" w:hAnsi="Verdana"/>
          <w:sz w:val="20"/>
          <w:szCs w:val="20"/>
        </w:rPr>
        <w:t>).</w:t>
      </w:r>
    </w:p>
    <w:p w:rsidR="00106A1E" w:rsidRPr="0034255F" w:rsidRDefault="00106A1E" w:rsidP="00106A1E">
      <w:pPr>
        <w:pStyle w:val="ListParagraph"/>
        <w:autoSpaceDE w:val="0"/>
        <w:autoSpaceDN w:val="0"/>
        <w:adjustRightInd w:val="0"/>
        <w:spacing w:after="0" w:line="240" w:lineRule="auto"/>
        <w:ind w:left="0"/>
        <w:jc w:val="both"/>
        <w:rPr>
          <w:rFonts w:ascii="Verdana" w:hAnsi="Verdana" w:cs="Arial"/>
          <w:sz w:val="20"/>
          <w:szCs w:val="20"/>
          <w:lang w:eastAsia="es-CR"/>
        </w:rPr>
      </w:pPr>
    </w:p>
    <w:p w:rsidR="00106A1E" w:rsidRPr="00FB0624"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34255F">
        <w:rPr>
          <w:rFonts w:ascii="Verdana" w:hAnsi="Verdana"/>
          <w:sz w:val="20"/>
          <w:szCs w:val="20"/>
          <w:lang w:eastAsia="es-CR"/>
        </w:rPr>
        <w:lastRenderedPageBreak/>
        <w:t>En suma, el Tribunal concluye que el Perú incurrió en responsabilidad internacional por la desaparición forzada de las 15 víctimas</w:t>
      </w:r>
      <w:r w:rsidRPr="007C2FC7">
        <w:rPr>
          <w:rFonts w:ascii="Verdana" w:hAnsi="Verdana"/>
          <w:sz w:val="20"/>
          <w:szCs w:val="20"/>
          <w:lang w:eastAsia="es-CR"/>
        </w:rPr>
        <w:t xml:space="preserve">: </w:t>
      </w:r>
      <w:r w:rsidRPr="007C2FC7">
        <w:rPr>
          <w:rFonts w:ascii="Verdana" w:hAnsi="Verdana"/>
          <w:sz w:val="20"/>
          <w:szCs w:val="20"/>
          <w:lang w:val="es-GT"/>
        </w:rPr>
        <w:t xml:space="preserve">Yesenia </w:t>
      </w:r>
      <w:r w:rsidRPr="007C2FC7">
        <w:rPr>
          <w:rFonts w:ascii="Verdana" w:hAnsi="Verdana" w:cs="Arial"/>
          <w:sz w:val="20"/>
          <w:szCs w:val="20"/>
          <w:lang w:val="es-GT"/>
        </w:rPr>
        <w:t>Osnayo Hilario</w:t>
      </w:r>
      <w:r w:rsidRPr="007C2FC7">
        <w:rPr>
          <w:rFonts w:ascii="Verdana" w:hAnsi="Verdana"/>
          <w:sz w:val="20"/>
          <w:szCs w:val="20"/>
          <w:lang w:val="es-GT"/>
        </w:rPr>
        <w:t xml:space="preserve">, Miriam </w:t>
      </w:r>
      <w:r w:rsidRPr="007C2FC7">
        <w:rPr>
          <w:rFonts w:ascii="Verdana" w:hAnsi="Verdana" w:cs="Arial"/>
          <w:sz w:val="20"/>
          <w:szCs w:val="20"/>
          <w:lang w:val="es-GT"/>
        </w:rPr>
        <w:t>Osnayo Hilario,</w:t>
      </w:r>
      <w:r w:rsidRPr="007C2FC7">
        <w:rPr>
          <w:rFonts w:ascii="Verdana" w:hAnsi="Verdana"/>
          <w:sz w:val="20"/>
          <w:szCs w:val="20"/>
          <w:lang w:val="es-GT"/>
        </w:rPr>
        <w:t xml:space="preserve"> </w:t>
      </w:r>
      <w:r w:rsidRPr="007C2FC7">
        <w:rPr>
          <w:rFonts w:ascii="Verdana" w:hAnsi="Verdana" w:cs="Arial"/>
          <w:sz w:val="20"/>
          <w:szCs w:val="20"/>
          <w:lang w:val="es-GT"/>
        </w:rPr>
        <w:t>Edith Osnayo Hilario</w:t>
      </w:r>
      <w:r w:rsidRPr="007C2FC7">
        <w:rPr>
          <w:rFonts w:ascii="Verdana" w:hAnsi="Verdana"/>
          <w:sz w:val="20"/>
          <w:szCs w:val="20"/>
          <w:lang w:val="es-GT"/>
        </w:rPr>
        <w:t>, Wilmer Hilario Carhuapoma, Alex Jorge Hilario, Raúl Hilario Guillén, Héctor Hilario Guillén, Francisco Hilario Torres</w:t>
      </w:r>
      <w:r w:rsidRPr="007C2FC7">
        <w:rPr>
          <w:rFonts w:ascii="Verdana" w:hAnsi="Verdana"/>
          <w:sz w:val="20"/>
          <w:szCs w:val="20"/>
        </w:rPr>
        <w:t xml:space="preserve">, </w:t>
      </w:r>
      <w:r w:rsidRPr="007C2FC7">
        <w:rPr>
          <w:rFonts w:ascii="Verdana" w:hAnsi="Verdana"/>
          <w:sz w:val="20"/>
          <w:szCs w:val="20"/>
          <w:lang w:val="es-GT"/>
        </w:rPr>
        <w:t>Mercedes Carhuapoma de la Cruz</w:t>
      </w:r>
      <w:r w:rsidRPr="007C2FC7">
        <w:rPr>
          <w:rFonts w:ascii="Verdana" w:hAnsi="Verdana" w:cs="Arial"/>
          <w:sz w:val="20"/>
          <w:szCs w:val="20"/>
          <w:lang w:val="es-GT"/>
        </w:rPr>
        <w:t>,</w:t>
      </w:r>
      <w:r w:rsidRPr="007C2FC7">
        <w:rPr>
          <w:rFonts w:ascii="Verdana" w:hAnsi="Verdana"/>
          <w:sz w:val="20"/>
          <w:szCs w:val="20"/>
          <w:lang w:val="es-GT"/>
        </w:rPr>
        <w:t xml:space="preserve"> Dionicia Quispe Mallqui, Antonia Hilario Quispe, Magdalena Hilario Quispe, </w:t>
      </w:r>
      <w:r w:rsidRPr="007C2FC7">
        <w:rPr>
          <w:rFonts w:ascii="Verdana" w:hAnsi="Verdana" w:cs="Arial"/>
          <w:sz w:val="20"/>
          <w:szCs w:val="20"/>
          <w:lang w:val="es-GT"/>
        </w:rPr>
        <w:t>Dionicia Guillén Riveros</w:t>
      </w:r>
      <w:r w:rsidRPr="007C2FC7">
        <w:rPr>
          <w:rFonts w:ascii="Verdana" w:hAnsi="Verdana"/>
          <w:sz w:val="20"/>
          <w:szCs w:val="20"/>
          <w:lang w:val="es-GT"/>
        </w:rPr>
        <w:t xml:space="preserve">, Ramón Hilario Morán y Elihoref Huamaní Vergara, </w:t>
      </w:r>
      <w:r w:rsidRPr="007C2FC7">
        <w:rPr>
          <w:rFonts w:ascii="Verdana" w:hAnsi="Verdana"/>
          <w:sz w:val="20"/>
          <w:szCs w:val="20"/>
          <w:lang w:eastAsia="es-CR"/>
        </w:rPr>
        <w:t xml:space="preserve">iniciada el 4 de julio de </w:t>
      </w:r>
      <w:r w:rsidRPr="007C2FC7">
        <w:rPr>
          <w:rFonts w:ascii="Verdana" w:hAnsi="Verdana"/>
          <w:spacing w:val="-2"/>
          <w:sz w:val="20"/>
          <w:szCs w:val="20"/>
          <w:lang w:eastAsia="es-CR"/>
        </w:rPr>
        <w:t>1991</w:t>
      </w:r>
      <w:r w:rsidRPr="007C2FC7">
        <w:rPr>
          <w:rFonts w:ascii="Verdana" w:hAnsi="Verdana"/>
          <w:sz w:val="20"/>
          <w:szCs w:val="20"/>
          <w:lang w:eastAsia="es-CR"/>
        </w:rPr>
        <w:t>, sin que se tenga hasta el momento la convicción que sus restos hayan sido encontrados e identificados ni se haya obtenido una respuesta determinante sobre su destino. En consecuencia, el Estado violó los derechos reconocidos en los artículos 7, 5.1, 5.2, 4.1, y 3 de la Convención Americana, en relación con el artículo 1.1 de la misma, en perjuicio de todas aquellas personas.</w:t>
      </w:r>
      <w:r w:rsidRPr="007C2FC7">
        <w:rPr>
          <w:rFonts w:ascii="Verdana" w:hAnsi="Verdana" w:cs="Arial"/>
          <w:sz w:val="20"/>
          <w:szCs w:val="20"/>
          <w:lang w:eastAsia="es-CR"/>
        </w:rPr>
        <w:t xml:space="preserve"> Además, </w:t>
      </w:r>
      <w:r w:rsidRPr="007C2FC7">
        <w:rPr>
          <w:rFonts w:ascii="Verdana" w:hAnsi="Verdana"/>
          <w:spacing w:val="-2"/>
          <w:sz w:val="20"/>
          <w:szCs w:val="20"/>
          <w:lang w:val="es-GT"/>
        </w:rPr>
        <w:t>la Corte concluye que las violaciones ocurren también en relación con el artículo 19 de la Convención respecto de</w:t>
      </w:r>
      <w:r w:rsidRPr="007C2FC7">
        <w:rPr>
          <w:rFonts w:ascii="Verdana" w:hAnsi="Verdana" w:cs="Arial"/>
          <w:sz w:val="20"/>
          <w:szCs w:val="20"/>
          <w:lang w:eastAsia="es-CR"/>
        </w:rPr>
        <w:t xml:space="preserve"> </w:t>
      </w:r>
      <w:r w:rsidRPr="007C2FC7">
        <w:rPr>
          <w:rFonts w:ascii="Verdana" w:hAnsi="Verdana"/>
          <w:sz w:val="20"/>
          <w:szCs w:val="20"/>
          <w:lang w:val="es-GT"/>
        </w:rPr>
        <w:t xml:space="preserve">Yesenia, Miriam </w:t>
      </w:r>
      <w:r w:rsidRPr="007C2FC7">
        <w:rPr>
          <w:rFonts w:ascii="Verdana" w:hAnsi="Verdana" w:cs="Arial"/>
          <w:sz w:val="20"/>
          <w:szCs w:val="20"/>
          <w:lang w:val="es-GT"/>
        </w:rPr>
        <w:t>y</w:t>
      </w:r>
      <w:r w:rsidRPr="007C2FC7">
        <w:rPr>
          <w:rFonts w:ascii="Verdana" w:hAnsi="Verdana"/>
          <w:sz w:val="20"/>
          <w:szCs w:val="20"/>
          <w:lang w:val="es-GT"/>
        </w:rPr>
        <w:t xml:space="preserve"> </w:t>
      </w:r>
      <w:r w:rsidRPr="007C2FC7">
        <w:rPr>
          <w:rFonts w:ascii="Verdana" w:hAnsi="Verdana" w:cs="Arial"/>
          <w:sz w:val="20"/>
          <w:szCs w:val="20"/>
          <w:lang w:val="es-GT"/>
        </w:rPr>
        <w:t>Edith Osnayo Hilario</w:t>
      </w:r>
      <w:r w:rsidRPr="007C2FC7">
        <w:rPr>
          <w:rFonts w:ascii="Verdana" w:hAnsi="Verdana"/>
          <w:sz w:val="20"/>
          <w:szCs w:val="20"/>
          <w:lang w:val="es-GT"/>
        </w:rPr>
        <w:t xml:space="preserve">, Wilmer Hilario Carhuapoma, Alex Jorge Hilario, Raúl y Héctor Hilario Guillén, quienes </w:t>
      </w:r>
      <w:r w:rsidRPr="007C2FC7">
        <w:rPr>
          <w:rFonts w:ascii="Verdana" w:hAnsi="Verdana"/>
          <w:spacing w:val="-2"/>
          <w:sz w:val="20"/>
          <w:szCs w:val="20"/>
          <w:lang w:val="es-GT"/>
        </w:rPr>
        <w:t xml:space="preserve">eran </w:t>
      </w:r>
      <w:r w:rsidRPr="007C2FC7">
        <w:rPr>
          <w:rFonts w:ascii="Verdana" w:hAnsi="Verdana"/>
          <w:sz w:val="20"/>
          <w:szCs w:val="20"/>
          <w:lang w:val="es-ES"/>
        </w:rPr>
        <w:t>niñas y niños</w:t>
      </w:r>
      <w:r w:rsidRPr="007C2FC7" w:rsidDel="00F425DF">
        <w:rPr>
          <w:rFonts w:ascii="Verdana" w:hAnsi="Verdana"/>
          <w:spacing w:val="-2"/>
          <w:sz w:val="20"/>
          <w:szCs w:val="20"/>
          <w:lang w:val="es-GT"/>
        </w:rPr>
        <w:t xml:space="preserve"> </w:t>
      </w:r>
      <w:r w:rsidRPr="007C2FC7">
        <w:rPr>
          <w:rFonts w:ascii="Verdana" w:hAnsi="Verdana"/>
          <w:spacing w:val="-2"/>
          <w:sz w:val="20"/>
          <w:szCs w:val="20"/>
          <w:lang w:val="es-GT"/>
        </w:rPr>
        <w:t>al momento de que inició su desaparición forzada (</w:t>
      </w:r>
      <w:r w:rsidRPr="007C2FC7">
        <w:rPr>
          <w:rFonts w:ascii="Verdana" w:hAnsi="Verdana"/>
          <w:i/>
          <w:spacing w:val="-2"/>
          <w:sz w:val="20"/>
          <w:szCs w:val="20"/>
          <w:lang w:val="es-GT"/>
        </w:rPr>
        <w:t xml:space="preserve">supra </w:t>
      </w:r>
      <w:r w:rsidRPr="007C2FC7">
        <w:rPr>
          <w:rFonts w:ascii="Verdana" w:hAnsi="Verdana"/>
          <w:spacing w:val="-2"/>
          <w:sz w:val="20"/>
          <w:szCs w:val="20"/>
          <w:lang w:val="es-GT"/>
        </w:rPr>
        <w:t>párr. 90).</w:t>
      </w:r>
      <w:r w:rsidRPr="007C2FC7">
        <w:rPr>
          <w:rFonts w:ascii="Verdana" w:hAnsi="Verdana" w:cs="Arial"/>
          <w:sz w:val="20"/>
          <w:szCs w:val="20"/>
          <w:lang w:eastAsia="es-CR"/>
        </w:rPr>
        <w:t xml:space="preserve"> </w:t>
      </w:r>
      <w:r w:rsidRPr="007C2FC7">
        <w:rPr>
          <w:rFonts w:ascii="Verdana" w:hAnsi="Verdana"/>
          <w:spacing w:val="-2"/>
          <w:sz w:val="20"/>
          <w:szCs w:val="20"/>
          <w:lang w:val="es-GT"/>
        </w:rPr>
        <w:t>Asimismo, la Corte concluye en aplicación del</w:t>
      </w:r>
      <w:r w:rsidRPr="00292D3C">
        <w:rPr>
          <w:rFonts w:ascii="Verdana" w:hAnsi="Verdana"/>
          <w:spacing w:val="-2"/>
          <w:sz w:val="20"/>
          <w:szCs w:val="20"/>
          <w:lang w:val="es-GT"/>
        </w:rPr>
        <w:t xml:space="preserve"> principio </w:t>
      </w:r>
      <w:r w:rsidRPr="00292D3C">
        <w:rPr>
          <w:rFonts w:ascii="Verdana" w:hAnsi="Verdana"/>
          <w:i/>
          <w:spacing w:val="-2"/>
          <w:sz w:val="20"/>
          <w:szCs w:val="20"/>
          <w:lang w:val="es-GT"/>
        </w:rPr>
        <w:t>iura novit curia</w:t>
      </w:r>
      <w:r w:rsidRPr="00292D3C">
        <w:rPr>
          <w:rFonts w:ascii="Verdana" w:hAnsi="Verdana"/>
          <w:spacing w:val="-2"/>
          <w:sz w:val="20"/>
          <w:szCs w:val="20"/>
          <w:vertAlign w:val="superscript"/>
          <w:lang w:val="es-GT"/>
        </w:rPr>
        <w:footnoteReference w:id="222"/>
      </w:r>
      <w:r w:rsidRPr="00292D3C">
        <w:rPr>
          <w:rFonts w:ascii="Verdana" w:hAnsi="Verdana"/>
          <w:spacing w:val="-2"/>
          <w:sz w:val="20"/>
          <w:szCs w:val="20"/>
          <w:lang w:val="es-GT"/>
        </w:rPr>
        <w:t xml:space="preserve"> que las violaciones </w:t>
      </w:r>
      <w:r>
        <w:rPr>
          <w:rFonts w:ascii="Verdana" w:hAnsi="Verdana"/>
          <w:spacing w:val="-2"/>
          <w:sz w:val="20"/>
          <w:szCs w:val="20"/>
          <w:lang w:val="es-GT"/>
        </w:rPr>
        <w:t>señaladas</w:t>
      </w:r>
      <w:r w:rsidRPr="00292D3C">
        <w:rPr>
          <w:rFonts w:ascii="Verdana" w:hAnsi="Verdana"/>
          <w:spacing w:val="-2"/>
          <w:sz w:val="20"/>
          <w:szCs w:val="20"/>
          <w:lang w:val="es-GT"/>
        </w:rPr>
        <w:t xml:space="preserve"> ocurren también en relación con el artículo </w:t>
      </w:r>
      <w:r w:rsidRPr="00292D3C">
        <w:rPr>
          <w:rFonts w:ascii="Verdana" w:hAnsi="Verdana"/>
          <w:sz w:val="20"/>
          <w:szCs w:val="20"/>
        </w:rPr>
        <w:t>I.a)</w:t>
      </w:r>
      <w:r w:rsidR="000E2C7E">
        <w:rPr>
          <w:rFonts w:ascii="Verdana" w:hAnsi="Verdana"/>
          <w:sz w:val="20"/>
          <w:szCs w:val="20"/>
        </w:rPr>
        <w:t xml:space="preserve"> y II</w:t>
      </w:r>
      <w:r w:rsidRPr="00292D3C">
        <w:rPr>
          <w:rFonts w:ascii="Verdana" w:hAnsi="Verdana"/>
          <w:spacing w:val="-2"/>
          <w:sz w:val="20"/>
          <w:szCs w:val="20"/>
          <w:vertAlign w:val="superscript"/>
          <w:lang w:val="es-GT"/>
        </w:rPr>
        <w:footnoteReference w:id="223"/>
      </w:r>
      <w:r w:rsidRPr="00292D3C">
        <w:rPr>
          <w:rFonts w:ascii="Verdana" w:hAnsi="Verdana"/>
          <w:sz w:val="20"/>
          <w:szCs w:val="20"/>
        </w:rPr>
        <w:t xml:space="preserve"> de la Convención Interamericana sobre Desaparición Forzada de Personas</w:t>
      </w:r>
      <w:r w:rsidRPr="00292D3C">
        <w:rPr>
          <w:rFonts w:ascii="Verdana" w:eastAsia="Times New Roman" w:hAnsi="Verdana"/>
          <w:sz w:val="20"/>
          <w:szCs w:val="20"/>
          <w:lang w:val="es-ES_tradnl"/>
        </w:rPr>
        <w:t xml:space="preserve">, a partir del </w:t>
      </w:r>
      <w:r w:rsidRPr="00292D3C">
        <w:rPr>
          <w:rFonts w:ascii="Verdana" w:eastAsia="Times New Roman" w:hAnsi="Verdana" w:cs="Arial"/>
          <w:bCs/>
          <w:sz w:val="20"/>
          <w:szCs w:val="20"/>
          <w:lang w:val="es-ES_tradnl" w:eastAsia="es-CR"/>
        </w:rPr>
        <w:t>15 de marzo</w:t>
      </w:r>
      <w:r w:rsidRPr="00292D3C">
        <w:rPr>
          <w:rFonts w:ascii="Verdana" w:eastAsia="Times New Roman" w:hAnsi="Verdana" w:cs="Arial"/>
          <w:sz w:val="20"/>
          <w:szCs w:val="20"/>
          <w:lang w:val="es-ES_tradnl" w:eastAsia="es-CR"/>
        </w:rPr>
        <w:t xml:space="preserve"> </w:t>
      </w:r>
      <w:r w:rsidRPr="00292D3C">
        <w:rPr>
          <w:rFonts w:ascii="Verdana" w:eastAsia="Times New Roman" w:hAnsi="Verdana" w:cs="Arial"/>
          <w:bCs/>
          <w:sz w:val="20"/>
          <w:szCs w:val="20"/>
          <w:lang w:val="es-ES_tradnl" w:eastAsia="es-CR"/>
        </w:rPr>
        <w:t>de 2002, fecha de</w:t>
      </w:r>
      <w:r w:rsidRPr="00292D3C">
        <w:rPr>
          <w:rFonts w:ascii="Verdana" w:eastAsia="Times New Roman" w:hAnsi="Verdana"/>
          <w:sz w:val="20"/>
          <w:szCs w:val="20"/>
          <w:lang w:val="es-ES_tradnl"/>
        </w:rPr>
        <w:t xml:space="preserve"> su entrada en vigor para el Perú</w:t>
      </w:r>
      <w:r w:rsidRPr="00292D3C">
        <w:rPr>
          <w:rFonts w:ascii="Verdana" w:eastAsia="Times New Roman" w:hAnsi="Verdana" w:cs="Arial"/>
          <w:sz w:val="20"/>
          <w:szCs w:val="20"/>
          <w:lang w:val="es-ES_tradnl" w:eastAsia="es-CR"/>
        </w:rPr>
        <w:t>.</w:t>
      </w:r>
      <w:r w:rsidRPr="00244BCF">
        <w:rPr>
          <w:rFonts w:ascii="Verdana" w:hAnsi="Verdana" w:cs="Arial"/>
          <w:sz w:val="20"/>
          <w:szCs w:val="20"/>
          <w:lang w:eastAsia="es-CR"/>
        </w:rPr>
        <w:t xml:space="preserve"> </w:t>
      </w:r>
      <w:r>
        <w:rPr>
          <w:rFonts w:ascii="Verdana" w:hAnsi="Verdana" w:cs="Arial"/>
          <w:sz w:val="20"/>
          <w:szCs w:val="20"/>
          <w:lang w:eastAsia="es-CR"/>
        </w:rPr>
        <w:t>Asimismo, la Corte considera que dichas violaciones, las cuales se enmarcaron en un contexto de una práctica sistemática de desapariciones forzadas (</w:t>
      </w:r>
      <w:r>
        <w:rPr>
          <w:rFonts w:ascii="Verdana" w:hAnsi="Verdana" w:cs="Arial"/>
          <w:i/>
          <w:sz w:val="20"/>
          <w:szCs w:val="20"/>
          <w:lang w:eastAsia="es-CR"/>
        </w:rPr>
        <w:t xml:space="preserve">supra </w:t>
      </w:r>
      <w:r>
        <w:rPr>
          <w:rFonts w:ascii="Verdana" w:hAnsi="Verdana" w:cs="Arial"/>
          <w:sz w:val="20"/>
          <w:szCs w:val="20"/>
          <w:lang w:eastAsia="es-CR"/>
        </w:rPr>
        <w:t xml:space="preserve">párr. 85), constituyen graves violaciones a los derechos humanos. </w:t>
      </w:r>
    </w:p>
    <w:p w:rsidR="00106A1E" w:rsidRDefault="00106A1E" w:rsidP="00106A1E">
      <w:pPr>
        <w:pStyle w:val="ListParagraph"/>
        <w:autoSpaceDE w:val="0"/>
        <w:autoSpaceDN w:val="0"/>
        <w:adjustRightInd w:val="0"/>
        <w:spacing w:after="0" w:line="240" w:lineRule="auto"/>
        <w:ind w:left="0"/>
        <w:jc w:val="both"/>
        <w:rPr>
          <w:rFonts w:ascii="Verdana" w:hAnsi="Verdana" w:cs="Arial"/>
          <w:sz w:val="20"/>
          <w:szCs w:val="20"/>
          <w:lang w:eastAsia="es-CR"/>
        </w:rPr>
      </w:pPr>
    </w:p>
    <w:p w:rsidR="00106A1E" w:rsidRPr="00721641" w:rsidRDefault="00106A1E" w:rsidP="001154F9">
      <w:pPr>
        <w:pStyle w:val="ListParagraph"/>
        <w:numPr>
          <w:ilvl w:val="0"/>
          <w:numId w:val="7"/>
        </w:numPr>
        <w:autoSpaceDE w:val="0"/>
        <w:autoSpaceDN w:val="0"/>
        <w:adjustRightInd w:val="0"/>
        <w:spacing w:after="0" w:line="240" w:lineRule="auto"/>
        <w:ind w:left="0" w:firstLine="0"/>
        <w:jc w:val="both"/>
        <w:rPr>
          <w:rFonts w:ascii="Verdana" w:hAnsi="Verdana" w:cs="Arial"/>
          <w:sz w:val="20"/>
          <w:szCs w:val="20"/>
          <w:lang w:eastAsia="es-CR"/>
        </w:rPr>
      </w:pPr>
      <w:r w:rsidRPr="00721641">
        <w:rPr>
          <w:rFonts w:ascii="Verdana" w:hAnsi="Verdana"/>
          <w:sz w:val="20"/>
          <w:szCs w:val="20"/>
          <w:lang w:eastAsia="es-CR"/>
        </w:rPr>
        <w:t xml:space="preserve">Por último, </w:t>
      </w:r>
      <w:r w:rsidRPr="00721641">
        <w:rPr>
          <w:rFonts w:ascii="Verdana" w:hAnsi="Verdana" w:cs="Arial"/>
          <w:sz w:val="20"/>
          <w:szCs w:val="20"/>
          <w:lang w:eastAsia="es-CR"/>
        </w:rPr>
        <w:t>la Corte considera pertinente realizar el análisis sobre el alegado incumplimiento del deber de garantía por</w:t>
      </w:r>
      <w:r w:rsidRPr="00721641">
        <w:rPr>
          <w:rFonts w:ascii="Verdana" w:hAnsi="Verdana"/>
          <w:sz w:val="20"/>
          <w:szCs w:val="20"/>
          <w:lang w:eastAsia="es-CR"/>
        </w:rPr>
        <w:t xml:space="preserve"> </w:t>
      </w:r>
      <w:r w:rsidRPr="00721641">
        <w:rPr>
          <w:rFonts w:ascii="Verdana" w:hAnsi="Verdana" w:cs="Arial"/>
          <w:sz w:val="20"/>
          <w:szCs w:val="20"/>
          <w:lang w:eastAsia="es-CR"/>
        </w:rPr>
        <w:t xml:space="preserve">la falta de una investigación </w:t>
      </w:r>
      <w:r w:rsidRPr="00721641">
        <w:rPr>
          <w:rFonts w:ascii="Verdana" w:hAnsi="Verdana"/>
          <w:sz w:val="20"/>
          <w:szCs w:val="20"/>
          <w:lang w:eastAsia="es-CR"/>
        </w:rPr>
        <w:t xml:space="preserve">diligente, seria y efectiva </w:t>
      </w:r>
      <w:r w:rsidRPr="00721641">
        <w:rPr>
          <w:rFonts w:ascii="Verdana" w:hAnsi="Verdana"/>
          <w:sz w:val="20"/>
          <w:szCs w:val="20"/>
          <w:lang w:val="es-VE" w:eastAsia="es-CR"/>
        </w:rPr>
        <w:t>de los hechos</w:t>
      </w:r>
      <w:r w:rsidRPr="00721641">
        <w:rPr>
          <w:rFonts w:ascii="Verdana" w:hAnsi="Verdana" w:cs="Arial"/>
          <w:sz w:val="20"/>
          <w:szCs w:val="20"/>
          <w:lang w:eastAsia="es-CR"/>
        </w:rPr>
        <w:t xml:space="preserve"> (</w:t>
      </w:r>
      <w:r w:rsidRPr="00721641">
        <w:rPr>
          <w:rFonts w:ascii="Verdana" w:hAnsi="Verdana" w:cs="Arial"/>
          <w:i/>
          <w:sz w:val="20"/>
          <w:szCs w:val="20"/>
          <w:lang w:eastAsia="es-CR"/>
        </w:rPr>
        <w:t>supra</w:t>
      </w:r>
      <w:r>
        <w:rPr>
          <w:rFonts w:ascii="Verdana" w:hAnsi="Verdana" w:cs="Arial"/>
          <w:sz w:val="20"/>
          <w:szCs w:val="20"/>
          <w:lang w:eastAsia="es-CR"/>
        </w:rPr>
        <w:t xml:space="preserve"> párrs. 152 y 154)</w:t>
      </w:r>
      <w:r w:rsidRPr="00721641">
        <w:rPr>
          <w:rFonts w:ascii="Verdana" w:hAnsi="Verdana" w:cs="Arial"/>
          <w:sz w:val="20"/>
          <w:szCs w:val="20"/>
          <w:lang w:eastAsia="es-CR"/>
        </w:rPr>
        <w:t xml:space="preserve"> </w:t>
      </w:r>
      <w:r w:rsidRPr="00721641">
        <w:rPr>
          <w:rFonts w:ascii="Verdana" w:hAnsi="Verdana"/>
          <w:sz w:val="20"/>
          <w:szCs w:val="20"/>
          <w:lang w:eastAsia="es-CR"/>
        </w:rPr>
        <w:t xml:space="preserve">en el capítulo </w:t>
      </w:r>
      <w:r>
        <w:rPr>
          <w:rFonts w:ascii="Verdana" w:hAnsi="Verdana"/>
          <w:sz w:val="20"/>
          <w:szCs w:val="20"/>
          <w:lang w:eastAsia="es-CR"/>
        </w:rPr>
        <w:t>IX.III</w:t>
      </w:r>
      <w:r w:rsidRPr="00721641">
        <w:rPr>
          <w:rFonts w:ascii="Verdana" w:hAnsi="Verdana"/>
          <w:sz w:val="20"/>
          <w:szCs w:val="20"/>
          <w:lang w:eastAsia="es-CR"/>
        </w:rPr>
        <w:t xml:space="preserve"> de esta Sentencia.</w:t>
      </w:r>
    </w:p>
    <w:p w:rsidR="00106A1E" w:rsidRDefault="00106A1E" w:rsidP="00106A1E">
      <w:pPr>
        <w:keepNext/>
        <w:spacing w:after="0" w:line="240" w:lineRule="auto"/>
        <w:jc w:val="center"/>
        <w:outlineLvl w:val="0"/>
        <w:rPr>
          <w:rFonts w:ascii="Verdana" w:eastAsia="Calibri" w:hAnsi="Verdana"/>
          <w:b/>
          <w:sz w:val="20"/>
          <w:lang w:val="es-GT"/>
        </w:rPr>
      </w:pPr>
    </w:p>
    <w:p w:rsidR="00845740" w:rsidRPr="002964A7" w:rsidRDefault="00845740" w:rsidP="001154F9">
      <w:pPr>
        <w:pStyle w:val="Heading2"/>
        <w:numPr>
          <w:ilvl w:val="0"/>
          <w:numId w:val="0"/>
        </w:numPr>
        <w:ind w:left="360"/>
      </w:pPr>
      <w:bookmarkStart w:id="184" w:name="_Toc423102546"/>
      <w:bookmarkStart w:id="185" w:name="_Toc433387499"/>
      <w:r w:rsidRPr="002964A7">
        <w:t>IX.II</w:t>
      </w:r>
      <w:bookmarkEnd w:id="184"/>
      <w:bookmarkEnd w:id="185"/>
    </w:p>
    <w:p w:rsidR="001154F9" w:rsidRPr="001154F9" w:rsidRDefault="00845740" w:rsidP="007D6B20">
      <w:pPr>
        <w:pStyle w:val="Heading2"/>
        <w:numPr>
          <w:ilvl w:val="0"/>
          <w:numId w:val="0"/>
        </w:numPr>
        <w:spacing w:line="240" w:lineRule="auto"/>
        <w:ind w:left="360"/>
        <w:rPr>
          <w:rFonts w:cs="Tahoma"/>
        </w:rPr>
      </w:pPr>
      <w:bookmarkStart w:id="186" w:name="_Toc421864971"/>
      <w:bookmarkStart w:id="187" w:name="_Toc423102547"/>
      <w:bookmarkStart w:id="188" w:name="_Toc433387500"/>
      <w:r w:rsidRPr="002964A7">
        <w:rPr>
          <w:rFonts w:eastAsiaTheme="minorHAnsi" w:cs="Tahoma"/>
        </w:rPr>
        <w:t>DERECHO DE PROPIEDAD Y A LA VIDA PRIVADA Y FAMILIAR</w:t>
      </w:r>
      <w:bookmarkEnd w:id="186"/>
      <w:bookmarkEnd w:id="187"/>
      <w:bookmarkEnd w:id="188"/>
    </w:p>
    <w:p w:rsidR="00845740" w:rsidRPr="002964A7" w:rsidRDefault="00845740" w:rsidP="001154F9">
      <w:pPr>
        <w:pStyle w:val="Heading3"/>
      </w:pPr>
      <w:bookmarkStart w:id="189" w:name="_Toc421864972"/>
      <w:bookmarkStart w:id="190" w:name="_Toc423102548"/>
      <w:bookmarkStart w:id="191" w:name="_Toc433387501"/>
      <w:r w:rsidRPr="002964A7">
        <w:rPr>
          <w:lang w:val="es-VE"/>
        </w:rPr>
        <w:t>A</w:t>
      </w:r>
      <w:r w:rsidR="007D6B20">
        <w:rPr>
          <w:lang w:val="es-VE"/>
        </w:rPr>
        <w:t>.</w:t>
      </w:r>
      <w:r w:rsidRPr="002964A7">
        <w:rPr>
          <w:lang w:val="es-VE"/>
        </w:rPr>
        <w:t xml:space="preserve"> Argumentos de la Comisión y de las partes</w:t>
      </w:r>
      <w:bookmarkEnd w:id="189"/>
      <w:bookmarkEnd w:id="190"/>
      <w:bookmarkEnd w:id="191"/>
    </w:p>
    <w:p w:rsidR="00845740" w:rsidRPr="007D6B20" w:rsidRDefault="00845740" w:rsidP="00845740">
      <w:pPr>
        <w:spacing w:after="0" w:line="240" w:lineRule="auto"/>
        <w:jc w:val="both"/>
        <w:rPr>
          <w:rFonts w:ascii="Verdana" w:hAnsi="Verdana"/>
          <w:sz w:val="16"/>
          <w:szCs w:val="20"/>
          <w:lang w:val="es-VE"/>
        </w:rPr>
      </w:pPr>
    </w:p>
    <w:p w:rsidR="00845740" w:rsidRPr="002964A7"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b/>
          <w:sz w:val="20"/>
          <w:szCs w:val="20"/>
          <w:lang w:val="es-VE"/>
        </w:rPr>
      </w:pPr>
      <w:r w:rsidRPr="002964A7">
        <w:rPr>
          <w:rFonts w:ascii="Verdana" w:hAnsi="Verdana"/>
          <w:sz w:val="20"/>
          <w:szCs w:val="20"/>
          <w:lang w:val="es-VE"/>
        </w:rPr>
        <w:t xml:space="preserve">Los </w:t>
      </w:r>
      <w:r w:rsidRPr="002964A7">
        <w:rPr>
          <w:rFonts w:ascii="Verdana" w:hAnsi="Verdana"/>
          <w:b/>
          <w:i/>
          <w:sz w:val="20"/>
          <w:szCs w:val="20"/>
          <w:lang w:val="es-VE"/>
        </w:rPr>
        <w:t>representantes</w:t>
      </w:r>
      <w:r w:rsidRPr="002964A7">
        <w:rPr>
          <w:rFonts w:ascii="Verdana" w:hAnsi="Verdana"/>
          <w:sz w:val="20"/>
          <w:szCs w:val="20"/>
          <w:lang w:val="es-VE"/>
        </w:rPr>
        <w:t xml:space="preserve"> alegaron que el Estado violó el derecho de propiedad y a la vida privada y familiar con base en dos argumentos. En primer lugar, alegaron que agentes estatales </w:t>
      </w:r>
      <w:r w:rsidRPr="002964A7">
        <w:rPr>
          <w:rFonts w:ascii="Verdana" w:hAnsi="Verdana"/>
          <w:sz w:val="20"/>
          <w:szCs w:val="20"/>
          <w:lang w:val="es-GT"/>
        </w:rPr>
        <w:t>robaron</w:t>
      </w:r>
      <w:r w:rsidRPr="002964A7">
        <w:rPr>
          <w:rFonts w:ascii="Verdana" w:hAnsi="Verdana"/>
          <w:sz w:val="20"/>
          <w:szCs w:val="20"/>
          <w:lang w:val="es-VE"/>
        </w:rPr>
        <w:t xml:space="preserve"> el ganado, los víveres y todas las otras propiedades de valor que encontraron </w:t>
      </w:r>
      <w:r>
        <w:rPr>
          <w:rFonts w:ascii="Verdana" w:hAnsi="Verdana"/>
          <w:sz w:val="20"/>
          <w:szCs w:val="20"/>
          <w:lang w:val="es-VE"/>
        </w:rPr>
        <w:t>en las casas de las víctimas,</w:t>
      </w:r>
      <w:r w:rsidRPr="002964A7">
        <w:rPr>
          <w:rFonts w:ascii="Verdana" w:hAnsi="Verdana"/>
          <w:sz w:val="20"/>
          <w:szCs w:val="20"/>
          <w:lang w:val="es-VE"/>
        </w:rPr>
        <w:t xml:space="preserve"> en el marco de un operativo militar que </w:t>
      </w:r>
      <w:r w:rsidRPr="002964A7">
        <w:rPr>
          <w:rFonts w:ascii="Verdana" w:hAnsi="Verdana"/>
          <w:sz w:val="20"/>
          <w:szCs w:val="20"/>
          <w:lang w:val="es-VE"/>
        </w:rPr>
        <w:lastRenderedPageBreak/>
        <w:t xml:space="preserve">produjo la desaparición de </w:t>
      </w:r>
      <w:r>
        <w:rPr>
          <w:rFonts w:ascii="Verdana" w:hAnsi="Verdana"/>
          <w:sz w:val="20"/>
          <w:szCs w:val="20"/>
          <w:lang w:val="es-VE"/>
        </w:rPr>
        <w:t>estas</w:t>
      </w:r>
      <w:r w:rsidRPr="002964A7">
        <w:rPr>
          <w:rFonts w:ascii="Verdana" w:hAnsi="Verdana"/>
          <w:sz w:val="20"/>
          <w:szCs w:val="20"/>
          <w:lang w:val="es-VE"/>
        </w:rPr>
        <w:t xml:space="preserve">, sin que hayan recuperado dichos bienes hasta la fecha ni recibido indemnizaciones de </w:t>
      </w:r>
      <w:r>
        <w:rPr>
          <w:rFonts w:ascii="Verdana" w:hAnsi="Verdana"/>
          <w:sz w:val="20"/>
          <w:szCs w:val="20"/>
          <w:lang w:val="es-VE"/>
        </w:rPr>
        <w:t>ninguna</w:t>
      </w:r>
      <w:r w:rsidRPr="002964A7">
        <w:rPr>
          <w:rFonts w:ascii="Verdana" w:hAnsi="Verdana"/>
          <w:sz w:val="20"/>
          <w:szCs w:val="20"/>
          <w:lang w:val="es-VE"/>
        </w:rPr>
        <w:t xml:space="preserve"> índole. Según los representantes, las </w:t>
      </w:r>
      <w:r w:rsidRPr="002964A7">
        <w:rPr>
          <w:rFonts w:ascii="Verdana" w:eastAsia="Calibri" w:hAnsi="Verdana" w:cs="Arial"/>
          <w:sz w:val="20"/>
          <w:szCs w:val="20"/>
        </w:rPr>
        <w:t>denuncias iniciales</w:t>
      </w:r>
      <w:r w:rsidRPr="002964A7">
        <w:rPr>
          <w:rFonts w:ascii="Verdana" w:hAnsi="Verdana"/>
          <w:sz w:val="20"/>
          <w:szCs w:val="20"/>
          <w:lang w:val="es-VE"/>
        </w:rPr>
        <w:t xml:space="preserve"> </w:t>
      </w:r>
      <w:r w:rsidRPr="002964A7">
        <w:rPr>
          <w:rFonts w:ascii="Verdana" w:eastAsia="Calibri" w:hAnsi="Verdana" w:cs="Arial"/>
          <w:sz w:val="20"/>
          <w:szCs w:val="20"/>
        </w:rPr>
        <w:t>de los hechos mencionan que los</w:t>
      </w:r>
      <w:r w:rsidRPr="002964A7">
        <w:rPr>
          <w:rFonts w:ascii="Verdana" w:hAnsi="Verdana"/>
          <w:sz w:val="20"/>
          <w:szCs w:val="20"/>
          <w:lang w:val="es-VE"/>
        </w:rPr>
        <w:t xml:space="preserve"> </w:t>
      </w:r>
      <w:r w:rsidRPr="002964A7">
        <w:rPr>
          <w:rFonts w:ascii="Verdana" w:eastAsia="Calibri" w:hAnsi="Verdana" w:cs="Arial"/>
          <w:sz w:val="20"/>
          <w:szCs w:val="20"/>
        </w:rPr>
        <w:t xml:space="preserve">militares se habían llevado una cantidad de </w:t>
      </w:r>
      <w:r w:rsidRPr="002964A7">
        <w:rPr>
          <w:rFonts w:ascii="Verdana" w:eastAsia="Calibri" w:hAnsi="Verdana"/>
          <w:sz w:val="20"/>
          <w:szCs w:val="20"/>
        </w:rPr>
        <w:t xml:space="preserve">450 </w:t>
      </w:r>
      <w:r w:rsidRPr="002964A7">
        <w:rPr>
          <w:rFonts w:ascii="Verdana" w:eastAsia="Calibri" w:hAnsi="Verdana" w:cs="Arial"/>
          <w:sz w:val="20"/>
          <w:szCs w:val="20"/>
        </w:rPr>
        <w:t xml:space="preserve">alpacas, </w:t>
      </w:r>
      <w:r w:rsidRPr="002964A7">
        <w:rPr>
          <w:rFonts w:ascii="Verdana" w:eastAsia="Calibri" w:hAnsi="Verdana"/>
          <w:sz w:val="20"/>
          <w:szCs w:val="20"/>
        </w:rPr>
        <w:t xml:space="preserve">300 </w:t>
      </w:r>
      <w:r w:rsidRPr="002964A7">
        <w:rPr>
          <w:rFonts w:ascii="Verdana" w:eastAsia="Calibri" w:hAnsi="Verdana" w:cs="Arial"/>
          <w:sz w:val="20"/>
          <w:szCs w:val="20"/>
        </w:rPr>
        <w:t xml:space="preserve">cabezas de ovinos, </w:t>
      </w:r>
      <w:r w:rsidRPr="002964A7">
        <w:rPr>
          <w:rFonts w:ascii="Verdana" w:eastAsia="Calibri" w:hAnsi="Verdana"/>
          <w:sz w:val="20"/>
          <w:szCs w:val="20"/>
        </w:rPr>
        <w:t>15</w:t>
      </w:r>
      <w:r w:rsidRPr="002964A7">
        <w:rPr>
          <w:rFonts w:ascii="Verdana" w:hAnsi="Verdana"/>
          <w:sz w:val="20"/>
          <w:szCs w:val="20"/>
          <w:lang w:val="es-VE"/>
        </w:rPr>
        <w:t xml:space="preserve"> </w:t>
      </w:r>
      <w:r w:rsidRPr="002964A7">
        <w:rPr>
          <w:rFonts w:ascii="Verdana" w:eastAsia="Calibri" w:hAnsi="Verdana" w:cs="Arial"/>
          <w:sz w:val="20"/>
          <w:szCs w:val="20"/>
        </w:rPr>
        <w:t xml:space="preserve">caballos y </w:t>
      </w:r>
      <w:r w:rsidRPr="002964A7">
        <w:rPr>
          <w:rFonts w:ascii="Verdana" w:eastAsia="Calibri" w:hAnsi="Verdana"/>
          <w:sz w:val="20"/>
          <w:szCs w:val="20"/>
        </w:rPr>
        <w:t xml:space="preserve">19 </w:t>
      </w:r>
      <w:r w:rsidRPr="002964A7">
        <w:rPr>
          <w:rFonts w:ascii="Verdana" w:eastAsia="Calibri" w:hAnsi="Verdana" w:cs="Arial"/>
          <w:sz w:val="20"/>
          <w:szCs w:val="20"/>
        </w:rPr>
        <w:t>vacunos</w:t>
      </w:r>
      <w:r>
        <w:rPr>
          <w:rFonts w:ascii="Verdana" w:eastAsia="Calibri" w:hAnsi="Verdana" w:cs="Arial"/>
          <w:sz w:val="20"/>
          <w:szCs w:val="20"/>
        </w:rPr>
        <w:t>;</w:t>
      </w:r>
      <w:r w:rsidRPr="002964A7">
        <w:rPr>
          <w:rFonts w:ascii="Verdana" w:eastAsia="Calibri" w:hAnsi="Verdana" w:cs="Arial"/>
          <w:sz w:val="20"/>
          <w:szCs w:val="20"/>
        </w:rPr>
        <w:t xml:space="preserve"> igualmente, se llevaron víveres consistentes en maíz, cebada, papa y</w:t>
      </w:r>
      <w:r w:rsidRPr="002964A7">
        <w:rPr>
          <w:rFonts w:ascii="Verdana" w:hAnsi="Verdana"/>
          <w:sz w:val="20"/>
          <w:szCs w:val="20"/>
          <w:lang w:val="es-VE"/>
        </w:rPr>
        <w:t xml:space="preserve"> </w:t>
      </w:r>
      <w:r w:rsidRPr="002964A7">
        <w:rPr>
          <w:rFonts w:ascii="Verdana" w:eastAsia="Calibri" w:hAnsi="Verdana" w:cs="Arial"/>
          <w:sz w:val="20"/>
          <w:szCs w:val="20"/>
        </w:rPr>
        <w:t>otros de la estancia donde se hallaban las casas familiares. Al respecto</w:t>
      </w:r>
      <w:r w:rsidRPr="002964A7">
        <w:rPr>
          <w:rFonts w:ascii="Verdana" w:hAnsi="Verdana"/>
          <w:sz w:val="20"/>
          <w:szCs w:val="20"/>
          <w:lang w:val="es-VE"/>
        </w:rPr>
        <w:t xml:space="preserve">, argumentaron que “las víctimas y sus familiares guardan un estrecho vínculo con el ganado, el cual constituye su principal fuente de subsistencia”, y que “debido a las circunstancias socioeconómicas adversas en las que se encontraban las víctimas, la sustracción ilegal de su propiedad por parte de los efectivos militares generó un mayor grado de afectación en ellos”. </w:t>
      </w:r>
      <w:r w:rsidRPr="002964A7">
        <w:rPr>
          <w:rFonts w:ascii="Verdana" w:eastAsia="Calibri" w:hAnsi="Verdana" w:cs="Arial"/>
          <w:sz w:val="20"/>
          <w:szCs w:val="20"/>
        </w:rPr>
        <w:t xml:space="preserve">En consecuencia, solicitaron a la Corte que declare la violación del derecho a la propiedad, contenido en el artículo 21 de la Convención, de “las víctimas y sus familiares”. </w:t>
      </w:r>
    </w:p>
    <w:p w:rsidR="00845740" w:rsidRPr="002964A7" w:rsidRDefault="00845740" w:rsidP="00845740">
      <w:pPr>
        <w:spacing w:after="0" w:line="240" w:lineRule="auto"/>
        <w:jc w:val="both"/>
        <w:rPr>
          <w:rFonts w:ascii="Verdana" w:hAnsi="Verdana"/>
          <w:sz w:val="20"/>
          <w:szCs w:val="20"/>
          <w:lang w:val="es-VE"/>
        </w:rPr>
      </w:pPr>
    </w:p>
    <w:p w:rsidR="00845740" w:rsidRPr="002964A7"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VE"/>
        </w:rPr>
      </w:pPr>
      <w:r w:rsidRPr="002964A7">
        <w:rPr>
          <w:rFonts w:ascii="Verdana" w:hAnsi="Verdana"/>
          <w:sz w:val="20"/>
          <w:szCs w:val="20"/>
          <w:lang w:val="es-VE"/>
        </w:rPr>
        <w:t>En segundo lugar, los representantes</w:t>
      </w:r>
      <w:r>
        <w:rPr>
          <w:rFonts w:ascii="Verdana" w:hAnsi="Verdana"/>
          <w:sz w:val="20"/>
          <w:szCs w:val="20"/>
          <w:lang w:val="es-VE"/>
        </w:rPr>
        <w:t xml:space="preserve"> alegaron que</w:t>
      </w:r>
      <w:r w:rsidRPr="002964A7">
        <w:rPr>
          <w:rFonts w:ascii="Verdana" w:hAnsi="Verdana"/>
          <w:sz w:val="20"/>
          <w:szCs w:val="20"/>
          <w:lang w:val="es-VE"/>
        </w:rPr>
        <w:t xml:space="preserve"> agentes estatales incendiaron las dos viviendas pertenecientes a las familias de Francisco Hilario Torres y Ramón Hilario Morán y en las que residían 14 de las </w:t>
      </w:r>
      <w:r w:rsidRPr="002964A7">
        <w:rPr>
          <w:rFonts w:ascii="Verdana" w:hAnsi="Verdana"/>
          <w:sz w:val="20"/>
          <w:szCs w:val="20"/>
        </w:rPr>
        <w:t>víctimas</w:t>
      </w:r>
      <w:r w:rsidRPr="002964A7">
        <w:rPr>
          <w:rFonts w:ascii="Verdana" w:hAnsi="Verdana"/>
          <w:sz w:val="20"/>
          <w:szCs w:val="20"/>
          <w:lang w:val="es-VE"/>
        </w:rPr>
        <w:t xml:space="preserve"> de desaparición forzada y sus familiares, lo cual configuraría una violación adicional al derecho de propiedad y además al derecho a la vida privada y familiar. Señalaron que “los efectivos militares allanaron ilegalmente las viviendas de las víctimas y les obligaron a salir y luego les prendieron fuego” y que, al volver los familiares de las 14 víctimas desaparecidas, “encontraron un cuadro devastador: casas quemadas, pertenencias saqueadas, animales muertos, mucha sangre por los alrededores de los caserones, […] ropa tirada en el piso y huellas que les hizo suponer que las víctimas fueron obligadas a caminar descalzas”. Por ende, alegaron que “[l]a destrucción de las viviendas pertenecientes a las víctimas, por parte de agentes del Estado, configura una injerencia abusiva y arbitraria en la vida privada y el domicilio de las víctimas, además de una violación al derecho a la propiedad”. </w:t>
      </w:r>
      <w:r w:rsidRPr="002964A7">
        <w:rPr>
          <w:rFonts w:ascii="Verdana" w:eastAsia="Calibri" w:hAnsi="Verdana" w:cs="Arial"/>
          <w:sz w:val="20"/>
          <w:szCs w:val="20"/>
        </w:rPr>
        <w:t>Por lo</w:t>
      </w:r>
      <w:r w:rsidRPr="002964A7">
        <w:rPr>
          <w:rFonts w:ascii="Verdana" w:hAnsi="Verdana"/>
          <w:sz w:val="20"/>
          <w:szCs w:val="20"/>
          <w:lang w:val="es-VE"/>
        </w:rPr>
        <w:t xml:space="preserve"> </w:t>
      </w:r>
      <w:r w:rsidRPr="002964A7">
        <w:rPr>
          <w:rFonts w:ascii="Verdana" w:eastAsia="Calibri" w:hAnsi="Verdana" w:cs="Arial"/>
          <w:sz w:val="20"/>
          <w:szCs w:val="20"/>
        </w:rPr>
        <w:t xml:space="preserve">tanto, solicitaron que la Corte declare que el Estado violó los artículos 21 y 11.2 de la Convención Americana, en conjunto con el incumplimiento del artículo 1.1. del mismo instrumento. </w:t>
      </w:r>
    </w:p>
    <w:p w:rsidR="00845740" w:rsidRPr="002964A7" w:rsidRDefault="00845740" w:rsidP="00845740">
      <w:pPr>
        <w:spacing w:after="0" w:line="240" w:lineRule="auto"/>
        <w:jc w:val="both"/>
        <w:rPr>
          <w:rFonts w:ascii="Verdana" w:hAnsi="Verdana"/>
          <w:sz w:val="20"/>
          <w:szCs w:val="20"/>
          <w:lang w:val="es-VE"/>
        </w:rPr>
      </w:pPr>
    </w:p>
    <w:p w:rsidR="001154F9" w:rsidRPr="001154F9"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lang w:val="es-VE"/>
        </w:rPr>
      </w:pPr>
      <w:r w:rsidRPr="002964A7">
        <w:rPr>
          <w:rFonts w:ascii="Verdana" w:hAnsi="Verdana"/>
          <w:sz w:val="20"/>
          <w:szCs w:val="20"/>
          <w:lang w:val="es-VE"/>
        </w:rPr>
        <w:t xml:space="preserve">La </w:t>
      </w:r>
      <w:r w:rsidRPr="002964A7">
        <w:rPr>
          <w:rFonts w:ascii="Verdana" w:hAnsi="Verdana"/>
          <w:b/>
          <w:i/>
          <w:sz w:val="20"/>
          <w:szCs w:val="20"/>
          <w:lang w:val="es-VE"/>
        </w:rPr>
        <w:t>Comisión</w:t>
      </w:r>
      <w:r w:rsidRPr="002964A7">
        <w:rPr>
          <w:rFonts w:ascii="Verdana" w:hAnsi="Verdana"/>
          <w:sz w:val="20"/>
          <w:szCs w:val="20"/>
          <w:lang w:val="es-VE"/>
        </w:rPr>
        <w:t xml:space="preserve"> no presentó argumentos de derecho relativos a la alegada violación de los artículos 21 y 11.2 de la Convención Americana. El </w:t>
      </w:r>
      <w:r w:rsidRPr="002964A7">
        <w:rPr>
          <w:rFonts w:ascii="Verdana" w:hAnsi="Verdana"/>
          <w:b/>
          <w:i/>
          <w:sz w:val="20"/>
          <w:szCs w:val="20"/>
          <w:lang w:val="es-VE"/>
        </w:rPr>
        <w:t>Estado</w:t>
      </w:r>
      <w:r w:rsidRPr="002964A7">
        <w:rPr>
          <w:rFonts w:ascii="Verdana" w:hAnsi="Verdana"/>
          <w:sz w:val="20"/>
          <w:szCs w:val="20"/>
          <w:lang w:val="es-VE"/>
        </w:rPr>
        <w:t xml:space="preserve"> tampoco </w:t>
      </w:r>
      <w:r w:rsidRPr="002964A7">
        <w:rPr>
          <w:rFonts w:ascii="Verdana" w:hAnsi="Verdana"/>
          <w:sz w:val="20"/>
          <w:szCs w:val="20"/>
        </w:rPr>
        <w:t>presentó alegatos al respecto</w:t>
      </w:r>
      <w:r w:rsidRPr="002964A7">
        <w:rPr>
          <w:rFonts w:ascii="Verdana" w:hAnsi="Verdana"/>
          <w:sz w:val="20"/>
          <w:szCs w:val="20"/>
          <w:lang w:val="es-VE"/>
        </w:rPr>
        <w:t xml:space="preserve">, ya que </w:t>
      </w:r>
      <w:r w:rsidRPr="002964A7">
        <w:rPr>
          <w:rFonts w:ascii="Verdana" w:hAnsi="Verdana"/>
          <w:sz w:val="20"/>
          <w:szCs w:val="20"/>
        </w:rPr>
        <w:t>argumentó</w:t>
      </w:r>
      <w:r w:rsidRPr="002964A7">
        <w:rPr>
          <w:rFonts w:ascii="Verdana" w:hAnsi="Verdana"/>
          <w:sz w:val="20"/>
          <w:szCs w:val="20"/>
          <w:lang w:val="es-VE"/>
        </w:rPr>
        <w:t xml:space="preserve"> que los hechos descritos por los representantes se encontrarían fuera del marco fáctico del caso (</w:t>
      </w:r>
      <w:r w:rsidRPr="002964A7">
        <w:rPr>
          <w:rFonts w:ascii="Verdana" w:hAnsi="Verdana"/>
          <w:i/>
          <w:sz w:val="20"/>
          <w:szCs w:val="20"/>
          <w:lang w:val="es-VE"/>
        </w:rPr>
        <w:t xml:space="preserve">supra </w:t>
      </w:r>
      <w:r w:rsidRPr="002964A7">
        <w:rPr>
          <w:rFonts w:ascii="Verdana" w:hAnsi="Verdana"/>
          <w:sz w:val="20"/>
          <w:szCs w:val="20"/>
          <w:lang w:val="es-VE"/>
        </w:rPr>
        <w:t xml:space="preserve">párr. </w:t>
      </w:r>
      <w:r>
        <w:rPr>
          <w:rFonts w:ascii="Verdana" w:hAnsi="Verdana"/>
          <w:sz w:val="20"/>
          <w:szCs w:val="20"/>
          <w:lang w:val="es-VE"/>
        </w:rPr>
        <w:t>16</w:t>
      </w:r>
      <w:r w:rsidRPr="002964A7">
        <w:rPr>
          <w:rFonts w:ascii="Verdana" w:hAnsi="Verdana"/>
          <w:sz w:val="20"/>
          <w:szCs w:val="20"/>
          <w:lang w:val="es-VE"/>
        </w:rPr>
        <w:t>).</w:t>
      </w:r>
    </w:p>
    <w:p w:rsidR="00845740" w:rsidRPr="002964A7" w:rsidRDefault="00845740" w:rsidP="001154F9">
      <w:pPr>
        <w:pStyle w:val="Heading3"/>
        <w:rPr>
          <w:lang w:val="es-VE"/>
        </w:rPr>
      </w:pPr>
      <w:bookmarkStart w:id="192" w:name="_Toc421864973"/>
      <w:bookmarkStart w:id="193" w:name="_Toc423102549"/>
      <w:bookmarkStart w:id="194" w:name="_Toc433387502"/>
      <w:r w:rsidRPr="002964A7">
        <w:rPr>
          <w:lang w:val="es-VE"/>
        </w:rPr>
        <w:t>B. Consideraciones de la Corte</w:t>
      </w:r>
      <w:bookmarkEnd w:id="192"/>
      <w:bookmarkEnd w:id="193"/>
      <w:bookmarkEnd w:id="194"/>
      <w:r w:rsidRPr="002964A7">
        <w:rPr>
          <w:lang w:val="es-VE"/>
        </w:rPr>
        <w:t xml:space="preserve"> </w:t>
      </w:r>
    </w:p>
    <w:p w:rsidR="00845740" w:rsidRPr="002964A7" w:rsidRDefault="00845740" w:rsidP="00845740">
      <w:pPr>
        <w:spacing w:after="0" w:line="240" w:lineRule="auto"/>
        <w:rPr>
          <w:rFonts w:ascii="Verdana" w:hAnsi="Verdana"/>
          <w:sz w:val="20"/>
          <w:szCs w:val="20"/>
          <w:lang w:val="es-VE"/>
        </w:rPr>
      </w:pPr>
    </w:p>
    <w:p w:rsidR="00845740" w:rsidRPr="002964A7"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rPr>
        <w:t>La jurisprudencia de la Corte ha desarrollado un concepto amplio de propiedad, el cual abarca, entre otros, el uso y goce de los “bienes”, definidos como cosas materiales apropiables, así como todo derecho que pueda formar parte del patrimonio de una persona. Dicho concepto comprende todos los muebles e inmuebles, los elementos corporales e incorporales y cualquier otro objeto inmaterial susceptible de valor</w:t>
      </w:r>
      <w:r w:rsidRPr="002964A7">
        <w:rPr>
          <w:rStyle w:val="FootnoteReference"/>
          <w:rFonts w:eastAsiaTheme="minorHAnsi"/>
          <w:szCs w:val="20"/>
        </w:rPr>
        <w:footnoteReference w:id="224"/>
      </w:r>
      <w:r w:rsidRPr="002964A7">
        <w:rPr>
          <w:rFonts w:ascii="Verdana" w:hAnsi="Verdana"/>
          <w:sz w:val="20"/>
          <w:szCs w:val="20"/>
        </w:rPr>
        <w:t>.</w:t>
      </w:r>
    </w:p>
    <w:p w:rsidR="00845740" w:rsidRPr="002964A7" w:rsidRDefault="00845740" w:rsidP="00845740">
      <w:pPr>
        <w:pStyle w:val="ListParagraph"/>
        <w:autoSpaceDE w:val="0"/>
        <w:autoSpaceDN w:val="0"/>
        <w:adjustRightInd w:val="0"/>
        <w:spacing w:after="0" w:line="240" w:lineRule="auto"/>
        <w:ind w:left="0"/>
        <w:jc w:val="both"/>
        <w:rPr>
          <w:rFonts w:ascii="Verdana" w:hAnsi="Verdana"/>
          <w:sz w:val="20"/>
          <w:szCs w:val="20"/>
        </w:rPr>
      </w:pPr>
    </w:p>
    <w:p w:rsidR="00845740" w:rsidRPr="002964A7" w:rsidRDefault="00845740" w:rsidP="001154F9">
      <w:pPr>
        <w:pStyle w:val="ListParagraph"/>
        <w:numPr>
          <w:ilvl w:val="0"/>
          <w:numId w:val="7"/>
        </w:numPr>
        <w:autoSpaceDE w:val="0"/>
        <w:autoSpaceDN w:val="0"/>
        <w:adjustRightInd w:val="0"/>
        <w:spacing w:after="0" w:line="240" w:lineRule="auto"/>
        <w:ind w:left="0" w:firstLine="0"/>
        <w:jc w:val="both"/>
        <w:rPr>
          <w:rFonts w:ascii="Verdana" w:eastAsia="Batang" w:hAnsi="Verdana" w:cs="Times"/>
          <w:sz w:val="20"/>
          <w:szCs w:val="20"/>
        </w:rPr>
      </w:pPr>
      <w:r w:rsidRPr="002964A7">
        <w:rPr>
          <w:rFonts w:ascii="Verdana" w:eastAsia="Batang" w:hAnsi="Verdana" w:cs="Times"/>
          <w:sz w:val="20"/>
          <w:szCs w:val="20"/>
        </w:rPr>
        <w:t>A su vez, el Tribunal recuerda que el artículo 11.2 de la Convención</w:t>
      </w:r>
      <w:r w:rsidRPr="002964A7">
        <w:rPr>
          <w:rStyle w:val="FootnoteReference"/>
          <w:rFonts w:eastAsia="Batang" w:cs="Times"/>
          <w:szCs w:val="20"/>
        </w:rPr>
        <w:footnoteReference w:id="225"/>
      </w:r>
      <w:r w:rsidRPr="002964A7">
        <w:rPr>
          <w:rFonts w:ascii="Verdana" w:eastAsia="Batang" w:hAnsi="Verdana" w:cs="Times"/>
          <w:sz w:val="20"/>
          <w:szCs w:val="20"/>
        </w:rPr>
        <w:t xml:space="preserve"> reconoce que existe un ámbito de la privacidad que debe quedar exento e inmune a las invasiones o agresiones abusivas o arbitrarias por parte de terceros o de la autoridad pública. En este </w:t>
      </w:r>
      <w:r w:rsidRPr="002964A7">
        <w:rPr>
          <w:rFonts w:ascii="Verdana" w:hAnsi="Verdana"/>
          <w:sz w:val="20"/>
          <w:szCs w:val="20"/>
          <w:lang w:val="es-VE"/>
        </w:rPr>
        <w:t>sentido</w:t>
      </w:r>
      <w:r w:rsidRPr="002964A7">
        <w:rPr>
          <w:rFonts w:ascii="Verdana" w:eastAsia="Batang" w:hAnsi="Verdana" w:cs="Times"/>
          <w:sz w:val="20"/>
          <w:szCs w:val="20"/>
        </w:rPr>
        <w:t xml:space="preserve">, el domicilio y la vida privada y familiar se encuentran intrínsecamente ligados, ya </w:t>
      </w:r>
      <w:r w:rsidRPr="002964A7">
        <w:rPr>
          <w:rFonts w:ascii="Verdana" w:eastAsia="Batang" w:hAnsi="Verdana" w:cs="Times"/>
          <w:sz w:val="20"/>
          <w:szCs w:val="20"/>
        </w:rPr>
        <w:lastRenderedPageBreak/>
        <w:t xml:space="preserve">que el domicilio </w:t>
      </w:r>
      <w:r w:rsidRPr="002964A7">
        <w:rPr>
          <w:rFonts w:ascii="Verdana" w:hAnsi="Verdana"/>
          <w:sz w:val="20"/>
          <w:szCs w:val="20"/>
        </w:rPr>
        <w:t>se</w:t>
      </w:r>
      <w:r w:rsidRPr="002964A7">
        <w:rPr>
          <w:rFonts w:ascii="Verdana" w:eastAsia="Batang" w:hAnsi="Verdana" w:cs="Times"/>
          <w:sz w:val="20"/>
          <w:szCs w:val="20"/>
        </w:rPr>
        <w:t xml:space="preserve"> convierte en un espacio en el cual se puede desarrollar libremente la vida privada y familiar</w:t>
      </w:r>
      <w:r w:rsidRPr="002964A7">
        <w:rPr>
          <w:rFonts w:ascii="Verdana" w:eastAsia="Batang" w:hAnsi="Verdana" w:cs="Times"/>
          <w:sz w:val="20"/>
          <w:szCs w:val="20"/>
          <w:vertAlign w:val="superscript"/>
        </w:rPr>
        <w:footnoteReference w:id="226"/>
      </w:r>
      <w:r w:rsidRPr="002964A7">
        <w:rPr>
          <w:rFonts w:ascii="Verdana" w:eastAsia="Batang" w:hAnsi="Verdana" w:cs="Times"/>
          <w:sz w:val="20"/>
          <w:szCs w:val="20"/>
        </w:rPr>
        <w:t>.</w:t>
      </w:r>
    </w:p>
    <w:p w:rsidR="00845740" w:rsidRPr="002964A7" w:rsidRDefault="00845740" w:rsidP="00845740">
      <w:pPr>
        <w:pStyle w:val="ListParagraph"/>
        <w:autoSpaceDE w:val="0"/>
        <w:autoSpaceDN w:val="0"/>
        <w:adjustRightInd w:val="0"/>
        <w:spacing w:after="0" w:line="240" w:lineRule="auto"/>
        <w:ind w:left="0"/>
        <w:jc w:val="both"/>
        <w:rPr>
          <w:rFonts w:ascii="Verdana" w:eastAsia="Batang" w:hAnsi="Verdana" w:cs="Times"/>
          <w:sz w:val="20"/>
          <w:szCs w:val="20"/>
        </w:rPr>
      </w:pPr>
    </w:p>
    <w:p w:rsidR="00845740" w:rsidRPr="002964A7"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rPr>
        <w:t xml:space="preserve">Como ya se estableció en esta Sentencia, en la zona de la </w:t>
      </w:r>
      <w:r>
        <w:rPr>
          <w:rFonts w:ascii="Verdana" w:hAnsi="Verdana"/>
          <w:sz w:val="20"/>
          <w:szCs w:val="20"/>
        </w:rPr>
        <w:t>c</w:t>
      </w:r>
      <w:r w:rsidRPr="002964A7">
        <w:rPr>
          <w:rFonts w:ascii="Verdana" w:hAnsi="Verdana"/>
          <w:sz w:val="20"/>
          <w:szCs w:val="20"/>
        </w:rPr>
        <w:t xml:space="preserve">omunidad </w:t>
      </w:r>
      <w:r>
        <w:rPr>
          <w:rFonts w:ascii="Verdana" w:hAnsi="Verdana"/>
          <w:sz w:val="20"/>
          <w:szCs w:val="20"/>
        </w:rPr>
        <w:t>c</w:t>
      </w:r>
      <w:r w:rsidRPr="002964A7">
        <w:rPr>
          <w:rFonts w:ascii="Verdana" w:hAnsi="Verdana"/>
          <w:sz w:val="20"/>
          <w:szCs w:val="20"/>
        </w:rPr>
        <w:t xml:space="preserve">ampesina de Santa Bárbara era común el ingreso </w:t>
      </w:r>
      <w:r w:rsidRPr="002964A7">
        <w:rPr>
          <w:rFonts w:ascii="Verdana" w:hAnsi="Verdana"/>
          <w:sz w:val="20"/>
          <w:szCs w:val="20"/>
          <w:lang w:eastAsia="es-CR"/>
        </w:rPr>
        <w:t>por parte del ejército peruano</w:t>
      </w:r>
      <w:r w:rsidRPr="002964A7">
        <w:rPr>
          <w:rFonts w:ascii="Verdana" w:hAnsi="Verdana"/>
          <w:sz w:val="20"/>
          <w:szCs w:val="20"/>
        </w:rPr>
        <w:t xml:space="preserve"> a las casas de los </w:t>
      </w:r>
      <w:r w:rsidRPr="002964A7">
        <w:rPr>
          <w:rFonts w:ascii="Verdana" w:hAnsi="Verdana"/>
          <w:sz w:val="20"/>
          <w:szCs w:val="20"/>
          <w:lang w:val="es-VE"/>
        </w:rPr>
        <w:t>pobladores</w:t>
      </w:r>
      <w:r w:rsidRPr="002964A7">
        <w:rPr>
          <w:rFonts w:ascii="Verdana" w:hAnsi="Verdana"/>
          <w:sz w:val="20"/>
          <w:szCs w:val="20"/>
        </w:rPr>
        <w:t xml:space="preserve"> y el </w:t>
      </w:r>
      <w:r w:rsidRPr="002964A7">
        <w:rPr>
          <w:rFonts w:ascii="Verdana" w:hAnsi="Verdana"/>
          <w:sz w:val="20"/>
          <w:szCs w:val="20"/>
          <w:lang w:eastAsia="es-CR"/>
        </w:rPr>
        <w:t xml:space="preserve">robo de sus alimentos, artefactos </w:t>
      </w:r>
      <w:r w:rsidRPr="002964A7">
        <w:rPr>
          <w:rFonts w:ascii="Verdana" w:hAnsi="Verdana" w:cs="Arial"/>
          <w:sz w:val="20"/>
          <w:szCs w:val="20"/>
          <w:lang w:eastAsia="es-CR"/>
        </w:rPr>
        <w:t xml:space="preserve">y </w:t>
      </w:r>
      <w:r w:rsidRPr="002964A7">
        <w:rPr>
          <w:rFonts w:ascii="Verdana" w:hAnsi="Verdana"/>
          <w:sz w:val="20"/>
          <w:szCs w:val="20"/>
          <w:lang w:eastAsia="es-CR"/>
        </w:rPr>
        <w:t>ganado (</w:t>
      </w:r>
      <w:r w:rsidRPr="002964A7">
        <w:rPr>
          <w:rFonts w:ascii="Verdana" w:hAnsi="Verdana"/>
          <w:i/>
          <w:sz w:val="20"/>
          <w:szCs w:val="20"/>
          <w:lang w:eastAsia="es-CR"/>
        </w:rPr>
        <w:t>supra</w:t>
      </w:r>
      <w:r w:rsidRPr="002964A7">
        <w:rPr>
          <w:rFonts w:ascii="Verdana" w:hAnsi="Verdana"/>
          <w:sz w:val="20"/>
          <w:szCs w:val="20"/>
          <w:lang w:eastAsia="es-CR"/>
        </w:rPr>
        <w:t xml:space="preserve"> párr. </w:t>
      </w:r>
      <w:r>
        <w:rPr>
          <w:rFonts w:ascii="Verdana" w:hAnsi="Verdana"/>
          <w:sz w:val="20"/>
          <w:szCs w:val="20"/>
          <w:lang w:eastAsia="es-CR"/>
        </w:rPr>
        <w:t>87</w:t>
      </w:r>
      <w:r w:rsidRPr="002964A7">
        <w:rPr>
          <w:rFonts w:ascii="Verdana" w:hAnsi="Verdana"/>
          <w:sz w:val="20"/>
          <w:szCs w:val="20"/>
          <w:lang w:eastAsia="es-CR"/>
        </w:rPr>
        <w:t>)</w:t>
      </w:r>
      <w:r>
        <w:rPr>
          <w:rFonts w:ascii="Verdana" w:hAnsi="Verdana"/>
          <w:sz w:val="20"/>
          <w:szCs w:val="20"/>
          <w:lang w:eastAsia="es-CR"/>
        </w:rPr>
        <w:t>.</w:t>
      </w:r>
      <w:r w:rsidRPr="002964A7">
        <w:rPr>
          <w:rFonts w:ascii="Verdana" w:hAnsi="Verdana"/>
          <w:sz w:val="20"/>
          <w:szCs w:val="20"/>
          <w:lang w:eastAsia="es-CR"/>
        </w:rPr>
        <w:t xml:space="preserve"> En el caso concreto, </w:t>
      </w:r>
      <w:r>
        <w:rPr>
          <w:rFonts w:ascii="Verdana" w:hAnsi="Verdana"/>
          <w:sz w:val="20"/>
          <w:szCs w:val="20"/>
          <w:lang w:eastAsia="es-CR"/>
        </w:rPr>
        <w:t>por un lado, la Corte nota que los</w:t>
      </w:r>
      <w:r w:rsidRPr="00833A82">
        <w:rPr>
          <w:rFonts w:ascii="Verdana" w:hAnsi="Verdana"/>
          <w:sz w:val="20"/>
          <w:szCs w:val="20"/>
        </w:rPr>
        <w:t xml:space="preserve"> testimonio</w:t>
      </w:r>
      <w:r>
        <w:rPr>
          <w:rFonts w:ascii="Verdana" w:hAnsi="Verdana"/>
          <w:sz w:val="20"/>
          <w:szCs w:val="20"/>
        </w:rPr>
        <w:t>s</w:t>
      </w:r>
      <w:r w:rsidRPr="00833A82">
        <w:rPr>
          <w:rFonts w:ascii="Verdana" w:hAnsi="Verdana"/>
          <w:sz w:val="20"/>
          <w:szCs w:val="20"/>
        </w:rPr>
        <w:t xml:space="preserve"> de presuntas víctimas y testigos </w:t>
      </w:r>
      <w:r>
        <w:rPr>
          <w:rFonts w:ascii="Verdana" w:hAnsi="Verdana"/>
          <w:sz w:val="20"/>
          <w:szCs w:val="20"/>
        </w:rPr>
        <w:t>dan cuenta de que</w:t>
      </w:r>
      <w:r w:rsidRPr="00833A82">
        <w:rPr>
          <w:rFonts w:ascii="Verdana" w:hAnsi="Verdana"/>
          <w:sz w:val="20"/>
          <w:szCs w:val="20"/>
        </w:rPr>
        <w:t xml:space="preserve"> durante la realización del operativo “Apolonia”, los militares allanaron las casas de las familias Hilario Quispe </w:t>
      </w:r>
      <w:r>
        <w:rPr>
          <w:rFonts w:ascii="Verdana" w:hAnsi="Verdana"/>
          <w:sz w:val="20"/>
          <w:szCs w:val="20"/>
        </w:rPr>
        <w:t>e</w:t>
      </w:r>
      <w:r w:rsidRPr="00833A82">
        <w:rPr>
          <w:rFonts w:ascii="Verdana" w:hAnsi="Verdana"/>
          <w:sz w:val="20"/>
          <w:szCs w:val="20"/>
        </w:rPr>
        <w:t xml:space="preserve"> Hilario </w:t>
      </w:r>
      <w:r>
        <w:rPr>
          <w:rFonts w:ascii="Verdana" w:hAnsi="Verdana"/>
          <w:sz w:val="20"/>
          <w:szCs w:val="20"/>
        </w:rPr>
        <w:t>Guillén</w:t>
      </w:r>
      <w:r w:rsidRPr="00833A82">
        <w:rPr>
          <w:rFonts w:ascii="Verdana" w:hAnsi="Verdana"/>
          <w:sz w:val="20"/>
          <w:szCs w:val="20"/>
        </w:rPr>
        <w:t xml:space="preserve">, se llevaron alpacas y ganado pertenecientes a </w:t>
      </w:r>
      <w:r>
        <w:rPr>
          <w:rFonts w:ascii="Verdana" w:hAnsi="Verdana"/>
          <w:sz w:val="20"/>
          <w:szCs w:val="20"/>
        </w:rPr>
        <w:t>e</w:t>
      </w:r>
      <w:r w:rsidRPr="00833A82">
        <w:rPr>
          <w:rFonts w:ascii="Verdana" w:hAnsi="Verdana"/>
          <w:sz w:val="20"/>
          <w:szCs w:val="20"/>
        </w:rPr>
        <w:t>stas y quemaron sus viviendas.</w:t>
      </w:r>
      <w:r w:rsidRPr="002964A7">
        <w:rPr>
          <w:rFonts w:ascii="Verdana" w:hAnsi="Verdana"/>
          <w:sz w:val="20"/>
          <w:szCs w:val="20"/>
        </w:rPr>
        <w:t xml:space="preserve"> Al respecto, el señor Zó</w:t>
      </w:r>
      <w:r w:rsidR="00884B9C">
        <w:rPr>
          <w:rFonts w:ascii="Verdana" w:hAnsi="Verdana"/>
          <w:sz w:val="20"/>
          <w:szCs w:val="20"/>
        </w:rPr>
        <w:t>s</w:t>
      </w:r>
      <w:r w:rsidRPr="002964A7">
        <w:rPr>
          <w:rFonts w:ascii="Verdana" w:hAnsi="Verdana"/>
          <w:sz w:val="20"/>
          <w:szCs w:val="20"/>
        </w:rPr>
        <w:t>imo Hilario Quispe, hijo de Francisco Hilario Torres y Dionicia Quispe, afirmó que “[…] en la estancia [sus] padres tenían 400 alpacas y 30 vacunos[…]”</w:t>
      </w:r>
      <w:r w:rsidRPr="002964A7">
        <w:rPr>
          <w:rStyle w:val="FootnoteReference"/>
          <w:rFonts w:eastAsiaTheme="minorHAnsi"/>
          <w:szCs w:val="20"/>
        </w:rPr>
        <w:footnoteReference w:id="227"/>
      </w:r>
      <w:r w:rsidRPr="002964A7">
        <w:rPr>
          <w:rFonts w:ascii="Verdana" w:hAnsi="Verdana"/>
          <w:sz w:val="20"/>
          <w:szCs w:val="20"/>
        </w:rPr>
        <w:t xml:space="preserve">; sin embargo, al llegar a la </w:t>
      </w:r>
      <w:r>
        <w:rPr>
          <w:rFonts w:ascii="Verdana" w:hAnsi="Verdana"/>
          <w:sz w:val="20"/>
          <w:szCs w:val="20"/>
        </w:rPr>
        <w:t>c</w:t>
      </w:r>
      <w:r w:rsidRPr="002964A7">
        <w:rPr>
          <w:rFonts w:ascii="Verdana" w:hAnsi="Verdana"/>
          <w:sz w:val="20"/>
          <w:szCs w:val="20"/>
        </w:rPr>
        <w:t>omunidad días después de los sucesos de 4 de julio de 1991, no encontró a los animales. De igual manera, su hermano, el señor Marcelo Hilario Quispe, afirmó que se dedicaba a la ganadería de alpaca, ovejas y vacas, y que al regresar a Rodeopampa encontró su casa quemada y no estaban los animales ni sus herramientas de trabajo</w:t>
      </w:r>
      <w:r w:rsidRPr="002964A7">
        <w:rPr>
          <w:rStyle w:val="FootnoteReference"/>
          <w:rFonts w:eastAsiaTheme="minorHAnsi"/>
          <w:szCs w:val="20"/>
        </w:rPr>
        <w:footnoteReference w:id="228"/>
      </w:r>
      <w:r w:rsidRPr="002964A7">
        <w:rPr>
          <w:rFonts w:ascii="Verdana" w:hAnsi="Verdana"/>
          <w:sz w:val="20"/>
          <w:szCs w:val="20"/>
        </w:rPr>
        <w:t>. Asimismo, el señor Gregorio Hilario Quispe, quien también se dedicaba a la ganadería, indicó que los agentes militares habían quemado la casa de su padre Francisco Hilario Torres y llevado aproximadamente 400 alpacas y 30 vacunos. Igualmente, en su declaración, el señor Víctor Carhuapoma de la Cruz afirmó que “la casa de [su] hermana[,] [Mercedes Carhuapoma de la Cruz, esposa del señor Marcelo Hilario Quispe,] fue quemada, [y] sus animales y pertenecías que ella tenía […] hasta la fecha no han sido reparados, ni reconocidos y ni reconstruidos”</w:t>
      </w:r>
      <w:r w:rsidRPr="002964A7">
        <w:rPr>
          <w:rStyle w:val="FootnoteReference"/>
          <w:rFonts w:eastAsiaTheme="minorHAnsi"/>
          <w:szCs w:val="20"/>
        </w:rPr>
        <w:footnoteReference w:id="229"/>
      </w:r>
      <w:r w:rsidRPr="002964A7">
        <w:rPr>
          <w:rFonts w:ascii="Verdana" w:hAnsi="Verdana"/>
          <w:sz w:val="20"/>
          <w:szCs w:val="20"/>
        </w:rPr>
        <w:t xml:space="preserve">. </w:t>
      </w:r>
    </w:p>
    <w:p w:rsidR="00845740" w:rsidRPr="002964A7" w:rsidRDefault="00845740" w:rsidP="00845740">
      <w:pPr>
        <w:pStyle w:val="Default"/>
        <w:jc w:val="both"/>
        <w:rPr>
          <w:color w:val="auto"/>
          <w:sz w:val="20"/>
          <w:szCs w:val="20"/>
          <w:lang w:val="es-CR"/>
        </w:rPr>
      </w:pPr>
    </w:p>
    <w:p w:rsidR="00845740" w:rsidRPr="002964A7"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lang w:val="es-PR"/>
        </w:rPr>
        <w:t xml:space="preserve">Por otra parte, en el Proceso Penal No. 42-06 ante la Sala Penal Nacional del Perú, Oscar Gonzáles Carrera, militar participante del “Plan Apolonia”, afirmó que “[…] </w:t>
      </w:r>
      <w:r w:rsidRPr="002964A7">
        <w:rPr>
          <w:rFonts w:ascii="Verdana" w:hAnsi="Verdana"/>
          <w:sz w:val="20"/>
          <w:szCs w:val="20"/>
          <w:lang w:val="es-VE"/>
        </w:rPr>
        <w:t>ronderos</w:t>
      </w:r>
      <w:r w:rsidRPr="002964A7">
        <w:rPr>
          <w:rFonts w:ascii="Verdana" w:hAnsi="Verdana"/>
          <w:sz w:val="20"/>
          <w:szCs w:val="20"/>
          <w:lang w:val="es-PR"/>
        </w:rPr>
        <w:t xml:space="preserve"> […] lleva[ban] […] aproximadamente unos doscientos ganados, y los ronderos pasa[ron] arreando, y […] llega</w:t>
      </w:r>
      <w:r>
        <w:rPr>
          <w:rFonts w:ascii="Verdana" w:hAnsi="Verdana"/>
          <w:sz w:val="20"/>
          <w:szCs w:val="20"/>
          <w:lang w:val="es-PR"/>
        </w:rPr>
        <w:t>[ron]</w:t>
      </w:r>
      <w:r w:rsidRPr="002964A7">
        <w:rPr>
          <w:rFonts w:ascii="Verdana" w:hAnsi="Verdana"/>
          <w:sz w:val="20"/>
          <w:szCs w:val="20"/>
          <w:lang w:val="es-PR"/>
        </w:rPr>
        <w:t xml:space="preserve"> […] junto con el teniente Javier Bendezú […] hasta el </w:t>
      </w:r>
      <w:r w:rsidRPr="002964A7">
        <w:rPr>
          <w:rFonts w:ascii="Verdana" w:hAnsi="Verdana"/>
          <w:iCs/>
          <w:sz w:val="20"/>
          <w:szCs w:val="20"/>
          <w:lang w:val="es-PR"/>
        </w:rPr>
        <w:t xml:space="preserve">puente Churumayo </w:t>
      </w:r>
      <w:r w:rsidRPr="002964A7">
        <w:rPr>
          <w:rFonts w:ascii="Verdana" w:hAnsi="Verdana"/>
          <w:sz w:val="20"/>
          <w:szCs w:val="20"/>
          <w:lang w:val="es-PR"/>
        </w:rPr>
        <w:t>llevando todo el ganado</w:t>
      </w:r>
      <w:r>
        <w:rPr>
          <w:rFonts w:ascii="Verdana" w:hAnsi="Verdana"/>
          <w:sz w:val="20"/>
          <w:szCs w:val="20"/>
          <w:lang w:val="es-PR"/>
        </w:rPr>
        <w:t>,</w:t>
      </w:r>
      <w:r w:rsidRPr="002964A7">
        <w:rPr>
          <w:rFonts w:ascii="Verdana" w:hAnsi="Verdana"/>
          <w:sz w:val="20"/>
          <w:szCs w:val="20"/>
          <w:lang w:val="es-PR"/>
        </w:rPr>
        <w:t xml:space="preserve"> que había sido incautado en Rodeopampa”</w:t>
      </w:r>
      <w:r w:rsidRPr="002964A7">
        <w:rPr>
          <w:rStyle w:val="FootnoteReference"/>
          <w:rFonts w:eastAsiaTheme="minorHAnsi"/>
          <w:szCs w:val="20"/>
        </w:rPr>
        <w:footnoteReference w:id="230"/>
      </w:r>
      <w:r w:rsidRPr="002964A7">
        <w:rPr>
          <w:rFonts w:ascii="Verdana" w:hAnsi="Verdana"/>
          <w:sz w:val="20"/>
          <w:szCs w:val="20"/>
        </w:rPr>
        <w:t xml:space="preserve">. </w:t>
      </w:r>
      <w:r w:rsidRPr="002964A7">
        <w:rPr>
          <w:rFonts w:ascii="Verdana" w:hAnsi="Verdana"/>
          <w:sz w:val="20"/>
          <w:szCs w:val="20"/>
          <w:lang w:val="es-PR"/>
        </w:rPr>
        <w:t xml:space="preserve">Asimismo, afirmó que “el ganado supuestamente fue incautado a los terroristas, toda vez […] que los terroristas tenían la costumbre de ir a diferentes poblados y robar los ganados, por lo que se había centralizado para ser devueltos a sus legítimos dueños, y eso me lo refirió el teniente </w:t>
      </w:r>
      <w:r w:rsidRPr="002964A7">
        <w:rPr>
          <w:rFonts w:ascii="Verdana" w:hAnsi="Verdana"/>
          <w:iCs/>
          <w:sz w:val="20"/>
          <w:szCs w:val="20"/>
          <w:lang w:val="es-PR"/>
        </w:rPr>
        <w:t>Javier Bendezú Vargas”</w:t>
      </w:r>
      <w:r w:rsidRPr="002964A7">
        <w:rPr>
          <w:rStyle w:val="FootnoteReference"/>
          <w:rFonts w:eastAsiaTheme="minorHAnsi"/>
          <w:szCs w:val="20"/>
        </w:rPr>
        <w:footnoteReference w:id="231"/>
      </w:r>
      <w:r w:rsidRPr="002964A7">
        <w:rPr>
          <w:rFonts w:ascii="Verdana" w:hAnsi="Verdana"/>
          <w:sz w:val="20"/>
          <w:szCs w:val="20"/>
          <w:lang w:val="es-PR"/>
        </w:rPr>
        <w:t xml:space="preserve">. </w:t>
      </w:r>
      <w:r w:rsidRPr="002964A7">
        <w:rPr>
          <w:rFonts w:ascii="Verdana" w:hAnsi="Verdana" w:cs="PalatinoLinotype-Roman"/>
          <w:sz w:val="20"/>
          <w:szCs w:val="20"/>
        </w:rPr>
        <w:t>De igual manera, en el marco del mismo proceso,</w:t>
      </w:r>
      <w:r>
        <w:rPr>
          <w:rFonts w:ascii="Verdana" w:hAnsi="Verdana" w:cs="PalatinoLinotype-Roman"/>
          <w:sz w:val="20"/>
          <w:szCs w:val="20"/>
        </w:rPr>
        <w:t xml:space="preserve"> un</w:t>
      </w:r>
      <w:r w:rsidRPr="002964A7">
        <w:rPr>
          <w:rFonts w:ascii="Verdana" w:hAnsi="Verdana" w:cs="PalatinoLinotype-Roman"/>
          <w:sz w:val="20"/>
          <w:szCs w:val="20"/>
        </w:rPr>
        <w:t xml:space="preserve"> </w:t>
      </w:r>
      <w:r>
        <w:rPr>
          <w:rFonts w:ascii="Verdana" w:hAnsi="Verdana" w:cs="PalatinoLinotype-Roman"/>
          <w:sz w:val="20"/>
          <w:szCs w:val="20"/>
        </w:rPr>
        <w:t xml:space="preserve">testigo y presunto </w:t>
      </w:r>
      <w:r w:rsidRPr="002964A7">
        <w:rPr>
          <w:rFonts w:ascii="Verdana" w:hAnsi="Verdana" w:cs="PalatinoLinotype-Roman"/>
          <w:sz w:val="20"/>
          <w:szCs w:val="20"/>
        </w:rPr>
        <w:t>participante del operativo</w:t>
      </w:r>
      <w:r>
        <w:rPr>
          <w:rFonts w:ascii="Verdana" w:hAnsi="Verdana" w:cs="PalatinoLinotype-Roman"/>
          <w:sz w:val="20"/>
          <w:szCs w:val="20"/>
        </w:rPr>
        <w:t>,</w:t>
      </w:r>
      <w:r w:rsidRPr="002964A7">
        <w:rPr>
          <w:rFonts w:ascii="Verdana" w:hAnsi="Verdana" w:cs="PalatinoLinotype-Roman"/>
          <w:sz w:val="20"/>
          <w:szCs w:val="20"/>
        </w:rPr>
        <w:t xml:space="preserve"> </w:t>
      </w:r>
      <w:r>
        <w:rPr>
          <w:rFonts w:ascii="Verdana" w:hAnsi="Verdana" w:cs="PalatinoLinotype-Roman"/>
          <w:sz w:val="20"/>
          <w:szCs w:val="20"/>
        </w:rPr>
        <w:t>FPA,</w:t>
      </w:r>
      <w:r w:rsidRPr="002964A7">
        <w:rPr>
          <w:rFonts w:ascii="Verdana" w:hAnsi="Verdana" w:cs="PalatinoLinotype-Roman"/>
          <w:sz w:val="20"/>
          <w:szCs w:val="20"/>
        </w:rPr>
        <w:t xml:space="preserve"> afirm</w:t>
      </w:r>
      <w:r>
        <w:rPr>
          <w:rFonts w:ascii="Verdana" w:hAnsi="Verdana" w:cs="PalatinoLinotype-Roman"/>
          <w:sz w:val="20"/>
          <w:szCs w:val="20"/>
        </w:rPr>
        <w:t>ó</w:t>
      </w:r>
      <w:r w:rsidRPr="002964A7">
        <w:rPr>
          <w:rFonts w:ascii="Verdana" w:hAnsi="Verdana" w:cs="PalatinoLinotype-Roman"/>
          <w:sz w:val="20"/>
          <w:szCs w:val="20"/>
        </w:rPr>
        <w:t xml:space="preserve"> que “[…]cuidar[on] los animales que habían, entre ellos llamas y carneros[…]” propiedad de los pobladores de la </w:t>
      </w:r>
      <w:r>
        <w:rPr>
          <w:rFonts w:ascii="Verdana" w:hAnsi="Verdana" w:cs="PalatinoLinotype-Roman"/>
          <w:sz w:val="20"/>
          <w:szCs w:val="20"/>
        </w:rPr>
        <w:t>c</w:t>
      </w:r>
      <w:r w:rsidRPr="002964A7">
        <w:rPr>
          <w:rFonts w:ascii="Verdana" w:hAnsi="Verdana" w:cs="PalatinoLinotype-Roman"/>
          <w:sz w:val="20"/>
          <w:szCs w:val="20"/>
        </w:rPr>
        <w:t xml:space="preserve">omunidad </w:t>
      </w:r>
      <w:r>
        <w:rPr>
          <w:rFonts w:ascii="Verdana" w:hAnsi="Verdana" w:cs="PalatinoLinotype-Roman"/>
          <w:sz w:val="20"/>
          <w:szCs w:val="20"/>
        </w:rPr>
        <w:t>c</w:t>
      </w:r>
      <w:r w:rsidRPr="002964A7">
        <w:rPr>
          <w:rFonts w:ascii="Verdana" w:hAnsi="Verdana" w:cs="PalatinoLinotype-Roman"/>
          <w:sz w:val="20"/>
          <w:szCs w:val="20"/>
        </w:rPr>
        <w:t>ampesina de Santa Bárbara, mientras llevaban a los detenidos de dicha comunidad a la “Mina Misteriosa”</w:t>
      </w:r>
      <w:r w:rsidRPr="002964A7">
        <w:rPr>
          <w:rStyle w:val="FootnoteReference"/>
          <w:rFonts w:eastAsiaTheme="minorHAnsi" w:cs="PalatinoLinotype-Roman"/>
          <w:szCs w:val="20"/>
        </w:rPr>
        <w:footnoteReference w:id="232"/>
      </w:r>
      <w:r w:rsidRPr="002964A7">
        <w:rPr>
          <w:rFonts w:ascii="Verdana" w:hAnsi="Verdana" w:cs="PalatinoLinotype-Roman"/>
          <w:sz w:val="20"/>
          <w:szCs w:val="20"/>
        </w:rPr>
        <w:t xml:space="preserve">. </w:t>
      </w:r>
      <w:r w:rsidRPr="002964A7">
        <w:rPr>
          <w:rFonts w:ascii="Verdana" w:hAnsi="Verdana"/>
          <w:sz w:val="20"/>
          <w:szCs w:val="20"/>
        </w:rPr>
        <w:t xml:space="preserve">Con base en dichas declaraciones, en su </w:t>
      </w:r>
      <w:r w:rsidR="004C74EB">
        <w:rPr>
          <w:rFonts w:ascii="Verdana" w:hAnsi="Verdana"/>
          <w:sz w:val="20"/>
          <w:szCs w:val="20"/>
        </w:rPr>
        <w:t>s</w:t>
      </w:r>
      <w:r w:rsidRPr="002964A7">
        <w:rPr>
          <w:rFonts w:ascii="Verdana" w:hAnsi="Verdana"/>
          <w:sz w:val="20"/>
          <w:szCs w:val="20"/>
        </w:rPr>
        <w:t>entencia de 9 de febrero de 2012 la Sala Penal Nacional del Perú dio por probado que</w:t>
      </w:r>
      <w:r>
        <w:rPr>
          <w:rFonts w:ascii="Verdana" w:hAnsi="Verdana"/>
          <w:sz w:val="20"/>
          <w:szCs w:val="20"/>
        </w:rPr>
        <w:t xml:space="preserve"> “en la intervención de los pobladores de Rodeopampa, se cometieron diversos abusos […] incendiaron algunas chozas, sustrajeron sus animales, y privaron de su libertad a los agraviados”. Asimismo, señaló que</w:t>
      </w:r>
      <w:r w:rsidRPr="002964A7">
        <w:rPr>
          <w:rFonts w:ascii="Verdana" w:hAnsi="Verdana"/>
          <w:sz w:val="20"/>
          <w:szCs w:val="20"/>
        </w:rPr>
        <w:t xml:space="preserve"> “[…] en la incursión a Rodeopampa, además de </w:t>
      </w:r>
      <w:r w:rsidRPr="002964A7">
        <w:rPr>
          <w:rFonts w:ascii="Verdana" w:hAnsi="Verdana"/>
          <w:sz w:val="20"/>
          <w:szCs w:val="20"/>
        </w:rPr>
        <w:lastRenderedPageBreak/>
        <w:t>incendiar la vivienda de los agraviados […] se sustrajeron pertenencias de los agraviados, los cuales fueron llevados a la base militar de Lircay”</w:t>
      </w:r>
      <w:r w:rsidRPr="002964A7">
        <w:rPr>
          <w:rStyle w:val="FootnoteReference"/>
          <w:rFonts w:eastAsiaTheme="minorHAnsi"/>
          <w:szCs w:val="20"/>
        </w:rPr>
        <w:footnoteReference w:id="233"/>
      </w:r>
      <w:r w:rsidRPr="002964A7">
        <w:rPr>
          <w:rFonts w:ascii="Verdana" w:hAnsi="Verdana"/>
          <w:sz w:val="20"/>
          <w:szCs w:val="20"/>
        </w:rPr>
        <w:t xml:space="preserve">. </w:t>
      </w:r>
    </w:p>
    <w:p w:rsidR="00845740" w:rsidRPr="002964A7" w:rsidRDefault="00845740" w:rsidP="00845740">
      <w:pPr>
        <w:pStyle w:val="Default"/>
        <w:jc w:val="both"/>
        <w:rPr>
          <w:color w:val="auto"/>
          <w:sz w:val="20"/>
          <w:szCs w:val="20"/>
          <w:lang w:val="es-CR"/>
        </w:rPr>
      </w:pPr>
    </w:p>
    <w:p w:rsidR="00845740" w:rsidRPr="002964A7"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rPr>
        <w:t xml:space="preserve">Lo anterior es consistente, además, con el Informe Final de la CVR, en el cual se indica que “[…] en el caserío de Rodeo Pampa los efectivos militares ingresaron a las dos viviendas de la familia Hilario […] y prendieron fuego a dichas viviendas para horas más tarde apoderarse de una gran cantidad de ganado, animales menores y pertenencias de los </w:t>
      </w:r>
      <w:r w:rsidRPr="002964A7">
        <w:rPr>
          <w:rFonts w:ascii="Verdana" w:hAnsi="Verdana"/>
          <w:sz w:val="20"/>
          <w:szCs w:val="20"/>
          <w:lang w:val="es-VE"/>
        </w:rPr>
        <w:t>detenidos</w:t>
      </w:r>
      <w:r w:rsidRPr="002964A7">
        <w:rPr>
          <w:rFonts w:ascii="Verdana" w:hAnsi="Verdana"/>
          <w:sz w:val="20"/>
          <w:szCs w:val="20"/>
        </w:rPr>
        <w:t xml:space="preserve"> […]”</w:t>
      </w:r>
      <w:r w:rsidRPr="002964A7">
        <w:rPr>
          <w:rStyle w:val="FootnoteReference"/>
          <w:rFonts w:eastAsiaTheme="minorHAnsi"/>
          <w:szCs w:val="20"/>
        </w:rPr>
        <w:footnoteReference w:id="234"/>
      </w:r>
      <w:r w:rsidRPr="002964A7">
        <w:rPr>
          <w:rFonts w:ascii="Verdana" w:hAnsi="Verdana"/>
          <w:sz w:val="20"/>
          <w:szCs w:val="20"/>
        </w:rPr>
        <w:t>.</w:t>
      </w:r>
    </w:p>
    <w:p w:rsidR="00845740" w:rsidRPr="002964A7" w:rsidRDefault="00845740" w:rsidP="00845740">
      <w:pPr>
        <w:pStyle w:val="ListParagraph"/>
        <w:rPr>
          <w:rFonts w:ascii="Verdana" w:hAnsi="Verdana"/>
          <w:sz w:val="20"/>
          <w:szCs w:val="20"/>
        </w:rPr>
      </w:pPr>
    </w:p>
    <w:p w:rsidR="00845740" w:rsidRPr="002964A7"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Pr>
          <w:rFonts w:ascii="Verdana" w:hAnsi="Verdana"/>
          <w:sz w:val="20"/>
          <w:szCs w:val="20"/>
        </w:rPr>
        <w:t>De este modo</w:t>
      </w:r>
      <w:r w:rsidRPr="002964A7">
        <w:rPr>
          <w:rFonts w:ascii="Verdana" w:hAnsi="Verdana"/>
          <w:sz w:val="20"/>
          <w:szCs w:val="20"/>
        </w:rPr>
        <w:t>,</w:t>
      </w:r>
      <w:r>
        <w:rPr>
          <w:rFonts w:ascii="Verdana" w:hAnsi="Verdana"/>
          <w:sz w:val="20"/>
          <w:szCs w:val="20"/>
        </w:rPr>
        <w:t xml:space="preserve"> en vista de los testimonios mencionados, la determinación de los hechos realizada por la </w:t>
      </w:r>
      <w:r w:rsidRPr="002964A7">
        <w:rPr>
          <w:rFonts w:ascii="Verdana" w:hAnsi="Verdana"/>
          <w:sz w:val="20"/>
          <w:szCs w:val="20"/>
        </w:rPr>
        <w:t>Sala Penal Nacional del Perú</w:t>
      </w:r>
      <w:r>
        <w:rPr>
          <w:rFonts w:ascii="Verdana" w:hAnsi="Verdana"/>
          <w:sz w:val="20"/>
          <w:szCs w:val="20"/>
        </w:rPr>
        <w:t xml:space="preserve"> en su </w:t>
      </w:r>
      <w:r w:rsidR="004C74EB">
        <w:rPr>
          <w:rFonts w:ascii="Verdana" w:hAnsi="Verdana"/>
          <w:sz w:val="20"/>
          <w:szCs w:val="20"/>
        </w:rPr>
        <w:t>s</w:t>
      </w:r>
      <w:r>
        <w:rPr>
          <w:rFonts w:ascii="Verdana" w:hAnsi="Verdana"/>
          <w:sz w:val="20"/>
          <w:szCs w:val="20"/>
        </w:rPr>
        <w:t>entencia de 9 de febrero de 2012, así como lo establecido por la CVR,</w:t>
      </w:r>
      <w:r w:rsidRPr="002964A7">
        <w:rPr>
          <w:rFonts w:ascii="Verdana" w:hAnsi="Verdana"/>
          <w:sz w:val="20"/>
          <w:szCs w:val="20"/>
        </w:rPr>
        <w:t xml:space="preserve"> la Corte considera probado que militares participantes del operativo “Apolonia” quemaron las viviendas de las familias Hilario Quispe e Hilario </w:t>
      </w:r>
      <w:r>
        <w:rPr>
          <w:rFonts w:ascii="Verdana" w:hAnsi="Verdana"/>
          <w:sz w:val="20"/>
          <w:szCs w:val="20"/>
        </w:rPr>
        <w:t>Guillén</w:t>
      </w:r>
      <w:r w:rsidRPr="002964A7">
        <w:rPr>
          <w:rFonts w:ascii="Verdana" w:hAnsi="Verdana"/>
          <w:sz w:val="20"/>
          <w:szCs w:val="20"/>
        </w:rPr>
        <w:t xml:space="preserve"> </w:t>
      </w:r>
      <w:r w:rsidRPr="006F3EF8">
        <w:rPr>
          <w:rFonts w:ascii="Verdana" w:hAnsi="Verdana"/>
          <w:sz w:val="20"/>
          <w:szCs w:val="20"/>
        </w:rPr>
        <w:t>y se llevaron ganado de a</w:t>
      </w:r>
      <w:r>
        <w:rPr>
          <w:rFonts w:ascii="Verdana" w:hAnsi="Verdana"/>
          <w:sz w:val="20"/>
          <w:szCs w:val="20"/>
        </w:rPr>
        <w:t>ll</w:t>
      </w:r>
      <w:r w:rsidRPr="006F3EF8">
        <w:rPr>
          <w:rFonts w:ascii="Verdana" w:hAnsi="Verdana"/>
          <w:sz w:val="20"/>
          <w:szCs w:val="20"/>
        </w:rPr>
        <w:t>í</w:t>
      </w:r>
      <w:r w:rsidRPr="002964A7">
        <w:rPr>
          <w:rFonts w:ascii="Verdana" w:hAnsi="Verdana"/>
          <w:sz w:val="20"/>
          <w:szCs w:val="20"/>
        </w:rPr>
        <w:t xml:space="preserve">. Lo anterior constituye una violación del artículo 21 de la Convención </w:t>
      </w:r>
      <w:r w:rsidRPr="00015C38">
        <w:rPr>
          <w:rFonts w:ascii="Verdana" w:hAnsi="Verdana"/>
          <w:sz w:val="20"/>
          <w:szCs w:val="20"/>
        </w:rPr>
        <w:t>Americana, en relación con el artículo 1.1 de la misma, en perjuicio de Francisco Hilario Torres, Dionicia Quispe Mallqui, Antonia Hilario Quispe, Zenón Cirilo Osnayo Tunque, Yesenia Osnayo Hilario, Miriam Osnayo Hilario, Edith Osnayo Hilario, Magdalena Hilario Quispe, Alex Jorge Hilario, Marcelo Hilario Quispe, Mercedes Carhuapoma de la Cruz, Wilmer Hilario Carhuapoma, Ramón Hilario Morán, Dionicia Guillén Riveros, Raúl Hilario Guillén y Héctor Hilario Guillén, toda</w:t>
      </w:r>
      <w:r w:rsidRPr="002964A7">
        <w:rPr>
          <w:rFonts w:ascii="Verdana" w:hAnsi="Verdana"/>
          <w:sz w:val="20"/>
          <w:szCs w:val="20"/>
        </w:rPr>
        <w:t xml:space="preserve"> vez que tales personas vivían en la comunidad </w:t>
      </w:r>
      <w:r>
        <w:rPr>
          <w:rFonts w:ascii="Verdana" w:hAnsi="Verdana"/>
          <w:sz w:val="20"/>
          <w:szCs w:val="20"/>
        </w:rPr>
        <w:t>en</w:t>
      </w:r>
      <w:r w:rsidRPr="002964A7">
        <w:rPr>
          <w:rFonts w:ascii="Verdana" w:hAnsi="Verdana"/>
          <w:sz w:val="20"/>
          <w:szCs w:val="20"/>
        </w:rPr>
        <w:t xml:space="preserve"> la época de los hechos (</w:t>
      </w:r>
      <w:r w:rsidRPr="002964A7">
        <w:rPr>
          <w:rFonts w:ascii="Verdana" w:hAnsi="Verdana"/>
          <w:i/>
          <w:sz w:val="20"/>
          <w:szCs w:val="20"/>
        </w:rPr>
        <w:t>supra</w:t>
      </w:r>
      <w:r w:rsidRPr="002964A7">
        <w:rPr>
          <w:rFonts w:ascii="Verdana" w:hAnsi="Verdana"/>
          <w:sz w:val="20"/>
          <w:szCs w:val="20"/>
        </w:rPr>
        <w:t xml:space="preserve"> párr. </w:t>
      </w:r>
      <w:r>
        <w:rPr>
          <w:rFonts w:ascii="Verdana" w:hAnsi="Verdana"/>
          <w:sz w:val="20"/>
          <w:szCs w:val="20"/>
        </w:rPr>
        <w:t>84 a y b</w:t>
      </w:r>
      <w:r w:rsidRPr="002964A7">
        <w:rPr>
          <w:rFonts w:ascii="Verdana" w:hAnsi="Verdana"/>
          <w:sz w:val="20"/>
          <w:szCs w:val="20"/>
        </w:rPr>
        <w:t xml:space="preserve">) y fueron privadas injustificadamente de tales bienes. </w:t>
      </w:r>
    </w:p>
    <w:p w:rsidR="00845740" w:rsidRPr="00F13F0B" w:rsidRDefault="00845740" w:rsidP="00845740">
      <w:pPr>
        <w:pStyle w:val="Default"/>
        <w:jc w:val="both"/>
        <w:rPr>
          <w:b/>
          <w:color w:val="auto"/>
          <w:sz w:val="20"/>
          <w:szCs w:val="20"/>
          <w:lang w:val="es-CR"/>
        </w:rPr>
      </w:pPr>
    </w:p>
    <w:p w:rsidR="00845740" w:rsidRPr="001154F9" w:rsidRDefault="00845740"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2964A7">
        <w:rPr>
          <w:rFonts w:ascii="Verdana" w:hAnsi="Verdana"/>
          <w:sz w:val="20"/>
          <w:szCs w:val="20"/>
          <w:lang w:val="es-VE"/>
        </w:rPr>
        <w:t>Aunado</w:t>
      </w:r>
      <w:r w:rsidRPr="002964A7">
        <w:rPr>
          <w:rFonts w:ascii="Verdana" w:hAnsi="Verdana"/>
          <w:sz w:val="20"/>
          <w:szCs w:val="20"/>
        </w:rPr>
        <w:t xml:space="preserve"> a ello, el Tribunal</w:t>
      </w:r>
      <w:r w:rsidRPr="002964A7">
        <w:rPr>
          <w:rFonts w:ascii="Verdana" w:eastAsia="Batang" w:hAnsi="Verdana" w:cs="Times"/>
          <w:sz w:val="20"/>
          <w:szCs w:val="20"/>
          <w:lang w:val="es-ES_tradnl"/>
        </w:rPr>
        <w:t xml:space="preserve"> considera que, además de ser una violación del derecho al uso y disfrute de los bienes, la quema por parte del ejército de las viviendas de miembros de la </w:t>
      </w:r>
      <w:r w:rsidR="0079487E">
        <w:rPr>
          <w:rFonts w:ascii="Verdana" w:eastAsia="Batang" w:hAnsi="Verdana" w:cs="Times"/>
          <w:sz w:val="20"/>
          <w:szCs w:val="20"/>
          <w:lang w:val="es-ES_tradnl"/>
        </w:rPr>
        <w:t>c</w:t>
      </w:r>
      <w:r w:rsidRPr="002964A7">
        <w:rPr>
          <w:rFonts w:ascii="Verdana" w:eastAsia="Batang" w:hAnsi="Verdana" w:cs="Times"/>
          <w:sz w:val="20"/>
          <w:szCs w:val="20"/>
          <w:lang w:val="es-ES_tradnl"/>
        </w:rPr>
        <w:t xml:space="preserve">omunidad de Santa </w:t>
      </w:r>
      <w:r w:rsidRPr="002964A7">
        <w:rPr>
          <w:rFonts w:ascii="Verdana" w:hAnsi="Verdana"/>
          <w:sz w:val="20"/>
          <w:szCs w:val="20"/>
        </w:rPr>
        <w:t>Bárbara</w:t>
      </w:r>
      <w:r w:rsidRPr="002964A7">
        <w:rPr>
          <w:rFonts w:ascii="Verdana" w:eastAsia="Batang" w:hAnsi="Verdana" w:cs="Times"/>
          <w:sz w:val="20"/>
          <w:szCs w:val="20"/>
          <w:lang w:val="es-ES_tradnl"/>
        </w:rPr>
        <w:t xml:space="preserve"> constituye una injerencia abusiva y arbitraria en su vida privada y domicilio. Las personas que perdieron sus hogares perdieron el lugar donde desarrollaban dicha vida privada.</w:t>
      </w:r>
      <w:r w:rsidRPr="002964A7">
        <w:rPr>
          <w:rFonts w:ascii="Verdana" w:hAnsi="Verdana"/>
          <w:sz w:val="20"/>
          <w:szCs w:val="20"/>
        </w:rPr>
        <w:t xml:space="preserve"> Consecuentemente, </w:t>
      </w:r>
      <w:r w:rsidRPr="002964A7">
        <w:rPr>
          <w:rFonts w:ascii="Verdana" w:eastAsia="Batang" w:hAnsi="Verdana" w:cs="Times"/>
          <w:sz w:val="20"/>
          <w:szCs w:val="20"/>
          <w:lang w:val="es-ES_tradnl"/>
        </w:rPr>
        <w:t xml:space="preserve">el </w:t>
      </w:r>
      <w:r w:rsidRPr="002964A7">
        <w:rPr>
          <w:rFonts w:ascii="Verdana" w:hAnsi="Verdana"/>
          <w:sz w:val="20"/>
          <w:szCs w:val="20"/>
        </w:rPr>
        <w:t xml:space="preserve">Estado también violó el derecho a no sufrir injerencias arbitrarias o abusivas en su vida privada </w:t>
      </w:r>
      <w:r w:rsidR="00B5439B">
        <w:rPr>
          <w:rFonts w:ascii="Verdana" w:hAnsi="Verdana"/>
          <w:sz w:val="20"/>
          <w:szCs w:val="20"/>
        </w:rPr>
        <w:t>y</w:t>
      </w:r>
      <w:r w:rsidRPr="002964A7">
        <w:rPr>
          <w:rFonts w:ascii="Verdana" w:hAnsi="Verdana"/>
          <w:sz w:val="20"/>
          <w:szCs w:val="20"/>
        </w:rPr>
        <w:t xml:space="preserve"> en su domicilio, reconocido en el artículo 11.2 de la Convención Americana, en relación con el artículo 1.1 de dicho instrumento, en perjuicio de las personas señaladas en el párrafo anterior</w:t>
      </w:r>
      <w:r w:rsidRPr="002964A7">
        <w:rPr>
          <w:rStyle w:val="FootnoteReference"/>
          <w:rFonts w:eastAsiaTheme="minorHAnsi"/>
          <w:szCs w:val="20"/>
        </w:rPr>
        <w:footnoteReference w:id="235"/>
      </w:r>
      <w:r w:rsidRPr="002964A7">
        <w:rPr>
          <w:rFonts w:ascii="Verdana" w:hAnsi="Verdana"/>
          <w:sz w:val="20"/>
          <w:szCs w:val="20"/>
        </w:rPr>
        <w:t>.</w:t>
      </w:r>
    </w:p>
    <w:p w:rsidR="00734503" w:rsidRDefault="00734503" w:rsidP="001154F9">
      <w:pPr>
        <w:pStyle w:val="Heading2"/>
        <w:numPr>
          <w:ilvl w:val="0"/>
          <w:numId w:val="0"/>
        </w:numPr>
        <w:ind w:left="360"/>
        <w:rPr>
          <w:rFonts w:eastAsia="Calibri"/>
        </w:rPr>
      </w:pPr>
      <w:bookmarkStart w:id="195" w:name="_Toc421864974"/>
      <w:bookmarkStart w:id="196" w:name="_Toc423102550"/>
      <w:bookmarkStart w:id="197" w:name="_Toc433387503"/>
    </w:p>
    <w:p w:rsidR="00C83100" w:rsidRPr="001154F9" w:rsidRDefault="00C83100" w:rsidP="001154F9">
      <w:pPr>
        <w:pStyle w:val="Heading2"/>
        <w:numPr>
          <w:ilvl w:val="0"/>
          <w:numId w:val="0"/>
        </w:numPr>
        <w:ind w:left="360"/>
        <w:rPr>
          <w:rFonts w:eastAsia="Calibri"/>
        </w:rPr>
      </w:pPr>
      <w:r w:rsidRPr="001154F9">
        <w:rPr>
          <w:rFonts w:eastAsia="Calibri"/>
        </w:rPr>
        <w:t>IX.I</w:t>
      </w:r>
      <w:bookmarkEnd w:id="195"/>
      <w:r w:rsidRPr="001154F9">
        <w:rPr>
          <w:rFonts w:eastAsia="Calibri"/>
        </w:rPr>
        <w:t>II</w:t>
      </w:r>
      <w:bookmarkEnd w:id="196"/>
      <w:bookmarkEnd w:id="197"/>
    </w:p>
    <w:p w:rsidR="00C83100" w:rsidRPr="001154F9" w:rsidRDefault="00C83100" w:rsidP="00734503">
      <w:pPr>
        <w:pStyle w:val="Heading2"/>
        <w:numPr>
          <w:ilvl w:val="0"/>
          <w:numId w:val="0"/>
        </w:numPr>
        <w:spacing w:line="240" w:lineRule="auto"/>
        <w:jc w:val="both"/>
      </w:pPr>
      <w:bookmarkStart w:id="198" w:name="_Toc421864975"/>
      <w:bookmarkStart w:id="199" w:name="_Toc423102551"/>
      <w:bookmarkStart w:id="200" w:name="_Toc433387504"/>
      <w:r w:rsidRPr="001154F9">
        <w:t>EL DERECHO A LAS GARANTÍAS Y LA PROTECCIÓN JUDICIAL Y A LA LIBERTAD PERSONAL Y EL ARTÍCULO I</w:t>
      </w:r>
      <w:r w:rsidR="00775ABA">
        <w:t>.b</w:t>
      </w:r>
      <w:r w:rsidRPr="001154F9">
        <w:t xml:space="preserve"> DE LA CONVENCIÓN INTERAMERICANA SOBRE DESAPARICIÓN FORZADA DE PERSONAS, ASÍ COMO LOS ARTÍCULOS 1, 6 Y 8 DE LA CONVENCIÓN INTERAMERICANA PARA PREVENIR Y SANCIONAR LA TORTURA</w:t>
      </w:r>
      <w:bookmarkEnd w:id="198"/>
      <w:bookmarkEnd w:id="199"/>
      <w:bookmarkEnd w:id="200"/>
    </w:p>
    <w:p w:rsidR="00C83100" w:rsidRPr="002964A7" w:rsidRDefault="00C83100" w:rsidP="00015C38">
      <w:pPr>
        <w:pStyle w:val="Heading3"/>
        <w:numPr>
          <w:ilvl w:val="0"/>
          <w:numId w:val="21"/>
        </w:numPr>
        <w:ind w:left="360"/>
        <w:rPr>
          <w:rFonts w:eastAsia="Calibri"/>
          <w:lang w:val="es-CO"/>
        </w:rPr>
      </w:pPr>
      <w:bookmarkStart w:id="201" w:name="_Toc421864976"/>
      <w:bookmarkStart w:id="202" w:name="_Toc423102552"/>
      <w:bookmarkStart w:id="203" w:name="_Toc433387505"/>
      <w:r w:rsidRPr="002964A7">
        <w:rPr>
          <w:rFonts w:eastAsia="Calibri"/>
          <w:lang w:val="es-CO"/>
        </w:rPr>
        <w:t>Argumentos de la Comisión y de las partes</w:t>
      </w:r>
      <w:bookmarkEnd w:id="201"/>
      <w:bookmarkEnd w:id="202"/>
      <w:bookmarkEnd w:id="203"/>
    </w:p>
    <w:p w:rsidR="00C83100" w:rsidRPr="00F13F0B" w:rsidRDefault="00C83100" w:rsidP="00C83100">
      <w:pPr>
        <w:autoSpaceDE w:val="0"/>
        <w:autoSpaceDN w:val="0"/>
        <w:adjustRightInd w:val="0"/>
        <w:spacing w:after="0" w:line="240" w:lineRule="auto"/>
        <w:ind w:right="15"/>
        <w:jc w:val="both"/>
        <w:rPr>
          <w:rFonts w:ascii="Verdana" w:hAnsi="Verdana"/>
          <w:b/>
          <w:spacing w:val="-2"/>
          <w:sz w:val="20"/>
          <w:szCs w:val="20"/>
          <w:lang w:val="es-CO"/>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Pr>
          <w:rFonts w:ascii="Verdana" w:eastAsia="Times New Roman" w:hAnsi="Verdana"/>
          <w:noProof/>
          <w:spacing w:val="-2"/>
          <w:sz w:val="20"/>
          <w:szCs w:val="20"/>
          <w:lang w:val="es-ES" w:eastAsia="es-ES"/>
        </w:rPr>
        <mc:AlternateContent>
          <mc:Choice Requires="wpi">
            <w:drawing>
              <wp:anchor distT="7620" distB="8255" distL="116205" distR="116205" simplePos="0" relativeHeight="251661312" behindDoc="0" locked="0" layoutInCell="1" allowOverlap="1" wp14:anchorId="234B4F7B" wp14:editId="1B34F4DB">
                <wp:simplePos x="0" y="0"/>
                <wp:positionH relativeFrom="column">
                  <wp:posOffset>1380490</wp:posOffset>
                </wp:positionH>
                <wp:positionV relativeFrom="paragraph">
                  <wp:posOffset>431165</wp:posOffset>
                </wp:positionV>
                <wp:extent cx="635" cy="635"/>
                <wp:effectExtent l="19050" t="19050" r="18415" b="18415"/>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Ink 2" o:spid="_x0000_s1026" type="#_x0000_t75" style="position:absolute;margin-left:108.65pt;margin-top:33.75pt;width:.15pt;height:.45pt;z-index:251661312;visibility:visible;mso-wrap-style:square;mso-width-percent:0;mso-height-percent:0;mso-wrap-distance-left:9.15pt;mso-wrap-distance-top:.6pt;mso-wrap-distance-right:9.15pt;mso-wrap-distance-bottom:.65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">
                <v:imagedata r:id="rId16" o:title=""/>
                <o:lock v:ext="edit" rotation="t" verticies="t" shapetype="t"/>
              </v:shape>
            </w:pict>
          </mc:Fallback>
        </mc:AlternateContent>
      </w:r>
      <w:r>
        <w:rPr>
          <w:rFonts w:ascii="Verdana" w:eastAsia="Times New Roman" w:hAnsi="Verdana"/>
          <w:noProof/>
          <w:spacing w:val="-2"/>
          <w:sz w:val="20"/>
          <w:szCs w:val="20"/>
          <w:lang w:val="es-ES" w:eastAsia="es-ES"/>
        </w:rPr>
        <mc:AlternateContent>
          <mc:Choice Requires="wpi">
            <w:drawing>
              <wp:anchor distT="150495" distB="151130" distL="152400" distR="152400" simplePos="0" relativeHeight="251662336" behindDoc="0" locked="0" layoutInCell="1" allowOverlap="1" wp14:anchorId="59A240DC" wp14:editId="409F26D1">
                <wp:simplePos x="0" y="0"/>
                <wp:positionH relativeFrom="column">
                  <wp:posOffset>2976245</wp:posOffset>
                </wp:positionH>
                <wp:positionV relativeFrom="paragraph">
                  <wp:posOffset>141605</wp:posOffset>
                </wp:positionV>
                <wp:extent cx="635" cy="635"/>
                <wp:effectExtent l="38100" t="57150" r="37465" b="75565"/>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Ink 1" o:spid="_x0000_s1026" type="#_x0000_t75" style="position:absolute;margin-left:233.35pt;margin-top:7.2pt;width:2.05pt;height:7.95pt;z-index:251662336;visibility:visible;mso-wrap-style:square;mso-width-percent:0;mso-height-percent:0;mso-wrap-distance-left:12pt;mso-wrap-distance-top:11.85pt;mso-wrap-distance-right:12pt;mso-wrap-distance-bottom:11.9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">
                <v:imagedata r:id="rId18" o:title=""/>
                <o:lock v:ext="edit" rotation="t" verticies="t" shapetype="t"/>
              </v:shape>
            </w:pict>
          </mc:Fallback>
        </mc:AlternateContent>
      </w:r>
      <w:r w:rsidRPr="002964A7">
        <w:rPr>
          <w:rFonts w:ascii="Verdana" w:hAnsi="Verdana"/>
          <w:spacing w:val="-2"/>
          <w:sz w:val="20"/>
          <w:szCs w:val="20"/>
          <w:lang w:val="es-PR"/>
        </w:rPr>
        <w:t xml:space="preserve">La </w:t>
      </w:r>
      <w:r w:rsidRPr="002964A7">
        <w:rPr>
          <w:rFonts w:ascii="Verdana" w:hAnsi="Verdana"/>
          <w:b/>
          <w:i/>
          <w:spacing w:val="-2"/>
          <w:sz w:val="20"/>
          <w:szCs w:val="20"/>
          <w:lang w:val="es-PR"/>
        </w:rPr>
        <w:t>Comisión</w:t>
      </w:r>
      <w:r w:rsidRPr="002964A7">
        <w:rPr>
          <w:rFonts w:ascii="Verdana" w:hAnsi="Verdana"/>
          <w:spacing w:val="-2"/>
          <w:sz w:val="20"/>
          <w:szCs w:val="20"/>
          <w:lang w:val="es-PR"/>
        </w:rPr>
        <w:t xml:space="preserve"> </w:t>
      </w:r>
      <w:r w:rsidRPr="002964A7">
        <w:rPr>
          <w:rFonts w:ascii="Verdana" w:hAnsi="Verdana" w:cs="Arial"/>
          <w:spacing w:val="-2"/>
          <w:sz w:val="20"/>
          <w:szCs w:val="20"/>
          <w:lang w:val="es-PR"/>
        </w:rPr>
        <w:t xml:space="preserve">alegó que el Estado violó los derechos reconocidos en los artículos </w:t>
      </w:r>
      <w:r w:rsidRPr="002964A7">
        <w:rPr>
          <w:rFonts w:ascii="Verdana" w:hAnsi="Verdana"/>
          <w:spacing w:val="-2"/>
          <w:sz w:val="20"/>
          <w:szCs w:val="20"/>
          <w:lang w:val="es-PR"/>
        </w:rPr>
        <w:t xml:space="preserve">8.1 y 25.1 </w:t>
      </w:r>
      <w:r w:rsidRPr="002964A7">
        <w:rPr>
          <w:rFonts w:ascii="Verdana" w:hAnsi="Verdana" w:cs="Arial"/>
          <w:spacing w:val="-2"/>
          <w:sz w:val="20"/>
          <w:szCs w:val="20"/>
          <w:lang w:val="es-PR"/>
        </w:rPr>
        <w:t xml:space="preserve">de la Convención Americana, en relación con los artículos </w:t>
      </w:r>
      <w:r w:rsidRPr="002964A7">
        <w:rPr>
          <w:rFonts w:ascii="Verdana" w:hAnsi="Verdana"/>
          <w:spacing w:val="-2"/>
          <w:sz w:val="20"/>
          <w:szCs w:val="20"/>
          <w:lang w:val="es-PR"/>
        </w:rPr>
        <w:t>1.</w:t>
      </w:r>
      <w:r w:rsidRPr="00911B43">
        <w:rPr>
          <w:rFonts w:ascii="Verdana" w:hAnsi="Verdana"/>
          <w:spacing w:val="-2"/>
          <w:sz w:val="20"/>
          <w:szCs w:val="20"/>
          <w:lang w:val="es-PR"/>
        </w:rPr>
        <w:t xml:space="preserve">1 </w:t>
      </w:r>
      <w:r w:rsidRPr="00911B43">
        <w:rPr>
          <w:rFonts w:ascii="Verdana" w:hAnsi="Verdana" w:cs="Arial"/>
          <w:spacing w:val="-2"/>
          <w:sz w:val="20"/>
          <w:szCs w:val="20"/>
          <w:lang w:val="es-PR"/>
        </w:rPr>
        <w:t>y 2 de la misma y</w:t>
      </w:r>
      <w:r w:rsidRPr="002964A7">
        <w:rPr>
          <w:rFonts w:ascii="Verdana" w:hAnsi="Verdana" w:cs="Arial"/>
          <w:spacing w:val="-2"/>
          <w:sz w:val="20"/>
          <w:szCs w:val="20"/>
          <w:lang w:val="es-PR"/>
        </w:rPr>
        <w:t xml:space="preserve"> I.b) y III de la Convención </w:t>
      </w:r>
      <w:r w:rsidRPr="002964A7">
        <w:rPr>
          <w:rFonts w:ascii="Verdana" w:eastAsia="Batang" w:hAnsi="Verdana" w:cs="Times"/>
          <w:spacing w:val="-2"/>
          <w:sz w:val="20"/>
          <w:szCs w:val="20"/>
          <w:lang w:val="es-ES_tradnl"/>
        </w:rPr>
        <w:t>Interamericana</w:t>
      </w:r>
      <w:r w:rsidRPr="002964A7">
        <w:rPr>
          <w:rFonts w:ascii="Verdana" w:hAnsi="Verdana" w:cs="Arial"/>
          <w:spacing w:val="-2"/>
          <w:sz w:val="20"/>
          <w:szCs w:val="20"/>
          <w:lang w:val="es-PR"/>
        </w:rPr>
        <w:t xml:space="preserve"> sobre Desaparición Forzada de Personas, así como los artículos </w:t>
      </w:r>
      <w:r w:rsidRPr="002964A7">
        <w:rPr>
          <w:rFonts w:ascii="Verdana" w:hAnsi="Verdana" w:cs="Arial"/>
          <w:bCs/>
          <w:spacing w:val="-2"/>
          <w:sz w:val="20"/>
          <w:szCs w:val="20"/>
          <w:lang w:val="es-PR"/>
        </w:rPr>
        <w:t>1,</w:t>
      </w:r>
      <w:r w:rsidRPr="002964A7">
        <w:rPr>
          <w:rFonts w:ascii="Verdana" w:hAnsi="Verdana" w:cs="Arial"/>
          <w:b/>
          <w:bCs/>
          <w:spacing w:val="-2"/>
          <w:sz w:val="20"/>
          <w:szCs w:val="20"/>
          <w:lang w:val="es-PR"/>
        </w:rPr>
        <w:t xml:space="preserve"> </w:t>
      </w:r>
      <w:r w:rsidRPr="002964A7">
        <w:rPr>
          <w:rFonts w:ascii="Verdana" w:hAnsi="Verdana" w:cs="Arial"/>
          <w:spacing w:val="-2"/>
          <w:sz w:val="20"/>
          <w:szCs w:val="20"/>
          <w:lang w:val="es-PR"/>
        </w:rPr>
        <w:t xml:space="preserve">6 y 8 de la Convención </w:t>
      </w:r>
      <w:r w:rsidRPr="002964A7">
        <w:rPr>
          <w:rFonts w:ascii="Verdana" w:hAnsi="Verdana"/>
          <w:spacing w:val="-2"/>
          <w:sz w:val="20"/>
          <w:szCs w:val="20"/>
        </w:rPr>
        <w:t>Interamericana</w:t>
      </w:r>
      <w:r w:rsidRPr="002964A7">
        <w:rPr>
          <w:rFonts w:ascii="Verdana" w:hAnsi="Verdana" w:cs="Arial"/>
          <w:spacing w:val="-2"/>
          <w:sz w:val="20"/>
          <w:szCs w:val="20"/>
          <w:lang w:val="es-PR"/>
        </w:rPr>
        <w:t xml:space="preserve"> para Prevenir y Sancionar la Tortura, en perjuicio de los 8 adultos y 7 </w:t>
      </w:r>
      <w:r w:rsidRPr="002964A7">
        <w:rPr>
          <w:rFonts w:ascii="Verdana" w:hAnsi="Verdana"/>
          <w:sz w:val="20"/>
          <w:szCs w:val="20"/>
          <w:lang w:val="es-ES"/>
        </w:rPr>
        <w:t>niñ</w:t>
      </w:r>
      <w:r>
        <w:rPr>
          <w:rFonts w:ascii="Verdana" w:hAnsi="Verdana"/>
          <w:sz w:val="20"/>
          <w:szCs w:val="20"/>
          <w:lang w:val="es-ES"/>
        </w:rPr>
        <w:t>a</w:t>
      </w:r>
      <w:r w:rsidRPr="002964A7">
        <w:rPr>
          <w:rFonts w:ascii="Verdana" w:hAnsi="Verdana"/>
          <w:sz w:val="20"/>
          <w:szCs w:val="20"/>
          <w:lang w:val="es-ES"/>
        </w:rPr>
        <w:t>s y niñ</w:t>
      </w:r>
      <w:r>
        <w:rPr>
          <w:rFonts w:ascii="Verdana" w:hAnsi="Verdana"/>
          <w:sz w:val="20"/>
          <w:szCs w:val="20"/>
          <w:lang w:val="es-ES"/>
        </w:rPr>
        <w:t>o</w:t>
      </w:r>
      <w:r w:rsidRPr="002964A7">
        <w:rPr>
          <w:rFonts w:ascii="Verdana" w:hAnsi="Verdana"/>
          <w:sz w:val="20"/>
          <w:szCs w:val="20"/>
          <w:lang w:val="es-ES"/>
        </w:rPr>
        <w:t>s</w:t>
      </w:r>
      <w:r w:rsidRPr="002964A7" w:rsidDel="00F425DF">
        <w:rPr>
          <w:rFonts w:ascii="Verdana" w:hAnsi="Verdana" w:cs="Arial"/>
          <w:spacing w:val="-2"/>
          <w:sz w:val="20"/>
          <w:szCs w:val="20"/>
          <w:lang w:val="es-PR"/>
        </w:rPr>
        <w:t xml:space="preserve"> </w:t>
      </w:r>
      <w:r w:rsidRPr="002964A7">
        <w:rPr>
          <w:rFonts w:ascii="Verdana" w:eastAsia="Batang" w:hAnsi="Verdana" w:cs="Times"/>
          <w:spacing w:val="-2"/>
          <w:sz w:val="20"/>
          <w:szCs w:val="20"/>
          <w:lang w:val="es-ES_tradnl"/>
        </w:rPr>
        <w:t>desaparecidos</w:t>
      </w:r>
      <w:r w:rsidRPr="002964A7">
        <w:rPr>
          <w:rFonts w:ascii="Verdana" w:hAnsi="Verdana" w:cs="Arial"/>
          <w:spacing w:val="-2"/>
          <w:sz w:val="20"/>
          <w:szCs w:val="20"/>
          <w:lang w:val="es-PR"/>
        </w:rPr>
        <w:t xml:space="preserve"> y sus familiares. </w:t>
      </w:r>
      <w:r w:rsidRPr="002964A7">
        <w:rPr>
          <w:rFonts w:ascii="Verdana" w:hAnsi="Verdana"/>
          <w:spacing w:val="-2"/>
          <w:sz w:val="20"/>
          <w:szCs w:val="20"/>
          <w:lang w:val="es-PR"/>
        </w:rPr>
        <w:t xml:space="preserve">En este sentido, </w:t>
      </w:r>
      <w:r w:rsidRPr="002964A7">
        <w:rPr>
          <w:rFonts w:ascii="Verdana" w:hAnsi="Verdana" w:cs="Verdana"/>
          <w:spacing w:val="-2"/>
          <w:sz w:val="20"/>
          <w:szCs w:val="20"/>
          <w:lang w:val="es-ES_tradnl"/>
        </w:rPr>
        <w:t xml:space="preserve">se refirió con detalle a las numerosas denuncias presentadas ante diversas autoridades estatales tras la alegada detención y desaparición de las presuntas víctimas del caso, </w:t>
      </w:r>
      <w:r w:rsidRPr="002964A7">
        <w:rPr>
          <w:rFonts w:ascii="Verdana" w:hAnsi="Verdana" w:cs="Verdana"/>
          <w:spacing w:val="-2"/>
          <w:sz w:val="20"/>
          <w:szCs w:val="20"/>
          <w:lang w:val="es-ES_tradnl"/>
        </w:rPr>
        <w:lastRenderedPageBreak/>
        <w:t>señalando que aqu</w:t>
      </w:r>
      <w:r w:rsidR="00335E16">
        <w:rPr>
          <w:rFonts w:ascii="Verdana" w:hAnsi="Verdana" w:cs="Verdana"/>
          <w:spacing w:val="-2"/>
          <w:sz w:val="20"/>
          <w:szCs w:val="20"/>
          <w:lang w:val="es-ES_tradnl"/>
        </w:rPr>
        <w:t>e</w:t>
      </w:r>
      <w:r w:rsidRPr="002964A7">
        <w:rPr>
          <w:rFonts w:ascii="Verdana" w:hAnsi="Verdana" w:cs="Verdana"/>
          <w:spacing w:val="-2"/>
          <w:sz w:val="20"/>
          <w:szCs w:val="20"/>
          <w:lang w:val="es-ES_tradnl"/>
        </w:rPr>
        <w:t xml:space="preserve">llas no ordenaron medidas oportunas y necesarias dirigidas a la determinación de su paradero. </w:t>
      </w:r>
      <w:r w:rsidRPr="002964A7">
        <w:rPr>
          <w:rFonts w:ascii="Verdana" w:hAnsi="Verdana"/>
          <w:spacing w:val="-2"/>
          <w:sz w:val="20"/>
          <w:szCs w:val="20"/>
          <w:lang w:val="es-PR"/>
        </w:rPr>
        <w:t>Asimismo</w:t>
      </w:r>
      <w:r w:rsidRPr="002964A7">
        <w:rPr>
          <w:rFonts w:ascii="Verdana" w:hAnsi="Verdana" w:cs="Arial"/>
          <w:spacing w:val="-2"/>
          <w:sz w:val="20"/>
          <w:szCs w:val="20"/>
          <w:lang w:val="es-PR"/>
        </w:rPr>
        <w:t>, destacó que ninguno de los dos recursos de hábeas corpus presentados por el señor Alejandro Huamaní a favor de su hijo, Eli</w:t>
      </w:r>
      <w:r>
        <w:rPr>
          <w:rFonts w:ascii="Verdana" w:hAnsi="Verdana" w:cs="Arial"/>
          <w:spacing w:val="-2"/>
          <w:sz w:val="20"/>
          <w:szCs w:val="20"/>
          <w:lang w:val="es-PR"/>
        </w:rPr>
        <w:t>h</w:t>
      </w:r>
      <w:r w:rsidRPr="002964A7">
        <w:rPr>
          <w:rFonts w:ascii="Verdana" w:hAnsi="Verdana" w:cs="Arial"/>
          <w:spacing w:val="-2"/>
          <w:sz w:val="20"/>
          <w:szCs w:val="20"/>
          <w:lang w:val="es-PR"/>
        </w:rPr>
        <w:t xml:space="preserve">oref Huamaní, resultaron efectivos. </w:t>
      </w:r>
      <w:r w:rsidRPr="002964A7">
        <w:rPr>
          <w:rFonts w:ascii="Verdana" w:hAnsi="Verdana" w:cs="Verdana"/>
          <w:spacing w:val="-2"/>
          <w:sz w:val="20"/>
          <w:szCs w:val="20"/>
          <w:lang w:val="es-ES_tradnl"/>
        </w:rPr>
        <w:t>Asimismo, la Comisión sostuvo que las presuntas violaciones mencionadas derivaron de</w:t>
      </w:r>
      <w:r w:rsidRPr="002964A7">
        <w:rPr>
          <w:rFonts w:ascii="Verdana" w:hAnsi="Verdana"/>
          <w:spacing w:val="-2"/>
          <w:sz w:val="20"/>
          <w:szCs w:val="20"/>
          <w:lang w:val="es-PR"/>
        </w:rPr>
        <w:t>: i) el sometimiento del caso a la justicia militar; ii)</w:t>
      </w:r>
      <w:r w:rsidRPr="002964A7">
        <w:rPr>
          <w:rFonts w:ascii="Verdana" w:hAnsi="Verdana" w:cs="Verdana"/>
          <w:spacing w:val="-2"/>
          <w:sz w:val="20"/>
          <w:szCs w:val="20"/>
          <w:lang w:val="es-ES_tradnl"/>
        </w:rPr>
        <w:t xml:space="preserve"> el hecho que </w:t>
      </w:r>
      <w:r w:rsidRPr="002964A7">
        <w:rPr>
          <w:rFonts w:ascii="Verdana" w:hAnsi="Verdana" w:cs="Arial"/>
          <w:spacing w:val="-2"/>
          <w:sz w:val="20"/>
          <w:szCs w:val="20"/>
          <w:lang w:val="es-PR"/>
        </w:rPr>
        <w:t xml:space="preserve">el proceso penal ante la jurisdicción ordinaria inició recién el 26 de febrero de </w:t>
      </w:r>
      <w:r w:rsidRPr="002964A7">
        <w:rPr>
          <w:rFonts w:ascii="Verdana" w:hAnsi="Verdana"/>
          <w:spacing w:val="-2"/>
          <w:sz w:val="20"/>
          <w:szCs w:val="20"/>
          <w:lang w:val="es-PR"/>
        </w:rPr>
        <w:t>1992</w:t>
      </w:r>
      <w:r w:rsidRPr="002964A7">
        <w:rPr>
          <w:rFonts w:ascii="Verdana" w:hAnsi="Verdana" w:cs="Arial"/>
          <w:spacing w:val="-2"/>
          <w:sz w:val="20"/>
          <w:szCs w:val="20"/>
          <w:lang w:val="es-PR"/>
        </w:rPr>
        <w:t>; iii)</w:t>
      </w:r>
      <w:r w:rsidRPr="002964A7">
        <w:rPr>
          <w:rFonts w:ascii="Verdana" w:hAnsi="Verdana"/>
          <w:spacing w:val="-2"/>
          <w:sz w:val="20"/>
          <w:szCs w:val="20"/>
          <w:lang w:val="es-PR"/>
        </w:rPr>
        <w:t xml:space="preserve"> las deficiencias en la investigación en el fuero ordinario durante los primeros años; iv) una serie de mecanismos de encubrimiento; v) la aplicación de la ley de amnistía en 1995; vi) el archivo de la investigación durante 10 años; vii) la falta de diligencia en la búsqueda de los presuntos responsables que se encuentran prófugos; viii) la demora de más de 20 años desde los hechos hasta la primera y única condena; ix) la falta de información sobre lo sucedido con los restos exhumados en 1991; x) la omisión prolongada de 18 años, entre 1991 y 2009, en realizar algún tipo de seguimiento a las actividades forenses; xi) las deficiencias en los procesos actuales en cuanto a la identificación de los restos de las víctimas, y xii) la falta de persecución de todos los responsables, inclusive los altos mandos. </w:t>
      </w:r>
      <w:r w:rsidRPr="002964A7">
        <w:rPr>
          <w:rFonts w:ascii="Verdana" w:hAnsi="Verdana" w:cs="Arial"/>
          <w:spacing w:val="-2"/>
          <w:sz w:val="20"/>
          <w:szCs w:val="20"/>
          <w:lang w:val="es-PR"/>
        </w:rPr>
        <w:t xml:space="preserve">La Comisión concluyó que los tribunales de justicia habían actuado con falta de diligencia y de voluntad para impulsar el procedimiento penal tendiente a esclarecer todos los hechos ocurridos el 4 de julio de </w:t>
      </w:r>
      <w:r w:rsidRPr="002964A7">
        <w:rPr>
          <w:rFonts w:ascii="Verdana" w:hAnsi="Verdana"/>
          <w:spacing w:val="-2"/>
          <w:sz w:val="20"/>
          <w:szCs w:val="20"/>
          <w:lang w:val="es-PR"/>
        </w:rPr>
        <w:t xml:space="preserve">1991 y </w:t>
      </w:r>
      <w:r w:rsidRPr="002964A7">
        <w:rPr>
          <w:rFonts w:ascii="Verdana" w:hAnsi="Verdana" w:cs="Arial"/>
          <w:spacing w:val="-2"/>
          <w:sz w:val="20"/>
          <w:szCs w:val="20"/>
          <w:lang w:val="es-PR"/>
        </w:rPr>
        <w:t>sancionar a los responsables.</w:t>
      </w:r>
      <w:r w:rsidRPr="002964A7">
        <w:rPr>
          <w:rFonts w:ascii="Verdana" w:hAnsi="Verdana"/>
          <w:spacing w:val="-2"/>
          <w:sz w:val="20"/>
          <w:szCs w:val="20"/>
          <w:lang w:val="es-PR"/>
        </w:rPr>
        <w:t xml:space="preserve"> Además</w:t>
      </w:r>
      <w:r w:rsidRPr="002964A7">
        <w:rPr>
          <w:rFonts w:ascii="Verdana" w:hAnsi="Verdana" w:cs="Arial"/>
          <w:spacing w:val="-2"/>
          <w:sz w:val="20"/>
          <w:szCs w:val="20"/>
          <w:lang w:val="es-PR"/>
        </w:rPr>
        <w:t xml:space="preserve">, transcurridos casi </w:t>
      </w:r>
      <w:r w:rsidRPr="002964A7">
        <w:rPr>
          <w:rFonts w:ascii="Verdana" w:hAnsi="Verdana"/>
          <w:spacing w:val="-2"/>
          <w:sz w:val="20"/>
          <w:szCs w:val="20"/>
          <w:lang w:val="es-PR"/>
        </w:rPr>
        <w:t xml:space="preserve">20 años </w:t>
      </w:r>
      <w:r w:rsidRPr="002964A7">
        <w:rPr>
          <w:rFonts w:ascii="Verdana" w:hAnsi="Verdana" w:cs="Arial"/>
          <w:spacing w:val="-2"/>
          <w:sz w:val="20"/>
          <w:szCs w:val="20"/>
          <w:lang w:val="es-PR"/>
        </w:rPr>
        <w:t>desde las alegadas desapariciones forzadas y sin que se conozca a</w:t>
      </w:r>
      <w:r>
        <w:rPr>
          <w:rFonts w:ascii="Verdana" w:hAnsi="Verdana" w:cs="Arial"/>
          <w:spacing w:val="-2"/>
          <w:sz w:val="20"/>
          <w:szCs w:val="20"/>
          <w:lang w:val="es-PR"/>
        </w:rPr>
        <w:t>ú</w:t>
      </w:r>
      <w:r w:rsidRPr="002964A7">
        <w:rPr>
          <w:rFonts w:ascii="Verdana" w:hAnsi="Verdana" w:cs="Arial"/>
          <w:spacing w:val="-2"/>
          <w:sz w:val="20"/>
          <w:szCs w:val="20"/>
          <w:lang w:val="es-PR"/>
        </w:rPr>
        <w:t xml:space="preserve">n toda la verdad sobre los hechos, los procesos internos en el ámbito penal no habían constituido recursos efectivos para determinar la suerte de las víctimas, ni para garantizar los derechos de acceso a la justicia y a conocer la verdad, mediante la investigación y eventual sanción de los responsables y la reparación integral. </w:t>
      </w:r>
    </w:p>
    <w:p w:rsidR="00C83100" w:rsidRPr="00F13F0B" w:rsidRDefault="00C83100" w:rsidP="00C83100">
      <w:pPr>
        <w:autoSpaceDE w:val="0"/>
        <w:autoSpaceDN w:val="0"/>
        <w:adjustRightInd w:val="0"/>
        <w:spacing w:after="0" w:line="240" w:lineRule="auto"/>
        <w:ind w:right="15"/>
        <w:jc w:val="both"/>
        <w:rPr>
          <w:rFonts w:ascii="Verdana" w:eastAsia="Calibri" w:hAnsi="Verdana" w:cs="Arial"/>
          <w:spacing w:val="-2"/>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PR"/>
        </w:rPr>
        <w:t xml:space="preserve">Los </w:t>
      </w:r>
      <w:r w:rsidRPr="002964A7">
        <w:rPr>
          <w:rFonts w:ascii="Verdana" w:hAnsi="Verdana"/>
          <w:b/>
          <w:i/>
          <w:spacing w:val="-2"/>
          <w:sz w:val="20"/>
          <w:szCs w:val="20"/>
          <w:lang w:val="es-PR"/>
        </w:rPr>
        <w:t>representantes</w:t>
      </w:r>
      <w:r w:rsidRPr="002964A7">
        <w:rPr>
          <w:rFonts w:ascii="Verdana" w:hAnsi="Verdana"/>
          <w:spacing w:val="-2"/>
          <w:sz w:val="20"/>
          <w:szCs w:val="20"/>
          <w:lang w:val="es-PR"/>
        </w:rPr>
        <w:t xml:space="preserve"> coincidieron sustancialmente con los argumentos de la Comisión. </w:t>
      </w:r>
      <w:r w:rsidRPr="002964A7">
        <w:rPr>
          <w:rFonts w:ascii="Verdana" w:hAnsi="Verdana" w:cs="Arial"/>
          <w:spacing w:val="-2"/>
          <w:sz w:val="20"/>
          <w:szCs w:val="20"/>
          <w:lang w:val="es-PR"/>
        </w:rPr>
        <w:t>Adicionalmente</w:t>
      </w:r>
      <w:r w:rsidRPr="002964A7">
        <w:rPr>
          <w:rFonts w:ascii="Verdana" w:hAnsi="Verdana"/>
          <w:spacing w:val="-2"/>
          <w:sz w:val="20"/>
          <w:szCs w:val="20"/>
          <w:lang w:val="es-PR"/>
        </w:rPr>
        <w:t>,</w:t>
      </w:r>
      <w:r w:rsidRPr="002964A7">
        <w:rPr>
          <w:rFonts w:ascii="Verdana" w:hAnsi="Verdana" w:cs="Arial"/>
          <w:spacing w:val="-2"/>
          <w:sz w:val="20"/>
          <w:szCs w:val="20"/>
          <w:lang w:val="es-PR"/>
        </w:rPr>
        <w:t xml:space="preserve"> </w:t>
      </w:r>
      <w:r>
        <w:rPr>
          <w:rFonts w:ascii="Verdana" w:hAnsi="Verdana"/>
          <w:spacing w:val="-2"/>
          <w:sz w:val="20"/>
          <w:szCs w:val="20"/>
          <w:lang w:val="es-PR"/>
        </w:rPr>
        <w:t>alegaron</w:t>
      </w:r>
      <w:r w:rsidRPr="002964A7">
        <w:rPr>
          <w:rFonts w:ascii="Verdana" w:hAnsi="Verdana"/>
          <w:spacing w:val="-2"/>
          <w:sz w:val="20"/>
          <w:szCs w:val="20"/>
          <w:lang w:val="es-PR"/>
        </w:rPr>
        <w:t xml:space="preserve"> la violación del plazo razonable en el presente caso, y explicaron que por tratarse de alegadas desapariciones forzadas, la excesiva duración del proceso afecta gravemente los derechos de los familiares de las presuntas víctimas, pues prolonga innecesariamente el dolor por la incertidumbre de no conocer lo ocurrido a los seres queridos y el paradero de sus restos</w:t>
      </w:r>
      <w:r>
        <w:rPr>
          <w:rStyle w:val="FootnoteReference"/>
          <w:rFonts w:eastAsiaTheme="minorHAnsi"/>
          <w:spacing w:val="-2"/>
          <w:szCs w:val="20"/>
          <w:lang w:val="es-PR"/>
        </w:rPr>
        <w:footnoteReference w:id="236"/>
      </w:r>
      <w:r w:rsidRPr="002964A7">
        <w:rPr>
          <w:rFonts w:ascii="Verdana" w:hAnsi="Verdana"/>
          <w:spacing w:val="-2"/>
          <w:sz w:val="20"/>
          <w:szCs w:val="20"/>
          <w:lang w:val="es-PR"/>
        </w:rPr>
        <w:t xml:space="preserve">. </w:t>
      </w:r>
    </w:p>
    <w:p w:rsidR="00C83100" w:rsidRPr="00F13F0B" w:rsidRDefault="00C83100" w:rsidP="00C83100">
      <w:pPr>
        <w:autoSpaceDE w:val="0"/>
        <w:autoSpaceDN w:val="0"/>
        <w:adjustRightInd w:val="0"/>
        <w:spacing w:after="0" w:line="240" w:lineRule="auto"/>
        <w:ind w:right="15"/>
        <w:jc w:val="both"/>
        <w:rPr>
          <w:rFonts w:ascii="Verdana" w:hAnsi="Verdana"/>
          <w:spacing w:val="-2"/>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PR"/>
        </w:rPr>
        <w:t>Por otro lado, los representantes alegaron que el Estado violó el derecho a</w:t>
      </w:r>
      <w:r w:rsidRPr="00064A08">
        <w:rPr>
          <w:rFonts w:ascii="Verdana" w:hAnsi="Verdana"/>
          <w:sz w:val="20"/>
          <w:szCs w:val="20"/>
          <w:lang w:val="es-ES"/>
        </w:rPr>
        <w:t xml:space="preserve"> </w:t>
      </w:r>
      <w:r>
        <w:rPr>
          <w:rFonts w:ascii="Verdana" w:hAnsi="Verdana"/>
          <w:sz w:val="20"/>
          <w:szCs w:val="20"/>
          <w:lang w:val="es-ES"/>
        </w:rPr>
        <w:t>conocer</w:t>
      </w:r>
      <w:r w:rsidRPr="002964A7">
        <w:rPr>
          <w:rFonts w:ascii="Verdana" w:hAnsi="Verdana"/>
          <w:spacing w:val="-2"/>
          <w:sz w:val="20"/>
          <w:szCs w:val="20"/>
          <w:lang w:val="es-PR"/>
        </w:rPr>
        <w:t xml:space="preserve"> la verdad, </w:t>
      </w:r>
      <w:r w:rsidRPr="002964A7">
        <w:rPr>
          <w:rFonts w:ascii="Verdana" w:hAnsi="Verdana" w:cs="Arial"/>
          <w:spacing w:val="-2"/>
          <w:sz w:val="20"/>
          <w:szCs w:val="20"/>
          <w:lang w:val="es-PR"/>
        </w:rPr>
        <w:t xml:space="preserve">en la medida en que ha ocultado información relevante al caso y no ha provisto de procesos y </w:t>
      </w:r>
      <w:r w:rsidRPr="00911B43">
        <w:rPr>
          <w:rFonts w:ascii="Verdana" w:hAnsi="Verdana" w:cs="Arial"/>
          <w:spacing w:val="-2"/>
          <w:sz w:val="20"/>
          <w:szCs w:val="20"/>
          <w:lang w:val="es-PR"/>
        </w:rPr>
        <w:t>mecanismos necesarios para esclarecer la verdad de lo ocurrido, en violación de los artículos 8, 13 y 25 de la Convención Americana, en conjunto con el incumplimiento de</w:t>
      </w:r>
      <w:r w:rsidRPr="00911B43">
        <w:rPr>
          <w:rFonts w:ascii="Verdana" w:hAnsi="Verdana"/>
          <w:spacing w:val="-2"/>
          <w:sz w:val="20"/>
          <w:szCs w:val="20"/>
          <w:lang w:val="es-PR"/>
        </w:rPr>
        <w:t xml:space="preserve"> </w:t>
      </w:r>
      <w:r w:rsidRPr="00911B43">
        <w:rPr>
          <w:rFonts w:ascii="Verdana" w:hAnsi="Verdana" w:cs="Arial"/>
          <w:spacing w:val="-2"/>
          <w:sz w:val="20"/>
          <w:szCs w:val="20"/>
          <w:lang w:val="es-PR"/>
        </w:rPr>
        <w:t>los artículos 1.1 y 2 del</w:t>
      </w:r>
      <w:r w:rsidRPr="002964A7">
        <w:rPr>
          <w:rFonts w:ascii="Verdana" w:hAnsi="Verdana" w:cs="Arial"/>
          <w:spacing w:val="-2"/>
          <w:sz w:val="20"/>
          <w:szCs w:val="20"/>
          <w:lang w:val="es-PR"/>
        </w:rPr>
        <w:t xml:space="preserve"> mismo instrumento</w:t>
      </w:r>
      <w:r w:rsidRPr="002964A7">
        <w:rPr>
          <w:rFonts w:ascii="Verdana" w:hAnsi="Verdana"/>
          <w:spacing w:val="-2"/>
          <w:sz w:val="20"/>
          <w:szCs w:val="20"/>
          <w:lang w:val="es-PR"/>
        </w:rPr>
        <w:t xml:space="preserve">, “entendido como un derecho autónomo e independiente”. </w:t>
      </w:r>
    </w:p>
    <w:p w:rsidR="00C83100" w:rsidRPr="00F13F0B" w:rsidRDefault="00C83100" w:rsidP="00C83100">
      <w:pPr>
        <w:autoSpaceDE w:val="0"/>
        <w:autoSpaceDN w:val="0"/>
        <w:adjustRightInd w:val="0"/>
        <w:spacing w:after="0" w:line="240" w:lineRule="auto"/>
        <w:ind w:right="15"/>
        <w:jc w:val="both"/>
        <w:rPr>
          <w:rFonts w:ascii="Verdana" w:eastAsia="Calibri" w:hAnsi="Verdana" w:cs="Arial"/>
          <w:b/>
          <w:spacing w:val="-2"/>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lang w:val="es-PR"/>
        </w:rPr>
      </w:pPr>
      <w:r w:rsidRPr="002964A7">
        <w:rPr>
          <w:rFonts w:ascii="Verdana" w:hAnsi="Verdana"/>
          <w:spacing w:val="-2"/>
          <w:sz w:val="20"/>
          <w:szCs w:val="20"/>
          <w:lang w:val="es-PR"/>
        </w:rPr>
        <w:t xml:space="preserve">El </w:t>
      </w:r>
      <w:r w:rsidRPr="002964A7">
        <w:rPr>
          <w:rFonts w:ascii="Verdana" w:hAnsi="Verdana"/>
          <w:b/>
          <w:i/>
          <w:spacing w:val="-2"/>
          <w:sz w:val="20"/>
          <w:szCs w:val="20"/>
          <w:lang w:val="es-PR"/>
        </w:rPr>
        <w:t>Estado</w:t>
      </w:r>
      <w:r w:rsidRPr="002964A7">
        <w:rPr>
          <w:rFonts w:ascii="Verdana" w:hAnsi="Verdana"/>
          <w:spacing w:val="-2"/>
          <w:sz w:val="20"/>
          <w:szCs w:val="20"/>
          <w:lang w:val="es-PR"/>
        </w:rPr>
        <w:t xml:space="preserve"> se refirió a la </w:t>
      </w:r>
      <w:r w:rsidRPr="002964A7">
        <w:rPr>
          <w:rFonts w:ascii="Verdana" w:hAnsi="Verdana" w:cs="Arial"/>
          <w:spacing w:val="-2"/>
          <w:sz w:val="20"/>
          <w:szCs w:val="20"/>
          <w:lang w:val="es-PR"/>
        </w:rPr>
        <w:t>existencia</w:t>
      </w:r>
      <w:r w:rsidRPr="002964A7">
        <w:rPr>
          <w:rFonts w:ascii="Verdana" w:hAnsi="Verdana"/>
          <w:spacing w:val="-2"/>
          <w:sz w:val="20"/>
          <w:szCs w:val="20"/>
          <w:lang w:val="es-PR"/>
        </w:rPr>
        <w:t xml:space="preserve"> de un proceso penal en sede interna con Ejecutoria Suprema de 29 de mayo de 2013 </w:t>
      </w:r>
      <w:r>
        <w:rPr>
          <w:rFonts w:ascii="Verdana" w:hAnsi="Verdana"/>
          <w:spacing w:val="-2"/>
          <w:sz w:val="20"/>
          <w:szCs w:val="20"/>
          <w:lang w:val="es-PR"/>
        </w:rPr>
        <w:t>que derivó en la condena de</w:t>
      </w:r>
      <w:r w:rsidRPr="002964A7">
        <w:rPr>
          <w:rFonts w:ascii="Verdana" w:hAnsi="Verdana"/>
          <w:spacing w:val="-2"/>
          <w:sz w:val="20"/>
          <w:szCs w:val="20"/>
          <w:lang w:val="es-PR"/>
        </w:rPr>
        <w:t xml:space="preserve"> Oscar Alberto Carrera Gonzáles</w:t>
      </w:r>
      <w:r>
        <w:rPr>
          <w:rFonts w:ascii="Verdana" w:hAnsi="Verdana"/>
          <w:spacing w:val="-2"/>
          <w:sz w:val="20"/>
          <w:szCs w:val="20"/>
          <w:lang w:val="es-PR"/>
        </w:rPr>
        <w:t xml:space="preserve"> </w:t>
      </w:r>
      <w:r w:rsidRPr="002964A7">
        <w:rPr>
          <w:rFonts w:ascii="Verdana" w:hAnsi="Verdana"/>
          <w:spacing w:val="-2"/>
          <w:sz w:val="20"/>
          <w:szCs w:val="20"/>
          <w:lang w:val="es-PR"/>
        </w:rPr>
        <w:t xml:space="preserve">como cómplice primario del delito contra la Vida, el Cuerpo y la Salud en la modalidad de Homicidio Calificado en agravio de las </w:t>
      </w:r>
      <w:r>
        <w:rPr>
          <w:rFonts w:ascii="Verdana" w:hAnsi="Verdana"/>
          <w:spacing w:val="-2"/>
          <w:sz w:val="20"/>
          <w:szCs w:val="20"/>
          <w:lang w:val="es-PR"/>
        </w:rPr>
        <w:t>15</w:t>
      </w:r>
      <w:r w:rsidRPr="002964A7">
        <w:rPr>
          <w:rFonts w:ascii="Verdana" w:hAnsi="Verdana"/>
          <w:spacing w:val="-2"/>
          <w:sz w:val="20"/>
          <w:szCs w:val="20"/>
          <w:lang w:val="es-PR"/>
        </w:rPr>
        <w:t xml:space="preserve"> presuntas víctimas desaparecidas. Alegó que dicho proceso ha tenido por objeto evitar la impunidad de los hechos, lo cual significa que el Estado ha dado cumplimiento a los artículos 8.1 y 25.1 de la Convención, y a los artículos 1, 6 y 8 de la Convención </w:t>
      </w:r>
      <w:r w:rsidR="008950A8">
        <w:rPr>
          <w:rFonts w:ascii="Verdana" w:hAnsi="Verdana"/>
          <w:spacing w:val="-2"/>
          <w:sz w:val="20"/>
          <w:szCs w:val="20"/>
          <w:lang w:val="es-PR"/>
        </w:rPr>
        <w:t>Intera</w:t>
      </w:r>
      <w:r w:rsidRPr="002964A7">
        <w:rPr>
          <w:rFonts w:ascii="Verdana" w:hAnsi="Verdana"/>
          <w:spacing w:val="-2"/>
          <w:sz w:val="20"/>
          <w:szCs w:val="20"/>
          <w:lang w:val="es-PR"/>
        </w:rPr>
        <w:t xml:space="preserve">mericana para Prevenir y Sancionar la Tortura. Sostuvo que los tribunales nacionales en sus resoluciones han respetado, durante el </w:t>
      </w:r>
      <w:r w:rsidRPr="002964A7">
        <w:rPr>
          <w:rFonts w:ascii="Verdana" w:hAnsi="Verdana"/>
          <w:spacing w:val="-2"/>
          <w:sz w:val="20"/>
          <w:szCs w:val="20"/>
          <w:lang w:val="es-ES_tradnl"/>
        </w:rPr>
        <w:lastRenderedPageBreak/>
        <w:t>desarrollo</w:t>
      </w:r>
      <w:r w:rsidRPr="002964A7">
        <w:rPr>
          <w:rFonts w:ascii="Verdana" w:hAnsi="Verdana"/>
          <w:spacing w:val="-2"/>
          <w:sz w:val="20"/>
          <w:szCs w:val="20"/>
          <w:lang w:val="es-PR"/>
        </w:rPr>
        <w:t xml:space="preserve"> de todo el proceso judicial, las garantías judiciales, sin vulnerar ningún derecho tutelado por la Convención. </w:t>
      </w:r>
    </w:p>
    <w:p w:rsidR="00C83100" w:rsidRPr="00F13F0B" w:rsidRDefault="00C83100" w:rsidP="00C83100">
      <w:pPr>
        <w:autoSpaceDE w:val="0"/>
        <w:autoSpaceDN w:val="0"/>
        <w:adjustRightInd w:val="0"/>
        <w:spacing w:after="0" w:line="240" w:lineRule="auto"/>
        <w:ind w:right="15"/>
        <w:jc w:val="both"/>
        <w:rPr>
          <w:rFonts w:ascii="Verdana" w:hAnsi="Verdana"/>
          <w:spacing w:val="-2"/>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rPr>
      </w:pPr>
      <w:r w:rsidRPr="002964A7">
        <w:rPr>
          <w:rFonts w:ascii="Verdana" w:hAnsi="Verdana"/>
          <w:spacing w:val="-2"/>
          <w:sz w:val="20"/>
          <w:szCs w:val="20"/>
          <w:lang w:val="es-PR"/>
        </w:rPr>
        <w:t xml:space="preserve">En cuanto a los primeros meses de la investigación, detalló las diligencias realizadas por las </w:t>
      </w:r>
      <w:r w:rsidRPr="002964A7">
        <w:rPr>
          <w:rFonts w:ascii="Verdana" w:hAnsi="Verdana" w:cs="Arial"/>
          <w:spacing w:val="-2"/>
          <w:sz w:val="20"/>
          <w:szCs w:val="20"/>
          <w:lang w:val="es-PR"/>
        </w:rPr>
        <w:t>autoridades</w:t>
      </w:r>
      <w:r w:rsidRPr="002964A7">
        <w:rPr>
          <w:rFonts w:ascii="Verdana" w:hAnsi="Verdana"/>
          <w:spacing w:val="-2"/>
          <w:sz w:val="20"/>
          <w:szCs w:val="20"/>
          <w:lang w:val="es-PR"/>
        </w:rPr>
        <w:t xml:space="preserve"> en respuesta a las diversas denuncias presentadas. Al respecto, explicó que no se mantuvo indiferente a los hechos acontecidos y que no hubo inacción por parte del Estado, sino que se despleg</w:t>
      </w:r>
      <w:r>
        <w:rPr>
          <w:rFonts w:ascii="Verdana" w:hAnsi="Verdana"/>
          <w:spacing w:val="-2"/>
          <w:sz w:val="20"/>
          <w:szCs w:val="20"/>
          <w:lang w:val="es-PR"/>
        </w:rPr>
        <w:t>ar</w:t>
      </w:r>
      <w:r w:rsidRPr="002964A7">
        <w:rPr>
          <w:rFonts w:ascii="Verdana" w:hAnsi="Verdana"/>
          <w:spacing w:val="-2"/>
          <w:sz w:val="20"/>
          <w:szCs w:val="20"/>
          <w:lang w:val="es-PR"/>
        </w:rPr>
        <w:t>o</w:t>
      </w:r>
      <w:r>
        <w:rPr>
          <w:rFonts w:ascii="Verdana" w:hAnsi="Verdana"/>
          <w:spacing w:val="-2"/>
          <w:sz w:val="20"/>
          <w:szCs w:val="20"/>
          <w:lang w:val="es-PR"/>
        </w:rPr>
        <w:t>n</w:t>
      </w:r>
      <w:r w:rsidRPr="002964A7">
        <w:rPr>
          <w:rFonts w:ascii="Verdana" w:hAnsi="Verdana"/>
          <w:spacing w:val="-2"/>
          <w:sz w:val="20"/>
          <w:szCs w:val="20"/>
          <w:lang w:val="es-PR"/>
        </w:rPr>
        <w:t xml:space="preserve"> los máximos esfuerzos para poder investigar los hechos. Además, indicó que en las investigaciones se había asegurado el pleno acceso y capacidad de actuar de los peticionarios en todas las etapas. </w:t>
      </w:r>
    </w:p>
    <w:p w:rsidR="00C83100" w:rsidRPr="00F13F0B" w:rsidRDefault="00C83100" w:rsidP="00C83100">
      <w:pPr>
        <w:autoSpaceDE w:val="0"/>
        <w:autoSpaceDN w:val="0"/>
        <w:adjustRightInd w:val="0"/>
        <w:spacing w:after="0" w:line="240" w:lineRule="auto"/>
        <w:ind w:right="15"/>
        <w:jc w:val="both"/>
        <w:rPr>
          <w:rFonts w:ascii="Verdana" w:eastAsia="Calibri" w:hAnsi="Verdana"/>
          <w:spacing w:val="-2"/>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PR"/>
        </w:rPr>
        <w:t xml:space="preserve">En relación con las </w:t>
      </w:r>
      <w:r w:rsidRPr="002964A7">
        <w:rPr>
          <w:rFonts w:ascii="Verdana" w:hAnsi="Verdana" w:cs="Arial"/>
          <w:spacing w:val="-2"/>
          <w:sz w:val="20"/>
          <w:szCs w:val="20"/>
          <w:lang w:val="es-PR"/>
        </w:rPr>
        <w:t>diligencias</w:t>
      </w:r>
      <w:r w:rsidRPr="002964A7">
        <w:rPr>
          <w:rFonts w:ascii="Verdana" w:hAnsi="Verdana"/>
          <w:spacing w:val="-2"/>
          <w:sz w:val="20"/>
          <w:szCs w:val="20"/>
          <w:lang w:val="es-PR"/>
        </w:rPr>
        <w:t xml:space="preserve"> para capturar a dos personas declaradas como reos ausentes, Javier Bendezú Vargas </w:t>
      </w:r>
      <w:r w:rsidRPr="002964A7">
        <w:rPr>
          <w:rFonts w:ascii="Verdana" w:hAnsi="Verdana" w:cs="Arial"/>
          <w:spacing w:val="-2"/>
          <w:sz w:val="20"/>
          <w:szCs w:val="20"/>
          <w:lang w:val="es-PR"/>
        </w:rPr>
        <w:t xml:space="preserve">y </w:t>
      </w:r>
      <w:r w:rsidRPr="002964A7">
        <w:rPr>
          <w:rFonts w:ascii="Verdana" w:hAnsi="Verdana"/>
          <w:spacing w:val="-2"/>
          <w:sz w:val="20"/>
          <w:szCs w:val="20"/>
          <w:lang w:val="es-PR"/>
        </w:rPr>
        <w:t xml:space="preserve">Denis Pacheco Zambrano, el Estado indicó que </w:t>
      </w:r>
      <w:r w:rsidR="00335E16">
        <w:rPr>
          <w:rFonts w:ascii="Verdana" w:hAnsi="Verdana"/>
          <w:spacing w:val="-2"/>
          <w:sz w:val="20"/>
          <w:szCs w:val="20"/>
          <w:lang w:val="es-PR"/>
        </w:rPr>
        <w:t>e</w:t>
      </w:r>
      <w:r w:rsidRPr="002964A7">
        <w:rPr>
          <w:rFonts w:ascii="Verdana" w:hAnsi="Verdana"/>
          <w:spacing w:val="-2"/>
          <w:sz w:val="20"/>
          <w:szCs w:val="20"/>
          <w:lang w:val="es-PR"/>
        </w:rPr>
        <w:t xml:space="preserve">stos se encontraban con órdenes de captura a nivel nacional e internacional, código “rojo” de INTERPOL, y detalló las diligencias desplegadas a nivel interno a fin de lograr su captura. </w:t>
      </w:r>
    </w:p>
    <w:p w:rsidR="00C83100" w:rsidRPr="00F13F0B" w:rsidRDefault="00C83100" w:rsidP="00C83100">
      <w:pPr>
        <w:autoSpaceDE w:val="0"/>
        <w:autoSpaceDN w:val="0"/>
        <w:adjustRightInd w:val="0"/>
        <w:spacing w:after="0" w:line="240" w:lineRule="auto"/>
        <w:ind w:right="15"/>
        <w:jc w:val="both"/>
        <w:rPr>
          <w:rFonts w:ascii="Verdana" w:hAnsi="Verdana"/>
          <w:spacing w:val="-2"/>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rPr>
      </w:pPr>
      <w:r w:rsidRPr="002964A7">
        <w:rPr>
          <w:rFonts w:ascii="Verdana" w:hAnsi="Verdana"/>
          <w:spacing w:val="-2"/>
          <w:sz w:val="20"/>
          <w:szCs w:val="20"/>
          <w:lang w:val="es-PR"/>
        </w:rPr>
        <w:t xml:space="preserve">Respecto a la alegada violación del plazo razonable, el Estado </w:t>
      </w:r>
      <w:r>
        <w:rPr>
          <w:rFonts w:ascii="Verdana" w:hAnsi="Verdana"/>
          <w:spacing w:val="-2"/>
          <w:sz w:val="20"/>
          <w:szCs w:val="20"/>
          <w:lang w:val="es-PR"/>
        </w:rPr>
        <w:t>sostuvo</w:t>
      </w:r>
      <w:r w:rsidRPr="002964A7">
        <w:rPr>
          <w:rFonts w:ascii="Verdana" w:hAnsi="Verdana"/>
          <w:spacing w:val="-2"/>
          <w:sz w:val="20"/>
          <w:szCs w:val="20"/>
          <w:lang w:val="es-PR"/>
        </w:rPr>
        <w:t xml:space="preserve"> que la Corte ha </w:t>
      </w:r>
      <w:r w:rsidRPr="002964A7">
        <w:rPr>
          <w:rFonts w:ascii="Verdana" w:hAnsi="Verdana"/>
          <w:spacing w:val="-2"/>
          <w:sz w:val="20"/>
          <w:szCs w:val="20"/>
        </w:rPr>
        <w:t>sancionado</w:t>
      </w:r>
      <w:r w:rsidRPr="002964A7">
        <w:rPr>
          <w:rFonts w:ascii="Verdana" w:hAnsi="Verdana"/>
          <w:spacing w:val="-2"/>
          <w:sz w:val="20"/>
          <w:szCs w:val="20"/>
          <w:lang w:val="es-PR"/>
        </w:rPr>
        <w:t xml:space="preserve"> al Perú por las consecuencias generadas por los sistemas de juzgamiento contrarios a la </w:t>
      </w:r>
      <w:r w:rsidRPr="002964A7">
        <w:rPr>
          <w:rFonts w:ascii="Verdana" w:hAnsi="Verdana" w:cs="Arial"/>
          <w:spacing w:val="-2"/>
          <w:sz w:val="20"/>
          <w:szCs w:val="20"/>
          <w:lang w:val="es-PR"/>
        </w:rPr>
        <w:t>Constitución</w:t>
      </w:r>
      <w:r w:rsidRPr="002964A7">
        <w:rPr>
          <w:rFonts w:ascii="Verdana" w:hAnsi="Verdana"/>
          <w:spacing w:val="-2"/>
          <w:sz w:val="20"/>
          <w:szCs w:val="20"/>
          <w:lang w:val="es-PR"/>
        </w:rPr>
        <w:t xml:space="preserve"> Política del Perú y la Convención, y que en cumplimiento del mandato de la Corte, el Estado procedió a realizar las acciones para hacer compatible el sistema nacional de juzgamiento con los estándares internacionales. Por tanto, consideró que la Corte debería valorar los esfuerzos del Estado para el cumplimiento de dichos precedentes relativos a las leyes de amnistía, dado que dicha situación ha sido subsanada. En esta línea, consideró que el cómputo del tiempo para establecer una supuesta vulneración al principio del plazo razonable debe, en el presente caso, empezarse a contar a partir del 22 de junio de 2005, fecha en que el Fiscal Superior de la Fiscalía Superior Mixta de Huancavelica ordenó reabrir el caso, hasta el 29 de mayo de 2013, fecha en que la Ejecutoria Suprema quedó consentida, lo que da un lapso de tiempo de 7 años y 11 meses. Al respecto, argumentó que el proceso seguido contra Javier Bendezú y otros por la comisión del delito de Homicidio Calificado en agravio de 15 personas de la </w:t>
      </w:r>
      <w:r>
        <w:rPr>
          <w:rFonts w:ascii="Verdana" w:hAnsi="Verdana"/>
          <w:spacing w:val="-2"/>
          <w:sz w:val="20"/>
          <w:szCs w:val="20"/>
          <w:lang w:val="es-PR"/>
        </w:rPr>
        <w:t>c</w:t>
      </w:r>
      <w:r w:rsidRPr="002964A7">
        <w:rPr>
          <w:rFonts w:ascii="Verdana" w:hAnsi="Verdana"/>
          <w:spacing w:val="-2"/>
          <w:sz w:val="20"/>
          <w:szCs w:val="20"/>
          <w:lang w:val="es-PR"/>
        </w:rPr>
        <w:t xml:space="preserve">omunidad </w:t>
      </w:r>
      <w:r>
        <w:rPr>
          <w:rFonts w:ascii="Verdana" w:hAnsi="Verdana"/>
          <w:spacing w:val="-2"/>
          <w:sz w:val="20"/>
          <w:szCs w:val="20"/>
          <w:lang w:val="es-PR"/>
        </w:rPr>
        <w:t>c</w:t>
      </w:r>
      <w:r w:rsidRPr="002964A7">
        <w:rPr>
          <w:rFonts w:ascii="Verdana" w:hAnsi="Verdana"/>
          <w:spacing w:val="-2"/>
          <w:sz w:val="20"/>
          <w:szCs w:val="20"/>
          <w:lang w:val="es-PR"/>
        </w:rPr>
        <w:t xml:space="preserve">ampesina Santa Bárbara se convierte en complejo por la gravedad de los hechos investigados y la pluralidad de los imputados, lo cual se corrobora en las diversas resoluciones y sentencias expedidas en el proceso en sede nacional. A esto se agrega que para esclarecer los hechos y determinar la responsabilidad de los acusados se ha tenido que </w:t>
      </w:r>
      <w:r>
        <w:rPr>
          <w:rFonts w:ascii="Verdana" w:hAnsi="Verdana"/>
          <w:spacing w:val="-2"/>
          <w:sz w:val="20"/>
          <w:szCs w:val="20"/>
          <w:lang w:val="es-PR"/>
        </w:rPr>
        <w:t>recurrir a</w:t>
      </w:r>
      <w:r w:rsidRPr="002964A7">
        <w:rPr>
          <w:rFonts w:ascii="Verdana" w:hAnsi="Verdana"/>
          <w:spacing w:val="-2"/>
          <w:sz w:val="20"/>
          <w:szCs w:val="20"/>
          <w:lang w:val="es-PR"/>
        </w:rPr>
        <w:t xml:space="preserve"> diversos medios probatorios, algunos de ellos especializados.</w:t>
      </w:r>
      <w:r w:rsidRPr="002964A7">
        <w:rPr>
          <w:rFonts w:ascii="Verdana" w:hAnsi="Verdana"/>
          <w:b/>
          <w:spacing w:val="-2"/>
          <w:sz w:val="20"/>
          <w:szCs w:val="20"/>
          <w:lang w:val="es-PR"/>
        </w:rPr>
        <w:t xml:space="preserve"> </w:t>
      </w:r>
    </w:p>
    <w:p w:rsidR="00C83100" w:rsidRPr="00F13F0B" w:rsidRDefault="00C83100" w:rsidP="00C83100">
      <w:pPr>
        <w:autoSpaceDE w:val="0"/>
        <w:autoSpaceDN w:val="0"/>
        <w:adjustRightInd w:val="0"/>
        <w:spacing w:after="0" w:line="240" w:lineRule="auto"/>
        <w:ind w:right="15"/>
        <w:jc w:val="both"/>
        <w:rPr>
          <w:rFonts w:ascii="Verdana" w:eastAsia="Calibri" w:hAnsi="Verdana"/>
          <w:spacing w:val="-2"/>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PR"/>
        </w:rPr>
        <w:t xml:space="preserve">Sobre la actuación de la justicia militar, el Estado manifestó que para la fecha de los hechos del caso (año 1991) los estándares manejados hasta entonces por la Corte sobre la justicia militar diferirían visiblemente de los estándares que hoy se manejan en cuanto a la exigencia de </w:t>
      </w:r>
      <w:r w:rsidRPr="002964A7">
        <w:rPr>
          <w:rFonts w:ascii="Verdana" w:hAnsi="Verdana" w:cs="Arial"/>
          <w:spacing w:val="-2"/>
          <w:sz w:val="20"/>
          <w:szCs w:val="20"/>
          <w:lang w:val="es-PR"/>
        </w:rPr>
        <w:t>competencia</w:t>
      </w:r>
      <w:r w:rsidRPr="002964A7">
        <w:rPr>
          <w:rFonts w:ascii="Verdana" w:hAnsi="Verdana"/>
          <w:spacing w:val="-2"/>
          <w:sz w:val="20"/>
          <w:szCs w:val="20"/>
          <w:lang w:val="es-PR"/>
        </w:rPr>
        <w:t xml:space="preserve">, independencia e imparcialidad de los tribunales militares, así como respecto a su competencia para juzgar casos sobre </w:t>
      </w:r>
      <w:r w:rsidRPr="002964A7">
        <w:rPr>
          <w:rFonts w:ascii="Verdana" w:hAnsi="Verdana"/>
          <w:spacing w:val="-2"/>
          <w:sz w:val="20"/>
          <w:szCs w:val="20"/>
        </w:rPr>
        <w:t>violaciones</w:t>
      </w:r>
      <w:r w:rsidRPr="002964A7">
        <w:rPr>
          <w:rFonts w:ascii="Verdana" w:hAnsi="Verdana"/>
          <w:spacing w:val="-2"/>
          <w:sz w:val="20"/>
          <w:szCs w:val="20"/>
          <w:lang w:val="es-PR"/>
        </w:rPr>
        <w:t xml:space="preserve"> de derechos humanos. Para el Estado, es claro que los estándares establecidos actualmente por el Sistema Interamericano de Derechos Humanos no podrían ser exigidos al Perú en el presente caso, pues ello implicaría una aplicación retroactiva de los mismos. Por su parte, el Perú en su ordenamiento jurídico interno habría delimitado lo referente a las contiendas de competencia entre el fuero militar y el fuero común</w:t>
      </w:r>
      <w:r w:rsidRPr="002964A7">
        <w:rPr>
          <w:rStyle w:val="FootnoteReference"/>
          <w:rFonts w:eastAsiaTheme="minorHAnsi"/>
          <w:spacing w:val="-2"/>
          <w:szCs w:val="20"/>
        </w:rPr>
        <w:footnoteReference w:id="237"/>
      </w:r>
      <w:r w:rsidRPr="002964A7">
        <w:rPr>
          <w:rFonts w:ascii="Verdana" w:hAnsi="Verdana"/>
          <w:spacing w:val="-2"/>
          <w:sz w:val="20"/>
          <w:szCs w:val="20"/>
          <w:lang w:val="es-PR"/>
        </w:rPr>
        <w:t xml:space="preserve">. </w:t>
      </w:r>
    </w:p>
    <w:p w:rsidR="00C83100" w:rsidRPr="00F13F0B" w:rsidRDefault="00C83100" w:rsidP="00C83100">
      <w:pPr>
        <w:autoSpaceDE w:val="0"/>
        <w:autoSpaceDN w:val="0"/>
        <w:adjustRightInd w:val="0"/>
        <w:spacing w:after="0" w:line="240" w:lineRule="auto"/>
        <w:ind w:right="15"/>
        <w:jc w:val="both"/>
        <w:rPr>
          <w:rFonts w:ascii="Verdana" w:hAnsi="Verdana"/>
          <w:b/>
          <w:spacing w:val="-2"/>
          <w:sz w:val="20"/>
          <w:szCs w:val="20"/>
        </w:rPr>
      </w:pPr>
    </w:p>
    <w:p w:rsidR="00C83100" w:rsidRPr="001154F9"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PR"/>
        </w:rPr>
        <w:t>En la audiencia pública, el Estado resaltó que los representantes de las presuntas víctimas no cuestionaron la calificación de los hechos por parte del Ministerio Público en los procesos internos, no estuvieron presentes en las diligencias forenses del año 2010, ni solicitaron en sede interna que el Estado fuera incluido como tercero civilmente responsable. Así, señaló que se dejaron de lado las vías internas de protección de derecho para acudir a la vía internacional. Finalmente, en sus alegatos finales escritos, el Perú</w:t>
      </w:r>
      <w:r w:rsidRPr="002964A7">
        <w:rPr>
          <w:rFonts w:ascii="Verdana" w:hAnsi="Verdana"/>
          <w:b/>
          <w:i/>
          <w:spacing w:val="-2"/>
          <w:sz w:val="20"/>
          <w:szCs w:val="20"/>
          <w:lang w:val="es-PR"/>
        </w:rPr>
        <w:t xml:space="preserve"> </w:t>
      </w:r>
      <w:r w:rsidRPr="002964A7">
        <w:rPr>
          <w:rFonts w:ascii="Verdana" w:hAnsi="Verdana"/>
          <w:spacing w:val="-2"/>
          <w:sz w:val="20"/>
          <w:szCs w:val="20"/>
          <w:lang w:val="es-PR"/>
        </w:rPr>
        <w:t>señaló que llama la atención que se pretenda alegar una afectación al derecho a</w:t>
      </w:r>
      <w:r>
        <w:rPr>
          <w:rFonts w:ascii="Verdana" w:hAnsi="Verdana"/>
          <w:spacing w:val="-2"/>
          <w:sz w:val="20"/>
          <w:szCs w:val="20"/>
          <w:lang w:val="es-PR"/>
        </w:rPr>
        <w:t xml:space="preserve"> </w:t>
      </w:r>
      <w:r>
        <w:rPr>
          <w:rFonts w:ascii="Verdana" w:hAnsi="Verdana"/>
          <w:sz w:val="20"/>
          <w:szCs w:val="20"/>
          <w:lang w:val="es-ES"/>
        </w:rPr>
        <w:t>conocer</w:t>
      </w:r>
      <w:r w:rsidRPr="002964A7">
        <w:rPr>
          <w:rFonts w:ascii="Verdana" w:hAnsi="Verdana"/>
          <w:spacing w:val="-2"/>
          <w:sz w:val="20"/>
          <w:szCs w:val="20"/>
          <w:lang w:val="es-PR"/>
        </w:rPr>
        <w:t xml:space="preserve"> la verdad, desconociendo los resultados de la investigación realizada y la determinación de los hechos probados en la </w:t>
      </w:r>
      <w:r w:rsidR="004C74EB">
        <w:rPr>
          <w:rFonts w:ascii="Verdana" w:hAnsi="Verdana"/>
          <w:spacing w:val="-2"/>
          <w:sz w:val="20"/>
          <w:szCs w:val="20"/>
          <w:lang w:val="es-PR"/>
        </w:rPr>
        <w:t>s</w:t>
      </w:r>
      <w:r w:rsidRPr="002964A7">
        <w:rPr>
          <w:rFonts w:ascii="Verdana" w:hAnsi="Verdana"/>
          <w:spacing w:val="-2"/>
          <w:sz w:val="20"/>
          <w:szCs w:val="20"/>
          <w:lang w:val="es-PR"/>
        </w:rPr>
        <w:t xml:space="preserve">entencia de la Sala Penal Nacional, confirmada por la Corte Suprema de Justicia. </w:t>
      </w:r>
    </w:p>
    <w:p w:rsidR="00C83100" w:rsidRPr="00F13F0B" w:rsidRDefault="00C83100" w:rsidP="001154F9">
      <w:pPr>
        <w:pStyle w:val="Heading3"/>
        <w:rPr>
          <w:lang w:val="es-PR"/>
        </w:rPr>
      </w:pPr>
      <w:bookmarkStart w:id="204" w:name="_Toc421864977"/>
      <w:bookmarkStart w:id="205" w:name="_Toc423102553"/>
      <w:bookmarkStart w:id="206" w:name="_Toc433387506"/>
      <w:r>
        <w:rPr>
          <w:lang w:val="es-PR"/>
        </w:rPr>
        <w:t>B</w:t>
      </w:r>
      <w:r w:rsidR="00015C38">
        <w:rPr>
          <w:lang w:val="es-PR"/>
        </w:rPr>
        <w:t>.</w:t>
      </w:r>
      <w:r>
        <w:rPr>
          <w:lang w:val="es-PR"/>
        </w:rPr>
        <w:t xml:space="preserve"> </w:t>
      </w:r>
      <w:r w:rsidRPr="004C6DC2">
        <w:rPr>
          <w:lang w:val="es-PR"/>
        </w:rPr>
        <w:t>Consideraciones de la Corte</w:t>
      </w:r>
      <w:bookmarkEnd w:id="204"/>
      <w:bookmarkEnd w:id="205"/>
      <w:bookmarkEnd w:id="206"/>
    </w:p>
    <w:p w:rsidR="00C83100" w:rsidRPr="00015C38" w:rsidRDefault="00C83100" w:rsidP="00015C38">
      <w:pPr>
        <w:pStyle w:val="ListParagraph"/>
        <w:spacing w:after="0" w:line="240" w:lineRule="auto"/>
        <w:rPr>
          <w:rFonts w:ascii="Verdana" w:hAnsi="Verdana"/>
          <w:spacing w:val="-2"/>
          <w:sz w:val="16"/>
          <w:szCs w:val="20"/>
          <w:lang w:val="es-PR"/>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ES_tradnl"/>
        </w:rPr>
        <w:t xml:space="preserve">En el presente caso se inició un proceso en fuero militar, ante el Juzgado Sexto Militar Permanente de la Segunda Zona Judicial del Ejército de Ayacucho; un incidente de competencia entre el fuero militar y el Juez Instructor del Fuero Penal Común de Huancavelica </w:t>
      </w:r>
      <w:r w:rsidRPr="002964A7">
        <w:rPr>
          <w:rFonts w:ascii="Verdana" w:hAnsi="Verdana"/>
          <w:spacing w:val="-2"/>
          <w:sz w:val="20"/>
          <w:szCs w:val="20"/>
        </w:rPr>
        <w:t>sometido</w:t>
      </w:r>
      <w:r w:rsidRPr="002964A7">
        <w:rPr>
          <w:rFonts w:ascii="Verdana" w:hAnsi="Verdana"/>
          <w:spacing w:val="-2"/>
          <w:sz w:val="20"/>
          <w:szCs w:val="20"/>
          <w:lang w:val="es-ES_tradnl"/>
        </w:rPr>
        <w:t xml:space="preserve"> a la Sala Penal de la Corte Suprema de Justicia, </w:t>
      </w:r>
      <w:r>
        <w:rPr>
          <w:rFonts w:ascii="Verdana" w:hAnsi="Verdana"/>
          <w:spacing w:val="-2"/>
          <w:sz w:val="20"/>
          <w:szCs w:val="20"/>
          <w:lang w:val="es-ES_tradnl"/>
        </w:rPr>
        <w:t>la cual</w:t>
      </w:r>
      <w:r w:rsidRPr="002964A7">
        <w:rPr>
          <w:rFonts w:ascii="Verdana" w:hAnsi="Verdana"/>
          <w:spacing w:val="-2"/>
          <w:sz w:val="20"/>
          <w:szCs w:val="20"/>
          <w:lang w:val="es-ES_tradnl"/>
        </w:rPr>
        <w:t xml:space="preserve"> falló a favor del conocimiento del caso por parte de</w:t>
      </w:r>
      <w:r>
        <w:rPr>
          <w:rFonts w:ascii="Verdana" w:hAnsi="Verdana"/>
          <w:spacing w:val="-2"/>
          <w:sz w:val="20"/>
          <w:szCs w:val="20"/>
          <w:lang w:val="es-ES_tradnl"/>
        </w:rPr>
        <w:t xml:space="preserve"> la jurisdicción ordinaria</w:t>
      </w:r>
      <w:r w:rsidRPr="002964A7">
        <w:rPr>
          <w:rFonts w:ascii="Verdana" w:hAnsi="Verdana"/>
          <w:spacing w:val="-2"/>
          <w:sz w:val="20"/>
          <w:szCs w:val="20"/>
          <w:lang w:val="es-ES_tradnl"/>
        </w:rPr>
        <w:t xml:space="preserve">, y </w:t>
      </w:r>
      <w:r w:rsidRPr="002964A7">
        <w:rPr>
          <w:rFonts w:ascii="Verdana" w:hAnsi="Verdana" w:cs="Arial"/>
          <w:sz w:val="20"/>
          <w:szCs w:val="20"/>
          <w:lang w:val="es-GT"/>
        </w:rPr>
        <w:t xml:space="preserve">la </w:t>
      </w:r>
      <w:r>
        <w:rPr>
          <w:rFonts w:ascii="Verdana" w:hAnsi="Verdana" w:cs="Arial"/>
          <w:sz w:val="20"/>
          <w:szCs w:val="20"/>
          <w:lang w:val="es-GT"/>
        </w:rPr>
        <w:t xml:space="preserve">apertura de un </w:t>
      </w:r>
      <w:r w:rsidRPr="002964A7">
        <w:rPr>
          <w:rFonts w:ascii="Verdana" w:hAnsi="Verdana" w:cs="Arial"/>
          <w:sz w:val="20"/>
          <w:szCs w:val="20"/>
          <w:lang w:val="es-GT"/>
        </w:rPr>
        <w:t xml:space="preserve">juicio oral </w:t>
      </w:r>
      <w:r>
        <w:rPr>
          <w:rFonts w:ascii="Verdana" w:hAnsi="Verdana" w:cs="Arial"/>
          <w:sz w:val="20"/>
          <w:szCs w:val="20"/>
          <w:lang w:val="es-GT"/>
        </w:rPr>
        <w:t xml:space="preserve">por la </w:t>
      </w:r>
      <w:r w:rsidRPr="002964A7">
        <w:rPr>
          <w:rFonts w:ascii="Verdana" w:hAnsi="Verdana" w:cs="Arial"/>
          <w:sz w:val="20"/>
          <w:szCs w:val="20"/>
          <w:lang w:val="es-GT"/>
        </w:rPr>
        <w:t>Sala Mixta de la Corte Superior de Justicia de Huancavelica</w:t>
      </w:r>
      <w:r w:rsidRPr="002964A7">
        <w:rPr>
          <w:rFonts w:ascii="Verdana" w:hAnsi="Verdana"/>
          <w:spacing w:val="-2"/>
          <w:sz w:val="20"/>
          <w:szCs w:val="20"/>
          <w:lang w:val="es-ES_tradnl"/>
        </w:rPr>
        <w:t>. En el año 1995 se aplicó la Ley de Amnistía No. 26.479 en ambos fueros; no obstante, en el año 2002 se reabrió el proceso en la jurisdicción militar</w:t>
      </w:r>
      <w:r>
        <w:rPr>
          <w:rFonts w:ascii="Verdana" w:hAnsi="Verdana"/>
          <w:spacing w:val="-2"/>
          <w:sz w:val="20"/>
          <w:szCs w:val="20"/>
          <w:lang w:val="es-ES_tradnl"/>
        </w:rPr>
        <w:t>,</w:t>
      </w:r>
      <w:r w:rsidRPr="002964A7">
        <w:rPr>
          <w:rFonts w:ascii="Verdana" w:hAnsi="Verdana"/>
          <w:spacing w:val="-2"/>
          <w:sz w:val="20"/>
          <w:szCs w:val="20"/>
          <w:lang w:val="es-ES_tradnl"/>
        </w:rPr>
        <w:t xml:space="preserve"> y en el año 2005 en </w:t>
      </w:r>
      <w:r>
        <w:rPr>
          <w:rFonts w:ascii="Verdana" w:hAnsi="Verdana"/>
          <w:spacing w:val="-2"/>
          <w:sz w:val="20"/>
          <w:szCs w:val="20"/>
          <w:lang w:val="es-ES_tradnl"/>
        </w:rPr>
        <w:t>la jurisdicción</w:t>
      </w:r>
      <w:r w:rsidRPr="002964A7">
        <w:rPr>
          <w:rFonts w:ascii="Verdana" w:hAnsi="Verdana"/>
          <w:spacing w:val="-2"/>
          <w:sz w:val="20"/>
          <w:szCs w:val="20"/>
          <w:lang w:val="es-ES_tradnl"/>
        </w:rPr>
        <w:t xml:space="preserve"> ordinari</w:t>
      </w:r>
      <w:r>
        <w:rPr>
          <w:rFonts w:ascii="Verdana" w:hAnsi="Verdana"/>
          <w:spacing w:val="-2"/>
          <w:sz w:val="20"/>
          <w:szCs w:val="20"/>
          <w:lang w:val="es-ES_tradnl"/>
        </w:rPr>
        <w:t>a</w:t>
      </w:r>
      <w:r w:rsidRPr="002964A7">
        <w:rPr>
          <w:rFonts w:ascii="Verdana" w:hAnsi="Verdana"/>
          <w:spacing w:val="-2"/>
          <w:sz w:val="20"/>
          <w:szCs w:val="20"/>
          <w:lang w:val="es-ES_tradnl"/>
        </w:rPr>
        <w:t>. No consta en el expediente actuaciones posteriores en la jurisdicción militar</w:t>
      </w:r>
      <w:r>
        <w:rPr>
          <w:rFonts w:ascii="Verdana" w:hAnsi="Verdana"/>
          <w:spacing w:val="-2"/>
          <w:sz w:val="20"/>
          <w:szCs w:val="20"/>
          <w:lang w:val="es-ES_tradnl"/>
        </w:rPr>
        <w:t>.</w:t>
      </w:r>
      <w:r w:rsidRPr="002964A7">
        <w:rPr>
          <w:rFonts w:ascii="Verdana" w:hAnsi="Verdana"/>
          <w:spacing w:val="-2"/>
          <w:sz w:val="20"/>
          <w:szCs w:val="20"/>
          <w:lang w:val="es-ES_tradnl"/>
        </w:rPr>
        <w:t xml:space="preserve"> </w:t>
      </w:r>
      <w:r>
        <w:rPr>
          <w:rFonts w:ascii="Verdana" w:hAnsi="Verdana"/>
          <w:spacing w:val="-2"/>
          <w:sz w:val="20"/>
          <w:szCs w:val="20"/>
          <w:lang w:val="es-ES_tradnl"/>
        </w:rPr>
        <w:t>S</w:t>
      </w:r>
      <w:r w:rsidRPr="002964A7">
        <w:rPr>
          <w:rFonts w:ascii="Verdana" w:hAnsi="Verdana"/>
          <w:spacing w:val="-2"/>
          <w:sz w:val="20"/>
          <w:szCs w:val="20"/>
          <w:lang w:val="es-ES_tradnl"/>
        </w:rPr>
        <w:t xml:space="preserve">in embargo, en </w:t>
      </w:r>
      <w:r>
        <w:rPr>
          <w:rFonts w:ascii="Verdana" w:hAnsi="Verdana"/>
          <w:spacing w:val="-2"/>
          <w:sz w:val="20"/>
          <w:szCs w:val="20"/>
          <w:lang w:val="es-ES_tradnl"/>
        </w:rPr>
        <w:t>la jurisdicción</w:t>
      </w:r>
      <w:r w:rsidRPr="002964A7">
        <w:rPr>
          <w:rFonts w:ascii="Verdana" w:hAnsi="Verdana"/>
          <w:spacing w:val="-2"/>
          <w:sz w:val="20"/>
          <w:szCs w:val="20"/>
          <w:lang w:val="es-ES_tradnl"/>
        </w:rPr>
        <w:t xml:space="preserve"> ordinari</w:t>
      </w:r>
      <w:r>
        <w:rPr>
          <w:rFonts w:ascii="Verdana" w:hAnsi="Verdana"/>
          <w:spacing w:val="-2"/>
          <w:sz w:val="20"/>
          <w:szCs w:val="20"/>
          <w:lang w:val="es-ES_tradnl"/>
        </w:rPr>
        <w:t>a</w:t>
      </w:r>
      <w:r w:rsidRPr="002964A7">
        <w:rPr>
          <w:rFonts w:ascii="Verdana" w:hAnsi="Verdana"/>
          <w:spacing w:val="-2"/>
          <w:sz w:val="20"/>
          <w:szCs w:val="20"/>
          <w:lang w:val="es-ES_tradnl"/>
        </w:rPr>
        <w:t xml:space="preserve">, en octubre de 2006 la Sala Penal Nacional de Lima había avocado el proceso que posteriormente resultó en la condena de Oscar Alberto Carrera Gonzales a 20 años de pena privativa de libertad, y dentro del cual se dispuso la captura de procesados ausentes. </w:t>
      </w:r>
      <w:r>
        <w:rPr>
          <w:rFonts w:ascii="Verdana" w:hAnsi="Verdana"/>
          <w:spacing w:val="-2"/>
          <w:sz w:val="20"/>
          <w:szCs w:val="20"/>
          <w:lang w:val="es-ES_tradnl"/>
        </w:rPr>
        <w:t>E</w:t>
      </w:r>
      <w:r w:rsidRPr="002964A7">
        <w:rPr>
          <w:rFonts w:ascii="Verdana" w:hAnsi="Verdana"/>
          <w:spacing w:val="-2"/>
          <w:sz w:val="20"/>
          <w:szCs w:val="20"/>
          <w:lang w:val="es-ES_tradnl"/>
        </w:rPr>
        <w:t xml:space="preserve">n agosto de 2011 el Cuarto Juzgado Penal Supraprovincial de Lima abrió instrucción en el proceso que resultó en el corte de secuela a favor </w:t>
      </w:r>
      <w:r>
        <w:rPr>
          <w:rFonts w:ascii="Verdana" w:hAnsi="Verdana"/>
          <w:spacing w:val="-2"/>
          <w:sz w:val="20"/>
          <w:szCs w:val="20"/>
          <w:lang w:val="es-ES_tradnl"/>
        </w:rPr>
        <w:t xml:space="preserve">de </w:t>
      </w:r>
      <w:r w:rsidRPr="002964A7">
        <w:rPr>
          <w:rFonts w:ascii="Verdana" w:hAnsi="Verdana"/>
          <w:spacing w:val="-2"/>
          <w:sz w:val="20"/>
          <w:szCs w:val="20"/>
          <w:lang w:val="es-ES_tradnl"/>
        </w:rPr>
        <w:t xml:space="preserve">Simón Fidel Breña Palante, a través de la </w:t>
      </w:r>
      <w:r>
        <w:rPr>
          <w:rFonts w:ascii="Verdana" w:hAnsi="Verdana"/>
          <w:spacing w:val="-2"/>
          <w:sz w:val="20"/>
          <w:szCs w:val="20"/>
          <w:lang w:val="es-ES_tradnl"/>
        </w:rPr>
        <w:t>s</w:t>
      </w:r>
      <w:r w:rsidRPr="002964A7">
        <w:rPr>
          <w:rFonts w:ascii="Verdana" w:hAnsi="Verdana"/>
          <w:spacing w:val="-2"/>
          <w:sz w:val="20"/>
          <w:szCs w:val="20"/>
          <w:lang w:val="es-ES_tradnl"/>
        </w:rPr>
        <w:t>entencia de febrero de 2013 de la Sala Penal Nacional de la Corte Suprema de Justicia (</w:t>
      </w:r>
      <w:r w:rsidRPr="002964A7">
        <w:rPr>
          <w:rFonts w:ascii="Verdana" w:hAnsi="Verdana"/>
          <w:i/>
          <w:spacing w:val="-2"/>
          <w:sz w:val="20"/>
          <w:szCs w:val="20"/>
          <w:lang w:val="es-ES_tradnl"/>
        </w:rPr>
        <w:t xml:space="preserve">supra </w:t>
      </w:r>
      <w:r w:rsidRPr="002964A7">
        <w:rPr>
          <w:rFonts w:ascii="Verdana" w:hAnsi="Verdana"/>
          <w:spacing w:val="-2"/>
          <w:sz w:val="20"/>
          <w:szCs w:val="20"/>
          <w:lang w:val="es-ES_tradnl"/>
        </w:rPr>
        <w:t xml:space="preserve">párrs. </w:t>
      </w:r>
      <w:r>
        <w:rPr>
          <w:rFonts w:ascii="Verdana" w:hAnsi="Verdana"/>
          <w:spacing w:val="-2"/>
          <w:sz w:val="20"/>
          <w:szCs w:val="20"/>
          <w:lang w:val="es-ES_tradnl"/>
        </w:rPr>
        <w:t>106, 113 a 119, 123 a 125 y 131 a 134</w:t>
      </w:r>
      <w:r w:rsidRPr="002964A7">
        <w:rPr>
          <w:rFonts w:ascii="Verdana" w:hAnsi="Verdana"/>
          <w:spacing w:val="-2"/>
          <w:sz w:val="20"/>
          <w:szCs w:val="20"/>
          <w:lang w:val="es-ES_tradnl"/>
        </w:rPr>
        <w:t xml:space="preserve">). </w:t>
      </w:r>
    </w:p>
    <w:p w:rsidR="00C83100" w:rsidRPr="00F13F0B" w:rsidRDefault="00C83100" w:rsidP="00C83100">
      <w:pPr>
        <w:pStyle w:val="ListParagraph"/>
        <w:autoSpaceDE w:val="0"/>
        <w:autoSpaceDN w:val="0"/>
        <w:adjustRightInd w:val="0"/>
        <w:ind w:left="0" w:right="15"/>
        <w:jc w:val="both"/>
        <w:rPr>
          <w:rFonts w:ascii="Verdana" w:hAnsi="Verdana"/>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ES_tradnl"/>
        </w:rPr>
        <w:t xml:space="preserve">La Corte recuerda que, en virtud de la protección otorgada por los artículos 8 y 25 de la </w:t>
      </w:r>
      <w:r w:rsidRPr="002964A7">
        <w:rPr>
          <w:rFonts w:ascii="Verdana" w:hAnsi="Verdana"/>
          <w:spacing w:val="-2"/>
          <w:sz w:val="20"/>
          <w:szCs w:val="20"/>
          <w:lang w:val="es-PR"/>
        </w:rPr>
        <w:t>Convención</w:t>
      </w:r>
      <w:r w:rsidRPr="002964A7">
        <w:rPr>
          <w:rFonts w:ascii="Verdana" w:hAnsi="Verdana"/>
          <w:spacing w:val="-2"/>
          <w:sz w:val="20"/>
          <w:szCs w:val="20"/>
          <w:lang w:val="es-ES_tradnl"/>
        </w:rPr>
        <w:t xml:space="preserve">, los Estados están obligados a suministrar recursos judiciales efectivos a las </w:t>
      </w:r>
      <w:r w:rsidRPr="002964A7">
        <w:rPr>
          <w:rFonts w:ascii="Verdana" w:hAnsi="Verdana"/>
          <w:spacing w:val="-2"/>
          <w:sz w:val="20"/>
          <w:szCs w:val="20"/>
          <w:lang w:val="es-PR"/>
        </w:rPr>
        <w:t>víctimas</w:t>
      </w:r>
      <w:r w:rsidRPr="002964A7">
        <w:rPr>
          <w:rFonts w:ascii="Verdana" w:hAnsi="Verdana"/>
          <w:spacing w:val="-2"/>
          <w:sz w:val="20"/>
          <w:szCs w:val="20"/>
          <w:lang w:val="es-ES_tradnl"/>
        </w:rPr>
        <w:t xml:space="preserve"> de violaciones de los derechos humanos, que deben ser sustanciados de conformidad con las reglas del debido proceso legal</w:t>
      </w:r>
      <w:r w:rsidRPr="002964A7">
        <w:rPr>
          <w:rFonts w:ascii="Verdana" w:hAnsi="Verdana"/>
          <w:spacing w:val="-2"/>
          <w:sz w:val="20"/>
          <w:szCs w:val="20"/>
          <w:vertAlign w:val="superscript"/>
        </w:rPr>
        <w:footnoteReference w:id="238"/>
      </w:r>
      <w:r w:rsidRPr="002964A7">
        <w:rPr>
          <w:rFonts w:ascii="Verdana" w:hAnsi="Verdana"/>
          <w:spacing w:val="-2"/>
          <w:sz w:val="20"/>
          <w:szCs w:val="20"/>
          <w:lang w:val="es-ES_tradnl"/>
        </w:rPr>
        <w:t>. Asimismo, el Tribunal ha señalado que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2964A7">
        <w:rPr>
          <w:rFonts w:ascii="Verdana" w:hAnsi="Verdana"/>
          <w:spacing w:val="-2"/>
          <w:sz w:val="20"/>
          <w:szCs w:val="20"/>
          <w:vertAlign w:val="superscript"/>
        </w:rPr>
        <w:footnoteReference w:id="239"/>
      </w:r>
      <w:r w:rsidRPr="002964A7">
        <w:rPr>
          <w:rFonts w:ascii="Verdana" w:hAnsi="Verdana"/>
          <w:spacing w:val="-2"/>
          <w:sz w:val="20"/>
          <w:szCs w:val="20"/>
          <w:lang w:val="es-ES_tradnl"/>
        </w:rPr>
        <w:t xml:space="preserve">. </w:t>
      </w:r>
    </w:p>
    <w:p w:rsidR="00C83100" w:rsidRPr="00F13F0B" w:rsidRDefault="00C83100" w:rsidP="00C83100">
      <w:pPr>
        <w:pStyle w:val="ListParagraph"/>
        <w:autoSpaceDE w:val="0"/>
        <w:autoSpaceDN w:val="0"/>
        <w:adjustRightInd w:val="0"/>
        <w:ind w:left="0" w:right="15"/>
        <w:jc w:val="both"/>
        <w:rPr>
          <w:rFonts w:ascii="Verdana" w:hAnsi="Verdana"/>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cs="Verdana"/>
          <w:spacing w:val="-2"/>
          <w:sz w:val="20"/>
          <w:szCs w:val="20"/>
          <w:lang w:val="es-ES_tradnl"/>
        </w:rPr>
        <w:t xml:space="preserve">La obligación de investigar violaciones de derechos humanos es una de las medidas </w:t>
      </w:r>
      <w:r w:rsidRPr="002964A7">
        <w:rPr>
          <w:rFonts w:ascii="Verdana" w:hAnsi="Verdana"/>
          <w:spacing w:val="-2"/>
          <w:sz w:val="20"/>
          <w:szCs w:val="20"/>
          <w:lang w:val="es-PR"/>
        </w:rPr>
        <w:t>positivas</w:t>
      </w:r>
      <w:r w:rsidRPr="002964A7">
        <w:rPr>
          <w:rFonts w:ascii="Verdana" w:hAnsi="Verdana" w:cs="Verdana"/>
          <w:spacing w:val="-2"/>
          <w:sz w:val="20"/>
          <w:szCs w:val="20"/>
          <w:lang w:val="es-ES_tradnl"/>
        </w:rPr>
        <w:t xml:space="preserve"> que deben adoptar los Estados para garantizar los derechos reconocidos en la Convención</w:t>
      </w:r>
      <w:r w:rsidRPr="002964A7">
        <w:rPr>
          <w:rFonts w:ascii="Verdana" w:hAnsi="Verdana"/>
          <w:spacing w:val="-2"/>
          <w:sz w:val="20"/>
          <w:szCs w:val="20"/>
          <w:vertAlign w:val="superscript"/>
        </w:rPr>
        <w:footnoteReference w:id="240"/>
      </w:r>
      <w:r w:rsidRPr="002964A7">
        <w:rPr>
          <w:rFonts w:ascii="Verdana" w:hAnsi="Verdana" w:cs="Verdana"/>
          <w:spacing w:val="-2"/>
          <w:sz w:val="20"/>
          <w:szCs w:val="20"/>
          <w:lang w:val="es-ES_tradnl"/>
        </w:rPr>
        <w:t xml:space="preserve">. Así, desde su primera sentencia esta Corte ha destacado la importancia del </w:t>
      </w:r>
      <w:r w:rsidRPr="002964A7">
        <w:rPr>
          <w:rFonts w:ascii="Verdana" w:hAnsi="Verdana" w:cs="Verdana"/>
          <w:spacing w:val="-2"/>
          <w:sz w:val="20"/>
          <w:szCs w:val="20"/>
          <w:lang w:val="es-ES_tradnl"/>
        </w:rPr>
        <w:lastRenderedPageBreak/>
        <w:t>deber estatal de investigar y sancionar las violaciones de derechos humanos</w:t>
      </w:r>
      <w:r w:rsidRPr="002964A7">
        <w:rPr>
          <w:rFonts w:ascii="Verdana" w:hAnsi="Verdana"/>
          <w:spacing w:val="-2"/>
          <w:sz w:val="20"/>
          <w:szCs w:val="20"/>
          <w:vertAlign w:val="superscript"/>
        </w:rPr>
        <w:footnoteReference w:id="241"/>
      </w:r>
      <w:r w:rsidRPr="002964A7">
        <w:rPr>
          <w:rFonts w:ascii="Verdana" w:hAnsi="Verdana" w:cs="Verdana"/>
          <w:spacing w:val="-2"/>
          <w:sz w:val="20"/>
          <w:szCs w:val="20"/>
          <w:lang w:val="es-ES_tradnl"/>
        </w:rPr>
        <w:t>, el cual adquiere particular importancia ante la gravedad de los delitos cometidos y la naturaleza de los derechos lesionados</w:t>
      </w:r>
      <w:r w:rsidRPr="002964A7">
        <w:rPr>
          <w:rFonts w:ascii="Verdana" w:hAnsi="Verdana"/>
          <w:spacing w:val="-2"/>
          <w:sz w:val="20"/>
          <w:szCs w:val="20"/>
          <w:vertAlign w:val="superscript"/>
        </w:rPr>
        <w:footnoteReference w:id="242"/>
      </w:r>
      <w:r w:rsidRPr="002964A7">
        <w:rPr>
          <w:rFonts w:ascii="Verdana" w:hAnsi="Verdana" w:cs="Verdana"/>
          <w:spacing w:val="-2"/>
          <w:sz w:val="20"/>
          <w:szCs w:val="20"/>
          <w:lang w:val="es-ES_tradnl"/>
        </w:rPr>
        <w:t>.</w:t>
      </w:r>
    </w:p>
    <w:p w:rsidR="00C83100" w:rsidRPr="00F13F0B" w:rsidRDefault="00C83100" w:rsidP="00C83100">
      <w:pPr>
        <w:pStyle w:val="ListParagraph"/>
        <w:autoSpaceDE w:val="0"/>
        <w:autoSpaceDN w:val="0"/>
        <w:adjustRightInd w:val="0"/>
        <w:ind w:left="0" w:right="15"/>
        <w:jc w:val="both"/>
        <w:rPr>
          <w:rFonts w:ascii="Verdana" w:hAnsi="Verdana"/>
          <w:spacing w:val="-2"/>
          <w:sz w:val="20"/>
          <w:szCs w:val="20"/>
          <w:lang w:val="es-PE"/>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E"/>
        </w:rPr>
      </w:pPr>
      <w:r w:rsidRPr="002964A7">
        <w:rPr>
          <w:rFonts w:ascii="Verdana" w:hAnsi="Verdana"/>
          <w:spacing w:val="-2"/>
          <w:sz w:val="20"/>
          <w:szCs w:val="20"/>
          <w:lang w:val="es-PR"/>
        </w:rPr>
        <w:t>Además, la obligación de investigar, juzgar y, en su caso, sancionar a los responsables de hechos violatorios de los derechos humanos no se deriva solamente de la Convención Americana, en determinadas circunstancias y dependiendo de la naturaleza de los hechos, también se desprende de otros instrumentos interamericanos que establecen la obligación a cargo de los Estados Partes de investigar las conductas prohibidas por tales tratados. En relación con los hechos del presente caso,</w:t>
      </w:r>
      <w:r w:rsidRPr="002964A7">
        <w:rPr>
          <w:rFonts w:ascii="Verdana" w:eastAsia="Batang" w:hAnsi="Verdana"/>
          <w:spacing w:val="-2"/>
          <w:sz w:val="20"/>
          <w:szCs w:val="20"/>
          <w:lang w:val="es-VE"/>
        </w:rPr>
        <w:t xml:space="preserve"> la obligación del Estado de investigar posibles actos de tortura u otros tratos crueles, inhumanos o degradantes se ve reforzada por lo dispuesto en los artículos 1, 6 y 8 de la Convención Interamericana contra la Tortura que obligan al Estado a “toma[r] </w:t>
      </w:r>
      <w:r w:rsidRPr="00A24BF4">
        <w:rPr>
          <w:rFonts w:ascii="Verdana" w:eastAsia="Batang" w:hAnsi="Verdana"/>
          <w:spacing w:val="-2"/>
          <w:sz w:val="20"/>
          <w:szCs w:val="20"/>
          <w:lang w:val="es-VE"/>
        </w:rPr>
        <w:t xml:space="preserve">medidas efectivas para prevenir y sancionar la tortura en el ámbito de su jurisdicción”, así como a “prevenir y sancionar […] otros tratos o penas crueles, inhumanos o degradantes”. Dicha obligación es aplicable al Perú </w:t>
      </w:r>
      <w:r w:rsidRPr="00A24BF4">
        <w:rPr>
          <w:rFonts w:ascii="Verdana" w:hAnsi="Verdana"/>
          <w:sz w:val="20"/>
          <w:szCs w:val="20"/>
          <w:lang w:val="es-CL"/>
        </w:rPr>
        <w:t>con la entrada en vigor de la referida Convención para el Estado, a partir del 28 de abril de 1991</w:t>
      </w:r>
      <w:r w:rsidRPr="00A24BF4">
        <w:rPr>
          <w:rFonts w:ascii="Verdana" w:eastAsia="Batang" w:hAnsi="Verdana"/>
          <w:spacing w:val="-2"/>
          <w:sz w:val="20"/>
          <w:szCs w:val="20"/>
          <w:lang w:val="es-VE"/>
        </w:rPr>
        <w:t>.</w:t>
      </w:r>
      <w:r w:rsidRPr="00A24BF4">
        <w:rPr>
          <w:rFonts w:ascii="Verdana" w:hAnsi="Verdana"/>
          <w:spacing w:val="-2"/>
          <w:sz w:val="20"/>
          <w:szCs w:val="20"/>
          <w:lang w:val="es-PE"/>
        </w:rPr>
        <w:t xml:space="preserve"> Asimismo, </w:t>
      </w:r>
      <w:r w:rsidRPr="00A24BF4">
        <w:rPr>
          <w:rFonts w:ascii="Verdana" w:hAnsi="Verdana"/>
          <w:spacing w:val="-2"/>
          <w:sz w:val="20"/>
          <w:szCs w:val="20"/>
          <w:lang w:val="es-PR"/>
        </w:rPr>
        <w:t xml:space="preserve">la obligación de investigar se ve reforzada por </w:t>
      </w:r>
      <w:r w:rsidRPr="00A24BF4">
        <w:rPr>
          <w:rFonts w:ascii="Verdana" w:hAnsi="Verdana"/>
          <w:spacing w:val="-2"/>
          <w:sz w:val="20"/>
          <w:szCs w:val="20"/>
          <w:lang w:val="es-GT"/>
        </w:rPr>
        <w:t>el artículo I.b de</w:t>
      </w:r>
      <w:r w:rsidRPr="00A24BF4">
        <w:rPr>
          <w:rFonts w:ascii="Verdana" w:hAnsi="Verdana"/>
          <w:spacing w:val="-2"/>
          <w:sz w:val="20"/>
          <w:szCs w:val="20"/>
          <w:lang w:val="es-PR"/>
        </w:rPr>
        <w:t xml:space="preserve"> la Convención Interamericana sobre Desaparición Forzada de Personas, </w:t>
      </w:r>
      <w:r w:rsidRPr="00A24BF4">
        <w:rPr>
          <w:rFonts w:ascii="Verdana" w:eastAsia="Times New Roman" w:hAnsi="Verdana"/>
          <w:sz w:val="20"/>
          <w:szCs w:val="20"/>
        </w:rPr>
        <w:t xml:space="preserve">en vigor para el Estado el </w:t>
      </w:r>
      <w:r w:rsidRPr="00A24BF4">
        <w:rPr>
          <w:rFonts w:ascii="Verdana" w:eastAsia="Times New Roman" w:hAnsi="Verdana" w:cs="Arial"/>
          <w:bCs/>
          <w:sz w:val="20"/>
          <w:szCs w:val="20"/>
          <w:lang w:val="es-ES_tradnl" w:eastAsia="es-CR"/>
        </w:rPr>
        <w:t>15 de marzo</w:t>
      </w:r>
      <w:r w:rsidRPr="00A24BF4">
        <w:rPr>
          <w:rFonts w:ascii="Verdana" w:eastAsia="Times New Roman" w:hAnsi="Verdana" w:cs="Arial"/>
          <w:sz w:val="20"/>
          <w:szCs w:val="20"/>
          <w:lang w:val="es-ES_tradnl" w:eastAsia="es-CR"/>
        </w:rPr>
        <w:t xml:space="preserve"> </w:t>
      </w:r>
      <w:r w:rsidRPr="00A24BF4">
        <w:rPr>
          <w:rFonts w:ascii="Verdana" w:eastAsia="Times New Roman" w:hAnsi="Verdana" w:cs="Arial"/>
          <w:bCs/>
          <w:sz w:val="20"/>
          <w:szCs w:val="20"/>
          <w:lang w:val="es-ES_tradnl" w:eastAsia="es-CR"/>
        </w:rPr>
        <w:t>de 2002</w:t>
      </w:r>
      <w:r w:rsidR="00D24205">
        <w:rPr>
          <w:rStyle w:val="FootnoteReference"/>
          <w:rFonts w:eastAsiaTheme="minorHAnsi" w:cs="Arial"/>
          <w:bCs/>
          <w:szCs w:val="20"/>
          <w:lang w:val="es-ES_tradnl" w:eastAsia="es-CR"/>
        </w:rPr>
        <w:footnoteReference w:id="243"/>
      </w:r>
      <w:r w:rsidRPr="00A24BF4">
        <w:rPr>
          <w:rFonts w:ascii="Verdana" w:hAnsi="Verdana"/>
          <w:spacing w:val="-2"/>
          <w:sz w:val="20"/>
          <w:szCs w:val="20"/>
          <w:lang w:val="es-PR"/>
        </w:rPr>
        <w:t xml:space="preserve">. </w:t>
      </w:r>
    </w:p>
    <w:p w:rsidR="00C83100" w:rsidRPr="00F13F0B" w:rsidRDefault="00C83100" w:rsidP="00C83100">
      <w:pPr>
        <w:pStyle w:val="ListParagraph"/>
        <w:autoSpaceDE w:val="0"/>
        <w:autoSpaceDN w:val="0"/>
        <w:adjustRightInd w:val="0"/>
        <w:ind w:left="0" w:right="15"/>
        <w:jc w:val="both"/>
        <w:rPr>
          <w:rFonts w:ascii="Verdana" w:hAnsi="Verdana"/>
          <w:spacing w:val="-2"/>
          <w:sz w:val="20"/>
          <w:szCs w:val="20"/>
          <w:lang w:val="es-PE"/>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PR"/>
        </w:rPr>
        <w:t>La Corte nota que estas obligaciones específicas, derivadas de las convenciones especializadas referidas, son exigibles al Estado a partir de la fecha de depósito de los instrumentos de ratificación de cada una de ellas</w:t>
      </w:r>
      <w:r>
        <w:rPr>
          <w:rFonts w:ascii="Verdana" w:hAnsi="Verdana"/>
          <w:spacing w:val="-2"/>
          <w:sz w:val="20"/>
          <w:szCs w:val="20"/>
          <w:lang w:val="es-PR"/>
        </w:rPr>
        <w:t xml:space="preserve"> y su entrada en vigor para el Estado</w:t>
      </w:r>
      <w:r w:rsidRPr="002964A7">
        <w:rPr>
          <w:rFonts w:ascii="Verdana" w:hAnsi="Verdana"/>
          <w:spacing w:val="-2"/>
          <w:sz w:val="20"/>
          <w:szCs w:val="20"/>
          <w:lang w:val="es-PR"/>
        </w:rPr>
        <w:t xml:space="preserve">, aun cuando no estuvieran vigentes al momento del inicio de ejecución de las desapariciones forzadas y demás violaciones alegadas en el presente caso. </w:t>
      </w:r>
    </w:p>
    <w:p w:rsidR="00C83100" w:rsidRPr="00F13F0B" w:rsidRDefault="00C83100" w:rsidP="00C83100">
      <w:pPr>
        <w:pStyle w:val="ListParagraph"/>
        <w:autoSpaceDE w:val="0"/>
        <w:autoSpaceDN w:val="0"/>
        <w:adjustRightInd w:val="0"/>
        <w:ind w:left="0" w:right="15"/>
        <w:jc w:val="both"/>
        <w:rPr>
          <w:rFonts w:ascii="Verdana" w:hAnsi="Verdana"/>
          <w:spacing w:val="-2"/>
          <w:sz w:val="20"/>
          <w:szCs w:val="20"/>
          <w:lang w:val="es-ES_tradnl"/>
        </w:rPr>
      </w:pPr>
    </w:p>
    <w:p w:rsidR="00C83100" w:rsidRPr="001154F9"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cs="Verdana"/>
          <w:spacing w:val="-2"/>
          <w:sz w:val="20"/>
          <w:szCs w:val="20"/>
          <w:lang w:val="es-ES_tradnl"/>
        </w:rPr>
        <w:t xml:space="preserve">En virtud de los alegatos de las partes y de la Comisión, la Corte analizará a continuación las violaciones alegadas en relación con las investigaciones de los hechos del caso, en el siguiente orden: 1) la debida diligencia en las primeras diligencias de investigación; 2) </w:t>
      </w:r>
      <w:r w:rsidRPr="002964A7">
        <w:rPr>
          <w:rFonts w:ascii="Verdana" w:hAnsi="Verdana" w:cs="Verdana"/>
          <w:spacing w:val="-2"/>
          <w:sz w:val="20"/>
          <w:szCs w:val="20"/>
          <w:lang w:val="es-PR"/>
        </w:rPr>
        <w:t xml:space="preserve">la efectividad del recurso de hábeas corpus interpuesto; </w:t>
      </w:r>
      <w:r w:rsidRPr="002964A7">
        <w:rPr>
          <w:rFonts w:ascii="Verdana" w:hAnsi="Verdana" w:cs="Verdana"/>
          <w:spacing w:val="-2"/>
          <w:sz w:val="20"/>
          <w:szCs w:val="20"/>
          <w:lang w:val="es-ES_tradnl"/>
        </w:rPr>
        <w:t xml:space="preserve">3) </w:t>
      </w:r>
      <w:r>
        <w:rPr>
          <w:rFonts w:ascii="Verdana" w:hAnsi="Verdana" w:cs="Verdana"/>
          <w:spacing w:val="-2"/>
          <w:sz w:val="20"/>
          <w:szCs w:val="20"/>
          <w:lang w:val="es-ES_tradnl"/>
        </w:rPr>
        <w:t xml:space="preserve">las </w:t>
      </w:r>
      <w:r w:rsidRPr="002964A7">
        <w:rPr>
          <w:rFonts w:ascii="Verdana" w:hAnsi="Verdana" w:cs="Verdana"/>
          <w:spacing w:val="-2"/>
          <w:sz w:val="20"/>
          <w:szCs w:val="20"/>
          <w:lang w:val="es-PR"/>
        </w:rPr>
        <w:t>obstaculizaci</w:t>
      </w:r>
      <w:r>
        <w:rPr>
          <w:rFonts w:ascii="Verdana" w:hAnsi="Verdana" w:cs="Verdana"/>
          <w:spacing w:val="-2"/>
          <w:sz w:val="20"/>
          <w:szCs w:val="20"/>
          <w:lang w:val="es-PR"/>
        </w:rPr>
        <w:t>o</w:t>
      </w:r>
      <w:r w:rsidRPr="002964A7">
        <w:rPr>
          <w:rFonts w:ascii="Verdana" w:hAnsi="Verdana" w:cs="Verdana"/>
          <w:spacing w:val="-2"/>
          <w:sz w:val="20"/>
          <w:szCs w:val="20"/>
          <w:lang w:val="es-PR"/>
        </w:rPr>
        <w:t>n</w:t>
      </w:r>
      <w:r>
        <w:rPr>
          <w:rFonts w:ascii="Verdana" w:hAnsi="Verdana" w:cs="Verdana"/>
          <w:spacing w:val="-2"/>
          <w:sz w:val="20"/>
          <w:szCs w:val="20"/>
          <w:lang w:val="es-PR"/>
        </w:rPr>
        <w:t>es</w:t>
      </w:r>
      <w:r w:rsidRPr="002964A7">
        <w:rPr>
          <w:rFonts w:ascii="Verdana" w:hAnsi="Verdana" w:cs="Verdana"/>
          <w:spacing w:val="-2"/>
          <w:sz w:val="20"/>
          <w:szCs w:val="20"/>
          <w:lang w:val="es-PR"/>
        </w:rPr>
        <w:t xml:space="preserve"> </w:t>
      </w:r>
      <w:r>
        <w:rPr>
          <w:rFonts w:ascii="Verdana" w:hAnsi="Verdana" w:cs="Verdana"/>
          <w:spacing w:val="-2"/>
          <w:sz w:val="20"/>
          <w:szCs w:val="20"/>
          <w:lang w:val="es-PR"/>
        </w:rPr>
        <w:t>dentro de las</w:t>
      </w:r>
      <w:r w:rsidRPr="002964A7">
        <w:rPr>
          <w:rFonts w:ascii="Verdana" w:hAnsi="Verdana" w:cs="Verdana"/>
          <w:spacing w:val="-2"/>
          <w:sz w:val="20"/>
          <w:szCs w:val="20"/>
          <w:lang w:val="es-PR"/>
        </w:rPr>
        <w:t xml:space="preserve"> investigaci</w:t>
      </w:r>
      <w:r>
        <w:rPr>
          <w:rFonts w:ascii="Verdana" w:hAnsi="Verdana" w:cs="Verdana"/>
          <w:spacing w:val="-2"/>
          <w:sz w:val="20"/>
          <w:szCs w:val="20"/>
          <w:lang w:val="es-PR"/>
        </w:rPr>
        <w:t>o</w:t>
      </w:r>
      <w:r w:rsidRPr="002964A7">
        <w:rPr>
          <w:rFonts w:ascii="Verdana" w:hAnsi="Verdana" w:cs="Verdana"/>
          <w:spacing w:val="-2"/>
          <w:sz w:val="20"/>
          <w:szCs w:val="20"/>
          <w:lang w:val="es-PR"/>
        </w:rPr>
        <w:t>n</w:t>
      </w:r>
      <w:r>
        <w:rPr>
          <w:rFonts w:ascii="Verdana" w:hAnsi="Verdana" w:cs="Verdana"/>
          <w:spacing w:val="-2"/>
          <w:sz w:val="20"/>
          <w:szCs w:val="20"/>
          <w:lang w:val="es-PR"/>
        </w:rPr>
        <w:t>es</w:t>
      </w:r>
      <w:r w:rsidRPr="002964A7">
        <w:rPr>
          <w:rFonts w:ascii="Verdana" w:hAnsi="Verdana" w:cs="Verdana"/>
          <w:spacing w:val="-2"/>
          <w:sz w:val="20"/>
          <w:szCs w:val="20"/>
          <w:lang w:val="es-PR"/>
        </w:rPr>
        <w:t>;</w:t>
      </w:r>
      <w:r w:rsidRPr="002964A7">
        <w:rPr>
          <w:rFonts w:ascii="Verdana" w:hAnsi="Verdana" w:cs="Verdana"/>
          <w:spacing w:val="-2"/>
          <w:sz w:val="20"/>
          <w:szCs w:val="20"/>
          <w:lang w:val="es-ES_tradnl"/>
        </w:rPr>
        <w:t xml:space="preserve"> </w:t>
      </w:r>
      <w:r>
        <w:rPr>
          <w:rFonts w:ascii="Verdana" w:hAnsi="Verdana" w:cs="Verdana"/>
          <w:spacing w:val="-2"/>
          <w:sz w:val="20"/>
          <w:szCs w:val="20"/>
          <w:lang w:val="es-ES_tradnl"/>
        </w:rPr>
        <w:t>4</w:t>
      </w:r>
      <w:r w:rsidRPr="002964A7">
        <w:rPr>
          <w:rFonts w:ascii="Verdana" w:hAnsi="Verdana" w:cs="Verdana"/>
          <w:spacing w:val="-2"/>
          <w:sz w:val="20"/>
          <w:szCs w:val="20"/>
          <w:lang w:val="es-ES_tradnl"/>
        </w:rPr>
        <w:t xml:space="preserve">) </w:t>
      </w:r>
      <w:r w:rsidRPr="002964A7">
        <w:rPr>
          <w:rFonts w:ascii="Verdana" w:hAnsi="Verdana" w:cs="Verdana"/>
          <w:spacing w:val="-2"/>
          <w:sz w:val="20"/>
          <w:szCs w:val="20"/>
          <w:lang w:val="es-PR"/>
        </w:rPr>
        <w:t>la falta de debida diligencia en los procesos abiertos luego de la</w:t>
      </w:r>
      <w:r>
        <w:rPr>
          <w:rFonts w:ascii="Verdana" w:hAnsi="Verdana" w:cs="Verdana"/>
          <w:spacing w:val="-2"/>
          <w:sz w:val="20"/>
          <w:szCs w:val="20"/>
          <w:lang w:val="es-PR"/>
        </w:rPr>
        <w:t xml:space="preserve"> reapertura del caso, y 5)</w:t>
      </w:r>
      <w:r w:rsidRPr="00597FE9">
        <w:rPr>
          <w:rFonts w:ascii="Verdana" w:hAnsi="Verdana" w:cs="Verdana"/>
          <w:spacing w:val="-2"/>
          <w:sz w:val="20"/>
          <w:szCs w:val="20"/>
          <w:lang w:val="es-PR"/>
        </w:rPr>
        <w:t xml:space="preserve"> el derecho a </w:t>
      </w:r>
      <w:r>
        <w:rPr>
          <w:rFonts w:ascii="Verdana" w:hAnsi="Verdana"/>
          <w:sz w:val="20"/>
          <w:szCs w:val="20"/>
          <w:lang w:val="es-ES"/>
        </w:rPr>
        <w:t xml:space="preserve">conocer </w:t>
      </w:r>
      <w:r w:rsidRPr="00597FE9">
        <w:rPr>
          <w:rFonts w:ascii="Verdana" w:hAnsi="Verdana" w:cs="Verdana"/>
          <w:spacing w:val="-2"/>
          <w:sz w:val="20"/>
          <w:szCs w:val="20"/>
          <w:lang w:val="es-PR"/>
        </w:rPr>
        <w:t xml:space="preserve">la verdad. </w:t>
      </w:r>
    </w:p>
    <w:p w:rsidR="00C83100" w:rsidRPr="00F13F0B" w:rsidRDefault="00C83100" w:rsidP="001154F9">
      <w:pPr>
        <w:pStyle w:val="Heading3"/>
        <w:rPr>
          <w:lang w:val="es-ES_tradnl"/>
        </w:rPr>
      </w:pPr>
      <w:bookmarkStart w:id="207" w:name="_Toc421864978"/>
      <w:bookmarkStart w:id="208" w:name="_Toc423102554"/>
      <w:bookmarkStart w:id="209" w:name="_Toc433387507"/>
      <w:r w:rsidRPr="00F13F0B">
        <w:rPr>
          <w:lang w:val="es-ES_tradnl"/>
        </w:rPr>
        <w:t>B.1. Debida diligencia en las primeras diligencias de investigación</w:t>
      </w:r>
      <w:bookmarkEnd w:id="207"/>
      <w:bookmarkEnd w:id="208"/>
      <w:bookmarkEnd w:id="209"/>
    </w:p>
    <w:p w:rsidR="00C83100" w:rsidRPr="00F97DEC" w:rsidRDefault="00C83100" w:rsidP="00EF247A">
      <w:pPr>
        <w:pStyle w:val="ListParagraph"/>
        <w:autoSpaceDE w:val="0"/>
        <w:autoSpaceDN w:val="0"/>
        <w:adjustRightInd w:val="0"/>
        <w:spacing w:line="240" w:lineRule="auto"/>
        <w:ind w:left="0" w:right="15"/>
        <w:jc w:val="both"/>
        <w:rPr>
          <w:rFonts w:ascii="Verdana" w:hAnsi="Verdana"/>
          <w:spacing w:val="-2"/>
          <w:sz w:val="16"/>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cs="Verdana"/>
          <w:spacing w:val="-2"/>
          <w:sz w:val="20"/>
          <w:szCs w:val="20"/>
          <w:lang w:val="es-ES_tradnl"/>
        </w:rPr>
        <w:t xml:space="preserve">Esta Corte ya ha señalado que, una vez ocurrida una desaparición forzada, es necesario que la misma sea efectivamente considerada y tratada como un hecho ilícito que pueda tener como consecuencia la imposición de sanciones </w:t>
      </w:r>
      <w:r w:rsidRPr="002964A7">
        <w:rPr>
          <w:rFonts w:ascii="Verdana" w:hAnsi="Verdana" w:cs="Verdana"/>
          <w:spacing w:val="-2"/>
          <w:sz w:val="20"/>
          <w:szCs w:val="20"/>
          <w:lang w:val="es-PR"/>
        </w:rPr>
        <w:t>para</w:t>
      </w:r>
      <w:r w:rsidRPr="002964A7">
        <w:rPr>
          <w:rFonts w:ascii="Verdana" w:hAnsi="Verdana" w:cs="Verdana"/>
          <w:spacing w:val="-2"/>
          <w:sz w:val="20"/>
          <w:szCs w:val="20"/>
          <w:lang w:val="es-ES_tradnl"/>
        </w:rPr>
        <w:t xml:space="preserve"> quien la cometa, instigue, encubra o de cualquier otra forma participe en la perpetración de la misma. En consecuencia, toda vez que haya motivos razonables para sospechar que una persona ha sido sometida a desaparición forzada debe iniciarse una investigación penal</w:t>
      </w:r>
      <w:r w:rsidRPr="002964A7">
        <w:rPr>
          <w:rFonts w:ascii="Verdana" w:hAnsi="Verdana" w:cs="Verdana"/>
          <w:spacing w:val="-2"/>
          <w:sz w:val="20"/>
          <w:szCs w:val="20"/>
          <w:vertAlign w:val="superscript"/>
          <w:lang w:val="es-ES_tradnl"/>
        </w:rPr>
        <w:footnoteReference w:id="244"/>
      </w:r>
      <w:r w:rsidRPr="002964A7">
        <w:rPr>
          <w:rFonts w:ascii="Verdana" w:hAnsi="Verdana" w:cs="Verdana"/>
          <w:spacing w:val="-2"/>
          <w:sz w:val="20"/>
          <w:szCs w:val="20"/>
          <w:lang w:val="es-ES_tradnl"/>
        </w:rPr>
        <w:t xml:space="preserve">. Esta obligación es independiente de que se presente una denuncia, pues en casos de desaparición forzada el derecho internacional y el deber general de garantía, imponen la obligación de investigar el caso </w:t>
      </w:r>
      <w:r w:rsidRPr="002964A7">
        <w:rPr>
          <w:rFonts w:ascii="Verdana" w:hAnsi="Verdana" w:cs="Verdana-Italic"/>
          <w:i/>
          <w:iCs/>
          <w:spacing w:val="-2"/>
          <w:sz w:val="20"/>
          <w:szCs w:val="20"/>
          <w:lang w:val="es-ES_tradnl"/>
        </w:rPr>
        <w:t>ex officio</w:t>
      </w:r>
      <w:r w:rsidRPr="002964A7">
        <w:rPr>
          <w:rFonts w:ascii="Verdana" w:hAnsi="Verdana" w:cs="Verdana"/>
          <w:spacing w:val="-2"/>
          <w:sz w:val="20"/>
          <w:szCs w:val="20"/>
          <w:lang w:val="es-ES_tradnl"/>
        </w:rPr>
        <w:t xml:space="preserve">, sin dilación, y de una manera seria, </w:t>
      </w:r>
      <w:r>
        <w:rPr>
          <w:rFonts w:ascii="Verdana" w:hAnsi="Verdana" w:cs="Verdana"/>
          <w:spacing w:val="-2"/>
          <w:sz w:val="20"/>
          <w:szCs w:val="20"/>
          <w:lang w:val="es-ES_tradnl"/>
        </w:rPr>
        <w:t>objetiva</w:t>
      </w:r>
      <w:r w:rsidRPr="002964A7">
        <w:rPr>
          <w:rFonts w:ascii="Verdana" w:hAnsi="Verdana" w:cs="Verdana"/>
          <w:spacing w:val="-2"/>
          <w:sz w:val="20"/>
          <w:szCs w:val="20"/>
          <w:lang w:val="es-ES_tradnl"/>
        </w:rPr>
        <w:t xml:space="preserve"> y </w:t>
      </w:r>
      <w:r w:rsidRPr="002964A7">
        <w:rPr>
          <w:rFonts w:ascii="Verdana" w:hAnsi="Verdana" w:cs="Verdana"/>
          <w:spacing w:val="-2"/>
          <w:sz w:val="20"/>
          <w:szCs w:val="20"/>
          <w:lang w:val="es-ES_tradnl"/>
        </w:rPr>
        <w:lastRenderedPageBreak/>
        <w:t>efectiva, de modo tal que no dependa de la iniciativa procesal de la víctima o de sus familiares o de la aportación privada de elementos probatorios</w:t>
      </w:r>
      <w:r w:rsidRPr="002964A7">
        <w:rPr>
          <w:rFonts w:ascii="Verdana" w:hAnsi="Verdana" w:cs="Verdana"/>
          <w:spacing w:val="-2"/>
          <w:sz w:val="20"/>
          <w:szCs w:val="20"/>
          <w:vertAlign w:val="superscript"/>
          <w:lang w:val="es-ES_tradnl"/>
        </w:rPr>
        <w:footnoteReference w:id="245"/>
      </w:r>
      <w:r w:rsidRPr="002964A7">
        <w:rPr>
          <w:rFonts w:ascii="Verdana" w:hAnsi="Verdana" w:cs="Verdana"/>
          <w:spacing w:val="-2"/>
          <w:sz w:val="20"/>
          <w:szCs w:val="20"/>
          <w:lang w:val="es-ES_tradnl"/>
        </w:rPr>
        <w:t>.</w:t>
      </w:r>
      <w:r w:rsidRPr="002964A7">
        <w:rPr>
          <w:rFonts w:ascii="Verdana" w:hAnsi="Verdana"/>
          <w:spacing w:val="-2"/>
          <w:sz w:val="20"/>
          <w:szCs w:val="20"/>
          <w:lang w:val="es-ES_tradnl"/>
        </w:rPr>
        <w:t xml:space="preserve"> </w:t>
      </w:r>
    </w:p>
    <w:p w:rsidR="00C83100" w:rsidRPr="002964A7" w:rsidRDefault="00C83100" w:rsidP="00C83100">
      <w:pPr>
        <w:pStyle w:val="ListParagraph"/>
        <w:autoSpaceDE w:val="0"/>
        <w:autoSpaceDN w:val="0"/>
        <w:adjustRightInd w:val="0"/>
        <w:ind w:left="0" w:right="15"/>
        <w:jc w:val="both"/>
        <w:rPr>
          <w:rFonts w:ascii="Verdana" w:hAnsi="Verdana"/>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ES_tradnl"/>
        </w:rPr>
        <w:t>En este sentido, la Corte ha indicado que las autoridades deben impulsar la investigación como un deber jurídico propio, no haciendo recaer esta carga en la iniciativa de los familiares</w:t>
      </w:r>
      <w:r w:rsidRPr="002964A7">
        <w:rPr>
          <w:rFonts w:ascii="Verdana" w:hAnsi="Verdana" w:cs="GillSans-Light"/>
          <w:spacing w:val="-2"/>
          <w:sz w:val="20"/>
          <w:szCs w:val="20"/>
          <w:vertAlign w:val="superscript"/>
          <w:lang w:val="es-ES_tradnl"/>
        </w:rPr>
        <w:footnoteReference w:id="246"/>
      </w:r>
      <w:r w:rsidRPr="002964A7">
        <w:rPr>
          <w:rFonts w:ascii="Verdana" w:hAnsi="Verdana"/>
          <w:spacing w:val="-2"/>
          <w:sz w:val="20"/>
          <w:szCs w:val="20"/>
          <w:lang w:val="es-ES_tradnl"/>
        </w:rPr>
        <w:t xml:space="preserve">. </w:t>
      </w:r>
      <w:r w:rsidRPr="002964A7">
        <w:rPr>
          <w:rFonts w:ascii="Verdana" w:hAnsi="Verdana" w:cs="Verdana"/>
          <w:spacing w:val="-2"/>
          <w:sz w:val="20"/>
          <w:szCs w:val="20"/>
          <w:lang w:val="es-ES_tradnl"/>
        </w:rPr>
        <w:t xml:space="preserve">Esto es un elemento fundamental y condicionante para la </w:t>
      </w:r>
      <w:r w:rsidRPr="002964A7">
        <w:rPr>
          <w:rFonts w:ascii="Verdana" w:hAnsi="Verdana" w:cs="Verdana"/>
          <w:spacing w:val="-2"/>
          <w:sz w:val="20"/>
          <w:szCs w:val="20"/>
          <w:lang w:val="es-PR"/>
        </w:rPr>
        <w:t>protección</w:t>
      </w:r>
      <w:r w:rsidRPr="002964A7">
        <w:rPr>
          <w:rFonts w:ascii="Verdana" w:hAnsi="Verdana" w:cs="Verdana"/>
          <w:spacing w:val="-2"/>
          <w:sz w:val="20"/>
          <w:szCs w:val="20"/>
          <w:lang w:val="es-ES_tradnl"/>
        </w:rPr>
        <w:t xml:space="preserve"> de los derechos afectados por esas situaciones</w:t>
      </w:r>
      <w:r w:rsidRPr="002964A7">
        <w:rPr>
          <w:rFonts w:ascii="Verdana" w:hAnsi="Verdana" w:cs="Verdana"/>
          <w:spacing w:val="-2"/>
          <w:sz w:val="20"/>
          <w:szCs w:val="20"/>
          <w:vertAlign w:val="superscript"/>
          <w:lang w:val="es-ES_tradnl"/>
        </w:rPr>
        <w:footnoteReference w:id="247"/>
      </w:r>
      <w:r w:rsidRPr="002964A7">
        <w:rPr>
          <w:rFonts w:ascii="Verdana" w:hAnsi="Verdana" w:cs="Verdana"/>
          <w:spacing w:val="-2"/>
          <w:sz w:val="20"/>
          <w:szCs w:val="20"/>
          <w:lang w:val="es-ES_tradnl"/>
        </w:rPr>
        <w:t>. Por ende, la investigación debe ser realizada por todos los medios legales disponibles y orientada a la determinación de la verdad y la persecución, captura, enjuiciamiento y eventual castigo de todos los responsables intelectuales y materiales de los hechos, especialmente cuando están o puedan estar involucrados agentes estatales</w:t>
      </w:r>
      <w:r w:rsidRPr="002964A7">
        <w:rPr>
          <w:rFonts w:ascii="Verdana" w:hAnsi="Verdana" w:cs="Verdana"/>
          <w:spacing w:val="-2"/>
          <w:sz w:val="20"/>
          <w:szCs w:val="20"/>
          <w:vertAlign w:val="superscript"/>
          <w:lang w:val="es-ES_tradnl"/>
        </w:rPr>
        <w:footnoteReference w:id="248"/>
      </w:r>
      <w:r w:rsidRPr="002964A7">
        <w:rPr>
          <w:rFonts w:ascii="Verdana" w:hAnsi="Verdana" w:cs="Verdana"/>
          <w:spacing w:val="-2"/>
          <w:sz w:val="20"/>
          <w:szCs w:val="20"/>
          <w:lang w:val="es-ES_tradnl"/>
        </w:rPr>
        <w:t>. Igualmente, la impunidad debe ser erradicada mediante la determinación de las responsabilidades tanto generales –del Estado- como individuales –penales y de otra índole de sus agentes o de particulares-</w:t>
      </w:r>
      <w:r w:rsidRPr="002964A7">
        <w:rPr>
          <w:rFonts w:ascii="Verdana" w:hAnsi="Verdana" w:cs="Verdana"/>
          <w:spacing w:val="-2"/>
          <w:sz w:val="20"/>
          <w:szCs w:val="20"/>
          <w:vertAlign w:val="superscript"/>
          <w:lang w:val="es-ES_tradnl"/>
        </w:rPr>
        <w:footnoteReference w:id="249"/>
      </w:r>
      <w:r w:rsidRPr="002964A7">
        <w:rPr>
          <w:rFonts w:ascii="Verdana" w:hAnsi="Verdana" w:cs="Verdana"/>
          <w:spacing w:val="-2"/>
          <w:sz w:val="20"/>
          <w:szCs w:val="20"/>
          <w:lang w:val="es-ES_tradnl"/>
        </w:rPr>
        <w:t xml:space="preserve">. En cumplimiento de esta obligación, el Estado debe remover todos los obstáculos, </w:t>
      </w:r>
      <w:r w:rsidRPr="002964A7">
        <w:rPr>
          <w:rFonts w:ascii="Verdana" w:hAnsi="Verdana" w:cs="Verdana-Italic"/>
          <w:i/>
          <w:iCs/>
          <w:spacing w:val="-2"/>
          <w:sz w:val="20"/>
          <w:szCs w:val="20"/>
          <w:lang w:val="es-ES_tradnl"/>
        </w:rPr>
        <w:t xml:space="preserve">de facto </w:t>
      </w:r>
      <w:r w:rsidRPr="002964A7">
        <w:rPr>
          <w:rFonts w:ascii="Verdana" w:hAnsi="Verdana" w:cs="Verdana"/>
          <w:spacing w:val="-2"/>
          <w:sz w:val="20"/>
          <w:szCs w:val="20"/>
          <w:lang w:val="es-ES_tradnl"/>
        </w:rPr>
        <w:t xml:space="preserve">y </w:t>
      </w:r>
      <w:r w:rsidRPr="002964A7">
        <w:rPr>
          <w:rFonts w:ascii="Verdana" w:hAnsi="Verdana" w:cs="Verdana-Italic"/>
          <w:i/>
          <w:iCs/>
          <w:spacing w:val="-2"/>
          <w:sz w:val="20"/>
          <w:szCs w:val="20"/>
          <w:lang w:val="es-ES_tradnl"/>
        </w:rPr>
        <w:t>de jure</w:t>
      </w:r>
      <w:r w:rsidRPr="002964A7">
        <w:rPr>
          <w:rFonts w:ascii="Verdana" w:hAnsi="Verdana" w:cs="Verdana"/>
          <w:spacing w:val="-2"/>
          <w:sz w:val="20"/>
          <w:szCs w:val="20"/>
          <w:lang w:val="es-ES_tradnl"/>
        </w:rPr>
        <w:t>, que mantengan la impunidad</w:t>
      </w:r>
      <w:r w:rsidRPr="002964A7">
        <w:rPr>
          <w:rFonts w:ascii="Verdana" w:hAnsi="Verdana" w:cs="Verdana"/>
          <w:spacing w:val="-2"/>
          <w:sz w:val="20"/>
          <w:szCs w:val="20"/>
          <w:vertAlign w:val="superscript"/>
          <w:lang w:val="es-ES_tradnl"/>
        </w:rPr>
        <w:footnoteReference w:id="250"/>
      </w:r>
      <w:r w:rsidRPr="002964A7">
        <w:rPr>
          <w:rFonts w:ascii="Verdana" w:hAnsi="Verdana" w:cs="Verdana"/>
          <w:spacing w:val="-2"/>
          <w:sz w:val="20"/>
          <w:szCs w:val="20"/>
          <w:lang w:val="es-ES_tradnl"/>
        </w:rPr>
        <w:t>.</w:t>
      </w:r>
    </w:p>
    <w:p w:rsidR="00C83100" w:rsidRPr="00F13F0B" w:rsidRDefault="00C83100" w:rsidP="00C83100">
      <w:pPr>
        <w:pStyle w:val="ListParagraph"/>
        <w:autoSpaceDE w:val="0"/>
        <w:autoSpaceDN w:val="0"/>
        <w:adjustRightInd w:val="0"/>
        <w:ind w:left="0" w:right="15"/>
        <w:jc w:val="both"/>
        <w:rPr>
          <w:rFonts w:ascii="Verdana" w:hAnsi="Verdana"/>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ES_tradnl"/>
        </w:rPr>
        <w:t>En el presente caso, la Corte ya estableció que el 8 de julio de 1991 la Fiscalía Especial de Prevención del Delito de Huancavelica recibió denuncias por parte de Zósimo Hilario Quispe sobre la detención</w:t>
      </w:r>
      <w:r>
        <w:rPr>
          <w:rFonts w:ascii="Verdana" w:hAnsi="Verdana"/>
          <w:spacing w:val="-2"/>
          <w:sz w:val="20"/>
          <w:szCs w:val="20"/>
          <w:lang w:val="es-ES_tradnl"/>
        </w:rPr>
        <w:t xml:space="preserve"> y </w:t>
      </w:r>
      <w:r w:rsidRPr="002964A7">
        <w:rPr>
          <w:rFonts w:ascii="Verdana" w:hAnsi="Verdana"/>
          <w:spacing w:val="-2"/>
          <w:sz w:val="20"/>
          <w:szCs w:val="20"/>
          <w:lang w:val="es-ES_tradnl"/>
        </w:rPr>
        <w:t xml:space="preserve">desaparición de miembros de su familia, y por parte del señor Nicolás Hilario Morán, Presidente del Consejo de Administración de la </w:t>
      </w:r>
      <w:r>
        <w:rPr>
          <w:rFonts w:ascii="Verdana" w:hAnsi="Verdana"/>
          <w:spacing w:val="-2"/>
          <w:sz w:val="20"/>
          <w:szCs w:val="20"/>
          <w:lang w:val="es-ES_tradnl"/>
        </w:rPr>
        <w:t>c</w:t>
      </w:r>
      <w:r w:rsidRPr="002964A7">
        <w:rPr>
          <w:rFonts w:ascii="Verdana" w:hAnsi="Verdana"/>
          <w:spacing w:val="-2"/>
          <w:sz w:val="20"/>
          <w:szCs w:val="20"/>
          <w:lang w:val="es-ES_tradnl"/>
        </w:rPr>
        <w:t xml:space="preserve">omunidad de Santa Bárbara, respecto del secuestro y desaparición de 14 personas de la </w:t>
      </w:r>
      <w:r>
        <w:rPr>
          <w:rFonts w:ascii="Verdana" w:hAnsi="Verdana"/>
          <w:spacing w:val="-2"/>
          <w:sz w:val="20"/>
          <w:szCs w:val="20"/>
          <w:lang w:val="es-ES_tradnl"/>
        </w:rPr>
        <w:t>c</w:t>
      </w:r>
      <w:r w:rsidRPr="002964A7">
        <w:rPr>
          <w:rFonts w:ascii="Verdana" w:hAnsi="Verdana"/>
          <w:spacing w:val="-2"/>
          <w:sz w:val="20"/>
          <w:szCs w:val="20"/>
          <w:lang w:val="es-ES_tradnl"/>
        </w:rPr>
        <w:t>omunidad. El señor Hilario Morán además solicitó que se practicara la diligencia de inspección ocular en el lugar de los hechos. Los días 9 y 12 de julio dicha Fiscalía también recibió denuncias por parte de Viviano Hilario Mancha respecto de lo sucedido a sus familiares (</w:t>
      </w:r>
      <w:r w:rsidRPr="002964A7">
        <w:rPr>
          <w:rFonts w:ascii="Verdana" w:hAnsi="Verdana"/>
          <w:i/>
          <w:spacing w:val="-2"/>
          <w:sz w:val="20"/>
          <w:szCs w:val="20"/>
          <w:lang w:val="es-ES_tradnl"/>
        </w:rPr>
        <w:t>supra</w:t>
      </w:r>
      <w:r w:rsidRPr="002964A7">
        <w:rPr>
          <w:rFonts w:ascii="Verdana" w:hAnsi="Verdana"/>
          <w:spacing w:val="-2"/>
          <w:sz w:val="20"/>
          <w:szCs w:val="20"/>
          <w:lang w:val="es-ES_tradnl"/>
        </w:rPr>
        <w:t xml:space="preserve"> párrs. </w:t>
      </w:r>
      <w:r>
        <w:rPr>
          <w:rFonts w:ascii="Verdana" w:hAnsi="Verdana"/>
          <w:spacing w:val="-2"/>
          <w:sz w:val="20"/>
          <w:szCs w:val="20"/>
          <w:lang w:val="es-ES_tradnl"/>
        </w:rPr>
        <w:t>95 a 98</w:t>
      </w:r>
      <w:r w:rsidRPr="002964A7">
        <w:rPr>
          <w:rFonts w:ascii="Verdana" w:hAnsi="Verdana"/>
          <w:spacing w:val="-2"/>
          <w:sz w:val="20"/>
          <w:szCs w:val="20"/>
          <w:lang w:val="es-ES_tradnl"/>
        </w:rPr>
        <w:t>)</w:t>
      </w:r>
      <w:r>
        <w:rPr>
          <w:rFonts w:ascii="Verdana" w:hAnsi="Verdana"/>
          <w:spacing w:val="-2"/>
          <w:sz w:val="20"/>
          <w:szCs w:val="20"/>
          <w:lang w:val="es-ES_tradnl"/>
        </w:rPr>
        <w:t>.</w:t>
      </w:r>
      <w:r w:rsidRPr="002964A7">
        <w:rPr>
          <w:rFonts w:ascii="Verdana" w:hAnsi="Verdana"/>
          <w:spacing w:val="-2"/>
          <w:sz w:val="20"/>
          <w:szCs w:val="20"/>
          <w:lang w:val="es-ES_tradnl"/>
        </w:rPr>
        <w:t xml:space="preserve"> Según consta en el Informe </w:t>
      </w:r>
      <w:r w:rsidRPr="002964A7">
        <w:rPr>
          <w:rFonts w:ascii="Verdana" w:hAnsi="Verdana"/>
          <w:spacing w:val="-2"/>
          <w:sz w:val="20"/>
          <w:szCs w:val="20"/>
        </w:rPr>
        <w:t>No. 17-91-FPEPD-Hvca de 2 de agosto de 1991, en</w:t>
      </w:r>
      <w:r w:rsidRPr="002964A7">
        <w:rPr>
          <w:rFonts w:ascii="Verdana" w:hAnsi="Verdana"/>
          <w:spacing w:val="-2"/>
          <w:sz w:val="20"/>
          <w:szCs w:val="20"/>
          <w:lang w:val="es-ES_tradnl"/>
        </w:rPr>
        <w:t xml:space="preserve"> respuesta a estas denuncias, la Fiscalía </w:t>
      </w:r>
      <w:r w:rsidRPr="002964A7">
        <w:rPr>
          <w:rFonts w:ascii="Verdana" w:hAnsi="Verdana" w:cs="Verdana"/>
          <w:spacing w:val="-2"/>
          <w:sz w:val="20"/>
          <w:szCs w:val="20"/>
          <w:lang w:val="es-ES_tradnl"/>
        </w:rPr>
        <w:t>Especial</w:t>
      </w:r>
      <w:r w:rsidRPr="002964A7">
        <w:rPr>
          <w:rFonts w:ascii="Verdana" w:hAnsi="Verdana"/>
          <w:spacing w:val="-2"/>
          <w:sz w:val="20"/>
          <w:szCs w:val="20"/>
          <w:lang w:val="es-ES_tradnl"/>
        </w:rPr>
        <w:t xml:space="preserve"> de Prevención del Delito de Huancavelica llevó a cabo las siguientes acciones</w:t>
      </w:r>
      <w:r w:rsidRPr="002964A7">
        <w:rPr>
          <w:rStyle w:val="FootnoteReference"/>
          <w:rFonts w:eastAsiaTheme="minorHAnsi"/>
          <w:spacing w:val="-2"/>
          <w:szCs w:val="20"/>
          <w:lang w:val="es-ES_tradnl"/>
        </w:rPr>
        <w:footnoteReference w:id="251"/>
      </w:r>
      <w:r w:rsidRPr="002964A7">
        <w:rPr>
          <w:rFonts w:ascii="Verdana" w:hAnsi="Verdana"/>
          <w:spacing w:val="-2"/>
          <w:sz w:val="20"/>
          <w:szCs w:val="20"/>
          <w:lang w:val="es-ES_tradnl"/>
        </w:rPr>
        <w:t xml:space="preserve">: </w:t>
      </w:r>
    </w:p>
    <w:p w:rsidR="00C83100" w:rsidRPr="007A7743" w:rsidRDefault="00C83100" w:rsidP="00C83100">
      <w:pPr>
        <w:pStyle w:val="ListParagraph"/>
        <w:rPr>
          <w:rFonts w:ascii="Verdana" w:hAnsi="Verdana"/>
          <w:spacing w:val="-2"/>
          <w:sz w:val="16"/>
          <w:szCs w:val="20"/>
          <w:lang w:val="es-ES_tradnl"/>
        </w:rPr>
      </w:pPr>
    </w:p>
    <w:p w:rsidR="00C83100" w:rsidRPr="005609CE" w:rsidRDefault="00C83100" w:rsidP="001154F9">
      <w:pPr>
        <w:pStyle w:val="ListParagraph"/>
        <w:numPr>
          <w:ilvl w:val="0"/>
          <w:numId w:val="13"/>
        </w:numPr>
        <w:autoSpaceDE w:val="0"/>
        <w:autoSpaceDN w:val="0"/>
        <w:adjustRightInd w:val="0"/>
        <w:spacing w:after="0" w:line="240" w:lineRule="auto"/>
        <w:ind w:left="900" w:right="14" w:hanging="540"/>
        <w:jc w:val="both"/>
        <w:rPr>
          <w:rFonts w:ascii="Verdana" w:hAnsi="Verdana"/>
          <w:spacing w:val="-2"/>
          <w:sz w:val="20"/>
          <w:szCs w:val="20"/>
          <w:lang w:val="es-ES_tradnl"/>
        </w:rPr>
      </w:pPr>
      <w:r>
        <w:rPr>
          <w:rFonts w:ascii="Verdana" w:hAnsi="Verdana"/>
          <w:spacing w:val="-2"/>
          <w:sz w:val="20"/>
          <w:szCs w:val="20"/>
          <w:lang w:val="es-ES_tradnl"/>
        </w:rPr>
        <w:t>e</w:t>
      </w:r>
      <w:r w:rsidRPr="005609CE">
        <w:rPr>
          <w:rFonts w:ascii="Verdana" w:hAnsi="Verdana"/>
          <w:spacing w:val="-2"/>
          <w:sz w:val="20"/>
          <w:szCs w:val="20"/>
          <w:lang w:val="es-ES_tradnl"/>
        </w:rPr>
        <w:t>l 8 de julio de 1991, ordenó la realización de una diligencia de verificación en la Jefatura Departamental de la Policía Técnica. No consta si la misma fue llevada a cabo. Asimismo, cursó oficio a la Jefatura del Comando Político Militar a fin de que informara sobre los patrullajes realizados el día 4 de julio. Dicha solicitud fue reiterada otros catorce días después, el 22 de julio de 1991;</w:t>
      </w:r>
    </w:p>
    <w:p w:rsidR="00C83100" w:rsidRPr="005609CE" w:rsidRDefault="00C83100" w:rsidP="00C83100">
      <w:pPr>
        <w:pStyle w:val="ListParagraph"/>
        <w:autoSpaceDE w:val="0"/>
        <w:autoSpaceDN w:val="0"/>
        <w:adjustRightInd w:val="0"/>
        <w:spacing w:after="0" w:line="240" w:lineRule="auto"/>
        <w:ind w:left="900" w:right="14" w:hanging="540"/>
        <w:jc w:val="both"/>
        <w:rPr>
          <w:rFonts w:ascii="Verdana" w:hAnsi="Verdana"/>
          <w:spacing w:val="-2"/>
          <w:sz w:val="20"/>
          <w:szCs w:val="20"/>
          <w:lang w:val="es-ES_tradnl"/>
        </w:rPr>
      </w:pPr>
    </w:p>
    <w:p w:rsidR="00C83100" w:rsidRPr="005609CE" w:rsidRDefault="00C83100" w:rsidP="001154F9">
      <w:pPr>
        <w:pStyle w:val="ListParagraph"/>
        <w:numPr>
          <w:ilvl w:val="0"/>
          <w:numId w:val="13"/>
        </w:numPr>
        <w:autoSpaceDE w:val="0"/>
        <w:autoSpaceDN w:val="0"/>
        <w:adjustRightInd w:val="0"/>
        <w:spacing w:after="0" w:line="240" w:lineRule="auto"/>
        <w:ind w:left="900" w:right="14" w:hanging="540"/>
        <w:jc w:val="both"/>
        <w:rPr>
          <w:rFonts w:ascii="Verdana" w:hAnsi="Verdana"/>
          <w:spacing w:val="-2"/>
          <w:sz w:val="20"/>
          <w:szCs w:val="20"/>
          <w:lang w:val="es-ES_tradnl"/>
        </w:rPr>
      </w:pPr>
      <w:r w:rsidRPr="005609CE">
        <w:rPr>
          <w:rFonts w:ascii="Verdana" w:hAnsi="Verdana"/>
          <w:spacing w:val="-2"/>
          <w:sz w:val="20"/>
          <w:szCs w:val="20"/>
          <w:lang w:val="es-ES_tradnl"/>
        </w:rPr>
        <w:t>remitió un oficio el 10 de julio de 1991 al Jefe Político Militar de Ayacucho, a fin de ponerle en conocimiento sobre la denuncia y consultar si los detenidos habían sido llevados a la Base Militar de Lircay;</w:t>
      </w:r>
    </w:p>
    <w:p w:rsidR="00C83100" w:rsidRPr="005609CE" w:rsidRDefault="00C83100" w:rsidP="00C83100">
      <w:pPr>
        <w:pStyle w:val="ListParagraph"/>
        <w:autoSpaceDE w:val="0"/>
        <w:autoSpaceDN w:val="0"/>
        <w:adjustRightInd w:val="0"/>
        <w:spacing w:after="0" w:line="240" w:lineRule="auto"/>
        <w:ind w:left="900" w:right="14" w:hanging="540"/>
        <w:jc w:val="both"/>
        <w:rPr>
          <w:rFonts w:ascii="Verdana" w:hAnsi="Verdana"/>
          <w:spacing w:val="-2"/>
          <w:sz w:val="20"/>
          <w:szCs w:val="20"/>
          <w:lang w:val="es-ES_tradnl"/>
        </w:rPr>
      </w:pPr>
    </w:p>
    <w:p w:rsidR="00C83100" w:rsidRPr="005609CE" w:rsidRDefault="00C83100" w:rsidP="001154F9">
      <w:pPr>
        <w:pStyle w:val="ListParagraph"/>
        <w:numPr>
          <w:ilvl w:val="0"/>
          <w:numId w:val="13"/>
        </w:numPr>
        <w:autoSpaceDE w:val="0"/>
        <w:autoSpaceDN w:val="0"/>
        <w:adjustRightInd w:val="0"/>
        <w:spacing w:after="0" w:line="240" w:lineRule="auto"/>
        <w:ind w:left="900" w:right="14" w:hanging="540"/>
        <w:jc w:val="both"/>
        <w:rPr>
          <w:rFonts w:ascii="Verdana" w:hAnsi="Verdana"/>
          <w:spacing w:val="-2"/>
          <w:sz w:val="20"/>
          <w:szCs w:val="20"/>
          <w:lang w:val="es-ES_tradnl"/>
        </w:rPr>
      </w:pPr>
      <w:r w:rsidRPr="005609CE">
        <w:rPr>
          <w:rFonts w:ascii="Verdana" w:hAnsi="Verdana"/>
          <w:spacing w:val="-2"/>
          <w:sz w:val="20"/>
          <w:szCs w:val="20"/>
          <w:lang w:val="es-ES_tradnl"/>
        </w:rPr>
        <w:t xml:space="preserve">recibió las denuncias y/o manifestaciones de otras 6 personas, a saber: Teodoro Hilario Quispe, Cecilia Mancha De Cusi, Bertha Lizana Viuda de Hilario, Gaudencia </w:t>
      </w:r>
      <w:r w:rsidRPr="005609CE">
        <w:rPr>
          <w:rFonts w:ascii="Verdana" w:hAnsi="Verdana"/>
          <w:spacing w:val="-2"/>
          <w:sz w:val="20"/>
          <w:szCs w:val="20"/>
          <w:lang w:val="es-ES_tradnl"/>
        </w:rPr>
        <w:lastRenderedPageBreak/>
        <w:t xml:space="preserve">Quispe de Hilario, Gregorio Hilario Quispe y Alejandro Huamaní. </w:t>
      </w:r>
      <w:r>
        <w:rPr>
          <w:rFonts w:ascii="Verdana" w:hAnsi="Verdana"/>
          <w:spacing w:val="-2"/>
          <w:sz w:val="20"/>
          <w:szCs w:val="20"/>
          <w:lang w:val="es-ES_tradnl"/>
        </w:rPr>
        <w:t>El</w:t>
      </w:r>
      <w:r w:rsidRPr="005609CE">
        <w:rPr>
          <w:rFonts w:ascii="Verdana" w:hAnsi="Verdana"/>
          <w:spacing w:val="-2"/>
          <w:sz w:val="20"/>
          <w:szCs w:val="20"/>
          <w:lang w:val="es-ES_tradnl"/>
        </w:rPr>
        <w:t xml:space="preserve"> 15 de julio de 1991, </w:t>
      </w:r>
      <w:r w:rsidR="00335E16">
        <w:rPr>
          <w:rFonts w:ascii="Verdana" w:hAnsi="Verdana"/>
          <w:spacing w:val="-2"/>
          <w:sz w:val="20"/>
          <w:szCs w:val="20"/>
          <w:lang w:val="es-ES_tradnl"/>
        </w:rPr>
        <w:t>e</w:t>
      </w:r>
      <w:r w:rsidRPr="005609CE">
        <w:rPr>
          <w:rFonts w:ascii="Verdana" w:hAnsi="Verdana"/>
          <w:spacing w:val="-2"/>
          <w:sz w:val="20"/>
          <w:szCs w:val="20"/>
          <w:lang w:val="es-ES_tradnl"/>
        </w:rPr>
        <w:t xml:space="preserve">ste último denunció la detención y desaparición de su hijo, Elihoref Huamaní. Además, </w:t>
      </w:r>
      <w:r>
        <w:rPr>
          <w:rFonts w:ascii="Verdana" w:hAnsi="Verdana"/>
          <w:spacing w:val="-2"/>
          <w:sz w:val="20"/>
          <w:szCs w:val="20"/>
          <w:lang w:val="es-ES_tradnl"/>
        </w:rPr>
        <w:t xml:space="preserve">se </w:t>
      </w:r>
      <w:r w:rsidRPr="005609CE">
        <w:rPr>
          <w:rFonts w:ascii="Verdana" w:hAnsi="Verdana"/>
          <w:spacing w:val="-2"/>
          <w:sz w:val="20"/>
          <w:szCs w:val="20"/>
          <w:lang w:val="es-ES_tradnl"/>
        </w:rPr>
        <w:t>recibi</w:t>
      </w:r>
      <w:r>
        <w:rPr>
          <w:rFonts w:ascii="Verdana" w:hAnsi="Verdana"/>
          <w:spacing w:val="-2"/>
          <w:sz w:val="20"/>
          <w:szCs w:val="20"/>
          <w:lang w:val="es-ES_tradnl"/>
        </w:rPr>
        <w:t>eron</w:t>
      </w:r>
      <w:r w:rsidRPr="005609CE">
        <w:rPr>
          <w:rFonts w:ascii="Verdana" w:hAnsi="Verdana"/>
          <w:spacing w:val="-2"/>
          <w:sz w:val="20"/>
          <w:szCs w:val="20"/>
          <w:lang w:val="es-ES_tradnl"/>
        </w:rPr>
        <w:t xml:space="preserve"> las denuncias de Nicolás Hilario Morán, Lorenzo Quispe Huamán y Máximo Pérez Torres en sentido que habían sido amenazados por un Teniente del Ejército peruano en momento que se apersonaron a la Jefatura del Comando Político Militar a dejar un oficio;</w:t>
      </w:r>
    </w:p>
    <w:p w:rsidR="00C83100" w:rsidRPr="005609CE" w:rsidRDefault="00C83100" w:rsidP="00C83100">
      <w:pPr>
        <w:pStyle w:val="ListParagraph"/>
        <w:autoSpaceDE w:val="0"/>
        <w:autoSpaceDN w:val="0"/>
        <w:adjustRightInd w:val="0"/>
        <w:spacing w:after="0" w:line="240" w:lineRule="auto"/>
        <w:ind w:left="900" w:right="14" w:hanging="540"/>
        <w:jc w:val="both"/>
        <w:rPr>
          <w:rFonts w:ascii="Verdana" w:hAnsi="Verdana"/>
          <w:spacing w:val="-2"/>
          <w:sz w:val="20"/>
          <w:szCs w:val="20"/>
          <w:lang w:val="es-ES_tradnl"/>
        </w:rPr>
      </w:pPr>
    </w:p>
    <w:p w:rsidR="00C83100" w:rsidRPr="005609CE" w:rsidRDefault="00C83100" w:rsidP="001154F9">
      <w:pPr>
        <w:pStyle w:val="ListParagraph"/>
        <w:numPr>
          <w:ilvl w:val="0"/>
          <w:numId w:val="13"/>
        </w:numPr>
        <w:autoSpaceDE w:val="0"/>
        <w:autoSpaceDN w:val="0"/>
        <w:adjustRightInd w:val="0"/>
        <w:spacing w:after="0" w:line="240" w:lineRule="auto"/>
        <w:ind w:left="900" w:right="14" w:hanging="540"/>
        <w:jc w:val="both"/>
        <w:rPr>
          <w:rFonts w:ascii="Verdana" w:hAnsi="Verdana"/>
          <w:spacing w:val="-2"/>
          <w:sz w:val="20"/>
          <w:szCs w:val="20"/>
          <w:lang w:val="es-ES_tradnl"/>
        </w:rPr>
      </w:pPr>
      <w:r w:rsidRPr="005609CE">
        <w:rPr>
          <w:rFonts w:ascii="Verdana" w:hAnsi="Verdana"/>
          <w:spacing w:val="-2"/>
          <w:sz w:val="20"/>
          <w:szCs w:val="20"/>
          <w:lang w:val="es-ES_tradnl"/>
        </w:rPr>
        <w:t xml:space="preserve">recibió el oficio No. 467-91-FPM-Hvca de 18 de julio de 1991, informando sobre el levantamiento de cadáveres realizado ese día junto con el Juez Instructor. </w:t>
      </w:r>
    </w:p>
    <w:p w:rsidR="00C83100" w:rsidRPr="007A7743" w:rsidRDefault="00C83100" w:rsidP="00C83100">
      <w:pPr>
        <w:pStyle w:val="ListParagraph"/>
        <w:autoSpaceDE w:val="0"/>
        <w:autoSpaceDN w:val="0"/>
        <w:adjustRightInd w:val="0"/>
        <w:ind w:left="0" w:right="15"/>
        <w:jc w:val="both"/>
        <w:rPr>
          <w:rFonts w:ascii="Verdana" w:hAnsi="Verdana"/>
          <w:spacing w:val="-2"/>
          <w:sz w:val="16"/>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ES_tradnl"/>
        </w:rPr>
        <w:t xml:space="preserve">Además, si bien el 12 de julio de 1991 la </w:t>
      </w:r>
      <w:r w:rsidRPr="002964A7">
        <w:rPr>
          <w:rFonts w:ascii="Verdana" w:hAnsi="Verdana"/>
          <w:spacing w:val="-2"/>
          <w:sz w:val="20"/>
          <w:szCs w:val="20"/>
          <w:lang w:val="es-GT"/>
        </w:rPr>
        <w:t>directiva de la comunidad de Santa Bárbara</w:t>
      </w:r>
      <w:r w:rsidRPr="002964A7">
        <w:rPr>
          <w:rFonts w:ascii="Verdana" w:hAnsi="Verdana"/>
          <w:spacing w:val="-2"/>
          <w:sz w:val="20"/>
          <w:szCs w:val="20"/>
          <w:lang w:val="es-ES_tradnl"/>
        </w:rPr>
        <w:t xml:space="preserve"> informó a la Fiscalía Provincial Mixta de Huancavelica del hallazgo de los restos de las víctimas y solicitó el levantamiento de los cadáveres, lo cual fue reiterado a dicha Fiscalía el 17 de julio de 1991, </w:t>
      </w:r>
      <w:r>
        <w:rPr>
          <w:rFonts w:ascii="Verdana" w:hAnsi="Verdana"/>
          <w:spacing w:val="-2"/>
          <w:sz w:val="20"/>
          <w:szCs w:val="20"/>
          <w:lang w:val="es-ES_tradnl"/>
        </w:rPr>
        <w:t xml:space="preserve">fue recién </w:t>
      </w:r>
      <w:r w:rsidRPr="002964A7">
        <w:rPr>
          <w:rFonts w:ascii="Verdana" w:hAnsi="Verdana"/>
          <w:spacing w:val="-2"/>
          <w:sz w:val="20"/>
          <w:szCs w:val="20"/>
          <w:lang w:val="es-ES_tradnl"/>
        </w:rPr>
        <w:t>el 18 de julio de 1991</w:t>
      </w:r>
      <w:r>
        <w:rPr>
          <w:rFonts w:ascii="Verdana" w:hAnsi="Verdana"/>
          <w:spacing w:val="-2"/>
          <w:sz w:val="20"/>
          <w:szCs w:val="20"/>
          <w:lang w:val="es-ES_tradnl"/>
        </w:rPr>
        <w:t xml:space="preserve"> que se realizó el levantamiento de los restos</w:t>
      </w:r>
      <w:r w:rsidRPr="002964A7">
        <w:rPr>
          <w:rFonts w:ascii="Verdana" w:hAnsi="Verdana"/>
          <w:spacing w:val="-2"/>
          <w:sz w:val="20"/>
          <w:szCs w:val="20"/>
          <w:lang w:val="es-ES_tradnl"/>
        </w:rPr>
        <w:t xml:space="preserve">, es decir, dos semanas después de ocurridos los hechos, </w:t>
      </w:r>
      <w:r>
        <w:rPr>
          <w:rFonts w:ascii="Verdana" w:hAnsi="Verdana"/>
          <w:spacing w:val="-2"/>
          <w:sz w:val="20"/>
          <w:szCs w:val="20"/>
          <w:lang w:val="es-ES_tradnl"/>
        </w:rPr>
        <w:t>diez</w:t>
      </w:r>
      <w:r w:rsidRPr="002964A7">
        <w:rPr>
          <w:rFonts w:ascii="Verdana" w:hAnsi="Verdana"/>
          <w:spacing w:val="-2"/>
          <w:sz w:val="20"/>
          <w:szCs w:val="20"/>
          <w:lang w:val="es-ES_tradnl"/>
        </w:rPr>
        <w:t xml:space="preserve"> días de haberse denunciado y seis días después de informado el hallazgo (</w:t>
      </w:r>
      <w:r w:rsidRPr="002964A7">
        <w:rPr>
          <w:rFonts w:ascii="Verdana" w:hAnsi="Verdana"/>
          <w:i/>
          <w:spacing w:val="-2"/>
          <w:sz w:val="20"/>
          <w:szCs w:val="20"/>
          <w:lang w:val="es-ES_tradnl"/>
        </w:rPr>
        <w:t xml:space="preserve">supra </w:t>
      </w:r>
      <w:r w:rsidRPr="002964A7">
        <w:rPr>
          <w:rFonts w:ascii="Verdana" w:hAnsi="Verdana"/>
          <w:spacing w:val="-2"/>
          <w:sz w:val="20"/>
          <w:szCs w:val="20"/>
          <w:lang w:val="es-ES_tradnl"/>
        </w:rPr>
        <w:t xml:space="preserve">párrs. </w:t>
      </w:r>
      <w:r>
        <w:rPr>
          <w:rFonts w:ascii="Verdana" w:hAnsi="Verdana"/>
          <w:spacing w:val="-2"/>
          <w:sz w:val="20"/>
          <w:szCs w:val="20"/>
          <w:lang w:val="es-ES_tradnl"/>
        </w:rPr>
        <w:t>98 a 101</w:t>
      </w:r>
      <w:r w:rsidRPr="002964A7">
        <w:rPr>
          <w:rFonts w:ascii="Verdana" w:hAnsi="Verdana"/>
          <w:spacing w:val="-2"/>
          <w:sz w:val="20"/>
          <w:szCs w:val="20"/>
          <w:lang w:val="es-ES_tradnl"/>
        </w:rPr>
        <w:t xml:space="preserve">). Aunado a ello, esta Corte ya estableció que </w:t>
      </w:r>
      <w:r w:rsidRPr="00597FE9">
        <w:rPr>
          <w:rFonts w:ascii="Verdana" w:hAnsi="Verdana" w:cs="Arial"/>
          <w:spacing w:val="-2"/>
          <w:sz w:val="20"/>
          <w:szCs w:val="20"/>
          <w:lang w:val="es-PR"/>
        </w:rPr>
        <w:t>se desconoce lo ocurrido con</w:t>
      </w:r>
      <w:r w:rsidRPr="002964A7">
        <w:rPr>
          <w:rFonts w:ascii="Verdana" w:hAnsi="Verdana"/>
          <w:spacing w:val="-2"/>
          <w:sz w:val="20"/>
          <w:szCs w:val="20"/>
          <w:lang w:val="es-ES_tradnl"/>
        </w:rPr>
        <w:t xml:space="preserve"> la evidencia recolectada en dicha ocasión y que por más de 23 </w:t>
      </w:r>
      <w:r w:rsidRPr="002964A7">
        <w:rPr>
          <w:rFonts w:ascii="Verdana" w:hAnsi="Verdana"/>
          <w:spacing w:val="-2"/>
          <w:sz w:val="20"/>
          <w:szCs w:val="20"/>
          <w:lang w:val="es-PR"/>
        </w:rPr>
        <w:t xml:space="preserve">años el Estado no ha desplegado esfuerzo alguno para ubicar dichos restos </w:t>
      </w:r>
      <w:r w:rsidRPr="002964A7">
        <w:rPr>
          <w:rFonts w:ascii="Verdana" w:hAnsi="Verdana"/>
          <w:spacing w:val="-2"/>
          <w:sz w:val="20"/>
          <w:szCs w:val="20"/>
          <w:lang w:val="es-ES_tradnl"/>
        </w:rPr>
        <w:t>(</w:t>
      </w:r>
      <w:r w:rsidRPr="002964A7">
        <w:rPr>
          <w:rFonts w:ascii="Verdana" w:hAnsi="Verdana"/>
          <w:i/>
          <w:spacing w:val="-2"/>
          <w:sz w:val="20"/>
          <w:szCs w:val="20"/>
          <w:lang w:val="es-ES_tradnl"/>
        </w:rPr>
        <w:t xml:space="preserve">supra </w:t>
      </w:r>
      <w:r w:rsidRPr="002964A7">
        <w:rPr>
          <w:rFonts w:ascii="Verdana" w:hAnsi="Verdana"/>
          <w:spacing w:val="-2"/>
          <w:sz w:val="20"/>
          <w:szCs w:val="20"/>
          <w:lang w:val="es-ES_tradnl"/>
        </w:rPr>
        <w:t xml:space="preserve">párr. </w:t>
      </w:r>
      <w:r>
        <w:rPr>
          <w:rFonts w:ascii="Verdana" w:hAnsi="Verdana"/>
          <w:spacing w:val="-2"/>
          <w:sz w:val="20"/>
          <w:szCs w:val="20"/>
          <w:lang w:val="es-ES_tradnl"/>
        </w:rPr>
        <w:t>176</w:t>
      </w:r>
      <w:r w:rsidRPr="002964A7">
        <w:rPr>
          <w:rFonts w:ascii="Verdana" w:hAnsi="Verdana"/>
          <w:spacing w:val="-2"/>
          <w:sz w:val="20"/>
          <w:szCs w:val="20"/>
          <w:lang w:val="es-ES_tradnl"/>
        </w:rPr>
        <w:t xml:space="preserve">). </w:t>
      </w:r>
    </w:p>
    <w:p w:rsidR="00C83100" w:rsidRPr="002964A7" w:rsidRDefault="00C83100" w:rsidP="00C83100">
      <w:pPr>
        <w:pStyle w:val="ListParagraph"/>
        <w:autoSpaceDE w:val="0"/>
        <w:autoSpaceDN w:val="0"/>
        <w:adjustRightInd w:val="0"/>
        <w:ind w:right="15"/>
        <w:jc w:val="both"/>
        <w:rPr>
          <w:rFonts w:ascii="Verdana" w:hAnsi="Verdana"/>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ES_tradnl"/>
        </w:rPr>
        <w:t xml:space="preserve">Por otra parte, la Corte ya estableció que la Fiscalía Especial de la Defensoría del Pueblo y Derechos Humanos recibió denuncias por parte de </w:t>
      </w:r>
      <w:r w:rsidRPr="002964A7">
        <w:rPr>
          <w:rFonts w:ascii="Verdana" w:hAnsi="Verdana" w:cs="Arial"/>
          <w:spacing w:val="-2"/>
          <w:sz w:val="20"/>
          <w:szCs w:val="20"/>
          <w:lang w:val="es-GT"/>
        </w:rPr>
        <w:t xml:space="preserve">Nicolás Hilario Morán, Presidente del Consejo de Administración de la </w:t>
      </w:r>
      <w:r>
        <w:rPr>
          <w:rFonts w:ascii="Verdana" w:hAnsi="Verdana" w:cs="Arial"/>
          <w:spacing w:val="-2"/>
          <w:sz w:val="20"/>
          <w:szCs w:val="20"/>
          <w:lang w:val="es-GT"/>
        </w:rPr>
        <w:t>c</w:t>
      </w:r>
      <w:r w:rsidRPr="002964A7">
        <w:rPr>
          <w:rFonts w:ascii="Verdana" w:hAnsi="Verdana" w:cs="Arial"/>
          <w:spacing w:val="-2"/>
          <w:sz w:val="20"/>
          <w:szCs w:val="20"/>
          <w:lang w:val="es-GT"/>
        </w:rPr>
        <w:t xml:space="preserve">omunidad de Santa Bárbara, y Máximo Pérez Torres, Tesorero de la </w:t>
      </w:r>
      <w:r w:rsidRPr="002964A7">
        <w:rPr>
          <w:rFonts w:ascii="Verdana" w:hAnsi="Verdana"/>
          <w:spacing w:val="-2"/>
          <w:sz w:val="20"/>
          <w:szCs w:val="20"/>
          <w:lang w:val="es-GT" w:eastAsia="es-CR"/>
        </w:rPr>
        <w:t>Agencia</w:t>
      </w:r>
      <w:r w:rsidRPr="002964A7">
        <w:rPr>
          <w:rFonts w:ascii="Verdana" w:hAnsi="Verdana" w:cs="Arial"/>
          <w:spacing w:val="-2"/>
          <w:sz w:val="20"/>
          <w:szCs w:val="20"/>
          <w:lang w:val="es-GT"/>
        </w:rPr>
        <w:t xml:space="preserve"> Municipal de la misma, el 17 de julio de 1991</w:t>
      </w:r>
      <w:r>
        <w:rPr>
          <w:rFonts w:ascii="Verdana" w:hAnsi="Verdana" w:cs="Arial"/>
          <w:spacing w:val="-2"/>
          <w:sz w:val="20"/>
          <w:szCs w:val="20"/>
          <w:lang w:val="es-GT"/>
        </w:rPr>
        <w:t>,</w:t>
      </w:r>
      <w:r w:rsidRPr="002964A7">
        <w:rPr>
          <w:rFonts w:ascii="Verdana" w:hAnsi="Verdana" w:cs="Arial"/>
          <w:spacing w:val="-2"/>
          <w:sz w:val="20"/>
          <w:szCs w:val="20"/>
          <w:lang w:val="es-GT"/>
        </w:rPr>
        <w:t xml:space="preserve"> y por parte de </w:t>
      </w:r>
      <w:r w:rsidRPr="002964A7">
        <w:rPr>
          <w:rFonts w:ascii="Verdana" w:hAnsi="Verdana" w:cs="Arial"/>
          <w:spacing w:val="-2"/>
          <w:sz w:val="20"/>
          <w:szCs w:val="20"/>
          <w:lang w:val="es-ES_tradnl"/>
        </w:rPr>
        <w:t>Alejandro Huamaní Robles los días</w:t>
      </w:r>
      <w:r w:rsidRPr="002964A7">
        <w:rPr>
          <w:rFonts w:ascii="Verdana" w:hAnsi="Verdana"/>
          <w:spacing w:val="-2"/>
          <w:sz w:val="20"/>
          <w:szCs w:val="20"/>
          <w:lang w:val="es-ES_tradnl"/>
        </w:rPr>
        <w:t xml:space="preserve"> 23 de julio y 2 de agosto del mismo año. Estas mismas personas también interpusieron denuncias ante el Ministro de Defensa, los primeros el 17 de julio y el señor Huamaní el 5 de agosto de 1991. Finalmente, el señor Huamaní también denunció el 18 de julio ante la Fiscalía Superior Decan</w:t>
      </w:r>
      <w:r>
        <w:rPr>
          <w:rFonts w:ascii="Verdana" w:hAnsi="Verdana"/>
          <w:spacing w:val="-2"/>
          <w:sz w:val="20"/>
          <w:szCs w:val="20"/>
          <w:lang w:val="es-ES_tradnl"/>
        </w:rPr>
        <w:t>o</w:t>
      </w:r>
      <w:r w:rsidRPr="002964A7">
        <w:rPr>
          <w:rFonts w:ascii="Verdana" w:hAnsi="Verdana"/>
          <w:spacing w:val="-2"/>
          <w:sz w:val="20"/>
          <w:szCs w:val="20"/>
          <w:lang w:val="es-ES_tradnl"/>
        </w:rPr>
        <w:t xml:space="preserve"> de Huancavelica (</w:t>
      </w:r>
      <w:r w:rsidRPr="002964A7">
        <w:rPr>
          <w:rFonts w:ascii="Verdana" w:hAnsi="Verdana"/>
          <w:i/>
          <w:spacing w:val="-2"/>
          <w:sz w:val="20"/>
          <w:szCs w:val="20"/>
          <w:lang w:val="es-ES_tradnl"/>
        </w:rPr>
        <w:t xml:space="preserve">supra </w:t>
      </w:r>
      <w:r w:rsidRPr="002964A7">
        <w:rPr>
          <w:rFonts w:ascii="Verdana" w:hAnsi="Verdana"/>
          <w:spacing w:val="-2"/>
          <w:sz w:val="20"/>
          <w:szCs w:val="20"/>
          <w:lang w:val="es-ES_tradnl"/>
        </w:rPr>
        <w:t>párr</w:t>
      </w:r>
      <w:r>
        <w:rPr>
          <w:rFonts w:ascii="Verdana" w:hAnsi="Verdana"/>
          <w:spacing w:val="-2"/>
          <w:sz w:val="20"/>
          <w:szCs w:val="20"/>
          <w:lang w:val="es-ES_tradnl"/>
        </w:rPr>
        <w:t>s</w:t>
      </w:r>
      <w:r w:rsidRPr="002964A7">
        <w:rPr>
          <w:rFonts w:ascii="Verdana" w:hAnsi="Verdana"/>
          <w:spacing w:val="-2"/>
          <w:sz w:val="20"/>
          <w:szCs w:val="20"/>
          <w:lang w:val="es-ES_tradnl"/>
        </w:rPr>
        <w:t xml:space="preserve">. </w:t>
      </w:r>
      <w:r>
        <w:rPr>
          <w:rFonts w:ascii="Verdana" w:hAnsi="Verdana"/>
          <w:spacing w:val="-2"/>
          <w:sz w:val="20"/>
          <w:szCs w:val="20"/>
          <w:lang w:val="es-ES_tradnl"/>
        </w:rPr>
        <w:t>100 y 102</w:t>
      </w:r>
      <w:r w:rsidRPr="002964A7">
        <w:rPr>
          <w:rFonts w:ascii="Verdana" w:hAnsi="Verdana"/>
          <w:spacing w:val="-2"/>
          <w:sz w:val="20"/>
          <w:szCs w:val="20"/>
          <w:lang w:val="es-ES_tradnl"/>
        </w:rPr>
        <w:t>). No consta</w:t>
      </w:r>
      <w:r w:rsidR="00F30868">
        <w:rPr>
          <w:rFonts w:ascii="Verdana" w:hAnsi="Verdana"/>
          <w:spacing w:val="-2"/>
          <w:sz w:val="20"/>
          <w:szCs w:val="20"/>
          <w:lang w:val="es-ES_tradnl"/>
        </w:rPr>
        <w:t>n</w:t>
      </w:r>
      <w:r w:rsidRPr="002964A7">
        <w:rPr>
          <w:rFonts w:ascii="Verdana" w:hAnsi="Verdana"/>
          <w:spacing w:val="-2"/>
          <w:sz w:val="20"/>
          <w:szCs w:val="20"/>
          <w:lang w:val="es-ES_tradnl"/>
        </w:rPr>
        <w:t xml:space="preserve"> en el expediente las acciones que habrían tomado dichas entidades ante las denuncias mencionadas.  </w:t>
      </w:r>
    </w:p>
    <w:p w:rsidR="00C83100" w:rsidRPr="002964A7" w:rsidRDefault="00C83100" w:rsidP="00C83100">
      <w:pPr>
        <w:pStyle w:val="ListParagraph"/>
        <w:rPr>
          <w:rFonts w:ascii="Verdana" w:hAnsi="Verdana"/>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ES_tradnl"/>
        </w:rPr>
        <w:t>Al respecto, la Corte recuerda que, e</w:t>
      </w:r>
      <w:r w:rsidRPr="002964A7">
        <w:rPr>
          <w:rFonts w:ascii="Verdana" w:eastAsia="Batang" w:hAnsi="Verdana"/>
          <w:spacing w:val="-2"/>
          <w:sz w:val="20"/>
          <w:szCs w:val="20"/>
          <w:lang w:val="es-PR"/>
        </w:rPr>
        <w:t>n casos de presunta desaparición forzada, es imprescindible la actuación inmediata de las autoridades fiscales y judiciales</w:t>
      </w:r>
      <w:r>
        <w:rPr>
          <w:rFonts w:ascii="Verdana" w:eastAsia="Batang" w:hAnsi="Verdana"/>
          <w:spacing w:val="-2"/>
          <w:sz w:val="20"/>
          <w:szCs w:val="20"/>
          <w:lang w:val="es-PR"/>
        </w:rPr>
        <w:t>,</w:t>
      </w:r>
      <w:r w:rsidRPr="002964A7">
        <w:rPr>
          <w:rFonts w:ascii="Verdana" w:eastAsia="Batang" w:hAnsi="Verdana"/>
          <w:spacing w:val="-2"/>
          <w:sz w:val="20"/>
          <w:szCs w:val="20"/>
          <w:lang w:val="es-PR"/>
        </w:rPr>
        <w:t xml:space="preserve"> ordenando medidas oportunas y necesarias dirigidas a la determinación del paradero de la víctima o el lugar donde pueda encontrarse privada de libertad</w:t>
      </w:r>
      <w:r w:rsidRPr="002964A7">
        <w:rPr>
          <w:rFonts w:ascii="Verdana" w:eastAsia="Batang" w:hAnsi="Verdana"/>
          <w:spacing w:val="-2"/>
          <w:sz w:val="20"/>
          <w:szCs w:val="20"/>
          <w:vertAlign w:val="superscript"/>
        </w:rPr>
        <w:footnoteReference w:id="252"/>
      </w:r>
      <w:r w:rsidRPr="002964A7">
        <w:rPr>
          <w:rFonts w:ascii="Verdana" w:eastAsia="Batang" w:hAnsi="Verdana"/>
          <w:spacing w:val="-2"/>
          <w:sz w:val="20"/>
          <w:szCs w:val="20"/>
          <w:lang w:val="es-PR"/>
        </w:rPr>
        <w:t xml:space="preserve">. </w:t>
      </w:r>
    </w:p>
    <w:p w:rsidR="00C83100" w:rsidRPr="002964A7" w:rsidRDefault="00C83100" w:rsidP="00C83100">
      <w:pPr>
        <w:pStyle w:val="ListParagraph"/>
        <w:autoSpaceDE w:val="0"/>
        <w:autoSpaceDN w:val="0"/>
        <w:adjustRightInd w:val="0"/>
        <w:ind w:left="0" w:right="15"/>
        <w:jc w:val="both"/>
        <w:rPr>
          <w:rFonts w:ascii="Verdana" w:hAnsi="Verdana"/>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spacing w:val="-2"/>
          <w:sz w:val="20"/>
          <w:szCs w:val="20"/>
          <w:lang w:val="es-PR"/>
        </w:rPr>
        <w:t xml:space="preserve">Asimismo, para que una investigación </w:t>
      </w:r>
      <w:r>
        <w:rPr>
          <w:rFonts w:ascii="Verdana" w:hAnsi="Verdana"/>
          <w:spacing w:val="-2"/>
          <w:sz w:val="20"/>
          <w:szCs w:val="20"/>
          <w:lang w:val="es-PR"/>
        </w:rPr>
        <w:t>sobre</w:t>
      </w:r>
      <w:r w:rsidRPr="002964A7">
        <w:rPr>
          <w:rFonts w:ascii="Verdana" w:hAnsi="Verdana"/>
          <w:spacing w:val="-2"/>
          <w:sz w:val="20"/>
          <w:szCs w:val="20"/>
          <w:lang w:val="es-PR"/>
        </w:rPr>
        <w:t xml:space="preserve"> una presunta desaparición forzada sea llevada adelante </w:t>
      </w:r>
      <w:r w:rsidRPr="002964A7">
        <w:rPr>
          <w:rFonts w:ascii="Verdana" w:hAnsi="Verdana" w:cs="Verdana"/>
          <w:spacing w:val="-2"/>
          <w:sz w:val="20"/>
          <w:szCs w:val="20"/>
          <w:lang w:val="es-ES_tradnl"/>
        </w:rPr>
        <w:t>eficazmente</w:t>
      </w:r>
      <w:r w:rsidRPr="002964A7">
        <w:rPr>
          <w:rFonts w:ascii="Verdana" w:hAnsi="Verdana"/>
          <w:spacing w:val="-2"/>
          <w:sz w:val="20"/>
          <w:szCs w:val="20"/>
          <w:lang w:val="es-PR"/>
        </w:rPr>
        <w:t xml:space="preserve"> y con la debida diligencia, las autoridades encargadas deben utilizar todos los medios necesarios para realizar con prontitud aquellas actuaciones y </w:t>
      </w:r>
      <w:r w:rsidRPr="002964A7">
        <w:rPr>
          <w:rFonts w:ascii="Verdana" w:eastAsia="Batang" w:hAnsi="Verdana"/>
          <w:spacing w:val="-2"/>
          <w:sz w:val="20"/>
          <w:szCs w:val="20"/>
          <w:lang w:val="es-PR"/>
        </w:rPr>
        <w:t>averiguaciones</w:t>
      </w:r>
      <w:r w:rsidRPr="002964A7">
        <w:rPr>
          <w:rFonts w:ascii="Verdana" w:hAnsi="Verdana"/>
          <w:spacing w:val="-2"/>
          <w:sz w:val="20"/>
          <w:szCs w:val="20"/>
          <w:lang w:val="es-PR"/>
        </w:rPr>
        <w:t xml:space="preserve"> esenciales y oportunas para esclarecer la suerte de las víctimas</w:t>
      </w:r>
      <w:r w:rsidRPr="002964A7">
        <w:rPr>
          <w:rFonts w:ascii="Verdana" w:hAnsi="Verdana"/>
          <w:spacing w:val="-2"/>
          <w:sz w:val="20"/>
          <w:szCs w:val="20"/>
          <w:vertAlign w:val="superscript"/>
        </w:rPr>
        <w:footnoteReference w:id="253"/>
      </w:r>
      <w:r w:rsidRPr="002964A7">
        <w:rPr>
          <w:rFonts w:ascii="Verdana" w:hAnsi="Verdana"/>
          <w:spacing w:val="-2"/>
          <w:sz w:val="20"/>
          <w:szCs w:val="20"/>
          <w:lang w:val="es-PR"/>
        </w:rPr>
        <w:t xml:space="preserve">. </w:t>
      </w:r>
      <w:r w:rsidRPr="002964A7">
        <w:rPr>
          <w:rFonts w:ascii="Verdana" w:eastAsia="Times New Roman" w:hAnsi="Verdana"/>
          <w:spacing w:val="-2"/>
          <w:sz w:val="20"/>
          <w:szCs w:val="20"/>
          <w:lang w:val="es-GT"/>
        </w:rPr>
        <w:t>En múltiples oportunidades, esta Corte se ha pronunciado sobre la obligación de los Estados de realizar una búsqueda seria, por la vía judicial o administrativa adecuada, en la cual se realicen todos los esfuerzos, de manera sistemática y rigurosa, con los recursos humanos, técnicos y científicos adecuados e idóneos para dar con el paradero de las personas desaparecidas</w:t>
      </w:r>
      <w:r w:rsidRPr="002964A7">
        <w:rPr>
          <w:rFonts w:ascii="Verdana" w:eastAsia="Times New Roman" w:hAnsi="Verdana"/>
          <w:spacing w:val="-2"/>
          <w:sz w:val="20"/>
          <w:szCs w:val="20"/>
          <w:vertAlign w:val="superscript"/>
        </w:rPr>
        <w:footnoteReference w:id="254"/>
      </w:r>
      <w:r w:rsidRPr="002964A7">
        <w:rPr>
          <w:rFonts w:ascii="Verdana" w:eastAsia="Times New Roman" w:hAnsi="Verdana"/>
          <w:spacing w:val="-2"/>
          <w:sz w:val="20"/>
          <w:szCs w:val="20"/>
          <w:lang w:val="es-GT"/>
        </w:rPr>
        <w:t xml:space="preserve">. En este caso, </w:t>
      </w:r>
      <w:r w:rsidRPr="002964A7">
        <w:rPr>
          <w:rFonts w:ascii="Verdana" w:eastAsia="Batang" w:hAnsi="Verdana"/>
          <w:spacing w:val="-2"/>
          <w:sz w:val="20"/>
          <w:szCs w:val="20"/>
          <w:lang w:val="es-PR"/>
        </w:rPr>
        <w:t xml:space="preserve">no consta que, una vez que las autoridades correspondientes recibieron noticia de los hechos ocurridos, hayan adoptado, de forma inmediata, las medias de búsqueda necesarias a fin de encontrar a las personas </w:t>
      </w:r>
      <w:r w:rsidRPr="002964A7">
        <w:rPr>
          <w:rFonts w:ascii="Verdana" w:eastAsia="Batang" w:hAnsi="Verdana"/>
          <w:spacing w:val="-2"/>
          <w:sz w:val="20"/>
          <w:szCs w:val="20"/>
          <w:lang w:val="es-PR"/>
        </w:rPr>
        <w:lastRenderedPageBreak/>
        <w:t xml:space="preserve">desaparecidas. Asimismo, </w:t>
      </w:r>
      <w:r w:rsidRPr="002964A7">
        <w:rPr>
          <w:rFonts w:ascii="Verdana" w:hAnsi="Verdana"/>
          <w:bCs/>
          <w:spacing w:val="-2"/>
          <w:sz w:val="20"/>
          <w:szCs w:val="20"/>
          <w:lang w:val="es-ES_tradnl"/>
        </w:rPr>
        <w:t>el Estado no ha demostrado que las autoridades que recibieron las denuncias de la detención</w:t>
      </w:r>
      <w:r>
        <w:rPr>
          <w:rFonts w:ascii="Verdana" w:hAnsi="Verdana"/>
          <w:bCs/>
          <w:spacing w:val="-2"/>
          <w:sz w:val="20"/>
          <w:szCs w:val="20"/>
          <w:lang w:val="es-ES_tradnl"/>
        </w:rPr>
        <w:t xml:space="preserve"> y </w:t>
      </w:r>
      <w:r w:rsidRPr="002964A7">
        <w:rPr>
          <w:rFonts w:ascii="Verdana" w:hAnsi="Verdana"/>
          <w:bCs/>
          <w:spacing w:val="-2"/>
          <w:sz w:val="20"/>
          <w:szCs w:val="20"/>
          <w:lang w:val="es-ES_tradnl"/>
        </w:rPr>
        <w:t>desaparición de 15 miembros de la comunidad de Santa Bárbara hayan realizado diligencias mínimas tales como la inspección del lugar donde residían dichos comuneros y fueron quemadas sus viviendas.</w:t>
      </w:r>
    </w:p>
    <w:p w:rsidR="00C83100" w:rsidRPr="002964A7" w:rsidRDefault="00C83100" w:rsidP="00C83100">
      <w:pPr>
        <w:pStyle w:val="ListParagraph"/>
        <w:rPr>
          <w:rFonts w:ascii="Verdana" w:eastAsia="Times New Roman" w:hAnsi="Verdana" w:cs="Verdana"/>
          <w:spacing w:val="-2"/>
          <w:sz w:val="20"/>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bCs/>
          <w:spacing w:val="-2"/>
          <w:sz w:val="20"/>
          <w:szCs w:val="20"/>
          <w:lang w:val="es-ES_tradnl"/>
        </w:rPr>
      </w:pPr>
      <w:r w:rsidRPr="002964A7">
        <w:rPr>
          <w:rFonts w:ascii="Verdana" w:eastAsia="Batang" w:hAnsi="Verdana"/>
          <w:spacing w:val="-2"/>
          <w:sz w:val="20"/>
          <w:szCs w:val="20"/>
          <w:lang w:val="es-PR"/>
        </w:rPr>
        <w:t xml:space="preserve">Además, en este caso, </w:t>
      </w:r>
      <w:r w:rsidRPr="002964A7">
        <w:rPr>
          <w:rFonts w:ascii="Verdana" w:eastAsia="Cambria" w:hAnsi="Verdana" w:cs="Arial"/>
          <w:spacing w:val="-2"/>
          <w:sz w:val="20"/>
          <w:szCs w:val="20"/>
          <w:lang w:val="es-GT"/>
        </w:rPr>
        <w:t xml:space="preserve">las denuncias efectuadas por diversos miembros de la </w:t>
      </w:r>
      <w:r>
        <w:rPr>
          <w:rFonts w:ascii="Verdana" w:eastAsia="Cambria" w:hAnsi="Verdana" w:cs="Arial"/>
          <w:spacing w:val="-2"/>
          <w:sz w:val="20"/>
          <w:szCs w:val="20"/>
          <w:lang w:val="es-GT"/>
        </w:rPr>
        <w:t>c</w:t>
      </w:r>
      <w:r w:rsidRPr="002964A7">
        <w:rPr>
          <w:rFonts w:ascii="Verdana" w:eastAsia="Cambria" w:hAnsi="Verdana" w:cs="Arial"/>
          <w:spacing w:val="-2"/>
          <w:sz w:val="20"/>
          <w:szCs w:val="20"/>
          <w:lang w:val="es-GT"/>
        </w:rPr>
        <w:t xml:space="preserve">omunidad de Santa Bárbara apuntaban, en un primer momento, a que las víctimas desaparecidas habían sido detenidas por miembros del ejército y, posteriormente, a que sus restos se encontraban en la mina “Misteriosa” o “Vallarón”. Por tanto, el deber de debida diligencia en la investigación de estos hechos incluía un correcto manejo de la escena del crimen y en el levantamiento, reconocimiento e identificación de los cadáveres, a efectos de esclarecer lo ocurrido. </w:t>
      </w:r>
      <w:r w:rsidRPr="002964A7">
        <w:rPr>
          <w:rFonts w:ascii="Verdana" w:eastAsia="Cambria" w:hAnsi="Verdana" w:cs="Arial"/>
          <w:spacing w:val="-2"/>
          <w:sz w:val="20"/>
          <w:szCs w:val="20"/>
          <w:lang w:val="es-PR"/>
        </w:rPr>
        <w:t>L</w:t>
      </w:r>
      <w:r w:rsidRPr="002964A7">
        <w:rPr>
          <w:rFonts w:ascii="Verdana" w:hAnsi="Verdana" w:cs="Arial"/>
          <w:spacing w:val="-2"/>
          <w:sz w:val="20"/>
          <w:szCs w:val="20"/>
          <w:lang w:val="es-ES_tradnl"/>
        </w:rPr>
        <w:t>a</w:t>
      </w:r>
      <w:r w:rsidRPr="002964A7">
        <w:rPr>
          <w:rFonts w:ascii="Verdana" w:eastAsia="Cambria" w:hAnsi="Verdana" w:cs="Arial"/>
          <w:spacing w:val="-2"/>
          <w:sz w:val="20"/>
          <w:szCs w:val="20"/>
          <w:lang w:val="es-PR"/>
        </w:rPr>
        <w:t xml:space="preserve"> </w:t>
      </w:r>
      <w:r w:rsidRPr="002964A7">
        <w:rPr>
          <w:rFonts w:ascii="Verdana" w:hAnsi="Verdana" w:cs="Arial"/>
          <w:spacing w:val="-2"/>
          <w:sz w:val="20"/>
          <w:szCs w:val="20"/>
          <w:lang w:val="es-ES_tradnl"/>
        </w:rPr>
        <w:t>Corte ha establecido que la eficiente determinación de la verdad en el marco de la obligación de investigar una posible muerte, debe mostrarse desde las primeras diligencias con toda acuciosidad</w:t>
      </w:r>
      <w:r w:rsidRPr="002964A7">
        <w:rPr>
          <w:rFonts w:ascii="Verdana" w:hAnsi="Verdana" w:cs="Arial"/>
          <w:spacing w:val="-2"/>
          <w:sz w:val="20"/>
          <w:szCs w:val="20"/>
          <w:vertAlign w:val="superscript"/>
        </w:rPr>
        <w:footnoteReference w:id="255"/>
      </w:r>
      <w:r w:rsidRPr="002964A7">
        <w:rPr>
          <w:rFonts w:ascii="Verdana" w:hAnsi="Verdana" w:cs="Arial"/>
          <w:spacing w:val="-2"/>
          <w:sz w:val="20"/>
          <w:szCs w:val="20"/>
          <w:lang w:val="es-ES_tradnl"/>
        </w:rPr>
        <w:t xml:space="preserve">. Asimismo, </w:t>
      </w:r>
      <w:r w:rsidRPr="002964A7">
        <w:rPr>
          <w:rFonts w:ascii="Verdana" w:eastAsia="Cambria" w:hAnsi="Verdana" w:cs="Arial"/>
          <w:spacing w:val="-2"/>
          <w:sz w:val="20"/>
          <w:szCs w:val="20"/>
          <w:lang w:val="es-ES_tradnl"/>
        </w:rPr>
        <w:t xml:space="preserve">este Tribunal ha sustentado que, en el manejo de la escena del crimen y el tratamiento de los cadáveres de las víctimas, deben realizarse las </w:t>
      </w:r>
      <w:r w:rsidRPr="002964A7">
        <w:rPr>
          <w:rFonts w:ascii="Verdana" w:hAnsi="Verdana"/>
          <w:spacing w:val="-2"/>
          <w:sz w:val="20"/>
          <w:szCs w:val="20"/>
          <w:lang w:val="es-ES"/>
        </w:rPr>
        <w:t>diligencias</w:t>
      </w:r>
      <w:r w:rsidRPr="002964A7">
        <w:rPr>
          <w:rFonts w:ascii="Verdana" w:eastAsia="Cambria" w:hAnsi="Verdana" w:cs="Arial"/>
          <w:spacing w:val="-2"/>
          <w:sz w:val="20"/>
          <w:szCs w:val="20"/>
          <w:lang w:val="es-ES_tradnl"/>
        </w:rPr>
        <w:t xml:space="preserve"> mínimas e indispensables para la conservación de los elementos de prueba y evidencias que puedan contribuir al éxito de la investigación</w:t>
      </w:r>
      <w:r w:rsidRPr="002964A7">
        <w:rPr>
          <w:rFonts w:ascii="Verdana" w:hAnsi="Verdana" w:cs="Arial"/>
          <w:spacing w:val="-2"/>
          <w:sz w:val="20"/>
          <w:szCs w:val="20"/>
          <w:vertAlign w:val="superscript"/>
        </w:rPr>
        <w:footnoteReference w:id="256"/>
      </w:r>
      <w:r w:rsidRPr="002964A7">
        <w:rPr>
          <w:rFonts w:ascii="Verdana" w:eastAsia="Cambria" w:hAnsi="Verdana" w:cs="Arial"/>
          <w:spacing w:val="-2"/>
          <w:sz w:val="20"/>
          <w:szCs w:val="20"/>
          <w:lang w:val="es-ES_tradnl"/>
        </w:rPr>
        <w:t>, tales como la autopsia y el levantamiento del cadáver.</w:t>
      </w:r>
      <w:r w:rsidRPr="002964A7">
        <w:rPr>
          <w:rFonts w:ascii="Verdana" w:hAnsi="Verdana"/>
          <w:spacing w:val="-2"/>
          <w:sz w:val="20"/>
          <w:szCs w:val="20"/>
          <w:lang w:val="es-ES_tradnl"/>
        </w:rPr>
        <w:t xml:space="preserve"> Igualmente, se ha señalado que </w:t>
      </w:r>
      <w:r w:rsidRPr="002964A7">
        <w:rPr>
          <w:rFonts w:ascii="Verdana" w:hAnsi="Verdana"/>
          <w:bCs/>
          <w:spacing w:val="-2"/>
          <w:sz w:val="20"/>
          <w:szCs w:val="20"/>
          <w:lang w:val="es-ES_tradnl"/>
        </w:rPr>
        <w:t>la debida diligencia en la investigación de una muerte exige el mantenimiento de la cadena de custodia de todo elemento de prueba forense</w:t>
      </w:r>
      <w:r w:rsidRPr="002964A7">
        <w:rPr>
          <w:rFonts w:ascii="Verdana" w:hAnsi="Verdana"/>
          <w:bCs/>
          <w:spacing w:val="-2"/>
          <w:sz w:val="20"/>
          <w:szCs w:val="20"/>
          <w:vertAlign w:val="superscript"/>
          <w:lang w:val="es-ES_tradnl"/>
        </w:rPr>
        <w:footnoteReference w:id="257"/>
      </w:r>
      <w:r w:rsidRPr="002964A7">
        <w:rPr>
          <w:rFonts w:ascii="Verdana" w:hAnsi="Verdana"/>
          <w:bCs/>
          <w:spacing w:val="-2"/>
          <w:sz w:val="20"/>
          <w:szCs w:val="20"/>
          <w:lang w:val="es-ES_tradnl"/>
        </w:rPr>
        <w:t xml:space="preserve">. En este caso, es evidente que la pérdida de los restos recolectados el 18 de julio de 1991 en la mina “Misteriosa” o “Vallarón” no se ajusta a los estándares referidos. </w:t>
      </w:r>
    </w:p>
    <w:p w:rsidR="00C83100" w:rsidRPr="00F13F0B" w:rsidRDefault="00C83100" w:rsidP="00C83100">
      <w:pPr>
        <w:pStyle w:val="ListParagraph"/>
        <w:autoSpaceDE w:val="0"/>
        <w:autoSpaceDN w:val="0"/>
        <w:adjustRightInd w:val="0"/>
        <w:ind w:left="0" w:right="15"/>
        <w:jc w:val="both"/>
        <w:rPr>
          <w:rFonts w:ascii="Verdana" w:hAnsi="Verdana"/>
          <w:bCs/>
          <w:spacing w:val="-2"/>
          <w:sz w:val="20"/>
          <w:szCs w:val="20"/>
          <w:lang w:val="es-ES_tradnl"/>
        </w:rPr>
      </w:pPr>
    </w:p>
    <w:p w:rsidR="001154F9" w:rsidRPr="001154F9" w:rsidRDefault="00C83100" w:rsidP="001154F9">
      <w:pPr>
        <w:pStyle w:val="ListParagraph"/>
        <w:numPr>
          <w:ilvl w:val="0"/>
          <w:numId w:val="7"/>
        </w:numPr>
        <w:autoSpaceDE w:val="0"/>
        <w:autoSpaceDN w:val="0"/>
        <w:adjustRightInd w:val="0"/>
        <w:spacing w:after="0" w:line="240" w:lineRule="auto"/>
        <w:ind w:left="0" w:firstLine="0"/>
        <w:jc w:val="both"/>
        <w:rPr>
          <w:szCs w:val="20"/>
          <w:lang w:val="es-GT"/>
        </w:rPr>
      </w:pPr>
      <w:r w:rsidRPr="006E27AE">
        <w:rPr>
          <w:rFonts w:ascii="Verdana" w:hAnsi="Verdana"/>
          <w:spacing w:val="-2"/>
          <w:sz w:val="20"/>
          <w:szCs w:val="20"/>
          <w:lang w:val="es-ES_tradnl"/>
        </w:rPr>
        <w:t>En vista de lo anterior, la Corte considera que el Estado incurrió en una falta de debida diligencia en las primeras acciones de investigación.</w:t>
      </w:r>
    </w:p>
    <w:p w:rsidR="00C83100" w:rsidRPr="004C6DC2" w:rsidRDefault="00C83100" w:rsidP="001154F9">
      <w:pPr>
        <w:pStyle w:val="Heading3"/>
        <w:rPr>
          <w:lang w:val="es-GT"/>
        </w:rPr>
      </w:pPr>
      <w:bookmarkStart w:id="210" w:name="_Toc421864979"/>
      <w:bookmarkStart w:id="211" w:name="_Toc423102555"/>
      <w:bookmarkStart w:id="212" w:name="_Toc433387508"/>
      <w:r w:rsidRPr="00F13F0B">
        <w:rPr>
          <w:lang w:val="es-GT"/>
        </w:rPr>
        <w:t>B.2. Sobre la efectividad del recurso de hábeas corpus interpuesto</w:t>
      </w:r>
      <w:bookmarkEnd w:id="210"/>
      <w:bookmarkEnd w:id="211"/>
      <w:bookmarkEnd w:id="212"/>
      <w:r w:rsidRPr="00F13F0B">
        <w:rPr>
          <w:lang w:val="es-GT"/>
        </w:rPr>
        <w:t xml:space="preserve"> </w:t>
      </w:r>
    </w:p>
    <w:p w:rsidR="00C83100" w:rsidRPr="00EF247A" w:rsidRDefault="00C83100" w:rsidP="00C83100">
      <w:pPr>
        <w:spacing w:after="0" w:line="240" w:lineRule="auto"/>
        <w:rPr>
          <w:rFonts w:ascii="Verdana" w:hAnsi="Verdana"/>
          <w:spacing w:val="-2"/>
          <w:sz w:val="16"/>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PR"/>
        </w:rPr>
        <w:t xml:space="preserve">En el presente caso, la Comisión y los representantes han alegado la falta de efectividad del recurso de hábeas corpus interpuesto </w:t>
      </w:r>
      <w:r w:rsidRPr="002964A7">
        <w:rPr>
          <w:rFonts w:ascii="Verdana" w:hAnsi="Verdana"/>
          <w:spacing w:val="-2"/>
          <w:sz w:val="20"/>
          <w:szCs w:val="20"/>
        </w:rPr>
        <w:t xml:space="preserve">el día 18 de julio de 1991 por </w:t>
      </w:r>
      <w:r w:rsidRPr="002964A7">
        <w:rPr>
          <w:rFonts w:ascii="Verdana" w:hAnsi="Verdana"/>
          <w:spacing w:val="-2"/>
          <w:sz w:val="20"/>
          <w:szCs w:val="20"/>
          <w:lang w:val="es-PR"/>
        </w:rPr>
        <w:t xml:space="preserve">el señor </w:t>
      </w:r>
      <w:r w:rsidRPr="002964A7">
        <w:rPr>
          <w:rFonts w:ascii="Verdana" w:hAnsi="Verdana" w:cs="Verdana"/>
          <w:spacing w:val="-2"/>
          <w:sz w:val="20"/>
          <w:szCs w:val="20"/>
          <w:lang w:val="es-ES_tradnl"/>
        </w:rPr>
        <w:t>Alejandro</w:t>
      </w:r>
      <w:r w:rsidRPr="002964A7">
        <w:rPr>
          <w:rFonts w:ascii="Verdana" w:hAnsi="Verdana"/>
          <w:spacing w:val="-2"/>
          <w:sz w:val="20"/>
          <w:szCs w:val="20"/>
          <w:lang w:val="es-PR"/>
        </w:rPr>
        <w:t xml:space="preserve"> Huamaní Robles a favor de su hijo, Eli</w:t>
      </w:r>
      <w:r>
        <w:rPr>
          <w:rFonts w:ascii="Verdana" w:hAnsi="Verdana"/>
          <w:spacing w:val="-2"/>
          <w:sz w:val="20"/>
          <w:szCs w:val="20"/>
          <w:lang w:val="es-PR"/>
        </w:rPr>
        <w:t>h</w:t>
      </w:r>
      <w:r w:rsidRPr="002964A7">
        <w:rPr>
          <w:rFonts w:ascii="Verdana" w:hAnsi="Verdana"/>
          <w:spacing w:val="-2"/>
          <w:sz w:val="20"/>
          <w:szCs w:val="20"/>
          <w:lang w:val="es-PR"/>
        </w:rPr>
        <w:t>oref Huamaní Vergara</w:t>
      </w:r>
      <w:r>
        <w:rPr>
          <w:rFonts w:ascii="Verdana" w:hAnsi="Verdana"/>
          <w:spacing w:val="-2"/>
          <w:sz w:val="20"/>
          <w:szCs w:val="20"/>
          <w:lang w:val="es-PR"/>
        </w:rPr>
        <w:t>,</w:t>
      </w:r>
      <w:r w:rsidRPr="002964A7">
        <w:rPr>
          <w:rFonts w:ascii="Verdana" w:hAnsi="Verdana"/>
          <w:spacing w:val="-2"/>
          <w:sz w:val="20"/>
          <w:szCs w:val="20"/>
          <w:lang w:val="es-PR"/>
        </w:rPr>
        <w:t xml:space="preserve"> </w:t>
      </w:r>
      <w:r w:rsidRPr="002964A7">
        <w:rPr>
          <w:rFonts w:ascii="Verdana" w:hAnsi="Verdana"/>
          <w:spacing w:val="-2"/>
          <w:sz w:val="20"/>
          <w:szCs w:val="20"/>
        </w:rPr>
        <w:t xml:space="preserve">ante el Juzgado de Instrucción de </w:t>
      </w:r>
      <w:r w:rsidRPr="002964A7">
        <w:rPr>
          <w:rFonts w:ascii="Verdana" w:hAnsi="Verdana"/>
          <w:spacing w:val="-2"/>
          <w:sz w:val="20"/>
          <w:szCs w:val="20"/>
          <w:lang w:val="es-ES"/>
        </w:rPr>
        <w:t>Huancavelica</w:t>
      </w:r>
      <w:r w:rsidRPr="002964A7">
        <w:rPr>
          <w:rFonts w:ascii="Verdana" w:hAnsi="Verdana"/>
          <w:spacing w:val="-2"/>
          <w:sz w:val="20"/>
          <w:szCs w:val="20"/>
        </w:rPr>
        <w:t xml:space="preserve"> </w:t>
      </w:r>
      <w:r w:rsidRPr="002964A7">
        <w:rPr>
          <w:rFonts w:ascii="Verdana" w:hAnsi="Verdana"/>
          <w:spacing w:val="-2"/>
          <w:sz w:val="20"/>
          <w:szCs w:val="20"/>
          <w:lang w:val="es-PR"/>
        </w:rPr>
        <w:t>(</w:t>
      </w:r>
      <w:r w:rsidRPr="00597FE9">
        <w:rPr>
          <w:rFonts w:ascii="Verdana" w:hAnsi="Verdana"/>
          <w:i/>
          <w:spacing w:val="-2"/>
          <w:sz w:val="20"/>
          <w:szCs w:val="20"/>
          <w:lang w:val="es-PR"/>
        </w:rPr>
        <w:t xml:space="preserve">supra </w:t>
      </w:r>
      <w:r w:rsidRPr="002964A7">
        <w:rPr>
          <w:rFonts w:ascii="Verdana" w:hAnsi="Verdana"/>
          <w:spacing w:val="-2"/>
          <w:sz w:val="20"/>
          <w:szCs w:val="20"/>
          <w:lang w:val="es-PR"/>
        </w:rPr>
        <w:t xml:space="preserve">párr. </w:t>
      </w:r>
      <w:r>
        <w:rPr>
          <w:rFonts w:ascii="Verdana" w:hAnsi="Verdana"/>
          <w:spacing w:val="-2"/>
          <w:sz w:val="20"/>
          <w:szCs w:val="20"/>
          <w:lang w:val="es-PR"/>
        </w:rPr>
        <w:t>103</w:t>
      </w:r>
      <w:r w:rsidRPr="002964A7">
        <w:rPr>
          <w:rFonts w:ascii="Verdana" w:hAnsi="Verdana"/>
          <w:spacing w:val="-2"/>
          <w:sz w:val="20"/>
          <w:szCs w:val="20"/>
          <w:lang w:val="es-PR"/>
        </w:rPr>
        <w:t xml:space="preserve">). Además, alegaron que ese mismo día el señor Huamaní Robles interpuso un segundo recurso </w:t>
      </w:r>
      <w:r w:rsidRPr="002964A7">
        <w:rPr>
          <w:rFonts w:ascii="Verdana" w:hAnsi="Verdana"/>
          <w:spacing w:val="-2"/>
          <w:sz w:val="20"/>
          <w:szCs w:val="20"/>
          <w:lang w:val="es-GT"/>
        </w:rPr>
        <w:t xml:space="preserve">de hábeas corpus ante el Juzgado de Instrucción de Lircay que no tuvo respuesta alguna. Sin embargo, si bien en el expediente consta un escrito de 18 de julio de 1991 </w:t>
      </w:r>
      <w:r>
        <w:rPr>
          <w:rFonts w:ascii="Verdana" w:hAnsi="Verdana"/>
          <w:spacing w:val="-2"/>
          <w:sz w:val="20"/>
          <w:szCs w:val="20"/>
          <w:lang w:val="es-GT"/>
        </w:rPr>
        <w:t>elaborado por</w:t>
      </w:r>
      <w:r w:rsidRPr="002964A7">
        <w:rPr>
          <w:rFonts w:ascii="Verdana" w:hAnsi="Verdana"/>
          <w:spacing w:val="-2"/>
          <w:sz w:val="20"/>
          <w:szCs w:val="20"/>
          <w:lang w:val="es-GT"/>
        </w:rPr>
        <w:t xml:space="preserve"> el señor Alejandro Huamaní, no se desprende </w:t>
      </w:r>
      <w:r>
        <w:rPr>
          <w:rFonts w:ascii="Verdana" w:hAnsi="Verdana"/>
          <w:spacing w:val="-2"/>
          <w:sz w:val="20"/>
          <w:szCs w:val="20"/>
          <w:lang w:val="es-GT"/>
        </w:rPr>
        <w:t>que el mismo haya sido</w:t>
      </w:r>
      <w:r w:rsidRPr="002964A7">
        <w:rPr>
          <w:rFonts w:ascii="Verdana" w:hAnsi="Verdana"/>
          <w:spacing w:val="-2"/>
          <w:sz w:val="20"/>
          <w:szCs w:val="20"/>
          <w:lang w:val="es-GT"/>
        </w:rPr>
        <w:t xml:space="preserve"> efectivamente recibido en el Juzgado de Instrucción de </w:t>
      </w:r>
      <w:r w:rsidRPr="002964A7">
        <w:rPr>
          <w:rFonts w:ascii="Verdana" w:hAnsi="Verdana"/>
          <w:spacing w:val="-2"/>
          <w:sz w:val="20"/>
          <w:szCs w:val="20"/>
          <w:lang w:val="es-GT"/>
        </w:rPr>
        <w:lastRenderedPageBreak/>
        <w:t>Lircay</w:t>
      </w:r>
      <w:r w:rsidRPr="002964A7">
        <w:rPr>
          <w:rStyle w:val="FootnoteReference"/>
          <w:rFonts w:eastAsiaTheme="minorHAnsi"/>
          <w:spacing w:val="-2"/>
          <w:szCs w:val="20"/>
          <w:lang w:val="es-GT"/>
        </w:rPr>
        <w:footnoteReference w:id="258"/>
      </w:r>
      <w:r w:rsidRPr="002964A7">
        <w:rPr>
          <w:rFonts w:ascii="Verdana" w:hAnsi="Verdana"/>
          <w:spacing w:val="-2"/>
          <w:sz w:val="20"/>
          <w:szCs w:val="20"/>
          <w:lang w:val="es-GT"/>
        </w:rPr>
        <w:t>. Tampoco consta si tuvo respuesta. Por tanto, el Tribunal s</w:t>
      </w:r>
      <w:r w:rsidR="005E414F">
        <w:rPr>
          <w:rFonts w:ascii="Verdana" w:hAnsi="Verdana"/>
          <w:spacing w:val="-2"/>
          <w:sz w:val="20"/>
          <w:szCs w:val="20"/>
          <w:lang w:val="es-GT"/>
        </w:rPr>
        <w:t>o</w:t>
      </w:r>
      <w:r w:rsidRPr="002964A7">
        <w:rPr>
          <w:rFonts w:ascii="Verdana" w:hAnsi="Verdana"/>
          <w:spacing w:val="-2"/>
          <w:sz w:val="20"/>
          <w:szCs w:val="20"/>
          <w:lang w:val="es-GT"/>
        </w:rPr>
        <w:t xml:space="preserve">lo se pronunciará respecto del recurso interpuesto ante el Juzgado de Instrucción de Huancavelica. </w:t>
      </w:r>
    </w:p>
    <w:p w:rsidR="00C83100" w:rsidRPr="002964A7" w:rsidRDefault="00C83100" w:rsidP="00C83100">
      <w:pPr>
        <w:spacing w:after="0" w:line="240" w:lineRule="auto"/>
        <w:jc w:val="both"/>
        <w:rPr>
          <w:rFonts w:ascii="Verdana" w:hAnsi="Verdana"/>
          <w:spacing w:val="-2"/>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lang w:val="es-PR"/>
        </w:rPr>
        <w:t xml:space="preserve">La Corte recuerda que los artículos 7.6 y 25 de la Convención abarcan diferentes </w:t>
      </w:r>
      <w:r w:rsidRPr="002964A7">
        <w:rPr>
          <w:rFonts w:ascii="Verdana" w:hAnsi="Verdana" w:cs="Verdana"/>
          <w:spacing w:val="-2"/>
          <w:sz w:val="20"/>
          <w:szCs w:val="20"/>
          <w:lang w:val="es-ES_tradnl"/>
        </w:rPr>
        <w:t>ámbitos</w:t>
      </w:r>
      <w:r w:rsidRPr="002964A7">
        <w:rPr>
          <w:rFonts w:ascii="Verdana" w:hAnsi="Verdana"/>
          <w:spacing w:val="-2"/>
          <w:sz w:val="20"/>
          <w:szCs w:val="20"/>
          <w:lang w:val="es-PR"/>
        </w:rPr>
        <w:t xml:space="preserve"> de protección. El artículo 7.6 de la Convención</w:t>
      </w:r>
      <w:r w:rsidRPr="002964A7">
        <w:rPr>
          <w:rStyle w:val="FootnoteReference"/>
          <w:rFonts w:eastAsia="Batang"/>
          <w:spacing w:val="-2"/>
          <w:szCs w:val="20"/>
        </w:rPr>
        <w:footnoteReference w:id="259"/>
      </w:r>
      <w:r w:rsidRPr="002964A7">
        <w:rPr>
          <w:rFonts w:ascii="Verdana" w:hAnsi="Verdana"/>
          <w:spacing w:val="-2"/>
          <w:sz w:val="20"/>
          <w:szCs w:val="20"/>
          <w:lang w:val="es-PR"/>
        </w:rPr>
        <w:t xml:space="preserve"> tiene un contenido jurídico propio </w:t>
      </w:r>
      <w:r w:rsidRPr="002964A7">
        <w:rPr>
          <w:rFonts w:ascii="Verdana" w:hAnsi="Verdana" w:cs="Verdana"/>
          <w:spacing w:val="-2"/>
          <w:sz w:val="20"/>
          <w:szCs w:val="20"/>
          <w:lang w:val="es-PR"/>
        </w:rPr>
        <w:t xml:space="preserve">que consiste en </w:t>
      </w:r>
      <w:r w:rsidRPr="002964A7">
        <w:rPr>
          <w:rFonts w:ascii="Verdana" w:hAnsi="Verdana"/>
          <w:spacing w:val="-2"/>
          <w:sz w:val="20"/>
          <w:szCs w:val="20"/>
          <w:lang w:val="es-PR"/>
        </w:rPr>
        <w:t xml:space="preserve">tutelar de manera directa la libertad personal o física, por medio del mandato judicial dirigido a las autoridades correspondientes a fin de que se lleve al detenido a la presencia del juez para que </w:t>
      </w:r>
      <w:r w:rsidR="00335E16">
        <w:rPr>
          <w:rFonts w:ascii="Verdana" w:hAnsi="Verdana"/>
          <w:spacing w:val="-2"/>
          <w:sz w:val="20"/>
          <w:szCs w:val="20"/>
          <w:lang w:val="es-PR"/>
        </w:rPr>
        <w:t>e</w:t>
      </w:r>
      <w:r w:rsidRPr="002964A7">
        <w:rPr>
          <w:rFonts w:ascii="Verdana" w:hAnsi="Verdana"/>
          <w:spacing w:val="-2"/>
          <w:sz w:val="20"/>
          <w:szCs w:val="20"/>
          <w:lang w:val="es-PR"/>
        </w:rPr>
        <w:t>ste pueda examinar la legalidad de la privación y, en su caso, decretar su libertad</w:t>
      </w:r>
      <w:r w:rsidRPr="002964A7">
        <w:rPr>
          <w:rFonts w:ascii="Verdana" w:hAnsi="Verdana"/>
          <w:spacing w:val="-2"/>
          <w:sz w:val="20"/>
          <w:szCs w:val="20"/>
          <w:vertAlign w:val="superscript"/>
        </w:rPr>
        <w:footnoteReference w:id="260"/>
      </w:r>
      <w:r w:rsidRPr="002964A7">
        <w:rPr>
          <w:rFonts w:ascii="Verdana" w:hAnsi="Verdana"/>
          <w:spacing w:val="-2"/>
          <w:sz w:val="20"/>
          <w:szCs w:val="20"/>
          <w:lang w:val="es-PR"/>
        </w:rPr>
        <w:t>. Dado que el principio de efectividad (</w:t>
      </w:r>
      <w:r w:rsidRPr="002964A7">
        <w:rPr>
          <w:rFonts w:ascii="Verdana" w:hAnsi="Verdana"/>
          <w:i/>
          <w:spacing w:val="-2"/>
          <w:sz w:val="20"/>
          <w:szCs w:val="20"/>
          <w:lang w:val="es-PR"/>
        </w:rPr>
        <w:t>effet utile</w:t>
      </w:r>
      <w:r w:rsidRPr="002964A7">
        <w:rPr>
          <w:rFonts w:ascii="Verdana" w:hAnsi="Verdana"/>
          <w:spacing w:val="-2"/>
          <w:sz w:val="20"/>
          <w:szCs w:val="20"/>
          <w:lang w:val="es-PR"/>
        </w:rPr>
        <w:t>) es transversal a la protección debida de todos los derechos reconocidos en ese instrumento, la Corte considera</w:t>
      </w:r>
      <w:r>
        <w:rPr>
          <w:rFonts w:ascii="Verdana" w:hAnsi="Verdana"/>
          <w:spacing w:val="-2"/>
          <w:sz w:val="20"/>
          <w:szCs w:val="20"/>
          <w:lang w:val="es-PR"/>
        </w:rPr>
        <w:t>,</w:t>
      </w:r>
      <w:r w:rsidRPr="002964A7">
        <w:rPr>
          <w:rFonts w:ascii="Verdana" w:hAnsi="Verdana"/>
          <w:spacing w:val="-2"/>
          <w:sz w:val="20"/>
          <w:szCs w:val="20"/>
          <w:lang w:val="es-PR"/>
        </w:rPr>
        <w:t xml:space="preserve"> tal como lo ha hecho en otras oportunidades</w:t>
      </w:r>
      <w:r w:rsidRPr="002964A7">
        <w:rPr>
          <w:rFonts w:ascii="Verdana" w:hAnsi="Verdana" w:cs="Verdana"/>
          <w:spacing w:val="-2"/>
          <w:sz w:val="20"/>
          <w:szCs w:val="20"/>
          <w:vertAlign w:val="superscript"/>
        </w:rPr>
        <w:footnoteReference w:id="261"/>
      </w:r>
      <w:r>
        <w:rPr>
          <w:rFonts w:ascii="Verdana" w:hAnsi="Verdana"/>
          <w:spacing w:val="-2"/>
          <w:sz w:val="20"/>
          <w:szCs w:val="20"/>
          <w:lang w:val="es-PR"/>
        </w:rPr>
        <w:t>,</w:t>
      </w:r>
      <w:r w:rsidRPr="002964A7">
        <w:rPr>
          <w:rFonts w:ascii="Verdana" w:hAnsi="Verdana"/>
          <w:spacing w:val="-2"/>
          <w:sz w:val="20"/>
          <w:szCs w:val="20"/>
          <w:lang w:val="es-PR"/>
        </w:rPr>
        <w:t xml:space="preserve"> que en aplicación del principio </w:t>
      </w:r>
      <w:r w:rsidRPr="002964A7">
        <w:rPr>
          <w:rFonts w:ascii="Verdana" w:hAnsi="Verdana"/>
          <w:i/>
          <w:iCs/>
          <w:spacing w:val="-2"/>
          <w:sz w:val="20"/>
          <w:szCs w:val="20"/>
          <w:lang w:val="es-PR"/>
        </w:rPr>
        <w:t>iura novit curia</w:t>
      </w:r>
      <w:r w:rsidRPr="002964A7">
        <w:rPr>
          <w:rFonts w:ascii="Verdana" w:hAnsi="Verdana"/>
          <w:spacing w:val="-2"/>
          <w:sz w:val="20"/>
          <w:szCs w:val="20"/>
          <w:lang w:val="es-PR"/>
        </w:rPr>
        <w:t>, del cual se ha valido reiteradamente la jurisprudencia internacional en el sentido de que el juzgador posee la facultad, e inclusive el deber, de aplicar las disposiciones jurídicas pertinentes en una causa, aun cuando las partes no las invoquen expresamente</w:t>
      </w:r>
      <w:r w:rsidRPr="002964A7">
        <w:rPr>
          <w:rFonts w:ascii="Verdana" w:hAnsi="Verdana"/>
          <w:spacing w:val="-2"/>
          <w:sz w:val="20"/>
          <w:szCs w:val="20"/>
          <w:vertAlign w:val="superscript"/>
        </w:rPr>
        <w:footnoteReference w:id="262"/>
      </w:r>
      <w:r w:rsidRPr="002964A7">
        <w:rPr>
          <w:rFonts w:ascii="Verdana" w:hAnsi="Verdana"/>
          <w:spacing w:val="-2"/>
          <w:sz w:val="20"/>
          <w:szCs w:val="20"/>
          <w:lang w:val="es-PR"/>
        </w:rPr>
        <w:t>, corresponde analizar los alegatos relacionados con la efectividad de las acciones de hábeas corpus en relación con la disposición citada y no con el artículo 25 de la Convención, como fue alegado por los representantes y la Comisión</w:t>
      </w:r>
      <w:r w:rsidRPr="002964A7">
        <w:rPr>
          <w:rFonts w:ascii="Verdana" w:hAnsi="Verdana" w:cs="Verdana"/>
          <w:spacing w:val="-2"/>
          <w:sz w:val="20"/>
          <w:szCs w:val="20"/>
          <w:lang w:val="es-PR"/>
        </w:rPr>
        <w:t>.</w:t>
      </w:r>
      <w:r w:rsidRPr="002964A7">
        <w:rPr>
          <w:rStyle w:val="FootnoteReference"/>
          <w:rFonts w:eastAsiaTheme="minorHAnsi" w:cs="Verdana"/>
          <w:spacing w:val="-2"/>
          <w:szCs w:val="20"/>
        </w:rPr>
        <w:footnoteReference w:id="263"/>
      </w:r>
    </w:p>
    <w:p w:rsidR="00C83100" w:rsidRPr="007A7743" w:rsidRDefault="00C83100" w:rsidP="00C83100">
      <w:pPr>
        <w:pStyle w:val="ListParagraph"/>
        <w:spacing w:after="0"/>
        <w:ind w:left="0"/>
        <w:rPr>
          <w:rFonts w:ascii="Verdana" w:hAnsi="Verdana"/>
          <w:spacing w:val="-2"/>
          <w:sz w:val="16"/>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PR"/>
        </w:rPr>
        <w:t xml:space="preserve">La Corte ha considerado que el recurso de hábeas corpus o exhibición personal representa el </w:t>
      </w:r>
      <w:r w:rsidRPr="002964A7">
        <w:rPr>
          <w:rFonts w:ascii="Verdana" w:hAnsi="Verdana" w:cs="Verdana"/>
          <w:spacing w:val="-2"/>
          <w:sz w:val="20"/>
          <w:szCs w:val="20"/>
          <w:lang w:val="es-ES_tradnl"/>
        </w:rPr>
        <w:t>medio</w:t>
      </w:r>
      <w:r w:rsidRPr="002964A7">
        <w:rPr>
          <w:rFonts w:ascii="Verdana" w:hAnsi="Verdana"/>
          <w:spacing w:val="-2"/>
          <w:sz w:val="20"/>
          <w:szCs w:val="20"/>
          <w:lang w:val="es-PR"/>
        </w:rPr>
        <w:t xml:space="preserve"> idóneo para garantizar la libertad, controlar el respeto a la vida e integridad de la persona, e impedir su desaparición o la indeterminación de su lugar de detención</w:t>
      </w:r>
      <w:r w:rsidRPr="002964A7">
        <w:rPr>
          <w:rFonts w:ascii="Verdana" w:hAnsi="Verdana"/>
          <w:spacing w:val="-2"/>
          <w:sz w:val="20"/>
          <w:szCs w:val="20"/>
          <w:vertAlign w:val="superscript"/>
        </w:rPr>
        <w:footnoteReference w:id="264"/>
      </w:r>
      <w:r w:rsidRPr="002964A7">
        <w:rPr>
          <w:rFonts w:ascii="Verdana" w:hAnsi="Verdana"/>
          <w:spacing w:val="-2"/>
          <w:sz w:val="20"/>
          <w:szCs w:val="20"/>
          <w:lang w:val="es-PR"/>
        </w:rPr>
        <w:t>. Al respecto, la jurisprudencia de la Corte ya ha referido que estos recursos no solo deben existir formalmente en la legislación sino que deben ser efectivos</w:t>
      </w:r>
      <w:r w:rsidRPr="002964A7">
        <w:rPr>
          <w:rStyle w:val="FootnoteReference"/>
          <w:rFonts w:eastAsia="Batang"/>
          <w:spacing w:val="-2"/>
          <w:szCs w:val="20"/>
        </w:rPr>
        <w:footnoteReference w:id="265"/>
      </w:r>
      <w:r w:rsidRPr="002964A7">
        <w:rPr>
          <w:rFonts w:ascii="Verdana" w:hAnsi="Verdana"/>
          <w:spacing w:val="-2"/>
          <w:sz w:val="20"/>
          <w:szCs w:val="20"/>
          <w:lang w:val="es-PR"/>
        </w:rPr>
        <w:t xml:space="preserve">. </w:t>
      </w:r>
      <w:r w:rsidRPr="002964A7">
        <w:rPr>
          <w:rFonts w:ascii="Verdana" w:hAnsi="Verdana"/>
          <w:spacing w:val="-2"/>
          <w:sz w:val="20"/>
          <w:szCs w:val="20"/>
          <w:lang w:val="es-GT"/>
        </w:rPr>
        <w:t>La Corte además ha precisado que para ser efectivo, el recurso de hábeas corpus debe</w:t>
      </w:r>
      <w:r w:rsidRPr="002964A7">
        <w:rPr>
          <w:rFonts w:ascii="Verdana" w:eastAsia="Batang" w:hAnsi="Verdana"/>
          <w:spacing w:val="-2"/>
          <w:sz w:val="20"/>
          <w:szCs w:val="20"/>
        </w:rPr>
        <w:t xml:space="preserve"> </w:t>
      </w:r>
      <w:r w:rsidRPr="002964A7">
        <w:rPr>
          <w:rFonts w:ascii="Verdana" w:hAnsi="Verdana"/>
          <w:spacing w:val="-2"/>
          <w:sz w:val="20"/>
          <w:szCs w:val="20"/>
        </w:rPr>
        <w:t>cumplir con el objetivo de obtener sin demora una decisión sobre la legalidad del arresto o de la detención</w:t>
      </w:r>
      <w:r w:rsidRPr="002964A7">
        <w:rPr>
          <w:rFonts w:ascii="Verdana" w:hAnsi="Verdana"/>
          <w:spacing w:val="-2"/>
          <w:sz w:val="20"/>
          <w:szCs w:val="20"/>
          <w:vertAlign w:val="superscript"/>
        </w:rPr>
        <w:footnoteReference w:id="266"/>
      </w:r>
      <w:r w:rsidRPr="002964A7">
        <w:rPr>
          <w:rFonts w:ascii="Verdana" w:hAnsi="Verdana"/>
          <w:spacing w:val="-2"/>
          <w:sz w:val="20"/>
          <w:szCs w:val="20"/>
        </w:rPr>
        <w:t>.</w:t>
      </w:r>
    </w:p>
    <w:p w:rsidR="00C83100" w:rsidRPr="007A7743" w:rsidRDefault="00C83100" w:rsidP="00C83100">
      <w:pPr>
        <w:pStyle w:val="ListParagraph"/>
        <w:spacing w:after="0"/>
        <w:ind w:left="0"/>
        <w:rPr>
          <w:rFonts w:ascii="Verdana" w:hAnsi="Verdana"/>
          <w:spacing w:val="-2"/>
          <w:sz w:val="16"/>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964A7">
        <w:rPr>
          <w:rFonts w:ascii="Verdana" w:hAnsi="Verdana"/>
          <w:spacing w:val="-2"/>
          <w:sz w:val="20"/>
          <w:szCs w:val="20"/>
        </w:rPr>
        <w:t>En el presente caso, mediante resolución de 22 de julio de 1991, es decir, cuatro días luego de interpuesto el recurso de hábeas corpus por parte del señor Alejandro Huamaní, el Juzgado de Instrucción de Huancavelica declaró improcedente la petición ya que, “</w:t>
      </w:r>
      <w:r w:rsidRPr="002964A7">
        <w:rPr>
          <w:rFonts w:ascii="Verdana" w:hAnsi="Verdana" w:cs="Verdana"/>
          <w:spacing w:val="-2"/>
          <w:sz w:val="20"/>
          <w:szCs w:val="20"/>
          <w:lang w:val="es-ES_tradnl"/>
        </w:rPr>
        <w:t>de</w:t>
      </w:r>
      <w:r w:rsidRPr="002964A7">
        <w:rPr>
          <w:rFonts w:ascii="Verdana" w:hAnsi="Verdana"/>
          <w:spacing w:val="-2"/>
          <w:sz w:val="20"/>
          <w:szCs w:val="20"/>
        </w:rPr>
        <w:t xml:space="preserve"> las constataciones efectuadas y de las declaraciones recibidas de las dependencias policiales de la Policía de Seguridad, Policía General, Policía Técnica y de la Base Militar y Comando Político </w:t>
      </w:r>
      <w:r w:rsidRPr="002964A7">
        <w:rPr>
          <w:rFonts w:ascii="Verdana" w:hAnsi="Verdana"/>
          <w:spacing w:val="-2"/>
          <w:sz w:val="20"/>
          <w:szCs w:val="20"/>
          <w:lang w:val="es-PR"/>
        </w:rPr>
        <w:t>Militar</w:t>
      </w:r>
      <w:r w:rsidRPr="002964A7">
        <w:rPr>
          <w:rFonts w:ascii="Verdana" w:hAnsi="Verdana"/>
          <w:spacing w:val="-2"/>
          <w:sz w:val="20"/>
          <w:szCs w:val="20"/>
        </w:rPr>
        <w:t xml:space="preserve"> no se ha comprobado la detención del ciudadano </w:t>
      </w:r>
      <w:r w:rsidRPr="007E7652">
        <w:rPr>
          <w:rFonts w:ascii="Verdana" w:hAnsi="Verdana"/>
          <w:spacing w:val="-2"/>
          <w:sz w:val="20"/>
          <w:szCs w:val="20"/>
          <w:lang w:val="es-PR"/>
        </w:rPr>
        <w:t>Elihoref Huamaní Vergara</w:t>
      </w:r>
      <w:r>
        <w:rPr>
          <w:rFonts w:ascii="Verdana" w:hAnsi="Verdana"/>
          <w:spacing w:val="-2"/>
          <w:sz w:val="20"/>
          <w:szCs w:val="20"/>
          <w:lang w:val="es-PR"/>
        </w:rPr>
        <w:t>[.]</w:t>
      </w:r>
      <w:r>
        <w:rPr>
          <w:rFonts w:ascii="Verdana" w:hAnsi="Verdana"/>
          <w:spacing w:val="-2"/>
          <w:sz w:val="20"/>
          <w:szCs w:val="20"/>
        </w:rPr>
        <w:t xml:space="preserve"> </w:t>
      </w:r>
      <w:r>
        <w:rPr>
          <w:rFonts w:ascii="Verdana" w:hAnsi="Verdana"/>
          <w:spacing w:val="-2"/>
          <w:sz w:val="20"/>
          <w:szCs w:val="20"/>
        </w:rPr>
        <w:lastRenderedPageBreak/>
        <w:t>[P]</w:t>
      </w:r>
      <w:r w:rsidRPr="002964A7">
        <w:rPr>
          <w:rFonts w:ascii="Verdana" w:hAnsi="Verdana"/>
          <w:spacing w:val="-2"/>
          <w:sz w:val="20"/>
          <w:szCs w:val="20"/>
        </w:rPr>
        <w:t>or tanto los hechos que se glosan en la demanda no están acreditados que realmente haya [</w:t>
      </w:r>
      <w:r w:rsidRPr="002964A7">
        <w:rPr>
          <w:rFonts w:ascii="Verdana" w:hAnsi="Verdana"/>
          <w:i/>
          <w:spacing w:val="-2"/>
          <w:sz w:val="20"/>
          <w:szCs w:val="20"/>
        </w:rPr>
        <w:t>sic</w:t>
      </w:r>
      <w:r w:rsidRPr="002964A7">
        <w:rPr>
          <w:rFonts w:ascii="Verdana" w:hAnsi="Verdana"/>
          <w:spacing w:val="-2"/>
          <w:sz w:val="20"/>
          <w:szCs w:val="20"/>
        </w:rPr>
        <w:t>] ocurrido, por lo que la demanda viene sin base fáctica concreta”</w:t>
      </w:r>
      <w:r w:rsidRPr="002964A7">
        <w:rPr>
          <w:rStyle w:val="FootnoteReference"/>
          <w:rFonts w:eastAsiaTheme="minorHAnsi"/>
          <w:spacing w:val="-2"/>
          <w:szCs w:val="20"/>
        </w:rPr>
        <w:footnoteReference w:id="267"/>
      </w:r>
      <w:r w:rsidRPr="002964A7">
        <w:rPr>
          <w:rFonts w:ascii="Verdana" w:hAnsi="Verdana"/>
          <w:spacing w:val="-2"/>
          <w:sz w:val="20"/>
          <w:szCs w:val="20"/>
        </w:rPr>
        <w:t xml:space="preserve">. </w:t>
      </w:r>
    </w:p>
    <w:p w:rsidR="00C83100" w:rsidRPr="00CB2948" w:rsidRDefault="00C83100" w:rsidP="00C83100">
      <w:pPr>
        <w:pStyle w:val="ListParagraph"/>
        <w:autoSpaceDE w:val="0"/>
        <w:autoSpaceDN w:val="0"/>
        <w:adjustRightInd w:val="0"/>
        <w:spacing w:after="0" w:line="240" w:lineRule="auto"/>
        <w:ind w:left="0"/>
        <w:jc w:val="both"/>
        <w:rPr>
          <w:rFonts w:ascii="Verdana" w:hAnsi="Verdana"/>
          <w:spacing w:val="-2"/>
          <w:sz w:val="20"/>
          <w:szCs w:val="20"/>
          <w:lang w:val="es-ES"/>
        </w:rPr>
      </w:pPr>
    </w:p>
    <w:p w:rsidR="00C83100" w:rsidRPr="00891B81"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
        </w:rPr>
      </w:pPr>
      <w:r>
        <w:rPr>
          <w:rFonts w:ascii="Verdana" w:hAnsi="Verdana"/>
          <w:spacing w:val="-2"/>
          <w:sz w:val="20"/>
          <w:szCs w:val="20"/>
        </w:rPr>
        <w:t>Al respecto</w:t>
      </w:r>
      <w:r w:rsidRPr="002964A7">
        <w:rPr>
          <w:rFonts w:ascii="Verdana" w:hAnsi="Verdana"/>
          <w:spacing w:val="-2"/>
          <w:sz w:val="20"/>
          <w:szCs w:val="20"/>
        </w:rPr>
        <w:t xml:space="preserve">, </w:t>
      </w:r>
      <w:r w:rsidRPr="002964A7">
        <w:rPr>
          <w:rFonts w:ascii="Verdana" w:hAnsi="Verdana"/>
          <w:spacing w:val="-2"/>
          <w:sz w:val="20"/>
          <w:szCs w:val="20"/>
          <w:lang w:val="es-PR"/>
        </w:rPr>
        <w:t>la</w:t>
      </w:r>
      <w:r w:rsidRPr="002964A7">
        <w:rPr>
          <w:rFonts w:ascii="Verdana" w:hAnsi="Verdana"/>
          <w:spacing w:val="-2"/>
          <w:sz w:val="20"/>
          <w:szCs w:val="20"/>
        </w:rPr>
        <w:t xml:space="preserve"> Corte recuerda que uno de los elementos característicos de una desaparición forzada es </w:t>
      </w:r>
      <w:r w:rsidRPr="002964A7">
        <w:rPr>
          <w:rFonts w:ascii="Verdana" w:hAnsi="Verdana"/>
          <w:spacing w:val="-2"/>
          <w:sz w:val="20"/>
          <w:szCs w:val="20"/>
          <w:lang w:val="es-PR"/>
        </w:rPr>
        <w:t>precisamente</w:t>
      </w:r>
      <w:r w:rsidRPr="002964A7">
        <w:rPr>
          <w:rFonts w:ascii="Verdana" w:hAnsi="Verdana"/>
          <w:spacing w:val="-2"/>
          <w:sz w:val="20"/>
          <w:szCs w:val="20"/>
        </w:rPr>
        <w:t xml:space="preserve"> “la negativa de reconocer la detención y de revelar la suerte o el paradero de la persona interesada”</w:t>
      </w:r>
      <w:r w:rsidRPr="002964A7">
        <w:rPr>
          <w:rStyle w:val="FootnoteReference"/>
          <w:rFonts w:eastAsiaTheme="minorHAnsi"/>
          <w:spacing w:val="-2"/>
          <w:szCs w:val="20"/>
        </w:rPr>
        <w:footnoteReference w:id="268"/>
      </w:r>
      <w:r w:rsidRPr="002964A7">
        <w:rPr>
          <w:rFonts w:ascii="Verdana" w:hAnsi="Verdana"/>
          <w:spacing w:val="-2"/>
          <w:sz w:val="20"/>
          <w:szCs w:val="20"/>
        </w:rPr>
        <w:t>, por lo que no resulta razonable o diligente ni constituye un recurso efectivo la mera verificación formal con los registros oficiales de detenidos o la aceptación como verdadera de la negación de la detención por los presuntos responsables sin una verificación objetiva, imparcial e independiente de la misma</w:t>
      </w:r>
      <w:r w:rsidRPr="002964A7">
        <w:rPr>
          <w:rStyle w:val="FootnoteReference"/>
          <w:rFonts w:eastAsiaTheme="minorHAnsi"/>
          <w:spacing w:val="-2"/>
          <w:szCs w:val="20"/>
        </w:rPr>
        <w:footnoteReference w:id="269"/>
      </w:r>
      <w:r w:rsidRPr="002964A7">
        <w:rPr>
          <w:rFonts w:ascii="Verdana" w:hAnsi="Verdana"/>
          <w:spacing w:val="-2"/>
          <w:sz w:val="20"/>
          <w:szCs w:val="20"/>
        </w:rPr>
        <w:t>. En este caso, no constan en la resolución mencionada las “constancias” que habrían sido efectuadas por parte del Juzgado de Instrucción de Huancavelica, más allá de las declaraciones recibidas por parte de miembros del ejército y de la Policía, a fin de verificar la existencia de la detención denunciada.</w:t>
      </w:r>
      <w:r>
        <w:rPr>
          <w:rFonts w:ascii="Verdana" w:hAnsi="Verdana"/>
          <w:spacing w:val="-2"/>
          <w:sz w:val="20"/>
          <w:szCs w:val="20"/>
        </w:rPr>
        <w:t xml:space="preserve"> Aunado a ello, la Corte nota que e</w:t>
      </w:r>
      <w:r w:rsidRPr="00172CCD">
        <w:rPr>
          <w:rFonts w:ascii="Verdana" w:hAnsi="Verdana"/>
          <w:spacing w:val="-2"/>
          <w:sz w:val="20"/>
          <w:szCs w:val="20"/>
          <w:lang w:val="es-PR"/>
        </w:rPr>
        <w:t>l Juez Instructor</w:t>
      </w:r>
      <w:r>
        <w:rPr>
          <w:rFonts w:ascii="Verdana" w:hAnsi="Verdana"/>
          <w:spacing w:val="-2"/>
          <w:sz w:val="20"/>
          <w:szCs w:val="20"/>
          <w:lang w:val="es-PR"/>
        </w:rPr>
        <w:t xml:space="preserve"> quien</w:t>
      </w:r>
      <w:r w:rsidRPr="008E0303">
        <w:rPr>
          <w:rFonts w:ascii="Verdana" w:hAnsi="Verdana"/>
          <w:spacing w:val="-2"/>
          <w:sz w:val="20"/>
          <w:szCs w:val="20"/>
          <w:lang w:val="es-PR"/>
        </w:rPr>
        <w:t xml:space="preserve"> rechazó la petición había asistido al levantamiento de cadáveres en la mina “Misteriosa” o “Vallarón” realizado cuatro días antes, el</w:t>
      </w:r>
      <w:r w:rsidRPr="00172CCD">
        <w:rPr>
          <w:rFonts w:ascii="Verdana" w:hAnsi="Verdana"/>
          <w:spacing w:val="-2"/>
          <w:sz w:val="20"/>
          <w:szCs w:val="20"/>
          <w:lang w:val="es-PR"/>
        </w:rPr>
        <w:t xml:space="preserve"> 18 de julio de 1991</w:t>
      </w:r>
      <w:r w:rsidRPr="002964A7">
        <w:rPr>
          <w:rStyle w:val="FootnoteReference"/>
          <w:rFonts w:eastAsiaTheme="minorHAnsi"/>
          <w:spacing w:val="-2"/>
          <w:szCs w:val="20"/>
        </w:rPr>
        <w:footnoteReference w:id="270"/>
      </w:r>
      <w:r w:rsidRPr="00172CCD">
        <w:rPr>
          <w:rFonts w:ascii="Verdana" w:hAnsi="Verdana"/>
          <w:spacing w:val="-2"/>
          <w:sz w:val="20"/>
          <w:szCs w:val="20"/>
          <w:lang w:val="es-PR"/>
        </w:rPr>
        <w:t>. Si bien esta diligencia de levantamiento se realizó con base en la denuncia por parte del “Presidente y Fiscal de la Comunidad de San</w:t>
      </w:r>
      <w:r w:rsidRPr="008E0303">
        <w:rPr>
          <w:rFonts w:ascii="Verdana" w:hAnsi="Verdana"/>
          <w:spacing w:val="-2"/>
          <w:sz w:val="20"/>
          <w:szCs w:val="20"/>
          <w:lang w:val="es-PR"/>
        </w:rPr>
        <w:t>ta Bárbara ante el Ministerio Público”</w:t>
      </w:r>
      <w:r>
        <w:rPr>
          <w:rFonts w:ascii="Verdana" w:hAnsi="Verdana"/>
          <w:spacing w:val="-2"/>
          <w:sz w:val="20"/>
          <w:szCs w:val="20"/>
          <w:lang w:val="es-PR"/>
        </w:rPr>
        <w:t xml:space="preserve"> que </w:t>
      </w:r>
      <w:r w:rsidRPr="008E0303">
        <w:rPr>
          <w:rFonts w:ascii="Verdana" w:hAnsi="Verdana"/>
          <w:spacing w:val="-2"/>
          <w:sz w:val="20"/>
          <w:szCs w:val="20"/>
          <w:lang w:val="es-PR"/>
        </w:rPr>
        <w:t xml:space="preserve">se refirió únicamente a 14 víctimas, sin mencionar a Elihoref Huamaní Vergara, también es cierto que tanto </w:t>
      </w:r>
      <w:r>
        <w:rPr>
          <w:rFonts w:ascii="Verdana" w:hAnsi="Verdana"/>
          <w:spacing w:val="-2"/>
          <w:sz w:val="20"/>
          <w:szCs w:val="20"/>
          <w:lang w:val="es-PR"/>
        </w:rPr>
        <w:t>la</w:t>
      </w:r>
      <w:r w:rsidRPr="008E0303">
        <w:rPr>
          <w:rFonts w:ascii="Verdana" w:hAnsi="Verdana"/>
          <w:spacing w:val="-2"/>
          <w:sz w:val="20"/>
          <w:szCs w:val="20"/>
          <w:lang w:val="es-PR"/>
        </w:rPr>
        <w:t xml:space="preserve"> denuncia</w:t>
      </w:r>
      <w:r>
        <w:rPr>
          <w:rFonts w:ascii="Verdana" w:hAnsi="Verdana"/>
          <w:spacing w:val="-2"/>
          <w:sz w:val="20"/>
          <w:szCs w:val="20"/>
          <w:lang w:val="es-PR"/>
        </w:rPr>
        <w:t xml:space="preserve"> mencionada</w:t>
      </w:r>
      <w:r w:rsidRPr="008E0303">
        <w:rPr>
          <w:rFonts w:ascii="Verdana" w:hAnsi="Verdana"/>
          <w:spacing w:val="-2"/>
          <w:sz w:val="20"/>
          <w:szCs w:val="20"/>
          <w:lang w:val="es-PR"/>
        </w:rPr>
        <w:t xml:space="preserve"> como la petición de hábeas c</w:t>
      </w:r>
      <w:r>
        <w:rPr>
          <w:rFonts w:ascii="Verdana" w:hAnsi="Verdana"/>
          <w:spacing w:val="-2"/>
          <w:sz w:val="20"/>
          <w:szCs w:val="20"/>
          <w:lang w:val="es-PR"/>
        </w:rPr>
        <w:t>orpus interpuesta</w:t>
      </w:r>
      <w:r w:rsidRPr="00172CCD">
        <w:rPr>
          <w:rFonts w:ascii="Verdana" w:hAnsi="Verdana"/>
          <w:spacing w:val="-2"/>
          <w:sz w:val="20"/>
          <w:szCs w:val="20"/>
          <w:lang w:val="es-PR"/>
        </w:rPr>
        <w:t xml:space="preserve"> se refirieron a la detención</w:t>
      </w:r>
      <w:r>
        <w:rPr>
          <w:rFonts w:ascii="Verdana" w:hAnsi="Verdana"/>
          <w:spacing w:val="-2"/>
          <w:sz w:val="20"/>
          <w:szCs w:val="20"/>
          <w:lang w:val="es-PR"/>
        </w:rPr>
        <w:t xml:space="preserve"> y </w:t>
      </w:r>
      <w:r w:rsidRPr="00172CCD">
        <w:rPr>
          <w:rFonts w:ascii="Verdana" w:hAnsi="Verdana"/>
          <w:spacing w:val="-2"/>
          <w:sz w:val="20"/>
          <w:szCs w:val="20"/>
          <w:lang w:val="es-PR"/>
        </w:rPr>
        <w:t>desaparición de personas en la misma localidad, el mismo día y por miembros del Ejército peruano</w:t>
      </w:r>
      <w:r w:rsidRPr="002964A7">
        <w:rPr>
          <w:rStyle w:val="FootnoteReference"/>
          <w:rFonts w:eastAsiaTheme="minorHAnsi"/>
          <w:spacing w:val="-2"/>
          <w:szCs w:val="20"/>
        </w:rPr>
        <w:footnoteReference w:id="271"/>
      </w:r>
      <w:r w:rsidRPr="00172CCD">
        <w:rPr>
          <w:rFonts w:ascii="Verdana" w:hAnsi="Verdana"/>
          <w:spacing w:val="-2"/>
          <w:sz w:val="20"/>
          <w:szCs w:val="20"/>
          <w:lang w:val="es-PR"/>
        </w:rPr>
        <w:t xml:space="preserve">. </w:t>
      </w:r>
    </w:p>
    <w:p w:rsidR="00C83100" w:rsidRPr="007A7743" w:rsidRDefault="00C83100" w:rsidP="00C83100">
      <w:pPr>
        <w:pStyle w:val="ListParagraph"/>
        <w:autoSpaceDE w:val="0"/>
        <w:autoSpaceDN w:val="0"/>
        <w:adjustRightInd w:val="0"/>
        <w:spacing w:after="0" w:line="240" w:lineRule="auto"/>
        <w:ind w:left="0"/>
        <w:jc w:val="both"/>
        <w:rPr>
          <w:rFonts w:ascii="Verdana" w:hAnsi="Verdana"/>
          <w:spacing w:val="-2"/>
          <w:sz w:val="16"/>
          <w:szCs w:val="20"/>
          <w:lang w:val="es-ES"/>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rPr>
        <w:t xml:space="preserve">Ahora bien, </w:t>
      </w:r>
      <w:r w:rsidRPr="002964A7">
        <w:rPr>
          <w:rFonts w:ascii="Verdana" w:hAnsi="Verdana"/>
          <w:spacing w:val="-2"/>
          <w:sz w:val="20"/>
          <w:szCs w:val="20"/>
          <w:lang w:val="es-PR"/>
        </w:rPr>
        <w:t>la mencionada resolución de 22 de julio</w:t>
      </w:r>
      <w:r w:rsidRPr="002964A7">
        <w:rPr>
          <w:rFonts w:ascii="Verdana" w:hAnsi="Verdana"/>
          <w:spacing w:val="-2"/>
          <w:sz w:val="20"/>
          <w:szCs w:val="20"/>
        </w:rPr>
        <w:t xml:space="preserve"> </w:t>
      </w:r>
      <w:r>
        <w:rPr>
          <w:rFonts w:ascii="Verdana" w:hAnsi="Verdana"/>
          <w:spacing w:val="-2"/>
          <w:sz w:val="20"/>
          <w:szCs w:val="20"/>
        </w:rPr>
        <w:t xml:space="preserve">de 1991 </w:t>
      </w:r>
      <w:r w:rsidRPr="002964A7">
        <w:rPr>
          <w:rFonts w:ascii="Verdana" w:hAnsi="Verdana"/>
          <w:spacing w:val="-2"/>
          <w:sz w:val="20"/>
          <w:szCs w:val="20"/>
        </w:rPr>
        <w:t xml:space="preserve">fue apelada ante el Juez Instructor de Huancavelica el 5 de agosto de 1991; sin embargo, </w:t>
      </w:r>
      <w:r>
        <w:rPr>
          <w:rFonts w:ascii="Verdana" w:hAnsi="Verdana"/>
          <w:spacing w:val="-2"/>
          <w:sz w:val="20"/>
          <w:szCs w:val="20"/>
        </w:rPr>
        <w:t>no fue probado que se hubiera</w:t>
      </w:r>
      <w:r w:rsidRPr="002964A7">
        <w:rPr>
          <w:rFonts w:ascii="Verdana" w:hAnsi="Verdana"/>
          <w:spacing w:val="-2"/>
          <w:sz w:val="20"/>
          <w:szCs w:val="20"/>
        </w:rPr>
        <w:t xml:space="preserve"> resuelto dicha apelación</w:t>
      </w:r>
      <w:r w:rsidRPr="002964A7">
        <w:rPr>
          <w:rStyle w:val="FootnoteReference"/>
          <w:rFonts w:eastAsiaTheme="minorHAnsi"/>
          <w:spacing w:val="-2"/>
          <w:szCs w:val="20"/>
        </w:rPr>
        <w:footnoteReference w:id="272"/>
      </w:r>
      <w:r w:rsidRPr="002964A7">
        <w:rPr>
          <w:rFonts w:ascii="Verdana" w:hAnsi="Verdana"/>
          <w:spacing w:val="-2"/>
          <w:sz w:val="20"/>
          <w:szCs w:val="20"/>
        </w:rPr>
        <w:t>. El Tribunal recuerda que el artículo 7.6 de la Convención requiere una decisión “sin demora” y la Corte ha establecido violaciones al respecto por demoras de 9, 21 y 31 días en las respuestas de las autoridades a cargo después de haber sido presentadas las peticiones de hábeas corpus</w:t>
      </w:r>
      <w:r w:rsidRPr="002964A7">
        <w:rPr>
          <w:rStyle w:val="FootnoteReference"/>
          <w:rFonts w:eastAsiaTheme="minorHAnsi"/>
          <w:spacing w:val="-2"/>
          <w:szCs w:val="20"/>
        </w:rPr>
        <w:footnoteReference w:id="273"/>
      </w:r>
      <w:r w:rsidRPr="002964A7">
        <w:rPr>
          <w:rFonts w:ascii="Verdana" w:hAnsi="Verdana"/>
          <w:spacing w:val="-2"/>
          <w:sz w:val="20"/>
          <w:szCs w:val="20"/>
        </w:rPr>
        <w:t>. Con mayor razón, esta falta de respuesta frente a la apelación interpuesta el 5 de agosto de 1991 ante el Juzgado de Instrucción de Huancavelica supone en sí mismo una violación de este requisito.</w:t>
      </w:r>
    </w:p>
    <w:p w:rsidR="00C83100" w:rsidRPr="00F13F0B" w:rsidRDefault="00C83100" w:rsidP="00C83100">
      <w:pPr>
        <w:pStyle w:val="ListParagraph"/>
        <w:ind w:left="0"/>
        <w:rPr>
          <w:rFonts w:ascii="Verdana" w:hAnsi="Verdana"/>
          <w:spacing w:val="-2"/>
          <w:sz w:val="20"/>
          <w:szCs w:val="20"/>
          <w:lang w:val="es-GT"/>
        </w:rPr>
      </w:pPr>
    </w:p>
    <w:p w:rsidR="00C83100" w:rsidRPr="001154F9"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rPr>
        <w:t xml:space="preserve">La Corte determina, por ende, que el recurso de hábeas corpus interpuesto de 18 de julio de 1991 ante </w:t>
      </w:r>
      <w:r w:rsidRPr="002964A7">
        <w:rPr>
          <w:rFonts w:ascii="Verdana" w:hAnsi="Verdana"/>
          <w:spacing w:val="-2"/>
          <w:sz w:val="20"/>
          <w:szCs w:val="20"/>
          <w:lang w:val="es-GT"/>
        </w:rPr>
        <w:t>el Juzgado de Instrucción de Huancavelica</w:t>
      </w:r>
      <w:r w:rsidRPr="002964A7">
        <w:rPr>
          <w:rFonts w:ascii="Verdana" w:hAnsi="Verdana"/>
          <w:spacing w:val="-2"/>
          <w:sz w:val="20"/>
          <w:szCs w:val="20"/>
        </w:rPr>
        <w:t xml:space="preserve"> no fue efectivo para determinar el paradero de Eli</w:t>
      </w:r>
      <w:r>
        <w:rPr>
          <w:rFonts w:ascii="Verdana" w:hAnsi="Verdana"/>
          <w:spacing w:val="-2"/>
          <w:sz w:val="20"/>
          <w:szCs w:val="20"/>
        </w:rPr>
        <w:t>h</w:t>
      </w:r>
      <w:r w:rsidRPr="002964A7">
        <w:rPr>
          <w:rFonts w:ascii="Verdana" w:hAnsi="Verdana"/>
          <w:spacing w:val="-2"/>
          <w:sz w:val="20"/>
          <w:szCs w:val="20"/>
        </w:rPr>
        <w:t xml:space="preserve">oref Huamaní, por lo que la protección debida a través del mismo </w:t>
      </w:r>
      <w:r w:rsidRPr="002964A7">
        <w:rPr>
          <w:rFonts w:ascii="Verdana" w:hAnsi="Verdana"/>
          <w:spacing w:val="-2"/>
          <w:sz w:val="20"/>
          <w:szCs w:val="20"/>
          <w:lang w:val="es-PR"/>
        </w:rPr>
        <w:t>resultó</w:t>
      </w:r>
      <w:r w:rsidRPr="002964A7">
        <w:rPr>
          <w:rFonts w:ascii="Verdana" w:hAnsi="Verdana"/>
          <w:spacing w:val="-2"/>
          <w:sz w:val="20"/>
          <w:szCs w:val="20"/>
        </w:rPr>
        <w:t xml:space="preserve"> ilusoria. </w:t>
      </w:r>
      <w:r w:rsidRPr="00D04E14">
        <w:rPr>
          <w:rFonts w:ascii="Verdana" w:hAnsi="Verdana"/>
          <w:spacing w:val="-2"/>
          <w:sz w:val="20"/>
          <w:szCs w:val="20"/>
        </w:rPr>
        <w:t xml:space="preserve">Por consiguiente, en aplicación del principio iura novit curia, la Corte </w:t>
      </w:r>
      <w:r w:rsidRPr="00D04E14">
        <w:rPr>
          <w:rFonts w:ascii="Verdana" w:hAnsi="Verdana"/>
          <w:spacing w:val="-2"/>
          <w:sz w:val="20"/>
          <w:szCs w:val="20"/>
        </w:rPr>
        <w:lastRenderedPageBreak/>
        <w:t>considera que el Estado violó el artículo 7.6 de la Convención Americana</w:t>
      </w:r>
      <w:r w:rsidRPr="00025BE3">
        <w:rPr>
          <w:rFonts w:ascii="Verdana" w:hAnsi="Verdana"/>
          <w:b/>
          <w:spacing w:val="-2"/>
          <w:sz w:val="20"/>
          <w:szCs w:val="20"/>
        </w:rPr>
        <w:t xml:space="preserve"> </w:t>
      </w:r>
      <w:r w:rsidRPr="00025BE3">
        <w:rPr>
          <w:rFonts w:ascii="Verdana" w:hAnsi="Verdana"/>
          <w:spacing w:val="-2"/>
          <w:sz w:val="20"/>
          <w:szCs w:val="20"/>
        </w:rPr>
        <w:t>en perjuicio de Elihoref Huamaní y sus familiares</w:t>
      </w:r>
      <w:r w:rsidR="00B4638D">
        <w:rPr>
          <w:rFonts w:ascii="Verdana" w:hAnsi="Verdana"/>
          <w:spacing w:val="-2"/>
          <w:sz w:val="20"/>
          <w:szCs w:val="20"/>
        </w:rPr>
        <w:t xml:space="preserve"> (</w:t>
      </w:r>
      <w:r w:rsidR="00B4638D">
        <w:rPr>
          <w:rFonts w:ascii="Verdana" w:hAnsi="Verdana"/>
          <w:i/>
          <w:spacing w:val="-2"/>
          <w:sz w:val="20"/>
          <w:szCs w:val="20"/>
        </w:rPr>
        <w:t xml:space="preserve">supra </w:t>
      </w:r>
      <w:r w:rsidR="00B4638D">
        <w:rPr>
          <w:rFonts w:ascii="Verdana" w:hAnsi="Verdana"/>
          <w:spacing w:val="-2"/>
          <w:sz w:val="20"/>
          <w:szCs w:val="20"/>
        </w:rPr>
        <w:t>párr. 84 y nota 57)</w:t>
      </w:r>
      <w:r w:rsidRPr="00025BE3">
        <w:rPr>
          <w:rFonts w:ascii="Verdana" w:hAnsi="Verdana"/>
          <w:spacing w:val="-2"/>
          <w:sz w:val="20"/>
          <w:szCs w:val="20"/>
        </w:rPr>
        <w:t>.</w:t>
      </w:r>
    </w:p>
    <w:p w:rsidR="00C83100" w:rsidRPr="00F13F0B" w:rsidRDefault="00C83100" w:rsidP="0036188B">
      <w:pPr>
        <w:pStyle w:val="Heading3"/>
        <w:spacing w:line="240" w:lineRule="auto"/>
        <w:rPr>
          <w:lang w:val="es-ES_tradnl"/>
        </w:rPr>
      </w:pPr>
      <w:bookmarkStart w:id="213" w:name="_Toc421864981"/>
      <w:bookmarkStart w:id="214" w:name="_Toc423102557"/>
      <w:bookmarkStart w:id="215" w:name="_Toc433387509"/>
      <w:r w:rsidRPr="00F13F0B">
        <w:rPr>
          <w:lang w:val="es-ES_tradnl"/>
        </w:rPr>
        <w:t>B.</w:t>
      </w:r>
      <w:r>
        <w:rPr>
          <w:lang w:val="es-ES_tradnl"/>
        </w:rPr>
        <w:t>3</w:t>
      </w:r>
      <w:r w:rsidRPr="00F13F0B">
        <w:rPr>
          <w:lang w:val="es-ES_tradnl"/>
        </w:rPr>
        <w:t>. Obstaculizaciones dentro de las investigaciones</w:t>
      </w:r>
      <w:bookmarkEnd w:id="213"/>
      <w:bookmarkEnd w:id="214"/>
      <w:bookmarkEnd w:id="215"/>
      <w:r w:rsidRPr="00F13F0B">
        <w:rPr>
          <w:lang w:val="es-ES_tradnl"/>
        </w:rPr>
        <w:t xml:space="preserve"> </w:t>
      </w:r>
    </w:p>
    <w:p w:rsidR="00C83100" w:rsidRPr="0036188B" w:rsidRDefault="00C83100" w:rsidP="0036188B">
      <w:pPr>
        <w:spacing w:after="0" w:line="240" w:lineRule="auto"/>
        <w:rPr>
          <w:rFonts w:ascii="Verdana" w:hAnsi="Verdana"/>
          <w:b/>
          <w:spacing w:val="-2"/>
          <w:sz w:val="16"/>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GT"/>
        </w:rPr>
        <w:t xml:space="preserve">Esta </w:t>
      </w:r>
      <w:r w:rsidRPr="002964A7">
        <w:rPr>
          <w:rFonts w:ascii="Verdana" w:hAnsi="Verdana"/>
          <w:spacing w:val="-2"/>
          <w:sz w:val="20"/>
          <w:szCs w:val="20"/>
        </w:rPr>
        <w:t>Corte</w:t>
      </w:r>
      <w:r w:rsidRPr="002964A7">
        <w:rPr>
          <w:rFonts w:ascii="Verdana" w:hAnsi="Verdana"/>
          <w:spacing w:val="-2"/>
          <w:sz w:val="20"/>
          <w:szCs w:val="20"/>
          <w:lang w:val="es-GT"/>
        </w:rPr>
        <w:t xml:space="preserve"> ha señalado </w:t>
      </w:r>
      <w:r w:rsidRPr="002964A7">
        <w:rPr>
          <w:rFonts w:ascii="Verdana" w:hAnsi="Verdana"/>
          <w:spacing w:val="-2"/>
          <w:sz w:val="20"/>
          <w:szCs w:val="20"/>
          <w:lang w:val="es-PR"/>
        </w:rPr>
        <w:t>que</w:t>
      </w:r>
      <w:r w:rsidRPr="002964A7">
        <w:rPr>
          <w:rFonts w:ascii="Verdana" w:hAnsi="Verdana"/>
          <w:spacing w:val="-2"/>
          <w:sz w:val="20"/>
          <w:szCs w:val="20"/>
          <w:lang w:val="es-GT"/>
        </w:rPr>
        <w:t xml:space="preserve"> las </w:t>
      </w:r>
      <w:r w:rsidRPr="002964A7">
        <w:rPr>
          <w:rFonts w:ascii="Verdana" w:hAnsi="Verdana"/>
          <w:spacing w:val="-2"/>
          <w:sz w:val="20"/>
          <w:szCs w:val="20"/>
          <w:lang w:val="es-ES_tradnl"/>
        </w:rPr>
        <w:t>autoridades</w:t>
      </w:r>
      <w:r w:rsidRPr="002964A7">
        <w:rPr>
          <w:rFonts w:ascii="Verdana" w:hAnsi="Verdana"/>
          <w:spacing w:val="-2"/>
          <w:sz w:val="20"/>
          <w:szCs w:val="20"/>
          <w:lang w:val="es-GT"/>
        </w:rPr>
        <w:t xml:space="preserve"> estatales están obligadas a abstenerse de realizar actos que impliquen obstrucciones para la marcha del proceso investigativo</w:t>
      </w:r>
      <w:r w:rsidRPr="002964A7">
        <w:rPr>
          <w:rFonts w:ascii="Verdana" w:hAnsi="Verdana"/>
          <w:spacing w:val="-2"/>
          <w:sz w:val="20"/>
          <w:szCs w:val="20"/>
          <w:vertAlign w:val="superscript"/>
        </w:rPr>
        <w:footnoteReference w:id="274"/>
      </w:r>
      <w:r w:rsidRPr="002964A7">
        <w:rPr>
          <w:rFonts w:ascii="Verdana" w:hAnsi="Verdana"/>
          <w:spacing w:val="-2"/>
          <w:sz w:val="20"/>
          <w:szCs w:val="20"/>
          <w:lang w:val="es-GT"/>
        </w:rPr>
        <w:t xml:space="preserve">. </w:t>
      </w:r>
    </w:p>
    <w:p w:rsidR="00C83100" w:rsidRPr="002964A7" w:rsidRDefault="00C83100" w:rsidP="00C83100">
      <w:pPr>
        <w:pStyle w:val="Estilo5"/>
        <w:spacing w:after="0" w:line="240" w:lineRule="auto"/>
        <w:ind w:right="14"/>
        <w:rPr>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GT"/>
        </w:rPr>
        <w:t xml:space="preserve">En particular, la Corte recuerda que, para garantizar un debido proceso, el Estado debe </w:t>
      </w:r>
      <w:r w:rsidRPr="002964A7">
        <w:rPr>
          <w:rFonts w:ascii="Verdana" w:hAnsi="Verdana"/>
          <w:spacing w:val="-2"/>
          <w:sz w:val="20"/>
          <w:szCs w:val="20"/>
        </w:rPr>
        <w:t>facilitar</w:t>
      </w:r>
      <w:r w:rsidRPr="002964A7">
        <w:rPr>
          <w:rFonts w:ascii="Verdana" w:hAnsi="Verdana"/>
          <w:spacing w:val="-2"/>
          <w:sz w:val="20"/>
          <w:szCs w:val="20"/>
          <w:lang w:val="es-GT"/>
        </w:rPr>
        <w:t xml:space="preserve"> todos los medios necesarios para proteger a los operadores de justicia, investigadores, testigos y familiares de las víctimas de hostigamientos y amenazas que tengan como finalidad entorpecer el proceso, evitar el esclarecimiento de los hechos y encubrir a los responsables de los mismos</w:t>
      </w:r>
      <w:r w:rsidRPr="002964A7">
        <w:rPr>
          <w:rFonts w:ascii="Verdana" w:hAnsi="Verdana"/>
          <w:spacing w:val="-2"/>
          <w:sz w:val="20"/>
          <w:szCs w:val="20"/>
          <w:vertAlign w:val="superscript"/>
        </w:rPr>
        <w:footnoteReference w:id="275"/>
      </w:r>
      <w:r w:rsidRPr="002964A7">
        <w:rPr>
          <w:rFonts w:ascii="Verdana" w:hAnsi="Verdana"/>
          <w:spacing w:val="-2"/>
          <w:sz w:val="20"/>
          <w:szCs w:val="20"/>
          <w:lang w:val="es-GT"/>
        </w:rPr>
        <w:t xml:space="preserve">, pues de lo contrario eso tendría un efecto amedrentador e intimidante en quienes investigan y en quienes podrían ser testigos, afectando seriamente la </w:t>
      </w:r>
      <w:r w:rsidRPr="002964A7">
        <w:rPr>
          <w:rFonts w:ascii="Verdana" w:hAnsi="Verdana"/>
          <w:spacing w:val="-2"/>
          <w:sz w:val="20"/>
          <w:szCs w:val="20"/>
          <w:lang w:val="es-PR"/>
        </w:rPr>
        <w:t>efectividad</w:t>
      </w:r>
      <w:r w:rsidRPr="002964A7">
        <w:rPr>
          <w:rFonts w:ascii="Verdana" w:hAnsi="Verdana"/>
          <w:spacing w:val="-2"/>
          <w:sz w:val="20"/>
          <w:szCs w:val="20"/>
          <w:lang w:val="es-GT"/>
        </w:rPr>
        <w:t xml:space="preserve"> de la investigación</w:t>
      </w:r>
      <w:r w:rsidRPr="002964A7">
        <w:rPr>
          <w:rFonts w:ascii="Verdana" w:hAnsi="Verdana"/>
          <w:spacing w:val="-2"/>
          <w:sz w:val="20"/>
          <w:szCs w:val="20"/>
          <w:vertAlign w:val="superscript"/>
        </w:rPr>
        <w:footnoteReference w:id="276"/>
      </w:r>
      <w:r w:rsidRPr="002964A7">
        <w:rPr>
          <w:rFonts w:ascii="Verdana" w:hAnsi="Verdana"/>
          <w:spacing w:val="-2"/>
          <w:sz w:val="20"/>
          <w:szCs w:val="20"/>
          <w:lang w:val="es-GT"/>
        </w:rPr>
        <w:t>. En efecto, las amenazas e intimidaciones sufridas por testigos en el proceso interno no pueden verse aisladamente, sino que se deben considerar en el marco de obstaculizaciones de la investigación del caso</w:t>
      </w:r>
      <w:r w:rsidRPr="00C74CCC">
        <w:rPr>
          <w:rFonts w:ascii="Verdana" w:hAnsi="Verdana"/>
          <w:spacing w:val="-2"/>
          <w:sz w:val="20"/>
          <w:szCs w:val="20"/>
          <w:lang w:val="es-GT"/>
        </w:rPr>
        <w:t>, ya que</w:t>
      </w:r>
      <w:r w:rsidRPr="002964A7">
        <w:rPr>
          <w:rFonts w:ascii="Verdana" w:hAnsi="Verdana"/>
          <w:b/>
          <w:spacing w:val="-2"/>
          <w:sz w:val="20"/>
          <w:szCs w:val="20"/>
          <w:lang w:val="es-GT"/>
        </w:rPr>
        <w:t xml:space="preserve"> </w:t>
      </w:r>
      <w:r w:rsidRPr="002964A7">
        <w:rPr>
          <w:rFonts w:ascii="Verdana" w:hAnsi="Verdana"/>
          <w:spacing w:val="-2"/>
          <w:sz w:val="20"/>
          <w:szCs w:val="20"/>
          <w:lang w:val="es-GT"/>
        </w:rPr>
        <w:t>tales hechos se convierten en otro medio para perpetuar la impunidad e impedir que se conozca la verdad de lo ocurrido</w:t>
      </w:r>
      <w:r w:rsidRPr="002964A7">
        <w:rPr>
          <w:rFonts w:ascii="Verdana" w:hAnsi="Verdana"/>
          <w:spacing w:val="-2"/>
          <w:sz w:val="20"/>
          <w:szCs w:val="20"/>
          <w:vertAlign w:val="superscript"/>
        </w:rPr>
        <w:footnoteReference w:id="277"/>
      </w:r>
      <w:r w:rsidRPr="002964A7">
        <w:rPr>
          <w:rFonts w:ascii="Verdana" w:hAnsi="Verdana"/>
          <w:spacing w:val="-2"/>
          <w:sz w:val="20"/>
          <w:szCs w:val="20"/>
          <w:lang w:val="es-GT"/>
        </w:rPr>
        <w:t>.</w:t>
      </w:r>
    </w:p>
    <w:p w:rsidR="00C83100" w:rsidRPr="00F13F0B" w:rsidRDefault="00C83100" w:rsidP="00C83100">
      <w:pPr>
        <w:pStyle w:val="Estilo5"/>
        <w:spacing w:after="0" w:line="240" w:lineRule="auto"/>
        <w:ind w:left="450" w:right="14" w:hanging="360"/>
        <w:rPr>
          <w:rFonts w:eastAsia="Times"/>
          <w:sz w:val="20"/>
          <w:szCs w:val="20"/>
          <w:lang w:val="es-ES"/>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GT"/>
        </w:rPr>
        <w:t xml:space="preserve">En este caso, en </w:t>
      </w:r>
      <w:r w:rsidRPr="002964A7">
        <w:rPr>
          <w:rFonts w:ascii="Verdana" w:hAnsi="Verdana"/>
          <w:spacing w:val="-2"/>
          <w:sz w:val="20"/>
          <w:szCs w:val="20"/>
          <w:lang w:val="es-PR"/>
        </w:rPr>
        <w:t>primer</w:t>
      </w:r>
      <w:r w:rsidRPr="002964A7">
        <w:rPr>
          <w:rFonts w:ascii="Verdana" w:hAnsi="Verdana"/>
          <w:spacing w:val="-2"/>
          <w:sz w:val="20"/>
          <w:szCs w:val="20"/>
          <w:lang w:val="es-GT"/>
        </w:rPr>
        <w:t xml:space="preserve"> lugar, este Tribunal ya estableció que</w:t>
      </w:r>
      <w:r>
        <w:rPr>
          <w:rFonts w:ascii="Verdana" w:hAnsi="Verdana"/>
          <w:spacing w:val="-2"/>
          <w:sz w:val="20"/>
          <w:szCs w:val="20"/>
          <w:lang w:val="es-GT"/>
        </w:rPr>
        <w:t xml:space="preserve"> el</w:t>
      </w:r>
      <w:r w:rsidRPr="002964A7">
        <w:rPr>
          <w:rFonts w:ascii="Verdana" w:hAnsi="Verdana"/>
          <w:spacing w:val="-2"/>
          <w:sz w:val="20"/>
          <w:szCs w:val="20"/>
          <w:lang w:val="es-GT"/>
        </w:rPr>
        <w:t xml:space="preserve"> 11 de julio de 1991 el </w:t>
      </w:r>
      <w:r>
        <w:rPr>
          <w:rFonts w:ascii="Verdana" w:hAnsi="Verdana"/>
          <w:spacing w:val="-2"/>
          <w:sz w:val="20"/>
          <w:szCs w:val="20"/>
          <w:lang w:val="es-GT"/>
        </w:rPr>
        <w:t>e</w:t>
      </w:r>
      <w:r w:rsidRPr="002964A7">
        <w:rPr>
          <w:rFonts w:ascii="Verdana" w:hAnsi="Verdana"/>
          <w:spacing w:val="-2"/>
          <w:sz w:val="20"/>
          <w:szCs w:val="20"/>
          <w:lang w:val="es-GT"/>
        </w:rPr>
        <w:t>jército</w:t>
      </w:r>
      <w:r>
        <w:rPr>
          <w:rFonts w:ascii="Verdana" w:hAnsi="Verdana"/>
          <w:spacing w:val="-2"/>
          <w:sz w:val="20"/>
          <w:szCs w:val="20"/>
          <w:lang w:val="es-GT"/>
        </w:rPr>
        <w:t xml:space="preserve"> </w:t>
      </w:r>
      <w:r w:rsidRPr="002964A7">
        <w:rPr>
          <w:rFonts w:ascii="Verdana" w:hAnsi="Verdana"/>
          <w:spacing w:val="-2"/>
          <w:sz w:val="20"/>
          <w:szCs w:val="20"/>
          <w:lang w:val="es-GT"/>
        </w:rPr>
        <w:t xml:space="preserve">negó la detención de </w:t>
      </w:r>
      <w:r>
        <w:rPr>
          <w:rFonts w:ascii="Verdana" w:hAnsi="Verdana" w:cs="Arial"/>
          <w:sz w:val="20"/>
          <w:szCs w:val="20"/>
          <w:lang w:val="es-GT"/>
        </w:rPr>
        <w:t>nueve de las víctimas</w:t>
      </w:r>
      <w:r w:rsidRPr="002964A7">
        <w:rPr>
          <w:rFonts w:ascii="Verdana" w:hAnsi="Verdana"/>
          <w:spacing w:val="-2"/>
          <w:sz w:val="20"/>
          <w:szCs w:val="20"/>
          <w:lang w:val="es-GT"/>
        </w:rPr>
        <w:t xml:space="preserve"> ante la solicitud de información por parte de la </w:t>
      </w:r>
      <w:r w:rsidRPr="002964A7">
        <w:rPr>
          <w:rFonts w:ascii="Verdana" w:hAnsi="Verdana" w:cs="Arial"/>
          <w:spacing w:val="-2"/>
          <w:sz w:val="20"/>
          <w:szCs w:val="20"/>
          <w:lang w:val="es-GT"/>
        </w:rPr>
        <w:t>Fiscal Provincial Especial de Prevención del Delito de Huancavelica</w:t>
      </w:r>
      <w:r>
        <w:rPr>
          <w:rFonts w:ascii="Verdana" w:hAnsi="Verdana" w:cs="Arial"/>
          <w:spacing w:val="-2"/>
          <w:sz w:val="20"/>
          <w:szCs w:val="20"/>
          <w:lang w:val="es-GT"/>
        </w:rPr>
        <w:t xml:space="preserve"> </w:t>
      </w:r>
      <w:r w:rsidRPr="002964A7">
        <w:rPr>
          <w:rFonts w:ascii="Verdana" w:hAnsi="Verdana" w:cs="Arial"/>
          <w:spacing w:val="-2"/>
          <w:sz w:val="20"/>
          <w:szCs w:val="20"/>
          <w:lang w:val="es-GT"/>
        </w:rPr>
        <w:t>(</w:t>
      </w:r>
      <w:r w:rsidRPr="002964A7">
        <w:rPr>
          <w:rFonts w:ascii="Verdana" w:hAnsi="Verdana" w:cs="Arial"/>
          <w:i/>
          <w:spacing w:val="-2"/>
          <w:sz w:val="20"/>
          <w:szCs w:val="20"/>
          <w:lang w:val="es-GT"/>
        </w:rPr>
        <w:t xml:space="preserve">supra </w:t>
      </w:r>
      <w:r w:rsidRPr="002964A7">
        <w:rPr>
          <w:rFonts w:ascii="Verdana" w:hAnsi="Verdana" w:cs="Arial"/>
          <w:spacing w:val="-2"/>
          <w:sz w:val="20"/>
          <w:szCs w:val="20"/>
          <w:lang w:val="es-GT"/>
        </w:rPr>
        <w:t>párr.</w:t>
      </w:r>
      <w:r>
        <w:rPr>
          <w:rFonts w:ascii="Verdana" w:hAnsi="Verdana" w:cs="Arial"/>
          <w:spacing w:val="-2"/>
          <w:sz w:val="20"/>
          <w:szCs w:val="20"/>
          <w:lang w:val="es-GT"/>
        </w:rPr>
        <w:t xml:space="preserve"> 95</w:t>
      </w:r>
      <w:r w:rsidRPr="002964A7">
        <w:rPr>
          <w:rFonts w:ascii="Verdana" w:hAnsi="Verdana" w:cs="Arial"/>
          <w:spacing w:val="-2"/>
          <w:sz w:val="20"/>
          <w:szCs w:val="20"/>
          <w:lang w:val="es-GT"/>
        </w:rPr>
        <w:t>)</w:t>
      </w:r>
      <w:r>
        <w:rPr>
          <w:rFonts w:ascii="Verdana" w:hAnsi="Verdana"/>
          <w:spacing w:val="-2"/>
          <w:sz w:val="20"/>
          <w:szCs w:val="20"/>
          <w:lang w:val="es-GT"/>
        </w:rPr>
        <w:t xml:space="preserve">; además, </w:t>
      </w:r>
      <w:r w:rsidRPr="00597FE9">
        <w:rPr>
          <w:rFonts w:ascii="Verdana" w:hAnsi="Verdana"/>
          <w:spacing w:val="-2"/>
          <w:sz w:val="20"/>
          <w:szCs w:val="20"/>
          <w:lang w:val="es-GT"/>
        </w:rPr>
        <w:t>negó que sus bases militares realizaran operativos</w:t>
      </w:r>
      <w:r w:rsidRPr="002964A7">
        <w:rPr>
          <w:rStyle w:val="FootnoteReference"/>
          <w:rFonts w:eastAsiaTheme="minorHAnsi"/>
          <w:spacing w:val="-2"/>
          <w:szCs w:val="20"/>
        </w:rPr>
        <w:footnoteReference w:id="278"/>
      </w:r>
      <w:r w:rsidRPr="002964A7">
        <w:rPr>
          <w:rFonts w:ascii="Verdana" w:hAnsi="Verdana"/>
          <w:spacing w:val="-2"/>
          <w:sz w:val="20"/>
          <w:szCs w:val="20"/>
          <w:lang w:val="es-GT"/>
        </w:rPr>
        <w:t>. Asimismo,</w:t>
      </w:r>
      <w:r w:rsidRPr="002964A7">
        <w:rPr>
          <w:rStyle w:val="Heading5Char"/>
          <w:rFonts w:ascii="Verdana" w:eastAsia="Calibri" w:hAnsi="Verdana"/>
          <w:spacing w:val="-2"/>
          <w:sz w:val="20"/>
          <w:szCs w:val="20"/>
        </w:rPr>
        <w:t xml:space="preserve"> </w:t>
      </w:r>
      <w:r>
        <w:rPr>
          <w:rStyle w:val="Heading5Char"/>
          <w:rFonts w:ascii="Verdana" w:eastAsia="Calibri" w:hAnsi="Verdana"/>
          <w:b w:val="0"/>
          <w:i w:val="0"/>
          <w:spacing w:val="-2"/>
          <w:sz w:val="20"/>
          <w:szCs w:val="20"/>
        </w:rPr>
        <w:t xml:space="preserve">una vez que </w:t>
      </w:r>
      <w:r w:rsidRPr="002964A7">
        <w:rPr>
          <w:rFonts w:ascii="Verdana" w:hAnsi="Verdana" w:cs="Arial"/>
          <w:spacing w:val="-2"/>
          <w:sz w:val="20"/>
          <w:szCs w:val="20"/>
          <w:lang w:val="es-GT"/>
        </w:rPr>
        <w:t xml:space="preserve">dicha Fiscal </w:t>
      </w:r>
      <w:r>
        <w:rPr>
          <w:rFonts w:ascii="Verdana" w:hAnsi="Verdana" w:cs="Arial"/>
          <w:spacing w:val="-2"/>
          <w:sz w:val="20"/>
          <w:szCs w:val="20"/>
          <w:lang w:val="es-GT"/>
        </w:rPr>
        <w:t>solicitó los días</w:t>
      </w:r>
      <w:r w:rsidRPr="002964A7">
        <w:rPr>
          <w:rFonts w:ascii="Verdana" w:hAnsi="Verdana" w:cs="Arial"/>
          <w:spacing w:val="-2"/>
          <w:sz w:val="20"/>
          <w:szCs w:val="20"/>
          <w:lang w:val="es-GT"/>
        </w:rPr>
        <w:t xml:space="preserve"> 10 </w:t>
      </w:r>
      <w:r>
        <w:rPr>
          <w:rFonts w:ascii="Verdana" w:hAnsi="Verdana" w:cs="Arial"/>
          <w:spacing w:val="-2"/>
          <w:sz w:val="20"/>
          <w:szCs w:val="20"/>
          <w:lang w:val="es-GT"/>
        </w:rPr>
        <w:t xml:space="preserve">y 22 </w:t>
      </w:r>
      <w:r w:rsidRPr="002964A7">
        <w:rPr>
          <w:rFonts w:ascii="Verdana" w:hAnsi="Verdana" w:cs="Arial"/>
          <w:spacing w:val="-2"/>
          <w:sz w:val="20"/>
          <w:szCs w:val="20"/>
          <w:lang w:val="es-GT"/>
        </w:rPr>
        <w:t xml:space="preserve">de julio de 1991 que se informara sobre las acciones de patrullaje realizadas por las Bases Militares de Huancavelica, Lircay, Acobamba </w:t>
      </w:r>
      <w:r w:rsidRPr="002964A7">
        <w:rPr>
          <w:rFonts w:ascii="Verdana" w:hAnsi="Verdana"/>
          <w:spacing w:val="-2"/>
          <w:sz w:val="20"/>
          <w:szCs w:val="20"/>
          <w:lang w:val="es-GT"/>
        </w:rPr>
        <w:t xml:space="preserve">y </w:t>
      </w:r>
      <w:r w:rsidRPr="002964A7">
        <w:rPr>
          <w:rFonts w:ascii="Verdana" w:hAnsi="Verdana" w:cs="Arial"/>
          <w:spacing w:val="-2"/>
          <w:sz w:val="20"/>
          <w:szCs w:val="20"/>
          <w:lang w:val="es-GT"/>
        </w:rPr>
        <w:t>Mantas los días 3 y 4 de julio de 1991, el Jefe Político Militar de Huancavelica respondió:</w:t>
      </w:r>
    </w:p>
    <w:p w:rsidR="00C83100" w:rsidRPr="00F13F0B" w:rsidRDefault="00C83100" w:rsidP="00C83100">
      <w:pPr>
        <w:pStyle w:val="ListParagraph"/>
        <w:spacing w:line="240" w:lineRule="auto"/>
        <w:jc w:val="both"/>
        <w:rPr>
          <w:rFonts w:ascii="Verdana" w:hAnsi="Verdana" w:cs="Arial"/>
          <w:spacing w:val="-2"/>
          <w:sz w:val="20"/>
          <w:szCs w:val="20"/>
          <w:lang w:val="es-GT"/>
        </w:rPr>
      </w:pPr>
    </w:p>
    <w:p w:rsidR="00C83100" w:rsidRPr="007A7743" w:rsidRDefault="00C83100" w:rsidP="0036188B">
      <w:pPr>
        <w:pStyle w:val="ListParagraph"/>
        <w:spacing w:line="240" w:lineRule="auto"/>
        <w:ind w:right="574"/>
        <w:jc w:val="both"/>
        <w:rPr>
          <w:rFonts w:ascii="Verdana" w:hAnsi="Verdana" w:cs="Arial"/>
          <w:spacing w:val="-2"/>
          <w:sz w:val="16"/>
          <w:szCs w:val="20"/>
          <w:lang w:val="es-GT"/>
        </w:rPr>
      </w:pPr>
      <w:r w:rsidRPr="007A7743">
        <w:rPr>
          <w:rFonts w:ascii="Verdana" w:hAnsi="Verdana" w:cs="Arial"/>
          <w:spacing w:val="-2"/>
          <w:sz w:val="16"/>
          <w:szCs w:val="20"/>
          <w:lang w:val="es-GT"/>
        </w:rPr>
        <w:t>[…E]l Ejército en su accionar subversivo contra los delincuentes terroristas tiene bien definido su procedimiento, el cual se encuentra jurídicamente y constitucionalmente amparado como es de conocimiento de la ciudadanía y más aún por todos los profesionales que, éticamente, cumplen su rol judicial en todas las instancias. […] En idéntica forma la supuesta desaparición de personas y la consecuente lógica preocupación de los familiares u otros interesados, es de COMPETENCIA POLICIAL por lo cual agradeceré de presentarse casos futuros de esta índole recurrir a las [Fuerzas Policiales]. […] El propósito de esto es evitar el manoseo de las instituciones tutelares de la Patria por elementos inmorales, en todos los niveles, así como salvaguardar la imagen de la burla que pretenden efectuar estos ciudadanos, con las instancias legales y quedar impunes</w:t>
      </w:r>
      <w:r w:rsidRPr="007A7743">
        <w:rPr>
          <w:rStyle w:val="FootnoteReference"/>
          <w:rFonts w:eastAsiaTheme="minorHAnsi" w:cs="Arial"/>
          <w:spacing w:val="-2"/>
          <w:sz w:val="16"/>
          <w:szCs w:val="20"/>
        </w:rPr>
        <w:footnoteReference w:id="279"/>
      </w:r>
      <w:r w:rsidRPr="007A7743">
        <w:rPr>
          <w:rFonts w:ascii="Verdana" w:hAnsi="Verdana" w:cs="Arial"/>
          <w:spacing w:val="-2"/>
          <w:sz w:val="16"/>
          <w:szCs w:val="20"/>
          <w:lang w:val="es-GT"/>
        </w:rPr>
        <w:t>.</w:t>
      </w:r>
    </w:p>
    <w:p w:rsidR="00C83100" w:rsidRPr="00F13F0B" w:rsidRDefault="00C83100" w:rsidP="00C83100">
      <w:pPr>
        <w:pStyle w:val="ListParagraph"/>
        <w:spacing w:line="240" w:lineRule="auto"/>
        <w:jc w:val="both"/>
        <w:rPr>
          <w:rFonts w:ascii="Verdana" w:hAnsi="Verdana" w:cs="Arial"/>
          <w:spacing w:val="-2"/>
          <w:sz w:val="20"/>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GT"/>
        </w:rPr>
        <w:t xml:space="preserve">Al respecto, la Corte considera que lejos de demostrar preocupación por posibles actos cometidos por personal del ejército y una disposición de colaboración con la </w:t>
      </w:r>
      <w:r w:rsidRPr="002964A7">
        <w:rPr>
          <w:rFonts w:ascii="Verdana" w:hAnsi="Verdana"/>
          <w:spacing w:val="-2"/>
          <w:sz w:val="20"/>
          <w:szCs w:val="20"/>
        </w:rPr>
        <w:lastRenderedPageBreak/>
        <w:t>investigación</w:t>
      </w:r>
      <w:r w:rsidRPr="002964A7">
        <w:rPr>
          <w:rFonts w:ascii="Verdana" w:hAnsi="Verdana"/>
          <w:spacing w:val="-2"/>
          <w:sz w:val="20"/>
          <w:szCs w:val="20"/>
          <w:lang w:val="es-GT"/>
        </w:rPr>
        <w:t xml:space="preserve">, la respuesta proporcionada por el </w:t>
      </w:r>
      <w:r w:rsidRPr="002964A7">
        <w:rPr>
          <w:rFonts w:ascii="Verdana" w:hAnsi="Verdana" w:cs="Arial"/>
          <w:spacing w:val="-2"/>
          <w:sz w:val="20"/>
          <w:szCs w:val="20"/>
          <w:lang w:val="es-GT"/>
        </w:rPr>
        <w:t>Jefe</w:t>
      </w:r>
      <w:r w:rsidRPr="002964A7">
        <w:rPr>
          <w:rFonts w:ascii="Verdana" w:hAnsi="Verdana"/>
          <w:spacing w:val="-2"/>
          <w:sz w:val="20"/>
          <w:szCs w:val="20"/>
          <w:lang w:val="es-GT"/>
        </w:rPr>
        <w:t xml:space="preserve"> Político Militar de Huancavelica estaba más bien orientada a que la Fiscal</w:t>
      </w:r>
      <w:r w:rsidRPr="002964A7">
        <w:rPr>
          <w:rFonts w:ascii="Verdana" w:hAnsi="Verdana"/>
          <w:spacing w:val="-2"/>
          <w:sz w:val="20"/>
          <w:szCs w:val="20"/>
        </w:rPr>
        <w:t xml:space="preserve"> </w:t>
      </w:r>
      <w:r w:rsidRPr="002964A7">
        <w:rPr>
          <w:rFonts w:ascii="Verdana" w:hAnsi="Verdana"/>
          <w:spacing w:val="-2"/>
          <w:sz w:val="20"/>
          <w:szCs w:val="20"/>
          <w:lang w:val="es-GT"/>
        </w:rPr>
        <w:t xml:space="preserve">Provincial Especial de Prevención del Delito de Huancavelica evitara dirigirse al mismo sobre este asunto.  </w:t>
      </w:r>
    </w:p>
    <w:p w:rsidR="00C83100" w:rsidRPr="002964A7" w:rsidRDefault="00C83100" w:rsidP="00C83100">
      <w:pPr>
        <w:pStyle w:val="Estilo5"/>
        <w:spacing w:after="0" w:line="240" w:lineRule="auto"/>
        <w:ind w:right="14"/>
        <w:rPr>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lang w:val="es-GT"/>
        </w:rPr>
        <w:t xml:space="preserve">En segundo lugar, la Corte ya estableció que, en reiteradas oportunidades, agentes del Estado </w:t>
      </w:r>
      <w:r>
        <w:rPr>
          <w:rFonts w:ascii="Verdana" w:hAnsi="Verdana"/>
          <w:iCs/>
          <w:sz w:val="20"/>
          <w:szCs w:val="20"/>
          <w:lang w:eastAsia="es-CR"/>
        </w:rPr>
        <w:t>intervinieron y</w:t>
      </w:r>
      <w:r w:rsidR="00C44026">
        <w:rPr>
          <w:rFonts w:ascii="Verdana" w:hAnsi="Verdana"/>
          <w:sz w:val="20"/>
          <w:szCs w:val="20"/>
          <w:lang w:eastAsia="es-CR"/>
        </w:rPr>
        <w:t xml:space="preserve"> dinamitaron</w:t>
      </w:r>
      <w:r w:rsidRPr="00445E80">
        <w:rPr>
          <w:rFonts w:ascii="Verdana" w:hAnsi="Verdana"/>
          <w:sz w:val="20"/>
          <w:szCs w:val="20"/>
          <w:lang w:eastAsia="es-CR"/>
        </w:rPr>
        <w:t xml:space="preserve"> </w:t>
      </w:r>
      <w:r>
        <w:rPr>
          <w:rFonts w:ascii="Verdana" w:hAnsi="Verdana"/>
          <w:sz w:val="20"/>
          <w:szCs w:val="20"/>
          <w:lang w:eastAsia="es-CR"/>
        </w:rPr>
        <w:t>el sitio de</w:t>
      </w:r>
      <w:r w:rsidRPr="002964A7">
        <w:rPr>
          <w:rFonts w:ascii="Verdana" w:hAnsi="Verdana"/>
          <w:spacing w:val="-2"/>
          <w:sz w:val="20"/>
          <w:szCs w:val="20"/>
          <w:lang w:val="es-GT"/>
        </w:rPr>
        <w:t xml:space="preserve"> la mina “Misteriosa” o “Vallarón”, con el fin de </w:t>
      </w:r>
      <w:r w:rsidRPr="00445E80">
        <w:rPr>
          <w:rFonts w:ascii="Verdana" w:hAnsi="Verdana"/>
          <w:sz w:val="20"/>
          <w:szCs w:val="20"/>
          <w:lang w:eastAsia="es-CR"/>
        </w:rPr>
        <w:t xml:space="preserve">desaparecer de manera definitiva la evidencia y </w:t>
      </w:r>
      <w:r w:rsidRPr="00445E80">
        <w:rPr>
          <w:rFonts w:ascii="Verdana" w:hAnsi="Verdana" w:cs="Times"/>
          <w:spacing w:val="-2"/>
          <w:sz w:val="20"/>
          <w:szCs w:val="20"/>
          <w:lang w:eastAsia="es-CR"/>
        </w:rPr>
        <w:t xml:space="preserve">borrar toda </w:t>
      </w:r>
      <w:r w:rsidRPr="00445E80">
        <w:rPr>
          <w:rFonts w:ascii="Verdana" w:hAnsi="Verdana" w:cs="Helvetica"/>
          <w:sz w:val="20"/>
          <w:szCs w:val="20"/>
          <w:lang w:eastAsia="es-CR" w:bidi="en-US"/>
        </w:rPr>
        <w:t>huella</w:t>
      </w:r>
      <w:r w:rsidRPr="00445E80">
        <w:rPr>
          <w:rFonts w:ascii="Verdana" w:hAnsi="Verdana" w:cs="Times"/>
          <w:spacing w:val="-2"/>
          <w:sz w:val="20"/>
          <w:szCs w:val="20"/>
          <w:lang w:eastAsia="es-CR"/>
        </w:rPr>
        <w:t xml:space="preserve"> material del crimen</w:t>
      </w:r>
      <w:r w:rsidRPr="002964A7">
        <w:rPr>
          <w:rFonts w:ascii="Verdana" w:hAnsi="Verdana"/>
          <w:spacing w:val="-2"/>
          <w:sz w:val="20"/>
          <w:szCs w:val="20"/>
          <w:lang w:val="es-GT"/>
        </w:rPr>
        <w:t xml:space="preserve"> (</w:t>
      </w:r>
      <w:r w:rsidRPr="002964A7">
        <w:rPr>
          <w:rFonts w:ascii="Verdana" w:hAnsi="Verdana"/>
          <w:i/>
          <w:spacing w:val="-2"/>
          <w:sz w:val="20"/>
          <w:szCs w:val="20"/>
          <w:lang w:val="es-GT"/>
        </w:rPr>
        <w:t xml:space="preserve">supra </w:t>
      </w:r>
      <w:r w:rsidRPr="002964A7">
        <w:rPr>
          <w:rFonts w:ascii="Verdana" w:hAnsi="Verdana"/>
          <w:spacing w:val="-2"/>
          <w:sz w:val="20"/>
          <w:szCs w:val="20"/>
          <w:lang w:val="es-GT"/>
        </w:rPr>
        <w:t xml:space="preserve">párr. </w:t>
      </w:r>
      <w:r>
        <w:rPr>
          <w:rFonts w:ascii="Verdana" w:hAnsi="Verdana"/>
          <w:spacing w:val="-2"/>
          <w:sz w:val="20"/>
          <w:szCs w:val="20"/>
          <w:lang w:val="es-GT"/>
        </w:rPr>
        <w:t>170</w:t>
      </w:r>
      <w:r w:rsidRPr="002964A7">
        <w:rPr>
          <w:rFonts w:ascii="Verdana" w:hAnsi="Verdana"/>
          <w:spacing w:val="-2"/>
          <w:sz w:val="20"/>
          <w:szCs w:val="20"/>
        </w:rPr>
        <w:t xml:space="preserve">). </w:t>
      </w:r>
    </w:p>
    <w:p w:rsidR="00C83100" w:rsidRPr="002964A7" w:rsidRDefault="00C83100" w:rsidP="00C83100">
      <w:pPr>
        <w:pStyle w:val="Estilo5"/>
        <w:spacing w:after="0" w:line="240" w:lineRule="auto"/>
        <w:ind w:right="14"/>
        <w:rPr>
          <w:sz w:val="20"/>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GT"/>
        </w:rPr>
        <w:t>En tercer lugar, consta en el expediente que el 14 de julio de 1991 miembros del ejército</w:t>
      </w:r>
      <w:r w:rsidRPr="002964A7">
        <w:rPr>
          <w:rStyle w:val="FootnoteReference"/>
          <w:rFonts w:eastAsiaTheme="minorHAnsi"/>
          <w:spacing w:val="-2"/>
          <w:szCs w:val="20"/>
        </w:rPr>
        <w:footnoteReference w:id="280"/>
      </w:r>
      <w:r w:rsidRPr="002964A7">
        <w:rPr>
          <w:rFonts w:ascii="Verdana" w:hAnsi="Verdana"/>
          <w:spacing w:val="-2"/>
          <w:sz w:val="20"/>
          <w:szCs w:val="20"/>
          <w:lang w:val="es-GT"/>
        </w:rPr>
        <w:t xml:space="preserve"> detuvieron en una casa abandonada, durante más de seis horas, alrededor de 18 </w:t>
      </w:r>
      <w:r w:rsidRPr="002964A7">
        <w:rPr>
          <w:rFonts w:ascii="Verdana" w:hAnsi="Verdana"/>
          <w:spacing w:val="-2"/>
          <w:sz w:val="20"/>
          <w:szCs w:val="20"/>
        </w:rPr>
        <w:t>comuneros</w:t>
      </w:r>
      <w:r w:rsidRPr="002964A7">
        <w:rPr>
          <w:rFonts w:ascii="Verdana" w:hAnsi="Verdana"/>
          <w:spacing w:val="-2"/>
          <w:sz w:val="20"/>
          <w:szCs w:val="20"/>
          <w:lang w:val="es-GT"/>
        </w:rPr>
        <w:t xml:space="preserve"> que se dirigían al levantamiento de los cuerpos</w:t>
      </w:r>
      <w:r w:rsidRPr="002964A7">
        <w:rPr>
          <w:rStyle w:val="FootnoteReference"/>
          <w:rFonts w:eastAsiaTheme="minorHAnsi"/>
          <w:spacing w:val="-2"/>
          <w:szCs w:val="20"/>
        </w:rPr>
        <w:footnoteReference w:id="281"/>
      </w:r>
      <w:r w:rsidRPr="002964A7">
        <w:rPr>
          <w:rFonts w:ascii="Verdana" w:hAnsi="Verdana"/>
          <w:spacing w:val="-2"/>
          <w:sz w:val="20"/>
          <w:szCs w:val="20"/>
          <w:lang w:val="es-GT"/>
        </w:rPr>
        <w:t xml:space="preserve"> </w:t>
      </w:r>
      <w:r w:rsidRPr="0006332E">
        <w:rPr>
          <w:rFonts w:ascii="Verdana" w:hAnsi="Verdana"/>
          <w:spacing w:val="-2"/>
          <w:sz w:val="20"/>
          <w:szCs w:val="20"/>
          <w:lang w:val="es-GT"/>
        </w:rPr>
        <w:t>que finalmente no se realizó sino hasta cuatro días después</w:t>
      </w:r>
      <w:r w:rsidRPr="002964A7">
        <w:rPr>
          <w:rFonts w:ascii="Verdana" w:hAnsi="Verdana"/>
          <w:spacing w:val="-2"/>
          <w:sz w:val="20"/>
          <w:szCs w:val="20"/>
          <w:lang w:val="es-GT"/>
        </w:rPr>
        <w:t xml:space="preserve">. Durante la detención, varios de los comuneros </w:t>
      </w:r>
      <w:r w:rsidRPr="0006332E">
        <w:rPr>
          <w:rFonts w:ascii="Verdana" w:hAnsi="Verdana"/>
          <w:spacing w:val="-2"/>
          <w:sz w:val="20"/>
          <w:szCs w:val="20"/>
          <w:lang w:val="es-GT"/>
        </w:rPr>
        <w:t>detenidos</w:t>
      </w:r>
      <w:r w:rsidRPr="002964A7">
        <w:rPr>
          <w:rFonts w:ascii="Verdana" w:hAnsi="Verdana"/>
          <w:spacing w:val="-2"/>
          <w:sz w:val="20"/>
          <w:szCs w:val="20"/>
          <w:lang w:val="es-GT"/>
        </w:rPr>
        <w:t xml:space="preserve"> escucharon explosiones en la dirección de la mina</w:t>
      </w:r>
      <w:r w:rsidRPr="002964A7">
        <w:rPr>
          <w:rStyle w:val="FootnoteReference"/>
          <w:rFonts w:eastAsiaTheme="minorHAnsi"/>
          <w:spacing w:val="-2"/>
          <w:szCs w:val="20"/>
        </w:rPr>
        <w:footnoteReference w:id="282"/>
      </w:r>
      <w:r w:rsidRPr="002964A7">
        <w:rPr>
          <w:rFonts w:ascii="Verdana" w:hAnsi="Verdana"/>
          <w:spacing w:val="-2"/>
          <w:sz w:val="20"/>
          <w:szCs w:val="20"/>
          <w:lang w:val="es-GT"/>
        </w:rPr>
        <w:t>. Así, dicha detención evitó que los comuneros llegaran al levantamiento de los cuerpos previsto para esa fecha</w:t>
      </w:r>
      <w:r>
        <w:rPr>
          <w:rFonts w:ascii="Verdana" w:hAnsi="Verdana"/>
          <w:spacing w:val="-2"/>
          <w:sz w:val="20"/>
          <w:szCs w:val="20"/>
          <w:lang w:val="es-GT"/>
        </w:rPr>
        <w:t>.</w:t>
      </w:r>
      <w:r w:rsidRPr="002964A7">
        <w:rPr>
          <w:rFonts w:ascii="Verdana" w:hAnsi="Verdana"/>
          <w:spacing w:val="-2"/>
          <w:sz w:val="20"/>
          <w:szCs w:val="20"/>
          <w:lang w:val="es-GT"/>
        </w:rPr>
        <w:t xml:space="preserve"> </w:t>
      </w:r>
      <w:r>
        <w:rPr>
          <w:rFonts w:ascii="Verdana" w:hAnsi="Verdana"/>
          <w:spacing w:val="-2"/>
          <w:sz w:val="20"/>
          <w:szCs w:val="20"/>
          <w:lang w:val="es-GT"/>
        </w:rPr>
        <w:t>A</w:t>
      </w:r>
      <w:r w:rsidRPr="002964A7">
        <w:rPr>
          <w:rFonts w:ascii="Verdana" w:hAnsi="Verdana"/>
          <w:spacing w:val="-2"/>
          <w:sz w:val="20"/>
          <w:szCs w:val="20"/>
          <w:lang w:val="es-GT"/>
        </w:rPr>
        <w:t>demás, fue percibida por al menos algunos de los comuneros como una amenaza</w:t>
      </w:r>
      <w:r w:rsidRPr="002964A7">
        <w:rPr>
          <w:rStyle w:val="FootnoteReference"/>
          <w:rFonts w:eastAsiaTheme="minorHAnsi"/>
          <w:spacing w:val="-2"/>
          <w:szCs w:val="20"/>
        </w:rPr>
        <w:footnoteReference w:id="283"/>
      </w:r>
      <w:r w:rsidRPr="002964A7">
        <w:rPr>
          <w:rFonts w:ascii="Verdana" w:hAnsi="Verdana"/>
          <w:spacing w:val="-2"/>
          <w:sz w:val="20"/>
          <w:szCs w:val="20"/>
          <w:lang w:val="es-GT"/>
        </w:rPr>
        <w:t xml:space="preserve"> y </w:t>
      </w:r>
      <w:r w:rsidRPr="002964A7">
        <w:rPr>
          <w:rFonts w:ascii="Verdana" w:hAnsi="Verdana"/>
          <w:spacing w:val="-2"/>
          <w:sz w:val="20"/>
          <w:szCs w:val="20"/>
          <w:lang w:val="es-PR"/>
        </w:rPr>
        <w:t>posiblemente</w:t>
      </w:r>
      <w:r w:rsidRPr="002964A7">
        <w:rPr>
          <w:rFonts w:ascii="Verdana" w:hAnsi="Verdana"/>
          <w:spacing w:val="-2"/>
          <w:sz w:val="20"/>
          <w:szCs w:val="20"/>
          <w:lang w:val="es-GT"/>
        </w:rPr>
        <w:t xml:space="preserve"> permitió la destrucción de evidencias con anterioridad al levantamiento de cadáveres que efectivamente se llevó a cabo el 18 de julio de 1991 (</w:t>
      </w:r>
      <w:r w:rsidRPr="002964A7">
        <w:rPr>
          <w:rFonts w:ascii="Verdana" w:hAnsi="Verdana"/>
          <w:i/>
          <w:spacing w:val="-2"/>
          <w:sz w:val="20"/>
          <w:szCs w:val="20"/>
          <w:lang w:val="es-GT"/>
        </w:rPr>
        <w:t xml:space="preserve">supra </w:t>
      </w:r>
      <w:r w:rsidRPr="002964A7">
        <w:rPr>
          <w:rFonts w:ascii="Verdana" w:hAnsi="Verdana"/>
          <w:spacing w:val="-2"/>
          <w:sz w:val="20"/>
          <w:szCs w:val="20"/>
          <w:lang w:val="es-GT"/>
        </w:rPr>
        <w:t xml:space="preserve">párr. </w:t>
      </w:r>
      <w:r>
        <w:rPr>
          <w:rFonts w:ascii="Verdana" w:hAnsi="Verdana"/>
          <w:spacing w:val="-2"/>
          <w:sz w:val="20"/>
          <w:szCs w:val="20"/>
          <w:lang w:val="es-GT"/>
        </w:rPr>
        <w:t>101</w:t>
      </w:r>
      <w:r w:rsidRPr="002964A7">
        <w:rPr>
          <w:rFonts w:ascii="Verdana" w:hAnsi="Verdana"/>
          <w:spacing w:val="-2"/>
          <w:sz w:val="20"/>
          <w:szCs w:val="20"/>
          <w:lang w:val="es-GT"/>
        </w:rPr>
        <w:t>).</w:t>
      </w:r>
      <w:r w:rsidRPr="002964A7">
        <w:rPr>
          <w:rFonts w:ascii="Verdana" w:hAnsi="Verdana"/>
          <w:spacing w:val="-2"/>
          <w:sz w:val="20"/>
          <w:szCs w:val="20"/>
          <w:u w:val="single"/>
          <w:lang w:val="es-GT"/>
        </w:rPr>
        <w:t xml:space="preserve"> </w:t>
      </w:r>
    </w:p>
    <w:p w:rsidR="00C83100" w:rsidRPr="002964A7" w:rsidRDefault="00C83100" w:rsidP="00C83100">
      <w:pPr>
        <w:pStyle w:val="Estilo5"/>
        <w:spacing w:after="0" w:line="240" w:lineRule="auto"/>
        <w:ind w:right="14"/>
        <w:rPr>
          <w:sz w:val="20"/>
          <w:szCs w:val="20"/>
        </w:rPr>
      </w:pPr>
    </w:p>
    <w:p w:rsidR="00C83100"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597FE9">
        <w:rPr>
          <w:rFonts w:ascii="Verdana" w:hAnsi="Verdana"/>
          <w:spacing w:val="-2"/>
          <w:sz w:val="20"/>
          <w:szCs w:val="20"/>
          <w:lang w:val="es-GT"/>
        </w:rPr>
        <w:t>En cuarto lugar, la Corte ya estableció que,</w:t>
      </w:r>
      <w:r w:rsidRPr="002964A7">
        <w:rPr>
          <w:rFonts w:ascii="Verdana" w:hAnsi="Verdana" w:cs="Arial"/>
          <w:spacing w:val="-2"/>
          <w:sz w:val="20"/>
          <w:szCs w:val="20"/>
          <w:lang w:val="es-GT"/>
        </w:rPr>
        <w:t xml:space="preserve"> según concluyó la Sala Penal Nacional de la Corte Superior de Justica de Lima (</w:t>
      </w:r>
      <w:r w:rsidRPr="002964A7">
        <w:rPr>
          <w:rFonts w:ascii="Verdana" w:hAnsi="Verdana" w:cs="Arial"/>
          <w:i/>
          <w:spacing w:val="-2"/>
          <w:sz w:val="20"/>
          <w:szCs w:val="20"/>
          <w:lang w:val="es-GT"/>
        </w:rPr>
        <w:t xml:space="preserve">supra </w:t>
      </w:r>
      <w:r w:rsidRPr="002964A7">
        <w:rPr>
          <w:rFonts w:ascii="Verdana" w:hAnsi="Verdana" w:cs="Arial"/>
          <w:spacing w:val="-2"/>
          <w:sz w:val="20"/>
          <w:szCs w:val="20"/>
          <w:lang w:val="es-GT"/>
        </w:rPr>
        <w:t xml:space="preserve">párr. </w:t>
      </w:r>
      <w:r>
        <w:rPr>
          <w:rFonts w:ascii="Verdana" w:hAnsi="Verdana" w:cs="Arial"/>
          <w:spacing w:val="-2"/>
          <w:sz w:val="20"/>
          <w:szCs w:val="20"/>
          <w:lang w:val="es-GT"/>
        </w:rPr>
        <w:t>173</w:t>
      </w:r>
      <w:r w:rsidRPr="002964A7">
        <w:rPr>
          <w:rFonts w:ascii="Verdana" w:hAnsi="Verdana" w:cs="Arial"/>
          <w:spacing w:val="-2"/>
          <w:sz w:val="20"/>
          <w:szCs w:val="20"/>
          <w:lang w:val="es-GT"/>
        </w:rPr>
        <w:t>),</w:t>
      </w:r>
      <w:r w:rsidRPr="002964A7">
        <w:rPr>
          <w:rFonts w:ascii="Verdana" w:hAnsi="Verdana"/>
          <w:bCs/>
          <w:spacing w:val="-2"/>
          <w:sz w:val="20"/>
          <w:szCs w:val="20"/>
          <w:lang w:val="es-GT"/>
        </w:rPr>
        <w:t xml:space="preserve"> el fuero militar “</w:t>
      </w:r>
      <w:r w:rsidRPr="002964A7">
        <w:rPr>
          <w:rFonts w:ascii="Verdana" w:hAnsi="Verdana"/>
          <w:spacing w:val="-2"/>
          <w:sz w:val="20"/>
          <w:szCs w:val="20"/>
          <w:lang w:val="es-GT"/>
        </w:rPr>
        <w:t xml:space="preserve">trat[ó] de encubrir las </w:t>
      </w:r>
      <w:r w:rsidRPr="002964A7">
        <w:rPr>
          <w:rFonts w:ascii="Verdana" w:hAnsi="Verdana"/>
          <w:spacing w:val="-2"/>
          <w:sz w:val="20"/>
          <w:szCs w:val="20"/>
        </w:rPr>
        <w:t>edades</w:t>
      </w:r>
      <w:r w:rsidRPr="002964A7">
        <w:rPr>
          <w:rFonts w:ascii="Verdana" w:hAnsi="Verdana"/>
          <w:spacing w:val="-2"/>
          <w:sz w:val="20"/>
          <w:szCs w:val="20"/>
          <w:lang w:val="es-GT"/>
        </w:rPr>
        <w:t xml:space="preserve"> reales de las víctimas [menores de edad, ordenando] la inscripción de las actas de defunción con edades que fluctuaban entre</w:t>
      </w:r>
      <w:r w:rsidRPr="002964A7">
        <w:rPr>
          <w:rFonts w:ascii="Verdana" w:hAnsi="Verdana" w:cs="Univers"/>
          <w:spacing w:val="-2"/>
          <w:sz w:val="20"/>
          <w:szCs w:val="20"/>
          <w:lang w:val="es-CO"/>
        </w:rPr>
        <w:t xml:space="preserve"> diecinueve y cuarenta y dos años, </w:t>
      </w:r>
      <w:r w:rsidRPr="002964A7">
        <w:rPr>
          <w:rFonts w:ascii="Verdana" w:hAnsi="Verdana"/>
          <w:spacing w:val="-2"/>
          <w:sz w:val="20"/>
          <w:szCs w:val="20"/>
          <w:lang w:val="es-GT"/>
        </w:rPr>
        <w:t>edades que les permitirían concluir que las</w:t>
      </w:r>
      <w:r w:rsidRPr="002964A7">
        <w:rPr>
          <w:rFonts w:ascii="Verdana" w:hAnsi="Verdana" w:cs="Univers"/>
          <w:spacing w:val="-2"/>
          <w:sz w:val="20"/>
          <w:szCs w:val="20"/>
          <w:lang w:val="es-CO"/>
        </w:rPr>
        <w:t xml:space="preserve"> </w:t>
      </w:r>
      <w:r w:rsidRPr="002964A7">
        <w:rPr>
          <w:rFonts w:ascii="Verdana" w:hAnsi="Verdana"/>
          <w:spacing w:val="-2"/>
          <w:sz w:val="20"/>
          <w:szCs w:val="20"/>
          <w:lang w:val="es-GT"/>
        </w:rPr>
        <w:t>muertes fueron producto de un enfrentamiento armado con elementos</w:t>
      </w:r>
      <w:r w:rsidRPr="002964A7">
        <w:rPr>
          <w:rFonts w:ascii="Verdana" w:hAnsi="Verdana" w:cs="Univers"/>
          <w:spacing w:val="-2"/>
          <w:sz w:val="20"/>
          <w:szCs w:val="20"/>
          <w:lang w:val="es-CO"/>
        </w:rPr>
        <w:t xml:space="preserve"> </w:t>
      </w:r>
      <w:r w:rsidRPr="002964A7">
        <w:rPr>
          <w:rFonts w:ascii="Verdana" w:hAnsi="Verdana"/>
          <w:spacing w:val="-2"/>
          <w:sz w:val="20"/>
          <w:szCs w:val="20"/>
          <w:lang w:val="es-GT"/>
        </w:rPr>
        <w:t>subversivos”</w:t>
      </w:r>
      <w:r w:rsidRPr="002964A7">
        <w:rPr>
          <w:rStyle w:val="FootnoteReference"/>
          <w:rFonts w:eastAsiaTheme="minorHAnsi"/>
          <w:spacing w:val="-2"/>
          <w:szCs w:val="20"/>
        </w:rPr>
        <w:footnoteReference w:id="284"/>
      </w:r>
      <w:r w:rsidRPr="002964A7">
        <w:rPr>
          <w:rFonts w:ascii="Verdana" w:hAnsi="Verdana"/>
          <w:spacing w:val="-2"/>
          <w:sz w:val="20"/>
          <w:szCs w:val="20"/>
          <w:lang w:val="es-GT"/>
        </w:rPr>
        <w:t>.</w:t>
      </w:r>
    </w:p>
    <w:p w:rsidR="00C83100" w:rsidRPr="005842E5" w:rsidRDefault="00C83100" w:rsidP="00C83100">
      <w:pPr>
        <w:pStyle w:val="ListParagraph"/>
        <w:rPr>
          <w:rFonts w:ascii="Verdana" w:hAnsi="Verdana"/>
          <w:spacing w:val="-2"/>
          <w:sz w:val="20"/>
          <w:szCs w:val="20"/>
          <w:lang w:val="es-GT"/>
        </w:rPr>
      </w:pPr>
    </w:p>
    <w:p w:rsidR="00C83100" w:rsidRPr="00C94FC4"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Verdana"/>
          <w:snapToGrid w:val="0"/>
          <w:spacing w:val="-2"/>
          <w:sz w:val="20"/>
          <w:szCs w:val="20"/>
          <w:lang w:val="es-ES_tradnl" w:eastAsia="es-ES"/>
        </w:rPr>
      </w:pPr>
      <w:r w:rsidRPr="00C94FC4">
        <w:rPr>
          <w:rFonts w:ascii="Verdana" w:hAnsi="Verdana" w:cs="Arial"/>
          <w:snapToGrid w:val="0"/>
          <w:spacing w:val="-2"/>
          <w:sz w:val="20"/>
          <w:szCs w:val="20"/>
          <w:lang w:val="es-ES_tradnl" w:eastAsia="es-ES"/>
        </w:rPr>
        <w:lastRenderedPageBreak/>
        <w:t>En quinto lugar, sobre</w:t>
      </w:r>
      <w:r w:rsidRPr="00C94FC4">
        <w:rPr>
          <w:rFonts w:ascii="Verdana" w:hAnsi="Verdana" w:cs="Verdana"/>
          <w:snapToGrid w:val="0"/>
          <w:spacing w:val="-2"/>
          <w:sz w:val="20"/>
          <w:szCs w:val="20"/>
          <w:lang w:val="es-ES_tradnl" w:eastAsia="es-ES"/>
        </w:rPr>
        <w:t xml:space="preserve"> la intervención de la jurisdicción militar en el presente caso,</w:t>
      </w:r>
      <w:r w:rsidRPr="00C94FC4">
        <w:rPr>
          <w:rFonts w:ascii="Verdana" w:hAnsi="Verdana"/>
          <w:snapToGrid w:val="0"/>
          <w:spacing w:val="-2"/>
          <w:sz w:val="20"/>
          <w:szCs w:val="20"/>
          <w:lang w:val="es-ES_tradnl" w:eastAsia="es-ES"/>
        </w:rPr>
        <w:t xml:space="preserve"> </w:t>
      </w:r>
      <w:r w:rsidRPr="00C94FC4">
        <w:rPr>
          <w:rFonts w:ascii="Verdana" w:hAnsi="Verdana" w:cs="Arial"/>
          <w:sz w:val="20"/>
          <w:szCs w:val="20"/>
          <w:lang w:val="es-GT"/>
        </w:rPr>
        <w:t xml:space="preserve">mediante Resolución de 28 de octubre de 1991 el Juez del Sexto Juzgado Militar Permanente de Ayacucho dispuso el avocamiento de la causa en el fuero castrense, y mediante sentencia de 16 de octubre de 1992 el Consejo de Guerra Permanente de la Segunda Zona Judicial del Ejército condenó a tres miembros del ejército, decisión confirmada el 10 de febrero de 1993 por la Sala de Revisión del Consejo Supremo </w:t>
      </w:r>
      <w:r w:rsidRPr="00C94FC4">
        <w:rPr>
          <w:rFonts w:ascii="Verdana" w:hAnsi="Verdana" w:cs="Arial"/>
          <w:iCs/>
          <w:sz w:val="20"/>
          <w:szCs w:val="20"/>
          <w:lang w:val="es-GT"/>
        </w:rPr>
        <w:t xml:space="preserve">de </w:t>
      </w:r>
      <w:r w:rsidRPr="00C94FC4">
        <w:rPr>
          <w:rFonts w:ascii="Verdana" w:hAnsi="Verdana" w:cs="Arial"/>
          <w:sz w:val="20"/>
          <w:szCs w:val="20"/>
          <w:lang w:val="es-GT"/>
        </w:rPr>
        <w:t xml:space="preserve">Justicia Militar. Asimismo, tras solicitudes por parte de CEAPAZ ante el Fiscal de la Nación y del señor Zósimo Hilario Quispe ante la Segunda Zona Judicial del Ejército en sentido que el caso fuera juzgado en el fuero ordinario, así como la contienda de competencia planteada por el Juez del Sexto Juzgado Militar Permanente de Ayacucho al Juez Instructor del Fuero Penal Común de Huancavelica, el 17 de </w:t>
      </w:r>
      <w:r w:rsidRPr="00C94FC4">
        <w:rPr>
          <w:rFonts w:ascii="Verdana" w:hAnsi="Verdana" w:cs="Arial"/>
          <w:spacing w:val="-2"/>
          <w:sz w:val="20"/>
          <w:szCs w:val="20"/>
          <w:lang w:val="es-GT"/>
        </w:rPr>
        <w:t>junio</w:t>
      </w:r>
      <w:r w:rsidRPr="00C94FC4">
        <w:rPr>
          <w:rFonts w:ascii="Verdana" w:hAnsi="Verdana" w:cs="Arial"/>
          <w:sz w:val="20"/>
          <w:szCs w:val="20"/>
          <w:lang w:val="es-GT"/>
        </w:rPr>
        <w:t xml:space="preserve"> de 1993 la Corte Suprema de Justicia de la República </w:t>
      </w:r>
      <w:r w:rsidRPr="00C94FC4">
        <w:rPr>
          <w:rFonts w:ascii="Verdana" w:hAnsi="Verdana"/>
          <w:sz w:val="20"/>
          <w:szCs w:val="20"/>
          <w:lang w:val="es-GT"/>
        </w:rPr>
        <w:t xml:space="preserve">resolvió que el caso debía ser investigado y juzgado en la jurisdicción ordinaria. Pese a ello, luego de la aplicación de las leyes de </w:t>
      </w:r>
      <w:r w:rsidRPr="00C94FC4">
        <w:rPr>
          <w:rFonts w:ascii="Verdana" w:hAnsi="Verdana" w:cs="Arial"/>
          <w:sz w:val="20"/>
          <w:szCs w:val="20"/>
          <w:lang w:val="es-GT"/>
        </w:rPr>
        <w:t>auto amnistía N</w:t>
      </w:r>
      <w:r>
        <w:rPr>
          <w:rFonts w:ascii="Verdana" w:hAnsi="Verdana" w:cs="Arial"/>
          <w:sz w:val="20"/>
          <w:szCs w:val="20"/>
          <w:lang w:val="es-GT"/>
        </w:rPr>
        <w:t>o.</w:t>
      </w:r>
      <w:r w:rsidRPr="00C94FC4">
        <w:rPr>
          <w:rFonts w:ascii="Verdana" w:hAnsi="Verdana" w:cs="Arial"/>
          <w:sz w:val="20"/>
          <w:szCs w:val="20"/>
          <w:lang w:val="es-GT"/>
        </w:rPr>
        <w:t xml:space="preserve"> 26.479 y N</w:t>
      </w:r>
      <w:r>
        <w:rPr>
          <w:rFonts w:ascii="Verdana" w:hAnsi="Verdana" w:cs="Arial"/>
          <w:sz w:val="20"/>
          <w:szCs w:val="20"/>
          <w:lang w:val="es-GT"/>
        </w:rPr>
        <w:t>o.</w:t>
      </w:r>
      <w:r w:rsidR="00C22CCE">
        <w:rPr>
          <w:rFonts w:ascii="Verdana" w:hAnsi="Verdana" w:cs="Arial"/>
          <w:sz w:val="20"/>
          <w:szCs w:val="20"/>
          <w:lang w:val="es-GT"/>
        </w:rPr>
        <w:t xml:space="preserve"> </w:t>
      </w:r>
      <w:r w:rsidRPr="00C94FC4">
        <w:rPr>
          <w:rFonts w:ascii="Verdana" w:hAnsi="Verdana" w:cs="Arial"/>
          <w:sz w:val="20"/>
          <w:szCs w:val="20"/>
          <w:lang w:val="es-GT"/>
        </w:rPr>
        <w:t>26.492 y la emisión de la</w:t>
      </w:r>
      <w:r>
        <w:rPr>
          <w:rFonts w:ascii="Verdana" w:hAnsi="Verdana" w:cs="Arial"/>
          <w:sz w:val="20"/>
          <w:szCs w:val="20"/>
          <w:lang w:val="es-GT"/>
        </w:rPr>
        <w:t>s</w:t>
      </w:r>
      <w:r w:rsidRPr="00C94FC4">
        <w:rPr>
          <w:rFonts w:ascii="Verdana" w:hAnsi="Verdana" w:cs="Arial"/>
          <w:sz w:val="20"/>
          <w:szCs w:val="20"/>
          <w:lang w:val="es-GT"/>
        </w:rPr>
        <w:t xml:space="preserve"> Sentencia</w:t>
      </w:r>
      <w:r>
        <w:rPr>
          <w:rFonts w:ascii="Verdana" w:hAnsi="Verdana" w:cs="Arial"/>
          <w:sz w:val="20"/>
          <w:szCs w:val="20"/>
          <w:lang w:val="es-GT"/>
        </w:rPr>
        <w:t>s</w:t>
      </w:r>
      <w:r w:rsidRPr="00C94FC4">
        <w:rPr>
          <w:rFonts w:ascii="Verdana" w:hAnsi="Verdana" w:cs="Arial"/>
          <w:sz w:val="20"/>
          <w:szCs w:val="20"/>
          <w:lang w:val="es-GT"/>
        </w:rPr>
        <w:t xml:space="preserve"> de esta Corte en el </w:t>
      </w:r>
      <w:r w:rsidRPr="00C94FC4">
        <w:rPr>
          <w:rFonts w:ascii="Verdana" w:hAnsi="Verdana" w:cs="Arial"/>
          <w:i/>
          <w:sz w:val="20"/>
          <w:szCs w:val="20"/>
          <w:lang w:val="es-GT"/>
        </w:rPr>
        <w:t xml:space="preserve">Caso Barrios Altos Vs. Perú </w:t>
      </w:r>
      <w:r w:rsidRPr="00C94FC4">
        <w:rPr>
          <w:rFonts w:ascii="Verdana" w:hAnsi="Verdana" w:cs="Arial"/>
          <w:sz w:val="20"/>
          <w:szCs w:val="20"/>
          <w:lang w:val="es-GT"/>
        </w:rPr>
        <w:t>que las declaró incompatibles con la Convención Americana, el 28 de junio de 2002 la Sala Plena del Consejo Supremo de Justicia Militar ordenó reabrir la causa en el fuero militar en etapa de ejecución de sentencia</w:t>
      </w:r>
      <w:r w:rsidRPr="00C94FC4">
        <w:rPr>
          <w:rFonts w:ascii="Verdana" w:hAnsi="Verdana" w:cs="Verdana"/>
          <w:snapToGrid w:val="0"/>
          <w:spacing w:val="-2"/>
          <w:sz w:val="20"/>
          <w:szCs w:val="20"/>
          <w:lang w:val="es-ES_tradnl" w:eastAsia="es-ES"/>
        </w:rPr>
        <w:t xml:space="preserve"> (</w:t>
      </w:r>
      <w:r w:rsidRPr="00C94FC4">
        <w:rPr>
          <w:rFonts w:ascii="Verdana" w:hAnsi="Verdana" w:cs="Verdana"/>
          <w:i/>
          <w:snapToGrid w:val="0"/>
          <w:spacing w:val="-2"/>
          <w:sz w:val="20"/>
          <w:szCs w:val="20"/>
          <w:lang w:val="es-ES_tradnl" w:eastAsia="es-ES"/>
        </w:rPr>
        <w:t xml:space="preserve">supra </w:t>
      </w:r>
      <w:r w:rsidRPr="00C94FC4">
        <w:rPr>
          <w:rFonts w:ascii="Verdana" w:hAnsi="Verdana" w:cs="Verdana"/>
          <w:snapToGrid w:val="0"/>
          <w:spacing w:val="-2"/>
          <w:sz w:val="20"/>
          <w:szCs w:val="20"/>
          <w:lang w:val="es-ES_tradnl" w:eastAsia="es-ES"/>
        </w:rPr>
        <w:t>párr</w:t>
      </w:r>
      <w:r>
        <w:rPr>
          <w:rFonts w:ascii="Verdana" w:hAnsi="Verdana" w:cs="Verdana"/>
          <w:snapToGrid w:val="0"/>
          <w:spacing w:val="-2"/>
          <w:sz w:val="20"/>
          <w:szCs w:val="20"/>
          <w:lang w:val="es-ES_tradnl" w:eastAsia="es-ES"/>
        </w:rPr>
        <w:t>s</w:t>
      </w:r>
      <w:r w:rsidRPr="00C94FC4">
        <w:rPr>
          <w:rFonts w:ascii="Verdana" w:hAnsi="Verdana" w:cs="Verdana"/>
          <w:snapToGrid w:val="0"/>
          <w:spacing w:val="-2"/>
          <w:sz w:val="20"/>
          <w:szCs w:val="20"/>
          <w:lang w:val="es-ES_tradnl" w:eastAsia="es-ES"/>
        </w:rPr>
        <w:t xml:space="preserve">. </w:t>
      </w:r>
      <w:r>
        <w:rPr>
          <w:rFonts w:ascii="Verdana" w:hAnsi="Verdana" w:cs="Verdana"/>
          <w:snapToGrid w:val="0"/>
          <w:spacing w:val="-2"/>
          <w:sz w:val="20"/>
          <w:szCs w:val="20"/>
          <w:lang w:val="es-ES_tradnl" w:eastAsia="es-ES"/>
        </w:rPr>
        <w:t>106 a 115 y 121 a 123</w:t>
      </w:r>
      <w:r w:rsidRPr="00C94FC4">
        <w:rPr>
          <w:rFonts w:ascii="Verdana" w:hAnsi="Verdana" w:cs="Verdana"/>
          <w:snapToGrid w:val="0"/>
          <w:spacing w:val="-2"/>
          <w:sz w:val="20"/>
          <w:szCs w:val="20"/>
          <w:lang w:val="es-ES_tradnl" w:eastAsia="es-ES"/>
        </w:rPr>
        <w:t xml:space="preserve">). La Corte no cuenta con información respecto a lo sucedido posteriormente en la jurisdicción castrense. </w:t>
      </w:r>
    </w:p>
    <w:p w:rsidR="00C83100" w:rsidRPr="00C94FC4" w:rsidRDefault="00C83100" w:rsidP="00C83100">
      <w:pPr>
        <w:pStyle w:val="ListParagraph"/>
        <w:rPr>
          <w:rFonts w:ascii="Verdana" w:hAnsi="Verdana" w:cs="Verdana"/>
          <w:snapToGrid w:val="0"/>
          <w:spacing w:val="-2"/>
          <w:sz w:val="20"/>
          <w:szCs w:val="20"/>
          <w:lang w:val="es-ES_tradnl" w:eastAsia="es-ES"/>
        </w:rPr>
      </w:pPr>
    </w:p>
    <w:p w:rsidR="00C83100" w:rsidRPr="00C94FC4"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napToGrid w:val="0"/>
          <w:spacing w:val="-2"/>
          <w:sz w:val="20"/>
          <w:szCs w:val="20"/>
          <w:lang w:val="es-ES_tradnl" w:eastAsia="es-ES"/>
        </w:rPr>
      </w:pPr>
      <w:r w:rsidRPr="00C94FC4">
        <w:rPr>
          <w:rFonts w:ascii="Verdana" w:hAnsi="Verdana" w:cs="Verdana"/>
          <w:snapToGrid w:val="0"/>
          <w:spacing w:val="-2"/>
          <w:sz w:val="20"/>
          <w:szCs w:val="20"/>
          <w:lang w:val="es-ES_tradnl" w:eastAsia="es-ES"/>
        </w:rPr>
        <w:t xml:space="preserve">Al respecto, este Tribunal recuerda su abundante y constante jurisprudencia sobre la intervención de la jurisdicción militar para conocer hechos que constituyen </w:t>
      </w:r>
      <w:r w:rsidRPr="00C94FC4">
        <w:rPr>
          <w:rFonts w:ascii="Verdana" w:hAnsi="Verdana" w:cs="Arial"/>
          <w:sz w:val="20"/>
          <w:szCs w:val="20"/>
          <w:lang w:val="es-GT"/>
        </w:rPr>
        <w:t>violaciones</w:t>
      </w:r>
      <w:r w:rsidRPr="00C94FC4">
        <w:rPr>
          <w:rFonts w:ascii="Verdana" w:hAnsi="Verdana" w:cs="Verdana"/>
          <w:snapToGrid w:val="0"/>
          <w:spacing w:val="-2"/>
          <w:sz w:val="20"/>
          <w:szCs w:val="20"/>
          <w:lang w:val="es-ES_tradnl" w:eastAsia="es-ES"/>
        </w:rPr>
        <w:t xml:space="preserve"> a derechos humanos</w:t>
      </w:r>
      <w:r w:rsidRPr="00C94FC4">
        <w:rPr>
          <w:rFonts w:ascii="Verdana" w:hAnsi="Verdana"/>
          <w:snapToGrid w:val="0"/>
          <w:spacing w:val="-2"/>
          <w:sz w:val="20"/>
          <w:szCs w:val="20"/>
          <w:vertAlign w:val="superscript"/>
          <w:lang w:val="es-ES_tradnl" w:eastAsia="es-ES"/>
        </w:rPr>
        <w:footnoteReference w:id="285"/>
      </w:r>
      <w:r w:rsidRPr="00C94FC4">
        <w:rPr>
          <w:rFonts w:ascii="Verdana" w:hAnsi="Verdana" w:cs="Verdana"/>
          <w:snapToGrid w:val="0"/>
          <w:spacing w:val="-2"/>
          <w:sz w:val="20"/>
          <w:szCs w:val="20"/>
          <w:lang w:val="es-ES_tradnl" w:eastAsia="es-ES"/>
        </w:rPr>
        <w:t xml:space="preserve"> y a efectos del presente caso considera suficiente reiterar que en un Estado </w:t>
      </w:r>
      <w:r w:rsidRPr="00C94FC4">
        <w:rPr>
          <w:rFonts w:ascii="Verdana" w:hAnsi="Verdana"/>
          <w:spacing w:val="-2"/>
          <w:sz w:val="20"/>
          <w:szCs w:val="20"/>
          <w:lang w:val="es-PR"/>
        </w:rPr>
        <w:t>democrático</w:t>
      </w:r>
      <w:r w:rsidRPr="00C94FC4">
        <w:rPr>
          <w:rFonts w:ascii="Verdana" w:hAnsi="Verdana" w:cs="Verdana"/>
          <w:snapToGrid w:val="0"/>
          <w:spacing w:val="-2"/>
          <w:sz w:val="20"/>
          <w:szCs w:val="20"/>
          <w:lang w:val="es-ES_tradnl" w:eastAsia="es-ES"/>
        </w:rPr>
        <w:t xml:space="preserve"> de derecho, la jurisdicción penal militar ha de tener un alcance restrictivo y excepcional y est</w:t>
      </w:r>
      <w:r>
        <w:rPr>
          <w:rFonts w:ascii="Verdana" w:hAnsi="Verdana" w:cs="Verdana"/>
          <w:snapToGrid w:val="0"/>
          <w:spacing w:val="-2"/>
          <w:sz w:val="20"/>
          <w:szCs w:val="20"/>
          <w:lang w:val="es-ES_tradnl" w:eastAsia="es-ES"/>
        </w:rPr>
        <w:t>ar</w:t>
      </w:r>
      <w:r w:rsidRPr="00C94FC4">
        <w:rPr>
          <w:rFonts w:ascii="Verdana" w:hAnsi="Verdana" w:cs="Verdana"/>
          <w:snapToGrid w:val="0"/>
          <w:spacing w:val="-2"/>
          <w:sz w:val="20"/>
          <w:szCs w:val="20"/>
          <w:lang w:val="es-ES_tradnl" w:eastAsia="es-ES"/>
        </w:rPr>
        <w:t xml:space="preserve"> encaminada a la protección de intereses jurídicos especiales, vinculados a las funciones propias de las fuerzas militares. Por ello, el Tribunal ha señalado anteriormente que en el fuero militar s</w:t>
      </w:r>
      <w:r w:rsidR="005E414F">
        <w:rPr>
          <w:rFonts w:ascii="Verdana" w:hAnsi="Verdana" w:cs="Verdana"/>
          <w:snapToGrid w:val="0"/>
          <w:spacing w:val="-2"/>
          <w:sz w:val="20"/>
          <w:szCs w:val="20"/>
          <w:lang w:val="es-ES_tradnl" w:eastAsia="es-ES"/>
        </w:rPr>
        <w:t>o</w:t>
      </w:r>
      <w:r w:rsidRPr="00C94FC4">
        <w:rPr>
          <w:rFonts w:ascii="Verdana" w:hAnsi="Verdana" w:cs="Verdana"/>
          <w:snapToGrid w:val="0"/>
          <w:spacing w:val="-2"/>
          <w:sz w:val="20"/>
          <w:szCs w:val="20"/>
          <w:lang w:val="es-ES_tradnl" w:eastAsia="es-ES"/>
        </w:rPr>
        <w:t>lo se debe juzgar a militares activos por la comisión de delitos o faltas que por su propia naturaleza atenten contra bienes jurídicos propios del orden militar</w:t>
      </w:r>
      <w:r w:rsidRPr="00C94FC4">
        <w:rPr>
          <w:rFonts w:ascii="Verdana" w:hAnsi="Verdana" w:cs="Verdana"/>
          <w:snapToGrid w:val="0"/>
          <w:spacing w:val="-2"/>
          <w:sz w:val="20"/>
          <w:szCs w:val="20"/>
          <w:vertAlign w:val="superscript"/>
          <w:lang w:val="es-ES_tradnl" w:eastAsia="es-ES"/>
        </w:rPr>
        <w:footnoteReference w:id="286"/>
      </w:r>
      <w:r w:rsidRPr="00C94FC4">
        <w:rPr>
          <w:rFonts w:ascii="Verdana" w:hAnsi="Verdana" w:cs="Verdana"/>
          <w:snapToGrid w:val="0"/>
          <w:spacing w:val="-2"/>
          <w:sz w:val="20"/>
          <w:szCs w:val="20"/>
          <w:lang w:val="es-ES_tradnl" w:eastAsia="es-ES"/>
        </w:rPr>
        <w:t>.</w:t>
      </w:r>
      <w:r w:rsidRPr="00C94FC4">
        <w:rPr>
          <w:rFonts w:ascii="Verdana" w:hAnsi="Verdana"/>
          <w:snapToGrid w:val="0"/>
          <w:spacing w:val="-2"/>
          <w:sz w:val="20"/>
          <w:szCs w:val="20"/>
          <w:lang w:val="es-ES_tradnl" w:eastAsia="es-ES"/>
        </w:rPr>
        <w:t xml:space="preserve"> </w:t>
      </w:r>
      <w:r w:rsidRPr="00C94FC4">
        <w:rPr>
          <w:rFonts w:ascii="Verdana" w:hAnsi="Verdana"/>
          <w:snapToGrid w:val="0"/>
          <w:spacing w:val="-2"/>
          <w:sz w:val="20"/>
          <w:szCs w:val="20"/>
          <w:lang w:val="es-ES" w:eastAsia="es-ES"/>
        </w:rPr>
        <w:t xml:space="preserve">Asimismo, tomando en cuenta </w:t>
      </w:r>
      <w:r w:rsidRPr="00C94FC4">
        <w:rPr>
          <w:rFonts w:ascii="Verdana" w:hAnsi="Verdana"/>
          <w:snapToGrid w:val="0"/>
          <w:spacing w:val="-2"/>
          <w:sz w:val="20"/>
          <w:szCs w:val="20"/>
          <w:lang w:val="es-ES_tradnl" w:eastAsia="es-ES"/>
        </w:rPr>
        <w:t xml:space="preserve">la naturaleza del crimen y </w:t>
      </w:r>
      <w:r w:rsidRPr="00C94FC4">
        <w:rPr>
          <w:rFonts w:ascii="Verdana" w:hAnsi="Verdana"/>
          <w:snapToGrid w:val="0"/>
          <w:spacing w:val="-2"/>
          <w:sz w:val="20"/>
          <w:szCs w:val="20"/>
          <w:lang w:val="es-ES" w:eastAsia="es-ES"/>
        </w:rPr>
        <w:t xml:space="preserve">el bien jurídico lesionado, la jurisdicción penal militar no es el fuero competente para investigar y, en su caso, juzgar y </w:t>
      </w:r>
      <w:r w:rsidRPr="00C94FC4">
        <w:rPr>
          <w:rFonts w:ascii="Verdana" w:hAnsi="Verdana"/>
          <w:spacing w:val="-2"/>
          <w:sz w:val="20"/>
          <w:szCs w:val="20"/>
        </w:rPr>
        <w:t>sancionar</w:t>
      </w:r>
      <w:r w:rsidRPr="00C94FC4">
        <w:rPr>
          <w:rFonts w:ascii="Verdana" w:hAnsi="Verdana"/>
          <w:snapToGrid w:val="0"/>
          <w:spacing w:val="-2"/>
          <w:sz w:val="20"/>
          <w:szCs w:val="20"/>
          <w:lang w:val="es-ES" w:eastAsia="es-ES"/>
        </w:rPr>
        <w:t xml:space="preserve"> a los </w:t>
      </w:r>
      <w:r w:rsidRPr="00C94FC4">
        <w:rPr>
          <w:rFonts w:ascii="Verdana" w:hAnsi="Verdana" w:cs="Verdana"/>
          <w:snapToGrid w:val="0"/>
          <w:spacing w:val="-2"/>
          <w:sz w:val="20"/>
          <w:szCs w:val="20"/>
          <w:lang w:val="es-ES_tradnl" w:eastAsia="es-ES"/>
        </w:rPr>
        <w:t>autores</w:t>
      </w:r>
      <w:r w:rsidRPr="00C94FC4">
        <w:rPr>
          <w:rFonts w:ascii="Verdana" w:hAnsi="Verdana"/>
          <w:snapToGrid w:val="0"/>
          <w:spacing w:val="-2"/>
          <w:sz w:val="20"/>
          <w:szCs w:val="20"/>
          <w:lang w:val="es-ES" w:eastAsia="es-ES"/>
        </w:rPr>
        <w:t xml:space="preserve"> de violaciones de derechos humanos sino que el procesamiento de los responsables corresponde siempre a la justicia ordinaria. </w:t>
      </w:r>
    </w:p>
    <w:p w:rsidR="00C83100" w:rsidRPr="00C94FC4" w:rsidRDefault="00C83100" w:rsidP="00C83100">
      <w:pPr>
        <w:spacing w:after="0" w:line="240" w:lineRule="auto"/>
        <w:rPr>
          <w:rFonts w:ascii="Verdana" w:hAnsi="Verdana"/>
          <w:snapToGrid w:val="0"/>
          <w:spacing w:val="-2"/>
          <w:sz w:val="20"/>
          <w:szCs w:val="20"/>
          <w:lang w:val="es-ES_tradnl" w:eastAsia="es-ES"/>
        </w:rPr>
      </w:pPr>
    </w:p>
    <w:p w:rsidR="00C83100" w:rsidRPr="00C94FC4"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Verdana"/>
          <w:snapToGrid w:val="0"/>
          <w:spacing w:val="-2"/>
          <w:sz w:val="20"/>
          <w:szCs w:val="20"/>
          <w:lang w:val="es-ES_tradnl" w:eastAsia="es-ES"/>
        </w:rPr>
      </w:pPr>
      <w:r w:rsidRPr="00C94FC4">
        <w:rPr>
          <w:rFonts w:ascii="Verdana" w:hAnsi="Verdana"/>
          <w:bCs/>
          <w:snapToGrid w:val="0"/>
          <w:spacing w:val="-2"/>
          <w:sz w:val="20"/>
          <w:szCs w:val="20"/>
          <w:lang w:val="es-ES" w:eastAsia="es-ES"/>
        </w:rPr>
        <w:t>Por otra parte, l</w:t>
      </w:r>
      <w:r w:rsidRPr="00C94FC4">
        <w:rPr>
          <w:rFonts w:ascii="Verdana" w:hAnsi="Verdana" w:cs="Arial"/>
          <w:snapToGrid w:val="0"/>
          <w:spacing w:val="-2"/>
          <w:sz w:val="20"/>
          <w:szCs w:val="20"/>
          <w:lang w:val="es-ES_tradnl" w:eastAsia="es-ES"/>
        </w:rPr>
        <w:t>a Corte hace notar que</w:t>
      </w:r>
      <w:r w:rsidRPr="00C94FC4">
        <w:rPr>
          <w:rFonts w:ascii="Verdana" w:hAnsi="Verdana" w:cs="Verdana"/>
          <w:snapToGrid w:val="0"/>
          <w:spacing w:val="-2"/>
          <w:sz w:val="20"/>
          <w:szCs w:val="20"/>
          <w:lang w:val="es-ES_tradnl" w:eastAsia="es-ES"/>
        </w:rPr>
        <w:t xml:space="preserve">, por lo menos a partir de </w:t>
      </w:r>
      <w:r w:rsidRPr="00C94FC4">
        <w:rPr>
          <w:rFonts w:ascii="Verdana" w:hAnsi="Verdana"/>
          <w:snapToGrid w:val="0"/>
          <w:spacing w:val="-2"/>
          <w:sz w:val="20"/>
          <w:szCs w:val="20"/>
          <w:lang w:val="es-ES_tradnl" w:eastAsia="es-ES"/>
        </w:rPr>
        <w:t xml:space="preserve">la sentencia del </w:t>
      </w:r>
      <w:r w:rsidRPr="00C94FC4">
        <w:rPr>
          <w:rFonts w:ascii="Verdana" w:hAnsi="Verdana"/>
          <w:i/>
          <w:snapToGrid w:val="0"/>
          <w:spacing w:val="-2"/>
          <w:sz w:val="20"/>
          <w:szCs w:val="20"/>
          <w:lang w:val="es-ES_tradnl" w:eastAsia="es-ES"/>
        </w:rPr>
        <w:t>caso Durand y Ugarte Vs. Perú</w:t>
      </w:r>
      <w:r w:rsidRPr="00C94FC4">
        <w:rPr>
          <w:rFonts w:ascii="Verdana" w:hAnsi="Verdana"/>
          <w:snapToGrid w:val="0"/>
          <w:spacing w:val="-2"/>
          <w:sz w:val="20"/>
          <w:szCs w:val="20"/>
          <w:lang w:val="es-ES_tradnl" w:eastAsia="es-ES"/>
        </w:rPr>
        <w:t>, ha sido el criterio jurisprudencial constante</w:t>
      </w:r>
      <w:r w:rsidRPr="00C94FC4">
        <w:rPr>
          <w:rFonts w:ascii="Verdana" w:hAnsi="Verdana" w:cs="Verdana"/>
          <w:snapToGrid w:val="0"/>
          <w:spacing w:val="-2"/>
          <w:sz w:val="20"/>
          <w:szCs w:val="20"/>
          <w:lang w:val="es-ES_tradnl" w:eastAsia="es-ES"/>
        </w:rPr>
        <w:t xml:space="preserve"> que la jurisdicción militar no es el </w:t>
      </w:r>
      <w:r w:rsidRPr="00C94FC4">
        <w:rPr>
          <w:rFonts w:ascii="Verdana" w:hAnsi="Verdana" w:cs="Verdana"/>
          <w:spacing w:val="-2"/>
          <w:sz w:val="20"/>
          <w:szCs w:val="20"/>
          <w:lang w:val="es-PR"/>
        </w:rPr>
        <w:t>fuero</w:t>
      </w:r>
      <w:r w:rsidRPr="00C94FC4">
        <w:rPr>
          <w:rFonts w:ascii="Verdana" w:hAnsi="Verdana" w:cs="Verdana"/>
          <w:snapToGrid w:val="0"/>
          <w:spacing w:val="-2"/>
          <w:sz w:val="20"/>
          <w:szCs w:val="20"/>
          <w:lang w:val="es-ES_tradnl" w:eastAsia="es-ES"/>
        </w:rPr>
        <w:t xml:space="preserve"> competente para investigar y, en su caso, juzgar y sancionar a los autores de alegadas vulneraciones de derechos humanos</w:t>
      </w:r>
      <w:r w:rsidRPr="00C94FC4">
        <w:rPr>
          <w:rFonts w:ascii="Verdana" w:hAnsi="Verdana"/>
          <w:snapToGrid w:val="0"/>
          <w:spacing w:val="-2"/>
          <w:sz w:val="20"/>
          <w:szCs w:val="20"/>
          <w:vertAlign w:val="superscript"/>
          <w:lang w:val="es-ES_tradnl" w:eastAsia="es-ES"/>
        </w:rPr>
        <w:footnoteReference w:id="287"/>
      </w:r>
      <w:r w:rsidRPr="00C94FC4">
        <w:rPr>
          <w:rFonts w:ascii="Verdana" w:hAnsi="Verdana" w:cs="Verdana"/>
          <w:snapToGrid w:val="0"/>
          <w:spacing w:val="-2"/>
          <w:sz w:val="20"/>
          <w:szCs w:val="20"/>
          <w:lang w:val="es-ES_tradnl" w:eastAsia="es-ES"/>
        </w:rPr>
        <w:t xml:space="preserve">. La situación fáctica del caso </w:t>
      </w:r>
      <w:r w:rsidRPr="00C94FC4">
        <w:rPr>
          <w:rFonts w:ascii="Verdana" w:hAnsi="Verdana" w:cs="Verdana"/>
          <w:i/>
          <w:snapToGrid w:val="0"/>
          <w:spacing w:val="-2"/>
          <w:sz w:val="20"/>
          <w:szCs w:val="20"/>
          <w:lang w:val="es-ES_tradnl" w:eastAsia="es-ES"/>
        </w:rPr>
        <w:t xml:space="preserve">Durand y Ugarte </w:t>
      </w:r>
      <w:r w:rsidRPr="00C94FC4">
        <w:rPr>
          <w:rFonts w:ascii="Verdana" w:hAnsi="Verdana" w:cs="Verdana"/>
          <w:snapToGrid w:val="0"/>
          <w:spacing w:val="-2"/>
          <w:sz w:val="20"/>
          <w:szCs w:val="20"/>
          <w:lang w:val="es-ES_tradnl" w:eastAsia="es-ES"/>
        </w:rPr>
        <w:t>se refiere a hechos ocurridos en 1986</w:t>
      </w:r>
      <w:r w:rsidRPr="00C94FC4">
        <w:rPr>
          <w:rFonts w:ascii="Verdana" w:hAnsi="Verdana"/>
          <w:snapToGrid w:val="0"/>
          <w:spacing w:val="-2"/>
          <w:sz w:val="20"/>
          <w:szCs w:val="20"/>
          <w:vertAlign w:val="superscript"/>
          <w:lang w:val="es-ES_tradnl" w:eastAsia="es-ES"/>
        </w:rPr>
        <w:footnoteReference w:id="288"/>
      </w:r>
      <w:r w:rsidRPr="00C94FC4">
        <w:rPr>
          <w:rFonts w:ascii="Verdana" w:hAnsi="Verdana" w:cs="Verdana"/>
          <w:snapToGrid w:val="0"/>
          <w:spacing w:val="-2"/>
          <w:sz w:val="20"/>
          <w:szCs w:val="20"/>
          <w:lang w:val="es-ES_tradnl" w:eastAsia="es-ES"/>
        </w:rPr>
        <w:t>, por lo cual este Tribunal considera que dicha consideración también es aplicable en el presente caso</w:t>
      </w:r>
      <w:r>
        <w:rPr>
          <w:rFonts w:ascii="Verdana" w:hAnsi="Verdana" w:cs="Verdana"/>
          <w:snapToGrid w:val="0"/>
          <w:spacing w:val="-2"/>
          <w:sz w:val="20"/>
          <w:szCs w:val="20"/>
          <w:lang w:val="es-ES_tradnl" w:eastAsia="es-ES"/>
        </w:rPr>
        <w:t>,</w:t>
      </w:r>
      <w:r w:rsidRPr="00C94FC4">
        <w:rPr>
          <w:rFonts w:ascii="Verdana" w:hAnsi="Verdana" w:cs="Verdana"/>
          <w:snapToGrid w:val="0"/>
          <w:spacing w:val="-2"/>
          <w:sz w:val="20"/>
          <w:szCs w:val="20"/>
          <w:lang w:val="es-ES_tradnl" w:eastAsia="es-ES"/>
        </w:rPr>
        <w:t xml:space="preserve"> donde los hechos ocurrieron en julio de 1991. Por consiguiente, la intervención del fuero militar en la investigación de la desaparición forzada de 15 víctimas del presente caso constituyó un elemento adicional que obstaculizó la investigación. </w:t>
      </w:r>
    </w:p>
    <w:p w:rsidR="00C83100" w:rsidRPr="00C94FC4" w:rsidRDefault="00C83100" w:rsidP="00C83100">
      <w:pPr>
        <w:pStyle w:val="ListParagraph"/>
        <w:autoSpaceDE w:val="0"/>
        <w:autoSpaceDN w:val="0"/>
        <w:adjustRightInd w:val="0"/>
        <w:spacing w:after="0" w:line="240" w:lineRule="auto"/>
        <w:ind w:left="0"/>
        <w:jc w:val="both"/>
        <w:rPr>
          <w:rFonts w:ascii="Verdana" w:hAnsi="Verdana" w:cs="Verdana"/>
          <w:spacing w:val="-2"/>
          <w:sz w:val="20"/>
          <w:szCs w:val="20"/>
          <w:lang w:val="es-ES_tradnl"/>
        </w:rPr>
      </w:pPr>
    </w:p>
    <w:p w:rsidR="00C83100" w:rsidRPr="00C94FC4"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Times New Roman"/>
          <w:sz w:val="20"/>
          <w:szCs w:val="20"/>
          <w:lang w:val="es-ES_tradnl"/>
        </w:rPr>
      </w:pPr>
      <w:r w:rsidRPr="00C94FC4">
        <w:rPr>
          <w:rFonts w:ascii="Verdana" w:hAnsi="Verdana" w:cs="Verdana"/>
          <w:spacing w:val="-2"/>
          <w:sz w:val="20"/>
          <w:szCs w:val="20"/>
          <w:lang w:val="es-ES_tradnl"/>
        </w:rPr>
        <w:t xml:space="preserve">Por </w:t>
      </w:r>
      <w:r w:rsidRPr="00C94FC4">
        <w:rPr>
          <w:rFonts w:ascii="Verdana" w:hAnsi="Verdana" w:cs="Verdana"/>
          <w:snapToGrid w:val="0"/>
          <w:spacing w:val="-2"/>
          <w:sz w:val="20"/>
          <w:szCs w:val="20"/>
          <w:lang w:val="es-ES_tradnl" w:eastAsia="es-ES"/>
        </w:rPr>
        <w:t>último</w:t>
      </w:r>
      <w:r w:rsidRPr="00C94FC4">
        <w:rPr>
          <w:rFonts w:ascii="Verdana" w:hAnsi="Verdana" w:cs="Verdana"/>
          <w:spacing w:val="-2"/>
          <w:sz w:val="20"/>
          <w:szCs w:val="20"/>
          <w:lang w:val="es-ES_tradnl"/>
        </w:rPr>
        <w:t xml:space="preserve"> y en sexto lugar, </w:t>
      </w:r>
      <w:r w:rsidRPr="00C94FC4">
        <w:rPr>
          <w:rFonts w:ascii="Verdana" w:hAnsi="Verdana" w:cs="Verdana"/>
          <w:spacing w:val="-2"/>
          <w:sz w:val="20"/>
          <w:szCs w:val="20"/>
          <w:lang w:val="es-MX"/>
        </w:rPr>
        <w:t>el</w:t>
      </w:r>
      <w:r w:rsidRPr="00C94FC4">
        <w:rPr>
          <w:rFonts w:ascii="Verdana" w:hAnsi="Verdana" w:cs="Verdana"/>
          <w:spacing w:val="-2"/>
          <w:sz w:val="20"/>
          <w:szCs w:val="20"/>
          <w:lang w:val="es-GT"/>
        </w:rPr>
        <w:t xml:space="preserve"> 28 de junio de 1995 el Congreso peruano aprobó la Ley N</w:t>
      </w:r>
      <w:r>
        <w:rPr>
          <w:rFonts w:ascii="Verdana" w:hAnsi="Verdana" w:cs="Verdana"/>
          <w:spacing w:val="-2"/>
          <w:sz w:val="20"/>
          <w:szCs w:val="20"/>
          <w:lang w:val="es-GT"/>
        </w:rPr>
        <w:t xml:space="preserve">o. </w:t>
      </w:r>
      <w:r w:rsidRPr="00C94FC4">
        <w:rPr>
          <w:rFonts w:ascii="Verdana" w:hAnsi="Verdana" w:cs="Verdana"/>
          <w:spacing w:val="-2"/>
          <w:sz w:val="20"/>
          <w:szCs w:val="20"/>
          <w:lang w:val="es-GT"/>
        </w:rPr>
        <w:t xml:space="preserve">26.492 que interpretó el artículo 1 de </w:t>
      </w:r>
      <w:r w:rsidRPr="00C94FC4">
        <w:rPr>
          <w:rFonts w:ascii="Verdana" w:hAnsi="Verdana"/>
          <w:spacing w:val="-2"/>
          <w:sz w:val="20"/>
          <w:szCs w:val="20"/>
          <w:lang w:val="es-GT"/>
        </w:rPr>
        <w:t>la</w:t>
      </w:r>
      <w:r w:rsidRPr="00C94FC4">
        <w:rPr>
          <w:rFonts w:ascii="Verdana" w:hAnsi="Verdana" w:cs="Verdana"/>
          <w:spacing w:val="-2"/>
          <w:sz w:val="20"/>
          <w:szCs w:val="20"/>
          <w:lang w:val="es-GT"/>
        </w:rPr>
        <w:t xml:space="preserve"> Ley N</w:t>
      </w:r>
      <w:r>
        <w:rPr>
          <w:rFonts w:ascii="Verdana" w:hAnsi="Verdana" w:cs="Verdana"/>
          <w:spacing w:val="-2"/>
          <w:sz w:val="20"/>
          <w:szCs w:val="20"/>
          <w:lang w:val="es-GT"/>
        </w:rPr>
        <w:t xml:space="preserve">o. </w:t>
      </w:r>
      <w:r w:rsidRPr="00C94FC4">
        <w:rPr>
          <w:rFonts w:ascii="Verdana" w:hAnsi="Verdana" w:cs="Verdana"/>
          <w:spacing w:val="-2"/>
          <w:sz w:val="20"/>
          <w:szCs w:val="20"/>
          <w:lang w:val="es-GT"/>
        </w:rPr>
        <w:t>26.479 (</w:t>
      </w:r>
      <w:r w:rsidRPr="00C94FC4">
        <w:rPr>
          <w:rFonts w:ascii="Verdana" w:hAnsi="Verdana" w:cs="Verdana"/>
          <w:i/>
          <w:spacing w:val="-2"/>
          <w:sz w:val="20"/>
          <w:szCs w:val="20"/>
          <w:lang w:val="es-GT"/>
        </w:rPr>
        <w:t xml:space="preserve">supra </w:t>
      </w:r>
      <w:r w:rsidRPr="00C94FC4">
        <w:rPr>
          <w:rFonts w:ascii="Verdana" w:hAnsi="Verdana" w:cs="Verdana"/>
          <w:spacing w:val="-2"/>
          <w:sz w:val="20"/>
          <w:szCs w:val="20"/>
          <w:lang w:val="es-GT"/>
        </w:rPr>
        <w:t xml:space="preserve">párr. </w:t>
      </w:r>
      <w:r w:rsidRPr="0006332E">
        <w:rPr>
          <w:rFonts w:ascii="Verdana" w:hAnsi="Verdana" w:cs="Verdana"/>
          <w:spacing w:val="-2"/>
          <w:sz w:val="20"/>
          <w:szCs w:val="20"/>
          <w:lang w:val="es-GT"/>
        </w:rPr>
        <w:t>120</w:t>
      </w:r>
      <w:r w:rsidRPr="00C94FC4">
        <w:rPr>
          <w:rFonts w:ascii="Verdana" w:hAnsi="Verdana" w:cs="Verdana"/>
          <w:spacing w:val="-2"/>
          <w:sz w:val="20"/>
          <w:szCs w:val="20"/>
          <w:lang w:val="es-GT"/>
        </w:rPr>
        <w:t>)</w:t>
      </w:r>
      <w:r>
        <w:rPr>
          <w:rFonts w:ascii="Verdana" w:hAnsi="Verdana" w:cs="Verdana"/>
          <w:spacing w:val="-2"/>
          <w:sz w:val="20"/>
          <w:szCs w:val="20"/>
          <w:lang w:val="es-GT"/>
        </w:rPr>
        <w:t>. E</w:t>
      </w:r>
      <w:r w:rsidRPr="00C94FC4">
        <w:rPr>
          <w:rFonts w:ascii="Verdana" w:hAnsi="Verdana" w:cs="Verdana"/>
          <w:spacing w:val="-2"/>
          <w:sz w:val="20"/>
          <w:szCs w:val="20"/>
          <w:lang w:val="es-GT"/>
        </w:rPr>
        <w:t>l</w:t>
      </w:r>
      <w:r w:rsidRPr="00C94FC4">
        <w:rPr>
          <w:rFonts w:ascii="Verdana" w:hAnsi="Verdana" w:cs="Verdana"/>
          <w:i/>
          <w:spacing w:val="-2"/>
          <w:sz w:val="20"/>
          <w:szCs w:val="20"/>
          <w:lang w:val="es-GT"/>
        </w:rPr>
        <w:t xml:space="preserve"> </w:t>
      </w:r>
      <w:r w:rsidRPr="00C94FC4">
        <w:rPr>
          <w:rFonts w:ascii="Verdana" w:hAnsi="Verdana" w:cs="Arial"/>
          <w:spacing w:val="-2"/>
          <w:sz w:val="20"/>
          <w:szCs w:val="20"/>
          <w:lang w:val="es-GT"/>
        </w:rPr>
        <w:t xml:space="preserve">4 de julio de 1995 la Sala Mixta de la Corte Superior de Huancavelica declaró </w:t>
      </w:r>
      <w:r w:rsidR="00335E16">
        <w:rPr>
          <w:rFonts w:ascii="Verdana" w:hAnsi="Verdana" w:cs="Arial"/>
          <w:spacing w:val="-2"/>
          <w:sz w:val="20"/>
          <w:szCs w:val="20"/>
          <w:lang w:val="es-GT"/>
        </w:rPr>
        <w:t>e</w:t>
      </w:r>
      <w:r w:rsidRPr="00C94FC4">
        <w:rPr>
          <w:rFonts w:ascii="Verdana" w:hAnsi="Verdana" w:cs="Arial"/>
          <w:spacing w:val="-2"/>
          <w:sz w:val="20"/>
          <w:szCs w:val="20"/>
          <w:lang w:val="es-GT"/>
        </w:rPr>
        <w:t xml:space="preserve">sta última </w:t>
      </w:r>
      <w:r w:rsidRPr="00C94FC4">
        <w:rPr>
          <w:rFonts w:ascii="Verdana" w:hAnsi="Verdana" w:cs="Verdana"/>
          <w:snapToGrid w:val="0"/>
          <w:spacing w:val="-2"/>
          <w:sz w:val="20"/>
          <w:szCs w:val="20"/>
          <w:lang w:val="es-ES_tradnl" w:eastAsia="es-ES"/>
        </w:rPr>
        <w:t>norma</w:t>
      </w:r>
      <w:r w:rsidRPr="00C94FC4">
        <w:rPr>
          <w:rFonts w:ascii="Verdana" w:hAnsi="Verdana" w:cs="Arial"/>
          <w:spacing w:val="-2"/>
          <w:sz w:val="20"/>
          <w:szCs w:val="20"/>
          <w:lang w:val="es-GT"/>
        </w:rPr>
        <w:t xml:space="preserve"> aplicable a los acusados en el presente caso, </w:t>
      </w:r>
      <w:r w:rsidRPr="00C94FC4">
        <w:rPr>
          <w:rFonts w:ascii="Verdana" w:hAnsi="Verdana"/>
          <w:spacing w:val="-2"/>
          <w:sz w:val="20"/>
          <w:szCs w:val="20"/>
          <w:lang w:val="es-ES_tradnl"/>
        </w:rPr>
        <w:t>disponiendo</w:t>
      </w:r>
      <w:r w:rsidRPr="00C94FC4">
        <w:rPr>
          <w:rFonts w:ascii="Verdana" w:hAnsi="Verdana" w:cs="Arial"/>
          <w:spacing w:val="-2"/>
          <w:sz w:val="20"/>
          <w:szCs w:val="20"/>
          <w:lang w:val="es-GT"/>
        </w:rPr>
        <w:t xml:space="preserve"> el corte de la secuela del proceso</w:t>
      </w:r>
      <w:r w:rsidRPr="00C94FC4">
        <w:rPr>
          <w:rFonts w:ascii="Verdana" w:hAnsi="Verdana"/>
          <w:bCs/>
          <w:spacing w:val="-2"/>
          <w:sz w:val="20"/>
          <w:szCs w:val="20"/>
          <w:lang w:val="es-GT"/>
        </w:rPr>
        <w:t xml:space="preserve"> </w:t>
      </w:r>
      <w:r w:rsidRPr="00C94FC4">
        <w:rPr>
          <w:rFonts w:ascii="Verdana" w:hAnsi="Verdana" w:cs="Arial"/>
          <w:spacing w:val="-2"/>
          <w:sz w:val="20"/>
          <w:szCs w:val="20"/>
          <w:lang w:val="es-GT"/>
        </w:rPr>
        <w:t>y su archivamiento definitivo. La aplicación de la ley de amnistía contó con el dictamen favorable del Fiscal Supremo en lo Penal y fue confirmada por la Primera Sala Penal Transitoria de la Corte Suprema de Justicia de la República mediante auto de 14 de enero de 1997 (</w:t>
      </w:r>
      <w:r w:rsidRPr="00C94FC4">
        <w:rPr>
          <w:rFonts w:ascii="Verdana" w:hAnsi="Verdana" w:cs="Arial"/>
          <w:i/>
          <w:spacing w:val="-2"/>
          <w:sz w:val="20"/>
          <w:szCs w:val="20"/>
          <w:lang w:val="es-GT"/>
        </w:rPr>
        <w:t xml:space="preserve">supra </w:t>
      </w:r>
      <w:r w:rsidRPr="00C94FC4">
        <w:rPr>
          <w:rFonts w:ascii="Verdana" w:hAnsi="Verdana" w:cs="Arial"/>
          <w:spacing w:val="-2"/>
          <w:sz w:val="20"/>
          <w:szCs w:val="20"/>
          <w:lang w:val="es-GT"/>
        </w:rPr>
        <w:t>párr.</w:t>
      </w:r>
      <w:r>
        <w:rPr>
          <w:rFonts w:ascii="Verdana" w:hAnsi="Verdana" w:cs="Arial"/>
          <w:spacing w:val="-2"/>
          <w:sz w:val="20"/>
          <w:szCs w:val="20"/>
          <w:lang w:val="es-GT"/>
        </w:rPr>
        <w:t xml:space="preserve"> 121</w:t>
      </w:r>
      <w:r w:rsidRPr="00C94FC4">
        <w:rPr>
          <w:rFonts w:ascii="Verdana" w:hAnsi="Verdana" w:cs="Arial"/>
          <w:spacing w:val="-2"/>
          <w:sz w:val="20"/>
          <w:szCs w:val="20"/>
          <w:lang w:val="es-GT"/>
        </w:rPr>
        <w:t>).</w:t>
      </w:r>
    </w:p>
    <w:p w:rsidR="00C83100" w:rsidRPr="00C94FC4" w:rsidRDefault="00C83100" w:rsidP="00C83100">
      <w:pPr>
        <w:autoSpaceDE w:val="0"/>
        <w:autoSpaceDN w:val="0"/>
        <w:adjustRightInd w:val="0"/>
        <w:spacing w:after="0" w:line="240" w:lineRule="auto"/>
        <w:jc w:val="both"/>
        <w:rPr>
          <w:rFonts w:ascii="Verdana" w:hAnsi="Verdana" w:cs="Arial"/>
          <w:spacing w:val="-2"/>
          <w:sz w:val="20"/>
          <w:szCs w:val="20"/>
          <w:lang w:val="es-GT"/>
        </w:rPr>
      </w:pPr>
    </w:p>
    <w:p w:rsidR="00C83100" w:rsidRPr="00C94FC4"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Verdana"/>
          <w:spacing w:val="-2"/>
          <w:sz w:val="20"/>
          <w:szCs w:val="20"/>
          <w:lang w:val="es-MX"/>
        </w:rPr>
      </w:pPr>
      <w:r w:rsidRPr="00C94FC4">
        <w:rPr>
          <w:rFonts w:ascii="Verdana" w:hAnsi="Verdana" w:cs="Verdana"/>
          <w:spacing w:val="-2"/>
          <w:sz w:val="20"/>
          <w:szCs w:val="20"/>
          <w:lang w:val="es-MX"/>
        </w:rPr>
        <w:t>Esta Corte ya analizó el contenido y alcances de las leyes de amnistía No.</w:t>
      </w:r>
      <w:r>
        <w:rPr>
          <w:rFonts w:ascii="Verdana" w:hAnsi="Verdana" w:cs="Verdana"/>
          <w:spacing w:val="-2"/>
          <w:sz w:val="20"/>
          <w:szCs w:val="20"/>
          <w:lang w:val="es-MX"/>
        </w:rPr>
        <w:t xml:space="preserve"> </w:t>
      </w:r>
      <w:r w:rsidRPr="00C94FC4">
        <w:rPr>
          <w:rFonts w:ascii="Verdana" w:hAnsi="Verdana" w:cs="Verdana"/>
          <w:spacing w:val="-2"/>
          <w:sz w:val="20"/>
          <w:szCs w:val="20"/>
          <w:lang w:val="es-MX"/>
        </w:rPr>
        <w:t>26.479 y No.</w:t>
      </w:r>
      <w:r>
        <w:rPr>
          <w:rFonts w:ascii="Verdana" w:hAnsi="Verdana" w:cs="Verdana"/>
          <w:spacing w:val="-2"/>
          <w:sz w:val="20"/>
          <w:szCs w:val="20"/>
          <w:lang w:val="es-MX"/>
        </w:rPr>
        <w:t xml:space="preserve"> </w:t>
      </w:r>
      <w:r w:rsidRPr="00C94FC4">
        <w:rPr>
          <w:rFonts w:ascii="Verdana" w:hAnsi="Verdana" w:cs="Verdana"/>
          <w:spacing w:val="-2"/>
          <w:sz w:val="20"/>
          <w:szCs w:val="20"/>
          <w:lang w:val="es-MX"/>
        </w:rPr>
        <w:t xml:space="preserve">26.492 en el </w:t>
      </w:r>
      <w:r w:rsidRPr="00C94FC4">
        <w:rPr>
          <w:rFonts w:ascii="Verdana" w:hAnsi="Verdana" w:cs="Verdana"/>
          <w:snapToGrid w:val="0"/>
          <w:spacing w:val="-2"/>
          <w:sz w:val="20"/>
          <w:szCs w:val="20"/>
          <w:lang w:val="es-ES_tradnl" w:eastAsia="es-ES"/>
        </w:rPr>
        <w:t>caso</w:t>
      </w:r>
      <w:r w:rsidRPr="00C94FC4">
        <w:rPr>
          <w:rFonts w:ascii="Verdana" w:hAnsi="Verdana" w:cs="Verdana"/>
          <w:i/>
          <w:iCs/>
          <w:spacing w:val="-2"/>
          <w:sz w:val="20"/>
          <w:szCs w:val="20"/>
          <w:lang w:val="es-MX"/>
        </w:rPr>
        <w:t xml:space="preserve"> Barrios Altos Vs. Perú</w:t>
      </w:r>
      <w:r w:rsidRPr="00C94FC4">
        <w:rPr>
          <w:rFonts w:ascii="Verdana" w:hAnsi="Verdana" w:cs="Verdana"/>
          <w:spacing w:val="-2"/>
          <w:sz w:val="20"/>
          <w:szCs w:val="20"/>
          <w:lang w:val="es-MX"/>
        </w:rPr>
        <w:t xml:space="preserve">, en cuya Sentencia de fondo de 14 de marzo de 2001 declaró que las mismas </w:t>
      </w:r>
      <w:r w:rsidRPr="00C94FC4">
        <w:rPr>
          <w:rFonts w:ascii="Verdana" w:hAnsi="Verdana"/>
          <w:spacing w:val="-2"/>
          <w:sz w:val="20"/>
          <w:szCs w:val="20"/>
        </w:rPr>
        <w:t>son</w:t>
      </w:r>
      <w:r w:rsidRPr="00C94FC4">
        <w:rPr>
          <w:rFonts w:ascii="Verdana" w:hAnsi="Verdana" w:cs="Verdana"/>
          <w:spacing w:val="-2"/>
          <w:sz w:val="20"/>
          <w:szCs w:val="20"/>
          <w:lang w:val="es-MX"/>
        </w:rPr>
        <w:t xml:space="preserve"> incompatibles con la Convención Americana y, en consecuencia, </w:t>
      </w:r>
      <w:r w:rsidRPr="00C94FC4">
        <w:rPr>
          <w:rFonts w:ascii="Verdana" w:hAnsi="Verdana"/>
          <w:spacing w:val="-2"/>
          <w:sz w:val="20"/>
          <w:szCs w:val="20"/>
          <w:lang w:val="es-ES_tradnl"/>
        </w:rPr>
        <w:t>carecen</w:t>
      </w:r>
      <w:r w:rsidRPr="00C94FC4">
        <w:rPr>
          <w:rFonts w:ascii="Verdana" w:hAnsi="Verdana" w:cs="Verdana"/>
          <w:spacing w:val="-2"/>
          <w:sz w:val="20"/>
          <w:szCs w:val="20"/>
          <w:lang w:val="es-MX"/>
        </w:rPr>
        <w:t xml:space="preserve"> de efectos jurídicos</w:t>
      </w:r>
      <w:r w:rsidRPr="00C94FC4">
        <w:rPr>
          <w:rFonts w:ascii="Verdana" w:hAnsi="Verdana" w:cs="Verdana"/>
          <w:spacing w:val="-2"/>
          <w:sz w:val="20"/>
          <w:szCs w:val="20"/>
          <w:vertAlign w:val="superscript"/>
        </w:rPr>
        <w:footnoteReference w:id="289"/>
      </w:r>
      <w:r w:rsidRPr="00C94FC4">
        <w:rPr>
          <w:rFonts w:ascii="Verdana" w:hAnsi="Verdana" w:cs="Verdana"/>
          <w:spacing w:val="-2"/>
          <w:sz w:val="20"/>
          <w:szCs w:val="20"/>
          <w:lang w:val="es-MX"/>
        </w:rPr>
        <w:t xml:space="preserve">. La Corte interpretó esa Sentencia de fondo en el sentido de que “[l]a promulgación de una ley manifiestamente contraria a las obligaciones asumidas por un Estado parte en la Convención constituye </w:t>
      </w:r>
      <w:r w:rsidRPr="00C94FC4">
        <w:rPr>
          <w:rFonts w:ascii="Verdana" w:hAnsi="Verdana" w:cs="Verdana"/>
          <w:i/>
          <w:iCs/>
          <w:spacing w:val="-2"/>
          <w:sz w:val="20"/>
          <w:szCs w:val="20"/>
          <w:lang w:val="es-MX"/>
        </w:rPr>
        <w:t xml:space="preserve">per se </w:t>
      </w:r>
      <w:r w:rsidRPr="00C94FC4">
        <w:rPr>
          <w:rFonts w:ascii="Verdana" w:hAnsi="Verdana" w:cs="Verdana"/>
          <w:spacing w:val="-2"/>
          <w:sz w:val="20"/>
          <w:szCs w:val="20"/>
          <w:lang w:val="es-MX"/>
        </w:rPr>
        <w:t>una violación de ésta y genera responsabilidad internacional del Estado [y] que, dada la naturaleza de la violación constituida por las leyes de amnistía No.</w:t>
      </w:r>
      <w:r>
        <w:rPr>
          <w:rFonts w:ascii="Verdana" w:hAnsi="Verdana" w:cs="Verdana"/>
          <w:spacing w:val="-2"/>
          <w:sz w:val="20"/>
          <w:szCs w:val="20"/>
          <w:lang w:val="es-MX"/>
        </w:rPr>
        <w:t xml:space="preserve"> </w:t>
      </w:r>
      <w:r w:rsidRPr="00C94FC4">
        <w:rPr>
          <w:rFonts w:ascii="Verdana" w:hAnsi="Verdana" w:cs="Verdana"/>
          <w:spacing w:val="-2"/>
          <w:sz w:val="20"/>
          <w:szCs w:val="20"/>
          <w:lang w:val="es-MX"/>
        </w:rPr>
        <w:t>26.479 y No.</w:t>
      </w:r>
      <w:r>
        <w:rPr>
          <w:rFonts w:ascii="Verdana" w:hAnsi="Verdana" w:cs="Verdana"/>
          <w:spacing w:val="-2"/>
          <w:sz w:val="20"/>
          <w:szCs w:val="20"/>
          <w:lang w:val="es-MX"/>
        </w:rPr>
        <w:t xml:space="preserve"> </w:t>
      </w:r>
      <w:r w:rsidRPr="00C94FC4">
        <w:rPr>
          <w:rFonts w:ascii="Verdana" w:hAnsi="Verdana" w:cs="Verdana"/>
          <w:spacing w:val="-2"/>
          <w:sz w:val="20"/>
          <w:szCs w:val="20"/>
          <w:lang w:val="es-MX"/>
        </w:rPr>
        <w:t>26.492, lo resuelto en la sentencia de fondo en el caso Barrios Altos tiene efectos generales”</w:t>
      </w:r>
      <w:r w:rsidRPr="00C94FC4">
        <w:rPr>
          <w:rFonts w:ascii="Verdana" w:hAnsi="Verdana" w:cs="Verdana"/>
          <w:spacing w:val="-2"/>
          <w:sz w:val="20"/>
          <w:szCs w:val="20"/>
          <w:vertAlign w:val="superscript"/>
        </w:rPr>
        <w:footnoteReference w:id="290"/>
      </w:r>
      <w:r w:rsidRPr="00C94FC4">
        <w:rPr>
          <w:rFonts w:ascii="Verdana" w:hAnsi="Verdana" w:cs="Verdana"/>
          <w:spacing w:val="-2"/>
          <w:sz w:val="20"/>
          <w:szCs w:val="20"/>
          <w:lang w:val="es-MX"/>
        </w:rPr>
        <w:t xml:space="preserve">. </w:t>
      </w:r>
    </w:p>
    <w:p w:rsidR="00C83100" w:rsidRPr="00C94FC4" w:rsidRDefault="00C83100" w:rsidP="00C83100">
      <w:pPr>
        <w:spacing w:after="0" w:line="240" w:lineRule="auto"/>
        <w:ind w:left="720"/>
        <w:jc w:val="both"/>
        <w:rPr>
          <w:rFonts w:ascii="Verdana" w:hAnsi="Verdana" w:cs="Verdana"/>
          <w:spacing w:val="-2"/>
          <w:sz w:val="20"/>
          <w:szCs w:val="20"/>
          <w:lang w:val="es-MX"/>
        </w:rPr>
      </w:pPr>
    </w:p>
    <w:p w:rsidR="00C83100" w:rsidRPr="00C94FC4"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Verdana"/>
          <w:spacing w:val="-2"/>
          <w:sz w:val="20"/>
          <w:szCs w:val="20"/>
          <w:lang w:val="es-MX"/>
        </w:rPr>
      </w:pPr>
      <w:r w:rsidRPr="00C94FC4">
        <w:rPr>
          <w:rFonts w:ascii="Verdana" w:hAnsi="Verdana" w:cs="Verdana"/>
          <w:spacing w:val="-2"/>
          <w:sz w:val="20"/>
          <w:szCs w:val="20"/>
          <w:lang w:val="es-MX"/>
        </w:rPr>
        <w:t xml:space="preserve">En consideración de la sentencia </w:t>
      </w:r>
      <w:r w:rsidRPr="00C94FC4">
        <w:rPr>
          <w:rFonts w:ascii="Verdana" w:hAnsi="Verdana" w:cs="Verdana"/>
          <w:i/>
          <w:iCs/>
          <w:spacing w:val="-2"/>
          <w:sz w:val="20"/>
          <w:szCs w:val="20"/>
          <w:lang w:val="es-MX"/>
        </w:rPr>
        <w:t>Barrios Altos Vs. Perú</w:t>
      </w:r>
      <w:r w:rsidRPr="00C94FC4">
        <w:rPr>
          <w:rFonts w:ascii="Verdana" w:hAnsi="Verdana" w:cs="Verdana"/>
          <w:spacing w:val="-2"/>
          <w:sz w:val="20"/>
          <w:szCs w:val="20"/>
          <w:lang w:val="es-MX"/>
        </w:rPr>
        <w:t xml:space="preserve">, </w:t>
      </w:r>
      <w:r w:rsidRPr="00C94FC4">
        <w:rPr>
          <w:rFonts w:ascii="Verdana" w:hAnsi="Verdana" w:cs="Arial"/>
          <w:spacing w:val="-2"/>
          <w:sz w:val="20"/>
          <w:szCs w:val="20"/>
          <w:lang w:val="es-GT"/>
        </w:rPr>
        <w:t xml:space="preserve">el 28 de junio de 2002 la Sala Plena del Consejo Supremo de Justicia Militar declaró nula la Ejecutoria Suprema </w:t>
      </w:r>
      <w:r w:rsidRPr="00C94FC4">
        <w:rPr>
          <w:rFonts w:ascii="Verdana" w:hAnsi="Verdana" w:cs="Verdana"/>
          <w:spacing w:val="-2"/>
          <w:sz w:val="20"/>
          <w:szCs w:val="20"/>
          <w:lang w:val="es-MX"/>
        </w:rPr>
        <w:t>de</w:t>
      </w:r>
      <w:r w:rsidRPr="00C94FC4">
        <w:rPr>
          <w:rFonts w:ascii="Verdana" w:hAnsi="Verdana" w:cs="Arial"/>
          <w:spacing w:val="-2"/>
          <w:sz w:val="20"/>
          <w:szCs w:val="20"/>
          <w:lang w:val="es-GT"/>
        </w:rPr>
        <w:t xml:space="preserve"> 16 de junio de 1995 que </w:t>
      </w:r>
      <w:r w:rsidRPr="00C94FC4">
        <w:rPr>
          <w:rFonts w:ascii="Verdana" w:hAnsi="Verdana"/>
          <w:spacing w:val="-2"/>
          <w:sz w:val="20"/>
          <w:szCs w:val="20"/>
          <w:lang w:val="es-ES_tradnl"/>
        </w:rPr>
        <w:t>había</w:t>
      </w:r>
      <w:r w:rsidRPr="00C94FC4">
        <w:rPr>
          <w:rFonts w:ascii="Verdana" w:hAnsi="Verdana" w:cs="Arial"/>
          <w:spacing w:val="-2"/>
          <w:sz w:val="20"/>
          <w:szCs w:val="20"/>
          <w:lang w:val="es-GT"/>
        </w:rPr>
        <w:t xml:space="preserve"> resuelto aplicar el beneficio de la amnistía a Javier Bendezú Vargas y otros, y ordenó reabrir la causa en ejecución de sentencia </w:t>
      </w:r>
      <w:r w:rsidRPr="00C94FC4">
        <w:rPr>
          <w:rFonts w:ascii="Verdana" w:hAnsi="Verdana" w:cs="Verdana"/>
          <w:spacing w:val="-2"/>
          <w:sz w:val="20"/>
          <w:szCs w:val="20"/>
          <w:lang w:val="es-GT"/>
        </w:rPr>
        <w:t>(</w:t>
      </w:r>
      <w:r w:rsidRPr="00C94FC4">
        <w:rPr>
          <w:rFonts w:ascii="Verdana" w:hAnsi="Verdana" w:cs="Verdana"/>
          <w:i/>
          <w:spacing w:val="-2"/>
          <w:sz w:val="20"/>
          <w:szCs w:val="20"/>
          <w:lang w:val="es-GT"/>
        </w:rPr>
        <w:t xml:space="preserve">supra </w:t>
      </w:r>
      <w:r w:rsidRPr="00C94FC4">
        <w:rPr>
          <w:rFonts w:ascii="Verdana" w:hAnsi="Verdana" w:cs="Verdana"/>
          <w:spacing w:val="-2"/>
          <w:sz w:val="20"/>
          <w:szCs w:val="20"/>
          <w:lang w:val="es-GT"/>
        </w:rPr>
        <w:t xml:space="preserve">párr. </w:t>
      </w:r>
      <w:r w:rsidRPr="0006332E">
        <w:rPr>
          <w:rFonts w:ascii="Verdana" w:hAnsi="Verdana" w:cs="Verdana"/>
          <w:spacing w:val="-2"/>
          <w:sz w:val="20"/>
          <w:szCs w:val="20"/>
          <w:lang w:val="es-GT"/>
        </w:rPr>
        <w:t>123</w:t>
      </w:r>
      <w:r w:rsidRPr="00C94FC4">
        <w:rPr>
          <w:rFonts w:ascii="Verdana" w:hAnsi="Verdana" w:cs="Verdana"/>
          <w:spacing w:val="-2"/>
          <w:sz w:val="20"/>
          <w:szCs w:val="20"/>
          <w:lang w:val="es-GT"/>
        </w:rPr>
        <w:t>)</w:t>
      </w:r>
      <w:r w:rsidRPr="00C94FC4">
        <w:rPr>
          <w:rFonts w:ascii="Verdana" w:hAnsi="Verdana" w:cs="Arial"/>
          <w:spacing w:val="-2"/>
          <w:sz w:val="20"/>
          <w:szCs w:val="20"/>
          <w:lang w:val="es-GT"/>
        </w:rPr>
        <w:t xml:space="preserve">. Por su parte, en la </w:t>
      </w:r>
      <w:r w:rsidRPr="00C94FC4">
        <w:rPr>
          <w:rFonts w:ascii="Verdana" w:hAnsi="Verdana"/>
          <w:spacing w:val="-2"/>
          <w:sz w:val="20"/>
          <w:szCs w:val="20"/>
          <w:lang w:val="es-GT"/>
        </w:rPr>
        <w:t>jurisdicción ordinaria, el 14 de julio de 2005 la Sala Mixta de la Corte Superior de Justicia de Huancavelica declaró nula la mencionada Resolución de 4 de julio de 1995 y dispuso reabrir el proceso y acumular a</w:t>
      </w:r>
      <w:r>
        <w:rPr>
          <w:rFonts w:ascii="Verdana" w:hAnsi="Verdana"/>
          <w:spacing w:val="-2"/>
          <w:sz w:val="20"/>
          <w:szCs w:val="20"/>
          <w:lang w:val="es-GT"/>
        </w:rPr>
        <w:t>l mismo</w:t>
      </w:r>
      <w:r w:rsidRPr="00C94FC4">
        <w:rPr>
          <w:rFonts w:ascii="Verdana" w:hAnsi="Verdana"/>
          <w:spacing w:val="-2"/>
          <w:sz w:val="20"/>
          <w:szCs w:val="20"/>
          <w:lang w:val="es-GT"/>
        </w:rPr>
        <w:t xml:space="preserve"> la investigación que se había iniciado tras el Informe Final de la CVR por los mismos hechos</w:t>
      </w:r>
      <w:r w:rsidRPr="00C94FC4">
        <w:rPr>
          <w:rFonts w:ascii="Verdana" w:hAnsi="Verdana" w:cs="Arial"/>
          <w:spacing w:val="-2"/>
          <w:sz w:val="20"/>
          <w:szCs w:val="20"/>
          <w:lang w:val="es-GT"/>
        </w:rPr>
        <w:t xml:space="preserve"> (</w:t>
      </w:r>
      <w:r w:rsidRPr="00C94FC4">
        <w:rPr>
          <w:rFonts w:ascii="Verdana" w:hAnsi="Verdana" w:cs="Arial"/>
          <w:i/>
          <w:spacing w:val="-2"/>
          <w:sz w:val="20"/>
          <w:szCs w:val="20"/>
          <w:lang w:val="es-GT"/>
        </w:rPr>
        <w:t>supra</w:t>
      </w:r>
      <w:r>
        <w:rPr>
          <w:rFonts w:ascii="Verdana" w:hAnsi="Verdana" w:cs="Arial"/>
          <w:i/>
          <w:spacing w:val="-2"/>
          <w:sz w:val="20"/>
          <w:szCs w:val="20"/>
          <w:lang w:val="es-GT"/>
        </w:rPr>
        <w:t xml:space="preserve"> </w:t>
      </w:r>
      <w:r>
        <w:rPr>
          <w:rFonts w:ascii="Verdana" w:hAnsi="Verdana" w:cs="Arial"/>
          <w:spacing w:val="-2"/>
          <w:sz w:val="20"/>
          <w:szCs w:val="20"/>
          <w:lang w:val="es-GT"/>
        </w:rPr>
        <w:t>párr. 124</w:t>
      </w:r>
      <w:r w:rsidRPr="00C94FC4">
        <w:rPr>
          <w:rFonts w:ascii="Verdana" w:hAnsi="Verdana" w:cs="Arial"/>
          <w:spacing w:val="-2"/>
          <w:sz w:val="20"/>
          <w:szCs w:val="20"/>
          <w:lang w:val="es-GT"/>
        </w:rPr>
        <w:t>).</w:t>
      </w:r>
    </w:p>
    <w:p w:rsidR="00C83100" w:rsidRPr="00C94FC4" w:rsidRDefault="00C83100" w:rsidP="00C83100">
      <w:pPr>
        <w:autoSpaceDE w:val="0"/>
        <w:autoSpaceDN w:val="0"/>
        <w:adjustRightInd w:val="0"/>
        <w:spacing w:after="0" w:line="240" w:lineRule="auto"/>
        <w:jc w:val="both"/>
        <w:rPr>
          <w:rFonts w:ascii="Verdana" w:hAnsi="Verdana" w:cs="Verdana"/>
          <w:spacing w:val="-2"/>
          <w:sz w:val="20"/>
          <w:szCs w:val="20"/>
          <w:lang w:val="es-MX"/>
        </w:rPr>
      </w:pPr>
    </w:p>
    <w:p w:rsidR="00C83100" w:rsidRPr="00C94FC4"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Verdana"/>
          <w:spacing w:val="-2"/>
          <w:sz w:val="20"/>
          <w:szCs w:val="20"/>
          <w:lang w:val="es-MX"/>
        </w:rPr>
      </w:pPr>
      <w:r w:rsidRPr="00C94FC4">
        <w:rPr>
          <w:rFonts w:ascii="Verdana" w:hAnsi="Verdana" w:cs="Arial"/>
          <w:spacing w:val="-2"/>
          <w:sz w:val="20"/>
          <w:szCs w:val="20"/>
          <w:lang w:val="es-GT"/>
        </w:rPr>
        <w:t>Atent</w:t>
      </w:r>
      <w:r>
        <w:rPr>
          <w:rFonts w:ascii="Verdana" w:hAnsi="Verdana" w:cs="Arial"/>
          <w:spacing w:val="-2"/>
          <w:sz w:val="20"/>
          <w:szCs w:val="20"/>
          <w:lang w:val="es-GT"/>
        </w:rPr>
        <w:t>a</w:t>
      </w:r>
      <w:r w:rsidRPr="00C94FC4">
        <w:rPr>
          <w:rFonts w:ascii="Verdana" w:hAnsi="Verdana" w:cs="Arial"/>
          <w:spacing w:val="-2"/>
          <w:sz w:val="20"/>
          <w:szCs w:val="20"/>
          <w:lang w:val="es-GT"/>
        </w:rPr>
        <w:t xml:space="preserve"> a lo anterior, la Corte considera que la aplicación contraria a la Convención </w:t>
      </w:r>
      <w:r w:rsidRPr="00C94FC4">
        <w:rPr>
          <w:rFonts w:ascii="Verdana" w:hAnsi="Verdana" w:cs="Verdana"/>
          <w:spacing w:val="-2"/>
          <w:sz w:val="20"/>
          <w:szCs w:val="20"/>
          <w:lang w:val="es-MX"/>
        </w:rPr>
        <w:t>de</w:t>
      </w:r>
      <w:r w:rsidRPr="00C94FC4">
        <w:rPr>
          <w:rFonts w:ascii="Verdana" w:hAnsi="Verdana" w:cs="Arial"/>
          <w:spacing w:val="-2"/>
          <w:sz w:val="20"/>
          <w:szCs w:val="20"/>
          <w:lang w:val="es-GT"/>
        </w:rPr>
        <w:t xml:space="preserve"> la Ley de Amnistía N</w:t>
      </w:r>
      <w:r>
        <w:rPr>
          <w:rFonts w:ascii="Verdana" w:hAnsi="Verdana" w:cs="Arial"/>
          <w:spacing w:val="-2"/>
          <w:sz w:val="20"/>
          <w:szCs w:val="20"/>
          <w:lang w:val="es-GT"/>
        </w:rPr>
        <w:t xml:space="preserve">o. </w:t>
      </w:r>
      <w:r w:rsidRPr="00C94FC4">
        <w:rPr>
          <w:rFonts w:ascii="Verdana" w:hAnsi="Verdana" w:cs="Arial"/>
          <w:spacing w:val="-2"/>
          <w:sz w:val="20"/>
          <w:szCs w:val="20"/>
          <w:lang w:val="es-GT"/>
        </w:rPr>
        <w:t xml:space="preserve">26.479, derivó </w:t>
      </w:r>
      <w:r w:rsidRPr="00C94FC4">
        <w:rPr>
          <w:rFonts w:ascii="Verdana" w:hAnsi="Verdana"/>
          <w:spacing w:val="-2"/>
          <w:sz w:val="20"/>
          <w:szCs w:val="20"/>
          <w:lang w:val="es-GT"/>
        </w:rPr>
        <w:t>en</w:t>
      </w:r>
      <w:r w:rsidRPr="00C94FC4">
        <w:rPr>
          <w:rFonts w:ascii="Verdana" w:hAnsi="Verdana" w:cs="Arial"/>
          <w:spacing w:val="-2"/>
          <w:sz w:val="20"/>
          <w:szCs w:val="20"/>
          <w:lang w:val="es-GT"/>
        </w:rPr>
        <w:t xml:space="preserve"> el archivo de la investigación en la jurisdicción </w:t>
      </w:r>
      <w:r w:rsidRPr="00C94FC4">
        <w:rPr>
          <w:rFonts w:ascii="Verdana" w:hAnsi="Verdana"/>
          <w:spacing w:val="-2"/>
          <w:sz w:val="20"/>
          <w:szCs w:val="20"/>
        </w:rPr>
        <w:t>ordinaria</w:t>
      </w:r>
      <w:r w:rsidRPr="00C94FC4">
        <w:rPr>
          <w:rFonts w:ascii="Verdana" w:hAnsi="Verdana" w:cs="Arial"/>
          <w:spacing w:val="-2"/>
          <w:sz w:val="20"/>
          <w:szCs w:val="20"/>
          <w:lang w:val="es-GT"/>
        </w:rPr>
        <w:t xml:space="preserve"> por 10 años, lo cual afectó la continuidad de dicho proceso e impidió la investigación y sanción de los responsables de las violaciones graves de derechos humanos durante ese lapso de tiempo. </w:t>
      </w:r>
      <w:r w:rsidRPr="00C94FC4">
        <w:rPr>
          <w:rFonts w:ascii="Verdana" w:hAnsi="Verdana" w:cs="Verdana"/>
          <w:spacing w:val="-2"/>
          <w:sz w:val="20"/>
          <w:szCs w:val="20"/>
          <w:lang w:val="es-MX"/>
        </w:rPr>
        <w:t>Sin perjuicio de ello</w:t>
      </w:r>
      <w:r w:rsidRPr="00C94FC4">
        <w:rPr>
          <w:rFonts w:ascii="Verdana" w:hAnsi="Verdana" w:cs="Arial"/>
          <w:spacing w:val="-2"/>
          <w:sz w:val="20"/>
          <w:szCs w:val="20"/>
          <w:lang w:val="es-GT"/>
        </w:rPr>
        <w:t xml:space="preserve">, la Corte nota que la aplicación de la mencionada Ley de Amnistía ha dejado de constituir un obstáculo para la resolución judicial del presente caso. </w:t>
      </w:r>
    </w:p>
    <w:p w:rsidR="00C83100" w:rsidRPr="00C94FC4" w:rsidRDefault="00C83100" w:rsidP="00C83100">
      <w:pPr>
        <w:pStyle w:val="Estilo5"/>
        <w:spacing w:after="0" w:line="240" w:lineRule="auto"/>
        <w:ind w:right="14"/>
        <w:rPr>
          <w:sz w:val="20"/>
          <w:szCs w:val="20"/>
        </w:rPr>
      </w:pPr>
    </w:p>
    <w:p w:rsidR="00C83100" w:rsidRPr="0061304B"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61304B">
        <w:rPr>
          <w:rFonts w:ascii="Verdana" w:hAnsi="Verdana"/>
          <w:spacing w:val="-2"/>
          <w:sz w:val="20"/>
          <w:szCs w:val="20"/>
          <w:lang w:val="es-GT"/>
        </w:rPr>
        <w:lastRenderedPageBreak/>
        <w:t xml:space="preserve">En vista de lo anterior, la Corte concluye que agentes del Estado obstaculizaron la debida investigación de este caso en al menos seis formas </w:t>
      </w:r>
      <w:r w:rsidRPr="0061304B">
        <w:rPr>
          <w:rFonts w:ascii="Verdana" w:hAnsi="Verdana"/>
          <w:spacing w:val="-2"/>
          <w:sz w:val="20"/>
          <w:szCs w:val="20"/>
          <w:lang w:val="es-PR"/>
        </w:rPr>
        <w:t>distintas</w:t>
      </w:r>
      <w:r w:rsidRPr="0061304B">
        <w:rPr>
          <w:rFonts w:ascii="Verdana" w:hAnsi="Verdana"/>
          <w:spacing w:val="-2"/>
          <w:sz w:val="20"/>
          <w:szCs w:val="20"/>
          <w:lang w:val="es-GT"/>
        </w:rPr>
        <w:t xml:space="preserve">. </w:t>
      </w:r>
    </w:p>
    <w:p w:rsidR="00C83100" w:rsidRPr="002964A7" w:rsidRDefault="00C83100" w:rsidP="00C83100">
      <w:pPr>
        <w:pStyle w:val="Estilo5"/>
        <w:spacing w:after="0" w:line="240" w:lineRule="auto"/>
        <w:ind w:right="14"/>
        <w:rPr>
          <w:sz w:val="20"/>
          <w:szCs w:val="20"/>
        </w:rPr>
      </w:pPr>
    </w:p>
    <w:p w:rsidR="00C83100" w:rsidRPr="001154F9"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GT"/>
        </w:rPr>
        <w:t xml:space="preserve">Sin perjuicio de ello, la Corte no cuenta con indicios probatorios suficientes para dar por probado los alegatos de los representantes y la Comisión en el sentido que existieron hostigamientos y otras detenciones de comuneros que habrían </w:t>
      </w:r>
      <w:r w:rsidRPr="002964A7">
        <w:rPr>
          <w:rFonts w:ascii="Verdana" w:hAnsi="Verdana"/>
          <w:spacing w:val="-2"/>
          <w:sz w:val="20"/>
          <w:szCs w:val="20"/>
        </w:rPr>
        <w:t>afectado</w:t>
      </w:r>
      <w:r w:rsidRPr="002964A7">
        <w:rPr>
          <w:rFonts w:ascii="Verdana" w:hAnsi="Verdana"/>
          <w:spacing w:val="-2"/>
          <w:sz w:val="20"/>
          <w:szCs w:val="20"/>
          <w:lang w:val="es-GT"/>
        </w:rPr>
        <w:t xml:space="preserve"> la investigación, así como los alegatos de la Comisión respecto de amenazas y atentados contra operadores judiciales. En este sentido, la única evidencia en el expediente respecto las supuestas detenciones en fechas de 18 de julio y 8 de noviembre de 1991 de comuneros y líderes de la comunidad es un escrito dirigido por el Centro de Estudios y Acción para la Paz (CEAPAZ), una de las organizaciones representantes, al Fiscal de la Nación que hace referencia a las mismas</w:t>
      </w:r>
      <w:r w:rsidRPr="002964A7">
        <w:rPr>
          <w:rStyle w:val="FootnoteReference"/>
          <w:rFonts w:eastAsiaTheme="minorHAnsi"/>
          <w:spacing w:val="-2"/>
          <w:szCs w:val="20"/>
        </w:rPr>
        <w:footnoteReference w:id="291"/>
      </w:r>
      <w:r w:rsidRPr="002964A7">
        <w:rPr>
          <w:rFonts w:ascii="Verdana" w:hAnsi="Verdana"/>
          <w:spacing w:val="-2"/>
          <w:sz w:val="20"/>
          <w:szCs w:val="20"/>
          <w:lang w:val="es-GT"/>
        </w:rPr>
        <w:t xml:space="preserve">. En cuanto al supuesto encarcelamiento arbitrario de </w:t>
      </w:r>
      <w:r w:rsidRPr="002964A7">
        <w:rPr>
          <w:rFonts w:ascii="Verdana" w:hAnsi="Verdana" w:cs="Arial"/>
          <w:spacing w:val="-2"/>
          <w:sz w:val="20"/>
          <w:szCs w:val="20"/>
        </w:rPr>
        <w:t>Zenón Cirilo Osnayo Tunque</w:t>
      </w:r>
      <w:r w:rsidRPr="002964A7">
        <w:rPr>
          <w:rFonts w:ascii="Verdana" w:hAnsi="Verdana"/>
          <w:spacing w:val="-2"/>
          <w:sz w:val="20"/>
          <w:szCs w:val="20"/>
          <w:lang w:val="es-GT"/>
        </w:rPr>
        <w:t xml:space="preserve">, Marcelo Hilario Quispe y Gregorio Hilario Quispe, si bien los representantes citan el testimonio del primero ante la Corte y los affidávits de </w:t>
      </w:r>
      <w:r w:rsidR="00335E16">
        <w:rPr>
          <w:rFonts w:ascii="Verdana" w:hAnsi="Verdana"/>
          <w:spacing w:val="-2"/>
          <w:sz w:val="20"/>
          <w:szCs w:val="20"/>
          <w:lang w:val="es-GT"/>
        </w:rPr>
        <w:t>e</w:t>
      </w:r>
      <w:r w:rsidRPr="002964A7">
        <w:rPr>
          <w:rFonts w:ascii="Verdana" w:hAnsi="Verdana"/>
          <w:spacing w:val="-2"/>
          <w:sz w:val="20"/>
          <w:szCs w:val="20"/>
          <w:lang w:val="es-GT"/>
        </w:rPr>
        <w:t>stos últimos al respecto, no consta otra evidencia en el expediente</w:t>
      </w:r>
      <w:r w:rsidRPr="00F01E00">
        <w:rPr>
          <w:rFonts w:ascii="Verdana" w:hAnsi="Verdana"/>
          <w:spacing w:val="-2"/>
          <w:sz w:val="20"/>
          <w:szCs w:val="20"/>
          <w:lang w:val="es-GT"/>
        </w:rPr>
        <w:t xml:space="preserve"> </w:t>
      </w:r>
      <w:r w:rsidRPr="00597FE9">
        <w:rPr>
          <w:rFonts w:ascii="Verdana" w:hAnsi="Verdana"/>
          <w:spacing w:val="-2"/>
          <w:sz w:val="20"/>
          <w:szCs w:val="20"/>
          <w:lang w:val="es-GT"/>
        </w:rPr>
        <w:t>que corrobore dichos alegatos</w:t>
      </w:r>
      <w:r w:rsidRPr="002964A7">
        <w:rPr>
          <w:rFonts w:ascii="Verdana" w:hAnsi="Verdana"/>
          <w:spacing w:val="-2"/>
          <w:sz w:val="20"/>
          <w:szCs w:val="20"/>
          <w:lang w:val="es-GT"/>
        </w:rPr>
        <w:t>, como por ejemplo, las supuestas sentencias</w:t>
      </w:r>
      <w:r>
        <w:rPr>
          <w:rFonts w:ascii="Verdana" w:hAnsi="Verdana"/>
          <w:spacing w:val="-2"/>
          <w:sz w:val="20"/>
          <w:szCs w:val="20"/>
          <w:lang w:val="es-GT"/>
        </w:rPr>
        <w:t xml:space="preserve"> emitidas en relación con las detenciones señaladas</w:t>
      </w:r>
      <w:r w:rsidRPr="002964A7">
        <w:rPr>
          <w:rStyle w:val="FootnoteReference"/>
          <w:rFonts w:eastAsiaTheme="minorHAnsi"/>
          <w:spacing w:val="-2"/>
          <w:szCs w:val="20"/>
        </w:rPr>
        <w:footnoteReference w:id="292"/>
      </w:r>
      <w:r w:rsidRPr="002964A7">
        <w:rPr>
          <w:rFonts w:ascii="Verdana" w:hAnsi="Verdana"/>
          <w:spacing w:val="-2"/>
          <w:sz w:val="20"/>
          <w:szCs w:val="20"/>
          <w:lang w:val="es-GT"/>
        </w:rPr>
        <w:t xml:space="preserve">. Igualmente, el Tribunal considera que la prueba que consta en el expediente es insuficiente para comprobar las supuestas amenazas y atentados en conexión con los hechos del presente caso, contra Inés Sinchitullo Barboza, Técnica en Abogacía de la Fiscalía Superior Mixta de Huancavelica, Manuel Antonio Cordova Polo, Fiscal Provincial de Angaraes, así como contra la hija de Luz Gladys Roque Montesillo, Fiscal Provincial Provisional de la Fiscalía Especial de Prevención del Delito de Huancavelica. Si bien en un informe al Fiscal Adjunto Supremo en lo Penal de 2 de agosto de 1991 sobre la investigación de los desaparecidos de Santa Bárbara, </w:t>
      </w:r>
      <w:r>
        <w:rPr>
          <w:rFonts w:ascii="Verdana" w:hAnsi="Verdana"/>
          <w:spacing w:val="-2"/>
          <w:sz w:val="20"/>
          <w:szCs w:val="20"/>
          <w:lang w:val="es-GT"/>
        </w:rPr>
        <w:t>la Fiscal</w:t>
      </w:r>
      <w:r w:rsidRPr="002964A7">
        <w:rPr>
          <w:rFonts w:ascii="Verdana" w:hAnsi="Verdana"/>
          <w:spacing w:val="-2"/>
          <w:sz w:val="20"/>
          <w:szCs w:val="20"/>
        </w:rPr>
        <w:t xml:space="preserve"> Luz Gladys Roque Montesillo </w:t>
      </w:r>
      <w:r w:rsidRPr="002964A7">
        <w:rPr>
          <w:rFonts w:ascii="Verdana" w:hAnsi="Verdana"/>
          <w:spacing w:val="-2"/>
          <w:sz w:val="20"/>
          <w:szCs w:val="20"/>
          <w:lang w:val="es-GT"/>
        </w:rPr>
        <w:t>señaló que su hija recibió una herida en la boca a causa de un disparo realizado por un policía y que la casa de Inés Sinchitullo Barboza fue dinamitada, mediante resolución de la Fiscalía Provincial de Huancavelica de 29 de mayo de 1992 se señaló que no había evidencia en cuanto a estos hechos</w:t>
      </w:r>
      <w:r>
        <w:rPr>
          <w:rFonts w:ascii="Verdana" w:hAnsi="Verdana"/>
          <w:spacing w:val="-2"/>
          <w:sz w:val="20"/>
          <w:szCs w:val="20"/>
          <w:lang w:val="es-GT"/>
        </w:rPr>
        <w:t>.</w:t>
      </w:r>
      <w:r w:rsidRPr="00E9525B">
        <w:rPr>
          <w:rFonts w:ascii="Verdana" w:hAnsi="Verdana"/>
          <w:spacing w:val="-2"/>
          <w:sz w:val="20"/>
          <w:szCs w:val="20"/>
          <w:lang w:val="es-GT"/>
        </w:rPr>
        <w:t xml:space="preserve"> </w:t>
      </w:r>
      <w:r w:rsidRPr="002964A7">
        <w:rPr>
          <w:rFonts w:ascii="Verdana" w:hAnsi="Verdana"/>
          <w:spacing w:val="-2"/>
          <w:sz w:val="20"/>
          <w:szCs w:val="20"/>
          <w:lang w:val="es-GT"/>
        </w:rPr>
        <w:t xml:space="preserve">Asimismo, la Corte nota que </w:t>
      </w:r>
      <w:r>
        <w:rPr>
          <w:rFonts w:ascii="Verdana" w:hAnsi="Verdana"/>
          <w:spacing w:val="-2"/>
          <w:sz w:val="20"/>
          <w:szCs w:val="20"/>
          <w:lang w:val="es-GT"/>
        </w:rPr>
        <w:t xml:space="preserve">en </w:t>
      </w:r>
      <w:r w:rsidRPr="002964A7">
        <w:rPr>
          <w:rFonts w:ascii="Verdana" w:hAnsi="Verdana"/>
          <w:spacing w:val="-2"/>
          <w:sz w:val="20"/>
          <w:szCs w:val="20"/>
          <w:lang w:val="es-GT"/>
        </w:rPr>
        <w:t xml:space="preserve">el </w:t>
      </w:r>
      <w:r>
        <w:rPr>
          <w:rFonts w:ascii="Verdana" w:hAnsi="Verdana"/>
          <w:spacing w:val="-2"/>
          <w:sz w:val="20"/>
          <w:szCs w:val="20"/>
          <w:lang w:val="es-GT"/>
        </w:rPr>
        <w:t xml:space="preserve">referido </w:t>
      </w:r>
      <w:r w:rsidRPr="002964A7">
        <w:rPr>
          <w:rFonts w:ascii="Verdana" w:hAnsi="Verdana"/>
          <w:spacing w:val="-2"/>
          <w:sz w:val="20"/>
          <w:szCs w:val="20"/>
          <w:lang w:val="es-GT"/>
        </w:rPr>
        <w:t>informe</w:t>
      </w:r>
      <w:r>
        <w:rPr>
          <w:rFonts w:ascii="Verdana" w:hAnsi="Verdana"/>
          <w:spacing w:val="-2"/>
          <w:sz w:val="20"/>
          <w:szCs w:val="20"/>
          <w:lang w:val="es-GT"/>
        </w:rPr>
        <w:t xml:space="preserve"> de </w:t>
      </w:r>
      <w:r w:rsidRPr="002964A7">
        <w:rPr>
          <w:rFonts w:ascii="Verdana" w:hAnsi="Verdana"/>
          <w:spacing w:val="-2"/>
          <w:sz w:val="20"/>
          <w:szCs w:val="20"/>
          <w:lang w:val="es-GT"/>
        </w:rPr>
        <w:t xml:space="preserve">2 de agosto de 1991 </w:t>
      </w:r>
      <w:r>
        <w:rPr>
          <w:rFonts w:ascii="Verdana" w:hAnsi="Verdana"/>
          <w:spacing w:val="-2"/>
          <w:sz w:val="20"/>
          <w:szCs w:val="20"/>
          <w:lang w:val="es-GT"/>
        </w:rPr>
        <w:t>elaborado por</w:t>
      </w:r>
      <w:r w:rsidRPr="002964A7">
        <w:rPr>
          <w:rFonts w:ascii="Verdana" w:hAnsi="Verdana"/>
          <w:spacing w:val="-2"/>
          <w:sz w:val="20"/>
          <w:szCs w:val="20"/>
          <w:lang w:val="es-GT"/>
        </w:rPr>
        <w:t xml:space="preserve"> </w:t>
      </w:r>
      <w:r>
        <w:rPr>
          <w:rFonts w:ascii="Verdana" w:hAnsi="Verdana"/>
          <w:spacing w:val="-2"/>
          <w:sz w:val="20"/>
          <w:szCs w:val="20"/>
          <w:lang w:val="es-GT"/>
        </w:rPr>
        <w:t>la Fiscal</w:t>
      </w:r>
      <w:r w:rsidRPr="002964A7">
        <w:rPr>
          <w:rFonts w:ascii="Verdana" w:hAnsi="Verdana"/>
          <w:spacing w:val="-2"/>
          <w:sz w:val="20"/>
          <w:szCs w:val="20"/>
        </w:rPr>
        <w:t xml:space="preserve"> Luz Gladys Roque Montesillo</w:t>
      </w:r>
      <w:r w:rsidRPr="002964A7">
        <w:rPr>
          <w:rFonts w:ascii="Verdana" w:hAnsi="Verdana"/>
          <w:spacing w:val="-2"/>
          <w:sz w:val="20"/>
          <w:szCs w:val="20"/>
          <w:lang w:val="es-GT"/>
        </w:rPr>
        <w:t xml:space="preserve"> </w:t>
      </w:r>
      <w:r>
        <w:rPr>
          <w:rFonts w:ascii="Verdana" w:hAnsi="Verdana"/>
          <w:spacing w:val="-2"/>
          <w:sz w:val="20"/>
          <w:szCs w:val="20"/>
          <w:lang w:val="es-GT"/>
        </w:rPr>
        <w:t>se</w:t>
      </w:r>
      <w:r w:rsidRPr="002964A7">
        <w:rPr>
          <w:rFonts w:ascii="Verdana" w:hAnsi="Verdana"/>
          <w:spacing w:val="-2"/>
          <w:sz w:val="20"/>
          <w:szCs w:val="20"/>
          <w:lang w:val="es-GT"/>
        </w:rPr>
        <w:t xml:space="preserve"> indic</w:t>
      </w:r>
      <w:r>
        <w:rPr>
          <w:rFonts w:ascii="Verdana" w:hAnsi="Verdana"/>
          <w:spacing w:val="-2"/>
          <w:sz w:val="20"/>
          <w:szCs w:val="20"/>
          <w:lang w:val="es-GT"/>
        </w:rPr>
        <w:t>ó</w:t>
      </w:r>
      <w:r w:rsidRPr="002964A7">
        <w:rPr>
          <w:rFonts w:ascii="Verdana" w:hAnsi="Verdana"/>
          <w:spacing w:val="-2"/>
          <w:sz w:val="20"/>
          <w:szCs w:val="20"/>
          <w:lang w:val="es-GT"/>
        </w:rPr>
        <w:t xml:space="preserve"> la existencia de un contexto general de violencia contra los fiscales, no s</w:t>
      </w:r>
      <w:r w:rsidR="005E414F">
        <w:rPr>
          <w:rFonts w:ascii="Verdana" w:hAnsi="Verdana"/>
          <w:spacing w:val="-2"/>
          <w:sz w:val="20"/>
          <w:szCs w:val="20"/>
          <w:lang w:val="es-GT"/>
        </w:rPr>
        <w:t>o</w:t>
      </w:r>
      <w:r w:rsidRPr="002964A7">
        <w:rPr>
          <w:rFonts w:ascii="Verdana" w:hAnsi="Verdana"/>
          <w:spacing w:val="-2"/>
          <w:sz w:val="20"/>
          <w:szCs w:val="20"/>
          <w:lang w:val="es-GT"/>
        </w:rPr>
        <w:t>lo por parte del ejército sino también por parte “de elementos subversivos”</w:t>
      </w:r>
      <w:r>
        <w:rPr>
          <w:rFonts w:ascii="Verdana" w:hAnsi="Verdana"/>
          <w:spacing w:val="-2"/>
          <w:sz w:val="20"/>
          <w:szCs w:val="20"/>
          <w:lang w:val="es-GT"/>
        </w:rPr>
        <w:t>, por lo que no queda claro que la posible violencia denunciada hubiese tenido conexión necesariamente con los hechos del presente caso</w:t>
      </w:r>
      <w:r w:rsidRPr="002964A7">
        <w:rPr>
          <w:rStyle w:val="FootnoteReference"/>
          <w:rFonts w:eastAsiaTheme="minorHAnsi"/>
          <w:spacing w:val="-2"/>
          <w:szCs w:val="20"/>
        </w:rPr>
        <w:footnoteReference w:id="293"/>
      </w:r>
      <w:r w:rsidRPr="002964A7">
        <w:rPr>
          <w:rFonts w:ascii="Verdana" w:hAnsi="Verdana"/>
          <w:spacing w:val="-2"/>
          <w:sz w:val="20"/>
          <w:szCs w:val="20"/>
          <w:lang w:val="es-GT"/>
        </w:rPr>
        <w:t xml:space="preserve">. Tampoco consta en el expediente evidencia respecto a la supuesta amenaza contra Manuel Antonio Córdova Polo el 19 de febrero de 1992. </w:t>
      </w:r>
      <w:bookmarkStart w:id="216" w:name="_Toc421864983"/>
      <w:bookmarkStart w:id="217" w:name="_Toc423102559"/>
    </w:p>
    <w:p w:rsidR="00C83100" w:rsidRPr="00F13F0B" w:rsidRDefault="00C83100" w:rsidP="0036188B">
      <w:pPr>
        <w:pStyle w:val="Heading3"/>
        <w:spacing w:line="240" w:lineRule="auto"/>
        <w:rPr>
          <w:lang w:val="es-PR"/>
        </w:rPr>
      </w:pPr>
      <w:bookmarkStart w:id="218" w:name="_Toc433387510"/>
      <w:r w:rsidRPr="00F13F0B">
        <w:rPr>
          <w:lang w:val="es-ES_tradnl"/>
        </w:rPr>
        <w:t>B.</w:t>
      </w:r>
      <w:r>
        <w:rPr>
          <w:lang w:val="es-ES_tradnl"/>
        </w:rPr>
        <w:t>4.</w:t>
      </w:r>
      <w:r w:rsidRPr="00F13F0B">
        <w:rPr>
          <w:lang w:val="es-ES_tradnl"/>
        </w:rPr>
        <w:t xml:space="preserve"> L</w:t>
      </w:r>
      <w:r w:rsidRPr="00F13F0B">
        <w:rPr>
          <w:lang w:val="es-PR"/>
        </w:rPr>
        <w:t xml:space="preserve">a falta de debida diligencia en los procesos abiertos luego de la </w:t>
      </w:r>
      <w:bookmarkEnd w:id="216"/>
      <w:r>
        <w:rPr>
          <w:lang w:val="es-PR"/>
        </w:rPr>
        <w:t>reapertura del caso</w:t>
      </w:r>
      <w:bookmarkEnd w:id="217"/>
      <w:bookmarkEnd w:id="218"/>
      <w:r>
        <w:rPr>
          <w:lang w:val="es-PR"/>
        </w:rPr>
        <w:t xml:space="preserve"> </w:t>
      </w:r>
      <w:r w:rsidRPr="00F13F0B">
        <w:rPr>
          <w:i/>
          <w:lang w:val="es-PR"/>
        </w:rPr>
        <w:t xml:space="preserve"> </w:t>
      </w:r>
    </w:p>
    <w:p w:rsidR="00C83100" w:rsidRPr="0036188B" w:rsidRDefault="00C83100" w:rsidP="00C83100">
      <w:pPr>
        <w:spacing w:after="0"/>
        <w:rPr>
          <w:rFonts w:ascii="Verdana" w:hAnsi="Verdana" w:cs="Verdana"/>
          <w:b/>
          <w:i/>
          <w:spacing w:val="-2"/>
          <w:sz w:val="16"/>
          <w:szCs w:val="20"/>
          <w:lang w:val="es-PR"/>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Verdana"/>
          <w:spacing w:val="-2"/>
          <w:sz w:val="20"/>
          <w:szCs w:val="20"/>
          <w:lang w:val="es-PR"/>
        </w:rPr>
      </w:pPr>
      <w:r w:rsidRPr="002964A7">
        <w:rPr>
          <w:rFonts w:ascii="Verdana" w:hAnsi="Verdana" w:cs="Verdana"/>
          <w:spacing w:val="-2"/>
          <w:sz w:val="20"/>
          <w:szCs w:val="20"/>
          <w:lang w:val="es-PR"/>
        </w:rPr>
        <w:t>En cuanto a la alegada falta de debida diligencia en los procesos reabiertos una vez declarada nula la Resolución de 4 de julio de 1995 que aplicó la Ley de Amnistía No.</w:t>
      </w:r>
      <w:r>
        <w:rPr>
          <w:rFonts w:ascii="Verdana" w:hAnsi="Verdana" w:cs="Verdana"/>
          <w:spacing w:val="-2"/>
          <w:sz w:val="20"/>
          <w:szCs w:val="20"/>
          <w:lang w:val="es-PR"/>
        </w:rPr>
        <w:t xml:space="preserve"> </w:t>
      </w:r>
      <w:r w:rsidRPr="002964A7">
        <w:rPr>
          <w:rFonts w:ascii="Verdana" w:hAnsi="Verdana" w:cs="Verdana"/>
          <w:spacing w:val="-2"/>
          <w:sz w:val="20"/>
          <w:szCs w:val="20"/>
          <w:lang w:val="es-PR"/>
        </w:rPr>
        <w:t xml:space="preserve">26.479 a los procesados por los hechos de este caso, esta Corte reitera que valora </w:t>
      </w:r>
      <w:r w:rsidRPr="002964A7">
        <w:rPr>
          <w:rFonts w:ascii="Verdana" w:hAnsi="Verdana"/>
          <w:spacing w:val="-2"/>
          <w:sz w:val="20"/>
          <w:szCs w:val="20"/>
          <w:lang w:val="es-GT" w:eastAsia="es-CR"/>
        </w:rPr>
        <w:t xml:space="preserve">los esfuerzos del Estado al emitir la </w:t>
      </w:r>
      <w:r>
        <w:rPr>
          <w:rFonts w:ascii="Verdana" w:hAnsi="Verdana" w:cs="Univers"/>
          <w:spacing w:val="-2"/>
          <w:sz w:val="20"/>
          <w:szCs w:val="20"/>
          <w:lang w:val="es-CO" w:eastAsia="es-CR"/>
        </w:rPr>
        <w:t>s</w:t>
      </w:r>
      <w:r w:rsidRPr="002964A7">
        <w:rPr>
          <w:rFonts w:ascii="Verdana" w:hAnsi="Verdana" w:cs="Univers"/>
          <w:spacing w:val="-2"/>
          <w:sz w:val="20"/>
          <w:szCs w:val="20"/>
          <w:lang w:val="es-CO" w:eastAsia="es-CR"/>
        </w:rPr>
        <w:t xml:space="preserve">entencia de </w:t>
      </w:r>
      <w:r w:rsidRPr="002964A7">
        <w:rPr>
          <w:rFonts w:ascii="Verdana" w:hAnsi="Verdana" w:cs="Arial"/>
          <w:spacing w:val="-2"/>
          <w:sz w:val="20"/>
          <w:szCs w:val="20"/>
          <w:lang w:val="es-GT" w:eastAsia="es-CR"/>
        </w:rPr>
        <w:t xml:space="preserve">9 de febrero del 2012 de la Sala Penal Nacional de la Corte Superior de Justicia y la </w:t>
      </w:r>
      <w:r w:rsidRPr="002964A7">
        <w:rPr>
          <w:rFonts w:ascii="Verdana" w:hAnsi="Verdana"/>
          <w:spacing w:val="-2"/>
          <w:sz w:val="20"/>
          <w:szCs w:val="20"/>
          <w:lang w:val="es-GT" w:eastAsia="es-CR"/>
        </w:rPr>
        <w:t>Ejecutoria Suprema</w:t>
      </w:r>
      <w:r w:rsidRPr="002964A7">
        <w:rPr>
          <w:rFonts w:ascii="Verdana" w:hAnsi="Verdana" w:cs="Arial"/>
          <w:spacing w:val="-2"/>
          <w:sz w:val="20"/>
          <w:szCs w:val="20"/>
          <w:lang w:val="es-GT" w:eastAsia="es-CR"/>
        </w:rPr>
        <w:t xml:space="preserve"> de </w:t>
      </w:r>
      <w:r w:rsidRPr="00597FE9">
        <w:rPr>
          <w:rFonts w:ascii="Verdana" w:hAnsi="Verdana"/>
          <w:spacing w:val="-2"/>
          <w:sz w:val="20"/>
          <w:szCs w:val="20"/>
          <w:lang w:val="es-GT" w:eastAsia="es-CR"/>
        </w:rPr>
        <w:t xml:space="preserve">29 de mayo de 2013 de </w:t>
      </w:r>
      <w:r w:rsidRPr="00597FE9">
        <w:rPr>
          <w:rFonts w:ascii="Verdana" w:hAnsi="Verdana" w:cs="Arial"/>
          <w:spacing w:val="-2"/>
          <w:sz w:val="20"/>
          <w:szCs w:val="20"/>
          <w:lang w:val="es-GT" w:eastAsia="es-CR"/>
        </w:rPr>
        <w:t xml:space="preserve">la </w:t>
      </w:r>
      <w:r w:rsidRPr="002964A7">
        <w:rPr>
          <w:rFonts w:ascii="Verdana" w:hAnsi="Verdana"/>
          <w:spacing w:val="-2"/>
          <w:sz w:val="20"/>
          <w:szCs w:val="20"/>
          <w:lang w:val="es-GT" w:eastAsia="es-CR"/>
        </w:rPr>
        <w:t xml:space="preserve">Sala Penal Transitoria de la Corte </w:t>
      </w:r>
      <w:r w:rsidRPr="002964A7">
        <w:rPr>
          <w:rFonts w:ascii="Verdana" w:hAnsi="Verdana"/>
          <w:spacing w:val="-2"/>
          <w:sz w:val="20"/>
          <w:szCs w:val="20"/>
        </w:rPr>
        <w:t>Suprema</w:t>
      </w:r>
      <w:r w:rsidRPr="002964A7">
        <w:rPr>
          <w:rFonts w:ascii="Verdana" w:hAnsi="Verdana"/>
          <w:spacing w:val="-2"/>
          <w:sz w:val="20"/>
          <w:szCs w:val="20"/>
          <w:lang w:val="es-GT" w:eastAsia="es-CR"/>
        </w:rPr>
        <w:t xml:space="preserve"> de Justicia del Perú (</w:t>
      </w:r>
      <w:r w:rsidRPr="002964A7">
        <w:rPr>
          <w:rFonts w:ascii="Verdana" w:hAnsi="Verdana"/>
          <w:i/>
          <w:spacing w:val="-2"/>
          <w:sz w:val="20"/>
          <w:szCs w:val="20"/>
          <w:lang w:val="es-GT" w:eastAsia="es-CR"/>
        </w:rPr>
        <w:t>supra</w:t>
      </w:r>
      <w:r w:rsidRPr="002964A7">
        <w:rPr>
          <w:rFonts w:ascii="Verdana" w:hAnsi="Verdana"/>
          <w:spacing w:val="-2"/>
          <w:sz w:val="20"/>
          <w:szCs w:val="20"/>
          <w:lang w:val="es-GT" w:eastAsia="es-CR"/>
        </w:rPr>
        <w:t xml:space="preserve"> párr. </w:t>
      </w:r>
      <w:r>
        <w:rPr>
          <w:rFonts w:ascii="Verdana" w:hAnsi="Verdana"/>
          <w:spacing w:val="-2"/>
          <w:sz w:val="20"/>
          <w:szCs w:val="20"/>
          <w:lang w:val="es-GT" w:eastAsia="es-CR"/>
        </w:rPr>
        <w:t>88</w:t>
      </w:r>
      <w:r w:rsidRPr="002964A7">
        <w:rPr>
          <w:rFonts w:ascii="Verdana" w:hAnsi="Verdana"/>
          <w:spacing w:val="-2"/>
          <w:sz w:val="20"/>
          <w:szCs w:val="20"/>
          <w:lang w:val="es-GT" w:eastAsia="es-CR"/>
        </w:rPr>
        <w:t xml:space="preserve">). No obstante, en el </w:t>
      </w:r>
      <w:r w:rsidRPr="002964A7">
        <w:rPr>
          <w:rFonts w:ascii="Verdana" w:hAnsi="Verdana"/>
          <w:spacing w:val="-2"/>
          <w:sz w:val="20"/>
          <w:szCs w:val="20"/>
          <w:lang w:val="es-GT" w:eastAsia="es-CR"/>
        </w:rPr>
        <w:lastRenderedPageBreak/>
        <w:t xml:space="preserve">capítulo </w:t>
      </w:r>
      <w:r w:rsidRPr="00392236">
        <w:rPr>
          <w:rFonts w:ascii="Verdana" w:hAnsi="Verdana"/>
          <w:spacing w:val="-2"/>
          <w:lang w:val="es-GT" w:eastAsia="es-CR"/>
        </w:rPr>
        <w:t>IX.I</w:t>
      </w:r>
      <w:r w:rsidRPr="002964A7">
        <w:rPr>
          <w:rFonts w:ascii="Verdana" w:hAnsi="Verdana"/>
          <w:spacing w:val="-2"/>
          <w:sz w:val="20"/>
          <w:szCs w:val="20"/>
          <w:lang w:val="es-GT" w:eastAsia="es-CR"/>
        </w:rPr>
        <w:t xml:space="preserve"> de esta Sentencia </w:t>
      </w:r>
      <w:r>
        <w:rPr>
          <w:rFonts w:ascii="Verdana" w:hAnsi="Verdana"/>
          <w:spacing w:val="-2"/>
          <w:sz w:val="20"/>
          <w:szCs w:val="20"/>
          <w:lang w:val="es-GT" w:eastAsia="es-CR"/>
        </w:rPr>
        <w:t>(párrs. 177 a 183)</w:t>
      </w:r>
      <w:r w:rsidRPr="002964A7">
        <w:rPr>
          <w:rFonts w:ascii="Verdana" w:hAnsi="Verdana"/>
          <w:spacing w:val="-2"/>
          <w:sz w:val="20"/>
          <w:szCs w:val="20"/>
          <w:lang w:val="es-GT" w:eastAsia="es-CR"/>
        </w:rPr>
        <w:t xml:space="preserve">, </w:t>
      </w:r>
      <w:r>
        <w:rPr>
          <w:rFonts w:ascii="Verdana" w:hAnsi="Verdana"/>
          <w:spacing w:val="-2"/>
          <w:sz w:val="20"/>
          <w:szCs w:val="20"/>
          <w:lang w:val="es-GT" w:eastAsia="es-CR"/>
        </w:rPr>
        <w:t>la</w:t>
      </w:r>
      <w:r w:rsidRPr="002964A7">
        <w:rPr>
          <w:rFonts w:ascii="Verdana" w:hAnsi="Verdana"/>
          <w:spacing w:val="-2"/>
          <w:sz w:val="20"/>
          <w:szCs w:val="20"/>
          <w:lang w:val="es-GT" w:eastAsia="es-CR"/>
        </w:rPr>
        <w:t xml:space="preserve"> Corte ya estableció con detalle las deficiencias en los trabajos de excavación, exhumación y análisis de restos óseos realizados en los años 2009 a 2011, es decir, una vez reabierto el proceso en el fuero ordinario por los hechos del presente caso.</w:t>
      </w:r>
      <w:r w:rsidRPr="002964A7">
        <w:rPr>
          <w:rFonts w:ascii="Verdana" w:hAnsi="Verdana" w:cs="Verdana"/>
          <w:spacing w:val="-2"/>
          <w:sz w:val="20"/>
          <w:szCs w:val="20"/>
          <w:lang w:val="es-PR"/>
        </w:rPr>
        <w:t xml:space="preserve"> La Corte determinó que dichas deficiencias en la recaudación de prueba han contribuido a que</w:t>
      </w:r>
      <w:r w:rsidRPr="002964A7">
        <w:rPr>
          <w:rFonts w:ascii="Verdana" w:hAnsi="Verdana" w:cs="Arial"/>
          <w:spacing w:val="-2"/>
          <w:sz w:val="20"/>
          <w:szCs w:val="20"/>
          <w:lang w:val="es-GT" w:eastAsia="es-CR"/>
        </w:rPr>
        <w:t xml:space="preserve"> </w:t>
      </w:r>
      <w:r w:rsidRPr="002964A7">
        <w:rPr>
          <w:rFonts w:ascii="Verdana" w:hAnsi="Verdana"/>
          <w:spacing w:val="-2"/>
          <w:sz w:val="20"/>
          <w:szCs w:val="20"/>
          <w:lang w:val="es-GT" w:eastAsia="es-CR"/>
        </w:rPr>
        <w:t xml:space="preserve">aún no se haya esclarecido el paradero de las víctimas </w:t>
      </w:r>
      <w:r w:rsidRPr="002964A7">
        <w:rPr>
          <w:rFonts w:ascii="Verdana" w:hAnsi="Verdana" w:cs="Cambria"/>
          <w:spacing w:val="-2"/>
          <w:sz w:val="20"/>
          <w:szCs w:val="20"/>
          <w:lang w:val="es-GT" w:eastAsia="es-CR"/>
        </w:rPr>
        <w:t>y permanezca la</w:t>
      </w:r>
      <w:r w:rsidRPr="002964A7">
        <w:rPr>
          <w:rFonts w:ascii="Verdana" w:hAnsi="Verdana" w:cs="Verdana"/>
          <w:spacing w:val="-2"/>
          <w:sz w:val="20"/>
          <w:szCs w:val="20"/>
          <w:lang w:val="es-GT" w:eastAsia="es-CR"/>
        </w:rPr>
        <w:t xml:space="preserve"> </w:t>
      </w:r>
      <w:r w:rsidRPr="002964A7">
        <w:rPr>
          <w:rFonts w:ascii="Verdana" w:hAnsi="Verdana" w:cs="Cambria"/>
          <w:spacing w:val="-2"/>
          <w:sz w:val="20"/>
          <w:szCs w:val="20"/>
          <w:lang w:val="es-GT" w:eastAsia="es-CR"/>
        </w:rPr>
        <w:t>incertidumbre sobre si los restos encontrados y los que aún pudieran quedar en la mina son los de las víctimas del caso (</w:t>
      </w:r>
      <w:r w:rsidRPr="002964A7">
        <w:rPr>
          <w:rFonts w:ascii="Verdana" w:hAnsi="Verdana" w:cs="Cambria"/>
          <w:i/>
          <w:spacing w:val="-2"/>
          <w:sz w:val="20"/>
          <w:szCs w:val="20"/>
          <w:lang w:val="es-GT" w:eastAsia="es-CR"/>
        </w:rPr>
        <w:t xml:space="preserve">supra </w:t>
      </w:r>
      <w:r w:rsidRPr="002964A7">
        <w:rPr>
          <w:rFonts w:ascii="Verdana" w:hAnsi="Verdana" w:cs="Cambria"/>
          <w:spacing w:val="-2"/>
          <w:sz w:val="20"/>
          <w:szCs w:val="20"/>
          <w:lang w:val="es-GT" w:eastAsia="es-CR"/>
        </w:rPr>
        <w:t xml:space="preserve">párr. </w:t>
      </w:r>
      <w:r>
        <w:rPr>
          <w:rFonts w:ascii="Verdana" w:hAnsi="Verdana" w:cs="Cambria"/>
          <w:spacing w:val="-2"/>
          <w:sz w:val="20"/>
          <w:szCs w:val="20"/>
          <w:lang w:val="es-GT" w:eastAsia="es-CR"/>
        </w:rPr>
        <w:t>183</w:t>
      </w:r>
      <w:r w:rsidRPr="002964A7">
        <w:rPr>
          <w:rFonts w:ascii="Verdana" w:hAnsi="Verdana" w:cs="Cambria"/>
          <w:spacing w:val="-2"/>
          <w:sz w:val="20"/>
          <w:szCs w:val="20"/>
          <w:lang w:val="es-GT" w:eastAsia="es-CR"/>
        </w:rPr>
        <w:t xml:space="preserve">). </w:t>
      </w:r>
    </w:p>
    <w:p w:rsidR="00C83100" w:rsidRPr="002964A7" w:rsidRDefault="00C83100" w:rsidP="00C83100">
      <w:pPr>
        <w:spacing w:after="0" w:line="240" w:lineRule="auto"/>
        <w:contextualSpacing/>
        <w:jc w:val="both"/>
        <w:rPr>
          <w:rFonts w:ascii="Verdana" w:hAnsi="Verdana"/>
          <w:spacing w:val="-2"/>
          <w:sz w:val="20"/>
          <w:szCs w:val="20"/>
          <w:lang w:val="es-MX"/>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2964A7">
        <w:rPr>
          <w:rFonts w:ascii="Verdana" w:hAnsi="Verdana" w:cs="Arial"/>
          <w:spacing w:val="-2"/>
          <w:sz w:val="20"/>
          <w:szCs w:val="20"/>
          <w:lang w:val="es-ES_tradnl"/>
        </w:rPr>
        <w:t xml:space="preserve">Por otra parte, en cuanto a la </w:t>
      </w:r>
      <w:r w:rsidRPr="002964A7">
        <w:rPr>
          <w:rFonts w:ascii="Verdana" w:hAnsi="Verdana"/>
          <w:spacing w:val="-2"/>
          <w:sz w:val="20"/>
          <w:szCs w:val="20"/>
          <w:lang w:val="es-GT" w:eastAsia="es-CR"/>
        </w:rPr>
        <w:t>alegada</w:t>
      </w:r>
      <w:r w:rsidRPr="002964A7">
        <w:rPr>
          <w:rFonts w:ascii="Verdana" w:hAnsi="Verdana" w:cs="Arial"/>
          <w:spacing w:val="-2"/>
          <w:sz w:val="20"/>
          <w:szCs w:val="20"/>
          <w:lang w:val="es-ES_tradnl"/>
        </w:rPr>
        <w:t xml:space="preserve"> falta de debida diligencia en la captura de Javier Bendezú Vargas y Dennis Wilfredo Pacheco Zambrano, procesados ausentes ante la Sala Penal Nacional</w:t>
      </w:r>
      <w:r w:rsidRPr="002964A7">
        <w:rPr>
          <w:rFonts w:ascii="Verdana" w:hAnsi="Verdana" w:cs="Arial"/>
          <w:spacing w:val="-2"/>
          <w:sz w:val="20"/>
          <w:szCs w:val="20"/>
          <w:lang w:val="es-GT"/>
        </w:rPr>
        <w:t xml:space="preserve"> de Lima</w:t>
      </w:r>
      <w:r w:rsidRPr="002964A7">
        <w:rPr>
          <w:rFonts w:ascii="Verdana" w:hAnsi="Verdana" w:cs="Arial"/>
          <w:spacing w:val="-2"/>
          <w:sz w:val="20"/>
          <w:szCs w:val="20"/>
          <w:lang w:val="es-ES_tradnl"/>
        </w:rPr>
        <w:t>, esta Corte nota que e</w:t>
      </w:r>
      <w:r w:rsidRPr="002964A7">
        <w:rPr>
          <w:rFonts w:ascii="Verdana" w:hAnsi="Verdana" w:cs="Arial"/>
          <w:spacing w:val="-2"/>
          <w:sz w:val="20"/>
          <w:szCs w:val="20"/>
          <w:lang w:val="es-GT"/>
        </w:rPr>
        <w:t xml:space="preserve">l 12 de diciembre de 2006 dicha Sala dispuso la inmediata </w:t>
      </w:r>
      <w:r w:rsidRPr="002964A7">
        <w:rPr>
          <w:rFonts w:ascii="Verdana" w:hAnsi="Verdana"/>
          <w:spacing w:val="-2"/>
          <w:sz w:val="20"/>
          <w:szCs w:val="20"/>
        </w:rPr>
        <w:t>ubicación</w:t>
      </w:r>
      <w:r w:rsidRPr="002964A7">
        <w:rPr>
          <w:rFonts w:ascii="Verdana" w:hAnsi="Verdana" w:cs="Arial"/>
          <w:spacing w:val="-2"/>
          <w:sz w:val="20"/>
          <w:szCs w:val="20"/>
          <w:lang w:val="es-GT"/>
        </w:rPr>
        <w:t xml:space="preserve"> y captura de aqu</w:t>
      </w:r>
      <w:r w:rsidR="00335E16">
        <w:rPr>
          <w:rFonts w:ascii="Verdana" w:hAnsi="Verdana" w:cs="Arial"/>
          <w:spacing w:val="-2"/>
          <w:sz w:val="20"/>
          <w:szCs w:val="20"/>
          <w:lang w:val="es-GT"/>
        </w:rPr>
        <w:t>e</w:t>
      </w:r>
      <w:r w:rsidRPr="002964A7">
        <w:rPr>
          <w:rFonts w:ascii="Verdana" w:hAnsi="Verdana" w:cs="Arial"/>
          <w:spacing w:val="-2"/>
          <w:sz w:val="20"/>
          <w:szCs w:val="20"/>
          <w:lang w:val="es-GT"/>
        </w:rPr>
        <w:t>llos</w:t>
      </w:r>
      <w:r w:rsidRPr="002964A7">
        <w:rPr>
          <w:rFonts w:ascii="Verdana" w:hAnsi="Verdana" w:cs="Arial"/>
          <w:spacing w:val="-2"/>
          <w:sz w:val="20"/>
          <w:szCs w:val="20"/>
          <w:vertAlign w:val="superscript"/>
          <w:lang w:val="es-GT"/>
        </w:rPr>
        <w:footnoteReference w:id="294"/>
      </w:r>
      <w:r w:rsidRPr="002964A7">
        <w:rPr>
          <w:rFonts w:ascii="Verdana" w:hAnsi="Verdana" w:cs="Arial"/>
          <w:spacing w:val="-2"/>
          <w:sz w:val="20"/>
          <w:szCs w:val="20"/>
          <w:lang w:val="es-GT"/>
        </w:rPr>
        <w:t>. Asimismo, el 9 de noviembre de 2009 dispuso “[c]ursar oficios reiterativos de las órdenes de ubicación y captura de los acusados ausentes a nivel nacional e internacional”, notando que el señor Bendezú Vargas registraba domicilio en Lima y el señor Pacheco registraba dirección domiciliaria en Buenos Aires, Argentina (</w:t>
      </w:r>
      <w:r w:rsidRPr="002964A7">
        <w:rPr>
          <w:rFonts w:ascii="Verdana" w:hAnsi="Verdana" w:cs="Arial"/>
          <w:i/>
          <w:spacing w:val="-2"/>
          <w:sz w:val="20"/>
          <w:szCs w:val="20"/>
          <w:lang w:val="es-GT"/>
        </w:rPr>
        <w:t xml:space="preserve">supra </w:t>
      </w:r>
      <w:r w:rsidRPr="002964A7">
        <w:rPr>
          <w:rFonts w:ascii="Verdana" w:hAnsi="Verdana" w:cs="Arial"/>
          <w:spacing w:val="-2"/>
          <w:sz w:val="20"/>
          <w:szCs w:val="20"/>
          <w:lang w:val="es-GT"/>
        </w:rPr>
        <w:t xml:space="preserve">párr. </w:t>
      </w:r>
      <w:r>
        <w:rPr>
          <w:rFonts w:ascii="Verdana" w:hAnsi="Verdana" w:cs="Arial"/>
          <w:spacing w:val="-2"/>
          <w:sz w:val="20"/>
          <w:szCs w:val="20"/>
          <w:lang w:val="es-GT"/>
        </w:rPr>
        <w:t>127</w:t>
      </w:r>
      <w:r w:rsidRPr="002964A7">
        <w:rPr>
          <w:rFonts w:ascii="Verdana" w:hAnsi="Verdana" w:cs="Arial"/>
          <w:spacing w:val="-2"/>
          <w:sz w:val="20"/>
          <w:szCs w:val="20"/>
          <w:lang w:val="es-GT"/>
        </w:rPr>
        <w:t xml:space="preserve">). El 6 de febrero de 2010 se comunicó al Presidente de la Sala el cumplimiento de la </w:t>
      </w:r>
      <w:r w:rsidRPr="002964A7">
        <w:rPr>
          <w:rFonts w:ascii="Verdana" w:hAnsi="Verdana" w:cs="Fd2599-Identity-H"/>
          <w:spacing w:val="-2"/>
          <w:sz w:val="20"/>
          <w:szCs w:val="20"/>
          <w:lang w:val="es-GT"/>
        </w:rPr>
        <w:t>difusión de las órdenes de ubicación y captura a</w:t>
      </w:r>
      <w:r w:rsidRPr="002964A7">
        <w:rPr>
          <w:rFonts w:ascii="Verdana" w:hAnsi="Verdana" w:cs="Arial"/>
          <w:spacing w:val="-2"/>
          <w:sz w:val="20"/>
          <w:szCs w:val="20"/>
          <w:lang w:val="es-GT"/>
        </w:rPr>
        <w:t xml:space="preserve"> </w:t>
      </w:r>
      <w:r w:rsidRPr="002964A7">
        <w:rPr>
          <w:rFonts w:ascii="Verdana" w:hAnsi="Verdana" w:cs="Fd2599-Identity-H"/>
          <w:spacing w:val="-2"/>
          <w:sz w:val="20"/>
          <w:szCs w:val="20"/>
          <w:lang w:val="es-GT"/>
        </w:rPr>
        <w:t>nivel internacional de los procesados antes mencionados</w:t>
      </w:r>
      <w:r w:rsidRPr="002964A7">
        <w:rPr>
          <w:rFonts w:ascii="Verdana" w:eastAsia="Times New Roman" w:hAnsi="Verdana" w:cs="Fd2599-Identity-H"/>
          <w:spacing w:val="-2"/>
          <w:sz w:val="20"/>
          <w:szCs w:val="20"/>
          <w:vertAlign w:val="superscript"/>
        </w:rPr>
        <w:footnoteReference w:id="295"/>
      </w:r>
      <w:r w:rsidRPr="002964A7">
        <w:rPr>
          <w:rFonts w:ascii="Verdana" w:hAnsi="Verdana" w:cs="Fd2599-Identity-H"/>
          <w:spacing w:val="-2"/>
          <w:sz w:val="20"/>
          <w:szCs w:val="20"/>
          <w:lang w:val="es-GT"/>
        </w:rPr>
        <w:t xml:space="preserve">. Posteriormente, </w:t>
      </w:r>
      <w:r w:rsidRPr="002964A7">
        <w:rPr>
          <w:rFonts w:ascii="Verdana" w:hAnsi="Verdana"/>
          <w:spacing w:val="-2"/>
          <w:sz w:val="20"/>
          <w:szCs w:val="20"/>
          <w:lang w:val="es-GT"/>
        </w:rPr>
        <w:t xml:space="preserve">mediante </w:t>
      </w:r>
      <w:r w:rsidR="004C74EB">
        <w:rPr>
          <w:rFonts w:ascii="Verdana" w:hAnsi="Verdana"/>
          <w:spacing w:val="-2"/>
          <w:sz w:val="20"/>
          <w:szCs w:val="20"/>
          <w:lang w:val="es-GT"/>
        </w:rPr>
        <w:t>s</w:t>
      </w:r>
      <w:r w:rsidRPr="002964A7">
        <w:rPr>
          <w:rFonts w:ascii="Verdana" w:hAnsi="Verdana"/>
          <w:spacing w:val="-2"/>
          <w:sz w:val="20"/>
          <w:szCs w:val="20"/>
          <w:lang w:val="es-GT"/>
        </w:rPr>
        <w:t>entencia de</w:t>
      </w:r>
      <w:r w:rsidRPr="002964A7">
        <w:rPr>
          <w:rFonts w:ascii="Verdana" w:hAnsi="Verdana" w:cs="Arial"/>
          <w:spacing w:val="-2"/>
          <w:sz w:val="20"/>
          <w:szCs w:val="20"/>
          <w:lang w:val="es-GT"/>
        </w:rPr>
        <w:t xml:space="preserve"> 9 de febrero de 2012 la Sala Penal Nacional se reservó</w:t>
      </w:r>
      <w:r w:rsidRPr="002964A7">
        <w:rPr>
          <w:rFonts w:ascii="Verdana" w:hAnsi="Verdana"/>
          <w:spacing w:val="-2"/>
          <w:sz w:val="20"/>
          <w:szCs w:val="20"/>
          <w:lang w:val="es-GT"/>
        </w:rPr>
        <w:t xml:space="preserve"> el juzgamiento de los reos ausentes Javier Bendezú Vargas y</w:t>
      </w:r>
      <w:r w:rsidRPr="002964A7">
        <w:rPr>
          <w:rFonts w:ascii="Verdana" w:hAnsi="Verdana" w:cs="Arial"/>
          <w:spacing w:val="-2"/>
          <w:sz w:val="20"/>
          <w:szCs w:val="20"/>
          <w:lang w:val="es-GT"/>
        </w:rPr>
        <w:t xml:space="preserve"> </w:t>
      </w:r>
      <w:r w:rsidRPr="002964A7">
        <w:rPr>
          <w:rFonts w:ascii="Verdana" w:hAnsi="Verdana"/>
          <w:spacing w:val="-2"/>
          <w:sz w:val="20"/>
          <w:szCs w:val="20"/>
          <w:lang w:val="es-GT"/>
        </w:rPr>
        <w:t>Dennis Wilfredo Pacheco Zambrano y, en consecuencia, ordenó su inmediata ubicación y captura a nivel nacional e internacional (</w:t>
      </w:r>
      <w:r w:rsidRPr="002964A7">
        <w:rPr>
          <w:rFonts w:ascii="Verdana" w:hAnsi="Verdana"/>
          <w:i/>
          <w:spacing w:val="-2"/>
          <w:sz w:val="20"/>
          <w:szCs w:val="20"/>
          <w:lang w:val="es-GT"/>
        </w:rPr>
        <w:t>supra</w:t>
      </w:r>
      <w:r w:rsidRPr="002964A7">
        <w:rPr>
          <w:rFonts w:ascii="Verdana" w:hAnsi="Verdana"/>
          <w:spacing w:val="-2"/>
          <w:sz w:val="20"/>
          <w:szCs w:val="20"/>
          <w:lang w:val="es-GT"/>
        </w:rPr>
        <w:t xml:space="preserve"> párr. </w:t>
      </w:r>
      <w:r>
        <w:rPr>
          <w:rFonts w:ascii="Verdana" w:hAnsi="Verdana"/>
          <w:spacing w:val="-2"/>
          <w:sz w:val="20"/>
          <w:szCs w:val="20"/>
          <w:lang w:val="es-GT"/>
        </w:rPr>
        <w:t>131</w:t>
      </w:r>
      <w:r w:rsidRPr="002964A7">
        <w:rPr>
          <w:rFonts w:ascii="Verdana" w:hAnsi="Verdana"/>
          <w:spacing w:val="-2"/>
          <w:sz w:val="20"/>
          <w:szCs w:val="20"/>
          <w:lang w:val="es-GT"/>
        </w:rPr>
        <w:t>).</w:t>
      </w:r>
    </w:p>
    <w:p w:rsidR="00C83100" w:rsidRPr="002964A7" w:rsidRDefault="00C83100" w:rsidP="00C83100">
      <w:pPr>
        <w:pStyle w:val="ListParagraph"/>
        <w:autoSpaceDE w:val="0"/>
        <w:autoSpaceDN w:val="0"/>
        <w:adjustRightInd w:val="0"/>
        <w:ind w:left="0"/>
        <w:jc w:val="both"/>
        <w:rPr>
          <w:rFonts w:ascii="Verdana" w:hAnsi="Verdana" w:cs="Arial"/>
          <w:spacing w:val="-2"/>
          <w:sz w:val="20"/>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2964A7">
        <w:rPr>
          <w:rFonts w:ascii="Verdana" w:hAnsi="Verdana" w:cs="Arial"/>
          <w:spacing w:val="-2"/>
          <w:sz w:val="20"/>
          <w:szCs w:val="20"/>
          <w:lang w:val="es-GT"/>
        </w:rPr>
        <w:t xml:space="preserve">También se </w:t>
      </w:r>
      <w:r w:rsidRPr="002964A7">
        <w:rPr>
          <w:rFonts w:ascii="Verdana" w:hAnsi="Verdana"/>
          <w:spacing w:val="-2"/>
          <w:sz w:val="20"/>
          <w:szCs w:val="20"/>
          <w:lang w:val="es-GT"/>
        </w:rPr>
        <w:t>desprende</w:t>
      </w:r>
      <w:r w:rsidRPr="002964A7">
        <w:rPr>
          <w:rFonts w:ascii="Verdana" w:hAnsi="Verdana" w:cs="Arial"/>
          <w:spacing w:val="-2"/>
          <w:sz w:val="20"/>
          <w:szCs w:val="20"/>
          <w:lang w:val="es-GT"/>
        </w:rPr>
        <w:t xml:space="preserve"> del </w:t>
      </w:r>
      <w:r w:rsidRPr="002964A7">
        <w:rPr>
          <w:rFonts w:ascii="Verdana" w:hAnsi="Verdana"/>
          <w:spacing w:val="-2"/>
          <w:sz w:val="20"/>
          <w:szCs w:val="20"/>
        </w:rPr>
        <w:t>acervo</w:t>
      </w:r>
      <w:r w:rsidRPr="002964A7">
        <w:rPr>
          <w:rFonts w:ascii="Verdana" w:hAnsi="Verdana" w:cs="Arial"/>
          <w:spacing w:val="-2"/>
          <w:sz w:val="20"/>
          <w:szCs w:val="20"/>
          <w:lang w:val="es-GT"/>
        </w:rPr>
        <w:t xml:space="preserve"> probatorio que la Sala Penal Nacional </w:t>
      </w:r>
      <w:r w:rsidRPr="002964A7">
        <w:rPr>
          <w:rFonts w:ascii="Verdana" w:hAnsi="Verdana"/>
          <w:bCs/>
          <w:spacing w:val="-2"/>
          <w:sz w:val="20"/>
          <w:szCs w:val="20"/>
          <w:lang w:val="es-GT"/>
        </w:rPr>
        <w:t xml:space="preserve">requirió la extradición de </w:t>
      </w:r>
      <w:r w:rsidRPr="002964A7">
        <w:rPr>
          <w:rFonts w:ascii="Verdana" w:hAnsi="Verdana"/>
          <w:spacing w:val="-2"/>
          <w:sz w:val="20"/>
          <w:szCs w:val="20"/>
          <w:lang w:val="es-GT"/>
        </w:rPr>
        <w:t xml:space="preserve">Dennis Wilfredo Pacheco Zambrano a las autoridades judiciales de la República de Argentina, </w:t>
      </w:r>
      <w:r w:rsidRPr="002964A7">
        <w:rPr>
          <w:rFonts w:ascii="Verdana" w:hAnsi="Verdana"/>
          <w:bCs/>
          <w:spacing w:val="-2"/>
          <w:sz w:val="20"/>
          <w:szCs w:val="20"/>
          <w:lang w:val="es-GT"/>
        </w:rPr>
        <w:t>y que mediante Resolución de 28 de septiembre de 2011 la Sala Penal Transitoria de la Corte Suprema de Justicia declaró procedente dicho requerimiento</w:t>
      </w:r>
      <w:r w:rsidRPr="002964A7">
        <w:rPr>
          <w:rFonts w:ascii="Verdana" w:hAnsi="Verdana"/>
          <w:bCs/>
          <w:spacing w:val="-2"/>
          <w:sz w:val="20"/>
          <w:szCs w:val="20"/>
          <w:vertAlign w:val="superscript"/>
        </w:rPr>
        <w:footnoteReference w:id="296"/>
      </w:r>
      <w:r w:rsidRPr="002964A7">
        <w:rPr>
          <w:rFonts w:ascii="Verdana" w:hAnsi="Verdana"/>
          <w:spacing w:val="-2"/>
          <w:sz w:val="20"/>
          <w:szCs w:val="20"/>
          <w:lang w:val="es-GT"/>
        </w:rPr>
        <w:t>. No obstante, el 12 de julio de 2013 la Sala Penal Nacional dispuso dejar sin efecto dicha solicitud de extradición</w:t>
      </w:r>
      <w:r w:rsidRPr="002964A7">
        <w:rPr>
          <w:rFonts w:ascii="Verdana" w:hAnsi="Verdana"/>
          <w:bCs/>
          <w:spacing w:val="-2"/>
          <w:sz w:val="20"/>
          <w:szCs w:val="20"/>
          <w:vertAlign w:val="superscript"/>
        </w:rPr>
        <w:footnoteReference w:id="297"/>
      </w:r>
      <w:r w:rsidRPr="002964A7">
        <w:rPr>
          <w:rFonts w:ascii="Verdana" w:hAnsi="Verdana"/>
          <w:spacing w:val="-2"/>
          <w:sz w:val="20"/>
          <w:szCs w:val="20"/>
          <w:lang w:val="es-GT"/>
        </w:rPr>
        <w:t>.</w:t>
      </w:r>
      <w:r w:rsidRPr="002964A7">
        <w:rPr>
          <w:rFonts w:ascii="Verdana" w:hAnsi="Verdana"/>
          <w:bCs/>
          <w:spacing w:val="-2"/>
          <w:sz w:val="20"/>
          <w:szCs w:val="20"/>
          <w:lang w:val="es-GT"/>
        </w:rPr>
        <w:t xml:space="preserve"> </w:t>
      </w:r>
      <w:r w:rsidRPr="002964A7">
        <w:rPr>
          <w:rFonts w:ascii="Verdana" w:hAnsi="Verdana"/>
          <w:spacing w:val="-2"/>
          <w:sz w:val="20"/>
          <w:szCs w:val="20"/>
          <w:lang w:val="es-GT"/>
        </w:rPr>
        <w:t xml:space="preserve">A su vez, el </w:t>
      </w:r>
      <w:r w:rsidRPr="002964A7">
        <w:rPr>
          <w:rFonts w:ascii="Verdana" w:hAnsi="Verdana"/>
          <w:bCs/>
          <w:spacing w:val="-2"/>
          <w:sz w:val="20"/>
          <w:szCs w:val="20"/>
          <w:lang w:val="es-GT"/>
        </w:rPr>
        <w:t xml:space="preserve">3 de octubre de 2012 la Sala Penal Nacional solicitó la extradición de </w:t>
      </w:r>
      <w:r w:rsidRPr="002964A7">
        <w:rPr>
          <w:rFonts w:ascii="Verdana" w:hAnsi="Verdana"/>
          <w:spacing w:val="-2"/>
          <w:sz w:val="20"/>
          <w:szCs w:val="20"/>
          <w:lang w:val="es-GT"/>
        </w:rPr>
        <w:t>Dennis Wilfredo Pacheco Zambrano</w:t>
      </w:r>
      <w:r w:rsidRPr="002964A7">
        <w:rPr>
          <w:rFonts w:ascii="Verdana" w:hAnsi="Verdana"/>
          <w:bCs/>
          <w:spacing w:val="-2"/>
          <w:sz w:val="20"/>
          <w:szCs w:val="20"/>
          <w:lang w:val="es-GT"/>
        </w:rPr>
        <w:t xml:space="preserve"> a las autoridades de Estados Unidos de América</w:t>
      </w:r>
      <w:r w:rsidRPr="002964A7">
        <w:rPr>
          <w:rFonts w:ascii="Verdana" w:hAnsi="Verdana"/>
          <w:bCs/>
          <w:spacing w:val="-2"/>
          <w:sz w:val="20"/>
          <w:szCs w:val="20"/>
          <w:vertAlign w:val="superscript"/>
        </w:rPr>
        <w:footnoteReference w:id="298"/>
      </w:r>
      <w:r w:rsidRPr="002964A7">
        <w:rPr>
          <w:rFonts w:ascii="Verdana" w:hAnsi="Verdana"/>
          <w:bCs/>
          <w:spacing w:val="-2"/>
          <w:sz w:val="20"/>
          <w:szCs w:val="20"/>
          <w:lang w:val="es-GT"/>
        </w:rPr>
        <w:t>. Al respecto, según lo informó el 14 de mayo de 2013 a la Sala Penal Nacional, la Unidad de Cooperación Judicial Internacional y Extradiciones de la Fiscalía de la Nación presentó al departamento de Estado de los Estados Unidos de América una solicitud de detención preventiva con fines de extradición</w:t>
      </w:r>
      <w:r w:rsidRPr="002964A7">
        <w:rPr>
          <w:rFonts w:ascii="Verdana" w:hAnsi="Verdana"/>
          <w:bCs/>
          <w:spacing w:val="-2"/>
          <w:sz w:val="20"/>
          <w:szCs w:val="20"/>
          <w:vertAlign w:val="superscript"/>
        </w:rPr>
        <w:footnoteReference w:id="299"/>
      </w:r>
      <w:r w:rsidRPr="002964A7">
        <w:rPr>
          <w:rFonts w:ascii="Verdana" w:hAnsi="Verdana"/>
          <w:bCs/>
          <w:spacing w:val="-2"/>
          <w:sz w:val="20"/>
          <w:szCs w:val="20"/>
          <w:lang w:val="es-GT"/>
        </w:rPr>
        <w:t xml:space="preserve">. </w:t>
      </w:r>
      <w:r w:rsidRPr="002964A7">
        <w:rPr>
          <w:rFonts w:ascii="Verdana" w:hAnsi="Verdana"/>
          <w:spacing w:val="-2"/>
          <w:sz w:val="20"/>
          <w:szCs w:val="20"/>
          <w:lang w:val="es-GT"/>
        </w:rPr>
        <w:t xml:space="preserve">Asimismo, </w:t>
      </w:r>
      <w:r w:rsidRPr="002964A7">
        <w:rPr>
          <w:rFonts w:ascii="Verdana" w:hAnsi="Verdana"/>
          <w:bCs/>
          <w:spacing w:val="-2"/>
          <w:sz w:val="20"/>
          <w:szCs w:val="20"/>
          <w:lang w:val="es-GT"/>
        </w:rPr>
        <w:t xml:space="preserve">mediante escrito de 19 de julio de 2013 la Sala Penal Nacional </w:t>
      </w:r>
      <w:r w:rsidRPr="002964A7">
        <w:rPr>
          <w:rFonts w:ascii="Verdana" w:hAnsi="Verdana"/>
          <w:spacing w:val="-2"/>
          <w:sz w:val="20"/>
          <w:szCs w:val="20"/>
          <w:lang w:val="es-GT"/>
        </w:rPr>
        <w:t>requirió al Jefe de la División Internacional de Delitos contra la Vida, el Cuerpo y la Salud (DIVIPVCS-OCN–INTERPOL-LIMA) remitir información actualizada y completa sobre el paradero actual de Dennis Wilfredo Pacheco Zambrano</w:t>
      </w:r>
      <w:r w:rsidRPr="002964A7">
        <w:rPr>
          <w:rFonts w:ascii="Verdana" w:hAnsi="Verdana"/>
          <w:spacing w:val="-2"/>
          <w:sz w:val="20"/>
          <w:szCs w:val="20"/>
          <w:vertAlign w:val="superscript"/>
        </w:rPr>
        <w:footnoteReference w:id="300"/>
      </w:r>
      <w:r w:rsidRPr="002964A7">
        <w:rPr>
          <w:rFonts w:ascii="Verdana" w:hAnsi="Verdana"/>
          <w:spacing w:val="-2"/>
          <w:sz w:val="20"/>
          <w:szCs w:val="20"/>
          <w:lang w:val="es-GT"/>
        </w:rPr>
        <w:t xml:space="preserve">. En respuesta, el 31 de octubre de 2013 el Jefe de DIVIPVCS-OCN–INTERPOL–LIMA informó </w:t>
      </w:r>
      <w:r w:rsidRPr="002964A7">
        <w:rPr>
          <w:rFonts w:ascii="Verdana" w:hAnsi="Verdana"/>
          <w:bCs/>
          <w:spacing w:val="-2"/>
          <w:sz w:val="20"/>
          <w:szCs w:val="20"/>
          <w:lang w:val="es-GT"/>
        </w:rPr>
        <w:t xml:space="preserve">que </w:t>
      </w:r>
      <w:r w:rsidRPr="002964A7">
        <w:rPr>
          <w:rFonts w:ascii="Verdana" w:hAnsi="Verdana"/>
          <w:spacing w:val="-2"/>
          <w:sz w:val="20"/>
          <w:szCs w:val="20"/>
          <w:lang w:val="es-GT"/>
        </w:rPr>
        <w:t>Dennis Wilfredo Pacheco Zambrano se encontraba residiendo en los Estados Unidos de América desde el año 2000</w:t>
      </w:r>
      <w:r w:rsidRPr="002964A7">
        <w:rPr>
          <w:rFonts w:ascii="Verdana" w:hAnsi="Verdana"/>
          <w:spacing w:val="-2"/>
          <w:sz w:val="20"/>
          <w:szCs w:val="20"/>
          <w:vertAlign w:val="superscript"/>
        </w:rPr>
        <w:footnoteReference w:id="301"/>
      </w:r>
      <w:r w:rsidRPr="002964A7">
        <w:rPr>
          <w:rFonts w:ascii="Verdana" w:hAnsi="Verdana"/>
          <w:spacing w:val="-2"/>
          <w:sz w:val="20"/>
          <w:szCs w:val="20"/>
          <w:lang w:val="es-GT"/>
        </w:rPr>
        <w:t>.</w:t>
      </w:r>
    </w:p>
    <w:p w:rsidR="00C83100" w:rsidRPr="002964A7" w:rsidRDefault="00C83100" w:rsidP="00C83100">
      <w:pPr>
        <w:spacing w:after="0" w:line="240" w:lineRule="auto"/>
        <w:jc w:val="both"/>
        <w:rPr>
          <w:rFonts w:ascii="Verdana" w:eastAsia="Calibri" w:hAnsi="Verdana"/>
          <w:bCs/>
          <w:spacing w:val="-2"/>
          <w:sz w:val="20"/>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bCs/>
          <w:spacing w:val="-2"/>
          <w:sz w:val="20"/>
          <w:szCs w:val="20"/>
          <w:lang w:val="es-GT"/>
        </w:rPr>
      </w:pPr>
      <w:r w:rsidRPr="002964A7">
        <w:rPr>
          <w:rFonts w:ascii="Verdana" w:hAnsi="Verdana"/>
          <w:bCs/>
          <w:spacing w:val="-2"/>
          <w:sz w:val="20"/>
          <w:szCs w:val="20"/>
          <w:lang w:val="es-GT"/>
        </w:rPr>
        <w:t xml:space="preserve">Además, </w:t>
      </w:r>
      <w:r w:rsidRPr="002964A7">
        <w:rPr>
          <w:rFonts w:ascii="Verdana" w:hAnsi="Verdana"/>
          <w:spacing w:val="-2"/>
          <w:sz w:val="20"/>
          <w:szCs w:val="20"/>
          <w:lang w:val="es-GT"/>
        </w:rPr>
        <w:t>mediante</w:t>
      </w:r>
      <w:r w:rsidRPr="002964A7">
        <w:rPr>
          <w:rFonts w:ascii="Verdana" w:hAnsi="Verdana"/>
          <w:bCs/>
          <w:spacing w:val="-2"/>
          <w:sz w:val="20"/>
          <w:szCs w:val="20"/>
          <w:lang w:val="es-GT"/>
        </w:rPr>
        <w:t xml:space="preserve"> escrito de 19 de julio de 2013 la Sala Penal Nacional solicitó al Jefe de la División de Requisitorias de la Policía Judicial reiterar la orden para la inmediata </w:t>
      </w:r>
      <w:r w:rsidRPr="002964A7">
        <w:rPr>
          <w:rFonts w:ascii="Verdana" w:hAnsi="Verdana"/>
          <w:bCs/>
          <w:spacing w:val="-2"/>
          <w:sz w:val="20"/>
          <w:szCs w:val="20"/>
          <w:lang w:val="es-GT"/>
        </w:rPr>
        <w:lastRenderedPageBreak/>
        <w:t xml:space="preserve">ubicación y </w:t>
      </w:r>
      <w:r w:rsidRPr="002964A7">
        <w:rPr>
          <w:rFonts w:ascii="Verdana" w:hAnsi="Verdana"/>
          <w:spacing w:val="-2"/>
          <w:sz w:val="20"/>
          <w:szCs w:val="20"/>
          <w:lang w:val="es-GT"/>
        </w:rPr>
        <w:t>captura</w:t>
      </w:r>
      <w:r w:rsidRPr="002964A7">
        <w:rPr>
          <w:rFonts w:ascii="Verdana" w:hAnsi="Verdana"/>
          <w:bCs/>
          <w:spacing w:val="-2"/>
          <w:sz w:val="20"/>
          <w:szCs w:val="20"/>
          <w:lang w:val="es-GT"/>
        </w:rPr>
        <w:t xml:space="preserve"> de</w:t>
      </w:r>
      <w:r w:rsidRPr="002964A7">
        <w:rPr>
          <w:rFonts w:ascii="Verdana" w:hAnsi="Verdana"/>
          <w:spacing w:val="-2"/>
          <w:sz w:val="20"/>
          <w:szCs w:val="20"/>
          <w:lang w:val="es-GT"/>
        </w:rPr>
        <w:t xml:space="preserve"> </w:t>
      </w:r>
      <w:r w:rsidRPr="00597FE9">
        <w:rPr>
          <w:rFonts w:ascii="Verdana" w:hAnsi="Verdana"/>
          <w:spacing w:val="-2"/>
          <w:sz w:val="20"/>
          <w:szCs w:val="20"/>
          <w:lang w:val="es-GT"/>
        </w:rPr>
        <w:t>Javier Bendezú Vargas</w:t>
      </w:r>
      <w:r w:rsidRPr="002964A7">
        <w:rPr>
          <w:rFonts w:ascii="Verdana" w:hAnsi="Verdana"/>
          <w:spacing w:val="-2"/>
          <w:sz w:val="20"/>
          <w:szCs w:val="20"/>
          <w:vertAlign w:val="superscript"/>
        </w:rPr>
        <w:footnoteReference w:id="302"/>
      </w:r>
      <w:r w:rsidRPr="002964A7">
        <w:rPr>
          <w:rFonts w:ascii="Verdana" w:hAnsi="Verdana"/>
          <w:spacing w:val="-2"/>
          <w:sz w:val="20"/>
          <w:szCs w:val="20"/>
          <w:lang w:val="es-GT"/>
        </w:rPr>
        <w:t xml:space="preserve">. </w:t>
      </w:r>
      <w:r w:rsidRPr="002964A7">
        <w:rPr>
          <w:rFonts w:ascii="Verdana" w:hAnsi="Verdana"/>
          <w:bCs/>
          <w:spacing w:val="-2"/>
          <w:sz w:val="20"/>
          <w:szCs w:val="20"/>
          <w:lang w:val="es-GT"/>
        </w:rPr>
        <w:t xml:space="preserve">Finalmente, consta que al menos hasta el 8 de enero de 2015 se encontraban vigentes las órdenes de captura a nivel internacional de </w:t>
      </w:r>
      <w:r w:rsidRPr="002964A7">
        <w:rPr>
          <w:rFonts w:ascii="Verdana" w:hAnsi="Verdana"/>
          <w:spacing w:val="-2"/>
          <w:sz w:val="20"/>
          <w:szCs w:val="20"/>
          <w:lang w:val="es-GT"/>
        </w:rPr>
        <w:t>Javier Bendezú Vargas y</w:t>
      </w:r>
      <w:r w:rsidRPr="002964A7">
        <w:rPr>
          <w:rFonts w:ascii="Verdana" w:hAnsi="Verdana" w:cs="Arial"/>
          <w:spacing w:val="-2"/>
          <w:sz w:val="20"/>
          <w:szCs w:val="20"/>
          <w:lang w:val="es-GT"/>
        </w:rPr>
        <w:t xml:space="preserve"> </w:t>
      </w:r>
      <w:r w:rsidRPr="002964A7">
        <w:rPr>
          <w:rFonts w:ascii="Verdana" w:hAnsi="Verdana"/>
          <w:spacing w:val="-2"/>
          <w:sz w:val="20"/>
          <w:szCs w:val="20"/>
          <w:lang w:val="es-GT"/>
        </w:rPr>
        <w:t>Dennis Wilfredo Pacheco Zambrano</w:t>
      </w:r>
      <w:r w:rsidRPr="002964A7">
        <w:rPr>
          <w:rFonts w:ascii="Verdana" w:hAnsi="Verdana"/>
          <w:spacing w:val="-2"/>
          <w:sz w:val="20"/>
          <w:szCs w:val="20"/>
          <w:vertAlign w:val="superscript"/>
        </w:rPr>
        <w:footnoteReference w:id="303"/>
      </w:r>
      <w:r w:rsidRPr="002964A7">
        <w:rPr>
          <w:rFonts w:ascii="Verdana" w:hAnsi="Verdana"/>
          <w:spacing w:val="-2"/>
          <w:sz w:val="20"/>
          <w:szCs w:val="20"/>
          <w:lang w:val="es-GT"/>
        </w:rPr>
        <w:t>.</w:t>
      </w:r>
    </w:p>
    <w:p w:rsidR="00C83100" w:rsidRPr="002964A7" w:rsidRDefault="00C83100" w:rsidP="00C83100">
      <w:pPr>
        <w:pStyle w:val="ListParagraph"/>
        <w:jc w:val="both"/>
        <w:rPr>
          <w:rFonts w:ascii="Verdana" w:hAnsi="Verdana" w:cs="Arial"/>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MX"/>
        </w:rPr>
      </w:pPr>
      <w:r w:rsidRPr="002964A7">
        <w:rPr>
          <w:rFonts w:ascii="Verdana" w:hAnsi="Verdana" w:cs="Arial"/>
          <w:spacing w:val="-2"/>
          <w:sz w:val="20"/>
          <w:szCs w:val="20"/>
          <w:lang w:val="es-ES_tradnl"/>
        </w:rPr>
        <w:t xml:space="preserve">Con </w:t>
      </w:r>
      <w:r w:rsidRPr="002964A7">
        <w:rPr>
          <w:rFonts w:ascii="Verdana" w:hAnsi="Verdana"/>
          <w:spacing w:val="-2"/>
          <w:sz w:val="20"/>
          <w:szCs w:val="20"/>
          <w:lang w:val="es-GT"/>
        </w:rPr>
        <w:t>relación</w:t>
      </w:r>
      <w:r w:rsidRPr="002964A7">
        <w:rPr>
          <w:rFonts w:ascii="Verdana" w:hAnsi="Verdana" w:cs="Arial"/>
          <w:spacing w:val="-2"/>
          <w:sz w:val="20"/>
          <w:szCs w:val="20"/>
          <w:lang w:val="es-ES_tradnl"/>
        </w:rPr>
        <w:t xml:space="preserve"> a lo anterior, este Tribunal nota que en este caso las autoridades tenían la obligación </w:t>
      </w:r>
      <w:r w:rsidRPr="002964A7">
        <w:rPr>
          <w:rFonts w:ascii="Verdana" w:hAnsi="Verdana"/>
          <w:spacing w:val="-2"/>
          <w:sz w:val="20"/>
          <w:szCs w:val="20"/>
          <w:lang w:val="es-GT"/>
        </w:rPr>
        <w:t>de</w:t>
      </w:r>
      <w:r w:rsidRPr="002964A7">
        <w:rPr>
          <w:rFonts w:ascii="Verdana" w:hAnsi="Verdana" w:cs="Arial"/>
          <w:spacing w:val="-2"/>
          <w:sz w:val="20"/>
          <w:szCs w:val="20"/>
          <w:lang w:val="es-ES_tradnl"/>
        </w:rPr>
        <w:t xml:space="preserve"> </w:t>
      </w:r>
      <w:r w:rsidRPr="002964A7">
        <w:rPr>
          <w:rFonts w:ascii="Verdana" w:hAnsi="Verdana"/>
          <w:spacing w:val="-2"/>
          <w:sz w:val="20"/>
          <w:szCs w:val="20"/>
          <w:lang w:val="es-GT"/>
        </w:rPr>
        <w:t>desplegar</w:t>
      </w:r>
      <w:r w:rsidRPr="00597FE9">
        <w:rPr>
          <w:rFonts w:ascii="Verdana" w:hAnsi="Verdana" w:cs="Arial"/>
          <w:spacing w:val="-2"/>
          <w:sz w:val="20"/>
          <w:szCs w:val="20"/>
          <w:lang w:val="es-ES_tradnl"/>
        </w:rPr>
        <w:t xml:space="preserve"> todas las diligencias necesarias para que los señores Javier Bendezú Vargas y Dennis Wilfredo Pacheco Zambrano pudieran ser ubicados para posteriormente s</w:t>
      </w:r>
      <w:r w:rsidRPr="002964A7">
        <w:rPr>
          <w:rFonts w:ascii="Verdana" w:hAnsi="Verdana" w:cs="Arial"/>
          <w:spacing w:val="-2"/>
          <w:sz w:val="20"/>
          <w:szCs w:val="20"/>
          <w:lang w:val="es-ES_tradnl"/>
        </w:rPr>
        <w:t xml:space="preserve">er procesados. </w:t>
      </w:r>
      <w:r>
        <w:rPr>
          <w:rFonts w:ascii="Verdana" w:hAnsi="Verdana" w:cs="Arial"/>
          <w:spacing w:val="-2"/>
          <w:sz w:val="20"/>
          <w:szCs w:val="20"/>
          <w:lang w:val="es-ES_tradnl"/>
        </w:rPr>
        <w:t xml:space="preserve">Si bien se trata de una obligación de medio y no de resultado, </w:t>
      </w:r>
      <w:r w:rsidRPr="002964A7">
        <w:rPr>
          <w:rFonts w:ascii="Verdana" w:hAnsi="Verdana" w:cs="Arial"/>
          <w:spacing w:val="-2"/>
          <w:sz w:val="20"/>
          <w:szCs w:val="20"/>
          <w:lang w:val="es-ES_tradnl"/>
        </w:rPr>
        <w:t>en el lapso de</w:t>
      </w:r>
      <w:r>
        <w:rPr>
          <w:rFonts w:ascii="Verdana" w:hAnsi="Verdana" w:cs="Arial"/>
          <w:spacing w:val="-2"/>
          <w:sz w:val="20"/>
          <w:szCs w:val="20"/>
          <w:lang w:val="es-ES_tradnl"/>
        </w:rPr>
        <w:t xml:space="preserve"> casi</w:t>
      </w:r>
      <w:r w:rsidRPr="002964A7">
        <w:rPr>
          <w:rFonts w:ascii="Verdana" w:hAnsi="Verdana" w:cs="Arial"/>
          <w:spacing w:val="-2"/>
          <w:sz w:val="20"/>
          <w:szCs w:val="20"/>
          <w:lang w:val="es-ES_tradnl"/>
        </w:rPr>
        <w:t xml:space="preserve"> 9 años, es decir</w:t>
      </w:r>
      <w:r>
        <w:rPr>
          <w:rFonts w:ascii="Verdana" w:hAnsi="Verdana" w:cs="Arial"/>
          <w:spacing w:val="-2"/>
          <w:sz w:val="20"/>
          <w:szCs w:val="20"/>
          <w:lang w:val="es-ES_tradnl"/>
        </w:rPr>
        <w:t>,</w:t>
      </w:r>
      <w:r w:rsidRPr="002964A7">
        <w:rPr>
          <w:rFonts w:ascii="Verdana" w:hAnsi="Verdana" w:cs="Arial"/>
          <w:spacing w:val="-2"/>
          <w:sz w:val="20"/>
          <w:szCs w:val="20"/>
          <w:lang w:val="es-ES_tradnl"/>
        </w:rPr>
        <w:t xml:space="preserve"> desde diciembre de 2006, </w:t>
      </w:r>
      <w:r>
        <w:rPr>
          <w:rFonts w:ascii="Verdana" w:hAnsi="Verdana" w:cs="Arial"/>
          <w:spacing w:val="-2"/>
          <w:sz w:val="20"/>
          <w:szCs w:val="20"/>
          <w:lang w:val="es-ES_tradnl"/>
        </w:rPr>
        <w:t>cuando</w:t>
      </w:r>
      <w:r w:rsidRPr="002964A7">
        <w:rPr>
          <w:rFonts w:ascii="Verdana" w:hAnsi="Verdana" w:cs="Arial"/>
          <w:spacing w:val="-2"/>
          <w:sz w:val="20"/>
          <w:szCs w:val="20"/>
          <w:lang w:val="es-ES_tradnl"/>
        </w:rPr>
        <w:t xml:space="preserve"> se dispuso la ubicación y captura de los procesados</w:t>
      </w:r>
      <w:r>
        <w:rPr>
          <w:rFonts w:ascii="Verdana" w:hAnsi="Verdana" w:cs="Arial"/>
          <w:spacing w:val="-2"/>
          <w:sz w:val="20"/>
          <w:szCs w:val="20"/>
          <w:lang w:val="es-ES_tradnl"/>
        </w:rPr>
        <w:t xml:space="preserve"> (</w:t>
      </w:r>
      <w:r>
        <w:rPr>
          <w:rFonts w:ascii="Verdana" w:hAnsi="Verdana" w:cs="Arial"/>
          <w:i/>
          <w:spacing w:val="-2"/>
          <w:sz w:val="20"/>
          <w:szCs w:val="20"/>
          <w:lang w:val="es-ES_tradnl"/>
        </w:rPr>
        <w:t xml:space="preserve">supra </w:t>
      </w:r>
      <w:r>
        <w:rPr>
          <w:rFonts w:ascii="Verdana" w:hAnsi="Verdana" w:cs="Arial"/>
          <w:spacing w:val="-2"/>
          <w:sz w:val="20"/>
          <w:szCs w:val="20"/>
          <w:lang w:val="es-ES_tradnl"/>
        </w:rPr>
        <w:t>párr. 254)</w:t>
      </w:r>
      <w:r w:rsidRPr="002964A7">
        <w:rPr>
          <w:rFonts w:ascii="Verdana" w:hAnsi="Verdana" w:cs="Arial"/>
          <w:spacing w:val="-2"/>
          <w:sz w:val="20"/>
          <w:szCs w:val="20"/>
          <w:lang w:val="es-ES_tradnl"/>
        </w:rPr>
        <w:t>, hasta la fecha, el Estado s</w:t>
      </w:r>
      <w:r>
        <w:rPr>
          <w:rFonts w:ascii="Verdana" w:hAnsi="Verdana" w:cs="Arial"/>
          <w:spacing w:val="-2"/>
          <w:sz w:val="20"/>
          <w:szCs w:val="20"/>
          <w:lang w:val="es-ES_tradnl"/>
        </w:rPr>
        <w:t>o</w:t>
      </w:r>
      <w:r w:rsidRPr="002964A7">
        <w:rPr>
          <w:rFonts w:ascii="Verdana" w:hAnsi="Verdana" w:cs="Arial"/>
          <w:spacing w:val="-2"/>
          <w:sz w:val="20"/>
          <w:szCs w:val="20"/>
          <w:lang w:val="es-ES_tradnl"/>
        </w:rPr>
        <w:t xml:space="preserve">lo demostró que había efectuado ocho </w:t>
      </w:r>
      <w:r w:rsidRPr="002964A7">
        <w:rPr>
          <w:rFonts w:ascii="Verdana" w:hAnsi="Verdana"/>
          <w:spacing w:val="-2"/>
          <w:sz w:val="20"/>
          <w:szCs w:val="20"/>
          <w:lang w:val="es-GT"/>
        </w:rPr>
        <w:t>acciones concretas</w:t>
      </w:r>
      <w:r w:rsidRPr="002964A7">
        <w:rPr>
          <w:rFonts w:ascii="Verdana" w:hAnsi="Verdana" w:cs="Arial"/>
          <w:spacing w:val="-2"/>
          <w:sz w:val="20"/>
          <w:szCs w:val="20"/>
          <w:lang w:val="es-ES_tradnl"/>
        </w:rPr>
        <w:t xml:space="preserve"> con el propósito de capturar a Javier Bendezú Vargas y Dennis Wilfredo Pacheco Zambrano, ninguna con posterioridad al mes de julio de 2013. </w:t>
      </w:r>
      <w:r w:rsidRPr="00D80454">
        <w:rPr>
          <w:rFonts w:ascii="Verdana" w:hAnsi="Verdana" w:cs="Arial"/>
          <w:spacing w:val="-2"/>
          <w:sz w:val="20"/>
          <w:szCs w:val="20"/>
          <w:lang w:val="es-ES_tradnl"/>
        </w:rPr>
        <w:t xml:space="preserve">Cabe señalar que el 5 de febrero de 2015 la Corte solicitó al Estado, como prueba para mejor resolver, información actualizada sobre las gestiones que había realizado a fin </w:t>
      </w:r>
      <w:r w:rsidRPr="00400C20">
        <w:rPr>
          <w:rFonts w:ascii="Verdana" w:hAnsi="Verdana" w:cs="Arial"/>
          <w:spacing w:val="-2"/>
          <w:sz w:val="20"/>
          <w:szCs w:val="20"/>
          <w:lang w:val="es-ES_tradnl"/>
        </w:rPr>
        <w:t xml:space="preserve">de localizar </w:t>
      </w:r>
      <w:r>
        <w:rPr>
          <w:rFonts w:ascii="Verdana" w:hAnsi="Verdana" w:cs="Arial"/>
          <w:spacing w:val="-2"/>
          <w:sz w:val="20"/>
          <w:szCs w:val="20"/>
          <w:lang w:val="es-ES_tradnl"/>
        </w:rPr>
        <w:t xml:space="preserve">y capturar </w:t>
      </w:r>
      <w:r w:rsidRPr="00400C20">
        <w:rPr>
          <w:rFonts w:ascii="Verdana" w:hAnsi="Verdana" w:cs="Arial"/>
          <w:spacing w:val="-2"/>
          <w:sz w:val="20"/>
          <w:szCs w:val="20"/>
          <w:lang w:val="es-ES_tradnl"/>
        </w:rPr>
        <w:t>a los señores Javier Bendezú Vargas y Dennis Wilfredo Pacheco Zambrano.</w:t>
      </w:r>
      <w:r w:rsidRPr="00CA3914">
        <w:rPr>
          <w:rFonts w:ascii="Verdana" w:hAnsi="Verdana" w:cs="Arial"/>
          <w:spacing w:val="-2"/>
          <w:sz w:val="20"/>
          <w:szCs w:val="20"/>
          <w:lang w:val="es-ES_tradnl"/>
        </w:rPr>
        <w:t xml:space="preserve"> </w:t>
      </w:r>
      <w:r w:rsidRPr="002964A7">
        <w:rPr>
          <w:rFonts w:ascii="Verdana" w:hAnsi="Verdana" w:cs="Arial"/>
          <w:spacing w:val="-2"/>
          <w:sz w:val="20"/>
          <w:szCs w:val="20"/>
          <w:lang w:val="es-ES_tradnl"/>
        </w:rPr>
        <w:t xml:space="preserve">En concepto de esta Corte, las acciones informadas por el Perú han sido insuficientes y el Estado no ha actuado con la debida diligencia para lograr la captura de dichas personas. </w:t>
      </w:r>
    </w:p>
    <w:p w:rsidR="00C83100" w:rsidRPr="002964A7" w:rsidRDefault="00C83100" w:rsidP="00C83100">
      <w:pPr>
        <w:spacing w:after="0" w:line="240" w:lineRule="auto"/>
        <w:contextualSpacing/>
        <w:jc w:val="both"/>
        <w:rPr>
          <w:rFonts w:ascii="Verdana" w:hAnsi="Verdana"/>
          <w:spacing w:val="-2"/>
          <w:sz w:val="20"/>
          <w:szCs w:val="20"/>
          <w:lang w:val="es-MX"/>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ES_tradnl"/>
        </w:rPr>
      </w:pPr>
      <w:r w:rsidRPr="002964A7">
        <w:rPr>
          <w:rFonts w:ascii="Verdana" w:hAnsi="Verdana" w:cs="Arial"/>
          <w:spacing w:val="-2"/>
          <w:sz w:val="20"/>
          <w:szCs w:val="20"/>
          <w:lang w:val="es-ES_tradnl"/>
        </w:rPr>
        <w:t xml:space="preserve">Por otro lado, </w:t>
      </w:r>
      <w:r w:rsidRPr="002964A7">
        <w:rPr>
          <w:rFonts w:ascii="Verdana" w:hAnsi="Verdana"/>
          <w:spacing w:val="-2"/>
          <w:sz w:val="20"/>
          <w:szCs w:val="20"/>
          <w:lang w:val="es-GT"/>
        </w:rPr>
        <w:t xml:space="preserve">tanto la Comisión como los representantes alegaron una ausencia de investigación de otros posibles </w:t>
      </w:r>
      <w:r w:rsidRPr="002964A7">
        <w:rPr>
          <w:rFonts w:ascii="Verdana" w:hAnsi="Verdana" w:cs="Arial"/>
          <w:spacing w:val="-2"/>
          <w:sz w:val="20"/>
          <w:szCs w:val="20"/>
          <w:lang w:val="es-ES_tradnl"/>
        </w:rPr>
        <w:t>responsables</w:t>
      </w:r>
      <w:r w:rsidRPr="002964A7">
        <w:rPr>
          <w:rFonts w:ascii="Verdana" w:hAnsi="Verdana"/>
          <w:spacing w:val="-2"/>
          <w:sz w:val="20"/>
          <w:szCs w:val="20"/>
          <w:lang w:val="es-GT"/>
        </w:rPr>
        <w:t xml:space="preserve"> y </w:t>
      </w:r>
      <w:r>
        <w:rPr>
          <w:rFonts w:ascii="Verdana" w:hAnsi="Verdana"/>
          <w:spacing w:val="-2"/>
          <w:sz w:val="20"/>
          <w:szCs w:val="20"/>
          <w:lang w:val="es-GT"/>
        </w:rPr>
        <w:t>e</w:t>
      </w:r>
      <w:r w:rsidRPr="002964A7">
        <w:rPr>
          <w:rFonts w:ascii="Verdana" w:hAnsi="Verdana"/>
          <w:spacing w:val="-2"/>
          <w:sz w:val="20"/>
          <w:szCs w:val="20"/>
          <w:lang w:val="es-GT"/>
        </w:rPr>
        <w:t xml:space="preserve">stos últimos alegaron que el retardo en el establecimiento de responsabilidades es injustificado e incumple la obligación de investigar en un plazo razonable. Al respecto, </w:t>
      </w:r>
      <w:r w:rsidRPr="002964A7">
        <w:rPr>
          <w:rFonts w:ascii="Verdana" w:hAnsi="Verdana"/>
          <w:spacing w:val="-2"/>
          <w:sz w:val="20"/>
          <w:szCs w:val="20"/>
          <w:lang w:val="es-ES_tradnl"/>
        </w:rPr>
        <w:t>cabe recordar que no corresponde a la Corte analizar las hipótesis de autoría manejadas durante la investigación de los hechos y en consecuencia determinar responsabilidades individuales, cuya definición compete a los tribunales penales internos</w:t>
      </w:r>
      <w:r w:rsidRPr="002964A7">
        <w:rPr>
          <w:rFonts w:ascii="Verdana" w:hAnsi="Verdana"/>
          <w:spacing w:val="-2"/>
          <w:sz w:val="20"/>
          <w:szCs w:val="20"/>
          <w:vertAlign w:val="superscript"/>
        </w:rPr>
        <w:footnoteReference w:id="304"/>
      </w:r>
      <w:r w:rsidRPr="002964A7">
        <w:rPr>
          <w:rFonts w:ascii="Verdana" w:hAnsi="Verdana"/>
          <w:spacing w:val="-2"/>
          <w:sz w:val="20"/>
          <w:szCs w:val="20"/>
          <w:lang w:val="es-ES_tradnl"/>
        </w:rPr>
        <w:t xml:space="preserve">. No obstante, advierte que </w:t>
      </w:r>
      <w:r w:rsidRPr="002964A7">
        <w:rPr>
          <w:rFonts w:ascii="Verdana" w:hAnsi="Verdana"/>
          <w:spacing w:val="-2"/>
          <w:sz w:val="20"/>
          <w:szCs w:val="20"/>
          <w:lang w:val="es-GT"/>
        </w:rPr>
        <w:t xml:space="preserve">en casos como el presente, </w:t>
      </w:r>
      <w:r w:rsidRPr="002964A7">
        <w:rPr>
          <w:rFonts w:ascii="Verdana" w:hAnsi="Verdana"/>
          <w:spacing w:val="-2"/>
          <w:sz w:val="20"/>
          <w:szCs w:val="20"/>
          <w:lang w:val="es-ES"/>
        </w:rPr>
        <w:t>la obligación de investigar conlleva el deber de dirigir los esfuerzos del aparato estatal para desentrañar las estructuras que permitieron esas violaciones, sus causas, sus beneficiarios y sus consecuencias, por lo cual una investigación s</w:t>
      </w:r>
      <w:r>
        <w:rPr>
          <w:rFonts w:ascii="Verdana" w:hAnsi="Verdana"/>
          <w:spacing w:val="-2"/>
          <w:sz w:val="20"/>
          <w:szCs w:val="20"/>
          <w:lang w:val="es-ES"/>
        </w:rPr>
        <w:t>o</w:t>
      </w:r>
      <w:r w:rsidRPr="002964A7">
        <w:rPr>
          <w:rFonts w:ascii="Verdana" w:hAnsi="Verdana"/>
          <w:spacing w:val="-2"/>
          <w:sz w:val="20"/>
          <w:szCs w:val="20"/>
          <w:lang w:val="es-ES"/>
        </w:rPr>
        <w:t>lo puede resultar efectiva si se realiza a partir de una visión comprehensiva de los hechos, que tenga en cuenta los antecedentes y el contexto en que ocurrieron y que busque develar las estructuras de participación</w:t>
      </w:r>
      <w:r w:rsidRPr="002964A7">
        <w:rPr>
          <w:rFonts w:ascii="Verdana" w:hAnsi="Verdana"/>
          <w:spacing w:val="-2"/>
          <w:sz w:val="20"/>
          <w:szCs w:val="20"/>
          <w:vertAlign w:val="superscript"/>
          <w:lang w:val="es-ES"/>
        </w:rPr>
        <w:footnoteReference w:id="305"/>
      </w:r>
      <w:r w:rsidRPr="002964A7">
        <w:rPr>
          <w:rFonts w:ascii="Verdana" w:hAnsi="Verdana"/>
          <w:spacing w:val="-2"/>
          <w:sz w:val="20"/>
          <w:szCs w:val="20"/>
          <w:lang w:val="es-ES"/>
        </w:rPr>
        <w:t xml:space="preserve">. Así, la Corte advierte que, en su sentencia de 9 de febrero de 2012, la Sala Penal Nacional de la Corte Superior de Justicia de Lima dispuso la remisión de copias certificadas de la </w:t>
      </w:r>
      <w:r w:rsidRPr="002964A7">
        <w:rPr>
          <w:rFonts w:ascii="Verdana" w:hAnsi="Verdana" w:cs="Arial"/>
          <w:spacing w:val="-2"/>
          <w:sz w:val="20"/>
          <w:szCs w:val="20"/>
          <w:lang w:val="es-GT"/>
        </w:rPr>
        <w:t>causa al Ministerio Público para que se investigue a Ricardo Caro Díaz, Fernando Lizarzaburu Corte, Alfredo Corzo Fernández, Jesús Rodríguez Franco y Romualdo Segura Pérez</w:t>
      </w:r>
      <w:r>
        <w:rPr>
          <w:rFonts w:ascii="Verdana" w:hAnsi="Verdana" w:cs="Arial"/>
          <w:spacing w:val="-2"/>
          <w:sz w:val="20"/>
          <w:szCs w:val="20"/>
          <w:lang w:val="es-GT"/>
        </w:rPr>
        <w:t xml:space="preserve"> (</w:t>
      </w:r>
      <w:r>
        <w:rPr>
          <w:rFonts w:ascii="Verdana" w:hAnsi="Verdana" w:cs="Arial"/>
          <w:i/>
          <w:spacing w:val="-2"/>
          <w:sz w:val="20"/>
          <w:szCs w:val="20"/>
          <w:lang w:val="es-GT"/>
        </w:rPr>
        <w:t xml:space="preserve">supra </w:t>
      </w:r>
      <w:r w:rsidRPr="00C41E78">
        <w:rPr>
          <w:rFonts w:ascii="Verdana" w:hAnsi="Verdana" w:cs="Arial"/>
          <w:spacing w:val="-2"/>
          <w:sz w:val="20"/>
          <w:szCs w:val="20"/>
          <w:lang w:val="es-GT"/>
        </w:rPr>
        <w:t>párr. 131</w:t>
      </w:r>
      <w:r>
        <w:rPr>
          <w:rFonts w:ascii="Verdana" w:hAnsi="Verdana" w:cs="Arial"/>
          <w:spacing w:val="-2"/>
          <w:sz w:val="20"/>
          <w:szCs w:val="20"/>
          <w:lang w:val="es-GT"/>
        </w:rPr>
        <w:t>)</w:t>
      </w:r>
      <w:r w:rsidRPr="002964A7">
        <w:rPr>
          <w:rFonts w:ascii="Verdana" w:hAnsi="Verdana" w:cs="Arial"/>
          <w:spacing w:val="-2"/>
          <w:sz w:val="20"/>
          <w:szCs w:val="20"/>
          <w:lang w:val="es-GT"/>
        </w:rPr>
        <w:t xml:space="preserve">. No obstante, la Corte no cuenta con información respecto de posibles investigaciones abiertas con posterioridad a ello. </w:t>
      </w:r>
    </w:p>
    <w:p w:rsidR="00C83100" w:rsidRPr="002964A7" w:rsidRDefault="00C83100" w:rsidP="00C83100">
      <w:pPr>
        <w:pStyle w:val="ListParagraph"/>
        <w:autoSpaceDE w:val="0"/>
        <w:autoSpaceDN w:val="0"/>
        <w:adjustRightInd w:val="0"/>
        <w:ind w:left="0" w:right="15"/>
        <w:jc w:val="both"/>
        <w:rPr>
          <w:rFonts w:ascii="Verdana" w:hAnsi="Verdana"/>
          <w:spacing w:val="-2"/>
          <w:sz w:val="20"/>
          <w:szCs w:val="20"/>
          <w:lang w:val="es-ES_tradnl"/>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2964A7">
        <w:rPr>
          <w:rFonts w:ascii="Verdana" w:hAnsi="Verdana" w:cs="Arial"/>
          <w:spacing w:val="-2"/>
          <w:sz w:val="20"/>
          <w:szCs w:val="20"/>
          <w:lang w:val="es-GT"/>
        </w:rPr>
        <w:t xml:space="preserve">Sin perjuicio de ello, la Corte considera que han transcurrido 24 años desde que </w:t>
      </w:r>
      <w:r w:rsidRPr="002964A7">
        <w:rPr>
          <w:rFonts w:ascii="Verdana" w:hAnsi="Verdana"/>
          <w:spacing w:val="-2"/>
          <w:sz w:val="20"/>
          <w:szCs w:val="20"/>
          <w:lang w:val="es-GT"/>
        </w:rPr>
        <w:t>ocurrieron</w:t>
      </w:r>
      <w:r w:rsidRPr="002964A7">
        <w:rPr>
          <w:rFonts w:ascii="Verdana" w:hAnsi="Verdana" w:cs="Arial"/>
          <w:spacing w:val="-2"/>
          <w:sz w:val="20"/>
          <w:szCs w:val="20"/>
          <w:lang w:val="es-GT"/>
        </w:rPr>
        <w:t xml:space="preserve"> los hechos, sin que todavía se haya esclarecido completamente lo </w:t>
      </w:r>
      <w:r w:rsidRPr="002964A7">
        <w:rPr>
          <w:rFonts w:ascii="Verdana" w:hAnsi="Verdana"/>
          <w:spacing w:val="-2"/>
          <w:sz w:val="20"/>
          <w:szCs w:val="20"/>
          <w:lang w:val="es-GT"/>
        </w:rPr>
        <w:t>ocurrido</w:t>
      </w:r>
      <w:r w:rsidRPr="002964A7">
        <w:rPr>
          <w:rFonts w:ascii="Verdana" w:hAnsi="Verdana" w:cs="Arial"/>
          <w:spacing w:val="-2"/>
          <w:sz w:val="20"/>
          <w:szCs w:val="20"/>
          <w:lang w:val="es-GT"/>
        </w:rPr>
        <w:t xml:space="preserve"> ni determinado fehacientemente el paradero de las personas desaparecidas, lo cual constituye una demora prolongada que se ha debido, entre otros, a la aplicación de la Ley de Amnistía y las faltas de debida diligencia identificadas en este </w:t>
      </w:r>
      <w:r>
        <w:rPr>
          <w:rFonts w:ascii="Verdana" w:hAnsi="Verdana" w:cs="Arial"/>
          <w:spacing w:val="-2"/>
          <w:sz w:val="20"/>
          <w:szCs w:val="20"/>
          <w:lang w:val="es-GT"/>
        </w:rPr>
        <w:t>C</w:t>
      </w:r>
      <w:r w:rsidRPr="002964A7">
        <w:rPr>
          <w:rFonts w:ascii="Verdana" w:hAnsi="Verdana" w:cs="Arial"/>
          <w:spacing w:val="-2"/>
          <w:sz w:val="20"/>
          <w:szCs w:val="20"/>
          <w:lang w:val="es-GT"/>
        </w:rPr>
        <w:t>apítulo</w:t>
      </w:r>
      <w:r>
        <w:rPr>
          <w:rFonts w:ascii="Verdana" w:hAnsi="Verdana" w:cs="Arial"/>
          <w:spacing w:val="-2"/>
          <w:sz w:val="20"/>
          <w:szCs w:val="20"/>
          <w:lang w:val="es-GT"/>
        </w:rPr>
        <w:t xml:space="preserve"> de la Sentencia</w:t>
      </w:r>
      <w:r w:rsidRPr="002964A7">
        <w:rPr>
          <w:rFonts w:ascii="Verdana" w:hAnsi="Verdana" w:cs="Arial"/>
          <w:spacing w:val="-2"/>
          <w:sz w:val="20"/>
          <w:szCs w:val="20"/>
          <w:lang w:val="es-GT"/>
        </w:rPr>
        <w:t xml:space="preserve">. </w:t>
      </w:r>
    </w:p>
    <w:p w:rsidR="00C83100" w:rsidRPr="002964A7" w:rsidRDefault="00C83100" w:rsidP="00C83100">
      <w:pPr>
        <w:pStyle w:val="ListParagraph"/>
        <w:rPr>
          <w:rFonts w:ascii="Verdana" w:hAnsi="Verdana" w:cs="Arial"/>
          <w:spacing w:val="-2"/>
          <w:sz w:val="20"/>
          <w:szCs w:val="20"/>
          <w:lang w:val="es-GT"/>
        </w:rPr>
      </w:pPr>
    </w:p>
    <w:p w:rsidR="001154F9" w:rsidRPr="001154F9"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F35F6F">
        <w:rPr>
          <w:rFonts w:ascii="Verdana" w:hAnsi="Verdana" w:cs="Arial"/>
          <w:spacing w:val="-2"/>
          <w:sz w:val="20"/>
          <w:szCs w:val="20"/>
          <w:lang w:val="es-GT"/>
        </w:rPr>
        <w:t xml:space="preserve">Por todo lo anterior, la Corte concluye que tras la reapertura de la investigación del caso en el fuero ordinario, el Estado ha incurrido en faltas de debida diligencia en la </w:t>
      </w:r>
      <w:r w:rsidRPr="00F35F6F">
        <w:rPr>
          <w:rFonts w:ascii="Verdana" w:hAnsi="Verdana" w:cs="Arial"/>
          <w:spacing w:val="-2"/>
          <w:sz w:val="20"/>
          <w:szCs w:val="20"/>
          <w:lang w:val="es-GT"/>
        </w:rPr>
        <w:lastRenderedPageBreak/>
        <w:t xml:space="preserve">recaudación de prueba y la ubicación y captura de reos prófugos, así como en una demora prolongada en el esclarecimiento de todos los hechos del caso y la determinación del paradero de las víctimas desaparecidas. </w:t>
      </w:r>
    </w:p>
    <w:p w:rsidR="00C83100" w:rsidRPr="00F13F0B" w:rsidRDefault="00C83100" w:rsidP="001154F9">
      <w:pPr>
        <w:pStyle w:val="Heading3"/>
        <w:rPr>
          <w:rFonts w:eastAsia="Calibri"/>
        </w:rPr>
      </w:pPr>
      <w:bookmarkStart w:id="219" w:name="_Toc423102560"/>
      <w:bookmarkStart w:id="220" w:name="_Toc433387511"/>
      <w:bookmarkStart w:id="221" w:name="_Toc421864984"/>
      <w:r w:rsidRPr="00F13F0B">
        <w:rPr>
          <w:rFonts w:eastAsia="Calibri"/>
        </w:rPr>
        <w:t>B.</w:t>
      </w:r>
      <w:r>
        <w:rPr>
          <w:rFonts w:eastAsia="Calibri"/>
        </w:rPr>
        <w:t>5.</w:t>
      </w:r>
      <w:r w:rsidRPr="00F13F0B">
        <w:rPr>
          <w:rFonts w:eastAsia="Calibri"/>
        </w:rPr>
        <w:t xml:space="preserve"> El derecho a</w:t>
      </w:r>
      <w:r>
        <w:rPr>
          <w:rFonts w:eastAsia="Calibri"/>
        </w:rPr>
        <w:t xml:space="preserve"> conocer</w:t>
      </w:r>
      <w:r w:rsidRPr="00F13F0B">
        <w:rPr>
          <w:rFonts w:eastAsia="Calibri"/>
        </w:rPr>
        <w:t xml:space="preserve"> la verdad</w:t>
      </w:r>
      <w:bookmarkEnd w:id="219"/>
      <w:bookmarkEnd w:id="220"/>
    </w:p>
    <w:p w:rsidR="00C83100" w:rsidRPr="00766720" w:rsidRDefault="00C83100" w:rsidP="00C83100">
      <w:pPr>
        <w:spacing w:after="0" w:line="240" w:lineRule="auto"/>
        <w:contextualSpacing/>
        <w:jc w:val="both"/>
        <w:rPr>
          <w:rFonts w:ascii="Verdana" w:eastAsia="Calibri" w:hAnsi="Verdana" w:cs="Arial"/>
          <w:spacing w:val="-2"/>
          <w:sz w:val="16"/>
          <w:szCs w:val="20"/>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u w:val="single"/>
          <w:lang w:val="es-ES"/>
        </w:rPr>
      </w:pPr>
      <w:r w:rsidRPr="002964A7">
        <w:rPr>
          <w:rFonts w:ascii="Verdana" w:hAnsi="Verdana"/>
          <w:spacing w:val="-2"/>
          <w:sz w:val="20"/>
          <w:szCs w:val="20"/>
          <w:lang w:val="es-ES"/>
        </w:rPr>
        <w:t>En este caso, los representantes alegaron la violación del derecho a</w:t>
      </w:r>
      <w:r>
        <w:rPr>
          <w:rFonts w:ascii="Verdana" w:hAnsi="Verdana"/>
          <w:spacing w:val="-2"/>
          <w:sz w:val="20"/>
          <w:szCs w:val="20"/>
          <w:lang w:val="es-ES"/>
        </w:rPr>
        <w:t xml:space="preserve"> conocer</w:t>
      </w:r>
      <w:r w:rsidRPr="002964A7">
        <w:rPr>
          <w:rFonts w:ascii="Verdana" w:hAnsi="Verdana"/>
          <w:spacing w:val="-2"/>
          <w:sz w:val="20"/>
          <w:szCs w:val="20"/>
          <w:lang w:val="es-ES"/>
        </w:rPr>
        <w:t xml:space="preserve"> la verdad de los familiares de las víctimas desaparecidas. </w:t>
      </w:r>
    </w:p>
    <w:p w:rsidR="00C83100" w:rsidRPr="00F13F0B" w:rsidRDefault="00C83100" w:rsidP="00C83100">
      <w:pPr>
        <w:tabs>
          <w:tab w:val="left" w:pos="3694"/>
        </w:tabs>
        <w:spacing w:after="0" w:line="240" w:lineRule="auto"/>
        <w:rPr>
          <w:rFonts w:ascii="Verdana" w:eastAsia="Calibri" w:hAnsi="Verdana"/>
          <w:b/>
          <w:spacing w:val="-2"/>
          <w:sz w:val="20"/>
          <w:szCs w:val="20"/>
          <w:u w:val="single"/>
          <w:lang w:val="es-ES"/>
        </w:rPr>
      </w:pPr>
    </w:p>
    <w:p w:rsidR="00C83100" w:rsidRPr="00DA617E"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cs="TimesNewRoman"/>
          <w:spacing w:val="-2"/>
          <w:sz w:val="20"/>
          <w:szCs w:val="20"/>
          <w:lang w:val="es-GT"/>
        </w:rPr>
      </w:pPr>
      <w:r w:rsidRPr="00FD7A4A">
        <w:rPr>
          <w:rFonts w:ascii="Verdana" w:hAnsi="Verdana"/>
          <w:spacing w:val="-2"/>
          <w:sz w:val="20"/>
          <w:szCs w:val="20"/>
          <w:lang w:val="es-PR"/>
        </w:rPr>
        <w:t xml:space="preserve">La </w:t>
      </w:r>
      <w:r w:rsidRPr="00FD7A4A">
        <w:rPr>
          <w:rFonts w:ascii="Verdana" w:hAnsi="Verdana"/>
          <w:spacing w:val="-2"/>
          <w:sz w:val="20"/>
          <w:szCs w:val="20"/>
          <w:lang w:val="es-ES"/>
        </w:rPr>
        <w:t>Organización</w:t>
      </w:r>
      <w:r w:rsidRPr="00FD7A4A">
        <w:rPr>
          <w:rFonts w:ascii="Verdana" w:hAnsi="Verdana"/>
          <w:spacing w:val="-2"/>
          <w:sz w:val="20"/>
          <w:szCs w:val="20"/>
          <w:lang w:val="es-PR"/>
        </w:rPr>
        <w:t xml:space="preserve"> de las Naciones Unidas ha reconocido la existencia del derecho a</w:t>
      </w:r>
      <w:r>
        <w:rPr>
          <w:rFonts w:ascii="Verdana" w:hAnsi="Verdana"/>
          <w:spacing w:val="-2"/>
          <w:sz w:val="20"/>
          <w:szCs w:val="20"/>
          <w:lang w:val="es-PR"/>
        </w:rPr>
        <w:t xml:space="preserve"> conocer</w:t>
      </w:r>
      <w:r w:rsidRPr="00FD7A4A">
        <w:rPr>
          <w:rFonts w:ascii="Verdana" w:hAnsi="Verdana"/>
          <w:spacing w:val="-2"/>
          <w:sz w:val="20"/>
          <w:szCs w:val="20"/>
          <w:lang w:val="es-PR"/>
        </w:rPr>
        <w:t xml:space="preserve"> la verdad a través de pronunciamientos de la Asamblea General</w:t>
      </w:r>
      <w:r w:rsidRPr="00FD7A4A">
        <w:rPr>
          <w:rFonts w:ascii="Verdana" w:hAnsi="Verdana" w:cs="TimesNewRoman"/>
          <w:spacing w:val="-2"/>
          <w:sz w:val="20"/>
          <w:szCs w:val="20"/>
          <w:vertAlign w:val="superscript"/>
        </w:rPr>
        <w:footnoteReference w:id="306"/>
      </w:r>
      <w:r w:rsidRPr="00FD7A4A">
        <w:rPr>
          <w:rFonts w:ascii="Verdana" w:hAnsi="Verdana"/>
          <w:spacing w:val="-2"/>
          <w:sz w:val="20"/>
          <w:szCs w:val="20"/>
          <w:lang w:val="es-PR"/>
        </w:rPr>
        <w:t>, el Secretario General</w:t>
      </w:r>
      <w:r w:rsidRPr="00FD7A4A">
        <w:rPr>
          <w:rFonts w:ascii="Verdana" w:hAnsi="Verdana" w:cs="TimesNewRoman"/>
          <w:spacing w:val="-2"/>
          <w:sz w:val="20"/>
          <w:szCs w:val="20"/>
          <w:vertAlign w:val="superscript"/>
        </w:rPr>
        <w:footnoteReference w:id="307"/>
      </w:r>
      <w:r w:rsidRPr="00FD7A4A">
        <w:rPr>
          <w:rFonts w:ascii="Verdana" w:hAnsi="Verdana"/>
          <w:spacing w:val="-2"/>
          <w:sz w:val="20"/>
          <w:szCs w:val="20"/>
          <w:vertAlign w:val="superscript"/>
          <w:lang w:val="es-PR"/>
        </w:rPr>
        <w:t xml:space="preserve"> </w:t>
      </w:r>
      <w:r w:rsidRPr="00FD7A4A">
        <w:rPr>
          <w:rFonts w:ascii="Verdana" w:hAnsi="Verdana"/>
          <w:spacing w:val="-2"/>
          <w:sz w:val="20"/>
          <w:szCs w:val="20"/>
          <w:lang w:val="es-PR"/>
        </w:rPr>
        <w:t>y el Consejo de Seguridad</w:t>
      </w:r>
      <w:r w:rsidRPr="00FD7A4A">
        <w:rPr>
          <w:rFonts w:ascii="Verdana" w:hAnsi="Verdana" w:cs="TimesNewRoman"/>
          <w:spacing w:val="-2"/>
          <w:sz w:val="20"/>
          <w:szCs w:val="20"/>
          <w:vertAlign w:val="superscript"/>
        </w:rPr>
        <w:footnoteReference w:id="308"/>
      </w:r>
      <w:r w:rsidRPr="00FD7A4A">
        <w:rPr>
          <w:rFonts w:ascii="Verdana" w:hAnsi="Verdana"/>
          <w:spacing w:val="-2"/>
          <w:sz w:val="20"/>
          <w:szCs w:val="20"/>
          <w:lang w:val="es-PR"/>
        </w:rPr>
        <w:t xml:space="preserve">, así como numerosas resoluciones e informes de organismos tales como </w:t>
      </w:r>
      <w:r w:rsidRPr="00FD7A4A">
        <w:rPr>
          <w:rFonts w:ascii="Verdana" w:hAnsi="Verdana" w:cs="TimesNewRoman"/>
          <w:spacing w:val="-4"/>
          <w:sz w:val="20"/>
          <w:szCs w:val="20"/>
          <w:lang w:val="es-PR"/>
        </w:rPr>
        <w:t xml:space="preserve">el </w:t>
      </w:r>
      <w:r w:rsidRPr="00FD7A4A">
        <w:rPr>
          <w:rFonts w:ascii="Verdana" w:hAnsi="Verdana" w:cs="Arial"/>
          <w:spacing w:val="-4"/>
          <w:sz w:val="20"/>
          <w:szCs w:val="20"/>
          <w:lang w:val="es-PR"/>
        </w:rPr>
        <w:t>Grupo de Trabajo sobre Desapariciones Forzadas</w:t>
      </w:r>
      <w:r w:rsidRPr="00FD7A4A">
        <w:rPr>
          <w:rFonts w:ascii="Verdana" w:hAnsi="Verdana"/>
          <w:spacing w:val="-2"/>
          <w:sz w:val="20"/>
          <w:szCs w:val="20"/>
          <w:lang w:val="es-PR"/>
        </w:rPr>
        <w:t xml:space="preserve">, el </w:t>
      </w:r>
      <w:r w:rsidRPr="00FD7A4A">
        <w:rPr>
          <w:rFonts w:ascii="Verdana" w:hAnsi="Verdana" w:cs="TimesNewRoman"/>
          <w:spacing w:val="-4"/>
          <w:sz w:val="20"/>
          <w:szCs w:val="20"/>
          <w:lang w:val="es-PR"/>
        </w:rPr>
        <w:t>Relator Especial sobre Estados de Emergencia</w:t>
      </w:r>
      <w:r w:rsidRPr="00DA617E">
        <w:rPr>
          <w:rFonts w:ascii="Verdana" w:hAnsi="Verdana" w:cs="TimesNewRoman"/>
          <w:spacing w:val="-4"/>
          <w:sz w:val="20"/>
          <w:szCs w:val="20"/>
          <w:lang w:val="es-PR"/>
        </w:rPr>
        <w:t xml:space="preserve">, </w:t>
      </w:r>
      <w:r w:rsidRPr="00FD7A4A">
        <w:rPr>
          <w:rFonts w:ascii="Verdana" w:hAnsi="Verdana"/>
          <w:spacing w:val="-4"/>
          <w:sz w:val="20"/>
          <w:szCs w:val="20"/>
          <w:lang w:val="es-PR"/>
        </w:rPr>
        <w:t>el</w:t>
      </w:r>
      <w:r w:rsidRPr="00DA617E">
        <w:rPr>
          <w:rFonts w:ascii="Verdana" w:hAnsi="Verdana"/>
          <w:spacing w:val="-4"/>
          <w:sz w:val="20"/>
          <w:szCs w:val="20"/>
          <w:lang w:val="es-PR"/>
        </w:rPr>
        <w:t xml:space="preserve"> Alt</w:t>
      </w:r>
      <w:r w:rsidRPr="00FD7A4A">
        <w:rPr>
          <w:rFonts w:ascii="Verdana" w:hAnsi="Verdana"/>
          <w:spacing w:val="-4"/>
          <w:sz w:val="20"/>
          <w:szCs w:val="20"/>
          <w:lang w:val="es-PR"/>
        </w:rPr>
        <w:t>o Comisionado</w:t>
      </w:r>
      <w:r w:rsidRPr="00DA617E">
        <w:rPr>
          <w:rFonts w:ascii="Verdana" w:hAnsi="Verdana"/>
          <w:spacing w:val="-4"/>
          <w:sz w:val="20"/>
          <w:szCs w:val="20"/>
          <w:lang w:val="es-PR"/>
        </w:rPr>
        <w:t xml:space="preserve"> de las Naciones Unidas para los Derechos Humanos, el </w:t>
      </w:r>
      <w:r w:rsidRPr="007938AB">
        <w:rPr>
          <w:rStyle w:val="FootnoteReference"/>
          <w:rFonts w:eastAsiaTheme="minorHAnsi"/>
          <w:szCs w:val="20"/>
          <w:vertAlign w:val="baseline"/>
          <w:lang w:val="es-PR"/>
        </w:rPr>
        <w:t>Consejo de Derechos Humanos</w:t>
      </w:r>
      <w:r w:rsidRPr="00DA617E">
        <w:rPr>
          <w:rFonts w:ascii="Verdana" w:hAnsi="Verdana"/>
          <w:spacing w:val="-4"/>
          <w:sz w:val="20"/>
          <w:szCs w:val="20"/>
          <w:lang w:val="es-PR"/>
        </w:rPr>
        <w:t xml:space="preserve"> y la antigua Comisión de Derechos Humanos</w:t>
      </w:r>
      <w:r w:rsidRPr="00DA617E">
        <w:rPr>
          <w:rStyle w:val="FootnoteReference"/>
          <w:rFonts w:eastAsiaTheme="minorHAnsi"/>
          <w:spacing w:val="-2"/>
          <w:szCs w:val="20"/>
        </w:rPr>
        <w:footnoteReference w:id="309"/>
      </w:r>
      <w:r w:rsidRPr="00DA617E">
        <w:rPr>
          <w:rFonts w:ascii="Verdana" w:hAnsi="Verdana"/>
          <w:spacing w:val="-2"/>
          <w:sz w:val="20"/>
          <w:szCs w:val="20"/>
          <w:lang w:val="es-PR"/>
        </w:rPr>
        <w:t>.</w:t>
      </w:r>
      <w:r w:rsidRPr="00DA617E">
        <w:rPr>
          <w:rFonts w:ascii="Verdana" w:hAnsi="Verdana" w:cs="TimesNewRoman"/>
          <w:spacing w:val="-2"/>
          <w:sz w:val="20"/>
          <w:szCs w:val="20"/>
          <w:lang w:val="es-PR"/>
        </w:rPr>
        <w:t xml:space="preserve"> </w:t>
      </w:r>
      <w:r>
        <w:rPr>
          <w:rFonts w:ascii="Verdana" w:hAnsi="Verdana" w:cs="TimesNewRoman"/>
          <w:spacing w:val="-2"/>
          <w:sz w:val="20"/>
          <w:szCs w:val="20"/>
          <w:lang w:val="es-PR"/>
        </w:rPr>
        <w:t>Asimismo, también en el ámbito de la ONU,</w:t>
      </w:r>
      <w:r w:rsidRPr="00DA617E">
        <w:rPr>
          <w:rFonts w:ascii="Verdana" w:hAnsi="Verdana"/>
          <w:spacing w:val="-2"/>
          <w:sz w:val="20"/>
          <w:szCs w:val="20"/>
          <w:lang w:val="es-GT"/>
        </w:rPr>
        <w:t xml:space="preserve"> la Convención Internacional para la Protección de Todas las Personas contra las Desapariciones Forzadas reconoce de manera expresa</w:t>
      </w:r>
      <w:r>
        <w:rPr>
          <w:rFonts w:ascii="Verdana" w:hAnsi="Verdana"/>
          <w:spacing w:val="-2"/>
          <w:sz w:val="20"/>
          <w:szCs w:val="20"/>
          <w:lang w:val="es-GT"/>
        </w:rPr>
        <w:t>,</w:t>
      </w:r>
      <w:r w:rsidRPr="00DA617E">
        <w:rPr>
          <w:rFonts w:ascii="Verdana" w:hAnsi="Verdana"/>
          <w:spacing w:val="-2"/>
          <w:sz w:val="20"/>
          <w:szCs w:val="20"/>
          <w:lang w:val="es-GT"/>
        </w:rPr>
        <w:t xml:space="preserve"> </w:t>
      </w:r>
      <w:r w:rsidRPr="006B6EF0">
        <w:rPr>
          <w:rFonts w:ascii="Verdana" w:hAnsi="Verdana"/>
          <w:sz w:val="20"/>
          <w:szCs w:val="20"/>
        </w:rPr>
        <w:t>en su artículo 24</w:t>
      </w:r>
      <w:r w:rsidRPr="006B6EF0">
        <w:rPr>
          <w:rFonts w:ascii="Verdana" w:hAnsi="Verdana"/>
          <w:sz w:val="20"/>
          <w:szCs w:val="20"/>
          <w:lang w:val="es-ES"/>
        </w:rPr>
        <w:t xml:space="preserve">.2, </w:t>
      </w:r>
      <w:r w:rsidRPr="00C277C3">
        <w:rPr>
          <w:rFonts w:ascii="Verdana" w:hAnsi="Verdana"/>
          <w:sz w:val="20"/>
          <w:szCs w:val="20"/>
          <w:lang w:val="es-ES"/>
        </w:rPr>
        <w:t xml:space="preserve">que “[c]ada víctima tiene </w:t>
      </w:r>
      <w:r w:rsidRPr="00DA617E">
        <w:rPr>
          <w:rFonts w:ascii="Verdana" w:hAnsi="Verdana"/>
          <w:spacing w:val="-2"/>
          <w:sz w:val="20"/>
          <w:szCs w:val="20"/>
          <w:shd w:val="clear" w:color="auto" w:fill="FFFFFF"/>
          <w:lang w:val="es-GT"/>
        </w:rPr>
        <w:t>el derecho de conocer la verdad sobre las circunstancias de la desaparición forzada, la evolución y resultados de la investigación y la suerte de la persona desaparecida”</w:t>
      </w:r>
      <w:r w:rsidRPr="00DA617E">
        <w:rPr>
          <w:rStyle w:val="FootnoteReference"/>
          <w:rFonts w:eastAsiaTheme="minorHAnsi" w:cs="TimesNewRoman"/>
          <w:spacing w:val="-2"/>
          <w:szCs w:val="20"/>
        </w:rPr>
        <w:footnoteReference w:id="310"/>
      </w:r>
      <w:r w:rsidRPr="00DA617E">
        <w:rPr>
          <w:rFonts w:ascii="Verdana" w:hAnsi="Verdana" w:cs="TimesNewRoman"/>
          <w:spacing w:val="-2"/>
          <w:sz w:val="20"/>
          <w:szCs w:val="20"/>
          <w:lang w:val="es-GT"/>
        </w:rPr>
        <w:t>.</w:t>
      </w:r>
      <w:r w:rsidRPr="00AC5665">
        <w:rPr>
          <w:rFonts w:ascii="Verdana" w:hAnsi="Verdana" w:cs="TimesNewRoman"/>
          <w:spacing w:val="-2"/>
          <w:sz w:val="20"/>
          <w:szCs w:val="20"/>
          <w:lang w:val="es-GT"/>
        </w:rPr>
        <w:t xml:space="preserve"> </w:t>
      </w:r>
      <w:r>
        <w:rPr>
          <w:rFonts w:ascii="Verdana" w:hAnsi="Verdana" w:cs="TimesNewRoman"/>
          <w:spacing w:val="-2"/>
          <w:sz w:val="20"/>
          <w:szCs w:val="20"/>
          <w:lang w:val="es-GT"/>
        </w:rPr>
        <w:t>Además</w:t>
      </w:r>
      <w:r w:rsidRPr="00DA617E">
        <w:rPr>
          <w:rFonts w:ascii="Verdana" w:hAnsi="Verdana" w:cs="TimesNewRoman"/>
          <w:spacing w:val="-2"/>
          <w:sz w:val="20"/>
          <w:szCs w:val="20"/>
          <w:lang w:val="es-GT"/>
        </w:rPr>
        <w:t xml:space="preserve">, </w:t>
      </w:r>
      <w:r w:rsidRPr="00DA617E">
        <w:rPr>
          <w:rFonts w:ascii="Verdana" w:hAnsi="Verdana"/>
          <w:spacing w:val="-2"/>
          <w:sz w:val="20"/>
          <w:szCs w:val="20"/>
          <w:lang w:val="es-GT"/>
        </w:rPr>
        <w:t xml:space="preserve">el Conjunto de principios </w:t>
      </w:r>
      <w:r w:rsidRPr="00DA617E">
        <w:rPr>
          <w:rFonts w:ascii="Verdana" w:hAnsi="Verdana"/>
          <w:spacing w:val="-2"/>
          <w:sz w:val="20"/>
          <w:szCs w:val="20"/>
          <w:lang w:val="es-GT"/>
        </w:rPr>
        <w:lastRenderedPageBreak/>
        <w:t>para la protección y la promoción de los derechos humanos mediante la lucha contra la impunidad</w:t>
      </w:r>
      <w:r w:rsidRPr="00DA617E">
        <w:rPr>
          <w:rFonts w:ascii="Verdana" w:hAnsi="Verdana" w:cs="TimesNewRoman"/>
          <w:spacing w:val="-2"/>
          <w:sz w:val="20"/>
          <w:szCs w:val="20"/>
          <w:lang w:val="es-GT"/>
        </w:rPr>
        <w:t xml:space="preserve"> reconocen </w:t>
      </w:r>
      <w:r>
        <w:rPr>
          <w:rFonts w:ascii="Verdana" w:hAnsi="Verdana" w:cs="TimesNewRoman"/>
          <w:spacing w:val="-2"/>
          <w:sz w:val="20"/>
          <w:szCs w:val="20"/>
          <w:lang w:val="es-GT"/>
        </w:rPr>
        <w:t>que los familiares de víctimas desaparecidas tienen el “derecho imprescriptible a conocer la verdad […] acerca de la suerte que corrió la víctima”</w:t>
      </w:r>
      <w:r w:rsidRPr="00AD19A9">
        <w:rPr>
          <w:rStyle w:val="FootnoteReference"/>
          <w:rFonts w:eastAsiaTheme="minorHAnsi" w:cs="TimesNewRoman"/>
          <w:spacing w:val="-2"/>
          <w:szCs w:val="20"/>
          <w:lang w:val="es-PR"/>
        </w:rPr>
        <w:t xml:space="preserve"> </w:t>
      </w:r>
      <w:r w:rsidRPr="00DA617E">
        <w:rPr>
          <w:rStyle w:val="FootnoteReference"/>
          <w:rFonts w:eastAsiaTheme="minorHAnsi" w:cs="TimesNewRoman"/>
          <w:spacing w:val="-2"/>
          <w:szCs w:val="20"/>
        </w:rPr>
        <w:footnoteReference w:id="311"/>
      </w:r>
      <w:r w:rsidRPr="00DA617E">
        <w:rPr>
          <w:rFonts w:ascii="Verdana" w:hAnsi="Verdana" w:cs="TimesNewRoman"/>
          <w:spacing w:val="-2"/>
          <w:sz w:val="20"/>
          <w:szCs w:val="20"/>
          <w:lang w:val="es-GT"/>
        </w:rPr>
        <w:t>.</w:t>
      </w:r>
    </w:p>
    <w:p w:rsidR="00C83100" w:rsidRPr="00AD19A9" w:rsidRDefault="00C83100" w:rsidP="00C83100">
      <w:pPr>
        <w:pStyle w:val="ListParagraph"/>
        <w:rPr>
          <w:rFonts w:ascii="Verdana" w:hAnsi="Verdana"/>
          <w:spacing w:val="-2"/>
          <w:sz w:val="20"/>
          <w:szCs w:val="20"/>
          <w:lang w:val="es-PR"/>
        </w:rPr>
      </w:pPr>
    </w:p>
    <w:p w:rsidR="00C83100" w:rsidRPr="00DA617E"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Pr>
          <w:rFonts w:ascii="Verdana" w:hAnsi="Verdana"/>
          <w:spacing w:val="-2"/>
          <w:sz w:val="20"/>
          <w:szCs w:val="20"/>
          <w:lang w:val="es-PR"/>
        </w:rPr>
        <w:t>En el ámbito regional</w:t>
      </w:r>
      <w:r w:rsidRPr="00DA617E">
        <w:rPr>
          <w:rFonts w:ascii="Verdana" w:hAnsi="Verdana" w:cs="TimesNewRoman"/>
          <w:spacing w:val="-2"/>
          <w:sz w:val="20"/>
          <w:szCs w:val="20"/>
          <w:lang w:val="es-PR"/>
        </w:rPr>
        <w:t>, la Unión Europea se ha pronunciado respecto del derecho a</w:t>
      </w:r>
      <w:r>
        <w:rPr>
          <w:rFonts w:ascii="Verdana" w:hAnsi="Verdana" w:cs="TimesNewRoman"/>
          <w:spacing w:val="-2"/>
          <w:sz w:val="20"/>
          <w:szCs w:val="20"/>
          <w:lang w:val="es-PR"/>
        </w:rPr>
        <w:t xml:space="preserve"> conocer</w:t>
      </w:r>
      <w:r w:rsidRPr="00DA617E">
        <w:rPr>
          <w:rFonts w:ascii="Verdana" w:hAnsi="Verdana" w:cs="TimesNewRoman"/>
          <w:spacing w:val="-2"/>
          <w:sz w:val="20"/>
          <w:szCs w:val="20"/>
          <w:lang w:val="es-PR"/>
        </w:rPr>
        <w:t xml:space="preserve"> la verdad en resoluciones sobre personas desaparecidas</w:t>
      </w:r>
      <w:r w:rsidRPr="00DA617E">
        <w:rPr>
          <w:rStyle w:val="FootnoteReference"/>
          <w:rFonts w:eastAsiaTheme="minorHAnsi" w:cs="TimesNewRoman"/>
          <w:spacing w:val="-2"/>
          <w:szCs w:val="20"/>
        </w:rPr>
        <w:footnoteReference w:id="312"/>
      </w:r>
      <w:r w:rsidRPr="00DA617E">
        <w:rPr>
          <w:rFonts w:ascii="Verdana" w:hAnsi="Verdana" w:cs="TimesNewRoman"/>
          <w:spacing w:val="-2"/>
          <w:sz w:val="20"/>
          <w:szCs w:val="20"/>
          <w:lang w:val="es-PR"/>
        </w:rPr>
        <w:t xml:space="preserve">, </w:t>
      </w:r>
      <w:r>
        <w:rPr>
          <w:rFonts w:ascii="Verdana" w:hAnsi="Verdana" w:cs="TimesNewRoman"/>
          <w:spacing w:val="-2"/>
          <w:sz w:val="20"/>
          <w:szCs w:val="20"/>
          <w:lang w:val="es-PR"/>
        </w:rPr>
        <w:t>entre otros</w:t>
      </w:r>
      <w:r w:rsidRPr="00DA617E">
        <w:rPr>
          <w:rStyle w:val="FootnoteReference"/>
          <w:rFonts w:eastAsiaTheme="minorHAnsi" w:cs="TimesNewRoman"/>
          <w:spacing w:val="-2"/>
          <w:szCs w:val="20"/>
        </w:rPr>
        <w:footnoteReference w:id="313"/>
      </w:r>
      <w:r w:rsidRPr="00DA617E">
        <w:rPr>
          <w:rFonts w:ascii="Verdana" w:hAnsi="Verdana" w:cs="TimesNewRoman"/>
          <w:spacing w:val="-2"/>
          <w:sz w:val="20"/>
          <w:szCs w:val="20"/>
          <w:lang w:val="es-PR"/>
        </w:rPr>
        <w:t>.</w:t>
      </w:r>
      <w:r w:rsidRPr="00DA617E">
        <w:rPr>
          <w:rFonts w:ascii="Verdana" w:hAnsi="Verdana" w:cs="Verdana"/>
          <w:spacing w:val="-2"/>
          <w:sz w:val="20"/>
          <w:szCs w:val="20"/>
          <w:lang w:val="es-PR" w:bidi="en-US"/>
        </w:rPr>
        <w:t xml:space="preserve"> Además, en diversas resoluciones la Asamblea General de la Organización de Estados Americanos (OEA) ha “reconoc[ido] </w:t>
      </w:r>
      <w:r w:rsidRPr="00DA617E">
        <w:rPr>
          <w:rFonts w:ascii="Verdana" w:hAnsi="Verdana"/>
          <w:spacing w:val="-2"/>
          <w:sz w:val="20"/>
          <w:szCs w:val="20"/>
          <w:lang w:val="es-ES"/>
        </w:rPr>
        <w:t xml:space="preserve">la </w:t>
      </w:r>
      <w:r w:rsidRPr="00DA617E">
        <w:rPr>
          <w:rFonts w:ascii="Verdana" w:hAnsi="Verdana"/>
          <w:spacing w:val="-2"/>
          <w:sz w:val="20"/>
          <w:szCs w:val="20"/>
          <w:lang w:val="es-GT"/>
        </w:rPr>
        <w:t>importancia</w:t>
      </w:r>
      <w:r w:rsidRPr="00DA617E">
        <w:rPr>
          <w:rFonts w:ascii="Verdana" w:hAnsi="Verdana"/>
          <w:spacing w:val="-2"/>
          <w:sz w:val="20"/>
          <w:szCs w:val="20"/>
          <w:lang w:val="es-ES"/>
        </w:rPr>
        <w:t xml:space="preserve"> de respetar y garantizar el derecho a</w:t>
      </w:r>
      <w:r>
        <w:rPr>
          <w:rFonts w:ascii="Verdana" w:hAnsi="Verdana"/>
          <w:spacing w:val="-2"/>
          <w:sz w:val="20"/>
          <w:szCs w:val="20"/>
          <w:lang w:val="es-ES"/>
        </w:rPr>
        <w:t xml:space="preserve"> conocer</w:t>
      </w:r>
      <w:r w:rsidRPr="00DA617E">
        <w:rPr>
          <w:rFonts w:ascii="Verdana" w:hAnsi="Verdana"/>
          <w:spacing w:val="-2"/>
          <w:sz w:val="20"/>
          <w:szCs w:val="20"/>
          <w:lang w:val="es-ES"/>
        </w:rPr>
        <w:t xml:space="preserve"> la verdad para contribuir a acabar con la impunidad y promover y proteger los derechos humano[s]”</w:t>
      </w:r>
      <w:r w:rsidRPr="00DA617E">
        <w:rPr>
          <w:rStyle w:val="FootnoteReference"/>
          <w:rFonts w:eastAsiaTheme="minorHAnsi"/>
          <w:spacing w:val="-2"/>
          <w:szCs w:val="20"/>
        </w:rPr>
        <w:footnoteReference w:id="314"/>
      </w:r>
      <w:r w:rsidRPr="00DA617E">
        <w:rPr>
          <w:rFonts w:ascii="Verdana" w:hAnsi="Verdana"/>
          <w:spacing w:val="-2"/>
          <w:sz w:val="20"/>
          <w:szCs w:val="20"/>
          <w:lang w:val="es-PR"/>
        </w:rPr>
        <w:t xml:space="preserve">. </w:t>
      </w:r>
    </w:p>
    <w:p w:rsidR="00C83100" w:rsidRDefault="00C83100" w:rsidP="00C83100">
      <w:pPr>
        <w:pStyle w:val="ListParagraph"/>
        <w:autoSpaceDE w:val="0"/>
        <w:autoSpaceDN w:val="0"/>
        <w:adjustRightInd w:val="0"/>
        <w:spacing w:after="0" w:line="240" w:lineRule="auto"/>
        <w:ind w:left="0"/>
        <w:jc w:val="both"/>
        <w:rPr>
          <w:rFonts w:ascii="Verdana" w:hAnsi="Verdana"/>
          <w:strike/>
          <w:spacing w:val="-2"/>
          <w:sz w:val="20"/>
          <w:szCs w:val="20"/>
          <w:lang w:val="es-ES_tradnl" w:bidi="en-US"/>
        </w:rPr>
      </w:pPr>
    </w:p>
    <w:p w:rsidR="00C83100" w:rsidRPr="005E3F35" w:rsidRDefault="00C83100" w:rsidP="001154F9">
      <w:pPr>
        <w:pStyle w:val="ListParagraph"/>
        <w:numPr>
          <w:ilvl w:val="0"/>
          <w:numId w:val="7"/>
        </w:numPr>
        <w:autoSpaceDE w:val="0"/>
        <w:autoSpaceDN w:val="0"/>
        <w:adjustRightInd w:val="0"/>
        <w:spacing w:after="0" w:line="240" w:lineRule="auto"/>
        <w:ind w:left="0" w:firstLine="0"/>
        <w:jc w:val="both"/>
        <w:rPr>
          <w:rFonts w:ascii="Times New Roman" w:eastAsia="Times New Roman" w:hAnsi="Times New Roman"/>
          <w:sz w:val="24"/>
          <w:szCs w:val="24"/>
          <w:lang w:val="es-PR"/>
        </w:rPr>
      </w:pPr>
      <w:r w:rsidRPr="00AD19A9">
        <w:rPr>
          <w:rFonts w:ascii="Verdana" w:hAnsi="Verdana"/>
          <w:spacing w:val="-2"/>
          <w:sz w:val="20"/>
          <w:szCs w:val="20"/>
          <w:lang w:val="es-PR"/>
        </w:rPr>
        <w:t xml:space="preserve">Por su parte, </w:t>
      </w:r>
      <w:r w:rsidRPr="00AD19A9">
        <w:rPr>
          <w:rFonts w:ascii="Verdana" w:hAnsi="Verdana"/>
          <w:spacing w:val="-2"/>
          <w:sz w:val="20"/>
          <w:szCs w:val="20"/>
          <w:lang w:val="es-ES"/>
        </w:rPr>
        <w:t xml:space="preserve">este Tribunal ha </w:t>
      </w:r>
      <w:r w:rsidRPr="00AD19A9">
        <w:rPr>
          <w:rFonts w:ascii="Verdana" w:hAnsi="Verdana" w:cs="Arial"/>
          <w:spacing w:val="-2"/>
          <w:sz w:val="20"/>
          <w:szCs w:val="20"/>
          <w:lang w:val="es-GT"/>
        </w:rPr>
        <w:t>determinado</w:t>
      </w:r>
      <w:r w:rsidRPr="00AD19A9">
        <w:rPr>
          <w:rFonts w:ascii="Verdana" w:hAnsi="Verdana"/>
          <w:spacing w:val="-2"/>
          <w:sz w:val="20"/>
          <w:szCs w:val="20"/>
          <w:lang w:val="es-ES"/>
        </w:rPr>
        <w:t xml:space="preserve"> que </w:t>
      </w:r>
      <w:r w:rsidRPr="009D2926">
        <w:rPr>
          <w:rFonts w:ascii="Verdana" w:hAnsi="Verdana"/>
          <w:spacing w:val="-2"/>
          <w:sz w:val="20"/>
          <w:szCs w:val="20"/>
          <w:lang w:val="es-ES"/>
        </w:rPr>
        <w:t xml:space="preserve">toda persona, incluyendo </w:t>
      </w:r>
      <w:r w:rsidRPr="00AD19A9">
        <w:rPr>
          <w:rFonts w:ascii="Verdana" w:hAnsi="Verdana"/>
          <w:spacing w:val="-2"/>
          <w:sz w:val="20"/>
          <w:szCs w:val="20"/>
          <w:lang w:val="es-ES"/>
        </w:rPr>
        <w:t xml:space="preserve">los familiares de las víctimas de graves violaciones a derechos humanos, tiene el derecho a conocer la verdad. En consecuencia, los familiares de las víctimas y la sociedad deben ser informados de </w:t>
      </w:r>
      <w:r w:rsidRPr="00AD19A9">
        <w:rPr>
          <w:rFonts w:ascii="Verdana" w:hAnsi="Verdana"/>
          <w:spacing w:val="-2"/>
          <w:sz w:val="20"/>
          <w:szCs w:val="20"/>
          <w:lang w:val="es-GT"/>
        </w:rPr>
        <w:t>todo</w:t>
      </w:r>
      <w:r w:rsidRPr="00AD19A9">
        <w:rPr>
          <w:rFonts w:ascii="Verdana" w:hAnsi="Verdana"/>
          <w:spacing w:val="-2"/>
          <w:sz w:val="20"/>
          <w:szCs w:val="20"/>
          <w:lang w:val="es-ES"/>
        </w:rPr>
        <w:t xml:space="preserve"> lo sucedido con relación a dichas violaciones</w:t>
      </w:r>
      <w:r w:rsidRPr="002964A7">
        <w:rPr>
          <w:rFonts w:ascii="Verdana" w:hAnsi="Verdana"/>
          <w:spacing w:val="-2"/>
          <w:sz w:val="20"/>
          <w:szCs w:val="20"/>
          <w:vertAlign w:val="superscript"/>
          <w:lang w:val="es-ES"/>
        </w:rPr>
        <w:footnoteReference w:id="315"/>
      </w:r>
      <w:r w:rsidRPr="00AD19A9">
        <w:rPr>
          <w:rFonts w:ascii="Verdana" w:hAnsi="Verdana"/>
          <w:spacing w:val="-2"/>
          <w:sz w:val="20"/>
          <w:szCs w:val="20"/>
          <w:lang w:val="es-ES"/>
        </w:rPr>
        <w:t>.</w:t>
      </w:r>
      <w:r>
        <w:rPr>
          <w:rFonts w:ascii="Verdana" w:hAnsi="Verdana"/>
          <w:spacing w:val="-2"/>
          <w:sz w:val="20"/>
          <w:szCs w:val="20"/>
          <w:lang w:val="es-ES"/>
        </w:rPr>
        <w:t xml:space="preserve"> L</w:t>
      </w:r>
      <w:r w:rsidRPr="0060728C">
        <w:rPr>
          <w:rFonts w:ascii="Verdana" w:hAnsi="Verdana"/>
          <w:spacing w:val="-2"/>
          <w:sz w:val="20"/>
          <w:szCs w:val="20"/>
          <w:lang w:val="es-PR"/>
        </w:rPr>
        <w:t xml:space="preserve">a Corte Interamericana ha considerado el contenido del derecho a conocer la verdad en su jurisprudencia, en particular en casos de desaparición forzada. Desde el </w:t>
      </w:r>
      <w:r>
        <w:rPr>
          <w:rFonts w:ascii="Verdana" w:hAnsi="Verdana"/>
          <w:spacing w:val="-2"/>
          <w:sz w:val="20"/>
          <w:szCs w:val="20"/>
          <w:lang w:val="es-PR"/>
        </w:rPr>
        <w:t>c</w:t>
      </w:r>
      <w:r w:rsidRPr="002B1801">
        <w:rPr>
          <w:rFonts w:ascii="Verdana" w:hAnsi="Verdana"/>
          <w:spacing w:val="-2"/>
          <w:sz w:val="20"/>
          <w:szCs w:val="20"/>
          <w:lang w:val="es-PR"/>
        </w:rPr>
        <w:t>aso</w:t>
      </w:r>
      <w:r w:rsidRPr="0060728C">
        <w:rPr>
          <w:rFonts w:ascii="Verdana" w:hAnsi="Verdana"/>
          <w:i/>
          <w:spacing w:val="-2"/>
          <w:sz w:val="20"/>
          <w:szCs w:val="20"/>
          <w:lang w:val="es-PR"/>
        </w:rPr>
        <w:t xml:space="preserve"> </w:t>
      </w:r>
      <w:r w:rsidRPr="002B1801">
        <w:rPr>
          <w:rFonts w:ascii="Verdana" w:hAnsi="Verdana"/>
          <w:i/>
          <w:spacing w:val="-2"/>
          <w:sz w:val="20"/>
          <w:szCs w:val="20"/>
          <w:lang w:val="es-GT"/>
        </w:rPr>
        <w:t>Velásquez</w:t>
      </w:r>
      <w:r w:rsidRPr="0060728C">
        <w:rPr>
          <w:rFonts w:ascii="Verdana" w:hAnsi="Verdana"/>
          <w:i/>
          <w:spacing w:val="-2"/>
          <w:sz w:val="20"/>
          <w:szCs w:val="20"/>
          <w:lang w:val="es-PR"/>
        </w:rPr>
        <w:t xml:space="preserve"> Rodríguez</w:t>
      </w:r>
      <w:r w:rsidRPr="0060728C">
        <w:rPr>
          <w:rFonts w:ascii="Verdana" w:hAnsi="Verdana"/>
          <w:spacing w:val="-2"/>
          <w:sz w:val="20"/>
          <w:szCs w:val="20"/>
          <w:lang w:val="es-PR"/>
        </w:rPr>
        <w:t xml:space="preserve"> el Tribunal afirmó la existencia de un</w:t>
      </w:r>
      <w:r w:rsidRPr="0060728C">
        <w:rPr>
          <w:rFonts w:ascii="Verdana" w:hAnsi="Verdana"/>
          <w:spacing w:val="-2"/>
          <w:sz w:val="20"/>
          <w:szCs w:val="20"/>
          <w:lang w:val="es-PR" w:bidi="en-US"/>
        </w:rPr>
        <w:t xml:space="preserve"> “derecho de los familiares de la víctima de conocer cuál fue el destino de ésta y, en su caso, dónde se encuentran sus restos”</w:t>
      </w:r>
      <w:r>
        <w:rPr>
          <w:rStyle w:val="FootnoteReference"/>
          <w:rFonts w:eastAsiaTheme="minorHAnsi"/>
          <w:spacing w:val="-2"/>
          <w:szCs w:val="20"/>
          <w:lang w:val="es-PR"/>
        </w:rPr>
        <w:footnoteReference w:id="316"/>
      </w:r>
      <w:r w:rsidRPr="0060728C">
        <w:rPr>
          <w:rFonts w:ascii="Verdana" w:hAnsi="Verdana"/>
          <w:spacing w:val="-2"/>
          <w:sz w:val="20"/>
          <w:szCs w:val="20"/>
          <w:lang w:val="es-PR" w:bidi="en-US"/>
        </w:rPr>
        <w:t xml:space="preserve">. </w:t>
      </w:r>
      <w:r>
        <w:rPr>
          <w:rFonts w:ascii="Verdana" w:hAnsi="Verdana"/>
          <w:spacing w:val="-2"/>
          <w:sz w:val="20"/>
          <w:szCs w:val="20"/>
          <w:lang w:val="es-PR" w:bidi="en-US"/>
        </w:rPr>
        <w:t>Posteriormente, en</w:t>
      </w:r>
      <w:r w:rsidRPr="0060728C">
        <w:rPr>
          <w:rFonts w:ascii="Verdana" w:hAnsi="Verdana"/>
          <w:sz w:val="20"/>
          <w:szCs w:val="20"/>
          <w:lang w:val="es-ES"/>
        </w:rPr>
        <w:t xml:space="preserve"> </w:t>
      </w:r>
      <w:r w:rsidRPr="00657E17">
        <w:rPr>
          <w:rFonts w:ascii="Verdana" w:hAnsi="Verdana"/>
          <w:spacing w:val="-2"/>
          <w:sz w:val="20"/>
          <w:szCs w:val="20"/>
          <w:lang w:val="es-ES"/>
        </w:rPr>
        <w:t>distintos</w:t>
      </w:r>
      <w:r w:rsidRPr="00657E17">
        <w:rPr>
          <w:rFonts w:ascii="Verdana" w:hAnsi="Verdana"/>
          <w:sz w:val="20"/>
          <w:szCs w:val="20"/>
          <w:lang w:val="es-ES"/>
        </w:rPr>
        <w:t xml:space="preserve"> </w:t>
      </w:r>
      <w:r w:rsidRPr="0060728C">
        <w:rPr>
          <w:rFonts w:ascii="Verdana" w:hAnsi="Verdana"/>
          <w:sz w:val="20"/>
          <w:szCs w:val="20"/>
          <w:lang w:val="es-ES"/>
        </w:rPr>
        <w:t xml:space="preserve">casos la Corte ha considerado que el derecho a conocer la verdad “se encuentra subsumido en el derecho de la víctima o de sus familiares a obtener de los órganos competentes del Estado el esclarecimiento de los hechos violatorios y las responsabilidades correspondientes, a través de la investigación y el juzgamiento que previenen los </w:t>
      </w:r>
      <w:r w:rsidRPr="00E5047D">
        <w:rPr>
          <w:rFonts w:ascii="Verdana" w:hAnsi="Verdana"/>
          <w:sz w:val="20"/>
          <w:szCs w:val="20"/>
          <w:lang w:val="es-ES"/>
        </w:rPr>
        <w:t>artículos 8 y 25.1 de la Convención”</w:t>
      </w:r>
      <w:r w:rsidRPr="00E5047D">
        <w:rPr>
          <w:rStyle w:val="FootnoteReference"/>
          <w:rFonts w:eastAsiaTheme="minorHAnsi"/>
        </w:rPr>
        <w:footnoteReference w:id="317"/>
      </w:r>
      <w:r w:rsidRPr="00E5047D">
        <w:rPr>
          <w:rFonts w:ascii="Verdana" w:hAnsi="Verdana"/>
          <w:sz w:val="20"/>
          <w:szCs w:val="20"/>
          <w:lang w:val="es-ES"/>
        </w:rPr>
        <w:t xml:space="preserve">. Por otra parte, en algunos casos </w:t>
      </w:r>
      <w:r w:rsidRPr="00E5047D">
        <w:rPr>
          <w:rFonts w:ascii="Verdana" w:hAnsi="Verdana"/>
          <w:sz w:val="20"/>
          <w:szCs w:val="20"/>
          <w:lang w:val="es-ES"/>
        </w:rPr>
        <w:lastRenderedPageBreak/>
        <w:t xml:space="preserve">tales como </w:t>
      </w:r>
      <w:r w:rsidRPr="00E5047D">
        <w:rPr>
          <w:rFonts w:ascii="Verdana" w:hAnsi="Verdana"/>
          <w:i/>
          <w:iCs/>
          <w:sz w:val="20"/>
          <w:szCs w:val="20"/>
          <w:lang w:val="es-ES"/>
        </w:rPr>
        <w:t xml:space="preserve">Anzualdo Castro y otros </w:t>
      </w:r>
      <w:r>
        <w:rPr>
          <w:rFonts w:ascii="Verdana" w:hAnsi="Verdana"/>
          <w:i/>
          <w:iCs/>
          <w:sz w:val="20"/>
          <w:szCs w:val="20"/>
          <w:lang w:val="es-ES"/>
        </w:rPr>
        <w:t>V</w:t>
      </w:r>
      <w:r w:rsidRPr="00E5047D">
        <w:rPr>
          <w:rFonts w:ascii="Verdana" w:hAnsi="Verdana"/>
          <w:i/>
          <w:iCs/>
          <w:sz w:val="20"/>
          <w:szCs w:val="20"/>
          <w:lang w:val="es-ES"/>
        </w:rPr>
        <w:t>s. Perú</w:t>
      </w:r>
      <w:r w:rsidRPr="00E5047D">
        <w:rPr>
          <w:rFonts w:ascii="Verdana" w:hAnsi="Verdana"/>
          <w:sz w:val="20"/>
          <w:szCs w:val="20"/>
          <w:lang w:val="es-ES"/>
        </w:rPr>
        <w:t xml:space="preserve"> y </w:t>
      </w:r>
      <w:r w:rsidRPr="00E5047D">
        <w:rPr>
          <w:rFonts w:ascii="Verdana" w:hAnsi="Verdana"/>
          <w:i/>
          <w:sz w:val="20"/>
          <w:szCs w:val="20"/>
          <w:lang w:val="es-ES"/>
        </w:rPr>
        <w:t xml:space="preserve">Gelman </w:t>
      </w:r>
      <w:r>
        <w:rPr>
          <w:rFonts w:ascii="Verdana" w:hAnsi="Verdana"/>
          <w:i/>
          <w:sz w:val="20"/>
          <w:szCs w:val="20"/>
          <w:lang w:val="es-ES"/>
        </w:rPr>
        <w:t>V</w:t>
      </w:r>
      <w:r w:rsidRPr="00E5047D">
        <w:rPr>
          <w:rFonts w:ascii="Verdana" w:hAnsi="Verdana"/>
          <w:i/>
          <w:sz w:val="20"/>
          <w:szCs w:val="20"/>
          <w:lang w:val="es-ES"/>
        </w:rPr>
        <w:t xml:space="preserve">s. Uruguay </w:t>
      </w:r>
      <w:r w:rsidRPr="00E5047D">
        <w:rPr>
          <w:rFonts w:ascii="Verdana" w:hAnsi="Verdana"/>
          <w:sz w:val="20"/>
          <w:szCs w:val="20"/>
          <w:lang w:val="es-ES"/>
        </w:rPr>
        <w:t>la Corte ha realizado consideraciones adicionales y específicas aplicables al caso concreto sobre la violación del derecho a</w:t>
      </w:r>
      <w:r>
        <w:rPr>
          <w:rFonts w:ascii="Verdana" w:hAnsi="Verdana"/>
          <w:sz w:val="20"/>
          <w:szCs w:val="20"/>
          <w:lang w:val="es-ES"/>
        </w:rPr>
        <w:t xml:space="preserve"> conocer</w:t>
      </w:r>
      <w:r w:rsidRPr="00E5047D">
        <w:rPr>
          <w:rFonts w:ascii="Verdana" w:hAnsi="Verdana"/>
          <w:sz w:val="20"/>
          <w:szCs w:val="20"/>
          <w:lang w:val="es-ES"/>
        </w:rPr>
        <w:t xml:space="preserve"> la verdad</w:t>
      </w:r>
      <w:r w:rsidRPr="00E5047D">
        <w:rPr>
          <w:rStyle w:val="FootnoteReference"/>
          <w:rFonts w:eastAsiaTheme="minorHAnsi"/>
        </w:rPr>
        <w:footnoteReference w:id="318"/>
      </w:r>
      <w:r w:rsidRPr="00E5047D">
        <w:rPr>
          <w:rFonts w:ascii="Verdana" w:hAnsi="Verdana"/>
          <w:sz w:val="20"/>
          <w:szCs w:val="20"/>
          <w:lang w:val="es-ES"/>
        </w:rPr>
        <w:t xml:space="preserve">. </w:t>
      </w:r>
      <w:r w:rsidRPr="00AE5E88">
        <w:rPr>
          <w:rFonts w:ascii="Verdana" w:hAnsi="Verdana"/>
          <w:sz w:val="20"/>
          <w:szCs w:val="20"/>
          <w:lang w:val="es-ES"/>
        </w:rPr>
        <w:t xml:space="preserve">Asimismo, en el caso </w:t>
      </w:r>
      <w:r w:rsidRPr="00AE5E88">
        <w:rPr>
          <w:rFonts w:ascii="Verdana" w:hAnsi="Verdana"/>
          <w:i/>
          <w:iCs/>
          <w:sz w:val="20"/>
          <w:szCs w:val="20"/>
          <w:lang w:val="es-ES"/>
        </w:rPr>
        <w:t>Gudiel Álvarez y otros (Diario Militar) vs. Guatemala</w:t>
      </w:r>
      <w:r>
        <w:rPr>
          <w:rFonts w:ascii="Verdana" w:hAnsi="Verdana"/>
          <w:i/>
          <w:iCs/>
          <w:sz w:val="20"/>
          <w:szCs w:val="20"/>
          <w:lang w:val="es-ES"/>
        </w:rPr>
        <w:t>,</w:t>
      </w:r>
      <w:r w:rsidRPr="00AE5E88">
        <w:rPr>
          <w:rFonts w:ascii="Verdana" w:hAnsi="Verdana"/>
          <w:i/>
          <w:iCs/>
          <w:sz w:val="20"/>
          <w:szCs w:val="20"/>
          <w:lang w:val="es-ES"/>
        </w:rPr>
        <w:t xml:space="preserve"> </w:t>
      </w:r>
      <w:r w:rsidRPr="00AE5E88">
        <w:rPr>
          <w:rFonts w:ascii="Verdana" w:hAnsi="Verdana"/>
          <w:sz w:val="20"/>
          <w:szCs w:val="20"/>
          <w:lang w:val="es-ES"/>
        </w:rPr>
        <w:t xml:space="preserve">la Corte analizó la violación del derecho a conocer la verdad en su análisis del derecho a </w:t>
      </w:r>
      <w:r>
        <w:rPr>
          <w:rFonts w:ascii="Verdana" w:hAnsi="Verdana"/>
          <w:sz w:val="20"/>
          <w:szCs w:val="20"/>
          <w:lang w:val="es-ES"/>
        </w:rPr>
        <w:t xml:space="preserve">conocer </w:t>
      </w:r>
      <w:r w:rsidRPr="00AE5E88">
        <w:rPr>
          <w:rFonts w:ascii="Verdana" w:hAnsi="Verdana"/>
          <w:sz w:val="20"/>
          <w:szCs w:val="20"/>
          <w:lang w:val="es-ES"/>
        </w:rPr>
        <w:t>la integridad personal de los familiares, pues consideró que, al ocultar información que impidió a los familiares el esclarecimiento de la verdad, el Estado respectivo había violado los artículos 5.1 y 5.2 de la Convención Americana</w:t>
      </w:r>
      <w:r w:rsidRPr="00AE5E88">
        <w:rPr>
          <w:rStyle w:val="FootnoteReference"/>
          <w:rFonts w:eastAsiaTheme="minorHAnsi"/>
        </w:rPr>
        <w:footnoteReference w:id="319"/>
      </w:r>
      <w:r w:rsidRPr="00AE5E88">
        <w:rPr>
          <w:rFonts w:ascii="Verdana" w:hAnsi="Verdana"/>
          <w:sz w:val="20"/>
          <w:szCs w:val="20"/>
          <w:lang w:val="es-ES"/>
        </w:rPr>
        <w:t xml:space="preserve">. Adicionalmente, en el caso </w:t>
      </w:r>
      <w:r w:rsidRPr="00AE5E88">
        <w:rPr>
          <w:rFonts w:ascii="Verdana" w:hAnsi="Verdana"/>
          <w:i/>
          <w:iCs/>
          <w:sz w:val="20"/>
          <w:szCs w:val="20"/>
          <w:lang w:val="es-ES"/>
        </w:rPr>
        <w:t>Gomes Lund y otros (Gue</w:t>
      </w:r>
      <w:r w:rsidR="00DB0B07">
        <w:rPr>
          <w:rFonts w:ascii="Verdana" w:hAnsi="Verdana"/>
          <w:i/>
          <w:iCs/>
          <w:sz w:val="20"/>
          <w:szCs w:val="20"/>
          <w:lang w:val="es-ES"/>
        </w:rPr>
        <w:t>r</w:t>
      </w:r>
      <w:r w:rsidRPr="00AE5E88">
        <w:rPr>
          <w:rFonts w:ascii="Verdana" w:hAnsi="Verdana"/>
          <w:i/>
          <w:iCs/>
          <w:sz w:val="20"/>
          <w:szCs w:val="20"/>
          <w:lang w:val="es-ES"/>
        </w:rPr>
        <w:t>ril</w:t>
      </w:r>
      <w:r w:rsidR="00DB0B07">
        <w:rPr>
          <w:rFonts w:ascii="Verdana" w:hAnsi="Verdana"/>
          <w:i/>
          <w:iCs/>
          <w:sz w:val="20"/>
          <w:szCs w:val="20"/>
          <w:lang w:val="es-ES"/>
        </w:rPr>
        <w:t>h</w:t>
      </w:r>
      <w:r w:rsidRPr="00AE5E88">
        <w:rPr>
          <w:rFonts w:ascii="Verdana" w:hAnsi="Verdana"/>
          <w:i/>
          <w:iCs/>
          <w:sz w:val="20"/>
          <w:szCs w:val="20"/>
          <w:lang w:val="es-ES"/>
        </w:rPr>
        <w:t>a d</w:t>
      </w:r>
      <w:r w:rsidR="00DB0B07">
        <w:rPr>
          <w:rFonts w:ascii="Verdana" w:hAnsi="Verdana"/>
          <w:i/>
          <w:iCs/>
          <w:sz w:val="20"/>
          <w:szCs w:val="20"/>
          <w:lang w:val="es-ES"/>
        </w:rPr>
        <w:t>o</w:t>
      </w:r>
      <w:r w:rsidRPr="00AE5E88">
        <w:rPr>
          <w:rFonts w:ascii="Verdana" w:hAnsi="Verdana"/>
          <w:i/>
          <w:iCs/>
          <w:sz w:val="20"/>
          <w:szCs w:val="20"/>
          <w:lang w:val="es-ES"/>
        </w:rPr>
        <w:t xml:space="preserve"> Araguaia) </w:t>
      </w:r>
      <w:r>
        <w:rPr>
          <w:rFonts w:ascii="Verdana" w:hAnsi="Verdana"/>
          <w:i/>
          <w:iCs/>
          <w:sz w:val="20"/>
          <w:szCs w:val="20"/>
          <w:lang w:val="es-ES"/>
        </w:rPr>
        <w:t>V</w:t>
      </w:r>
      <w:r w:rsidRPr="00AE5E88">
        <w:rPr>
          <w:rFonts w:ascii="Verdana" w:hAnsi="Verdana"/>
          <w:i/>
          <w:iCs/>
          <w:sz w:val="20"/>
          <w:szCs w:val="20"/>
          <w:lang w:val="es-ES"/>
        </w:rPr>
        <w:t>s. Brasil</w:t>
      </w:r>
      <w:r w:rsidRPr="00AE5E88">
        <w:rPr>
          <w:rFonts w:ascii="Verdana" w:hAnsi="Verdana"/>
          <w:sz w:val="20"/>
          <w:szCs w:val="20"/>
          <w:lang w:val="es-ES"/>
        </w:rPr>
        <w:t xml:space="preserve">, la Corte declaró una violación autónoma del derecho a </w:t>
      </w:r>
      <w:r>
        <w:rPr>
          <w:rFonts w:ascii="Verdana" w:hAnsi="Verdana"/>
          <w:sz w:val="20"/>
          <w:szCs w:val="20"/>
          <w:lang w:val="es-ES"/>
        </w:rPr>
        <w:t xml:space="preserve">conocer </w:t>
      </w:r>
      <w:r w:rsidRPr="00AE5E88">
        <w:rPr>
          <w:rFonts w:ascii="Verdana" w:hAnsi="Verdana"/>
          <w:sz w:val="20"/>
          <w:szCs w:val="20"/>
          <w:lang w:val="es-ES"/>
        </w:rPr>
        <w:t>la verdad que, por las circunstancias específicas de dicho caso, constituyó, además de una violación al derecho de acceso a la justicia y recurso efectivo, una violación del derecho a buscar y recibir información, consagrado en el artículo 13 de la Convención</w:t>
      </w:r>
      <w:r w:rsidRPr="00AE5E88">
        <w:rPr>
          <w:rStyle w:val="FootnoteReference"/>
          <w:rFonts w:eastAsiaTheme="minorHAnsi"/>
        </w:rPr>
        <w:footnoteReference w:id="320"/>
      </w:r>
      <w:r w:rsidRPr="00AE5E88">
        <w:rPr>
          <w:rFonts w:ascii="Verdana" w:hAnsi="Verdana"/>
          <w:sz w:val="20"/>
          <w:szCs w:val="20"/>
          <w:lang w:val="es-ES"/>
        </w:rPr>
        <w:t>.</w:t>
      </w:r>
      <w:r w:rsidRPr="00E5047D">
        <w:rPr>
          <w:rFonts w:ascii="Verdana" w:hAnsi="Verdana"/>
          <w:sz w:val="20"/>
          <w:szCs w:val="20"/>
          <w:lang w:val="es-ES"/>
        </w:rPr>
        <w:t xml:space="preserve"> </w:t>
      </w:r>
      <w:r w:rsidRPr="00E5047D">
        <w:rPr>
          <w:rFonts w:ascii="Verdana" w:hAnsi="Verdana"/>
          <w:spacing w:val="-2"/>
          <w:sz w:val="20"/>
          <w:szCs w:val="20"/>
          <w:lang w:val="es-PR" w:bidi="en-US"/>
        </w:rPr>
        <w:t>Finalmente, el Tribunal ha considerado la obligación de investigar como una forma de reparación</w:t>
      </w:r>
      <w:r w:rsidRPr="005E3F35">
        <w:rPr>
          <w:rFonts w:ascii="Verdana" w:hAnsi="Verdana"/>
          <w:spacing w:val="-2"/>
          <w:sz w:val="20"/>
          <w:szCs w:val="20"/>
          <w:lang w:val="es-PR" w:bidi="en-US"/>
        </w:rPr>
        <w:t>, ante la necesidad de remediar la violación del derecho a conocer la verdad en el caso concreto</w:t>
      </w:r>
      <w:r w:rsidRPr="002964A7">
        <w:rPr>
          <w:vertAlign w:val="superscript"/>
          <w:lang w:bidi="en-US"/>
        </w:rPr>
        <w:footnoteReference w:id="321"/>
      </w:r>
      <w:r w:rsidRPr="005E3F35">
        <w:rPr>
          <w:rFonts w:ascii="Verdana" w:hAnsi="Verdana"/>
          <w:spacing w:val="-2"/>
          <w:sz w:val="20"/>
          <w:szCs w:val="20"/>
          <w:lang w:val="es-PR" w:bidi="en-US"/>
        </w:rPr>
        <w:t>.</w:t>
      </w:r>
    </w:p>
    <w:p w:rsidR="00C83100" w:rsidRPr="00EE4D2F" w:rsidRDefault="00C83100" w:rsidP="00C83100">
      <w:pPr>
        <w:pStyle w:val="ListParagraph"/>
        <w:autoSpaceDE w:val="0"/>
        <w:autoSpaceDN w:val="0"/>
        <w:adjustRightInd w:val="0"/>
        <w:spacing w:after="0" w:line="240" w:lineRule="auto"/>
        <w:jc w:val="both"/>
        <w:rPr>
          <w:rFonts w:ascii="Verdana" w:hAnsi="Verdana"/>
          <w:spacing w:val="-2"/>
          <w:sz w:val="20"/>
          <w:szCs w:val="20"/>
          <w:lang w:val="es-PR" w:bidi="en-US"/>
        </w:rPr>
      </w:pPr>
    </w:p>
    <w:p w:rsidR="00C83100" w:rsidRPr="002B1801"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552E20">
        <w:rPr>
          <w:rFonts w:ascii="Verdana" w:hAnsi="Verdana"/>
          <w:sz w:val="20"/>
          <w:szCs w:val="20"/>
          <w:lang w:val="es-ES"/>
        </w:rPr>
        <w:t xml:space="preserve">De lo anterior se desprende </w:t>
      </w:r>
      <w:r w:rsidRPr="00775B06">
        <w:rPr>
          <w:rFonts w:ascii="Verdana" w:hAnsi="Verdana"/>
          <w:spacing w:val="-2"/>
          <w:sz w:val="20"/>
          <w:szCs w:val="20"/>
          <w:lang w:val="es-PR"/>
        </w:rPr>
        <w:t>que</w:t>
      </w:r>
      <w:r w:rsidRPr="00775B06">
        <w:rPr>
          <w:rFonts w:ascii="Verdana" w:hAnsi="Verdana"/>
          <w:sz w:val="20"/>
          <w:szCs w:val="20"/>
          <w:lang w:val="es-ES"/>
        </w:rPr>
        <w:t xml:space="preserve">, si bien </w:t>
      </w:r>
      <w:r w:rsidRPr="00775B06">
        <w:rPr>
          <w:rFonts w:ascii="Verdana" w:hAnsi="Verdana"/>
          <w:spacing w:val="-2"/>
          <w:sz w:val="20"/>
          <w:szCs w:val="20"/>
          <w:lang w:val="es-PR"/>
        </w:rPr>
        <w:t>el derecho a</w:t>
      </w:r>
      <w:r w:rsidRPr="00775B06">
        <w:rPr>
          <w:rFonts w:ascii="Verdana" w:hAnsi="Verdana"/>
          <w:sz w:val="20"/>
          <w:szCs w:val="20"/>
          <w:lang w:val="es-ES"/>
        </w:rPr>
        <w:t xml:space="preserve"> conocer</w:t>
      </w:r>
      <w:r w:rsidRPr="00775B06">
        <w:rPr>
          <w:rFonts w:ascii="Verdana" w:hAnsi="Verdana"/>
          <w:spacing w:val="-2"/>
          <w:sz w:val="20"/>
          <w:szCs w:val="20"/>
          <w:lang w:val="es-PR"/>
        </w:rPr>
        <w:t xml:space="preserve"> la verdad se ha enmarcado fundamentalmente en el derecho de acceso a la justicia</w:t>
      </w:r>
      <w:r w:rsidRPr="00552E20">
        <w:rPr>
          <w:vertAlign w:val="superscript"/>
        </w:rPr>
        <w:footnoteReference w:id="322"/>
      </w:r>
      <w:r w:rsidRPr="00552E20">
        <w:rPr>
          <w:rFonts w:ascii="Verdana" w:hAnsi="Verdana"/>
          <w:spacing w:val="-2"/>
          <w:sz w:val="20"/>
          <w:szCs w:val="20"/>
          <w:lang w:val="es-PR"/>
        </w:rPr>
        <w:t>, aquel tiene una naturaleza amplia y su vulneración puede afectar distintos derechos consagrados en la Convención Americana</w:t>
      </w:r>
      <w:r w:rsidRPr="00552E20">
        <w:rPr>
          <w:vertAlign w:val="superscript"/>
        </w:rPr>
        <w:footnoteReference w:id="323"/>
      </w:r>
      <w:r w:rsidRPr="00552E20">
        <w:rPr>
          <w:rFonts w:ascii="Verdana" w:hAnsi="Verdana"/>
          <w:spacing w:val="-2"/>
          <w:sz w:val="20"/>
          <w:szCs w:val="20"/>
          <w:lang w:val="es-PR"/>
        </w:rPr>
        <w:t>,</w:t>
      </w:r>
      <w:r w:rsidRPr="00775B06">
        <w:rPr>
          <w:rFonts w:ascii="Verdana" w:hAnsi="Verdana"/>
          <w:spacing w:val="-2"/>
          <w:sz w:val="20"/>
          <w:szCs w:val="20"/>
          <w:lang w:val="es-ES_tradnl" w:bidi="en-US"/>
        </w:rPr>
        <w:t xml:space="preserve"> </w:t>
      </w:r>
      <w:r w:rsidRPr="00775B06">
        <w:rPr>
          <w:rFonts w:ascii="Verdana" w:hAnsi="Verdana"/>
          <w:spacing w:val="-2"/>
          <w:sz w:val="20"/>
          <w:szCs w:val="20"/>
          <w:lang w:val="es-PR"/>
        </w:rPr>
        <w:t>dependiendo del contexto y circunstancias particulares del caso. En el caso del Perú, el Tribunal Constitucional del Perú ha reconocido que “</w:t>
      </w:r>
      <w:r w:rsidRPr="00775B06">
        <w:rPr>
          <w:rFonts w:ascii="Verdana" w:hAnsi="Verdana"/>
          <w:color w:val="000000"/>
          <w:sz w:val="20"/>
          <w:szCs w:val="20"/>
          <w:lang w:val="es-PR"/>
        </w:rPr>
        <w:t>el</w:t>
      </w:r>
      <w:r w:rsidRPr="00775B06">
        <w:rPr>
          <w:rStyle w:val="apple-converted-space"/>
          <w:rFonts w:ascii="Verdana" w:hAnsi="Verdana"/>
          <w:color w:val="000000"/>
          <w:sz w:val="20"/>
          <w:szCs w:val="20"/>
          <w:lang w:val="es-PR"/>
        </w:rPr>
        <w:t> </w:t>
      </w:r>
      <w:r w:rsidRPr="00775B06">
        <w:rPr>
          <w:rFonts w:ascii="Verdana" w:hAnsi="Verdana"/>
          <w:bCs/>
          <w:color w:val="000000"/>
          <w:sz w:val="20"/>
          <w:szCs w:val="20"/>
          <w:lang w:val="es-PR"/>
        </w:rPr>
        <w:t>derecho a la verdad</w:t>
      </w:r>
      <w:r w:rsidRPr="00552E20">
        <w:rPr>
          <w:rFonts w:ascii="Verdana" w:hAnsi="Verdana"/>
          <w:color w:val="000000"/>
          <w:sz w:val="20"/>
          <w:szCs w:val="20"/>
          <w:lang w:val="es-PR"/>
        </w:rPr>
        <w:t>, aunque no tiene un reconocimiento expreso en [el] texto constitucional,</w:t>
      </w:r>
      <w:r w:rsidRPr="00552E20">
        <w:rPr>
          <w:rStyle w:val="apple-converted-space"/>
          <w:rFonts w:ascii="Verdana" w:hAnsi="Verdana"/>
          <w:color w:val="000000"/>
          <w:sz w:val="20"/>
          <w:szCs w:val="20"/>
          <w:lang w:val="es-PR"/>
        </w:rPr>
        <w:t> </w:t>
      </w:r>
      <w:r w:rsidRPr="00552E20">
        <w:rPr>
          <w:rFonts w:ascii="Verdana" w:hAnsi="Verdana"/>
          <w:bCs/>
          <w:color w:val="000000"/>
          <w:sz w:val="20"/>
          <w:szCs w:val="20"/>
          <w:lang w:val="es-PR"/>
        </w:rPr>
        <w:t>es un derecho plenamente protegido […]”</w:t>
      </w:r>
      <w:r w:rsidRPr="00552E20">
        <w:rPr>
          <w:rStyle w:val="FootnoteReference"/>
          <w:rFonts w:eastAsiaTheme="minorHAnsi"/>
          <w:bCs/>
          <w:color w:val="000000"/>
          <w:szCs w:val="20"/>
          <w:lang w:val="es-PR"/>
        </w:rPr>
        <w:footnoteReference w:id="324"/>
      </w:r>
      <w:r w:rsidRPr="00552E20">
        <w:rPr>
          <w:rFonts w:ascii="Verdana" w:hAnsi="Verdana"/>
          <w:bCs/>
          <w:color w:val="000000"/>
          <w:sz w:val="20"/>
          <w:szCs w:val="20"/>
          <w:lang w:val="es-PR"/>
        </w:rPr>
        <w:t>. Asimismo, ha señalado que “[l]</w:t>
      </w:r>
      <w:r w:rsidRPr="00775B06">
        <w:rPr>
          <w:rFonts w:ascii="Verdana" w:hAnsi="Verdana"/>
          <w:sz w:val="20"/>
          <w:szCs w:val="20"/>
          <w:lang w:val="es-PR"/>
        </w:rPr>
        <w:t>a Nación tiene el derecho de conocer la verdad sobre los hechos o acontecimientos injustos y dolorosos provocados por las múltiples formas de violencia estatal y no estatal. Tal derecho se traduce en la posibilid</w:t>
      </w:r>
      <w:r w:rsidRPr="00552E20">
        <w:rPr>
          <w:rFonts w:ascii="Verdana" w:hAnsi="Verdana"/>
          <w:sz w:val="20"/>
          <w:szCs w:val="20"/>
          <w:lang w:val="es-PR"/>
        </w:rPr>
        <w:t>ad de conocer las circunstancias de tiempo, modo y lugar en las cuales ellos ocurrieron, así como los motivos que impulsaron a sus autores. El derecho a la verdad es, en ese sentido, un bien jurídico colectivo inalienable”</w:t>
      </w:r>
      <w:r w:rsidRPr="00552E20">
        <w:rPr>
          <w:rStyle w:val="FootnoteReference"/>
          <w:rFonts w:eastAsiaTheme="minorHAnsi"/>
          <w:szCs w:val="20"/>
          <w:lang w:val="es-PR"/>
        </w:rPr>
        <w:footnoteReference w:id="325"/>
      </w:r>
      <w:r w:rsidRPr="00552E20">
        <w:rPr>
          <w:rFonts w:ascii="Verdana" w:hAnsi="Verdana"/>
          <w:sz w:val="20"/>
          <w:szCs w:val="20"/>
          <w:lang w:val="es-PR"/>
        </w:rPr>
        <w:t>.</w:t>
      </w:r>
      <w:r w:rsidRPr="00775B06">
        <w:rPr>
          <w:rFonts w:ascii="Verdana" w:hAnsi="Verdana"/>
          <w:sz w:val="20"/>
          <w:szCs w:val="20"/>
          <w:lang w:val="es-PR"/>
        </w:rPr>
        <w:t xml:space="preserve"> </w:t>
      </w:r>
      <w:r w:rsidRPr="002B1801">
        <w:rPr>
          <w:rFonts w:ascii="Verdana" w:hAnsi="Verdana"/>
          <w:sz w:val="20"/>
          <w:szCs w:val="20"/>
          <w:lang w:val="es-PR"/>
        </w:rPr>
        <w:t xml:space="preserve">Cabe señalar, además, </w:t>
      </w:r>
      <w:r w:rsidRPr="002B1801">
        <w:rPr>
          <w:rFonts w:ascii="Verdana" w:hAnsi="Verdana"/>
          <w:sz w:val="20"/>
          <w:szCs w:val="20"/>
          <w:lang w:val="es-PR"/>
        </w:rPr>
        <w:lastRenderedPageBreak/>
        <w:t xml:space="preserve">que </w:t>
      </w:r>
      <w:r w:rsidRPr="00E9019E">
        <w:rPr>
          <w:rFonts w:ascii="Verdana" w:hAnsi="Verdana"/>
          <w:sz w:val="20"/>
          <w:szCs w:val="20"/>
        </w:rPr>
        <w:t xml:space="preserve">el Perú </w:t>
      </w:r>
      <w:r>
        <w:rPr>
          <w:rFonts w:ascii="Verdana" w:hAnsi="Verdana"/>
          <w:sz w:val="20"/>
          <w:szCs w:val="20"/>
        </w:rPr>
        <w:t>ratificó,</w:t>
      </w:r>
      <w:r w:rsidRPr="008D26FE">
        <w:rPr>
          <w:rFonts w:ascii="Verdana" w:hAnsi="Verdana"/>
          <w:sz w:val="20"/>
          <w:szCs w:val="20"/>
        </w:rPr>
        <w:t xml:space="preserve"> </w:t>
      </w:r>
      <w:r w:rsidRPr="00E9019E">
        <w:rPr>
          <w:rFonts w:ascii="Verdana" w:hAnsi="Verdana"/>
          <w:sz w:val="20"/>
          <w:szCs w:val="20"/>
        </w:rPr>
        <w:t>el 26 de septiembre de 2012</w:t>
      </w:r>
      <w:r>
        <w:rPr>
          <w:rFonts w:ascii="Verdana" w:hAnsi="Verdana"/>
          <w:sz w:val="20"/>
          <w:szCs w:val="20"/>
        </w:rPr>
        <w:t xml:space="preserve">, </w:t>
      </w:r>
      <w:r w:rsidRPr="002B1801">
        <w:rPr>
          <w:rFonts w:ascii="Verdana" w:hAnsi="Verdana"/>
          <w:sz w:val="20"/>
          <w:szCs w:val="20"/>
          <w:lang w:val="es-ES_tradnl"/>
        </w:rPr>
        <w:t xml:space="preserve">la </w:t>
      </w:r>
      <w:r>
        <w:rPr>
          <w:rFonts w:ascii="Verdana" w:hAnsi="Verdana"/>
          <w:sz w:val="20"/>
          <w:szCs w:val="20"/>
          <w:lang w:val="es-ES_tradnl"/>
        </w:rPr>
        <w:t xml:space="preserve">mencionada </w:t>
      </w:r>
      <w:r w:rsidRPr="002B1801">
        <w:rPr>
          <w:rFonts w:ascii="Verdana" w:hAnsi="Verdana"/>
          <w:sz w:val="20"/>
          <w:szCs w:val="20"/>
        </w:rPr>
        <w:t xml:space="preserve">Convención Internacional para la Protección de Todas las Personas contra las Desapariciones Forzadas, </w:t>
      </w:r>
      <w:r>
        <w:rPr>
          <w:rFonts w:ascii="Verdana" w:hAnsi="Verdana"/>
          <w:sz w:val="20"/>
          <w:szCs w:val="20"/>
        </w:rPr>
        <w:t xml:space="preserve">que reconoce expresamente el derecho a conocer la verdad. </w:t>
      </w:r>
    </w:p>
    <w:p w:rsidR="00C83100" w:rsidRPr="002B1801" w:rsidRDefault="00C83100" w:rsidP="00C83100">
      <w:pPr>
        <w:pStyle w:val="ListParagraph"/>
        <w:autoSpaceDE w:val="0"/>
        <w:autoSpaceDN w:val="0"/>
        <w:adjustRightInd w:val="0"/>
        <w:spacing w:after="0" w:line="240" w:lineRule="auto"/>
        <w:ind w:left="0"/>
        <w:jc w:val="both"/>
        <w:rPr>
          <w:rFonts w:ascii="Verdana" w:hAnsi="Verdana"/>
          <w:spacing w:val="-2"/>
          <w:sz w:val="20"/>
          <w:szCs w:val="20"/>
          <w:lang w:val="es-PR"/>
        </w:rPr>
      </w:pPr>
    </w:p>
    <w:p w:rsidR="00C83100" w:rsidRPr="002B1801"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775B06">
        <w:rPr>
          <w:rFonts w:ascii="Verdana" w:hAnsi="Verdana"/>
          <w:sz w:val="20"/>
          <w:szCs w:val="20"/>
          <w:lang w:val="es-PR"/>
        </w:rPr>
        <w:t>Al respecto, l</w:t>
      </w:r>
      <w:r w:rsidRPr="00775B06">
        <w:rPr>
          <w:rFonts w:ascii="Verdana" w:hAnsi="Verdana"/>
          <w:spacing w:val="-2"/>
          <w:sz w:val="20"/>
          <w:szCs w:val="20"/>
          <w:lang w:val="es-PR"/>
        </w:rPr>
        <w:t xml:space="preserve">a Corte Interamericana recuerda que, de conformidad con </w:t>
      </w:r>
      <w:r w:rsidRPr="00552E20">
        <w:rPr>
          <w:rFonts w:ascii="Verdana" w:hAnsi="Verdana"/>
          <w:spacing w:val="-2"/>
          <w:sz w:val="20"/>
          <w:szCs w:val="20"/>
          <w:lang w:val="es-PR"/>
        </w:rPr>
        <w:t>el artículo 29.b de la Convención Americana, ninguna disposición de dicho tratado debe ser interpretada en el sentido de “limitar el goce y ejercicio de cualquier derecho o libertad que pueda estar reconocido de acuerdo con las leyes de cualquiera de los Estados Partes o de acuerdo con otra convención en que sea parte uno de dichos Estados”.</w:t>
      </w:r>
      <w:r>
        <w:rPr>
          <w:rFonts w:ascii="Verdana" w:hAnsi="Verdana"/>
          <w:spacing w:val="-2"/>
          <w:sz w:val="20"/>
          <w:szCs w:val="20"/>
          <w:lang w:val="es-PR"/>
        </w:rPr>
        <w:t xml:space="preserve"> </w:t>
      </w:r>
      <w:r w:rsidRPr="002B1801">
        <w:rPr>
          <w:rFonts w:ascii="Verdana" w:hAnsi="Verdana"/>
          <w:spacing w:val="-2"/>
          <w:sz w:val="20"/>
          <w:szCs w:val="20"/>
          <w:lang w:val="es-PR"/>
        </w:rPr>
        <w:t>Por otra parte, el mencionado artículo 29 de la Convención establece en su inciso c), que ninguna disposición del tratado debe ser interpretada en sentido de “</w:t>
      </w:r>
      <w:r w:rsidRPr="002B1801">
        <w:rPr>
          <w:rFonts w:ascii="Verdana" w:hAnsi="Verdana"/>
          <w:spacing w:val="-2"/>
          <w:sz w:val="20"/>
          <w:szCs w:val="20"/>
        </w:rPr>
        <w:t>excluir otros derechos y garantías que son inherentes al ser humano o que se derivan de la forma democrática representativa de gobierno”. En este sentido, el Tribunal recuerda que el artículo 4 de la Carta Democrática Interamericana establece que “la transparencia de las actividades gubernamentales” es un componente fundamental del ejercicio de la democracia.</w:t>
      </w:r>
    </w:p>
    <w:p w:rsidR="00C83100" w:rsidRPr="002964A7" w:rsidRDefault="00C83100" w:rsidP="00C83100">
      <w:pPr>
        <w:pStyle w:val="ListParagraph"/>
        <w:tabs>
          <w:tab w:val="left" w:pos="567"/>
          <w:tab w:val="left" w:pos="8789"/>
        </w:tabs>
        <w:spacing w:after="0" w:line="240" w:lineRule="auto"/>
        <w:ind w:left="0" w:right="96"/>
        <w:jc w:val="both"/>
        <w:rPr>
          <w:rFonts w:ascii="Verdana" w:hAnsi="Verdana"/>
          <w:spacing w:val="-2"/>
          <w:sz w:val="20"/>
          <w:szCs w:val="20"/>
          <w:lang w:val="es-PR"/>
        </w:rPr>
      </w:pPr>
    </w:p>
    <w:p w:rsidR="00C83100" w:rsidRPr="001154F9"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PR"/>
        </w:rPr>
      </w:pPr>
      <w:r w:rsidRPr="002E08D9">
        <w:rPr>
          <w:rFonts w:ascii="Verdana" w:hAnsi="Verdana"/>
          <w:spacing w:val="-2"/>
          <w:sz w:val="20"/>
          <w:szCs w:val="20"/>
          <w:lang w:val="es-PR"/>
        </w:rPr>
        <w:t xml:space="preserve">En este caso, aproximadamente 24 años después de la desaparición forzada de 15 de las víctimas, el Estado aún no ha esclarecido todo lo ocurrido, ni determinado todas las responsabilidades correspondientes, </w:t>
      </w:r>
      <w:r>
        <w:rPr>
          <w:rFonts w:ascii="Verdana" w:hAnsi="Verdana"/>
          <w:sz w:val="20"/>
          <w:szCs w:val="20"/>
          <w:lang w:eastAsia="es-CR"/>
        </w:rPr>
        <w:t>y</w:t>
      </w:r>
      <w:r w:rsidRPr="008D060B">
        <w:rPr>
          <w:rFonts w:ascii="Verdana" w:hAnsi="Verdana"/>
          <w:sz w:val="20"/>
          <w:szCs w:val="20"/>
          <w:lang w:eastAsia="es-CR"/>
        </w:rPr>
        <w:t xml:space="preserve"> se mantiene </w:t>
      </w:r>
      <w:r w:rsidRPr="008D060B">
        <w:rPr>
          <w:rFonts w:ascii="Verdana" w:hAnsi="Verdana" w:cs="Cambria"/>
          <w:sz w:val="20"/>
          <w:szCs w:val="20"/>
          <w:lang w:eastAsia="es-CR"/>
        </w:rPr>
        <w:t>la</w:t>
      </w:r>
      <w:r w:rsidRPr="008D060B">
        <w:rPr>
          <w:rFonts w:ascii="Verdana" w:hAnsi="Verdana" w:cs="Verdana"/>
          <w:sz w:val="20"/>
          <w:szCs w:val="20"/>
          <w:lang w:eastAsia="es-CR"/>
        </w:rPr>
        <w:t xml:space="preserve"> </w:t>
      </w:r>
      <w:r w:rsidRPr="008D060B">
        <w:rPr>
          <w:rFonts w:ascii="Verdana" w:hAnsi="Verdana" w:cs="Cambria"/>
          <w:sz w:val="20"/>
          <w:szCs w:val="20"/>
          <w:lang w:eastAsia="es-CR"/>
        </w:rPr>
        <w:t xml:space="preserve">incertidumbre sobre si los restos encontrados y los que aún pudieran </w:t>
      </w:r>
      <w:r w:rsidRPr="008D060B">
        <w:rPr>
          <w:rFonts w:ascii="Verdana" w:hAnsi="Verdana"/>
          <w:sz w:val="20"/>
          <w:szCs w:val="20"/>
          <w:lang w:eastAsia="es-CR"/>
        </w:rPr>
        <w:t>quedar</w:t>
      </w:r>
      <w:r w:rsidRPr="008D060B">
        <w:rPr>
          <w:rFonts w:ascii="Verdana" w:hAnsi="Verdana" w:cs="Cambria"/>
          <w:sz w:val="20"/>
          <w:szCs w:val="20"/>
          <w:lang w:eastAsia="es-CR"/>
        </w:rPr>
        <w:t xml:space="preserve"> en la mina son los de las víctimas </w:t>
      </w:r>
      <w:r w:rsidRPr="008D060B">
        <w:rPr>
          <w:rFonts w:ascii="Verdana" w:hAnsi="Verdana"/>
          <w:sz w:val="20"/>
          <w:szCs w:val="20"/>
          <w:lang w:eastAsia="es-CR"/>
        </w:rPr>
        <w:t>de este caso</w:t>
      </w:r>
      <w:r w:rsidRPr="002E08D9">
        <w:rPr>
          <w:rFonts w:ascii="Verdana" w:hAnsi="Verdana"/>
          <w:spacing w:val="-2"/>
          <w:sz w:val="20"/>
          <w:szCs w:val="20"/>
          <w:lang w:val="es-PR"/>
        </w:rPr>
        <w:t xml:space="preserve">. </w:t>
      </w:r>
      <w:r>
        <w:rPr>
          <w:rFonts w:ascii="Verdana" w:hAnsi="Verdana"/>
          <w:spacing w:val="-2"/>
          <w:sz w:val="20"/>
          <w:szCs w:val="20"/>
          <w:lang w:val="es-PR"/>
        </w:rPr>
        <w:t>L</w:t>
      </w:r>
      <w:r w:rsidRPr="002E08D9">
        <w:rPr>
          <w:rFonts w:ascii="Verdana" w:hAnsi="Verdana"/>
          <w:spacing w:val="-2"/>
          <w:sz w:val="20"/>
          <w:szCs w:val="20"/>
          <w:lang w:val="es-PR"/>
        </w:rPr>
        <w:t>a Corte constató la negligencia con que fueron manejados los restos recogidos en la mina “Misteriosa” o “Vallarón”, tanto en 1991 como entre los años 2009</w:t>
      </w:r>
      <w:r>
        <w:rPr>
          <w:rFonts w:ascii="Verdana" w:hAnsi="Verdana"/>
          <w:spacing w:val="-2"/>
          <w:sz w:val="20"/>
          <w:szCs w:val="20"/>
          <w:lang w:val="es-PR"/>
        </w:rPr>
        <w:t>, 2010</w:t>
      </w:r>
      <w:r w:rsidRPr="002E08D9">
        <w:rPr>
          <w:rFonts w:ascii="Verdana" w:hAnsi="Verdana"/>
          <w:spacing w:val="-2"/>
          <w:sz w:val="20"/>
          <w:szCs w:val="20"/>
          <w:lang w:val="es-PR"/>
        </w:rPr>
        <w:t xml:space="preserve"> y 2011 (</w:t>
      </w:r>
      <w:r w:rsidRPr="002E08D9">
        <w:rPr>
          <w:rFonts w:ascii="Verdana" w:hAnsi="Verdana"/>
          <w:i/>
          <w:spacing w:val="-2"/>
          <w:sz w:val="20"/>
          <w:szCs w:val="20"/>
          <w:lang w:val="es-PR"/>
        </w:rPr>
        <w:t xml:space="preserve">supra </w:t>
      </w:r>
      <w:r w:rsidRPr="002E08D9">
        <w:rPr>
          <w:rFonts w:ascii="Verdana" w:hAnsi="Verdana"/>
          <w:spacing w:val="-2"/>
          <w:sz w:val="20"/>
          <w:szCs w:val="20"/>
          <w:lang w:val="es-PR"/>
        </w:rPr>
        <w:t xml:space="preserve">párr. </w:t>
      </w:r>
      <w:r>
        <w:rPr>
          <w:rFonts w:ascii="Verdana" w:hAnsi="Verdana"/>
          <w:spacing w:val="-2"/>
          <w:sz w:val="20"/>
          <w:szCs w:val="20"/>
          <w:lang w:val="es-PR"/>
        </w:rPr>
        <w:t>185</w:t>
      </w:r>
      <w:r w:rsidRPr="002E08D9">
        <w:rPr>
          <w:rFonts w:ascii="Verdana" w:hAnsi="Verdana"/>
          <w:spacing w:val="-2"/>
          <w:sz w:val="20"/>
          <w:szCs w:val="20"/>
          <w:lang w:val="es-PR"/>
        </w:rPr>
        <w:t>), lo cual no contribuyó a este fin. Más aún, agentes del propio Estado intentaron borrar las huellas del crimen y ocultar lo sucedido a través de la destrucción de evidencias (</w:t>
      </w:r>
      <w:r w:rsidRPr="002E08D9">
        <w:rPr>
          <w:rFonts w:ascii="Verdana" w:hAnsi="Verdana"/>
          <w:i/>
          <w:spacing w:val="-2"/>
          <w:sz w:val="20"/>
          <w:szCs w:val="20"/>
          <w:lang w:val="es-PR"/>
        </w:rPr>
        <w:t xml:space="preserve">supra </w:t>
      </w:r>
      <w:r w:rsidRPr="002E08D9">
        <w:rPr>
          <w:rFonts w:ascii="Verdana" w:hAnsi="Verdana"/>
          <w:spacing w:val="-2"/>
          <w:sz w:val="20"/>
          <w:szCs w:val="20"/>
          <w:lang w:val="es-PR"/>
        </w:rPr>
        <w:t xml:space="preserve">párrs. </w:t>
      </w:r>
      <w:r>
        <w:rPr>
          <w:rFonts w:ascii="Verdana" w:hAnsi="Verdana"/>
          <w:spacing w:val="-2"/>
          <w:sz w:val="20"/>
          <w:szCs w:val="20"/>
          <w:lang w:val="es-PR"/>
        </w:rPr>
        <w:t>184 y 185</w:t>
      </w:r>
      <w:r w:rsidRPr="002E08D9">
        <w:rPr>
          <w:rFonts w:ascii="Verdana" w:hAnsi="Verdana"/>
          <w:spacing w:val="-2"/>
          <w:sz w:val="20"/>
          <w:szCs w:val="20"/>
          <w:lang w:val="es-PR"/>
        </w:rPr>
        <w:t xml:space="preserve">). Al respecto, es necesario resaltar que en el marco de desapariciones forzadas, el derecho a conocer el paradero de las víctimas desaparecidas constituye un componente esencial del derecho a </w:t>
      </w:r>
      <w:r>
        <w:rPr>
          <w:rFonts w:ascii="Verdana" w:hAnsi="Verdana"/>
          <w:sz w:val="20"/>
          <w:szCs w:val="20"/>
          <w:lang w:val="es-ES"/>
        </w:rPr>
        <w:t xml:space="preserve">conocer </w:t>
      </w:r>
      <w:r w:rsidRPr="002E08D9">
        <w:rPr>
          <w:rFonts w:ascii="Verdana" w:hAnsi="Verdana"/>
          <w:spacing w:val="-2"/>
          <w:sz w:val="20"/>
          <w:szCs w:val="20"/>
          <w:lang w:val="es-PR"/>
        </w:rPr>
        <w:t>la verdad. La incertidumbre sobre lo sucedido a sus seres queridos es una de las principales fuentes de sufrimientos psíquico y moral de los familiares de las víctimas desaparecidas</w:t>
      </w:r>
      <w:r w:rsidRPr="00F724D1">
        <w:rPr>
          <w:rFonts w:ascii="Verdana" w:hAnsi="Verdana"/>
          <w:spacing w:val="-2"/>
          <w:sz w:val="20"/>
          <w:szCs w:val="20"/>
          <w:lang w:val="es-PR"/>
        </w:rPr>
        <w:t>.</w:t>
      </w:r>
      <w:r w:rsidRPr="002E08D9">
        <w:rPr>
          <w:rFonts w:ascii="Verdana" w:hAnsi="Verdana"/>
          <w:spacing w:val="-2"/>
          <w:sz w:val="20"/>
          <w:szCs w:val="20"/>
          <w:lang w:val="es-PR"/>
        </w:rPr>
        <w:t xml:space="preserve"> </w:t>
      </w:r>
      <w:r w:rsidRPr="0086435C">
        <w:rPr>
          <w:rFonts w:ascii="Verdana" w:hAnsi="Verdana"/>
          <w:spacing w:val="-2"/>
          <w:sz w:val="20"/>
          <w:szCs w:val="20"/>
          <w:lang w:val="es-PR"/>
        </w:rPr>
        <w:t xml:space="preserve">En virtud de las consideraciones anteriores, la Corte declara la violación del derecho a </w:t>
      </w:r>
      <w:r w:rsidRPr="0086435C">
        <w:rPr>
          <w:rFonts w:ascii="Verdana" w:hAnsi="Verdana"/>
          <w:sz w:val="20"/>
          <w:szCs w:val="20"/>
          <w:lang w:val="es-ES"/>
        </w:rPr>
        <w:t xml:space="preserve">conocer </w:t>
      </w:r>
      <w:r w:rsidRPr="0086435C">
        <w:rPr>
          <w:rFonts w:ascii="Verdana" w:hAnsi="Verdana"/>
          <w:spacing w:val="-2"/>
          <w:sz w:val="20"/>
          <w:szCs w:val="20"/>
          <w:lang w:val="es-PR"/>
        </w:rPr>
        <w:t>la verdad, en perjuicio de los familiares de las quince víctimas de desaparición forzada. En este caso, como en otros, dicha violación se enmarca en el derecho de acceso a la justicia.</w:t>
      </w:r>
    </w:p>
    <w:p w:rsidR="00C83100" w:rsidRPr="00F13F0B" w:rsidRDefault="00C83100" w:rsidP="001154F9">
      <w:pPr>
        <w:pStyle w:val="Heading3"/>
        <w:rPr>
          <w:lang w:val="es-GT"/>
        </w:rPr>
      </w:pPr>
      <w:bookmarkStart w:id="222" w:name="_Toc421864985"/>
      <w:bookmarkStart w:id="223" w:name="_Toc423102561"/>
      <w:bookmarkStart w:id="224" w:name="_Toc433387512"/>
      <w:bookmarkEnd w:id="221"/>
      <w:r w:rsidRPr="00F13F0B">
        <w:rPr>
          <w:lang w:val="es-GT"/>
        </w:rPr>
        <w:t>B.</w:t>
      </w:r>
      <w:r>
        <w:rPr>
          <w:lang w:val="es-GT"/>
        </w:rPr>
        <w:t>6.</w:t>
      </w:r>
      <w:r w:rsidRPr="00F13F0B">
        <w:rPr>
          <w:lang w:val="es-GT"/>
        </w:rPr>
        <w:t xml:space="preserve"> Conclusión general</w:t>
      </w:r>
      <w:bookmarkEnd w:id="222"/>
      <w:bookmarkEnd w:id="223"/>
      <w:bookmarkEnd w:id="224"/>
    </w:p>
    <w:p w:rsidR="00C83100" w:rsidRPr="00766720" w:rsidRDefault="00C83100" w:rsidP="00C83100">
      <w:pPr>
        <w:pStyle w:val="ListParagraph"/>
        <w:autoSpaceDE w:val="0"/>
        <w:autoSpaceDN w:val="0"/>
        <w:adjustRightInd w:val="0"/>
        <w:spacing w:after="0" w:line="240" w:lineRule="auto"/>
        <w:ind w:left="0" w:right="15"/>
        <w:jc w:val="both"/>
        <w:rPr>
          <w:rFonts w:ascii="Verdana" w:hAnsi="Verdana"/>
          <w:b/>
          <w:i/>
          <w:spacing w:val="-2"/>
          <w:sz w:val="16"/>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lang w:val="es-GT"/>
        </w:rPr>
      </w:pPr>
      <w:r w:rsidRPr="002964A7">
        <w:rPr>
          <w:rFonts w:ascii="Verdana" w:hAnsi="Verdana"/>
          <w:spacing w:val="-2"/>
          <w:sz w:val="20"/>
          <w:szCs w:val="20"/>
          <w:lang w:val="es-ES_tradnl"/>
        </w:rPr>
        <w:t xml:space="preserve">Con base en todas las consideraciones anteriores, </w:t>
      </w:r>
      <w:r w:rsidRPr="002964A7">
        <w:rPr>
          <w:rFonts w:ascii="Verdana" w:hAnsi="Verdana"/>
          <w:spacing w:val="-2"/>
          <w:sz w:val="20"/>
          <w:szCs w:val="20"/>
          <w:lang w:val="es-GT"/>
        </w:rPr>
        <w:t xml:space="preserve">este Tribunal considera que el </w:t>
      </w:r>
      <w:r w:rsidRPr="002964A7">
        <w:rPr>
          <w:rFonts w:ascii="Verdana" w:hAnsi="Verdana"/>
          <w:spacing w:val="-2"/>
          <w:sz w:val="20"/>
          <w:szCs w:val="20"/>
          <w:lang w:val="es-ES"/>
        </w:rPr>
        <w:t>Estado</w:t>
      </w:r>
      <w:r w:rsidRPr="002964A7">
        <w:rPr>
          <w:rFonts w:ascii="Verdana" w:hAnsi="Verdana"/>
          <w:spacing w:val="-2"/>
          <w:sz w:val="20"/>
          <w:szCs w:val="20"/>
          <w:lang w:val="es-GT"/>
        </w:rPr>
        <w:t xml:space="preserve">: i) </w:t>
      </w:r>
      <w:r w:rsidRPr="002964A7">
        <w:rPr>
          <w:rFonts w:ascii="Verdana" w:hAnsi="Verdana"/>
          <w:spacing w:val="-2"/>
          <w:sz w:val="20"/>
          <w:szCs w:val="20"/>
          <w:lang w:val="es-ES_tradnl"/>
        </w:rPr>
        <w:t xml:space="preserve">incurrió </w:t>
      </w:r>
      <w:r w:rsidRPr="002964A7">
        <w:rPr>
          <w:rFonts w:ascii="Verdana" w:hAnsi="Verdana"/>
          <w:spacing w:val="-2"/>
          <w:sz w:val="20"/>
          <w:szCs w:val="20"/>
          <w:lang w:val="es-PR"/>
        </w:rPr>
        <w:t>en</w:t>
      </w:r>
      <w:r w:rsidRPr="002964A7">
        <w:rPr>
          <w:rFonts w:ascii="Verdana" w:hAnsi="Verdana"/>
          <w:spacing w:val="-2"/>
          <w:sz w:val="20"/>
          <w:szCs w:val="20"/>
          <w:lang w:val="es-ES_tradnl"/>
        </w:rPr>
        <w:t xml:space="preserve"> una falta de debida diligencia en las primeras diligencias de </w:t>
      </w:r>
      <w:r>
        <w:rPr>
          <w:rFonts w:ascii="Verdana" w:hAnsi="Verdana"/>
          <w:spacing w:val="-2"/>
          <w:sz w:val="20"/>
          <w:szCs w:val="20"/>
          <w:lang w:val="es-ES_tradnl"/>
        </w:rPr>
        <w:t xml:space="preserve">la </w:t>
      </w:r>
      <w:r w:rsidRPr="002964A7">
        <w:rPr>
          <w:rFonts w:ascii="Verdana" w:hAnsi="Verdana"/>
          <w:spacing w:val="-2"/>
          <w:sz w:val="20"/>
          <w:szCs w:val="20"/>
          <w:lang w:val="es-ES_tradnl"/>
        </w:rPr>
        <w:t xml:space="preserve">investigación; </w:t>
      </w:r>
      <w:r>
        <w:rPr>
          <w:rFonts w:ascii="Verdana" w:hAnsi="Verdana"/>
          <w:spacing w:val="-2"/>
          <w:sz w:val="20"/>
          <w:szCs w:val="20"/>
          <w:lang w:val="es-GT"/>
        </w:rPr>
        <w:t>ii</w:t>
      </w:r>
      <w:r w:rsidRPr="002964A7">
        <w:rPr>
          <w:rFonts w:ascii="Verdana" w:hAnsi="Verdana"/>
          <w:spacing w:val="-2"/>
          <w:sz w:val="20"/>
          <w:szCs w:val="20"/>
          <w:lang w:val="es-GT"/>
        </w:rPr>
        <w:t xml:space="preserve">) obstaculizó la debida investigación del caso en al menos </w:t>
      </w:r>
      <w:r w:rsidRPr="00893472">
        <w:rPr>
          <w:rFonts w:ascii="Verdana" w:hAnsi="Verdana"/>
          <w:spacing w:val="-2"/>
          <w:sz w:val="20"/>
          <w:szCs w:val="20"/>
          <w:lang w:val="es-GT"/>
        </w:rPr>
        <w:t>seis</w:t>
      </w:r>
      <w:r>
        <w:rPr>
          <w:rFonts w:ascii="Verdana" w:hAnsi="Verdana"/>
          <w:b/>
          <w:spacing w:val="-2"/>
          <w:sz w:val="20"/>
          <w:szCs w:val="20"/>
          <w:lang w:val="es-GT"/>
        </w:rPr>
        <w:t xml:space="preserve"> </w:t>
      </w:r>
      <w:r w:rsidRPr="002964A7">
        <w:rPr>
          <w:rFonts w:ascii="Verdana" w:hAnsi="Verdana"/>
          <w:spacing w:val="-2"/>
          <w:sz w:val="20"/>
          <w:szCs w:val="20"/>
          <w:lang w:val="es-GT"/>
        </w:rPr>
        <w:t xml:space="preserve">formas </w:t>
      </w:r>
      <w:r w:rsidRPr="002964A7">
        <w:rPr>
          <w:rFonts w:ascii="Verdana" w:hAnsi="Verdana"/>
          <w:spacing w:val="-2"/>
          <w:sz w:val="20"/>
          <w:szCs w:val="20"/>
          <w:lang w:val="es-PR"/>
        </w:rPr>
        <w:t>distintas;</w:t>
      </w:r>
      <w:r w:rsidRPr="002964A7">
        <w:rPr>
          <w:rFonts w:ascii="Verdana" w:hAnsi="Verdana" w:cs="Arial"/>
          <w:spacing w:val="-2"/>
          <w:sz w:val="20"/>
          <w:szCs w:val="20"/>
          <w:lang w:val="es-GT"/>
        </w:rPr>
        <w:t xml:space="preserve"> </w:t>
      </w:r>
      <w:r>
        <w:rPr>
          <w:rFonts w:ascii="Verdana" w:hAnsi="Verdana" w:cs="Arial"/>
          <w:spacing w:val="-2"/>
          <w:sz w:val="20"/>
          <w:szCs w:val="20"/>
          <w:lang w:val="es-GT"/>
        </w:rPr>
        <w:t>iii</w:t>
      </w:r>
      <w:r w:rsidRPr="002964A7">
        <w:rPr>
          <w:rFonts w:ascii="Verdana" w:hAnsi="Verdana" w:cs="Arial"/>
          <w:spacing w:val="-2"/>
          <w:sz w:val="20"/>
          <w:szCs w:val="20"/>
          <w:lang w:val="es-GT"/>
        </w:rPr>
        <w:t xml:space="preserve">) incurrió en faltas de debida diligencia en la recaudación de prueba y la ubicación y captura de reos prófugos, así como en una demora prolongada en el esclarecimiento de todos los hechos del caso y la determinación del paradero de las víctimas desaparecidas tras la reapertura de la investigación del caso en </w:t>
      </w:r>
      <w:r>
        <w:rPr>
          <w:rFonts w:ascii="Verdana" w:hAnsi="Verdana" w:cs="Arial"/>
          <w:spacing w:val="-2"/>
          <w:sz w:val="20"/>
          <w:szCs w:val="20"/>
          <w:lang w:val="es-GT"/>
        </w:rPr>
        <w:t>la jurisdicción</w:t>
      </w:r>
      <w:r w:rsidRPr="002964A7">
        <w:rPr>
          <w:rFonts w:ascii="Verdana" w:hAnsi="Verdana" w:cs="Arial"/>
          <w:spacing w:val="-2"/>
          <w:sz w:val="20"/>
          <w:szCs w:val="20"/>
          <w:lang w:val="es-GT"/>
        </w:rPr>
        <w:t xml:space="preserve"> ordinari</w:t>
      </w:r>
      <w:r>
        <w:rPr>
          <w:rFonts w:ascii="Verdana" w:hAnsi="Verdana" w:cs="Arial"/>
          <w:spacing w:val="-2"/>
          <w:sz w:val="20"/>
          <w:szCs w:val="20"/>
          <w:lang w:val="es-GT"/>
        </w:rPr>
        <w:t>a</w:t>
      </w:r>
      <w:r w:rsidRPr="002964A7">
        <w:rPr>
          <w:rFonts w:ascii="Verdana" w:hAnsi="Verdana" w:cs="Arial"/>
          <w:spacing w:val="-2"/>
          <w:sz w:val="20"/>
          <w:szCs w:val="20"/>
          <w:lang w:val="es-GT"/>
        </w:rPr>
        <w:t>, y i</w:t>
      </w:r>
      <w:r>
        <w:rPr>
          <w:rFonts w:ascii="Verdana" w:hAnsi="Verdana" w:cs="Arial"/>
          <w:spacing w:val="-2"/>
          <w:sz w:val="20"/>
          <w:szCs w:val="20"/>
          <w:lang w:val="es-GT"/>
        </w:rPr>
        <w:t>v</w:t>
      </w:r>
      <w:r w:rsidRPr="002964A7">
        <w:rPr>
          <w:rFonts w:ascii="Verdana" w:hAnsi="Verdana" w:cs="Arial"/>
          <w:spacing w:val="-2"/>
          <w:sz w:val="20"/>
          <w:szCs w:val="20"/>
          <w:lang w:val="es-GT"/>
        </w:rPr>
        <w:t xml:space="preserve">) violó el </w:t>
      </w:r>
      <w:r w:rsidRPr="002964A7">
        <w:rPr>
          <w:rFonts w:ascii="Verdana" w:hAnsi="Verdana"/>
          <w:spacing w:val="-2"/>
          <w:sz w:val="20"/>
          <w:szCs w:val="20"/>
          <w:lang w:val="es-PR"/>
        </w:rPr>
        <w:t>derecho a</w:t>
      </w:r>
      <w:r w:rsidRPr="00064A08">
        <w:rPr>
          <w:rFonts w:ascii="Verdana" w:hAnsi="Verdana"/>
          <w:sz w:val="20"/>
          <w:szCs w:val="20"/>
          <w:lang w:val="es-ES"/>
        </w:rPr>
        <w:t xml:space="preserve"> </w:t>
      </w:r>
      <w:r>
        <w:rPr>
          <w:rFonts w:ascii="Verdana" w:hAnsi="Verdana"/>
          <w:sz w:val="20"/>
          <w:szCs w:val="20"/>
          <w:lang w:val="es-ES"/>
        </w:rPr>
        <w:t>conocer</w:t>
      </w:r>
      <w:r w:rsidRPr="002964A7">
        <w:rPr>
          <w:rFonts w:ascii="Verdana" w:hAnsi="Verdana"/>
          <w:spacing w:val="-2"/>
          <w:sz w:val="20"/>
          <w:szCs w:val="20"/>
          <w:lang w:val="es-PR"/>
        </w:rPr>
        <w:t xml:space="preserve"> la verdad de los familiares de las quince víctimas desaparecidas del caso. </w:t>
      </w:r>
    </w:p>
    <w:p w:rsidR="00C83100" w:rsidRPr="002964A7" w:rsidRDefault="00C83100" w:rsidP="00C83100">
      <w:pPr>
        <w:pStyle w:val="ListParagraph"/>
        <w:autoSpaceDE w:val="0"/>
        <w:autoSpaceDN w:val="0"/>
        <w:adjustRightInd w:val="0"/>
        <w:ind w:left="0" w:right="15"/>
        <w:jc w:val="both"/>
        <w:rPr>
          <w:rFonts w:ascii="Verdana" w:hAnsi="Verdana"/>
          <w:spacing w:val="-2"/>
          <w:sz w:val="20"/>
          <w:szCs w:val="20"/>
          <w:lang w:val="es-GT"/>
        </w:rPr>
      </w:pPr>
    </w:p>
    <w:p w:rsidR="00C83100" w:rsidRPr="002964A7" w:rsidRDefault="00C83100" w:rsidP="001154F9">
      <w:pPr>
        <w:pStyle w:val="ListParagraph"/>
        <w:numPr>
          <w:ilvl w:val="0"/>
          <w:numId w:val="7"/>
        </w:numPr>
        <w:autoSpaceDE w:val="0"/>
        <w:autoSpaceDN w:val="0"/>
        <w:adjustRightInd w:val="0"/>
        <w:spacing w:after="0" w:line="240" w:lineRule="auto"/>
        <w:ind w:left="0" w:firstLine="0"/>
        <w:jc w:val="both"/>
        <w:rPr>
          <w:rFonts w:ascii="Verdana" w:hAnsi="Verdana"/>
          <w:b/>
          <w:i/>
          <w:spacing w:val="-2"/>
          <w:sz w:val="20"/>
          <w:szCs w:val="20"/>
          <w:lang w:val="es-GT"/>
        </w:rPr>
      </w:pPr>
      <w:bookmarkStart w:id="225" w:name="_Ref405772092"/>
      <w:r w:rsidRPr="002964A7">
        <w:rPr>
          <w:rFonts w:ascii="Verdana" w:hAnsi="Verdana"/>
          <w:spacing w:val="-2"/>
          <w:sz w:val="20"/>
          <w:szCs w:val="20"/>
          <w:lang w:val="es-ES"/>
        </w:rPr>
        <w:t xml:space="preserve">Por tanto, la Corte concluye que el Estado </w:t>
      </w:r>
      <w:r w:rsidRPr="002964A7">
        <w:rPr>
          <w:rFonts w:ascii="Verdana" w:hAnsi="Verdana" w:cs="Times-Roman"/>
          <w:spacing w:val="-2"/>
          <w:sz w:val="20"/>
          <w:szCs w:val="20"/>
          <w:lang w:val="es-GT" w:bidi="en-US"/>
        </w:rPr>
        <w:t xml:space="preserve">violó, </w:t>
      </w:r>
      <w:r w:rsidRPr="002964A7">
        <w:rPr>
          <w:rFonts w:ascii="Verdana" w:hAnsi="Verdana"/>
          <w:spacing w:val="-2"/>
          <w:sz w:val="20"/>
          <w:szCs w:val="20"/>
          <w:lang w:val="es-GT"/>
        </w:rPr>
        <w:t xml:space="preserve">en perjuicio de </w:t>
      </w:r>
      <w:r w:rsidRPr="001D443C">
        <w:rPr>
          <w:rFonts w:ascii="Verdana" w:hAnsi="Verdana"/>
          <w:spacing w:val="-2"/>
          <w:sz w:val="20"/>
          <w:szCs w:val="20"/>
          <w:lang w:val="es-GT"/>
        </w:rPr>
        <w:t xml:space="preserve">las víctimas </w:t>
      </w:r>
      <w:r w:rsidRPr="001D443C">
        <w:rPr>
          <w:rFonts w:ascii="Verdana" w:hAnsi="Verdana"/>
          <w:spacing w:val="-2"/>
          <w:sz w:val="20"/>
          <w:szCs w:val="20"/>
          <w:lang w:val="es-PR"/>
        </w:rPr>
        <w:t>desaparecidas</w:t>
      </w:r>
      <w:r w:rsidRPr="001D443C">
        <w:rPr>
          <w:rFonts w:ascii="Verdana" w:hAnsi="Verdana"/>
          <w:spacing w:val="-2"/>
          <w:sz w:val="20"/>
          <w:szCs w:val="20"/>
          <w:lang w:val="es-GT"/>
        </w:rPr>
        <w:t xml:space="preserve"> </w:t>
      </w:r>
      <w:r w:rsidRPr="001D443C">
        <w:rPr>
          <w:rFonts w:ascii="Verdana" w:hAnsi="Verdana"/>
          <w:spacing w:val="-2"/>
          <w:sz w:val="20"/>
          <w:szCs w:val="20"/>
          <w:lang w:val="es-PR"/>
        </w:rPr>
        <w:t>forzadamente y sus familiares</w:t>
      </w:r>
      <w:r>
        <w:rPr>
          <w:rFonts w:ascii="Verdana" w:hAnsi="Verdana"/>
          <w:spacing w:val="-2"/>
          <w:sz w:val="20"/>
          <w:szCs w:val="20"/>
          <w:lang w:val="es-PR"/>
        </w:rPr>
        <w:t xml:space="preserve">, </w:t>
      </w:r>
      <w:r w:rsidRPr="002964A7">
        <w:rPr>
          <w:rFonts w:ascii="Verdana" w:hAnsi="Verdana" w:cs="Times-Roman"/>
          <w:spacing w:val="-2"/>
          <w:sz w:val="20"/>
          <w:szCs w:val="20"/>
          <w:lang w:val="es-GT" w:bidi="en-US"/>
        </w:rPr>
        <w:t xml:space="preserve">los derechos a las garantías judiciales y a la protección judicial </w:t>
      </w:r>
      <w:r w:rsidRPr="002964A7">
        <w:rPr>
          <w:rFonts w:ascii="Verdana" w:hAnsi="Verdana"/>
          <w:spacing w:val="-2"/>
          <w:sz w:val="20"/>
          <w:szCs w:val="20"/>
          <w:lang w:val="es-GT"/>
        </w:rPr>
        <w:t>consagrados en los artículos 8.1 y 25.1 de la Convención Americana, en relación con el artículo 1.1 de la misma, así como en relación con los artículos 1, 6 y 8 de la Convención Interamericana para Prevenir y Sancionar la Tortura, y con el artículo I.b de la Convención Interamericana sobre Desaparición Forzada de Personas</w:t>
      </w:r>
      <w:r w:rsidR="00766720">
        <w:rPr>
          <w:rFonts w:ascii="Verdana" w:hAnsi="Verdana"/>
          <w:spacing w:val="-2"/>
          <w:sz w:val="20"/>
          <w:szCs w:val="20"/>
          <w:lang w:val="es-GT"/>
        </w:rPr>
        <w:t xml:space="preserve"> </w:t>
      </w:r>
      <w:r w:rsidR="00766720" w:rsidRPr="00766720">
        <w:rPr>
          <w:rFonts w:ascii="Verdana" w:hAnsi="Verdana"/>
          <w:spacing w:val="-2"/>
          <w:sz w:val="20"/>
          <w:szCs w:val="20"/>
          <w:lang w:val="es-GT"/>
        </w:rPr>
        <w:t>a partir del 15 de marzo de 2002, fecha de su entrada en vigor para el Perú</w:t>
      </w:r>
      <w:r w:rsidRPr="002964A7">
        <w:rPr>
          <w:rFonts w:ascii="Verdana" w:hAnsi="Verdana"/>
          <w:spacing w:val="-2"/>
          <w:sz w:val="20"/>
          <w:szCs w:val="20"/>
          <w:lang w:val="es-GT"/>
        </w:rPr>
        <w:t xml:space="preserve">. </w:t>
      </w:r>
      <w:r>
        <w:rPr>
          <w:rFonts w:ascii="Verdana" w:hAnsi="Verdana"/>
          <w:spacing w:val="-2"/>
          <w:sz w:val="20"/>
          <w:szCs w:val="20"/>
          <w:lang w:val="es-GT"/>
        </w:rPr>
        <w:t xml:space="preserve">Asimismo, el Perú violó el derecho a conocer la verdad de los familiares de las víctimas desaparecidas. </w:t>
      </w:r>
      <w:bookmarkEnd w:id="225"/>
    </w:p>
    <w:p w:rsidR="00C83100" w:rsidRPr="002964A7" w:rsidRDefault="00C83100" w:rsidP="00C83100">
      <w:pPr>
        <w:pStyle w:val="ListParagraph"/>
        <w:rPr>
          <w:rFonts w:ascii="Verdana" w:hAnsi="Verdana"/>
          <w:b/>
          <w:i/>
          <w:spacing w:val="-2"/>
          <w:sz w:val="20"/>
          <w:szCs w:val="20"/>
          <w:lang w:val="es-GT"/>
        </w:rPr>
      </w:pPr>
    </w:p>
    <w:p w:rsidR="00C83100" w:rsidRPr="00CA5D0C" w:rsidRDefault="00C83100"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b/>
          <w:sz w:val="20"/>
        </w:rPr>
      </w:pPr>
      <w:r w:rsidRPr="002964A7">
        <w:rPr>
          <w:rFonts w:ascii="Verdana" w:hAnsi="Verdana"/>
          <w:spacing w:val="-2"/>
          <w:sz w:val="20"/>
          <w:szCs w:val="20"/>
          <w:lang w:val="es-GT"/>
        </w:rPr>
        <w:t xml:space="preserve">Finalmente, la Corte considera que </w:t>
      </w:r>
      <w:r w:rsidRPr="002964A7">
        <w:rPr>
          <w:rFonts w:ascii="Verdana" w:hAnsi="Verdana"/>
          <w:spacing w:val="-2"/>
          <w:sz w:val="20"/>
          <w:szCs w:val="20"/>
        </w:rPr>
        <w:t xml:space="preserve">el recurso interpuesto por Alejandro Huamaní a favor de su hijo </w:t>
      </w:r>
      <w:r w:rsidRPr="00C83100">
        <w:rPr>
          <w:rFonts w:ascii="Verdana" w:hAnsi="Verdana"/>
          <w:spacing w:val="-2"/>
          <w:sz w:val="20"/>
          <w:szCs w:val="20"/>
          <w:lang w:val="es-GT"/>
        </w:rPr>
        <w:t>Elihoref</w:t>
      </w:r>
      <w:r w:rsidRPr="002964A7">
        <w:rPr>
          <w:rFonts w:ascii="Verdana" w:hAnsi="Verdana"/>
          <w:spacing w:val="-2"/>
          <w:sz w:val="20"/>
          <w:szCs w:val="20"/>
        </w:rPr>
        <w:t xml:space="preserve"> Huamaní no fue efectivo, por lo que</w:t>
      </w:r>
      <w:r>
        <w:rPr>
          <w:rFonts w:ascii="Verdana" w:hAnsi="Verdana"/>
          <w:spacing w:val="-2"/>
          <w:sz w:val="20"/>
          <w:szCs w:val="20"/>
        </w:rPr>
        <w:t xml:space="preserve"> el</w:t>
      </w:r>
      <w:r w:rsidRPr="002964A7">
        <w:rPr>
          <w:rFonts w:ascii="Verdana" w:hAnsi="Verdana"/>
          <w:spacing w:val="-2"/>
          <w:sz w:val="20"/>
          <w:szCs w:val="20"/>
        </w:rPr>
        <w:t xml:space="preserve"> Estado violó el artículo 7.6 de la Convención Americana en perjuicio de </w:t>
      </w:r>
      <w:r w:rsidRPr="0086435C">
        <w:rPr>
          <w:rFonts w:ascii="Verdana" w:hAnsi="Verdana"/>
          <w:spacing w:val="-2"/>
          <w:sz w:val="20"/>
          <w:szCs w:val="20"/>
        </w:rPr>
        <w:t>Elihoref Huamaní y sus familiares.</w:t>
      </w:r>
    </w:p>
    <w:p w:rsidR="00CA5D0C" w:rsidRPr="00CA5D0C" w:rsidRDefault="00CA5D0C" w:rsidP="00B03AD1">
      <w:pPr>
        <w:pStyle w:val="ListParagraph"/>
        <w:spacing w:after="0" w:line="240" w:lineRule="auto"/>
        <w:rPr>
          <w:rFonts w:ascii="Verdana" w:eastAsia="Calibri" w:hAnsi="Verdana"/>
          <w:b/>
          <w:sz w:val="20"/>
        </w:rPr>
      </w:pPr>
    </w:p>
    <w:p w:rsidR="00CA5D0C" w:rsidRPr="00F13F0B" w:rsidRDefault="00CA5D0C" w:rsidP="001154F9">
      <w:pPr>
        <w:pStyle w:val="Heading2"/>
        <w:numPr>
          <w:ilvl w:val="0"/>
          <w:numId w:val="0"/>
        </w:numPr>
      </w:pPr>
      <w:bookmarkStart w:id="226" w:name="_Toc421864986"/>
      <w:bookmarkStart w:id="227" w:name="_Toc423102562"/>
      <w:bookmarkStart w:id="228" w:name="_Toc433387513"/>
      <w:r w:rsidRPr="004C6DC2">
        <w:t>IX</w:t>
      </w:r>
      <w:r w:rsidRPr="00C7742E">
        <w:t>.</w:t>
      </w:r>
      <w:r>
        <w:t>I</w:t>
      </w:r>
      <w:r w:rsidRPr="00C7742E">
        <w:t>V</w:t>
      </w:r>
      <w:bookmarkEnd w:id="226"/>
      <w:bookmarkEnd w:id="227"/>
      <w:bookmarkEnd w:id="228"/>
    </w:p>
    <w:p w:rsidR="00CA5D0C" w:rsidRDefault="00CA5D0C" w:rsidP="00B03AD1">
      <w:pPr>
        <w:pStyle w:val="Heading2"/>
        <w:numPr>
          <w:ilvl w:val="0"/>
          <w:numId w:val="0"/>
        </w:numPr>
        <w:spacing w:line="240" w:lineRule="auto"/>
        <w:ind w:left="360"/>
      </w:pPr>
      <w:bookmarkStart w:id="229" w:name="_Toc421864987"/>
      <w:bookmarkStart w:id="230" w:name="_Toc423102563"/>
      <w:bookmarkStart w:id="231" w:name="_Toc433387514"/>
      <w:r w:rsidRPr="004C6DC2">
        <w:t>DERECHO A LA INTEGRIDAD PERSONAL</w:t>
      </w:r>
      <w:bookmarkStart w:id="232" w:name="_Toc421864988"/>
      <w:bookmarkStart w:id="233" w:name="_Toc423102564"/>
      <w:bookmarkEnd w:id="229"/>
      <w:bookmarkEnd w:id="230"/>
      <w:bookmarkEnd w:id="231"/>
    </w:p>
    <w:p w:rsidR="00CA5D0C" w:rsidRPr="00F13F0B" w:rsidRDefault="00CA5D0C" w:rsidP="00B03AD1">
      <w:pPr>
        <w:pStyle w:val="Heading2"/>
        <w:numPr>
          <w:ilvl w:val="0"/>
          <w:numId w:val="0"/>
        </w:numPr>
        <w:spacing w:line="240" w:lineRule="auto"/>
        <w:ind w:left="360"/>
      </w:pPr>
      <w:bookmarkStart w:id="234" w:name="_Toc433387515"/>
      <w:r w:rsidRPr="004C6DC2">
        <w:t>DE LOS FAMILIARES DE LAS PERSONAS DESAPARECIDAS</w:t>
      </w:r>
      <w:bookmarkEnd w:id="232"/>
      <w:bookmarkEnd w:id="233"/>
      <w:bookmarkEnd w:id="234"/>
    </w:p>
    <w:p w:rsidR="00CA5D0C" w:rsidRPr="00F13F0B" w:rsidRDefault="00CA5D0C" w:rsidP="00B03AD1">
      <w:pPr>
        <w:pStyle w:val="Heading3"/>
        <w:numPr>
          <w:ilvl w:val="0"/>
          <w:numId w:val="22"/>
        </w:numPr>
        <w:ind w:left="360"/>
        <w:rPr>
          <w:lang w:val="es-CO"/>
        </w:rPr>
      </w:pPr>
      <w:bookmarkStart w:id="235" w:name="_Toc421864989"/>
      <w:bookmarkStart w:id="236" w:name="_Toc423102565"/>
      <w:bookmarkStart w:id="237" w:name="_Toc433387516"/>
      <w:r w:rsidRPr="004C6DC2">
        <w:rPr>
          <w:lang w:val="es-CO"/>
        </w:rPr>
        <w:t>Argumentos de la Comisión y de las partes</w:t>
      </w:r>
      <w:bookmarkEnd w:id="235"/>
      <w:bookmarkEnd w:id="236"/>
      <w:bookmarkEnd w:id="237"/>
    </w:p>
    <w:p w:rsidR="00CA5D0C" w:rsidRPr="00B03AD1" w:rsidRDefault="00CA5D0C" w:rsidP="00CA5D0C">
      <w:pPr>
        <w:pStyle w:val="ListParagraph"/>
        <w:autoSpaceDE w:val="0"/>
        <w:autoSpaceDN w:val="0"/>
        <w:adjustRightInd w:val="0"/>
        <w:spacing w:after="0" w:line="240" w:lineRule="auto"/>
        <w:ind w:left="0" w:right="15"/>
        <w:jc w:val="both"/>
        <w:rPr>
          <w:rFonts w:ascii="Verdana" w:eastAsia="Calibri" w:hAnsi="Verdana" w:cs="Arial"/>
          <w:spacing w:val="-2"/>
          <w:sz w:val="16"/>
          <w:szCs w:val="20"/>
          <w:lang w:val="es-CO"/>
        </w:rPr>
      </w:pPr>
    </w:p>
    <w:p w:rsidR="00CA5D0C" w:rsidRPr="002964A7" w:rsidRDefault="00CA5D0C"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pacing w:val="-2"/>
          <w:sz w:val="20"/>
          <w:szCs w:val="20"/>
        </w:rPr>
      </w:pPr>
      <w:r w:rsidRPr="002964A7">
        <w:rPr>
          <w:rFonts w:ascii="Verdana" w:hAnsi="Verdana"/>
          <w:spacing w:val="-2"/>
          <w:sz w:val="20"/>
          <w:szCs w:val="20"/>
        </w:rPr>
        <w:t xml:space="preserve">La </w:t>
      </w:r>
      <w:r w:rsidRPr="002964A7">
        <w:rPr>
          <w:rFonts w:ascii="Verdana" w:hAnsi="Verdana"/>
          <w:b/>
          <w:i/>
          <w:spacing w:val="-2"/>
          <w:sz w:val="20"/>
          <w:szCs w:val="20"/>
        </w:rPr>
        <w:t xml:space="preserve">Comisión </w:t>
      </w:r>
      <w:r w:rsidRPr="002964A7">
        <w:rPr>
          <w:rFonts w:ascii="Verdana" w:hAnsi="Verdana"/>
          <w:spacing w:val="-2"/>
          <w:sz w:val="20"/>
          <w:szCs w:val="20"/>
        </w:rPr>
        <w:t xml:space="preserve">sostuvo que, de conformidad con la jurisprudencia de la Corte, en casos que involucran </w:t>
      </w:r>
      <w:r w:rsidRPr="002964A7">
        <w:rPr>
          <w:rFonts w:ascii="Verdana" w:hAnsi="Verdana" w:cs="Arial"/>
          <w:spacing w:val="-2"/>
          <w:sz w:val="20"/>
          <w:szCs w:val="20"/>
        </w:rPr>
        <w:t xml:space="preserve">la desaparición forzada de personas, es posible entender que la violación del derecho a la integridad psíquica y moral de los familiares de las víctimas es una consecuencia directa, precisamente, de ese fenómeno. En consecuencia, ante los hechos de las desapariciones forzadas en el presente caso, el Estado tenía la obligación de garantizar el derecho a la integridad personal de los familiares también por la vía de las investigaciones efectivas, por lo que la ausencia de recursos efectivos constituyó una fuente de sufrimiento </w:t>
      </w:r>
      <w:r w:rsidRPr="002964A7">
        <w:rPr>
          <w:rFonts w:ascii="Verdana" w:hAnsi="Verdana"/>
          <w:spacing w:val="-2"/>
          <w:sz w:val="20"/>
          <w:szCs w:val="20"/>
        </w:rPr>
        <w:t xml:space="preserve">y </w:t>
      </w:r>
      <w:r w:rsidRPr="002964A7">
        <w:rPr>
          <w:rFonts w:ascii="Verdana" w:hAnsi="Verdana" w:cs="Arial"/>
          <w:spacing w:val="-2"/>
          <w:sz w:val="20"/>
          <w:szCs w:val="20"/>
        </w:rPr>
        <w:t xml:space="preserve">angustia adicionales para las víctimas y sus familiares. Al respecto, constató las gestiones realizadas por los familiares con ocasión de la desaparición de las 15 víctimas ante distintas instituciones </w:t>
      </w:r>
      <w:r w:rsidRPr="002964A7">
        <w:rPr>
          <w:rFonts w:ascii="Verdana" w:hAnsi="Verdana"/>
          <w:spacing w:val="-2"/>
          <w:sz w:val="20"/>
          <w:szCs w:val="20"/>
        </w:rPr>
        <w:t xml:space="preserve">y </w:t>
      </w:r>
      <w:r w:rsidRPr="002964A7">
        <w:rPr>
          <w:rFonts w:ascii="Verdana" w:hAnsi="Verdana" w:cs="Arial"/>
          <w:spacing w:val="-2"/>
          <w:sz w:val="20"/>
          <w:szCs w:val="20"/>
        </w:rPr>
        <w:t xml:space="preserve">dependencias estatales para determinar su paradero </w:t>
      </w:r>
      <w:r>
        <w:rPr>
          <w:rFonts w:ascii="Verdana" w:hAnsi="Verdana" w:cs="Arial"/>
          <w:spacing w:val="-2"/>
          <w:sz w:val="20"/>
          <w:szCs w:val="20"/>
        </w:rPr>
        <w:t>y la</w:t>
      </w:r>
      <w:r w:rsidRPr="002964A7">
        <w:rPr>
          <w:rFonts w:ascii="Verdana" w:hAnsi="Verdana" w:cs="Arial"/>
          <w:spacing w:val="-2"/>
          <w:sz w:val="20"/>
          <w:szCs w:val="20"/>
        </w:rPr>
        <w:t xml:space="preserve"> investigación </w:t>
      </w:r>
      <w:r w:rsidRPr="002964A7">
        <w:rPr>
          <w:rFonts w:ascii="Verdana" w:hAnsi="Verdana"/>
          <w:spacing w:val="-2"/>
          <w:sz w:val="20"/>
          <w:szCs w:val="20"/>
        </w:rPr>
        <w:t xml:space="preserve">y </w:t>
      </w:r>
      <w:r w:rsidRPr="002964A7">
        <w:rPr>
          <w:rFonts w:ascii="Verdana" w:hAnsi="Verdana" w:cs="Arial"/>
          <w:spacing w:val="-2"/>
          <w:sz w:val="20"/>
          <w:szCs w:val="20"/>
        </w:rPr>
        <w:t xml:space="preserve">sanción de los presuntos responsables. </w:t>
      </w:r>
      <w:r w:rsidRPr="002964A7">
        <w:rPr>
          <w:rFonts w:ascii="Verdana" w:hAnsi="Verdana"/>
          <w:spacing w:val="-2"/>
          <w:sz w:val="20"/>
          <w:szCs w:val="20"/>
          <w:lang w:val="es-AR"/>
        </w:rPr>
        <w:t xml:space="preserve">En este sentido, recordó que la Corte ha considerado que la privación continua de la verdad acerca del destino de un desaparecido constituye una forma de trato cruel e inhumano para los familiares cercanos. En razón de todo lo anterior, concluyó que en el presente caso se violó el derecho a la integridad personal de los familiares de las víctimas consagrado en el artículo 5 de la Convención Americana, en conexión con el artículo 1.1 del mismo instrumento, en perjuicio de </w:t>
      </w:r>
      <w:r w:rsidRPr="002964A7">
        <w:rPr>
          <w:rFonts w:ascii="Verdana" w:hAnsi="Verdana"/>
          <w:spacing w:val="-2"/>
          <w:sz w:val="20"/>
          <w:szCs w:val="20"/>
        </w:rPr>
        <w:t xml:space="preserve">Zósimo Hilario Quispe, Marcelo Hilario Quispe, Gregorio Hilario Quispe, Zenón Cirilo Osnayo Tunque, Víctor Carhuapoma de la Cruz, Ana de la Cruz Carhuapoma, Viviano Hilario Mancha, Dolores Morán Paucar, Justiniano Guillén Ccanto, </w:t>
      </w:r>
      <w:r w:rsidRPr="002964A7">
        <w:rPr>
          <w:rFonts w:ascii="Verdana" w:hAnsi="Verdana" w:cs="Verdana"/>
          <w:spacing w:val="-2"/>
          <w:sz w:val="20"/>
          <w:szCs w:val="20"/>
        </w:rPr>
        <w:t>Abilio Hilario Quispe,</w:t>
      </w:r>
      <w:r w:rsidRPr="002964A7">
        <w:rPr>
          <w:rFonts w:ascii="Verdana" w:hAnsi="Verdana"/>
          <w:spacing w:val="-2"/>
          <w:sz w:val="20"/>
          <w:szCs w:val="20"/>
        </w:rPr>
        <w:t xml:space="preserve"> Victoria Riveros Valencia, </w:t>
      </w:r>
      <w:r w:rsidRPr="002964A7">
        <w:rPr>
          <w:rFonts w:ascii="Verdana" w:hAnsi="Verdana" w:cs="Arial"/>
          <w:spacing w:val="-2"/>
          <w:sz w:val="20"/>
          <w:szCs w:val="20"/>
        </w:rPr>
        <w:t>Marino Huamaní Vergara</w:t>
      </w:r>
      <w:r w:rsidRPr="002964A7">
        <w:rPr>
          <w:rFonts w:ascii="Verdana" w:hAnsi="Verdana"/>
          <w:spacing w:val="-2"/>
          <w:sz w:val="20"/>
          <w:szCs w:val="20"/>
        </w:rPr>
        <w:t xml:space="preserve"> y Alejandro Huamaní Robles</w:t>
      </w:r>
      <w:r>
        <w:rPr>
          <w:rFonts w:ascii="Verdana" w:hAnsi="Verdana"/>
          <w:bCs/>
          <w:spacing w:val="-2"/>
          <w:sz w:val="20"/>
          <w:szCs w:val="20"/>
          <w:lang w:val="es-VE"/>
        </w:rPr>
        <w:t>.</w:t>
      </w:r>
    </w:p>
    <w:p w:rsidR="00CA5D0C" w:rsidRPr="002964A7" w:rsidRDefault="00CA5D0C" w:rsidP="00CA5D0C">
      <w:pPr>
        <w:pStyle w:val="ListParagraph"/>
        <w:autoSpaceDE w:val="0"/>
        <w:autoSpaceDN w:val="0"/>
        <w:adjustRightInd w:val="0"/>
        <w:spacing w:after="0" w:line="240" w:lineRule="auto"/>
        <w:ind w:left="0" w:right="15"/>
        <w:jc w:val="both"/>
        <w:rPr>
          <w:rFonts w:ascii="Verdana" w:eastAsia="Calibri" w:hAnsi="Verdana" w:cs="Arial"/>
          <w:spacing w:val="-2"/>
          <w:sz w:val="20"/>
          <w:szCs w:val="20"/>
        </w:rPr>
      </w:pPr>
    </w:p>
    <w:p w:rsidR="00CA5D0C" w:rsidRPr="002964A7" w:rsidRDefault="00CA5D0C"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spacing w:val="-2"/>
          <w:sz w:val="20"/>
          <w:szCs w:val="20"/>
        </w:rPr>
        <w:t xml:space="preserve">Los </w:t>
      </w:r>
      <w:r w:rsidRPr="002964A7">
        <w:rPr>
          <w:rFonts w:ascii="Verdana" w:hAnsi="Verdana"/>
          <w:b/>
          <w:i/>
          <w:spacing w:val="-2"/>
          <w:sz w:val="20"/>
          <w:szCs w:val="20"/>
        </w:rPr>
        <w:t>representantes</w:t>
      </w:r>
      <w:r w:rsidRPr="002964A7">
        <w:rPr>
          <w:rFonts w:ascii="Verdana" w:hAnsi="Verdana"/>
          <w:spacing w:val="-2"/>
          <w:sz w:val="20"/>
          <w:szCs w:val="20"/>
        </w:rPr>
        <w:t xml:space="preserve"> señalaron que, con base en la jurisprudencia de la Corte, </w:t>
      </w:r>
      <w:r w:rsidRPr="002964A7">
        <w:rPr>
          <w:rFonts w:ascii="Verdana" w:hAnsi="Verdana" w:cs="Arial"/>
          <w:spacing w:val="-2"/>
          <w:sz w:val="20"/>
          <w:szCs w:val="20"/>
        </w:rPr>
        <w:t xml:space="preserve">en el presente caso corresponde aplicar la presunción de una violación del derecho a la integridad personal </w:t>
      </w:r>
      <w:r w:rsidRPr="002964A7">
        <w:rPr>
          <w:rFonts w:ascii="Verdana" w:hAnsi="Verdana"/>
          <w:spacing w:val="-2"/>
          <w:sz w:val="20"/>
          <w:szCs w:val="20"/>
          <w:lang w:val="es-PR"/>
        </w:rPr>
        <w:t>en</w:t>
      </w:r>
      <w:r w:rsidRPr="002964A7">
        <w:rPr>
          <w:rFonts w:ascii="Verdana" w:hAnsi="Verdana" w:cs="Arial"/>
          <w:spacing w:val="-2"/>
          <w:sz w:val="20"/>
          <w:szCs w:val="20"/>
        </w:rPr>
        <w:t xml:space="preserve"> perjuicio de los familiares de las víctimas de desaparición forzada. Asimismo, indicaron que dichos familiares </w:t>
      </w:r>
      <w:r w:rsidRPr="002964A7">
        <w:rPr>
          <w:rFonts w:ascii="Verdana" w:hAnsi="Verdana"/>
          <w:spacing w:val="-2"/>
          <w:sz w:val="20"/>
          <w:szCs w:val="20"/>
        </w:rPr>
        <w:t>han “</w:t>
      </w:r>
      <w:r w:rsidRPr="002964A7">
        <w:rPr>
          <w:rFonts w:ascii="Verdana" w:hAnsi="Verdana" w:cs="Arial"/>
          <w:spacing w:val="-2"/>
          <w:sz w:val="20"/>
          <w:szCs w:val="20"/>
        </w:rPr>
        <w:t>experimentado profundo sufrimiento a raíz de la desaparición forzada de sus seres queridos”, lo cual se acrecentaba especialmente en consideración de la desaparición de l</w:t>
      </w:r>
      <w:r>
        <w:rPr>
          <w:rFonts w:ascii="Verdana" w:hAnsi="Verdana" w:cs="Arial"/>
          <w:spacing w:val="-2"/>
          <w:sz w:val="20"/>
          <w:szCs w:val="20"/>
        </w:rPr>
        <w:t>a</w:t>
      </w:r>
      <w:r w:rsidRPr="002964A7">
        <w:rPr>
          <w:rFonts w:ascii="Verdana" w:hAnsi="Verdana" w:cs="Arial"/>
          <w:spacing w:val="-2"/>
          <w:sz w:val="20"/>
          <w:szCs w:val="20"/>
        </w:rPr>
        <w:t xml:space="preserve">s 7 </w:t>
      </w:r>
      <w:r w:rsidRPr="002964A7">
        <w:rPr>
          <w:rFonts w:ascii="Verdana" w:hAnsi="Verdana"/>
          <w:sz w:val="20"/>
          <w:szCs w:val="20"/>
          <w:lang w:val="es-ES"/>
        </w:rPr>
        <w:t>niñ</w:t>
      </w:r>
      <w:r>
        <w:rPr>
          <w:rFonts w:ascii="Verdana" w:hAnsi="Verdana"/>
          <w:sz w:val="20"/>
          <w:szCs w:val="20"/>
          <w:lang w:val="es-ES"/>
        </w:rPr>
        <w:t>a</w:t>
      </w:r>
      <w:r w:rsidRPr="002964A7">
        <w:rPr>
          <w:rFonts w:ascii="Verdana" w:hAnsi="Verdana"/>
          <w:sz w:val="20"/>
          <w:szCs w:val="20"/>
          <w:lang w:val="es-ES"/>
        </w:rPr>
        <w:t>s y niñ</w:t>
      </w:r>
      <w:r>
        <w:rPr>
          <w:rFonts w:ascii="Verdana" w:hAnsi="Verdana"/>
          <w:sz w:val="20"/>
          <w:szCs w:val="20"/>
          <w:lang w:val="es-ES"/>
        </w:rPr>
        <w:t>o</w:t>
      </w:r>
      <w:r w:rsidRPr="002964A7">
        <w:rPr>
          <w:rFonts w:ascii="Verdana" w:hAnsi="Verdana"/>
          <w:sz w:val="20"/>
          <w:szCs w:val="20"/>
          <w:lang w:val="es-ES"/>
        </w:rPr>
        <w:t>s</w:t>
      </w:r>
      <w:r w:rsidRPr="002964A7">
        <w:rPr>
          <w:rFonts w:ascii="Verdana" w:hAnsi="Verdana" w:cs="Arial"/>
          <w:spacing w:val="-2"/>
          <w:sz w:val="20"/>
          <w:szCs w:val="20"/>
        </w:rPr>
        <w:t xml:space="preserve">. Alegaron que la desaparición forzada de las víctimas “provocó una ruptura en el seno de la familia que se sigue experimentando en la actualidad”. Asimismo, los familiares de las víctimas habrían sufrido por la falta de justicia en las investigaciones de lo ocurrido en torno a la desaparición forzada de sus seres queridos y por la falta de esclarecimiento de la verdad que aún caracteriza los hechos del caso concreto, “lo cual les ha imposibilitado identificar y recibir los restos mortales de sus seres queridos y, así, darles una sepultura adecuada”. En este sentido, consideraron que el Estado es responsable por la violación del derecho a la integridad personal en perjuicio de Zósimo Hilario Quispe, Marcelo Hilario Quispe, Gregorio Hilario Quispe, Zenón Cirilo Osnayo Tunque, Ana de la Cruz Carhuapoma, Víctor Carhuapoma de la Cruz, Viviano Hilario Mancha, Dolores Morán Paucar, Justiniano Guillén Ccanto, Victoria Riveros Valencia, Marcelina Guillén Riveros, </w:t>
      </w:r>
      <w:r w:rsidRPr="002964A7">
        <w:rPr>
          <w:rFonts w:ascii="Verdana" w:hAnsi="Verdana"/>
          <w:spacing w:val="-2"/>
          <w:sz w:val="20"/>
          <w:szCs w:val="20"/>
        </w:rPr>
        <w:t>Marino Huamaní Vergara</w:t>
      </w:r>
      <w:r w:rsidRPr="002964A7">
        <w:rPr>
          <w:rFonts w:ascii="Verdana" w:hAnsi="Verdana" w:cs="Arial"/>
          <w:spacing w:val="-2"/>
          <w:sz w:val="20"/>
          <w:szCs w:val="20"/>
        </w:rPr>
        <w:t xml:space="preserve"> y Alejandro Huamaní Robles.</w:t>
      </w:r>
    </w:p>
    <w:p w:rsidR="00CA5D0C" w:rsidRPr="002964A7" w:rsidRDefault="00CA5D0C" w:rsidP="00CA5D0C">
      <w:pPr>
        <w:pStyle w:val="ListParagraph"/>
        <w:autoSpaceDE w:val="0"/>
        <w:autoSpaceDN w:val="0"/>
        <w:adjustRightInd w:val="0"/>
        <w:spacing w:after="0" w:line="240" w:lineRule="auto"/>
        <w:ind w:left="0" w:right="15"/>
        <w:jc w:val="both"/>
        <w:rPr>
          <w:rFonts w:ascii="Verdana" w:hAnsi="Verdana" w:cs="Arial"/>
          <w:spacing w:val="-2"/>
          <w:sz w:val="20"/>
          <w:szCs w:val="20"/>
        </w:rPr>
      </w:pPr>
    </w:p>
    <w:p w:rsidR="00CA5D0C" w:rsidRPr="002964A7" w:rsidRDefault="00CA5D0C"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El </w:t>
      </w:r>
      <w:r w:rsidRPr="002964A7">
        <w:rPr>
          <w:rFonts w:ascii="Verdana" w:hAnsi="Verdana"/>
          <w:b/>
          <w:i/>
          <w:spacing w:val="-2"/>
          <w:sz w:val="20"/>
          <w:szCs w:val="20"/>
        </w:rPr>
        <w:t>Estado</w:t>
      </w:r>
      <w:r w:rsidRPr="002964A7">
        <w:rPr>
          <w:rFonts w:ascii="Verdana" w:hAnsi="Verdana"/>
          <w:spacing w:val="-2"/>
          <w:sz w:val="20"/>
          <w:szCs w:val="20"/>
        </w:rPr>
        <w:t xml:space="preserve"> alegó que no podía ser considerado responsable de la violación del derecho a la integridad de los familiares de las presuntas víctimas. Al respecto, sostuvo que es </w:t>
      </w:r>
      <w:r w:rsidRPr="002964A7">
        <w:rPr>
          <w:rFonts w:ascii="Verdana" w:hAnsi="Verdana"/>
          <w:spacing w:val="-2"/>
          <w:sz w:val="20"/>
          <w:szCs w:val="20"/>
        </w:rPr>
        <w:lastRenderedPageBreak/>
        <w:t>probable que alguno</w:t>
      </w:r>
      <w:r>
        <w:rPr>
          <w:rFonts w:ascii="Verdana" w:hAnsi="Verdana"/>
          <w:spacing w:val="-2"/>
          <w:sz w:val="20"/>
          <w:szCs w:val="20"/>
        </w:rPr>
        <w:t>s</w:t>
      </w:r>
      <w:r w:rsidRPr="002964A7">
        <w:rPr>
          <w:rFonts w:ascii="Verdana" w:hAnsi="Verdana"/>
          <w:spacing w:val="-2"/>
          <w:sz w:val="20"/>
          <w:szCs w:val="20"/>
        </w:rPr>
        <w:t xml:space="preserve"> de los sufrimientos de los familiares sea</w:t>
      </w:r>
      <w:r>
        <w:rPr>
          <w:rFonts w:ascii="Verdana" w:hAnsi="Verdana"/>
          <w:spacing w:val="-2"/>
          <w:sz w:val="20"/>
          <w:szCs w:val="20"/>
        </w:rPr>
        <w:t>n</w:t>
      </w:r>
      <w:r w:rsidRPr="002964A7">
        <w:rPr>
          <w:rFonts w:ascii="Verdana" w:hAnsi="Verdana"/>
          <w:spacing w:val="-2"/>
          <w:sz w:val="20"/>
          <w:szCs w:val="20"/>
        </w:rPr>
        <w:t xml:space="preserve"> similar</w:t>
      </w:r>
      <w:r>
        <w:rPr>
          <w:rFonts w:ascii="Verdana" w:hAnsi="Verdana"/>
          <w:spacing w:val="-2"/>
          <w:sz w:val="20"/>
          <w:szCs w:val="20"/>
        </w:rPr>
        <w:t>es</w:t>
      </w:r>
      <w:r w:rsidRPr="002964A7">
        <w:rPr>
          <w:rFonts w:ascii="Verdana" w:hAnsi="Verdana"/>
          <w:spacing w:val="-2"/>
          <w:sz w:val="20"/>
          <w:szCs w:val="20"/>
        </w:rPr>
        <w:t xml:space="preserve"> a los de familiares de víctimas de casos semejantes</w:t>
      </w:r>
      <w:r>
        <w:rPr>
          <w:rFonts w:ascii="Verdana" w:hAnsi="Verdana"/>
          <w:spacing w:val="-2"/>
          <w:sz w:val="20"/>
          <w:szCs w:val="20"/>
        </w:rPr>
        <w:t>;</w:t>
      </w:r>
      <w:r w:rsidRPr="002964A7">
        <w:rPr>
          <w:rFonts w:ascii="Verdana" w:hAnsi="Verdana"/>
          <w:spacing w:val="-2"/>
          <w:sz w:val="20"/>
          <w:szCs w:val="20"/>
        </w:rPr>
        <w:t xml:space="preserve"> sin embargo, en el presente caso había avances </w:t>
      </w:r>
      <w:r w:rsidRPr="002964A7">
        <w:rPr>
          <w:rFonts w:ascii="Verdana" w:hAnsi="Verdana"/>
          <w:spacing w:val="-2"/>
          <w:sz w:val="20"/>
          <w:szCs w:val="20"/>
          <w:lang w:val="es-PR"/>
        </w:rPr>
        <w:t>importantes</w:t>
      </w:r>
      <w:r w:rsidRPr="002964A7">
        <w:rPr>
          <w:rFonts w:ascii="Verdana" w:hAnsi="Verdana"/>
          <w:spacing w:val="-2"/>
          <w:sz w:val="20"/>
          <w:szCs w:val="20"/>
        </w:rPr>
        <w:t xml:space="preserve"> en la determinación de los responsables de la muerte de las quince personas de la </w:t>
      </w:r>
      <w:r>
        <w:rPr>
          <w:rFonts w:ascii="Verdana" w:hAnsi="Verdana"/>
          <w:spacing w:val="-2"/>
          <w:sz w:val="20"/>
          <w:szCs w:val="20"/>
        </w:rPr>
        <w:t>c</w:t>
      </w:r>
      <w:r w:rsidRPr="002964A7">
        <w:rPr>
          <w:rFonts w:ascii="Verdana" w:hAnsi="Verdana"/>
          <w:spacing w:val="-2"/>
          <w:sz w:val="20"/>
          <w:szCs w:val="20"/>
        </w:rPr>
        <w:t xml:space="preserve">omunidad </w:t>
      </w:r>
      <w:r>
        <w:rPr>
          <w:rFonts w:ascii="Verdana" w:hAnsi="Verdana"/>
          <w:spacing w:val="-2"/>
          <w:sz w:val="20"/>
          <w:szCs w:val="20"/>
        </w:rPr>
        <w:t>c</w:t>
      </w:r>
      <w:r w:rsidRPr="002964A7">
        <w:rPr>
          <w:rFonts w:ascii="Verdana" w:hAnsi="Verdana"/>
          <w:spacing w:val="-2"/>
          <w:sz w:val="20"/>
          <w:szCs w:val="20"/>
        </w:rPr>
        <w:t>ampesina Santa Bárbara. Además, señaló que estaría haciendo todos los esfuerzos necesarios para que se esclarezcan los hechos en cuanto a la determinación de los responsables y estaría accionando para que los dos reos ausentes puedan ser capturados. Manifestó que al haber sido condenado el autor de los hechos por las autoridades jurisdiccionales nacionales competentes y al haberse establecido el pago de la indemnización, los hechos del presente caso indicarían la voluntad de reparación</w:t>
      </w:r>
      <w:r>
        <w:rPr>
          <w:rFonts w:ascii="Verdana" w:hAnsi="Verdana"/>
          <w:spacing w:val="-2"/>
          <w:sz w:val="20"/>
          <w:szCs w:val="20"/>
        </w:rPr>
        <w:t xml:space="preserve"> por parte del Estado</w:t>
      </w:r>
      <w:r w:rsidRPr="002964A7">
        <w:rPr>
          <w:rFonts w:ascii="Verdana" w:hAnsi="Verdana"/>
          <w:spacing w:val="-2"/>
          <w:sz w:val="20"/>
          <w:szCs w:val="20"/>
        </w:rPr>
        <w:t>.</w:t>
      </w:r>
      <w:r>
        <w:rPr>
          <w:rFonts w:ascii="Verdana" w:hAnsi="Verdana"/>
          <w:spacing w:val="-2"/>
          <w:sz w:val="20"/>
          <w:szCs w:val="20"/>
        </w:rPr>
        <w:t xml:space="preserve"> </w:t>
      </w:r>
      <w:r w:rsidRPr="002964A7">
        <w:rPr>
          <w:rFonts w:ascii="Verdana" w:hAnsi="Verdana"/>
          <w:spacing w:val="-2"/>
          <w:sz w:val="20"/>
          <w:szCs w:val="20"/>
        </w:rPr>
        <w:t>En sus alegatos finales escritos</w:t>
      </w:r>
      <w:r>
        <w:rPr>
          <w:rFonts w:ascii="Verdana" w:hAnsi="Verdana"/>
          <w:spacing w:val="-2"/>
          <w:sz w:val="20"/>
          <w:szCs w:val="20"/>
        </w:rPr>
        <w:t>,</w:t>
      </w:r>
      <w:r w:rsidRPr="002964A7">
        <w:rPr>
          <w:rFonts w:ascii="Verdana" w:hAnsi="Verdana"/>
          <w:spacing w:val="-2"/>
          <w:sz w:val="20"/>
          <w:szCs w:val="20"/>
        </w:rPr>
        <w:t xml:space="preserve"> rechazó que se pretenda utilizar fundamentos sobre la alegada desaparición forzada</w:t>
      </w:r>
      <w:r>
        <w:rPr>
          <w:rFonts w:ascii="Verdana" w:hAnsi="Verdana"/>
          <w:spacing w:val="-2"/>
          <w:sz w:val="20"/>
          <w:szCs w:val="20"/>
        </w:rPr>
        <w:t>,</w:t>
      </w:r>
      <w:r w:rsidRPr="002964A7">
        <w:rPr>
          <w:rFonts w:ascii="Verdana" w:hAnsi="Verdana"/>
          <w:spacing w:val="-2"/>
          <w:sz w:val="20"/>
          <w:szCs w:val="20"/>
        </w:rPr>
        <w:t xml:space="preserve"> pues el presente caso se trata</w:t>
      </w:r>
      <w:r>
        <w:rPr>
          <w:rFonts w:ascii="Verdana" w:hAnsi="Verdana"/>
          <w:spacing w:val="-2"/>
          <w:sz w:val="20"/>
          <w:szCs w:val="20"/>
        </w:rPr>
        <w:t>ría</w:t>
      </w:r>
      <w:r w:rsidRPr="002964A7">
        <w:rPr>
          <w:rFonts w:ascii="Verdana" w:hAnsi="Verdana"/>
          <w:spacing w:val="-2"/>
          <w:sz w:val="20"/>
          <w:szCs w:val="20"/>
        </w:rPr>
        <w:t xml:space="preserve"> de una ejecución extrajudicial. Asimismo, manifestó su extrañeza de que “se pretenda postular la afectación al derecho a la verdad de los familiares sosteniendo que no obtuvieron acceso a la justicia”, desconociendo los resultados de la investigación que se reinició en el año 2005 y la determinación de los hechos probados que realizó la Sala Penal Nacional, confirmada por la Corte Suprema de Justicia.</w:t>
      </w:r>
    </w:p>
    <w:p w:rsidR="00CA5D0C" w:rsidRPr="00F13F0B" w:rsidRDefault="007D57A2" w:rsidP="007D57A2">
      <w:pPr>
        <w:pStyle w:val="Heading3"/>
        <w:rPr>
          <w:lang w:val="es-CO"/>
        </w:rPr>
      </w:pPr>
      <w:bookmarkStart w:id="238" w:name="_Toc405857915"/>
      <w:bookmarkStart w:id="239" w:name="_Toc396514882"/>
      <w:bookmarkStart w:id="240" w:name="_Toc395213523"/>
      <w:bookmarkStart w:id="241" w:name="_Toc421864990"/>
      <w:bookmarkStart w:id="242" w:name="_Toc423102566"/>
      <w:bookmarkStart w:id="243" w:name="_Toc433387517"/>
      <w:r>
        <w:t xml:space="preserve">A. </w:t>
      </w:r>
      <w:r w:rsidR="00CA5D0C" w:rsidRPr="004C6DC2">
        <w:t>Consideraciones de la Corte</w:t>
      </w:r>
      <w:bookmarkEnd w:id="238"/>
      <w:bookmarkEnd w:id="239"/>
      <w:bookmarkEnd w:id="240"/>
      <w:bookmarkEnd w:id="241"/>
      <w:bookmarkEnd w:id="242"/>
      <w:bookmarkEnd w:id="243"/>
    </w:p>
    <w:p w:rsidR="00CA5D0C" w:rsidRPr="007D57A2" w:rsidRDefault="00CA5D0C" w:rsidP="00CA5D0C">
      <w:pPr>
        <w:pStyle w:val="ListParagraph"/>
        <w:autoSpaceDE w:val="0"/>
        <w:autoSpaceDN w:val="0"/>
        <w:adjustRightInd w:val="0"/>
        <w:spacing w:after="0" w:line="240" w:lineRule="auto"/>
        <w:ind w:left="0" w:right="15"/>
        <w:jc w:val="both"/>
        <w:rPr>
          <w:rFonts w:ascii="Verdana" w:eastAsia="Calibri" w:hAnsi="Verdana" w:cs="Arial"/>
          <w:b/>
          <w:spacing w:val="-2"/>
          <w:sz w:val="16"/>
          <w:szCs w:val="20"/>
        </w:rPr>
      </w:pPr>
    </w:p>
    <w:p w:rsidR="00CA5D0C" w:rsidRPr="002964A7" w:rsidRDefault="00CA5D0C"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pacing w:val="-2"/>
          <w:sz w:val="20"/>
          <w:szCs w:val="20"/>
        </w:rPr>
      </w:pPr>
      <w:bookmarkStart w:id="244" w:name="_Ref405772293"/>
      <w:r w:rsidRPr="002964A7">
        <w:rPr>
          <w:rFonts w:ascii="Verdana" w:hAnsi="Verdana"/>
          <w:spacing w:val="-2"/>
          <w:sz w:val="20"/>
          <w:szCs w:val="20"/>
        </w:rPr>
        <w:t>La</w:t>
      </w:r>
      <w:r w:rsidRPr="002964A7">
        <w:rPr>
          <w:rFonts w:ascii="Verdana" w:hAnsi="Verdana"/>
          <w:spacing w:val="-2"/>
          <w:sz w:val="20"/>
          <w:szCs w:val="20"/>
          <w:lang w:val="es-CO"/>
        </w:rPr>
        <w:t xml:space="preserve"> Corte ha afirmado en reiteradas oportunidades que los familiares de las víctimas de violaciones de los derechos humanos pueden ser, a su vez, víctimas</w:t>
      </w:r>
      <w:r w:rsidRPr="004C6DC2">
        <w:rPr>
          <w:rStyle w:val="FootnoteReference1"/>
          <w:rFonts w:ascii="Verdana" w:hAnsi="Verdana"/>
          <w:color w:val="auto"/>
          <w:spacing w:val="-2"/>
          <w:sz w:val="20"/>
          <w:szCs w:val="20"/>
          <w:lang w:val="es-CO"/>
        </w:rPr>
        <w:footnoteReference w:id="326"/>
      </w:r>
      <w:r w:rsidRPr="002964A7">
        <w:rPr>
          <w:rFonts w:ascii="Verdana" w:hAnsi="Verdana"/>
          <w:spacing w:val="-2"/>
          <w:sz w:val="20"/>
          <w:szCs w:val="20"/>
          <w:lang w:val="es-CO"/>
        </w:rPr>
        <w:t xml:space="preserve">. </w:t>
      </w:r>
      <w:bookmarkStart w:id="245" w:name="_Ref396293104"/>
      <w:bookmarkEnd w:id="244"/>
      <w:r w:rsidRPr="002964A7">
        <w:rPr>
          <w:rFonts w:ascii="Verdana" w:eastAsia="Calibri" w:hAnsi="Verdana"/>
          <w:spacing w:val="-2"/>
          <w:sz w:val="20"/>
          <w:szCs w:val="20"/>
        </w:rPr>
        <w:t xml:space="preserve">Asimismo, el Tribunal ha considerado que en casos que involucran la desaparición forzada de personas, es posible entender que la violación del derecho a la integridad psíquica y moral de los familiares de la víctima es una consecuencia directa de ese fenómeno, que les </w:t>
      </w:r>
      <w:r w:rsidRPr="002964A7">
        <w:rPr>
          <w:rFonts w:ascii="Verdana" w:hAnsi="Verdana"/>
          <w:spacing w:val="-2"/>
          <w:sz w:val="20"/>
          <w:szCs w:val="20"/>
          <w:lang w:val="es-PR"/>
        </w:rPr>
        <w:t>causa</w:t>
      </w:r>
      <w:r w:rsidRPr="002964A7">
        <w:rPr>
          <w:rFonts w:ascii="Verdana" w:eastAsia="Calibri" w:hAnsi="Verdana"/>
          <w:spacing w:val="-2"/>
          <w:sz w:val="20"/>
          <w:szCs w:val="20"/>
        </w:rPr>
        <w:t xml:space="preserve"> un severo sufrimiento por el hecho mismo, que se acrecienta, entre otros factores, por la constante negativa de las autoridades estatales de proporcionar información acerca del paradero de la víctima o de realizar una investigación eficaz para lograr el esclarecimiento de lo sucedido</w:t>
      </w:r>
      <w:r w:rsidRPr="004C6DC2">
        <w:rPr>
          <w:rStyle w:val="FootnoteReference1"/>
          <w:rFonts w:ascii="Verdana" w:eastAsia="Calibri" w:hAnsi="Verdana"/>
          <w:color w:val="auto"/>
          <w:spacing w:val="-2"/>
          <w:sz w:val="20"/>
          <w:szCs w:val="20"/>
        </w:rPr>
        <w:footnoteReference w:id="327"/>
      </w:r>
      <w:r w:rsidRPr="002964A7">
        <w:rPr>
          <w:rFonts w:ascii="Verdana" w:eastAsia="Calibri" w:hAnsi="Verdana"/>
          <w:spacing w:val="-2"/>
          <w:sz w:val="20"/>
          <w:szCs w:val="20"/>
        </w:rPr>
        <w:t xml:space="preserve">. </w:t>
      </w:r>
      <w:r w:rsidRPr="002964A7">
        <w:rPr>
          <w:rFonts w:ascii="Verdana" w:eastAsia="Calibri" w:hAnsi="Verdana"/>
          <w:spacing w:val="-2"/>
          <w:sz w:val="20"/>
          <w:szCs w:val="20"/>
          <w:lang w:val="es-ES"/>
        </w:rPr>
        <w:t xml:space="preserve">Estas afectaciones hacen </w:t>
      </w:r>
      <w:r w:rsidRPr="002964A7">
        <w:rPr>
          <w:rFonts w:ascii="Verdana" w:eastAsia="Calibri" w:hAnsi="Verdana"/>
          <w:spacing w:val="-2"/>
          <w:sz w:val="20"/>
          <w:szCs w:val="20"/>
        </w:rPr>
        <w:t>presumir un daño a la integridad psíquica y moral de los familiares en casos de desapariciones forzadas</w:t>
      </w:r>
      <w:r w:rsidRPr="004C6DC2">
        <w:rPr>
          <w:rStyle w:val="FootnoteReference1"/>
          <w:rFonts w:ascii="Verdana" w:eastAsia="Calibri" w:hAnsi="Verdana"/>
          <w:color w:val="auto"/>
          <w:spacing w:val="-2"/>
          <w:sz w:val="20"/>
          <w:szCs w:val="20"/>
        </w:rPr>
        <w:footnoteReference w:id="328"/>
      </w:r>
      <w:r w:rsidRPr="002964A7">
        <w:rPr>
          <w:rFonts w:ascii="Verdana" w:eastAsia="Calibri" w:hAnsi="Verdana"/>
          <w:spacing w:val="-2"/>
          <w:sz w:val="20"/>
          <w:szCs w:val="20"/>
        </w:rPr>
        <w:t xml:space="preserve">. En casos anteriores, la Corte ha establecido que dicha presunción se establece </w:t>
      </w:r>
      <w:r w:rsidRPr="002964A7">
        <w:rPr>
          <w:rFonts w:ascii="Verdana" w:eastAsia="Calibri" w:hAnsi="Verdana"/>
          <w:i/>
          <w:spacing w:val="-2"/>
          <w:sz w:val="20"/>
          <w:szCs w:val="20"/>
        </w:rPr>
        <w:t xml:space="preserve">juris tantum </w:t>
      </w:r>
      <w:r w:rsidRPr="002964A7">
        <w:rPr>
          <w:rFonts w:ascii="Verdana" w:eastAsia="Calibri" w:hAnsi="Verdana"/>
          <w:spacing w:val="-2"/>
          <w:sz w:val="20"/>
          <w:szCs w:val="20"/>
        </w:rPr>
        <w:t>respecto de madres y padres, hijas e hijos, cónyuges, compañeros y compañeras permanentes, siempre que corresponda a las circunstancias particulares del caso</w:t>
      </w:r>
      <w:r w:rsidRPr="004C6DC2">
        <w:rPr>
          <w:rStyle w:val="FootnoteReference1"/>
          <w:rFonts w:ascii="Verdana" w:eastAsia="Calibri" w:hAnsi="Verdana"/>
          <w:color w:val="auto"/>
          <w:spacing w:val="-2"/>
          <w:sz w:val="20"/>
          <w:szCs w:val="20"/>
        </w:rPr>
        <w:footnoteReference w:id="329"/>
      </w:r>
      <w:r w:rsidRPr="002964A7">
        <w:rPr>
          <w:rFonts w:ascii="Verdana" w:eastAsia="Calibri" w:hAnsi="Verdana"/>
          <w:spacing w:val="-2"/>
          <w:sz w:val="20"/>
          <w:szCs w:val="20"/>
        </w:rPr>
        <w:t>. Además, en su jurisprudencia más reciente, esta Corte ha considerado que, en el marco de una desaparición forzada, dicha presunción también es aplicable a las hermanas y hermanos de las víctimas desaparecidas, salvo que se demuestre lo contrario por las circunstancias específicas del caso</w:t>
      </w:r>
      <w:r w:rsidRPr="004C6DC2">
        <w:rPr>
          <w:rStyle w:val="FootnoteReference1"/>
          <w:rFonts w:ascii="Verdana" w:eastAsia="Calibri" w:hAnsi="Verdana"/>
          <w:color w:val="auto"/>
          <w:spacing w:val="-2"/>
          <w:sz w:val="20"/>
          <w:szCs w:val="20"/>
        </w:rPr>
        <w:footnoteReference w:id="330"/>
      </w:r>
      <w:r w:rsidRPr="002964A7">
        <w:rPr>
          <w:rFonts w:ascii="Verdana" w:eastAsia="Calibri" w:hAnsi="Verdana"/>
          <w:spacing w:val="-2"/>
          <w:sz w:val="20"/>
          <w:szCs w:val="20"/>
        </w:rPr>
        <w:t>.</w:t>
      </w:r>
      <w:bookmarkEnd w:id="245"/>
    </w:p>
    <w:p w:rsidR="00CA5D0C" w:rsidRPr="002964A7" w:rsidRDefault="00CA5D0C" w:rsidP="00CA5D0C">
      <w:pPr>
        <w:pStyle w:val="ListParagraph"/>
        <w:autoSpaceDE w:val="0"/>
        <w:autoSpaceDN w:val="0"/>
        <w:adjustRightInd w:val="0"/>
        <w:spacing w:after="0" w:line="240" w:lineRule="auto"/>
        <w:ind w:left="0" w:right="15"/>
        <w:jc w:val="both"/>
        <w:rPr>
          <w:rFonts w:ascii="Verdana" w:eastAsia="Calibri" w:hAnsi="Verdana" w:cs="Arial"/>
          <w:spacing w:val="-2"/>
          <w:sz w:val="20"/>
          <w:szCs w:val="20"/>
        </w:rPr>
      </w:pPr>
    </w:p>
    <w:p w:rsidR="00CA5D0C" w:rsidRPr="002964A7" w:rsidRDefault="00CA5D0C"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pacing w:val="-2"/>
          <w:sz w:val="20"/>
          <w:szCs w:val="20"/>
        </w:rPr>
      </w:pPr>
      <w:r w:rsidRPr="002964A7">
        <w:rPr>
          <w:rFonts w:ascii="Verdana" w:hAnsi="Verdana"/>
          <w:spacing w:val="-2"/>
          <w:sz w:val="20"/>
          <w:szCs w:val="20"/>
        </w:rPr>
        <w:t>La Comisión y los representantes presentaron argumentos sobre</w:t>
      </w:r>
      <w:r w:rsidRPr="002964A7">
        <w:rPr>
          <w:rFonts w:ascii="Verdana" w:hAnsi="Verdana" w:cs="Arial"/>
          <w:spacing w:val="-2"/>
          <w:sz w:val="20"/>
          <w:szCs w:val="20"/>
        </w:rPr>
        <w:t xml:space="preserve"> la ruptura en el seno familiar, la ausencia de recursos efectivos</w:t>
      </w:r>
      <w:r w:rsidRPr="002964A7">
        <w:rPr>
          <w:rFonts w:ascii="Verdana" w:eastAsia="Calibri" w:hAnsi="Verdana" w:cs="Arial"/>
          <w:spacing w:val="-2"/>
          <w:sz w:val="20"/>
          <w:szCs w:val="20"/>
        </w:rPr>
        <w:t xml:space="preserve">, </w:t>
      </w:r>
      <w:r w:rsidRPr="002964A7">
        <w:rPr>
          <w:rFonts w:ascii="Verdana" w:hAnsi="Verdana" w:cs="Arial"/>
          <w:spacing w:val="-2"/>
          <w:sz w:val="20"/>
          <w:szCs w:val="20"/>
        </w:rPr>
        <w:t>la falta de justicia en las investigaciones de lo ocurrido</w:t>
      </w:r>
      <w:r>
        <w:rPr>
          <w:rFonts w:ascii="Verdana" w:hAnsi="Verdana" w:cs="Arial"/>
          <w:spacing w:val="-2"/>
          <w:sz w:val="20"/>
          <w:szCs w:val="20"/>
        </w:rPr>
        <w:t xml:space="preserve"> y</w:t>
      </w:r>
      <w:r w:rsidRPr="002964A7">
        <w:rPr>
          <w:rFonts w:ascii="Verdana" w:hAnsi="Verdana" w:cs="Arial"/>
          <w:spacing w:val="-2"/>
          <w:sz w:val="20"/>
          <w:szCs w:val="20"/>
        </w:rPr>
        <w:t xml:space="preserve"> la falta de esclarecimiento de la verdad que ha imposibilitado identificar y recibir los restos mortales y darles una sepultura adecuada. Por su parte, el Estado se refirió a </w:t>
      </w:r>
      <w:r w:rsidRPr="002964A7">
        <w:rPr>
          <w:rFonts w:ascii="Verdana" w:hAnsi="Verdana"/>
          <w:spacing w:val="-2"/>
          <w:sz w:val="20"/>
          <w:szCs w:val="20"/>
        </w:rPr>
        <w:t xml:space="preserve">los avances en la determinación de los responsables de la muerte de las </w:t>
      </w:r>
      <w:r w:rsidRPr="002964A7">
        <w:rPr>
          <w:rFonts w:ascii="Verdana" w:hAnsi="Verdana"/>
          <w:spacing w:val="-2"/>
          <w:sz w:val="20"/>
          <w:szCs w:val="20"/>
          <w:lang w:val="es-PR"/>
        </w:rPr>
        <w:t>quince</w:t>
      </w:r>
      <w:r w:rsidRPr="002964A7">
        <w:rPr>
          <w:rFonts w:ascii="Verdana" w:hAnsi="Verdana"/>
          <w:spacing w:val="-2"/>
          <w:sz w:val="20"/>
          <w:szCs w:val="20"/>
        </w:rPr>
        <w:t xml:space="preserve"> víctimas de este caso, la captura de los reos ausentes y la voluntad de reparación. Además, </w:t>
      </w:r>
      <w:r w:rsidRPr="002964A7">
        <w:rPr>
          <w:rFonts w:ascii="Verdana" w:hAnsi="Verdana"/>
          <w:spacing w:val="-2"/>
          <w:sz w:val="20"/>
          <w:szCs w:val="20"/>
        </w:rPr>
        <w:lastRenderedPageBreak/>
        <w:t>cuestionó que se haya violado el derecho a</w:t>
      </w:r>
      <w:r w:rsidRPr="00064A08">
        <w:rPr>
          <w:rFonts w:ascii="Verdana" w:hAnsi="Verdana"/>
          <w:sz w:val="20"/>
          <w:szCs w:val="20"/>
          <w:lang w:val="es-ES"/>
        </w:rPr>
        <w:t xml:space="preserve"> </w:t>
      </w:r>
      <w:r>
        <w:rPr>
          <w:rFonts w:ascii="Verdana" w:hAnsi="Verdana"/>
          <w:sz w:val="20"/>
          <w:szCs w:val="20"/>
          <w:lang w:val="es-ES"/>
        </w:rPr>
        <w:t>conocer</w:t>
      </w:r>
      <w:r w:rsidRPr="002964A7">
        <w:rPr>
          <w:rFonts w:ascii="Verdana" w:hAnsi="Verdana"/>
          <w:spacing w:val="-2"/>
          <w:sz w:val="20"/>
          <w:szCs w:val="20"/>
        </w:rPr>
        <w:t xml:space="preserve"> la verdad de los familiares, y reiteró su alegato sobre que este caso se refiere a una ejecución extrajudicial </w:t>
      </w:r>
      <w:r w:rsidRPr="002964A7">
        <w:rPr>
          <w:rFonts w:ascii="Verdana" w:eastAsia="Calibri" w:hAnsi="Verdana"/>
          <w:spacing w:val="-2"/>
          <w:sz w:val="20"/>
          <w:szCs w:val="20"/>
        </w:rPr>
        <w:t>(</w:t>
      </w:r>
      <w:r w:rsidRPr="002964A7">
        <w:rPr>
          <w:rFonts w:ascii="Verdana" w:eastAsia="Calibri" w:hAnsi="Verdana"/>
          <w:i/>
          <w:spacing w:val="-2"/>
          <w:sz w:val="20"/>
          <w:szCs w:val="20"/>
        </w:rPr>
        <w:t>supra</w:t>
      </w:r>
      <w:r w:rsidRPr="002964A7">
        <w:rPr>
          <w:rFonts w:ascii="Verdana" w:eastAsia="Calibri" w:hAnsi="Verdana"/>
          <w:spacing w:val="-2"/>
          <w:sz w:val="20"/>
          <w:szCs w:val="20"/>
        </w:rPr>
        <w:t xml:space="preserve"> párr. </w:t>
      </w:r>
      <w:r>
        <w:rPr>
          <w:rFonts w:ascii="Verdana" w:eastAsia="Calibri" w:hAnsi="Verdana"/>
          <w:spacing w:val="-2"/>
          <w:sz w:val="20"/>
          <w:szCs w:val="20"/>
        </w:rPr>
        <w:t>155</w:t>
      </w:r>
      <w:r w:rsidRPr="002964A7">
        <w:rPr>
          <w:rFonts w:ascii="Verdana" w:eastAsia="Calibri" w:hAnsi="Verdana"/>
          <w:spacing w:val="-2"/>
          <w:sz w:val="20"/>
          <w:szCs w:val="20"/>
        </w:rPr>
        <w:t>)</w:t>
      </w:r>
      <w:r w:rsidRPr="002964A7">
        <w:rPr>
          <w:rFonts w:ascii="Verdana" w:hAnsi="Verdana"/>
          <w:spacing w:val="-2"/>
          <w:sz w:val="20"/>
          <w:szCs w:val="20"/>
        </w:rPr>
        <w:t>.</w:t>
      </w:r>
      <w:r w:rsidRPr="002964A7">
        <w:rPr>
          <w:rFonts w:ascii="Verdana" w:eastAsia="Calibri" w:hAnsi="Verdana" w:cs="Arial"/>
          <w:spacing w:val="-2"/>
          <w:sz w:val="20"/>
          <w:szCs w:val="20"/>
        </w:rPr>
        <w:t xml:space="preserve"> Dichos argumentos fueron objeto de análisis y </w:t>
      </w:r>
      <w:r w:rsidRPr="002964A7">
        <w:rPr>
          <w:rFonts w:ascii="Verdana" w:hAnsi="Verdana"/>
          <w:spacing w:val="-2"/>
          <w:sz w:val="20"/>
          <w:szCs w:val="20"/>
        </w:rPr>
        <w:t xml:space="preserve">resueltos por el Tribunal en los Capítulos </w:t>
      </w:r>
      <w:r>
        <w:rPr>
          <w:rFonts w:ascii="Verdana" w:hAnsi="Verdana"/>
          <w:spacing w:val="-2"/>
          <w:sz w:val="20"/>
          <w:szCs w:val="20"/>
        </w:rPr>
        <w:t>IX.I y IX.III</w:t>
      </w:r>
      <w:r w:rsidRPr="002964A7">
        <w:rPr>
          <w:rFonts w:ascii="Verdana" w:hAnsi="Verdana"/>
          <w:spacing w:val="-2"/>
          <w:sz w:val="20"/>
          <w:szCs w:val="20"/>
        </w:rPr>
        <w:t xml:space="preserve"> de </w:t>
      </w:r>
      <w:r w:rsidR="004C74EB">
        <w:rPr>
          <w:rFonts w:ascii="Verdana" w:hAnsi="Verdana"/>
          <w:spacing w:val="-2"/>
          <w:sz w:val="20"/>
          <w:szCs w:val="20"/>
        </w:rPr>
        <w:t>esta</w:t>
      </w:r>
      <w:r w:rsidR="004C74EB" w:rsidRPr="002964A7">
        <w:rPr>
          <w:rFonts w:ascii="Verdana" w:hAnsi="Verdana"/>
          <w:spacing w:val="-2"/>
          <w:sz w:val="20"/>
          <w:szCs w:val="20"/>
        </w:rPr>
        <w:t xml:space="preserve"> </w:t>
      </w:r>
      <w:r w:rsidRPr="002964A7">
        <w:rPr>
          <w:rFonts w:ascii="Verdana" w:hAnsi="Verdana"/>
          <w:spacing w:val="-2"/>
          <w:sz w:val="20"/>
          <w:szCs w:val="20"/>
        </w:rPr>
        <w:t xml:space="preserve">Sentencia. Por tanto, </w:t>
      </w:r>
      <w:r w:rsidRPr="002964A7">
        <w:rPr>
          <w:rFonts w:ascii="Verdana" w:hAnsi="Verdana" w:cs="Verdana"/>
          <w:spacing w:val="-2"/>
          <w:sz w:val="20"/>
          <w:szCs w:val="20"/>
        </w:rPr>
        <w:t xml:space="preserve">la Corte considera que en el presente caso </w:t>
      </w:r>
      <w:r w:rsidRPr="002964A7">
        <w:rPr>
          <w:rFonts w:ascii="Verdana" w:hAnsi="Verdana"/>
          <w:bCs/>
          <w:spacing w:val="-2"/>
          <w:sz w:val="20"/>
          <w:szCs w:val="20"/>
        </w:rPr>
        <w:t xml:space="preserve">no es necesario analizarlos </w:t>
      </w:r>
      <w:r w:rsidRPr="002964A7">
        <w:rPr>
          <w:rFonts w:ascii="Verdana" w:hAnsi="Verdana" w:cs="Verdana"/>
          <w:spacing w:val="-2"/>
          <w:sz w:val="20"/>
          <w:szCs w:val="20"/>
        </w:rPr>
        <w:t>respecto a las posibles afectaciones a la integridad personal de los familiares.</w:t>
      </w:r>
      <w:r w:rsidRPr="002964A7">
        <w:rPr>
          <w:rFonts w:ascii="Verdana" w:eastAsia="Calibri" w:hAnsi="Verdana" w:cs="Arial"/>
          <w:spacing w:val="-2"/>
          <w:sz w:val="20"/>
          <w:szCs w:val="20"/>
        </w:rPr>
        <w:t xml:space="preserve"> </w:t>
      </w:r>
    </w:p>
    <w:p w:rsidR="00CA5D0C" w:rsidRPr="002964A7" w:rsidRDefault="00CA5D0C" w:rsidP="00CA5D0C">
      <w:pPr>
        <w:pStyle w:val="ListParagraph"/>
        <w:autoSpaceDE w:val="0"/>
        <w:autoSpaceDN w:val="0"/>
        <w:adjustRightInd w:val="0"/>
        <w:spacing w:after="0" w:line="240" w:lineRule="auto"/>
        <w:ind w:left="0"/>
        <w:jc w:val="both"/>
        <w:rPr>
          <w:rFonts w:ascii="Verdana" w:eastAsia="Calibri" w:hAnsi="Verdana" w:cs="Arial"/>
          <w:spacing w:val="-2"/>
          <w:sz w:val="20"/>
          <w:szCs w:val="20"/>
        </w:rPr>
      </w:pPr>
    </w:p>
    <w:p w:rsidR="00CA5D0C" w:rsidRPr="002964A7" w:rsidRDefault="00CA5D0C"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pacing w:val="-2"/>
          <w:sz w:val="20"/>
          <w:szCs w:val="20"/>
        </w:rPr>
      </w:pPr>
      <w:r w:rsidRPr="002964A7">
        <w:rPr>
          <w:rFonts w:ascii="Verdana" w:eastAsia="Calibri" w:hAnsi="Verdana" w:cs="Arial"/>
          <w:spacing w:val="-2"/>
          <w:sz w:val="20"/>
          <w:szCs w:val="20"/>
        </w:rPr>
        <w:t>Ahora bien, la Corte recuerda que e</w:t>
      </w:r>
      <w:r w:rsidRPr="002964A7">
        <w:rPr>
          <w:rFonts w:ascii="Verdana" w:eastAsia="Calibri" w:hAnsi="Verdana"/>
          <w:spacing w:val="-2"/>
          <w:sz w:val="20"/>
          <w:szCs w:val="20"/>
        </w:rPr>
        <w:t xml:space="preserve">n el Capítulo </w:t>
      </w:r>
      <w:r>
        <w:rPr>
          <w:rFonts w:ascii="Verdana" w:eastAsia="Calibri" w:hAnsi="Verdana"/>
          <w:spacing w:val="-2"/>
          <w:sz w:val="20"/>
          <w:szCs w:val="20"/>
        </w:rPr>
        <w:t>IX.I</w:t>
      </w:r>
      <w:r w:rsidRPr="002964A7">
        <w:rPr>
          <w:rFonts w:ascii="Verdana" w:eastAsia="Calibri" w:hAnsi="Verdana"/>
          <w:spacing w:val="-2"/>
          <w:sz w:val="20"/>
          <w:szCs w:val="20"/>
        </w:rPr>
        <w:t xml:space="preserve"> de </w:t>
      </w:r>
      <w:r w:rsidR="004C74EB">
        <w:rPr>
          <w:rFonts w:ascii="Verdana" w:eastAsia="Calibri" w:hAnsi="Verdana"/>
          <w:spacing w:val="-2"/>
          <w:sz w:val="20"/>
          <w:szCs w:val="20"/>
        </w:rPr>
        <w:t>esta</w:t>
      </w:r>
      <w:r w:rsidR="004C74EB" w:rsidRPr="002964A7">
        <w:rPr>
          <w:rFonts w:ascii="Verdana" w:eastAsia="Calibri" w:hAnsi="Verdana"/>
          <w:spacing w:val="-2"/>
          <w:sz w:val="20"/>
          <w:szCs w:val="20"/>
        </w:rPr>
        <w:t xml:space="preserve"> </w:t>
      </w:r>
      <w:r w:rsidRPr="002964A7">
        <w:rPr>
          <w:rFonts w:ascii="Verdana" w:eastAsia="Calibri" w:hAnsi="Verdana"/>
          <w:spacing w:val="-2"/>
          <w:sz w:val="20"/>
          <w:szCs w:val="20"/>
        </w:rPr>
        <w:t>Sentencia declaró la responsabilidad internacional del Perú por la desaparición forzada de quince víctimas del presente caso. El Estado, más allá de los argumentos expuestos (</w:t>
      </w:r>
      <w:r w:rsidRPr="002964A7">
        <w:rPr>
          <w:rFonts w:ascii="Verdana" w:eastAsia="Calibri" w:hAnsi="Verdana"/>
          <w:i/>
          <w:spacing w:val="-2"/>
          <w:sz w:val="20"/>
          <w:szCs w:val="20"/>
        </w:rPr>
        <w:t>supra</w:t>
      </w:r>
      <w:r w:rsidRPr="002964A7">
        <w:rPr>
          <w:rFonts w:ascii="Verdana" w:eastAsia="Calibri" w:hAnsi="Verdana"/>
          <w:spacing w:val="-2"/>
          <w:sz w:val="20"/>
          <w:szCs w:val="20"/>
        </w:rPr>
        <w:t xml:space="preserve"> párr. </w:t>
      </w:r>
      <w:r>
        <w:rPr>
          <w:rFonts w:ascii="Verdana" w:eastAsia="Calibri" w:hAnsi="Verdana"/>
          <w:spacing w:val="-2"/>
          <w:sz w:val="20"/>
          <w:szCs w:val="20"/>
        </w:rPr>
        <w:t>273</w:t>
      </w:r>
      <w:r w:rsidRPr="002964A7">
        <w:rPr>
          <w:rFonts w:ascii="Verdana" w:eastAsia="Calibri" w:hAnsi="Verdana"/>
          <w:spacing w:val="-2"/>
          <w:sz w:val="20"/>
          <w:szCs w:val="20"/>
        </w:rPr>
        <w:t>),</w:t>
      </w:r>
      <w:r w:rsidRPr="002964A7">
        <w:rPr>
          <w:rFonts w:ascii="Verdana" w:hAnsi="Verdana"/>
          <w:spacing w:val="-2"/>
          <w:sz w:val="20"/>
          <w:szCs w:val="20"/>
        </w:rPr>
        <w:t xml:space="preserve"> no aportó prueba en </w:t>
      </w:r>
      <w:r w:rsidRPr="002964A7">
        <w:rPr>
          <w:rFonts w:ascii="Verdana" w:hAnsi="Verdana"/>
          <w:spacing w:val="-2"/>
          <w:sz w:val="20"/>
          <w:szCs w:val="20"/>
          <w:lang w:val="es-PR"/>
        </w:rPr>
        <w:t>contrario</w:t>
      </w:r>
      <w:r w:rsidRPr="002964A7">
        <w:rPr>
          <w:rFonts w:ascii="Verdana" w:hAnsi="Verdana"/>
          <w:spacing w:val="-2"/>
          <w:sz w:val="20"/>
          <w:szCs w:val="20"/>
        </w:rPr>
        <w:t xml:space="preserve"> sobre la presunción </w:t>
      </w:r>
      <w:r w:rsidRPr="002964A7">
        <w:rPr>
          <w:rFonts w:ascii="Verdana" w:eastAsia="Calibri" w:hAnsi="Verdana"/>
          <w:i/>
          <w:spacing w:val="-2"/>
          <w:sz w:val="20"/>
          <w:szCs w:val="20"/>
        </w:rPr>
        <w:t>juris tantum</w:t>
      </w:r>
      <w:r w:rsidRPr="002964A7">
        <w:rPr>
          <w:rFonts w:ascii="Verdana" w:eastAsia="Calibri" w:hAnsi="Verdana"/>
          <w:spacing w:val="-2"/>
          <w:sz w:val="20"/>
          <w:szCs w:val="20"/>
        </w:rPr>
        <w:t xml:space="preserve"> respecto </w:t>
      </w:r>
      <w:r w:rsidRPr="002964A7">
        <w:rPr>
          <w:rFonts w:ascii="Verdana" w:hAnsi="Verdana"/>
          <w:spacing w:val="-2"/>
          <w:sz w:val="20"/>
          <w:szCs w:val="20"/>
        </w:rPr>
        <w:t xml:space="preserve">al </w:t>
      </w:r>
      <w:r w:rsidRPr="002964A7">
        <w:rPr>
          <w:rFonts w:ascii="Verdana" w:eastAsia="Calibri" w:hAnsi="Verdana"/>
          <w:spacing w:val="-2"/>
          <w:sz w:val="20"/>
          <w:szCs w:val="20"/>
        </w:rPr>
        <w:t>severo sufrimiento de los familiares</w:t>
      </w:r>
      <w:r w:rsidRPr="002964A7">
        <w:rPr>
          <w:rFonts w:ascii="Verdana" w:hAnsi="Verdana"/>
          <w:spacing w:val="-2"/>
          <w:sz w:val="20"/>
          <w:szCs w:val="20"/>
        </w:rPr>
        <w:t xml:space="preserve"> en </w:t>
      </w:r>
      <w:r w:rsidRPr="002964A7">
        <w:rPr>
          <w:rFonts w:ascii="Verdana" w:eastAsia="Calibri" w:hAnsi="Verdana"/>
          <w:spacing w:val="-2"/>
          <w:sz w:val="20"/>
          <w:szCs w:val="20"/>
        </w:rPr>
        <w:t>las circunstancias particulares del presente caso</w:t>
      </w:r>
      <w:r w:rsidRPr="002964A7">
        <w:rPr>
          <w:rFonts w:ascii="Verdana" w:hAnsi="Verdana"/>
          <w:spacing w:val="-2"/>
          <w:sz w:val="20"/>
          <w:szCs w:val="20"/>
        </w:rPr>
        <w:t xml:space="preserve">, y tampoco </w:t>
      </w:r>
      <w:r w:rsidRPr="002964A7">
        <w:rPr>
          <w:rFonts w:ascii="Verdana" w:eastAsia="Calibri" w:hAnsi="Verdana"/>
          <w:spacing w:val="-2"/>
          <w:sz w:val="20"/>
          <w:szCs w:val="20"/>
        </w:rPr>
        <w:t>desvirtuó la calidad de familiares de las víctimas desaparecidas</w:t>
      </w:r>
      <w:r w:rsidRPr="002964A7">
        <w:rPr>
          <w:rFonts w:ascii="Verdana" w:eastAsia="Calibri" w:hAnsi="Verdana" w:cs="Arial"/>
          <w:spacing w:val="-2"/>
          <w:sz w:val="20"/>
          <w:szCs w:val="20"/>
        </w:rPr>
        <w:t xml:space="preserve">. Por tanto, </w:t>
      </w:r>
      <w:r w:rsidRPr="002964A7">
        <w:rPr>
          <w:rFonts w:ascii="Verdana" w:eastAsia="Calibri" w:hAnsi="Verdana"/>
          <w:spacing w:val="-2"/>
          <w:sz w:val="20"/>
          <w:szCs w:val="20"/>
        </w:rPr>
        <w:t xml:space="preserve">la Corte considera suficientemente fundada la presunción del daño a su integridad psíquica y moral. </w:t>
      </w:r>
    </w:p>
    <w:p w:rsidR="00CA5D0C" w:rsidRPr="002964A7" w:rsidRDefault="00CA5D0C" w:rsidP="00CA5D0C">
      <w:pPr>
        <w:pStyle w:val="ListParagraph"/>
        <w:autoSpaceDE w:val="0"/>
        <w:autoSpaceDN w:val="0"/>
        <w:adjustRightInd w:val="0"/>
        <w:spacing w:after="0" w:line="240" w:lineRule="auto"/>
        <w:ind w:left="0"/>
        <w:jc w:val="both"/>
        <w:rPr>
          <w:rFonts w:ascii="Verdana" w:eastAsia="Calibri" w:hAnsi="Verdana" w:cs="Arial"/>
          <w:spacing w:val="-2"/>
          <w:sz w:val="20"/>
          <w:szCs w:val="20"/>
        </w:rPr>
      </w:pPr>
    </w:p>
    <w:p w:rsidR="00CA5D0C" w:rsidRPr="002964A7" w:rsidRDefault="00CA5D0C"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cs="Arial"/>
          <w:spacing w:val="-2"/>
          <w:sz w:val="20"/>
          <w:szCs w:val="20"/>
        </w:rPr>
      </w:pPr>
      <w:r w:rsidRPr="002964A7">
        <w:rPr>
          <w:rFonts w:ascii="Verdana" w:eastAsia="Calibri" w:hAnsi="Verdana"/>
          <w:spacing w:val="-2"/>
          <w:sz w:val="20"/>
          <w:szCs w:val="20"/>
        </w:rPr>
        <w:t xml:space="preserve">Sin perjuicio de lo anterior, </w:t>
      </w:r>
      <w:r w:rsidRPr="002964A7">
        <w:rPr>
          <w:rFonts w:ascii="Verdana" w:eastAsia="Calibri" w:hAnsi="Verdana" w:cs="Arial"/>
          <w:spacing w:val="-2"/>
          <w:sz w:val="20"/>
          <w:szCs w:val="20"/>
        </w:rPr>
        <w:t>l</w:t>
      </w:r>
      <w:r w:rsidRPr="002964A7">
        <w:rPr>
          <w:rFonts w:ascii="Verdana" w:eastAsia="Calibri" w:hAnsi="Verdana" w:cs="Univers"/>
          <w:spacing w:val="-2"/>
          <w:sz w:val="20"/>
          <w:szCs w:val="20"/>
          <w:lang w:val="es-ES"/>
        </w:rPr>
        <w:t xml:space="preserve">a Corte estima pertinente referirse a las afectaciones </w:t>
      </w:r>
      <w:r w:rsidRPr="002964A7">
        <w:rPr>
          <w:rFonts w:ascii="Verdana" w:eastAsia="Calibri" w:hAnsi="Verdana"/>
          <w:spacing w:val="-2"/>
          <w:sz w:val="20"/>
          <w:szCs w:val="20"/>
        </w:rPr>
        <w:t>sufridas</w:t>
      </w:r>
      <w:r w:rsidRPr="002964A7">
        <w:rPr>
          <w:rFonts w:ascii="Verdana" w:eastAsia="Calibri" w:hAnsi="Verdana" w:cs="Univers"/>
          <w:spacing w:val="-2"/>
          <w:sz w:val="20"/>
          <w:szCs w:val="20"/>
          <w:lang w:val="es-ES"/>
        </w:rPr>
        <w:t xml:space="preserve"> por estas personas a fin de establecer y dimensionar el alcance del daño causado.</w:t>
      </w:r>
      <w:r w:rsidRPr="002964A7">
        <w:rPr>
          <w:rFonts w:ascii="Verdana" w:eastAsia="Calibri" w:hAnsi="Verdana" w:cs="Arial"/>
          <w:spacing w:val="-2"/>
          <w:sz w:val="20"/>
          <w:szCs w:val="20"/>
        </w:rPr>
        <w:t xml:space="preserve"> Para ello, este Tribunal tomará en cuenta los hechos establecidos en </w:t>
      </w:r>
      <w:r>
        <w:rPr>
          <w:rFonts w:ascii="Verdana" w:eastAsia="Calibri" w:hAnsi="Verdana" w:cs="Arial"/>
          <w:spacing w:val="-2"/>
          <w:sz w:val="20"/>
          <w:szCs w:val="20"/>
        </w:rPr>
        <w:t>esta</w:t>
      </w:r>
      <w:r w:rsidRPr="002964A7">
        <w:rPr>
          <w:rFonts w:ascii="Verdana" w:eastAsia="Calibri" w:hAnsi="Verdana" w:cs="Arial"/>
          <w:spacing w:val="-2"/>
          <w:sz w:val="20"/>
          <w:szCs w:val="20"/>
        </w:rPr>
        <w:t xml:space="preserve"> Sentencia, las declaraciones de </w:t>
      </w:r>
      <w:r w:rsidRPr="002964A7">
        <w:rPr>
          <w:rFonts w:ascii="Verdana" w:hAnsi="Verdana" w:cs="Verdana"/>
          <w:spacing w:val="-2"/>
          <w:sz w:val="20"/>
          <w:szCs w:val="20"/>
        </w:rPr>
        <w:t xml:space="preserve">Zósimo Hilario Quispe, Marcelo Hilario Quispe, Gregorio Hilario Quispe, Víctor Carhuapoma de la Cruz, Abilio Hilario Quispe y </w:t>
      </w:r>
      <w:r w:rsidRPr="002F45DC">
        <w:rPr>
          <w:rFonts w:ascii="Verdana" w:hAnsi="Verdana"/>
          <w:spacing w:val="-2"/>
          <w:sz w:val="20"/>
          <w:szCs w:val="20"/>
        </w:rPr>
        <w:t>Marcelina Guillen Riveros</w:t>
      </w:r>
      <w:r w:rsidRPr="002964A7">
        <w:rPr>
          <w:rFonts w:ascii="Verdana" w:hAnsi="Verdana" w:cs="Verdana"/>
          <w:spacing w:val="-2"/>
          <w:sz w:val="20"/>
          <w:szCs w:val="20"/>
        </w:rPr>
        <w:t xml:space="preserve"> y </w:t>
      </w:r>
      <w:r w:rsidRPr="002964A7">
        <w:rPr>
          <w:rFonts w:ascii="Verdana" w:hAnsi="Verdana" w:cs="Arial"/>
          <w:spacing w:val="-2"/>
          <w:sz w:val="20"/>
          <w:szCs w:val="20"/>
        </w:rPr>
        <w:t>Zenón Cirilo Osnayo Tunque, así como el peritaje de Miryam Rivera Holguín.</w:t>
      </w:r>
    </w:p>
    <w:p w:rsidR="00CA5D0C" w:rsidRPr="002964A7" w:rsidRDefault="00CA5D0C" w:rsidP="00CA5D0C">
      <w:pPr>
        <w:pStyle w:val="ListParagraph"/>
        <w:autoSpaceDE w:val="0"/>
        <w:autoSpaceDN w:val="0"/>
        <w:adjustRightInd w:val="0"/>
        <w:spacing w:after="0" w:line="240" w:lineRule="auto"/>
        <w:ind w:left="0" w:right="15"/>
        <w:jc w:val="both"/>
        <w:rPr>
          <w:rFonts w:ascii="Verdana" w:eastAsia="Calibri" w:hAnsi="Verdana" w:cs="Arial"/>
          <w:spacing w:val="-2"/>
          <w:sz w:val="20"/>
          <w:szCs w:val="20"/>
        </w:rPr>
      </w:pPr>
    </w:p>
    <w:p w:rsidR="00CA5D0C" w:rsidRPr="00113154" w:rsidRDefault="00CA5D0C"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90652A">
        <w:rPr>
          <w:rFonts w:ascii="Verdana" w:hAnsi="Verdana" w:cs="Verdana"/>
          <w:spacing w:val="-2"/>
          <w:sz w:val="20"/>
          <w:szCs w:val="20"/>
        </w:rPr>
        <w:t>Particularmente, la Corte resalta</w:t>
      </w:r>
      <w:r w:rsidRPr="00113154">
        <w:rPr>
          <w:rFonts w:ascii="Verdana" w:eastAsia="Calibri" w:hAnsi="Verdana" w:cs="Arial"/>
          <w:spacing w:val="-2"/>
          <w:sz w:val="20"/>
          <w:szCs w:val="20"/>
        </w:rPr>
        <w:t xml:space="preserve"> la experiencia traumática que causó a los familiares de las 15 </w:t>
      </w:r>
      <w:r w:rsidRPr="00113154">
        <w:rPr>
          <w:rFonts w:ascii="Verdana" w:eastAsia="Calibri" w:hAnsi="Verdana"/>
          <w:spacing w:val="-2"/>
          <w:sz w:val="20"/>
          <w:szCs w:val="20"/>
        </w:rPr>
        <w:t>víctimas</w:t>
      </w:r>
      <w:r w:rsidRPr="00113154">
        <w:rPr>
          <w:rFonts w:ascii="Verdana" w:eastAsia="Calibri" w:hAnsi="Verdana" w:cs="Arial"/>
          <w:spacing w:val="-2"/>
          <w:sz w:val="20"/>
          <w:szCs w:val="20"/>
        </w:rPr>
        <w:t xml:space="preserve"> de la desaparición forzada, la noticia de lo sucedido tras el operativo militar y la incertidumbre de desconocer el paradero de sus seres queridos y </w:t>
      </w:r>
      <w:r w:rsidRPr="00113154">
        <w:rPr>
          <w:rFonts w:ascii="Verdana" w:hAnsi="Verdana" w:cs="Cambria"/>
          <w:spacing w:val="-2"/>
          <w:sz w:val="20"/>
          <w:szCs w:val="20"/>
        </w:rPr>
        <w:t>si los restos encontrados y los que aún pudieran quedar en la mina, son los de sus</w:t>
      </w:r>
      <w:r w:rsidRPr="00113154">
        <w:rPr>
          <w:rFonts w:ascii="Verdana" w:eastAsia="Calibri" w:hAnsi="Verdana" w:cs="Verdana"/>
          <w:spacing w:val="-2"/>
          <w:sz w:val="20"/>
          <w:szCs w:val="20"/>
        </w:rPr>
        <w:t xml:space="preserve"> </w:t>
      </w:r>
      <w:r w:rsidRPr="00113154">
        <w:rPr>
          <w:rFonts w:ascii="Verdana" w:hAnsi="Verdana" w:cs="Cambria"/>
          <w:spacing w:val="-2"/>
          <w:sz w:val="20"/>
          <w:szCs w:val="20"/>
        </w:rPr>
        <w:t>seres queridos o no.</w:t>
      </w:r>
      <w:r w:rsidRPr="00113154">
        <w:rPr>
          <w:rFonts w:ascii="Verdana" w:hAnsi="Verdana" w:cs="Arial"/>
          <w:spacing w:val="-2"/>
          <w:sz w:val="20"/>
          <w:szCs w:val="20"/>
        </w:rPr>
        <w:t xml:space="preserve"> </w:t>
      </w:r>
      <w:r w:rsidRPr="00113154">
        <w:rPr>
          <w:rFonts w:ascii="Verdana" w:hAnsi="Verdana" w:cs="Verdana"/>
          <w:spacing w:val="-2"/>
          <w:sz w:val="20"/>
          <w:szCs w:val="20"/>
        </w:rPr>
        <w:t xml:space="preserve">Respecto a los </w:t>
      </w:r>
      <w:r w:rsidRPr="00113154">
        <w:rPr>
          <w:rFonts w:ascii="Verdana" w:eastAsia="Calibri" w:hAnsi="Verdana" w:cs="Arial"/>
          <w:spacing w:val="-2"/>
          <w:sz w:val="20"/>
          <w:szCs w:val="20"/>
        </w:rPr>
        <w:t>señores</w:t>
      </w:r>
      <w:r w:rsidRPr="00113154">
        <w:rPr>
          <w:rFonts w:ascii="Verdana" w:hAnsi="Verdana" w:cs="Verdana"/>
          <w:spacing w:val="-2"/>
          <w:sz w:val="20"/>
          <w:szCs w:val="20"/>
        </w:rPr>
        <w:t xml:space="preserve"> </w:t>
      </w:r>
      <w:r w:rsidRPr="00113154">
        <w:rPr>
          <w:rFonts w:ascii="Verdana" w:hAnsi="Verdana" w:cs="Arial"/>
          <w:spacing w:val="-2"/>
          <w:sz w:val="20"/>
          <w:szCs w:val="20"/>
        </w:rPr>
        <w:t xml:space="preserve">Zenón Cirilo Osnayo Tunque, </w:t>
      </w:r>
      <w:r w:rsidRPr="00113154">
        <w:rPr>
          <w:rFonts w:ascii="Verdana" w:hAnsi="Verdana" w:cs="Verdana"/>
          <w:spacing w:val="-2"/>
          <w:sz w:val="20"/>
          <w:szCs w:val="20"/>
        </w:rPr>
        <w:t xml:space="preserve">Marcelo Hilario Quispe, Gregorio Hilario Quispe y </w:t>
      </w:r>
      <w:r w:rsidRPr="00113154">
        <w:rPr>
          <w:rFonts w:ascii="Verdana" w:hAnsi="Verdana"/>
          <w:spacing w:val="-2"/>
          <w:sz w:val="20"/>
          <w:szCs w:val="20"/>
          <w:lang w:val="es-GT"/>
        </w:rPr>
        <w:t>Viviano Hilario Mancha</w:t>
      </w:r>
      <w:r w:rsidRPr="00113154">
        <w:rPr>
          <w:rStyle w:val="FootnoteReference"/>
          <w:rFonts w:eastAsiaTheme="minorHAnsi" w:cs="Verdana"/>
          <w:spacing w:val="-2"/>
          <w:szCs w:val="20"/>
        </w:rPr>
        <w:footnoteReference w:id="331"/>
      </w:r>
      <w:r w:rsidRPr="00113154">
        <w:rPr>
          <w:rFonts w:ascii="Verdana" w:hAnsi="Verdana" w:cs="Arial"/>
          <w:spacing w:val="-2"/>
          <w:sz w:val="20"/>
          <w:szCs w:val="20"/>
        </w:rPr>
        <w:t>, es relevante</w:t>
      </w:r>
      <w:r w:rsidRPr="00113154">
        <w:rPr>
          <w:rFonts w:ascii="Verdana" w:eastAsia="Calibri" w:hAnsi="Verdana" w:cs="Arial"/>
          <w:spacing w:val="-2"/>
          <w:sz w:val="20"/>
          <w:szCs w:val="20"/>
        </w:rPr>
        <w:t xml:space="preserve"> el sufrimiento, angustia y desesperación que les causó observar en </w:t>
      </w:r>
      <w:r w:rsidRPr="00113154">
        <w:rPr>
          <w:rFonts w:ascii="Verdana" w:hAnsi="Verdana"/>
          <w:spacing w:val="-2"/>
          <w:sz w:val="20"/>
          <w:szCs w:val="20"/>
          <w:lang w:val="es-GT"/>
        </w:rPr>
        <w:t xml:space="preserve">la mina </w:t>
      </w:r>
      <w:r w:rsidRPr="00113154">
        <w:rPr>
          <w:rFonts w:ascii="Verdana" w:eastAsia="Calibri" w:hAnsi="Verdana" w:cs="Arial"/>
          <w:spacing w:val="-2"/>
          <w:sz w:val="20"/>
          <w:szCs w:val="20"/>
        </w:rPr>
        <w:t xml:space="preserve">los </w:t>
      </w:r>
      <w:r w:rsidRPr="00113154">
        <w:rPr>
          <w:rFonts w:ascii="Verdana" w:hAnsi="Verdana"/>
          <w:spacing w:val="-2"/>
          <w:sz w:val="20"/>
          <w:szCs w:val="20"/>
          <w:lang w:val="es-GT"/>
        </w:rPr>
        <w:t xml:space="preserve">restos de cuerpos humanos, reconocer algunos de sus familiares e identificar parte de sus pertenencias y, posteriormente, </w:t>
      </w:r>
      <w:r w:rsidRPr="00113154">
        <w:rPr>
          <w:rFonts w:ascii="Verdana" w:eastAsia="Calibri" w:hAnsi="Verdana" w:cs="Arial"/>
          <w:spacing w:val="-2"/>
          <w:sz w:val="20"/>
          <w:szCs w:val="20"/>
        </w:rPr>
        <w:t>el impacto de saber que dicha evidencia fue destruida lográndose únicamente encontrar</w:t>
      </w:r>
      <w:r w:rsidRPr="00113154">
        <w:rPr>
          <w:rFonts w:ascii="Verdana" w:hAnsi="Verdana" w:cs="Verdana"/>
          <w:spacing w:val="-2"/>
          <w:sz w:val="20"/>
          <w:szCs w:val="20"/>
        </w:rPr>
        <w:t xml:space="preserve"> </w:t>
      </w:r>
      <w:r w:rsidRPr="00113154">
        <w:rPr>
          <w:rFonts w:ascii="Verdana" w:hAnsi="Verdana"/>
          <w:iCs/>
          <w:spacing w:val="-2"/>
          <w:sz w:val="20"/>
          <w:szCs w:val="20"/>
        </w:rPr>
        <w:t xml:space="preserve">diversas partes y órganos desperdigados por el lugar, sin que se pudiera reconocer ningún cuerpo ni pertenencias de las víctimas </w:t>
      </w:r>
      <w:r w:rsidRPr="00113154">
        <w:rPr>
          <w:rFonts w:ascii="Verdana" w:hAnsi="Verdana"/>
          <w:spacing w:val="-2"/>
          <w:sz w:val="20"/>
          <w:szCs w:val="20"/>
        </w:rPr>
        <w:t>(</w:t>
      </w:r>
      <w:r w:rsidRPr="00113154">
        <w:rPr>
          <w:rFonts w:ascii="Verdana" w:hAnsi="Verdana"/>
          <w:i/>
          <w:spacing w:val="-2"/>
          <w:sz w:val="20"/>
          <w:szCs w:val="20"/>
        </w:rPr>
        <w:t>supra</w:t>
      </w:r>
      <w:r w:rsidRPr="00113154">
        <w:rPr>
          <w:rFonts w:ascii="Verdana" w:hAnsi="Verdana"/>
          <w:spacing w:val="-2"/>
          <w:sz w:val="20"/>
          <w:szCs w:val="20"/>
        </w:rPr>
        <w:t xml:space="preserve"> párrs. 93 y 94)</w:t>
      </w:r>
      <w:r w:rsidRPr="00113154">
        <w:rPr>
          <w:rFonts w:ascii="Verdana" w:hAnsi="Verdana"/>
          <w:iCs/>
          <w:spacing w:val="-2"/>
          <w:sz w:val="20"/>
          <w:szCs w:val="20"/>
        </w:rPr>
        <w:t>.</w:t>
      </w:r>
      <w:r w:rsidRPr="00113154">
        <w:rPr>
          <w:rFonts w:ascii="Verdana" w:hAnsi="Verdana" w:cs="Verdana"/>
          <w:spacing w:val="-2"/>
          <w:sz w:val="20"/>
          <w:szCs w:val="20"/>
        </w:rPr>
        <w:t xml:space="preserve"> Asimismo, la Corte reconoce el dolor causado a </w:t>
      </w:r>
      <w:r w:rsidRPr="00113154">
        <w:rPr>
          <w:rFonts w:ascii="Verdana" w:hAnsi="Verdana" w:cs="Arial"/>
          <w:spacing w:val="-2"/>
          <w:sz w:val="20"/>
          <w:szCs w:val="20"/>
        </w:rPr>
        <w:t xml:space="preserve">los señores </w:t>
      </w:r>
      <w:r w:rsidRPr="00113154">
        <w:rPr>
          <w:rFonts w:ascii="Verdana" w:hAnsi="Verdana" w:cs="Arial"/>
          <w:spacing w:val="-2"/>
          <w:sz w:val="20"/>
          <w:szCs w:val="20"/>
          <w:lang w:val="es-GT"/>
        </w:rPr>
        <w:t xml:space="preserve">Zósimo Hilario Quispe, </w:t>
      </w:r>
      <w:r w:rsidRPr="00113154">
        <w:rPr>
          <w:rFonts w:ascii="Verdana" w:hAnsi="Verdana"/>
          <w:spacing w:val="-2"/>
          <w:sz w:val="20"/>
          <w:szCs w:val="20"/>
          <w:lang w:val="es-GT"/>
        </w:rPr>
        <w:t>Viviano Hilario Mancha</w:t>
      </w:r>
      <w:r w:rsidRPr="00113154">
        <w:rPr>
          <w:rStyle w:val="FootnoteReference"/>
          <w:rFonts w:eastAsiaTheme="minorHAnsi" w:cs="Arial"/>
          <w:spacing w:val="-2"/>
          <w:szCs w:val="20"/>
          <w:lang w:val="es-GT"/>
        </w:rPr>
        <w:footnoteReference w:id="332"/>
      </w:r>
      <w:r w:rsidRPr="00113154">
        <w:rPr>
          <w:rFonts w:ascii="Verdana" w:hAnsi="Verdana"/>
          <w:spacing w:val="-2"/>
          <w:sz w:val="20"/>
          <w:szCs w:val="20"/>
          <w:lang w:val="es-GT"/>
        </w:rPr>
        <w:t xml:space="preserve"> y </w:t>
      </w:r>
      <w:r w:rsidRPr="00113154">
        <w:rPr>
          <w:rFonts w:ascii="Verdana" w:eastAsia="HiddenHorzOCR" w:hAnsi="Verdana" w:cs="Arial"/>
          <w:spacing w:val="-2"/>
          <w:sz w:val="20"/>
          <w:szCs w:val="20"/>
          <w:lang w:val="es-GT"/>
        </w:rPr>
        <w:t xml:space="preserve">Alejandro Huamaní Robles, quienes presentaron ante las autoridades estatales diversas </w:t>
      </w:r>
      <w:r w:rsidRPr="00113154">
        <w:rPr>
          <w:rFonts w:ascii="Verdana" w:hAnsi="Verdana" w:cs="Arial"/>
          <w:spacing w:val="-2"/>
          <w:sz w:val="20"/>
          <w:szCs w:val="20"/>
        </w:rPr>
        <w:t xml:space="preserve">denuncias </w:t>
      </w:r>
      <w:r w:rsidRPr="00113154">
        <w:rPr>
          <w:rFonts w:ascii="Verdana" w:hAnsi="Verdana"/>
          <w:spacing w:val="-2"/>
          <w:sz w:val="20"/>
          <w:szCs w:val="20"/>
        </w:rPr>
        <w:t>durante los primeros días de ocurridos los hechos</w:t>
      </w:r>
      <w:r w:rsidRPr="00113154">
        <w:rPr>
          <w:rFonts w:ascii="Verdana" w:hAnsi="Verdana" w:cs="Arial"/>
          <w:spacing w:val="-2"/>
          <w:sz w:val="20"/>
          <w:szCs w:val="20"/>
        </w:rPr>
        <w:t xml:space="preserve"> y, en respuesta, se enfrentaron a la </w:t>
      </w:r>
      <w:r w:rsidRPr="00113154">
        <w:rPr>
          <w:rFonts w:ascii="Verdana" w:hAnsi="Verdana"/>
          <w:spacing w:val="-2"/>
          <w:sz w:val="20"/>
          <w:szCs w:val="20"/>
        </w:rPr>
        <w:t>negativa de las autoridades del Ejército de reconocer los hechos (</w:t>
      </w:r>
      <w:r w:rsidRPr="00113154">
        <w:rPr>
          <w:rFonts w:ascii="Verdana" w:hAnsi="Verdana"/>
          <w:i/>
          <w:spacing w:val="-2"/>
          <w:sz w:val="20"/>
          <w:szCs w:val="20"/>
        </w:rPr>
        <w:t>supra</w:t>
      </w:r>
      <w:r w:rsidRPr="00113154">
        <w:rPr>
          <w:rFonts w:ascii="Verdana" w:hAnsi="Verdana"/>
          <w:spacing w:val="-2"/>
          <w:sz w:val="20"/>
          <w:szCs w:val="20"/>
        </w:rPr>
        <w:t xml:space="preserve"> párrs. 95 a 103).</w:t>
      </w:r>
      <w:r w:rsidRPr="00113154">
        <w:rPr>
          <w:rFonts w:ascii="Verdana" w:hAnsi="Verdana" w:cs="Arial"/>
          <w:spacing w:val="-2"/>
          <w:sz w:val="20"/>
          <w:szCs w:val="20"/>
        </w:rPr>
        <w:t xml:space="preserve"> </w:t>
      </w:r>
    </w:p>
    <w:p w:rsidR="00CA5D0C" w:rsidRPr="00113154" w:rsidRDefault="00CA5D0C" w:rsidP="00CA5D0C">
      <w:pPr>
        <w:pStyle w:val="ListParagraph"/>
        <w:autoSpaceDE w:val="0"/>
        <w:autoSpaceDN w:val="0"/>
        <w:adjustRightInd w:val="0"/>
        <w:spacing w:after="0" w:line="240" w:lineRule="auto"/>
        <w:ind w:left="0"/>
        <w:jc w:val="both"/>
        <w:rPr>
          <w:rFonts w:ascii="Verdana" w:hAnsi="Verdana" w:cs="Arial"/>
          <w:spacing w:val="-2"/>
          <w:sz w:val="20"/>
          <w:szCs w:val="20"/>
        </w:rPr>
      </w:pPr>
    </w:p>
    <w:p w:rsidR="00CA5D0C" w:rsidRPr="00113154" w:rsidRDefault="00CA5D0C"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113154">
        <w:rPr>
          <w:rFonts w:ascii="Verdana" w:hAnsi="Verdana" w:cs="Helvetica"/>
          <w:bCs/>
          <w:spacing w:val="-2"/>
          <w:sz w:val="20"/>
          <w:szCs w:val="20"/>
          <w:lang w:val="es-GT"/>
        </w:rPr>
        <w:t>El señor Víctor</w:t>
      </w:r>
      <w:r w:rsidRPr="00113154" w:rsidDel="008B17C5">
        <w:rPr>
          <w:rFonts w:ascii="Verdana" w:hAnsi="Verdana" w:cs="Helvetica"/>
          <w:bCs/>
          <w:spacing w:val="-2"/>
          <w:sz w:val="20"/>
          <w:szCs w:val="20"/>
          <w:lang w:val="es-GT"/>
        </w:rPr>
        <w:t xml:space="preserve"> Carhuapoma de la Cruz</w:t>
      </w:r>
      <w:r w:rsidRPr="00113154">
        <w:rPr>
          <w:rFonts w:ascii="Verdana" w:hAnsi="Verdana" w:cs="Helvetica"/>
          <w:bCs/>
          <w:spacing w:val="-2"/>
          <w:sz w:val="20"/>
          <w:szCs w:val="20"/>
          <w:lang w:val="es-GT"/>
        </w:rPr>
        <w:t>,</w:t>
      </w:r>
      <w:r w:rsidRPr="00113154">
        <w:rPr>
          <w:rFonts w:ascii="Verdana" w:hAnsi="Verdana" w:cs="Arial"/>
          <w:spacing w:val="-2"/>
          <w:sz w:val="20"/>
          <w:szCs w:val="20"/>
        </w:rPr>
        <w:t xml:space="preserve"> hermano de</w:t>
      </w:r>
      <w:r w:rsidRPr="00113154">
        <w:rPr>
          <w:rFonts w:ascii="Verdana" w:hAnsi="Verdana" w:cs="Helvetica"/>
          <w:bCs/>
          <w:spacing w:val="-2"/>
          <w:sz w:val="20"/>
          <w:szCs w:val="20"/>
          <w:lang w:val="es-GT"/>
        </w:rPr>
        <w:t xml:space="preserve"> </w:t>
      </w:r>
      <w:r w:rsidRPr="00113154">
        <w:rPr>
          <w:rFonts w:ascii="Verdana" w:hAnsi="Verdana" w:cs="Arial"/>
          <w:iCs/>
          <w:spacing w:val="-2"/>
          <w:sz w:val="20"/>
          <w:szCs w:val="20"/>
        </w:rPr>
        <w:t xml:space="preserve">Mercedes Carhuapoma de la Cruz, </w:t>
      </w:r>
      <w:r w:rsidRPr="00113154">
        <w:rPr>
          <w:rFonts w:ascii="Verdana" w:hAnsi="Verdana" w:cs="Helvetica"/>
          <w:bCs/>
          <w:spacing w:val="-2"/>
          <w:sz w:val="20"/>
          <w:szCs w:val="20"/>
          <w:lang w:val="es-GT"/>
        </w:rPr>
        <w:t xml:space="preserve">relató a la Corte que </w:t>
      </w:r>
      <w:r w:rsidRPr="00113154">
        <w:rPr>
          <w:rFonts w:ascii="Verdana" w:hAnsi="Verdana" w:cs="Arial"/>
          <w:spacing w:val="-2"/>
          <w:sz w:val="20"/>
          <w:szCs w:val="20"/>
        </w:rPr>
        <w:t xml:space="preserve">los hechos “[m]e ha[n] afectado emocional y económicamente porque también hemos perdido muchas cosas que teníamos […]. Siempre estoy triste, deprimido, tengo mucho temor. No vivo una vida normal ni tranquila. A veces me desespero porque quiero que se solucionen rápidamente las cosas, entonces emocionalmente estoy </w:t>
      </w:r>
      <w:r w:rsidRPr="00113154">
        <w:rPr>
          <w:rFonts w:ascii="Verdana" w:hAnsi="Verdana" w:cs="Arial"/>
          <w:spacing w:val="-2"/>
          <w:sz w:val="20"/>
          <w:szCs w:val="20"/>
        </w:rPr>
        <w:lastRenderedPageBreak/>
        <w:t>mal. Mi madre [</w:t>
      </w:r>
      <w:r w:rsidRPr="00113154">
        <w:rPr>
          <w:rFonts w:ascii="Verdana" w:hAnsi="Verdana" w:cs="Arial"/>
          <w:spacing w:val="-2"/>
          <w:sz w:val="20"/>
          <w:szCs w:val="20"/>
          <w:lang w:val="es-GT"/>
        </w:rPr>
        <w:t>Ana Carhuapoma de la Cruz]</w:t>
      </w:r>
      <w:r w:rsidRPr="00113154">
        <w:rPr>
          <w:rFonts w:ascii="Verdana" w:hAnsi="Verdana" w:cs="Arial"/>
          <w:spacing w:val="-2"/>
          <w:sz w:val="20"/>
          <w:szCs w:val="20"/>
        </w:rPr>
        <w:t xml:space="preserve"> también estaba emocionalmente mal”</w:t>
      </w:r>
      <w:r w:rsidRPr="00113154">
        <w:rPr>
          <w:rStyle w:val="FootnoteReference"/>
          <w:rFonts w:eastAsiaTheme="minorHAnsi" w:cs="Arial"/>
          <w:spacing w:val="-2"/>
          <w:szCs w:val="20"/>
        </w:rPr>
        <w:footnoteReference w:id="333"/>
      </w:r>
      <w:r w:rsidRPr="00113154">
        <w:rPr>
          <w:rFonts w:ascii="Verdana" w:hAnsi="Verdana" w:cs="Arial"/>
          <w:spacing w:val="-2"/>
          <w:sz w:val="20"/>
          <w:szCs w:val="20"/>
        </w:rPr>
        <w:t>.</w:t>
      </w:r>
      <w:r w:rsidRPr="00113154">
        <w:rPr>
          <w:rFonts w:ascii="Verdana" w:hAnsi="Verdana" w:cs="Verdana"/>
          <w:spacing w:val="-2"/>
          <w:sz w:val="20"/>
          <w:szCs w:val="20"/>
        </w:rPr>
        <w:t xml:space="preserve"> </w:t>
      </w:r>
      <w:r w:rsidRPr="00113154">
        <w:rPr>
          <w:rFonts w:ascii="Verdana" w:eastAsia="Calibri" w:hAnsi="Verdana" w:cs="Arial"/>
          <w:spacing w:val="-2"/>
          <w:sz w:val="20"/>
          <w:szCs w:val="20"/>
        </w:rPr>
        <w:t xml:space="preserve">En el caso de </w:t>
      </w:r>
      <w:r w:rsidRPr="00113154">
        <w:rPr>
          <w:rFonts w:ascii="Verdana" w:hAnsi="Verdana" w:cs="Verdana"/>
          <w:spacing w:val="-2"/>
          <w:sz w:val="20"/>
          <w:szCs w:val="20"/>
        </w:rPr>
        <w:t xml:space="preserve">Abilio Hilario Quispe, no conoció ni recuerda a su padre y sus dos hermanos, </w:t>
      </w:r>
      <w:r w:rsidRPr="00113154">
        <w:rPr>
          <w:rFonts w:ascii="Verdana" w:hAnsi="Verdana"/>
          <w:spacing w:val="-2"/>
          <w:sz w:val="20"/>
          <w:szCs w:val="20"/>
          <w:lang w:val="es-GT"/>
        </w:rPr>
        <w:t>Ramón</w:t>
      </w:r>
      <w:r w:rsidRPr="00113154">
        <w:rPr>
          <w:rFonts w:ascii="Verdana" w:hAnsi="Verdana" w:cs="Arial"/>
          <w:spacing w:val="-2"/>
          <w:sz w:val="20"/>
          <w:szCs w:val="20"/>
          <w:lang w:val="es-GT"/>
        </w:rPr>
        <w:t xml:space="preserve"> Hilario Morán, Raúl y Héctor Hilario Guillén,</w:t>
      </w:r>
      <w:r w:rsidRPr="00113154">
        <w:rPr>
          <w:rFonts w:ascii="Verdana" w:hAnsi="Verdana" w:cs="Verdana"/>
          <w:spacing w:val="-2"/>
          <w:sz w:val="20"/>
          <w:szCs w:val="20"/>
        </w:rPr>
        <w:t xml:space="preserve"> pues los hechos ocurrieron cuando tenía tan solo dos años de edad.</w:t>
      </w:r>
      <w:r w:rsidRPr="00113154">
        <w:rPr>
          <w:rFonts w:ascii="Verdana" w:hAnsi="Verdana" w:cs="Arial"/>
          <w:spacing w:val="-2"/>
          <w:sz w:val="20"/>
          <w:szCs w:val="20"/>
        </w:rPr>
        <w:t xml:space="preserve"> En su declaración ante la Corte expresó, “[m]i vida hubiera sido mejor si esto no hubiera pasado. Hubiese culminado mis estudios pues quedé desamparado totalmente ya que mi padre era quien me brindaba mis alimentos, al quedar sola mi mamá solo pude estudiar hasta el 4° grado de primaria y, una </w:t>
      </w:r>
      <w:r w:rsidRPr="00113154">
        <w:rPr>
          <w:rFonts w:ascii="Verdana" w:hAnsi="Verdana" w:cs="Arial"/>
          <w:iCs/>
          <w:spacing w:val="-2"/>
          <w:sz w:val="20"/>
          <w:szCs w:val="20"/>
        </w:rPr>
        <w:t xml:space="preserve">vez </w:t>
      </w:r>
      <w:r w:rsidRPr="00113154">
        <w:rPr>
          <w:rFonts w:ascii="Verdana" w:hAnsi="Verdana" w:cs="Arial"/>
          <w:spacing w:val="-2"/>
          <w:sz w:val="20"/>
          <w:szCs w:val="20"/>
        </w:rPr>
        <w:t>muerta [cuando tenía 12 años], he tenido que trabajar desde muy pequeño para sobrevivir. Mi familia fue separada y nunca he podido hablar, reír, jugar ni expresar amor a mi padre y hermanos”</w:t>
      </w:r>
      <w:r w:rsidRPr="00113154">
        <w:rPr>
          <w:rStyle w:val="FootnoteReference"/>
          <w:rFonts w:eastAsiaTheme="minorHAnsi" w:cs="Verdana"/>
          <w:spacing w:val="-2"/>
          <w:szCs w:val="20"/>
        </w:rPr>
        <w:footnoteReference w:id="334"/>
      </w:r>
      <w:r w:rsidRPr="00113154">
        <w:rPr>
          <w:rFonts w:ascii="Verdana" w:hAnsi="Verdana" w:cs="Verdana"/>
          <w:spacing w:val="-2"/>
          <w:sz w:val="20"/>
          <w:szCs w:val="20"/>
        </w:rPr>
        <w:t xml:space="preserve">. </w:t>
      </w:r>
    </w:p>
    <w:p w:rsidR="00CA5D0C" w:rsidRPr="00113154" w:rsidRDefault="00CA5D0C" w:rsidP="00CA5D0C">
      <w:pPr>
        <w:pStyle w:val="ListParagraph"/>
        <w:autoSpaceDE w:val="0"/>
        <w:autoSpaceDN w:val="0"/>
        <w:adjustRightInd w:val="0"/>
        <w:spacing w:after="0" w:line="240" w:lineRule="auto"/>
        <w:ind w:left="0"/>
        <w:jc w:val="both"/>
        <w:rPr>
          <w:rFonts w:ascii="Verdana" w:hAnsi="Verdana" w:cs="Arial"/>
          <w:spacing w:val="-2"/>
          <w:sz w:val="20"/>
          <w:szCs w:val="20"/>
        </w:rPr>
      </w:pPr>
    </w:p>
    <w:p w:rsidR="00CA5D0C" w:rsidRPr="00113154" w:rsidRDefault="00CA5D0C"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113154">
        <w:rPr>
          <w:rFonts w:ascii="Verdana" w:hAnsi="Verdana" w:cs="Verdana"/>
          <w:spacing w:val="-2"/>
          <w:sz w:val="20"/>
          <w:szCs w:val="20"/>
        </w:rPr>
        <w:t xml:space="preserve">Por su parte, </w:t>
      </w:r>
      <w:r w:rsidRPr="00113154">
        <w:rPr>
          <w:rFonts w:ascii="Verdana" w:hAnsi="Verdana"/>
          <w:spacing w:val="-2"/>
          <w:sz w:val="20"/>
          <w:szCs w:val="20"/>
        </w:rPr>
        <w:t xml:space="preserve">Marcelina Guillen Riveros explicó en su declaración ante este Tribunal </w:t>
      </w:r>
      <w:r w:rsidRPr="00113154">
        <w:rPr>
          <w:rFonts w:ascii="Verdana" w:hAnsi="Verdana" w:cs="Arial"/>
          <w:spacing w:val="-2"/>
          <w:sz w:val="20"/>
          <w:szCs w:val="20"/>
        </w:rPr>
        <w:t>que “[l]a muerte de mi hermana [</w:t>
      </w:r>
      <w:r w:rsidRPr="00113154">
        <w:rPr>
          <w:rFonts w:ascii="Verdana" w:hAnsi="Verdana" w:cs="Arial"/>
          <w:iCs/>
          <w:spacing w:val="-2"/>
          <w:sz w:val="20"/>
          <w:szCs w:val="20"/>
        </w:rPr>
        <w:t>Dionicia Guillén Riveros</w:t>
      </w:r>
      <w:r w:rsidRPr="00113154">
        <w:rPr>
          <w:rFonts w:ascii="Verdana" w:hAnsi="Verdana" w:cs="Arial"/>
          <w:spacing w:val="-2"/>
          <w:sz w:val="20"/>
          <w:szCs w:val="20"/>
        </w:rPr>
        <w:t xml:space="preserve">] me puso muy triste […] nunca pens[é] que se iba a perder así, hasta ahora creo que la </w:t>
      </w:r>
      <w:r w:rsidRPr="00113154">
        <w:rPr>
          <w:rFonts w:ascii="Verdana" w:hAnsi="Verdana" w:cs="Arial"/>
          <w:iCs/>
          <w:spacing w:val="-2"/>
          <w:sz w:val="20"/>
          <w:szCs w:val="20"/>
        </w:rPr>
        <w:t xml:space="preserve">voy </w:t>
      </w:r>
      <w:r w:rsidRPr="00113154">
        <w:rPr>
          <w:rFonts w:ascii="Verdana" w:hAnsi="Verdana" w:cs="Arial"/>
          <w:spacing w:val="-2"/>
          <w:sz w:val="20"/>
          <w:szCs w:val="20"/>
        </w:rPr>
        <w:t xml:space="preserve">a encontrar pues no tiene tumba. Mi mamá Victoria Riveros Valencia murió por derrame cerebral al estar triste todo el tiempo por no encontrar a mi hermana, nuestra familia ya no ha sido la misma extrañamos a mi hermana, mis padres murieron sin conocer la tumba de ella”. “Yo nunca denuncié lo ocurrido por miedo, porque me han dicho que nosotros nunca estaremos a salvo. Sinceramente, al enterarme de todo eso me sentía como en un sueño. Todavía no hemos hallado sus restos y no hemos podido enterrar nada[,] hasta el momento no nos han dejado. </w:t>
      </w:r>
      <w:r w:rsidRPr="00113154">
        <w:rPr>
          <w:rFonts w:ascii="Verdana" w:hAnsi="Verdana" w:cs="Arial"/>
          <w:iCs/>
          <w:spacing w:val="-2"/>
          <w:sz w:val="20"/>
          <w:szCs w:val="20"/>
        </w:rPr>
        <w:t xml:space="preserve">Tenía </w:t>
      </w:r>
      <w:r w:rsidRPr="00113154">
        <w:rPr>
          <w:rFonts w:ascii="Verdana" w:hAnsi="Verdana" w:cs="Arial"/>
          <w:spacing w:val="-2"/>
          <w:sz w:val="20"/>
          <w:szCs w:val="20"/>
        </w:rPr>
        <w:t>mucho miedo”</w:t>
      </w:r>
      <w:r w:rsidRPr="00113154">
        <w:rPr>
          <w:rStyle w:val="FootnoteReference"/>
          <w:rFonts w:eastAsiaTheme="minorHAnsi" w:cs="Arial"/>
          <w:spacing w:val="-2"/>
          <w:szCs w:val="20"/>
        </w:rPr>
        <w:footnoteReference w:id="335"/>
      </w:r>
      <w:r w:rsidRPr="00113154">
        <w:rPr>
          <w:rFonts w:ascii="Verdana" w:hAnsi="Verdana" w:cs="Arial"/>
          <w:spacing w:val="-2"/>
          <w:sz w:val="20"/>
          <w:szCs w:val="20"/>
        </w:rPr>
        <w:t>.</w:t>
      </w:r>
    </w:p>
    <w:p w:rsidR="00CA5D0C" w:rsidRPr="00113154" w:rsidRDefault="00CA5D0C" w:rsidP="00CA5D0C">
      <w:pPr>
        <w:pStyle w:val="ListParagraph"/>
        <w:rPr>
          <w:rFonts w:ascii="Verdana" w:hAnsi="Verdana"/>
          <w:spacing w:val="-2"/>
          <w:sz w:val="20"/>
          <w:szCs w:val="20"/>
        </w:rPr>
      </w:pPr>
    </w:p>
    <w:p w:rsidR="00CA5D0C" w:rsidRPr="00AB496F" w:rsidRDefault="00CA5D0C"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b/>
          <w:sz w:val="20"/>
        </w:rPr>
      </w:pPr>
      <w:r w:rsidRPr="00113154">
        <w:rPr>
          <w:rFonts w:ascii="Verdana" w:hAnsi="Verdana"/>
          <w:spacing w:val="-2"/>
          <w:sz w:val="20"/>
          <w:szCs w:val="20"/>
        </w:rPr>
        <w:t xml:space="preserve">Por todo lo anterior, el </w:t>
      </w:r>
      <w:r w:rsidRPr="00CA5D0C">
        <w:rPr>
          <w:rFonts w:ascii="Verdana" w:hAnsi="Verdana" w:cs="Arial"/>
          <w:spacing w:val="-2"/>
          <w:sz w:val="20"/>
          <w:szCs w:val="20"/>
        </w:rPr>
        <w:t>Tribunal</w:t>
      </w:r>
      <w:r w:rsidRPr="00113154">
        <w:rPr>
          <w:rFonts w:ascii="Verdana" w:hAnsi="Verdana"/>
          <w:spacing w:val="-2"/>
          <w:sz w:val="20"/>
          <w:szCs w:val="20"/>
        </w:rPr>
        <w:t xml:space="preserve"> concluye que el Estado violó el derecho a la integridad personal </w:t>
      </w:r>
      <w:r w:rsidRPr="00113154">
        <w:rPr>
          <w:rFonts w:ascii="Verdana" w:eastAsia="Calibri" w:hAnsi="Verdana"/>
          <w:spacing w:val="-2"/>
          <w:sz w:val="20"/>
          <w:szCs w:val="20"/>
        </w:rPr>
        <w:t>establecido</w:t>
      </w:r>
      <w:r w:rsidRPr="00113154">
        <w:rPr>
          <w:rFonts w:ascii="Verdana" w:hAnsi="Verdana"/>
          <w:spacing w:val="-2"/>
          <w:sz w:val="20"/>
          <w:szCs w:val="20"/>
        </w:rPr>
        <w:t xml:space="preserve"> en el artículo 5.1 de la Convención Americana, en relación con el artículo 1.1 del mismo instrumento, en </w:t>
      </w:r>
      <w:r w:rsidRPr="00961D9C">
        <w:rPr>
          <w:rFonts w:ascii="Verdana" w:hAnsi="Verdana"/>
          <w:spacing w:val="-2"/>
          <w:sz w:val="20"/>
          <w:szCs w:val="20"/>
        </w:rPr>
        <w:t xml:space="preserve">perjuicio de Zósimo Hilario Quispe, Marcelo Hilario Quispe, Gregorio Hilario Quispe, Zenón Cirilo Osnayo Tunque, Víctor Carhuapoma de la Cruz, </w:t>
      </w:r>
      <w:r w:rsidRPr="00961D9C">
        <w:rPr>
          <w:rFonts w:ascii="Verdana" w:hAnsi="Verdana" w:cs="Verdana"/>
          <w:spacing w:val="-2"/>
          <w:sz w:val="20"/>
          <w:szCs w:val="20"/>
        </w:rPr>
        <w:t>Abilio Hilario Quispe,</w:t>
      </w:r>
      <w:r w:rsidRPr="00961D9C">
        <w:rPr>
          <w:rFonts w:ascii="Verdana" w:hAnsi="Verdana"/>
          <w:spacing w:val="-2"/>
          <w:sz w:val="20"/>
          <w:szCs w:val="20"/>
        </w:rPr>
        <w:t xml:space="preserve"> Marcelina Guillen Riveros y </w:t>
      </w:r>
      <w:r w:rsidRPr="00961D9C">
        <w:rPr>
          <w:rFonts w:ascii="Verdana" w:hAnsi="Verdana" w:cs="Arial"/>
          <w:spacing w:val="-2"/>
          <w:sz w:val="20"/>
          <w:szCs w:val="20"/>
        </w:rPr>
        <w:t xml:space="preserve">Marino Huamaní Vergara, así como de las personas fallecidas con posterioridad al año 2000, </w:t>
      </w:r>
      <w:r w:rsidRPr="00961D9C">
        <w:rPr>
          <w:rFonts w:ascii="Verdana" w:hAnsi="Verdana"/>
          <w:spacing w:val="-2"/>
          <w:sz w:val="20"/>
          <w:szCs w:val="20"/>
        </w:rPr>
        <w:t>Ana de la Cruz Carhuapoma</w:t>
      </w:r>
      <w:r w:rsidRPr="00961D9C">
        <w:rPr>
          <w:rFonts w:ascii="Verdana" w:hAnsi="Verdana"/>
          <w:bCs/>
          <w:spacing w:val="-2"/>
          <w:sz w:val="20"/>
          <w:szCs w:val="20"/>
          <w:lang w:val="es-VE"/>
        </w:rPr>
        <w:t>,</w:t>
      </w:r>
      <w:r w:rsidRPr="00961D9C">
        <w:rPr>
          <w:rFonts w:ascii="Verdana" w:hAnsi="Verdana"/>
          <w:spacing w:val="-2"/>
          <w:sz w:val="20"/>
          <w:szCs w:val="20"/>
        </w:rPr>
        <w:t xml:space="preserve"> Viviano Hilario Mancha, Dolores Morán Paucar, Justiniano Guillén Ccanto</w:t>
      </w:r>
      <w:r w:rsidRPr="00961D9C">
        <w:rPr>
          <w:rFonts w:ascii="Verdana" w:hAnsi="Verdana" w:cs="Verdana"/>
          <w:spacing w:val="-2"/>
          <w:sz w:val="20"/>
          <w:szCs w:val="20"/>
        </w:rPr>
        <w:t>,</w:t>
      </w:r>
      <w:r w:rsidRPr="00961D9C">
        <w:rPr>
          <w:rFonts w:ascii="Verdana" w:hAnsi="Verdana"/>
          <w:spacing w:val="-2"/>
          <w:sz w:val="20"/>
          <w:szCs w:val="20"/>
        </w:rPr>
        <w:t xml:space="preserve"> Victoria Riveros Valencia y Alejandro Huamaní Robles. Todas estas víctimas son, </w:t>
      </w:r>
      <w:r w:rsidRPr="00961D9C">
        <w:rPr>
          <w:rFonts w:ascii="Verdana" w:hAnsi="Verdana" w:cs="Arial"/>
          <w:spacing w:val="-2"/>
          <w:sz w:val="20"/>
          <w:szCs w:val="20"/>
        </w:rPr>
        <w:t xml:space="preserve">según el grupo familiar al que corresponden, </w:t>
      </w:r>
      <w:r w:rsidRPr="00961D9C">
        <w:rPr>
          <w:rFonts w:ascii="Verdana" w:eastAsia="Calibri" w:hAnsi="Verdana"/>
          <w:spacing w:val="-2"/>
          <w:sz w:val="20"/>
          <w:szCs w:val="20"/>
        </w:rPr>
        <w:t>madres, padres, hijos, cónyuges, compañeros</w:t>
      </w:r>
      <w:r w:rsidRPr="00113154">
        <w:rPr>
          <w:rFonts w:ascii="Verdana" w:eastAsia="Calibri" w:hAnsi="Verdana"/>
          <w:spacing w:val="-2"/>
          <w:sz w:val="20"/>
          <w:szCs w:val="20"/>
        </w:rPr>
        <w:t xml:space="preserve"> permanentes, hermanas y hermanos, de las 15 víctimas de la desaparición forzada</w:t>
      </w:r>
      <w:r w:rsidRPr="00113154">
        <w:rPr>
          <w:rFonts w:ascii="Verdana" w:hAnsi="Verdana"/>
          <w:bCs/>
          <w:spacing w:val="-2"/>
          <w:sz w:val="20"/>
          <w:szCs w:val="20"/>
          <w:lang w:val="es-VE"/>
        </w:rPr>
        <w:t>.</w:t>
      </w:r>
    </w:p>
    <w:p w:rsidR="00AB496F" w:rsidRPr="00AB496F" w:rsidRDefault="00AB496F" w:rsidP="007D57A2">
      <w:pPr>
        <w:pStyle w:val="ListParagraph"/>
        <w:spacing w:after="0" w:line="240" w:lineRule="auto"/>
        <w:rPr>
          <w:rFonts w:ascii="Verdana" w:eastAsia="Calibri" w:hAnsi="Verdana"/>
          <w:b/>
          <w:sz w:val="20"/>
        </w:rPr>
      </w:pPr>
    </w:p>
    <w:p w:rsidR="00AB496F" w:rsidRPr="002964A7" w:rsidRDefault="00AB496F" w:rsidP="001154F9">
      <w:pPr>
        <w:pStyle w:val="Heading1"/>
        <w:rPr>
          <w:rFonts w:eastAsia="Calibri"/>
        </w:rPr>
      </w:pPr>
      <w:bookmarkStart w:id="246" w:name="_Toc433387518"/>
      <w:r w:rsidRPr="002964A7">
        <w:rPr>
          <w:rFonts w:eastAsia="Calibri"/>
        </w:rPr>
        <w:t>X</w:t>
      </w:r>
      <w:bookmarkEnd w:id="246"/>
    </w:p>
    <w:p w:rsidR="00AB496F" w:rsidRPr="002964A7" w:rsidRDefault="00AB496F" w:rsidP="001154F9">
      <w:pPr>
        <w:pStyle w:val="Heading1"/>
        <w:rPr>
          <w:rFonts w:eastAsia="Calibri"/>
        </w:rPr>
      </w:pPr>
      <w:bookmarkStart w:id="247" w:name="_Toc423102568"/>
      <w:bookmarkStart w:id="248" w:name="_Toc433387519"/>
      <w:r w:rsidRPr="002964A7">
        <w:rPr>
          <w:rFonts w:eastAsia="Calibri"/>
        </w:rPr>
        <w:t>REPARACIONES</w:t>
      </w:r>
      <w:bookmarkEnd w:id="247"/>
      <w:bookmarkEnd w:id="248"/>
    </w:p>
    <w:p w:rsidR="00AB496F" w:rsidRPr="002964A7" w:rsidRDefault="00AB496F" w:rsidP="00AB496F">
      <w:pPr>
        <w:pStyle w:val="Heading1"/>
        <w:rPr>
          <w:szCs w:val="20"/>
        </w:rPr>
      </w:pPr>
      <w:bookmarkStart w:id="249" w:name="_Toc423102569"/>
      <w:bookmarkStart w:id="250" w:name="_Toc433387520"/>
      <w:r w:rsidRPr="002964A7">
        <w:rPr>
          <w:szCs w:val="20"/>
        </w:rPr>
        <w:t xml:space="preserve">(Aplicación del artículo 63.1 de la </w:t>
      </w:r>
      <w:r w:rsidRPr="00F13F0B">
        <w:rPr>
          <w:szCs w:val="20"/>
        </w:rPr>
        <w:t>Convención Americana)</w:t>
      </w:r>
      <w:bookmarkEnd w:id="249"/>
      <w:bookmarkEnd w:id="250"/>
    </w:p>
    <w:p w:rsidR="00AB496F" w:rsidRPr="002964A7" w:rsidRDefault="00AB496F" w:rsidP="00AB496F">
      <w:pPr>
        <w:spacing w:after="0" w:line="240" w:lineRule="auto"/>
        <w:jc w:val="center"/>
        <w:rPr>
          <w:rFonts w:ascii="Verdana" w:hAnsi="Verdana"/>
          <w:b/>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El artículo 63.1 de la Convención dispone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 A ese respecto, la Corte ha indicado que toda violación de una obligación internacional que haya producido daño comporta el deber de repararlo adecuadamente y que la disposición recoge una norma consuetudinaria que constituye uno de los principios fundamentales del Derecho Internacional contemporáneo sobre responsabilidad de un Estado</w:t>
      </w:r>
      <w:r w:rsidRPr="002964A7">
        <w:rPr>
          <w:rFonts w:ascii="Verdana" w:hAnsi="Verdana"/>
          <w:spacing w:val="-2"/>
          <w:sz w:val="20"/>
          <w:szCs w:val="20"/>
          <w:vertAlign w:val="superscript"/>
        </w:rPr>
        <w:footnoteReference w:id="336"/>
      </w:r>
      <w:r w:rsidRPr="002964A7">
        <w:rPr>
          <w:rFonts w:ascii="Verdana" w:hAnsi="Verdana"/>
          <w:spacing w:val="-2"/>
          <w:sz w:val="20"/>
          <w:szCs w:val="20"/>
        </w:rPr>
        <w:t>.</w:t>
      </w:r>
    </w:p>
    <w:p w:rsidR="00AB496F" w:rsidRPr="002964A7" w:rsidRDefault="00AB496F" w:rsidP="00AB496F">
      <w:pPr>
        <w:spacing w:after="0" w:line="240" w:lineRule="auto"/>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La Corte ha </w:t>
      </w:r>
      <w:r w:rsidRPr="002964A7">
        <w:rPr>
          <w:rFonts w:ascii="Verdana" w:eastAsia="MS Mincho" w:hAnsi="Verdana"/>
          <w:spacing w:val="-2"/>
          <w:sz w:val="20"/>
          <w:szCs w:val="20"/>
        </w:rPr>
        <w:t>establecido</w:t>
      </w:r>
      <w:r w:rsidRPr="002964A7">
        <w:rPr>
          <w:rFonts w:ascii="Verdana" w:hAnsi="Verdana"/>
          <w:spacing w:val="-2"/>
          <w:sz w:val="20"/>
          <w:szCs w:val="20"/>
        </w:rPr>
        <w:t xml:space="preserve"> que las reparaciones deben tener un nexo causal con los hechos del caso, las violaciones declaradas, los daños acreditados, así como las medidas solicitadas para reparar los daños </w:t>
      </w:r>
      <w:r w:rsidRPr="002964A7">
        <w:rPr>
          <w:rFonts w:ascii="Verdana" w:hAnsi="Verdana" w:cs="Arial"/>
          <w:spacing w:val="-2"/>
          <w:sz w:val="20"/>
          <w:szCs w:val="20"/>
        </w:rPr>
        <w:t>respectivos</w:t>
      </w:r>
      <w:r w:rsidRPr="002964A7">
        <w:rPr>
          <w:rFonts w:ascii="Verdana" w:hAnsi="Verdana"/>
          <w:spacing w:val="-2"/>
          <w:sz w:val="20"/>
          <w:szCs w:val="20"/>
          <w:vertAlign w:val="superscript"/>
        </w:rPr>
        <w:footnoteReference w:id="337"/>
      </w:r>
      <w:r w:rsidRPr="002964A7">
        <w:rPr>
          <w:rFonts w:ascii="Verdana" w:hAnsi="Verdana"/>
          <w:spacing w:val="-2"/>
          <w:sz w:val="20"/>
          <w:szCs w:val="20"/>
        </w:rPr>
        <w:t>.</w:t>
      </w:r>
    </w:p>
    <w:p w:rsidR="00AB496F" w:rsidRPr="002964A7" w:rsidRDefault="00AB496F" w:rsidP="00AB496F">
      <w:pPr>
        <w:spacing w:after="0" w:line="240" w:lineRule="auto"/>
        <w:jc w:val="both"/>
        <w:rPr>
          <w:rFonts w:ascii="Verdana" w:hAnsi="Verdana"/>
          <w:spacing w:val="-2"/>
          <w:sz w:val="20"/>
          <w:szCs w:val="20"/>
        </w:rPr>
      </w:pPr>
    </w:p>
    <w:p w:rsidR="00AB496F" w:rsidRPr="001154F9"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En consideración de las violaciones a la Convención declaradas en los capítulos anteriores, la Corte </w:t>
      </w:r>
      <w:r w:rsidRPr="002964A7">
        <w:rPr>
          <w:rFonts w:ascii="Verdana" w:eastAsia="MS Mincho" w:hAnsi="Verdana"/>
          <w:spacing w:val="-2"/>
          <w:sz w:val="20"/>
          <w:szCs w:val="20"/>
        </w:rPr>
        <w:t>procede</w:t>
      </w:r>
      <w:r w:rsidRPr="002964A7">
        <w:rPr>
          <w:rFonts w:ascii="Verdana" w:hAnsi="Verdana"/>
          <w:spacing w:val="-2"/>
          <w:sz w:val="20"/>
          <w:szCs w:val="20"/>
        </w:rPr>
        <w:t xml:space="preserve"> a analizar las pretensiones presentadas por la Comisión y los representantes, a la luz de los criterios fijados en su jurisprudencia en relación con la naturaleza y alcance de la obligación de reparar, con el objeto de disponer las medidas dirigidas a reparar los daños ocasionados a las víctimas</w:t>
      </w:r>
      <w:r w:rsidRPr="002964A7">
        <w:rPr>
          <w:rFonts w:ascii="Verdana" w:hAnsi="Verdana"/>
          <w:spacing w:val="-2"/>
          <w:sz w:val="20"/>
          <w:szCs w:val="20"/>
          <w:vertAlign w:val="superscript"/>
        </w:rPr>
        <w:footnoteReference w:id="338"/>
      </w:r>
      <w:r w:rsidRPr="002964A7">
        <w:rPr>
          <w:rFonts w:ascii="Verdana" w:hAnsi="Verdana"/>
          <w:spacing w:val="-2"/>
          <w:sz w:val="20"/>
          <w:szCs w:val="20"/>
        </w:rPr>
        <w:t>.</w:t>
      </w:r>
    </w:p>
    <w:p w:rsidR="00AB496F" w:rsidRPr="002964A7" w:rsidRDefault="001D12EA" w:rsidP="001154F9">
      <w:pPr>
        <w:pStyle w:val="Heading3"/>
      </w:pPr>
      <w:bookmarkStart w:id="251" w:name="_Toc423102570"/>
      <w:bookmarkStart w:id="252" w:name="_Toc433387521"/>
      <w:r>
        <w:t>A.</w:t>
      </w:r>
      <w:r w:rsidR="00AB496F">
        <w:t xml:space="preserve"> </w:t>
      </w:r>
      <w:r w:rsidR="00AB496F" w:rsidRPr="00F13F0B">
        <w:t>Parte Lesionada</w:t>
      </w:r>
      <w:bookmarkEnd w:id="251"/>
      <w:bookmarkEnd w:id="252"/>
    </w:p>
    <w:p w:rsidR="00AB496F" w:rsidRPr="001D12EA" w:rsidRDefault="00AB496F" w:rsidP="001D12EA">
      <w:pPr>
        <w:pStyle w:val="ListParagraph"/>
        <w:spacing w:line="240" w:lineRule="auto"/>
        <w:ind w:left="0"/>
        <w:jc w:val="both"/>
        <w:rPr>
          <w:rFonts w:ascii="Verdana" w:hAnsi="Verdana"/>
          <w:sz w:val="16"/>
          <w:szCs w:val="20"/>
        </w:rPr>
      </w:pPr>
    </w:p>
    <w:p w:rsidR="00AB496F" w:rsidRPr="001154F9" w:rsidRDefault="00AB496F" w:rsidP="001154F9">
      <w:pPr>
        <w:pStyle w:val="ListParagraph"/>
        <w:numPr>
          <w:ilvl w:val="0"/>
          <w:numId w:val="7"/>
        </w:numPr>
        <w:spacing w:after="0" w:line="240" w:lineRule="auto"/>
        <w:ind w:left="0" w:firstLine="0"/>
        <w:jc w:val="both"/>
        <w:rPr>
          <w:rFonts w:ascii="Verdana" w:hAnsi="Verdana"/>
          <w:sz w:val="20"/>
          <w:szCs w:val="20"/>
        </w:rPr>
      </w:pPr>
      <w:r w:rsidRPr="002964A7">
        <w:rPr>
          <w:rFonts w:ascii="Verdana" w:hAnsi="Verdana"/>
          <w:spacing w:val="-2"/>
          <w:sz w:val="20"/>
          <w:szCs w:val="20"/>
        </w:rPr>
        <w:t xml:space="preserve">El Tribunal considera parte lesionada, en los términos del artículo 63.1 de la </w:t>
      </w:r>
      <w:r w:rsidRPr="002964A7">
        <w:rPr>
          <w:rFonts w:ascii="Verdana" w:hAnsi="Verdana" w:cs="Arial"/>
          <w:spacing w:val="-2"/>
          <w:sz w:val="20"/>
          <w:szCs w:val="20"/>
        </w:rPr>
        <w:t>Convención</w:t>
      </w:r>
      <w:r w:rsidRPr="002964A7">
        <w:rPr>
          <w:rFonts w:ascii="Verdana" w:hAnsi="Verdana"/>
          <w:spacing w:val="-2"/>
          <w:sz w:val="20"/>
          <w:szCs w:val="20"/>
        </w:rPr>
        <w:t>, a quien ha sido declarado víctima de la violación de algún derecho reconocido en la misma. Por lo tanto, la Corte considera como “parte lesionada” a las quince víctimas de desaparición forzada,</w:t>
      </w:r>
      <w:r w:rsidRPr="002964A7">
        <w:rPr>
          <w:rFonts w:ascii="Verdana" w:hAnsi="Verdana"/>
          <w:spacing w:val="-2"/>
          <w:sz w:val="20"/>
          <w:szCs w:val="20"/>
          <w:lang w:val="es-GT"/>
        </w:rPr>
        <w:t xml:space="preserve"> Yesenia </w:t>
      </w:r>
      <w:r w:rsidRPr="002964A7">
        <w:rPr>
          <w:rFonts w:ascii="Verdana" w:hAnsi="Verdana" w:cs="Arial"/>
          <w:spacing w:val="-2"/>
          <w:sz w:val="20"/>
          <w:szCs w:val="20"/>
          <w:lang w:val="es-GT"/>
        </w:rPr>
        <w:t>Osnayo Hilario</w:t>
      </w:r>
      <w:r w:rsidRPr="002964A7">
        <w:rPr>
          <w:rFonts w:ascii="Verdana" w:hAnsi="Verdana"/>
          <w:spacing w:val="-2"/>
          <w:sz w:val="20"/>
          <w:szCs w:val="20"/>
          <w:lang w:val="es-GT"/>
        </w:rPr>
        <w:t xml:space="preserve">, Miriam </w:t>
      </w:r>
      <w:r w:rsidRPr="002964A7">
        <w:rPr>
          <w:rFonts w:ascii="Verdana" w:hAnsi="Verdana" w:cs="Arial"/>
          <w:spacing w:val="-2"/>
          <w:sz w:val="20"/>
          <w:szCs w:val="20"/>
          <w:lang w:val="es-GT"/>
        </w:rPr>
        <w:t>Osnayo Hilario,</w:t>
      </w:r>
      <w:r w:rsidRPr="002964A7">
        <w:rPr>
          <w:rFonts w:ascii="Verdana" w:hAnsi="Verdana"/>
          <w:spacing w:val="-2"/>
          <w:sz w:val="20"/>
          <w:szCs w:val="20"/>
          <w:lang w:val="es-GT"/>
        </w:rPr>
        <w:t xml:space="preserve"> </w:t>
      </w:r>
      <w:r w:rsidRPr="002964A7">
        <w:rPr>
          <w:rFonts w:ascii="Verdana" w:hAnsi="Verdana" w:cs="Arial"/>
          <w:spacing w:val="-2"/>
          <w:sz w:val="20"/>
          <w:szCs w:val="20"/>
          <w:lang w:val="es-GT"/>
        </w:rPr>
        <w:t>Edith Osnayo Hilario</w:t>
      </w:r>
      <w:r w:rsidRPr="002964A7">
        <w:rPr>
          <w:rFonts w:ascii="Verdana" w:hAnsi="Verdana"/>
          <w:spacing w:val="-2"/>
          <w:sz w:val="20"/>
          <w:szCs w:val="20"/>
          <w:lang w:val="es-GT"/>
        </w:rPr>
        <w:t>, Wilmer Hilario Carhuapoma, Alex Jorge Hilario, Raúl Hilario Guillén, Héctor Hilario Guillén, Francisco Hilario Torres</w:t>
      </w:r>
      <w:r w:rsidRPr="002964A7">
        <w:rPr>
          <w:rFonts w:ascii="Verdana" w:hAnsi="Verdana"/>
          <w:spacing w:val="-2"/>
          <w:sz w:val="20"/>
          <w:szCs w:val="20"/>
        </w:rPr>
        <w:t xml:space="preserve">, </w:t>
      </w:r>
      <w:r w:rsidRPr="002964A7">
        <w:rPr>
          <w:rFonts w:ascii="Verdana" w:hAnsi="Verdana"/>
          <w:spacing w:val="-2"/>
          <w:sz w:val="20"/>
          <w:szCs w:val="20"/>
          <w:lang w:val="es-GT"/>
        </w:rPr>
        <w:t>Mercedes Carhuapoma de la Cruz</w:t>
      </w:r>
      <w:r w:rsidRPr="002964A7">
        <w:rPr>
          <w:rFonts w:ascii="Verdana" w:hAnsi="Verdana" w:cs="Arial"/>
          <w:spacing w:val="-2"/>
          <w:sz w:val="20"/>
          <w:szCs w:val="20"/>
          <w:lang w:val="es-GT"/>
        </w:rPr>
        <w:t>,</w:t>
      </w:r>
      <w:r w:rsidRPr="002964A7">
        <w:rPr>
          <w:rFonts w:ascii="Verdana" w:hAnsi="Verdana"/>
          <w:spacing w:val="-2"/>
          <w:sz w:val="20"/>
          <w:szCs w:val="20"/>
          <w:lang w:val="es-GT"/>
        </w:rPr>
        <w:t xml:space="preserve"> Dionicia Quispe Ma</w:t>
      </w:r>
      <w:r>
        <w:rPr>
          <w:rFonts w:ascii="Verdana" w:hAnsi="Verdana"/>
          <w:spacing w:val="-2"/>
          <w:sz w:val="20"/>
          <w:szCs w:val="20"/>
          <w:lang w:val="es-GT"/>
        </w:rPr>
        <w:t>ll</w:t>
      </w:r>
      <w:r w:rsidRPr="002964A7">
        <w:rPr>
          <w:rFonts w:ascii="Verdana" w:hAnsi="Verdana"/>
          <w:spacing w:val="-2"/>
          <w:sz w:val="20"/>
          <w:szCs w:val="20"/>
          <w:lang w:val="es-GT"/>
        </w:rPr>
        <w:t xml:space="preserve">qui, Antonia Hilario Quispe, Magdalena Hilario Quispe, </w:t>
      </w:r>
      <w:r w:rsidRPr="002964A7">
        <w:rPr>
          <w:rFonts w:ascii="Verdana" w:hAnsi="Verdana" w:cs="Arial"/>
          <w:spacing w:val="-2"/>
          <w:sz w:val="20"/>
          <w:szCs w:val="20"/>
          <w:lang w:val="es-GT"/>
        </w:rPr>
        <w:t>Dionicia Guillén Riveros</w:t>
      </w:r>
      <w:r w:rsidRPr="002964A7">
        <w:rPr>
          <w:rFonts w:ascii="Verdana" w:hAnsi="Verdana"/>
          <w:spacing w:val="-2"/>
          <w:sz w:val="20"/>
          <w:szCs w:val="20"/>
          <w:lang w:val="es-GT"/>
        </w:rPr>
        <w:t xml:space="preserve">, Ramón Hilario Morán y Elihoref </w:t>
      </w:r>
      <w:r w:rsidR="00884B9C" w:rsidRPr="002964A7">
        <w:rPr>
          <w:rFonts w:ascii="Verdana" w:hAnsi="Verdana"/>
          <w:spacing w:val="-2"/>
          <w:sz w:val="20"/>
          <w:szCs w:val="20"/>
          <w:lang w:val="es-GT"/>
        </w:rPr>
        <w:t>Huamaní</w:t>
      </w:r>
      <w:r w:rsidRPr="002964A7">
        <w:rPr>
          <w:rFonts w:ascii="Verdana" w:hAnsi="Verdana"/>
          <w:spacing w:val="-2"/>
          <w:sz w:val="20"/>
          <w:szCs w:val="20"/>
          <w:lang w:val="es-GT"/>
        </w:rPr>
        <w:t xml:space="preserve"> Vergara. De igual modo, son </w:t>
      </w:r>
      <w:r w:rsidRPr="002964A7">
        <w:rPr>
          <w:rFonts w:ascii="Verdana" w:hAnsi="Verdana"/>
          <w:spacing w:val="-2"/>
          <w:sz w:val="20"/>
          <w:szCs w:val="20"/>
        </w:rPr>
        <w:t xml:space="preserve">“parte lesionada” </w:t>
      </w:r>
      <w:r w:rsidRPr="002964A7">
        <w:rPr>
          <w:rFonts w:ascii="Verdana" w:hAnsi="Verdana"/>
          <w:spacing w:val="-2"/>
          <w:sz w:val="20"/>
          <w:szCs w:val="20"/>
          <w:lang w:val="es-GT"/>
        </w:rPr>
        <w:t xml:space="preserve">sus familiares sobrevivientes, </w:t>
      </w:r>
      <w:r w:rsidRPr="002964A7">
        <w:rPr>
          <w:rFonts w:ascii="Verdana" w:hAnsi="Verdana"/>
          <w:spacing w:val="-2"/>
          <w:sz w:val="20"/>
          <w:szCs w:val="20"/>
        </w:rPr>
        <w:t xml:space="preserve">Zósimo Hilario Quispe, Marcelo Hilario Quispe, Gregorio Hilario Quispe, Zenón Cirilo Osnayo Tunque, Víctor Carhuapoma de la Cruz, </w:t>
      </w:r>
      <w:r w:rsidRPr="002964A7">
        <w:rPr>
          <w:rFonts w:ascii="Verdana" w:hAnsi="Verdana" w:cs="Verdana"/>
          <w:spacing w:val="-2"/>
          <w:sz w:val="20"/>
          <w:szCs w:val="20"/>
        </w:rPr>
        <w:t>Abilio Hilario Quispe,</w:t>
      </w:r>
      <w:r w:rsidRPr="002F45DC">
        <w:rPr>
          <w:rFonts w:ascii="Verdana" w:hAnsi="Verdana"/>
          <w:spacing w:val="-2"/>
          <w:sz w:val="20"/>
          <w:szCs w:val="20"/>
        </w:rPr>
        <w:t xml:space="preserve"> Marcelina Guillen Riveros</w:t>
      </w:r>
      <w:r w:rsidRPr="002964A7">
        <w:rPr>
          <w:rFonts w:ascii="Verdana" w:hAnsi="Verdana"/>
          <w:spacing w:val="-2"/>
          <w:sz w:val="20"/>
          <w:szCs w:val="20"/>
        </w:rPr>
        <w:t xml:space="preserve"> y </w:t>
      </w:r>
      <w:r w:rsidRPr="002964A7">
        <w:rPr>
          <w:rFonts w:ascii="Verdana" w:hAnsi="Verdana" w:cs="Arial"/>
          <w:spacing w:val="-2"/>
          <w:sz w:val="20"/>
          <w:szCs w:val="20"/>
        </w:rPr>
        <w:t xml:space="preserve">Marino Huamaní Vergara, así como sus familiares fallecidos, </w:t>
      </w:r>
      <w:r w:rsidRPr="002964A7">
        <w:rPr>
          <w:rFonts w:ascii="Verdana" w:hAnsi="Verdana"/>
          <w:spacing w:val="-2"/>
          <w:sz w:val="20"/>
          <w:szCs w:val="20"/>
        </w:rPr>
        <w:t>Ana de la Cruz Carhuapoma</w:t>
      </w:r>
      <w:r w:rsidRPr="002964A7">
        <w:rPr>
          <w:rFonts w:ascii="Verdana" w:hAnsi="Verdana"/>
          <w:bCs/>
          <w:spacing w:val="-2"/>
          <w:sz w:val="20"/>
          <w:szCs w:val="20"/>
          <w:lang w:val="es-VE"/>
        </w:rPr>
        <w:t>,</w:t>
      </w:r>
      <w:r w:rsidRPr="002964A7">
        <w:rPr>
          <w:rFonts w:ascii="Verdana" w:hAnsi="Verdana"/>
          <w:spacing w:val="-2"/>
          <w:sz w:val="20"/>
          <w:szCs w:val="20"/>
        </w:rPr>
        <w:t xml:space="preserve"> Viviano Hilario Mancha, Dolores Morán Paucar, Justiniano Guillén Ccanto</w:t>
      </w:r>
      <w:r w:rsidRPr="002964A7">
        <w:rPr>
          <w:rFonts w:ascii="Verdana" w:hAnsi="Verdana" w:cs="Verdana"/>
          <w:spacing w:val="-2"/>
          <w:sz w:val="20"/>
          <w:szCs w:val="20"/>
        </w:rPr>
        <w:t>,</w:t>
      </w:r>
      <w:r w:rsidRPr="002964A7">
        <w:rPr>
          <w:rFonts w:ascii="Verdana" w:hAnsi="Verdana"/>
          <w:spacing w:val="-2"/>
          <w:sz w:val="20"/>
          <w:szCs w:val="20"/>
        </w:rPr>
        <w:t xml:space="preserve"> Victoria Riveros Valencia y Alejandro Huamaní Robles.</w:t>
      </w:r>
    </w:p>
    <w:p w:rsidR="00AB496F" w:rsidRPr="001154F9" w:rsidRDefault="001154F9" w:rsidP="007C7CEF">
      <w:pPr>
        <w:pStyle w:val="Heading3"/>
        <w:spacing w:line="240" w:lineRule="auto"/>
        <w:jc w:val="both"/>
      </w:pPr>
      <w:bookmarkStart w:id="253" w:name="_Toc433387522"/>
      <w:r>
        <w:t>B</w:t>
      </w:r>
      <w:r w:rsidR="007C7CEF">
        <w:t>.</w:t>
      </w:r>
      <w:r>
        <w:t xml:space="preserve"> </w:t>
      </w:r>
      <w:bookmarkStart w:id="254" w:name="_Toc423102571"/>
      <w:r w:rsidR="00AB496F" w:rsidRPr="00F13F0B">
        <w:t xml:space="preserve">Obligación de investigar los hechos e identificar, juzgar y, en su caso, sancionar a los responsables, así como </w:t>
      </w:r>
      <w:r w:rsidR="007C7CEF">
        <w:t xml:space="preserve">la </w:t>
      </w:r>
      <w:r w:rsidR="00AB496F" w:rsidRPr="00F13F0B">
        <w:t xml:space="preserve">determinación del paradero </w:t>
      </w:r>
      <w:r w:rsidR="00AB496F">
        <w:t xml:space="preserve">e identificación </w:t>
      </w:r>
      <w:r w:rsidR="00AB496F" w:rsidRPr="00F13F0B">
        <w:t>de las víctimas desaparecidas</w:t>
      </w:r>
      <w:bookmarkEnd w:id="253"/>
      <w:bookmarkEnd w:id="254"/>
    </w:p>
    <w:p w:rsidR="00AB496F" w:rsidRPr="00F13F0B" w:rsidRDefault="00AB496F" w:rsidP="00225C8D">
      <w:pPr>
        <w:pStyle w:val="Heading3"/>
        <w:spacing w:line="240" w:lineRule="auto"/>
      </w:pPr>
      <w:bookmarkStart w:id="255" w:name="_Toc423102572"/>
      <w:bookmarkStart w:id="256" w:name="_Toc433387523"/>
      <w:r w:rsidRPr="00F13F0B">
        <w:t>B.1. Investigación, determinación, enjuiciamiento y, en su caso, sanción de todos los responsables</w:t>
      </w:r>
      <w:bookmarkEnd w:id="255"/>
      <w:bookmarkEnd w:id="256"/>
    </w:p>
    <w:p w:rsidR="00AB496F" w:rsidRPr="00225C8D" w:rsidRDefault="00AB496F" w:rsidP="00AB496F">
      <w:pPr>
        <w:spacing w:after="0" w:line="240" w:lineRule="auto"/>
        <w:contextualSpacing/>
        <w:jc w:val="both"/>
        <w:rPr>
          <w:rFonts w:ascii="Verdana" w:hAnsi="Verdana"/>
          <w:spacing w:val="-2"/>
          <w:sz w:val="16"/>
          <w:szCs w:val="20"/>
        </w:rPr>
      </w:pPr>
    </w:p>
    <w:p w:rsidR="00AB496F" w:rsidRPr="002964A7" w:rsidRDefault="00AB496F" w:rsidP="00AB496F">
      <w:pPr>
        <w:spacing w:after="0" w:line="240" w:lineRule="auto"/>
        <w:ind w:firstLine="720"/>
        <w:contextualSpacing/>
        <w:jc w:val="both"/>
        <w:rPr>
          <w:rFonts w:ascii="Verdana" w:hAnsi="Verdana"/>
          <w:i/>
          <w:spacing w:val="-2"/>
          <w:sz w:val="20"/>
          <w:szCs w:val="20"/>
        </w:rPr>
      </w:pPr>
      <w:r w:rsidRPr="002964A7">
        <w:rPr>
          <w:rFonts w:ascii="Verdana" w:hAnsi="Verdana"/>
          <w:i/>
          <w:spacing w:val="-2"/>
          <w:sz w:val="20"/>
          <w:szCs w:val="20"/>
        </w:rPr>
        <w:t>Argumentos de la Comisión</w:t>
      </w:r>
      <w:r w:rsidRPr="009648B1">
        <w:rPr>
          <w:rFonts w:ascii="Verdana" w:hAnsi="Verdana"/>
          <w:i/>
          <w:spacing w:val="-2"/>
          <w:sz w:val="20"/>
          <w:szCs w:val="20"/>
        </w:rPr>
        <w:t xml:space="preserve"> </w:t>
      </w:r>
      <w:r w:rsidRPr="002964A7">
        <w:rPr>
          <w:rFonts w:ascii="Verdana" w:hAnsi="Verdana"/>
          <w:i/>
          <w:spacing w:val="-2"/>
          <w:sz w:val="20"/>
          <w:szCs w:val="20"/>
        </w:rPr>
        <w:t>y</w:t>
      </w:r>
      <w:r w:rsidRPr="009648B1">
        <w:rPr>
          <w:rFonts w:ascii="Verdana" w:hAnsi="Verdana"/>
          <w:i/>
          <w:spacing w:val="-2"/>
          <w:sz w:val="20"/>
          <w:szCs w:val="20"/>
        </w:rPr>
        <w:t xml:space="preserve"> </w:t>
      </w:r>
      <w:r w:rsidRPr="002964A7">
        <w:rPr>
          <w:rFonts w:ascii="Verdana" w:hAnsi="Verdana"/>
          <w:i/>
          <w:spacing w:val="-2"/>
          <w:sz w:val="20"/>
          <w:szCs w:val="20"/>
        </w:rPr>
        <w:t>las partes</w:t>
      </w:r>
    </w:p>
    <w:p w:rsidR="00AB496F" w:rsidRPr="00225C8D" w:rsidRDefault="00AB496F" w:rsidP="00AB496F">
      <w:pPr>
        <w:spacing w:after="0" w:line="240" w:lineRule="auto"/>
        <w:contextualSpacing/>
        <w:jc w:val="both"/>
        <w:rPr>
          <w:rFonts w:ascii="Verdana" w:hAnsi="Verdana"/>
          <w:spacing w:val="-2"/>
          <w:sz w:val="16"/>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La </w:t>
      </w:r>
      <w:r w:rsidRPr="002964A7">
        <w:rPr>
          <w:rFonts w:ascii="Verdana" w:hAnsi="Verdana"/>
          <w:b/>
          <w:i/>
          <w:spacing w:val="-2"/>
          <w:sz w:val="20"/>
          <w:szCs w:val="20"/>
        </w:rPr>
        <w:t>Comisión</w:t>
      </w:r>
      <w:r w:rsidRPr="002964A7">
        <w:rPr>
          <w:rFonts w:ascii="Verdana" w:hAnsi="Verdana"/>
          <w:spacing w:val="-2"/>
          <w:sz w:val="20"/>
          <w:szCs w:val="20"/>
        </w:rPr>
        <w:t xml:space="preserve"> solicitó a la Corte ordenar al Estado que lleve </w:t>
      </w:r>
      <w:r w:rsidRPr="002964A7">
        <w:rPr>
          <w:rFonts w:ascii="Verdana" w:hAnsi="Verdana" w:cs="Arial"/>
          <w:spacing w:val="-2"/>
          <w:sz w:val="20"/>
          <w:szCs w:val="20"/>
        </w:rPr>
        <w:t xml:space="preserve">a cabo y concluya, según corresponda, “los procedimientos internos relacionados con las violaciones a los derechos humanos declaradas en el [I]nforme [de Admisibilidad y Fondo] </w:t>
      </w:r>
      <w:r w:rsidRPr="002964A7">
        <w:rPr>
          <w:rFonts w:ascii="Verdana" w:hAnsi="Verdana"/>
          <w:spacing w:val="-2"/>
          <w:sz w:val="20"/>
          <w:szCs w:val="20"/>
        </w:rPr>
        <w:t xml:space="preserve">y </w:t>
      </w:r>
      <w:r w:rsidRPr="002964A7">
        <w:rPr>
          <w:rFonts w:ascii="Verdana" w:hAnsi="Verdana" w:cs="Arial"/>
          <w:spacing w:val="-2"/>
          <w:sz w:val="20"/>
          <w:szCs w:val="20"/>
        </w:rPr>
        <w:t>conducir las investigaciones de manera imparcial, efectiva y dentro de un plazo razonable con el objeto de esclarecer los hechos en forma completa, identificar a los autores intelectuales y materiales e imponer las sanciones que corresponda[n]”.</w:t>
      </w:r>
      <w:r>
        <w:rPr>
          <w:rFonts w:ascii="Verdana" w:hAnsi="Verdana" w:cs="Arial"/>
          <w:spacing w:val="-2"/>
          <w:sz w:val="20"/>
          <w:szCs w:val="20"/>
        </w:rPr>
        <w:t xml:space="preserve"> </w:t>
      </w:r>
      <w:r w:rsidRPr="002964A7">
        <w:rPr>
          <w:rFonts w:ascii="Verdana" w:hAnsi="Verdana" w:cs="Arial"/>
          <w:spacing w:val="-2"/>
          <w:sz w:val="20"/>
          <w:szCs w:val="20"/>
        </w:rPr>
        <w:t>De igual manera, solicitó la “adopción de todos los esfuerzos al alcance del Estado para lograr el apersonamiento de los presuntos responsables que se encuentran prófugos de la justicia, así como el diseño e impulso de líneas de investigación tendientes a dete</w:t>
      </w:r>
      <w:r w:rsidRPr="00597FE9">
        <w:rPr>
          <w:rFonts w:ascii="Verdana" w:hAnsi="Verdana" w:cs="Arial"/>
          <w:spacing w:val="-2"/>
          <w:sz w:val="20"/>
          <w:szCs w:val="20"/>
        </w:rPr>
        <w:t xml:space="preserve">rminar los distintos niveles de responsabilidad en los hechos, incluidas las responsabilidades de los Altos Mandos del Ejército”. </w:t>
      </w:r>
      <w:r w:rsidRPr="002964A7">
        <w:rPr>
          <w:rFonts w:ascii="Verdana" w:hAnsi="Verdana" w:cs="Arial"/>
          <w:spacing w:val="-2"/>
          <w:sz w:val="20"/>
          <w:szCs w:val="20"/>
        </w:rPr>
        <w:t xml:space="preserve">Asimismo, solicitó a la Corte ordenar que el Perú adopte medidas administrativas contra los funcionarios públicos que resulten responsables de estar involucrados en la comisión de las violaciones encontradas en el Informe de Admisibilidad y Fondo, incluyendo contra aquellos jueces o magistrados que no cumplieron debidamente sus funciones de </w:t>
      </w:r>
      <w:r w:rsidRPr="002964A7">
        <w:rPr>
          <w:rFonts w:ascii="Verdana" w:hAnsi="Verdana" w:cs="Arial"/>
          <w:spacing w:val="-2"/>
          <w:sz w:val="20"/>
          <w:szCs w:val="20"/>
        </w:rPr>
        <w:lastRenderedPageBreak/>
        <w:t xml:space="preserve">protección de los derechos fundamentales. Asimismo, solicitó el establecimiento y difusión de la verdad histórica de los hechos. </w:t>
      </w:r>
    </w:p>
    <w:p w:rsidR="00AB496F" w:rsidRPr="002964A7" w:rsidRDefault="00AB496F" w:rsidP="00AB496F">
      <w:pPr>
        <w:spacing w:after="0" w:line="240" w:lineRule="auto"/>
        <w:contextualSpacing/>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Los </w:t>
      </w:r>
      <w:r w:rsidRPr="002964A7">
        <w:rPr>
          <w:rFonts w:ascii="Verdana" w:hAnsi="Verdana"/>
          <w:b/>
          <w:i/>
          <w:spacing w:val="-2"/>
          <w:sz w:val="20"/>
          <w:szCs w:val="20"/>
        </w:rPr>
        <w:t>representantes</w:t>
      </w:r>
      <w:r w:rsidRPr="002964A7">
        <w:rPr>
          <w:rFonts w:ascii="Verdana" w:hAnsi="Verdana"/>
          <w:spacing w:val="-2"/>
          <w:sz w:val="20"/>
          <w:szCs w:val="20"/>
        </w:rPr>
        <w:t xml:space="preserve"> solicitaron a la Corte que ordene al Perú “</w:t>
      </w:r>
      <w:r w:rsidRPr="002964A7">
        <w:rPr>
          <w:rFonts w:ascii="Verdana" w:hAnsi="Verdana" w:cs="Arial"/>
          <w:spacing w:val="-2"/>
          <w:sz w:val="20"/>
          <w:szCs w:val="20"/>
        </w:rPr>
        <w:t>llevar a cabo y concluir investigaciones completas, imparciales y efectivas con</w:t>
      </w:r>
      <w:r w:rsidRPr="002964A7">
        <w:rPr>
          <w:rFonts w:ascii="Verdana" w:hAnsi="Verdana"/>
          <w:spacing w:val="-2"/>
          <w:sz w:val="20"/>
          <w:szCs w:val="20"/>
        </w:rPr>
        <w:t xml:space="preserve"> </w:t>
      </w:r>
      <w:r w:rsidRPr="002964A7">
        <w:rPr>
          <w:rFonts w:ascii="Verdana" w:hAnsi="Verdana" w:cs="Arial"/>
          <w:spacing w:val="-2"/>
          <w:sz w:val="20"/>
          <w:szCs w:val="20"/>
        </w:rPr>
        <w:t>el fin de juzgar y sancionar, dentro de un plazo razonable, a la totalidad de los autores</w:t>
      </w:r>
      <w:r w:rsidRPr="002964A7">
        <w:rPr>
          <w:rFonts w:ascii="Verdana" w:hAnsi="Verdana"/>
          <w:spacing w:val="-2"/>
          <w:sz w:val="20"/>
          <w:szCs w:val="20"/>
        </w:rPr>
        <w:t xml:space="preserve"> </w:t>
      </w:r>
      <w:r w:rsidRPr="002964A7">
        <w:rPr>
          <w:rFonts w:ascii="Verdana" w:hAnsi="Verdana" w:cs="Arial"/>
          <w:spacing w:val="-2"/>
          <w:sz w:val="20"/>
          <w:szCs w:val="20"/>
        </w:rPr>
        <w:t>materiales e intelectuales de las violaciones de derechos humanos cometidas en contra</w:t>
      </w:r>
      <w:r w:rsidRPr="002964A7">
        <w:rPr>
          <w:rFonts w:ascii="Verdana" w:hAnsi="Verdana"/>
          <w:spacing w:val="-2"/>
          <w:sz w:val="20"/>
          <w:szCs w:val="20"/>
        </w:rPr>
        <w:t xml:space="preserve"> </w:t>
      </w:r>
      <w:r w:rsidRPr="002964A7">
        <w:rPr>
          <w:rFonts w:ascii="Verdana" w:hAnsi="Verdana" w:cs="Arial"/>
          <w:spacing w:val="-2"/>
          <w:sz w:val="20"/>
          <w:szCs w:val="20"/>
        </w:rPr>
        <w:t>de las víctimas del presente caso”.</w:t>
      </w:r>
      <w:r w:rsidRPr="002964A7">
        <w:rPr>
          <w:rFonts w:ascii="Verdana" w:hAnsi="Verdana"/>
          <w:spacing w:val="-2"/>
          <w:sz w:val="20"/>
          <w:szCs w:val="20"/>
        </w:rPr>
        <w:t xml:space="preserve"> La investigación de los hechos debe ser a través de instituciones imparciales, independientes y </w:t>
      </w:r>
      <w:r w:rsidRPr="002964A7">
        <w:rPr>
          <w:rFonts w:ascii="Verdana" w:hAnsi="Verdana" w:cs="Arial"/>
          <w:spacing w:val="-2"/>
          <w:sz w:val="20"/>
          <w:szCs w:val="20"/>
        </w:rPr>
        <w:t>competentes</w:t>
      </w:r>
      <w:r w:rsidRPr="002964A7">
        <w:rPr>
          <w:rFonts w:ascii="Verdana" w:hAnsi="Verdana"/>
          <w:spacing w:val="-2"/>
          <w:sz w:val="20"/>
          <w:szCs w:val="20"/>
        </w:rPr>
        <w:t>. Solicitaron que dicha investigación sea iniciada ante la justicia ordinaria, que sea conducida con la debida diligencia, que las autoridades encargadas de la investigación tengan a su alcance todos los medios necesarios para llevarla a cabo con prontitud, y que los resultados de las investigaciones sean divulgados pública y ampliamente, para que la sociedad peruana los conozca. De igual modo, solicitaron que se ordene al Estado, “si es el caso según los resultados de la investigación, sancionar las eventuales faltas funcionales en las que podrían haber incurrido los funcionarios públicos a cargo de la investigación”. Asimismo, solicitaron que se ordene al Estado “</w:t>
      </w:r>
      <w:r w:rsidRPr="002964A7">
        <w:rPr>
          <w:rFonts w:ascii="Verdana" w:hAnsi="Verdana" w:cs="Arial"/>
          <w:spacing w:val="-2"/>
          <w:sz w:val="20"/>
          <w:szCs w:val="20"/>
        </w:rPr>
        <w:t>realizar inmediatamente las diligencias</w:t>
      </w:r>
      <w:r w:rsidRPr="002964A7">
        <w:rPr>
          <w:rFonts w:ascii="Verdana" w:hAnsi="Verdana"/>
          <w:spacing w:val="-2"/>
          <w:sz w:val="20"/>
          <w:szCs w:val="20"/>
        </w:rPr>
        <w:t xml:space="preserve"> </w:t>
      </w:r>
      <w:r w:rsidRPr="002964A7">
        <w:rPr>
          <w:rFonts w:ascii="Verdana" w:hAnsi="Verdana" w:cs="Arial"/>
          <w:spacing w:val="-2"/>
          <w:sz w:val="20"/>
          <w:szCs w:val="20"/>
        </w:rPr>
        <w:t>necesarias y adecuadas para identificar, procesar, y sancionar a todos oficiales</w:t>
      </w:r>
      <w:r w:rsidRPr="002964A7">
        <w:rPr>
          <w:rFonts w:ascii="Verdana" w:hAnsi="Verdana"/>
          <w:spacing w:val="-2"/>
          <w:sz w:val="20"/>
          <w:szCs w:val="20"/>
        </w:rPr>
        <w:t xml:space="preserve"> </w:t>
      </w:r>
      <w:r w:rsidRPr="002964A7">
        <w:rPr>
          <w:rFonts w:ascii="Verdana" w:hAnsi="Verdana" w:cs="Arial"/>
          <w:spacing w:val="-2"/>
          <w:sz w:val="20"/>
          <w:szCs w:val="20"/>
        </w:rPr>
        <w:t>responsables en la obstrucción de la investigación, en un plazo razonable y a través de</w:t>
      </w:r>
      <w:r w:rsidRPr="002964A7">
        <w:rPr>
          <w:rFonts w:ascii="Verdana" w:hAnsi="Verdana"/>
          <w:spacing w:val="-2"/>
          <w:sz w:val="20"/>
          <w:szCs w:val="20"/>
        </w:rPr>
        <w:t xml:space="preserve"> </w:t>
      </w:r>
      <w:r w:rsidRPr="002964A7">
        <w:rPr>
          <w:rFonts w:ascii="Verdana" w:hAnsi="Verdana" w:cs="Arial"/>
          <w:spacing w:val="-2"/>
          <w:sz w:val="20"/>
          <w:szCs w:val="20"/>
        </w:rPr>
        <w:t>una investigación seria, independiente, e imparcial”</w:t>
      </w:r>
      <w:r w:rsidRPr="002964A7">
        <w:rPr>
          <w:rFonts w:ascii="Verdana" w:hAnsi="Verdana"/>
          <w:i/>
          <w:spacing w:val="-2"/>
          <w:sz w:val="20"/>
          <w:szCs w:val="20"/>
        </w:rPr>
        <w:t>.</w:t>
      </w:r>
      <w:r w:rsidRPr="002964A7">
        <w:rPr>
          <w:rFonts w:ascii="Verdana" w:hAnsi="Verdana"/>
          <w:b/>
          <w:spacing w:val="-2"/>
          <w:sz w:val="20"/>
          <w:szCs w:val="20"/>
        </w:rPr>
        <w:t xml:space="preserve"> </w:t>
      </w:r>
    </w:p>
    <w:p w:rsidR="00AB496F" w:rsidRPr="002964A7" w:rsidRDefault="00AB496F" w:rsidP="00AB496F">
      <w:pPr>
        <w:spacing w:after="0" w:line="240" w:lineRule="auto"/>
        <w:contextualSpacing/>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El </w:t>
      </w:r>
      <w:r w:rsidRPr="002964A7">
        <w:rPr>
          <w:rFonts w:ascii="Verdana" w:hAnsi="Verdana"/>
          <w:b/>
          <w:i/>
          <w:spacing w:val="-2"/>
          <w:sz w:val="20"/>
          <w:szCs w:val="20"/>
        </w:rPr>
        <w:t>Estado</w:t>
      </w:r>
      <w:r w:rsidRPr="002964A7">
        <w:rPr>
          <w:rFonts w:ascii="Verdana" w:hAnsi="Verdana"/>
          <w:spacing w:val="-2"/>
          <w:sz w:val="20"/>
          <w:szCs w:val="20"/>
        </w:rPr>
        <w:t xml:space="preserve"> señaló que “la Sala Penal Nacional mediante su sentencia del 9 de febrero de 2012 dispuso que se remita copias certificadas a la Fiscalía Penal Supraprovincial de Turno, para que la misma en ejercicio de sus atribuciones y competencias realice las acciones necesarias avocadas a establecer una presunta responsabilidad por parte de miembros del Ejército del Perú, al haber surgido nuevas pruebas e indicios en el caso”. Asimismo, expresó que tiene plena disposición para continuar con las investigaciones y eventual juzgamiento y sanción de los que resulten responsables por los hechos del presente caso, y manifestó su intención de tramitar con rapidez y eficacia procesal las eventuales actuaciones procedimentales que puedan presentarse. De igual manera, el Estado afirmó que cumplió con su obligación de investigar y sancionar a la persona que se declaró como responsable penal individual, mediante la emisión de la </w:t>
      </w:r>
      <w:r w:rsidR="004C74EB">
        <w:rPr>
          <w:rFonts w:ascii="Verdana" w:hAnsi="Verdana"/>
          <w:spacing w:val="-2"/>
          <w:sz w:val="20"/>
          <w:szCs w:val="20"/>
        </w:rPr>
        <w:t>s</w:t>
      </w:r>
      <w:r w:rsidRPr="002964A7">
        <w:rPr>
          <w:rFonts w:ascii="Verdana" w:hAnsi="Verdana"/>
          <w:spacing w:val="-2"/>
          <w:sz w:val="20"/>
          <w:szCs w:val="20"/>
        </w:rPr>
        <w:t xml:space="preserve">entencia de la Sala Penal Nacional de 9 de febrero de 2012 y de la Ejecutoria Suprema de la Corte Suprema del Perú el 29 de mayo de 2013. Lo anterior, sin perjuicio de las investigaciones que se puedan proseguir. Además, en sus alegatos finales sostuvo que las sentencias dictadas en sede interna, de conformidad con la jurisprudencia de la Corte, </w:t>
      </w:r>
      <w:r w:rsidRPr="002964A7">
        <w:rPr>
          <w:rFonts w:ascii="Verdana" w:hAnsi="Verdana"/>
          <w:iCs/>
          <w:spacing w:val="-2"/>
          <w:sz w:val="20"/>
          <w:szCs w:val="20"/>
        </w:rPr>
        <w:t>constituye</w:t>
      </w:r>
      <w:r>
        <w:rPr>
          <w:rFonts w:ascii="Verdana" w:hAnsi="Verdana"/>
          <w:iCs/>
          <w:spacing w:val="-2"/>
          <w:sz w:val="20"/>
          <w:szCs w:val="20"/>
        </w:rPr>
        <w:t>n</w:t>
      </w:r>
      <w:r w:rsidRPr="002964A7">
        <w:rPr>
          <w:rFonts w:ascii="Verdana" w:hAnsi="Verdana"/>
          <w:iCs/>
          <w:spacing w:val="-2"/>
          <w:sz w:val="20"/>
          <w:szCs w:val="20"/>
        </w:rPr>
        <w:t xml:space="preserve"> una forma de reparación para las presuntas víctimas </w:t>
      </w:r>
      <w:r w:rsidRPr="002964A7">
        <w:rPr>
          <w:rFonts w:ascii="Verdana" w:hAnsi="Verdana" w:cs="Arial"/>
          <w:iCs/>
          <w:spacing w:val="-2"/>
          <w:sz w:val="20"/>
          <w:szCs w:val="20"/>
        </w:rPr>
        <w:t xml:space="preserve">y </w:t>
      </w:r>
      <w:r w:rsidRPr="002964A7">
        <w:rPr>
          <w:rFonts w:ascii="Verdana" w:hAnsi="Verdana"/>
          <w:iCs/>
          <w:spacing w:val="-2"/>
          <w:sz w:val="20"/>
          <w:szCs w:val="20"/>
        </w:rPr>
        <w:t xml:space="preserve">sus familiares </w:t>
      </w:r>
      <w:r w:rsidRPr="002964A7">
        <w:rPr>
          <w:rFonts w:ascii="Verdana" w:hAnsi="Verdana" w:cs="Arial"/>
          <w:iCs/>
          <w:spacing w:val="-2"/>
          <w:sz w:val="20"/>
          <w:szCs w:val="20"/>
        </w:rPr>
        <w:t xml:space="preserve">y, </w:t>
      </w:r>
      <w:r w:rsidRPr="002964A7">
        <w:rPr>
          <w:rFonts w:ascii="Verdana" w:hAnsi="Verdana"/>
          <w:iCs/>
          <w:spacing w:val="-2"/>
          <w:sz w:val="20"/>
          <w:szCs w:val="20"/>
        </w:rPr>
        <w:t>a la vez, una manera de contribuir a evitar que se repitan hechos similares</w:t>
      </w:r>
      <w:r w:rsidRPr="002964A7">
        <w:rPr>
          <w:rFonts w:ascii="Verdana" w:hAnsi="Verdana"/>
          <w:spacing w:val="-2"/>
          <w:sz w:val="20"/>
          <w:szCs w:val="20"/>
        </w:rPr>
        <w:t xml:space="preserve">, en la medida en que también contribuye en la reconstrucción de la memoria histórica de lo sucedido durante dichos años, dejando constancia de una serie de hechos probados. </w:t>
      </w:r>
    </w:p>
    <w:p w:rsidR="00AB496F" w:rsidRPr="00732094" w:rsidRDefault="00AB496F" w:rsidP="00AB496F">
      <w:pPr>
        <w:spacing w:after="0" w:line="240" w:lineRule="auto"/>
        <w:rPr>
          <w:rFonts w:ascii="Verdana" w:hAnsi="Verdana"/>
          <w:spacing w:val="-2"/>
          <w:sz w:val="16"/>
          <w:szCs w:val="20"/>
        </w:rPr>
      </w:pPr>
    </w:p>
    <w:p w:rsidR="00AB496F" w:rsidRPr="002964A7" w:rsidRDefault="00AB496F" w:rsidP="00AB496F">
      <w:pPr>
        <w:spacing w:after="0" w:line="240" w:lineRule="auto"/>
        <w:ind w:firstLine="720"/>
        <w:rPr>
          <w:rFonts w:ascii="Verdana" w:hAnsi="Verdana"/>
          <w:i/>
          <w:spacing w:val="-2"/>
          <w:sz w:val="20"/>
          <w:szCs w:val="20"/>
        </w:rPr>
      </w:pPr>
      <w:r w:rsidRPr="002964A7">
        <w:rPr>
          <w:rFonts w:ascii="Verdana" w:hAnsi="Verdana"/>
          <w:i/>
          <w:spacing w:val="-2"/>
          <w:sz w:val="20"/>
          <w:szCs w:val="20"/>
        </w:rPr>
        <w:t>Consideraciones de la Corte</w:t>
      </w:r>
    </w:p>
    <w:p w:rsidR="00AB496F" w:rsidRPr="00732094" w:rsidRDefault="00AB496F" w:rsidP="00AB496F">
      <w:pPr>
        <w:spacing w:after="0" w:line="240" w:lineRule="auto"/>
        <w:rPr>
          <w:rFonts w:ascii="Verdana" w:hAnsi="Verdana"/>
          <w:i/>
          <w:spacing w:val="-2"/>
          <w:sz w:val="16"/>
          <w:szCs w:val="20"/>
        </w:rPr>
      </w:pPr>
    </w:p>
    <w:p w:rsidR="00AB496F" w:rsidRPr="00AE1169" w:rsidRDefault="00AB496F" w:rsidP="001154F9">
      <w:pPr>
        <w:pStyle w:val="ListParagraph"/>
        <w:numPr>
          <w:ilvl w:val="0"/>
          <w:numId w:val="7"/>
        </w:numPr>
        <w:autoSpaceDE w:val="0"/>
        <w:autoSpaceDN w:val="0"/>
        <w:adjustRightInd w:val="0"/>
        <w:spacing w:after="0" w:line="240" w:lineRule="auto"/>
        <w:ind w:left="0" w:firstLine="0"/>
        <w:jc w:val="both"/>
        <w:rPr>
          <w:sz w:val="20"/>
          <w:szCs w:val="20"/>
        </w:rPr>
      </w:pPr>
      <w:r w:rsidRPr="002964A7">
        <w:rPr>
          <w:rFonts w:ascii="Verdana" w:hAnsi="Verdana" w:cs="Verdana-Italic"/>
          <w:spacing w:val="-2"/>
          <w:sz w:val="20"/>
          <w:szCs w:val="20"/>
          <w:lang w:bidi="en-US"/>
        </w:rPr>
        <w:t xml:space="preserve">Este Tribunal valora las acciones realizadas por el Estado con el fin de esclarecer los hechos. En específico, reitera que </w:t>
      </w:r>
      <w:r w:rsidRPr="002964A7">
        <w:rPr>
          <w:rFonts w:ascii="Verdana" w:hAnsi="Verdana"/>
          <w:spacing w:val="-2"/>
          <w:sz w:val="20"/>
          <w:szCs w:val="20"/>
          <w:lang w:eastAsia="es-CR"/>
        </w:rPr>
        <w:t xml:space="preserve">las </w:t>
      </w:r>
      <w:r w:rsidRPr="002964A7">
        <w:rPr>
          <w:rFonts w:ascii="Verdana" w:hAnsi="Verdana" w:cs="Univers"/>
          <w:spacing w:val="-2"/>
          <w:sz w:val="20"/>
          <w:szCs w:val="20"/>
          <w:lang w:val="es-CO" w:eastAsia="es-CR"/>
        </w:rPr>
        <w:t xml:space="preserve">sentencias de </w:t>
      </w:r>
      <w:r w:rsidRPr="002964A7">
        <w:rPr>
          <w:rFonts w:ascii="Verdana" w:hAnsi="Verdana" w:cs="Arial"/>
          <w:spacing w:val="-2"/>
          <w:sz w:val="20"/>
          <w:szCs w:val="20"/>
          <w:lang w:eastAsia="es-CR"/>
        </w:rPr>
        <w:t xml:space="preserve">9 de febrero de 2012 y </w:t>
      </w:r>
      <w:r w:rsidRPr="002964A7">
        <w:rPr>
          <w:rFonts w:ascii="Verdana" w:hAnsi="Verdana"/>
          <w:spacing w:val="-2"/>
          <w:sz w:val="20"/>
          <w:szCs w:val="20"/>
          <w:lang w:eastAsia="es-CR"/>
        </w:rPr>
        <w:t>29 de mayo de 2013</w:t>
      </w:r>
      <w:r w:rsidRPr="002964A7">
        <w:rPr>
          <w:rFonts w:ascii="Verdana" w:hAnsi="Verdana" w:cs="Arial"/>
          <w:spacing w:val="-2"/>
          <w:sz w:val="20"/>
          <w:szCs w:val="20"/>
          <w:lang w:eastAsia="es-CR"/>
        </w:rPr>
        <w:t xml:space="preserve">, emitidas respectivamente por la Sala Penal Nacional y la </w:t>
      </w:r>
      <w:r w:rsidRPr="002964A7">
        <w:rPr>
          <w:rFonts w:ascii="Verdana" w:hAnsi="Verdana"/>
          <w:spacing w:val="-2"/>
          <w:sz w:val="20"/>
          <w:szCs w:val="20"/>
          <w:lang w:eastAsia="es-CR"/>
        </w:rPr>
        <w:t>Sala Penal Transitoria de la Corte Suprema de Justicia</w:t>
      </w:r>
      <w:r w:rsidRPr="002964A7">
        <w:rPr>
          <w:rFonts w:ascii="Verdana" w:hAnsi="Verdana" w:cs="Verdana-Italic"/>
          <w:iCs/>
          <w:spacing w:val="-2"/>
          <w:sz w:val="20"/>
          <w:szCs w:val="20"/>
          <w:lang w:bidi="en-US"/>
        </w:rPr>
        <w:t xml:space="preserve">, </w:t>
      </w:r>
      <w:r w:rsidRPr="002964A7">
        <w:rPr>
          <w:rFonts w:ascii="Verdana" w:hAnsi="Verdana"/>
          <w:spacing w:val="-2"/>
          <w:sz w:val="20"/>
          <w:szCs w:val="20"/>
          <w:lang w:eastAsia="es-CR"/>
        </w:rPr>
        <w:t>son un referente importante y positivo en el actuar estatal de su Poder Judicial</w:t>
      </w:r>
      <w:r w:rsidRPr="002964A7">
        <w:rPr>
          <w:rFonts w:ascii="Verdana" w:hAnsi="Verdana" w:cs="Verdana-Italic"/>
          <w:spacing w:val="-2"/>
          <w:sz w:val="20"/>
          <w:szCs w:val="20"/>
          <w:lang w:bidi="en-US"/>
        </w:rPr>
        <w:t xml:space="preserve">. No obstante, teniendo en cuenta las conclusiones </w:t>
      </w:r>
      <w:r w:rsidRPr="005C2EA4">
        <w:rPr>
          <w:rFonts w:ascii="Verdana" w:hAnsi="Verdana" w:cs="Verdana-Italic"/>
          <w:spacing w:val="-2"/>
          <w:sz w:val="20"/>
          <w:szCs w:val="20"/>
          <w:lang w:bidi="en-US"/>
        </w:rPr>
        <w:t>de los Capítulos IX.I y IX.III</w:t>
      </w:r>
      <w:r w:rsidRPr="00B85776">
        <w:rPr>
          <w:rFonts w:ascii="Verdana" w:hAnsi="Verdana" w:cs="Verdana-Italic"/>
          <w:spacing w:val="-2"/>
          <w:sz w:val="20"/>
          <w:szCs w:val="20"/>
          <w:lang w:bidi="en-US"/>
        </w:rPr>
        <w:t xml:space="preserve"> </w:t>
      </w:r>
      <w:r w:rsidRPr="002964A7">
        <w:rPr>
          <w:rFonts w:ascii="Verdana" w:hAnsi="Verdana" w:cs="Verdana-Italic"/>
          <w:spacing w:val="-2"/>
          <w:sz w:val="20"/>
          <w:szCs w:val="20"/>
          <w:lang w:bidi="en-US"/>
        </w:rPr>
        <w:t xml:space="preserve">de esta Sentencia, la Corte dispone que el Estado debe llevar a cabo las investigaciones amplias, sistemáticas y minuciosas que sean necesarias para determinar, juzgar y, en su caso, sancionar a los responsables de </w:t>
      </w:r>
      <w:r w:rsidR="00401209">
        <w:rPr>
          <w:rFonts w:ascii="Verdana" w:hAnsi="Verdana" w:cs="Verdana-Italic"/>
          <w:spacing w:val="-2"/>
          <w:sz w:val="20"/>
          <w:szCs w:val="20"/>
          <w:lang w:bidi="en-US"/>
        </w:rPr>
        <w:t>lo ocurrido a</w:t>
      </w:r>
      <w:r w:rsidRPr="002964A7">
        <w:rPr>
          <w:rFonts w:ascii="Verdana" w:hAnsi="Verdana" w:cs="Verdana-Italic"/>
          <w:spacing w:val="-2"/>
          <w:sz w:val="20"/>
          <w:szCs w:val="20"/>
          <w:lang w:bidi="en-US"/>
        </w:rPr>
        <w:t xml:space="preserve"> </w:t>
      </w:r>
      <w:r w:rsidR="002B6830">
        <w:rPr>
          <w:rFonts w:ascii="Verdana" w:hAnsi="Verdana" w:cs="Verdana-Italic"/>
          <w:spacing w:val="-2"/>
          <w:sz w:val="20"/>
          <w:szCs w:val="20"/>
          <w:lang w:bidi="en-US"/>
        </w:rPr>
        <w:t xml:space="preserve">las </w:t>
      </w:r>
      <w:r w:rsidRPr="002964A7">
        <w:rPr>
          <w:rFonts w:ascii="Verdana" w:hAnsi="Verdana" w:cs="Verdana-Italic"/>
          <w:spacing w:val="-2"/>
          <w:sz w:val="20"/>
          <w:szCs w:val="20"/>
          <w:lang w:bidi="en-US"/>
        </w:rPr>
        <w:t xml:space="preserve">quince víctimas </w:t>
      </w:r>
      <w:r w:rsidR="002B6830">
        <w:rPr>
          <w:rFonts w:ascii="Verdana" w:hAnsi="Verdana" w:cs="Verdana-Italic"/>
          <w:spacing w:val="-2"/>
          <w:sz w:val="20"/>
          <w:szCs w:val="20"/>
          <w:lang w:bidi="en-US"/>
        </w:rPr>
        <w:t xml:space="preserve">señaladas en el párrafo 194 </w:t>
      </w:r>
      <w:r w:rsidR="00CB71AA">
        <w:rPr>
          <w:rFonts w:ascii="Verdana" w:hAnsi="Verdana" w:cs="Verdana-Italic"/>
          <w:spacing w:val="-2"/>
          <w:sz w:val="20"/>
          <w:szCs w:val="20"/>
          <w:lang w:bidi="en-US"/>
        </w:rPr>
        <w:t>del presente</w:t>
      </w:r>
      <w:r w:rsidR="002B6830">
        <w:rPr>
          <w:rFonts w:ascii="Verdana" w:hAnsi="Verdana" w:cs="Verdana-Italic"/>
          <w:spacing w:val="-2"/>
          <w:sz w:val="20"/>
          <w:szCs w:val="20"/>
          <w:lang w:bidi="en-US"/>
        </w:rPr>
        <w:t xml:space="preserve"> Fallo</w:t>
      </w:r>
      <w:r w:rsidRPr="002964A7">
        <w:rPr>
          <w:rFonts w:ascii="Verdana" w:hAnsi="Verdana" w:cs="Verdana-Italic"/>
          <w:spacing w:val="-2"/>
          <w:sz w:val="20"/>
          <w:szCs w:val="20"/>
          <w:lang w:bidi="en-US"/>
        </w:rPr>
        <w:t>. Dicha obligación debe ser cumplida en un plazo razonable</w:t>
      </w:r>
      <w:r>
        <w:rPr>
          <w:rFonts w:ascii="Verdana" w:hAnsi="Verdana" w:cs="Verdana-Italic"/>
          <w:spacing w:val="-2"/>
          <w:sz w:val="20"/>
          <w:szCs w:val="20"/>
          <w:lang w:bidi="en-US"/>
        </w:rPr>
        <w:t xml:space="preserve"> </w:t>
      </w:r>
      <w:r w:rsidRPr="002964A7">
        <w:rPr>
          <w:rFonts w:ascii="Verdana" w:hAnsi="Verdana" w:cs="Times-Roman"/>
          <w:spacing w:val="-2"/>
          <w:sz w:val="20"/>
          <w:szCs w:val="20"/>
          <w:lang w:val="es-ES" w:bidi="en-US"/>
        </w:rPr>
        <w:t>a través de los mecanismos existentes en el derecho interno</w:t>
      </w:r>
      <w:r>
        <w:rPr>
          <w:rFonts w:ascii="Verdana" w:hAnsi="Verdana" w:cs="Times-Roman"/>
          <w:spacing w:val="-2"/>
          <w:sz w:val="20"/>
          <w:szCs w:val="20"/>
          <w:lang w:val="es-ES" w:bidi="en-US"/>
        </w:rPr>
        <w:t xml:space="preserve">. </w:t>
      </w:r>
    </w:p>
    <w:p w:rsidR="00AB496F" w:rsidRPr="002964A7" w:rsidRDefault="00AB496F" w:rsidP="00AB496F">
      <w:pPr>
        <w:pStyle w:val="ListParagraph"/>
        <w:autoSpaceDE w:val="0"/>
        <w:autoSpaceDN w:val="0"/>
        <w:adjustRightInd w:val="0"/>
        <w:spacing w:after="0" w:line="240" w:lineRule="auto"/>
        <w:ind w:left="0"/>
        <w:jc w:val="both"/>
        <w:rPr>
          <w:sz w:val="20"/>
          <w:szCs w:val="20"/>
        </w:rPr>
      </w:pPr>
    </w:p>
    <w:p w:rsidR="00AB496F" w:rsidRPr="001154F9"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cs="Verdana-Italic"/>
          <w:iCs/>
          <w:spacing w:val="-2"/>
          <w:sz w:val="20"/>
          <w:szCs w:val="20"/>
          <w:lang w:bidi="en-US"/>
        </w:rPr>
        <w:lastRenderedPageBreak/>
        <w:t xml:space="preserve">Conforme </w:t>
      </w:r>
      <w:r w:rsidRPr="002964A7">
        <w:rPr>
          <w:rFonts w:ascii="Verdana" w:hAnsi="Verdana"/>
          <w:spacing w:val="-2"/>
          <w:sz w:val="20"/>
          <w:szCs w:val="20"/>
          <w:lang w:val="es-ES"/>
        </w:rPr>
        <w:t>a su jurisprudencia constante</w:t>
      </w:r>
      <w:r w:rsidRPr="002964A7">
        <w:rPr>
          <w:rStyle w:val="FootnoteReference"/>
          <w:rFonts w:eastAsia="Calibri"/>
          <w:spacing w:val="-2"/>
          <w:szCs w:val="20"/>
        </w:rPr>
        <w:footnoteReference w:id="339"/>
      </w:r>
      <w:r w:rsidRPr="002964A7">
        <w:rPr>
          <w:rFonts w:ascii="Verdana" w:hAnsi="Verdana"/>
          <w:spacing w:val="-2"/>
          <w:sz w:val="20"/>
          <w:szCs w:val="20"/>
          <w:lang w:val="es-ES"/>
        </w:rPr>
        <w:t xml:space="preserve">, la Corte considera que </w:t>
      </w:r>
      <w:r w:rsidRPr="002964A7">
        <w:rPr>
          <w:rFonts w:ascii="Verdana" w:hAnsi="Verdana"/>
          <w:spacing w:val="-2"/>
          <w:sz w:val="20"/>
          <w:szCs w:val="20"/>
        </w:rPr>
        <w:t>el Estado debe asegurar el pleno acceso y capacidad de actuar de las víctimas o sus familiares en todas las etapas de la investigación y el juzgamiento de los responsables,</w:t>
      </w:r>
      <w:r w:rsidRPr="002964A7">
        <w:rPr>
          <w:rFonts w:ascii="Verdana" w:hAnsi="Verdana"/>
          <w:spacing w:val="-2"/>
          <w:sz w:val="20"/>
          <w:szCs w:val="20"/>
          <w:lang w:val="es-ES"/>
        </w:rPr>
        <w:t xml:space="preserve"> de acuerdo con la ley interna y las normas de la Convención Americana</w:t>
      </w:r>
      <w:r w:rsidRPr="002964A7">
        <w:rPr>
          <w:rFonts w:ascii="Verdana" w:hAnsi="Verdana"/>
          <w:spacing w:val="-2"/>
          <w:sz w:val="20"/>
          <w:szCs w:val="20"/>
        </w:rPr>
        <w:t>. Adicionalmente, los resultados de los procesos correspondientes deberán ser públicamente divulgados para que la sociedad peruana conozca los hechos objeto del presente caso, así como</w:t>
      </w:r>
      <w:r>
        <w:rPr>
          <w:rFonts w:ascii="Verdana" w:hAnsi="Verdana"/>
          <w:spacing w:val="-2"/>
          <w:sz w:val="20"/>
          <w:szCs w:val="20"/>
        </w:rPr>
        <w:t>, en su caso,</w:t>
      </w:r>
      <w:r w:rsidRPr="002964A7">
        <w:rPr>
          <w:rFonts w:ascii="Verdana" w:hAnsi="Verdana"/>
          <w:spacing w:val="-2"/>
          <w:sz w:val="20"/>
          <w:szCs w:val="20"/>
        </w:rPr>
        <w:t xml:space="preserve"> a sus responsables.</w:t>
      </w:r>
      <w:r>
        <w:rPr>
          <w:rFonts w:ascii="Verdana" w:hAnsi="Verdana"/>
          <w:spacing w:val="-2"/>
          <w:sz w:val="20"/>
          <w:szCs w:val="20"/>
        </w:rPr>
        <w:t xml:space="preserve"> </w:t>
      </w:r>
    </w:p>
    <w:p w:rsidR="00AB496F" w:rsidRPr="00F13F0B" w:rsidRDefault="00AB496F" w:rsidP="00CB71AA">
      <w:pPr>
        <w:pStyle w:val="Heading3"/>
        <w:spacing w:line="240" w:lineRule="auto"/>
        <w:rPr>
          <w:rFonts w:cs="Verdana-Italic"/>
          <w:iCs/>
          <w:lang w:bidi="en-US"/>
        </w:rPr>
      </w:pPr>
      <w:bookmarkStart w:id="257" w:name="_Toc423102573"/>
      <w:bookmarkStart w:id="258" w:name="_Toc433387524"/>
      <w:r w:rsidRPr="00F13F0B">
        <w:rPr>
          <w:rFonts w:cs="Verdana-Italic"/>
          <w:iCs/>
          <w:lang w:bidi="en-US"/>
        </w:rPr>
        <w:t xml:space="preserve">B.2. </w:t>
      </w:r>
      <w:r w:rsidRPr="005C2EA4">
        <w:t>Determinación del paradero</w:t>
      </w:r>
      <w:r w:rsidRPr="00F13F0B">
        <w:t xml:space="preserve"> </w:t>
      </w:r>
      <w:r>
        <w:rPr>
          <w:rFonts w:cs="Verdana-Italic"/>
          <w:iCs/>
          <w:lang w:bidi="en-US"/>
        </w:rPr>
        <w:t>y</w:t>
      </w:r>
      <w:r w:rsidRPr="008D259E">
        <w:rPr>
          <w:rFonts w:cs="Verdana-Italic"/>
          <w:iCs/>
          <w:lang w:bidi="en-US"/>
        </w:rPr>
        <w:t xml:space="preserve"> la recuperaci</w:t>
      </w:r>
      <w:r>
        <w:rPr>
          <w:rFonts w:cs="Verdana-Italic"/>
          <w:iCs/>
          <w:lang w:bidi="en-US"/>
        </w:rPr>
        <w:t>ón</w:t>
      </w:r>
      <w:r w:rsidRPr="008D259E">
        <w:rPr>
          <w:rFonts w:cs="Verdana-Italic"/>
          <w:iCs/>
          <w:lang w:bidi="en-US"/>
        </w:rPr>
        <w:t xml:space="preserve"> </w:t>
      </w:r>
      <w:r>
        <w:t xml:space="preserve">e identificación </w:t>
      </w:r>
      <w:r w:rsidRPr="00F13F0B">
        <w:t>de las víctimas desaparecidas</w:t>
      </w:r>
      <w:bookmarkEnd w:id="257"/>
      <w:bookmarkEnd w:id="258"/>
    </w:p>
    <w:p w:rsidR="00AB496F" w:rsidRPr="00CB71AA" w:rsidRDefault="00AB496F" w:rsidP="00AB496F">
      <w:pPr>
        <w:widowControl w:val="0"/>
        <w:tabs>
          <w:tab w:val="left" w:pos="90"/>
          <w:tab w:val="left" w:pos="567"/>
        </w:tabs>
        <w:suppressAutoHyphens/>
        <w:autoSpaceDE w:val="0"/>
        <w:spacing w:after="0" w:line="240" w:lineRule="auto"/>
        <w:ind w:right="-121"/>
        <w:jc w:val="both"/>
        <w:rPr>
          <w:rFonts w:ascii="Verdana" w:hAnsi="Verdana" w:cs="Verdana-Italic"/>
          <w:i/>
          <w:iCs/>
          <w:spacing w:val="-2"/>
          <w:sz w:val="16"/>
          <w:szCs w:val="20"/>
          <w:lang w:bidi="en-US"/>
        </w:rPr>
      </w:pPr>
    </w:p>
    <w:p w:rsidR="00AB496F" w:rsidRPr="002964A7" w:rsidRDefault="00AB496F" w:rsidP="00AB496F">
      <w:pPr>
        <w:widowControl w:val="0"/>
        <w:suppressAutoHyphens/>
        <w:autoSpaceDE w:val="0"/>
        <w:spacing w:after="0" w:line="240" w:lineRule="auto"/>
        <w:ind w:right="-121" w:firstLine="720"/>
        <w:jc w:val="both"/>
        <w:rPr>
          <w:rFonts w:ascii="Verdana" w:hAnsi="Verdana" w:cs="Verdana-Italic"/>
          <w:i/>
          <w:iCs/>
          <w:spacing w:val="-2"/>
          <w:sz w:val="20"/>
          <w:szCs w:val="20"/>
          <w:lang w:bidi="en-US"/>
        </w:rPr>
      </w:pPr>
      <w:r w:rsidRPr="002964A7">
        <w:rPr>
          <w:rFonts w:ascii="Verdana" w:hAnsi="Verdana" w:cs="Verdana-Italic"/>
          <w:i/>
          <w:iCs/>
          <w:spacing w:val="-2"/>
          <w:sz w:val="20"/>
          <w:szCs w:val="20"/>
          <w:lang w:bidi="en-US"/>
        </w:rPr>
        <w:t>Argumentos de la Comisión</w:t>
      </w:r>
      <w:r w:rsidRPr="008E1586">
        <w:rPr>
          <w:rFonts w:ascii="Verdana" w:hAnsi="Verdana" w:cs="Verdana-Italic"/>
          <w:i/>
          <w:iCs/>
          <w:spacing w:val="-2"/>
          <w:sz w:val="20"/>
          <w:szCs w:val="20"/>
          <w:lang w:bidi="en-US"/>
        </w:rPr>
        <w:t xml:space="preserve"> </w:t>
      </w:r>
      <w:r>
        <w:rPr>
          <w:rFonts w:ascii="Verdana" w:hAnsi="Verdana" w:cs="Verdana-Italic"/>
          <w:i/>
          <w:iCs/>
          <w:spacing w:val="-2"/>
          <w:sz w:val="20"/>
          <w:szCs w:val="20"/>
          <w:lang w:bidi="en-US"/>
        </w:rPr>
        <w:t xml:space="preserve">y </w:t>
      </w:r>
      <w:r w:rsidRPr="002964A7">
        <w:rPr>
          <w:rFonts w:ascii="Verdana" w:hAnsi="Verdana" w:cs="Verdana-Italic"/>
          <w:i/>
          <w:iCs/>
          <w:spacing w:val="-2"/>
          <w:sz w:val="20"/>
          <w:szCs w:val="20"/>
          <w:lang w:bidi="en-US"/>
        </w:rPr>
        <w:t>las partes</w:t>
      </w:r>
    </w:p>
    <w:p w:rsidR="00AB496F" w:rsidRPr="00CB71AA" w:rsidRDefault="00AB496F" w:rsidP="00AB496F">
      <w:pPr>
        <w:widowControl w:val="0"/>
        <w:tabs>
          <w:tab w:val="left" w:pos="90"/>
          <w:tab w:val="left" w:pos="567"/>
        </w:tabs>
        <w:suppressAutoHyphens/>
        <w:autoSpaceDE w:val="0"/>
        <w:spacing w:after="0" w:line="240" w:lineRule="auto"/>
        <w:ind w:right="-121"/>
        <w:jc w:val="both"/>
        <w:rPr>
          <w:rFonts w:ascii="Verdana" w:hAnsi="Verdana" w:cs="Verdana-Italic"/>
          <w:i/>
          <w:iCs/>
          <w:spacing w:val="-2"/>
          <w:sz w:val="16"/>
          <w:szCs w:val="20"/>
          <w:lang w:bidi="en-US"/>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La </w:t>
      </w:r>
      <w:r w:rsidRPr="002964A7">
        <w:rPr>
          <w:rFonts w:ascii="Verdana" w:hAnsi="Verdana"/>
          <w:b/>
          <w:i/>
          <w:spacing w:val="-2"/>
          <w:sz w:val="20"/>
          <w:szCs w:val="20"/>
        </w:rPr>
        <w:t>Comisión</w:t>
      </w:r>
      <w:r w:rsidRPr="002964A7">
        <w:rPr>
          <w:rFonts w:ascii="Verdana" w:hAnsi="Verdana"/>
          <w:spacing w:val="-2"/>
          <w:sz w:val="20"/>
          <w:szCs w:val="20"/>
        </w:rPr>
        <w:t xml:space="preserve"> solicitó el establecimiento de un mecanismo que permita, en la mayor medida posible, la identificación completa de las víctimas desaparecidas y la devolución de los restos mortales de dichas víctimas a sus familiares. </w:t>
      </w:r>
      <w:r w:rsidRPr="002964A7">
        <w:rPr>
          <w:rFonts w:ascii="Verdana" w:hAnsi="Verdana" w:cs="Cambria"/>
          <w:spacing w:val="-2"/>
          <w:sz w:val="20"/>
          <w:szCs w:val="20"/>
        </w:rPr>
        <w:t xml:space="preserve">Además, destacó la </w:t>
      </w:r>
      <w:r w:rsidRPr="002964A7">
        <w:rPr>
          <w:rFonts w:ascii="Verdana" w:hAnsi="Verdana"/>
          <w:spacing w:val="-2"/>
          <w:sz w:val="20"/>
          <w:szCs w:val="20"/>
        </w:rPr>
        <w:t>pertinencia</w:t>
      </w:r>
      <w:r w:rsidRPr="002964A7">
        <w:rPr>
          <w:rFonts w:ascii="Verdana" w:hAnsi="Verdana" w:cs="Cambria"/>
          <w:spacing w:val="-2"/>
          <w:sz w:val="20"/>
          <w:szCs w:val="20"/>
        </w:rPr>
        <w:t xml:space="preserve"> de que, a fin de lograr el cese de las desapariciones forzadas y el esclarecimiento de lo ocurrido, la Corte ordene al Estado desplegar todas las medidas necesarias para corregir las deficiencias que han tenido lugar hasta ahora en las diligencias forenses y para asegurar la mayor identificación posible de las víctimas de este caso a través de todos los mecanismos técnicos y científicos a su disposición.</w:t>
      </w:r>
    </w:p>
    <w:p w:rsidR="00AB496F" w:rsidRPr="002964A7" w:rsidRDefault="00AB496F" w:rsidP="00AB496F">
      <w:pPr>
        <w:spacing w:after="0" w:line="240" w:lineRule="auto"/>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Los </w:t>
      </w:r>
      <w:r w:rsidRPr="002964A7">
        <w:rPr>
          <w:rFonts w:ascii="Verdana" w:hAnsi="Verdana"/>
          <w:b/>
          <w:i/>
          <w:spacing w:val="-2"/>
          <w:sz w:val="20"/>
          <w:szCs w:val="20"/>
        </w:rPr>
        <w:t>representantes</w:t>
      </w:r>
      <w:r w:rsidRPr="002964A7">
        <w:rPr>
          <w:rFonts w:ascii="Verdana" w:hAnsi="Verdana"/>
          <w:spacing w:val="-2"/>
          <w:sz w:val="20"/>
          <w:szCs w:val="20"/>
        </w:rPr>
        <w:t xml:space="preserve"> solicitaron a la Corte que ordene al Estado establecer un mecanismo que permita, en la mayor medida posible, la identificación completa de las víctimas desaparecidas y la devolución de </w:t>
      </w:r>
      <w:r w:rsidRPr="002964A7">
        <w:rPr>
          <w:rFonts w:ascii="Verdana" w:hAnsi="Verdana" w:cs="Cambria"/>
          <w:spacing w:val="-2"/>
          <w:sz w:val="20"/>
          <w:szCs w:val="20"/>
        </w:rPr>
        <w:t>los</w:t>
      </w:r>
      <w:r w:rsidRPr="002964A7">
        <w:rPr>
          <w:rFonts w:ascii="Verdana" w:hAnsi="Verdana"/>
          <w:spacing w:val="-2"/>
          <w:sz w:val="20"/>
          <w:szCs w:val="20"/>
        </w:rPr>
        <w:t xml:space="preserve"> restos mortales de dichas víctimas a sus familiares. Señalaron que cualquier activad tendiente a localizar el paradero de los familiares desaparecidos debe llevarse a cabo en acuerdo y con la participación de sus familiares y representantes legales. En específico, solicitaron a la Corte que ordene al Estado realizar las gestiones necesarias para la identificación de los restos que ya han sido encontrados y que no han sido identificados. Además, solicitaron que se disponga una tercera exhumación con el objetivo de explorar minuciosamente la mina “Misteriosa”, o “Va</w:t>
      </w:r>
      <w:r w:rsidR="00884B9C">
        <w:rPr>
          <w:rFonts w:ascii="Verdana" w:hAnsi="Verdana"/>
          <w:spacing w:val="-2"/>
          <w:sz w:val="20"/>
          <w:szCs w:val="20"/>
        </w:rPr>
        <w:t>ll</w:t>
      </w:r>
      <w:r w:rsidRPr="002964A7">
        <w:rPr>
          <w:rFonts w:ascii="Verdana" w:hAnsi="Verdana"/>
          <w:spacing w:val="-2"/>
          <w:sz w:val="20"/>
          <w:szCs w:val="20"/>
        </w:rPr>
        <w:t>a</w:t>
      </w:r>
      <w:r w:rsidR="00884B9C">
        <w:rPr>
          <w:rFonts w:ascii="Verdana" w:hAnsi="Verdana"/>
          <w:spacing w:val="-2"/>
          <w:sz w:val="20"/>
          <w:szCs w:val="20"/>
        </w:rPr>
        <w:t>r</w:t>
      </w:r>
      <w:r w:rsidRPr="002964A7">
        <w:rPr>
          <w:rFonts w:ascii="Verdana" w:hAnsi="Verdana"/>
          <w:spacing w:val="-2"/>
          <w:sz w:val="20"/>
          <w:szCs w:val="20"/>
        </w:rPr>
        <w:t xml:space="preserve">ón”, y agotar toda investigación para procurar el hallazgo de los restos de las 15 víctimas. Finalmente, en el evento de que se encuentren los restos mortales, </w:t>
      </w:r>
      <w:r w:rsidR="00335E16">
        <w:rPr>
          <w:rFonts w:ascii="Verdana" w:hAnsi="Verdana"/>
          <w:spacing w:val="-2"/>
          <w:sz w:val="20"/>
          <w:szCs w:val="20"/>
        </w:rPr>
        <w:t>e</w:t>
      </w:r>
      <w:r w:rsidRPr="002964A7">
        <w:rPr>
          <w:rFonts w:ascii="Verdana" w:hAnsi="Verdana"/>
          <w:spacing w:val="-2"/>
          <w:sz w:val="20"/>
          <w:szCs w:val="20"/>
        </w:rPr>
        <w:t xml:space="preserve">stos deberán ser entregados a sus familiares previa comprobación genética de filiación, a la mayor brevedad posible y sin costo alguno. Asimismo, solicitaron que el Estado cubra los gastos funerarios, de acuerdo con las creencias de las familias y de común acuerdo con </w:t>
      </w:r>
      <w:r>
        <w:rPr>
          <w:rFonts w:ascii="Verdana" w:hAnsi="Verdana"/>
          <w:spacing w:val="-2"/>
          <w:sz w:val="20"/>
          <w:szCs w:val="20"/>
        </w:rPr>
        <w:t>e</w:t>
      </w:r>
      <w:r w:rsidRPr="002964A7">
        <w:rPr>
          <w:rFonts w:ascii="Verdana" w:hAnsi="Verdana"/>
          <w:spacing w:val="-2"/>
          <w:sz w:val="20"/>
          <w:szCs w:val="20"/>
        </w:rPr>
        <w:t xml:space="preserve">stos, así como disponga de un espacio adecuado para que los familiares de las víctimas que así lo deseen puedan depositar los restos de </w:t>
      </w:r>
      <w:r>
        <w:rPr>
          <w:rFonts w:ascii="Verdana" w:hAnsi="Verdana"/>
          <w:spacing w:val="-2"/>
          <w:sz w:val="20"/>
          <w:szCs w:val="20"/>
        </w:rPr>
        <w:t>e</w:t>
      </w:r>
      <w:r w:rsidRPr="002964A7">
        <w:rPr>
          <w:rFonts w:ascii="Verdana" w:hAnsi="Verdana"/>
          <w:spacing w:val="-2"/>
          <w:sz w:val="20"/>
          <w:szCs w:val="20"/>
        </w:rPr>
        <w:t xml:space="preserve">stas en el Cementerio de Tambillo o en el lugar que sea acordado con las víctimas. </w:t>
      </w:r>
    </w:p>
    <w:p w:rsidR="00AB496F" w:rsidRPr="002964A7" w:rsidRDefault="00AB496F" w:rsidP="00AB496F">
      <w:pPr>
        <w:pStyle w:val="ListParagraph"/>
        <w:spacing w:after="0" w:line="240" w:lineRule="auto"/>
        <w:ind w:left="0"/>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El </w:t>
      </w:r>
      <w:r w:rsidRPr="002964A7">
        <w:rPr>
          <w:rFonts w:ascii="Verdana" w:hAnsi="Verdana"/>
          <w:b/>
          <w:i/>
          <w:spacing w:val="-2"/>
          <w:sz w:val="20"/>
          <w:szCs w:val="20"/>
        </w:rPr>
        <w:t>Estado</w:t>
      </w:r>
      <w:r w:rsidRPr="002964A7">
        <w:rPr>
          <w:rFonts w:ascii="Verdana" w:hAnsi="Verdana"/>
          <w:spacing w:val="-2"/>
          <w:sz w:val="20"/>
          <w:szCs w:val="20"/>
        </w:rPr>
        <w:t xml:space="preserve"> manifestó que tiene la plena disposición para realizar las acciones necesarias para la identificación de las presuntas víctimas del presente caso, tal como lo ha demostrado con la realización de las últimas diligencias practicadas por el Equipo Forense Especializado (EFE) del Instituto de Medicina Legal y Ciencias Forenses del Ministerio Público. No obstante, sostuvo que es innegable que a la fecha existen limitaciones objetivas de peso que imposibilitan al Estado cumplir con lo requerido por la Comisión. Al respecto, solicitó a la Corte que tome en cuenta que el Instituto de Medicina Legal informó “que las posibilidades de identificación de los restos óseos humanos son reducidas, debido a que no existen muestras de familiares con quien pueda realizarse la comparación de los perfiles de ADN obtenidos de los restos óseos. Asimismo, la muestra de restos óseos obtenida en el lugar de los hechos es escasa, y la misma se encontraba en mal estado de conservación </w:t>
      </w:r>
      <w:r w:rsidRPr="002964A7">
        <w:rPr>
          <w:rFonts w:ascii="Verdana" w:hAnsi="Verdana"/>
          <w:spacing w:val="-2"/>
          <w:sz w:val="20"/>
          <w:szCs w:val="20"/>
        </w:rPr>
        <w:lastRenderedPageBreak/>
        <w:t>debido a las condiciones propias de la zona donde fue obtenida y al paso del tiempo”. Según el Estado, “[s]on estas limitaciones objetivas (y no una desidia o inacción del Estado peruano) las que no permitirían conseguir tal objetivo aun cuando se realic</w:t>
      </w:r>
      <w:r>
        <w:rPr>
          <w:rFonts w:ascii="Verdana" w:hAnsi="Verdana"/>
          <w:spacing w:val="-2"/>
          <w:sz w:val="20"/>
          <w:szCs w:val="20"/>
        </w:rPr>
        <w:t>[</w:t>
      </w:r>
      <w:r w:rsidRPr="002964A7">
        <w:rPr>
          <w:rFonts w:ascii="Verdana" w:hAnsi="Verdana"/>
          <w:spacing w:val="-2"/>
          <w:sz w:val="20"/>
          <w:szCs w:val="20"/>
        </w:rPr>
        <w:t>e</w:t>
      </w:r>
      <w:r>
        <w:rPr>
          <w:rFonts w:ascii="Verdana" w:hAnsi="Verdana"/>
          <w:spacing w:val="-2"/>
          <w:sz w:val="20"/>
          <w:szCs w:val="20"/>
        </w:rPr>
        <w:t>]</w:t>
      </w:r>
      <w:r w:rsidRPr="002964A7">
        <w:rPr>
          <w:rFonts w:ascii="Verdana" w:hAnsi="Verdana"/>
          <w:spacing w:val="-2"/>
          <w:sz w:val="20"/>
          <w:szCs w:val="20"/>
        </w:rPr>
        <w:t xml:space="preserve"> el máximo de los esfuerzos y trabajos de índole forense”. Por otro lado y a modo de marco general a fin de ser evaluado por la Corte, se refirió “a los mecanismos sobre la identificación de víctimas a través de toma de muestras de ADN de familiares y de los restos óseos exhumados que se viene impulsando a la fecha por los órganos competentes” del Estado</w:t>
      </w:r>
      <w:r>
        <w:rPr>
          <w:rFonts w:ascii="Verdana" w:hAnsi="Verdana"/>
          <w:spacing w:val="-2"/>
          <w:sz w:val="20"/>
          <w:szCs w:val="20"/>
        </w:rPr>
        <w:t xml:space="preserve">, así como al </w:t>
      </w:r>
      <w:r w:rsidRPr="002964A7">
        <w:rPr>
          <w:rFonts w:ascii="Verdana" w:hAnsi="Verdana"/>
          <w:spacing w:val="-2"/>
          <w:sz w:val="20"/>
          <w:szCs w:val="20"/>
        </w:rPr>
        <w:t xml:space="preserve">trabajo del Equipo Forense Especializado (EFE) del Instituto de Medicina Legal y Ciencias Forenses del Ministerio Público. </w:t>
      </w:r>
    </w:p>
    <w:p w:rsidR="00AB496F" w:rsidRPr="00CB71AA" w:rsidRDefault="00AB496F" w:rsidP="00AB496F">
      <w:pPr>
        <w:pStyle w:val="ListParagraph"/>
        <w:spacing w:after="0" w:line="240" w:lineRule="auto"/>
        <w:ind w:left="0"/>
        <w:jc w:val="both"/>
        <w:rPr>
          <w:rFonts w:ascii="Verdana" w:hAnsi="Verdana"/>
          <w:spacing w:val="-2"/>
          <w:sz w:val="16"/>
          <w:szCs w:val="20"/>
        </w:rPr>
      </w:pPr>
    </w:p>
    <w:p w:rsidR="00AB496F" w:rsidRPr="002964A7" w:rsidRDefault="00AB496F" w:rsidP="00AB496F">
      <w:pPr>
        <w:pStyle w:val="ListParagraph"/>
        <w:spacing w:after="0" w:line="240" w:lineRule="auto"/>
        <w:ind w:left="0" w:firstLine="720"/>
        <w:jc w:val="both"/>
        <w:rPr>
          <w:rFonts w:ascii="Verdana" w:hAnsi="Verdana"/>
          <w:i/>
          <w:spacing w:val="-2"/>
          <w:sz w:val="20"/>
          <w:szCs w:val="20"/>
        </w:rPr>
      </w:pPr>
      <w:r w:rsidRPr="002964A7">
        <w:rPr>
          <w:rFonts w:ascii="Verdana" w:hAnsi="Verdana"/>
          <w:i/>
          <w:spacing w:val="-2"/>
          <w:sz w:val="20"/>
          <w:szCs w:val="20"/>
        </w:rPr>
        <w:t>Consideraciones de la Corte</w:t>
      </w:r>
    </w:p>
    <w:p w:rsidR="00AB496F" w:rsidRPr="00CB71AA" w:rsidRDefault="00AB496F" w:rsidP="00AB496F">
      <w:pPr>
        <w:pStyle w:val="ListParagraph"/>
        <w:spacing w:after="0" w:line="240" w:lineRule="auto"/>
        <w:ind w:left="0"/>
        <w:jc w:val="both"/>
        <w:rPr>
          <w:rFonts w:ascii="Verdana" w:hAnsi="Verdana"/>
          <w:i/>
          <w:spacing w:val="-2"/>
          <w:sz w:val="16"/>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BC3275">
        <w:rPr>
          <w:rFonts w:ascii="Verdana" w:hAnsi="Verdana" w:cs="Verdana"/>
          <w:spacing w:val="-2"/>
          <w:sz w:val="20"/>
          <w:szCs w:val="20"/>
        </w:rPr>
        <w:t xml:space="preserve">En el presente caso, permanece la </w:t>
      </w:r>
      <w:r w:rsidRPr="00A54FFB">
        <w:rPr>
          <w:rFonts w:ascii="Verdana" w:hAnsi="Verdana" w:cs="Verdana"/>
          <w:spacing w:val="-2"/>
          <w:sz w:val="20"/>
          <w:szCs w:val="20"/>
        </w:rPr>
        <w:t>falta de un esclarecimiento definitivo del paradero de las 15 víctimas desaparecidas forzadamente y la</w:t>
      </w:r>
      <w:r>
        <w:rPr>
          <w:rFonts w:ascii="Verdana" w:hAnsi="Verdana" w:cs="Verdana"/>
          <w:spacing w:val="-2"/>
          <w:sz w:val="20"/>
          <w:szCs w:val="20"/>
        </w:rPr>
        <w:t xml:space="preserve"> </w:t>
      </w:r>
      <w:r w:rsidRPr="00BC3275">
        <w:rPr>
          <w:rFonts w:ascii="Verdana" w:hAnsi="Verdana" w:cs="Verdana"/>
          <w:spacing w:val="-2"/>
          <w:sz w:val="20"/>
          <w:szCs w:val="20"/>
        </w:rPr>
        <w:t xml:space="preserve">incertidumbre sobre si los restos encontrados y recuperados en </w:t>
      </w:r>
      <w:r w:rsidRPr="00A54FFB">
        <w:rPr>
          <w:rFonts w:ascii="Verdana" w:hAnsi="Verdana" w:cs="Verdana"/>
          <w:spacing w:val="-2"/>
          <w:sz w:val="20"/>
          <w:szCs w:val="20"/>
        </w:rPr>
        <w:t xml:space="preserve">los años 2009, 2010 y 2011 </w:t>
      </w:r>
      <w:r w:rsidRPr="00BC3275">
        <w:rPr>
          <w:rFonts w:ascii="Verdana" w:hAnsi="Verdana" w:cs="Verdana"/>
          <w:spacing w:val="-2"/>
          <w:sz w:val="20"/>
          <w:szCs w:val="20"/>
        </w:rPr>
        <w:t xml:space="preserve">en la mina “Misteriosa” o “Vallarón” pertenecen a </w:t>
      </w:r>
      <w:r>
        <w:rPr>
          <w:rFonts w:ascii="Verdana" w:hAnsi="Verdana" w:cs="Verdana"/>
          <w:spacing w:val="-2"/>
          <w:sz w:val="20"/>
          <w:szCs w:val="20"/>
        </w:rPr>
        <w:t>e</w:t>
      </w:r>
      <w:r w:rsidRPr="00A54FFB">
        <w:rPr>
          <w:rFonts w:ascii="Verdana" w:hAnsi="Verdana" w:cs="Verdana"/>
          <w:spacing w:val="-2"/>
          <w:sz w:val="20"/>
          <w:szCs w:val="20"/>
        </w:rPr>
        <w:t>stas</w:t>
      </w:r>
      <w:r w:rsidRPr="00BC3275">
        <w:rPr>
          <w:rFonts w:ascii="Verdana" w:hAnsi="Verdana" w:cs="Verdana"/>
          <w:spacing w:val="-2"/>
          <w:sz w:val="20"/>
          <w:szCs w:val="20"/>
        </w:rPr>
        <w:t xml:space="preserve">. </w:t>
      </w:r>
      <w:r w:rsidRPr="002964A7">
        <w:rPr>
          <w:rFonts w:ascii="Verdana" w:hAnsi="Verdana"/>
          <w:spacing w:val="-2"/>
          <w:sz w:val="20"/>
          <w:szCs w:val="20"/>
          <w:lang w:eastAsia="es-CR"/>
        </w:rPr>
        <w:t>Además,</w:t>
      </w:r>
      <w:r w:rsidRPr="002964A7">
        <w:rPr>
          <w:rFonts w:ascii="Verdana" w:hAnsi="Verdana"/>
          <w:spacing w:val="-2"/>
          <w:sz w:val="20"/>
          <w:szCs w:val="20"/>
        </w:rPr>
        <w:t xml:space="preserve"> </w:t>
      </w:r>
      <w:r w:rsidRPr="002964A7">
        <w:rPr>
          <w:rFonts w:ascii="Verdana" w:hAnsi="Verdana"/>
          <w:spacing w:val="-2"/>
          <w:sz w:val="20"/>
          <w:szCs w:val="20"/>
          <w:lang w:eastAsia="es-CR"/>
        </w:rPr>
        <w:t>no es posible descartar que en el sitio puedan aún encontrarse restos óseos, pues no se tiene certeza sobre si el sitio fue excavado en su totalidad. Al día de hoy se cuenta únicamente con</w:t>
      </w:r>
      <w:r w:rsidRPr="002964A7">
        <w:rPr>
          <w:rFonts w:ascii="Verdana" w:hAnsi="Verdana"/>
          <w:spacing w:val="-2"/>
          <w:sz w:val="20"/>
          <w:szCs w:val="20"/>
        </w:rPr>
        <w:t xml:space="preserve"> </w:t>
      </w:r>
      <w:r w:rsidRPr="002964A7">
        <w:rPr>
          <w:rFonts w:ascii="Verdana" w:hAnsi="Verdana"/>
          <w:spacing w:val="-2"/>
          <w:sz w:val="20"/>
          <w:szCs w:val="20"/>
          <w:lang w:eastAsia="es-CR"/>
        </w:rPr>
        <w:t xml:space="preserve">los perfiles genéticos de </w:t>
      </w:r>
      <w:r w:rsidRPr="002964A7">
        <w:rPr>
          <w:rFonts w:ascii="Verdana" w:hAnsi="Verdana" w:cs="Arial"/>
          <w:spacing w:val="-2"/>
          <w:sz w:val="20"/>
          <w:szCs w:val="20"/>
          <w:lang w:val="es-GT" w:eastAsia="es-CR"/>
        </w:rPr>
        <w:t>siete familiares</w:t>
      </w:r>
      <w:r>
        <w:rPr>
          <w:rFonts w:ascii="Verdana" w:hAnsi="Verdana" w:cs="Arial"/>
          <w:spacing w:val="-2"/>
          <w:sz w:val="20"/>
          <w:szCs w:val="20"/>
          <w:lang w:val="es-GT" w:eastAsia="es-CR"/>
        </w:rPr>
        <w:t xml:space="preserve"> (</w:t>
      </w:r>
      <w:r>
        <w:rPr>
          <w:rFonts w:ascii="Verdana" w:hAnsi="Verdana" w:cs="Arial"/>
          <w:i/>
          <w:spacing w:val="-2"/>
          <w:sz w:val="20"/>
          <w:szCs w:val="20"/>
          <w:lang w:val="es-GT" w:eastAsia="es-CR"/>
        </w:rPr>
        <w:t xml:space="preserve">supra </w:t>
      </w:r>
      <w:r>
        <w:rPr>
          <w:rFonts w:ascii="Verdana" w:hAnsi="Verdana" w:cs="Arial"/>
          <w:spacing w:val="-2"/>
          <w:sz w:val="20"/>
          <w:szCs w:val="20"/>
          <w:lang w:val="es-GT" w:eastAsia="es-CR"/>
        </w:rPr>
        <w:t>párr. 144)</w:t>
      </w:r>
      <w:r w:rsidRPr="002964A7">
        <w:rPr>
          <w:rFonts w:ascii="Verdana" w:hAnsi="Verdana" w:cs="Arial"/>
          <w:spacing w:val="-2"/>
          <w:sz w:val="20"/>
          <w:szCs w:val="20"/>
          <w:lang w:val="es-GT" w:eastAsia="es-CR"/>
        </w:rPr>
        <w:t xml:space="preserve"> y </w:t>
      </w:r>
      <w:r w:rsidRPr="002964A7">
        <w:rPr>
          <w:rFonts w:ascii="Verdana" w:hAnsi="Verdana" w:cs="Arial"/>
          <w:spacing w:val="-2"/>
          <w:sz w:val="20"/>
          <w:szCs w:val="20"/>
          <w:lang w:eastAsia="es-CR"/>
        </w:rPr>
        <w:t>se tiene información sobre al menos el fallecimiento de seis familiares de las víctimas desaparecidas</w:t>
      </w:r>
      <w:r>
        <w:rPr>
          <w:rFonts w:ascii="Verdana" w:hAnsi="Verdana" w:cs="Arial"/>
          <w:spacing w:val="-2"/>
          <w:sz w:val="20"/>
          <w:szCs w:val="20"/>
          <w:lang w:eastAsia="es-CR"/>
        </w:rPr>
        <w:t xml:space="preserve"> (</w:t>
      </w:r>
      <w:r>
        <w:rPr>
          <w:rFonts w:ascii="Verdana" w:hAnsi="Verdana" w:cs="Arial"/>
          <w:i/>
          <w:spacing w:val="-2"/>
          <w:sz w:val="20"/>
          <w:szCs w:val="20"/>
          <w:lang w:eastAsia="es-CR"/>
        </w:rPr>
        <w:t xml:space="preserve">supra </w:t>
      </w:r>
      <w:r>
        <w:rPr>
          <w:rFonts w:ascii="Verdana" w:hAnsi="Verdana" w:cs="Arial"/>
          <w:spacing w:val="-2"/>
          <w:sz w:val="20"/>
          <w:szCs w:val="20"/>
          <w:lang w:eastAsia="es-CR"/>
        </w:rPr>
        <w:t>párr. 285)</w:t>
      </w:r>
      <w:r w:rsidRPr="002964A7">
        <w:rPr>
          <w:rFonts w:ascii="Verdana" w:hAnsi="Verdana" w:cs="Arial"/>
          <w:spacing w:val="-2"/>
          <w:sz w:val="20"/>
          <w:szCs w:val="20"/>
          <w:lang w:eastAsia="es-CR"/>
        </w:rPr>
        <w:t>.</w:t>
      </w:r>
      <w:r w:rsidRPr="002964A7">
        <w:rPr>
          <w:rFonts w:ascii="Verdana" w:hAnsi="Verdana"/>
          <w:spacing w:val="-2"/>
          <w:sz w:val="20"/>
          <w:szCs w:val="20"/>
          <w:lang w:eastAsia="es-CR"/>
        </w:rPr>
        <w:t xml:space="preserve"> </w:t>
      </w:r>
      <w:r w:rsidRPr="002964A7">
        <w:rPr>
          <w:rFonts w:ascii="Verdana" w:hAnsi="Verdana"/>
          <w:spacing w:val="-2"/>
          <w:sz w:val="20"/>
          <w:szCs w:val="20"/>
        </w:rPr>
        <w:t xml:space="preserve">Asimismo, tal como lo indicó el Estado, el Instituto de Medicina Legal informó sobre </w:t>
      </w:r>
      <w:r w:rsidRPr="002964A7">
        <w:rPr>
          <w:rFonts w:ascii="Verdana" w:hAnsi="Verdana" w:cs="Arial"/>
          <w:spacing w:val="-2"/>
          <w:sz w:val="20"/>
          <w:szCs w:val="20"/>
        </w:rPr>
        <w:t xml:space="preserve">las “reducidas </w:t>
      </w:r>
      <w:r>
        <w:rPr>
          <w:rFonts w:ascii="Verdana" w:hAnsi="Verdana"/>
          <w:spacing w:val="-2"/>
          <w:sz w:val="20"/>
          <w:szCs w:val="20"/>
        </w:rPr>
        <w:t>[…]</w:t>
      </w:r>
      <w:r w:rsidRPr="002964A7">
        <w:rPr>
          <w:rFonts w:ascii="Verdana" w:hAnsi="Verdana"/>
          <w:spacing w:val="-2"/>
          <w:sz w:val="20"/>
          <w:szCs w:val="20"/>
        </w:rPr>
        <w:t xml:space="preserve"> posibilidades de identificación de los restos óseos humanos”, debido a la falta de muestra de familiares con quién comparar los cuatro perfiles de ADN obtenidos de los restos óseos, la escasa muestra de restos óseos obtenida en el lugar de los hechos y el mal estado de conservación en que </w:t>
      </w:r>
      <w:r w:rsidR="00335E16">
        <w:rPr>
          <w:rFonts w:ascii="Verdana" w:hAnsi="Verdana"/>
          <w:spacing w:val="-2"/>
          <w:sz w:val="20"/>
          <w:szCs w:val="20"/>
        </w:rPr>
        <w:t>e</w:t>
      </w:r>
      <w:r w:rsidRPr="002964A7">
        <w:rPr>
          <w:rFonts w:ascii="Verdana" w:hAnsi="Verdana"/>
          <w:spacing w:val="-2"/>
          <w:sz w:val="20"/>
          <w:szCs w:val="20"/>
        </w:rPr>
        <w:t xml:space="preserve">stos se encontraban </w:t>
      </w:r>
      <w:r w:rsidRPr="002964A7">
        <w:rPr>
          <w:rFonts w:ascii="Verdana" w:hAnsi="Verdana" w:cs="Arial"/>
          <w:spacing w:val="-2"/>
          <w:sz w:val="20"/>
          <w:szCs w:val="20"/>
          <w:lang w:eastAsia="es-CR"/>
        </w:rPr>
        <w:t>(</w:t>
      </w:r>
      <w:r w:rsidRPr="002964A7">
        <w:rPr>
          <w:rFonts w:ascii="Verdana" w:hAnsi="Verdana" w:cs="Arial"/>
          <w:i/>
          <w:spacing w:val="-2"/>
          <w:sz w:val="20"/>
          <w:szCs w:val="20"/>
          <w:lang w:eastAsia="es-CR"/>
        </w:rPr>
        <w:t>supra</w:t>
      </w:r>
      <w:r w:rsidRPr="002964A7">
        <w:rPr>
          <w:rFonts w:ascii="Verdana" w:hAnsi="Verdana" w:cs="Arial"/>
          <w:spacing w:val="-2"/>
          <w:sz w:val="20"/>
          <w:szCs w:val="20"/>
          <w:lang w:eastAsia="es-CR"/>
        </w:rPr>
        <w:t xml:space="preserve"> párr. </w:t>
      </w:r>
      <w:r>
        <w:rPr>
          <w:rFonts w:ascii="Verdana" w:hAnsi="Verdana" w:cs="Arial"/>
          <w:spacing w:val="-2"/>
          <w:sz w:val="20"/>
          <w:szCs w:val="20"/>
          <w:lang w:eastAsia="es-CR"/>
        </w:rPr>
        <w:t>293</w:t>
      </w:r>
      <w:r w:rsidRPr="002964A7">
        <w:rPr>
          <w:rFonts w:ascii="Verdana" w:hAnsi="Verdana" w:cs="Arial"/>
          <w:spacing w:val="-2"/>
          <w:sz w:val="20"/>
          <w:szCs w:val="20"/>
          <w:lang w:eastAsia="es-CR"/>
        </w:rPr>
        <w:t>).</w:t>
      </w:r>
      <w:r w:rsidRPr="002964A7">
        <w:rPr>
          <w:rFonts w:ascii="Verdana" w:hAnsi="Verdana"/>
          <w:spacing w:val="-2"/>
          <w:sz w:val="20"/>
          <w:szCs w:val="20"/>
        </w:rPr>
        <w:t xml:space="preserve"> </w:t>
      </w:r>
    </w:p>
    <w:p w:rsidR="00AB496F" w:rsidRPr="002964A7" w:rsidRDefault="00AB496F" w:rsidP="00AB496F">
      <w:pPr>
        <w:pStyle w:val="ListParagraph"/>
        <w:spacing w:after="0" w:line="240" w:lineRule="auto"/>
        <w:ind w:left="0"/>
        <w:jc w:val="both"/>
        <w:rPr>
          <w:rFonts w:ascii="Verdana" w:hAnsi="Verdana"/>
          <w:spacing w:val="-2"/>
          <w:sz w:val="20"/>
          <w:szCs w:val="20"/>
        </w:rPr>
      </w:pPr>
    </w:p>
    <w:p w:rsidR="00AB496F" w:rsidRPr="00A54FFB"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A54FFB">
        <w:rPr>
          <w:rFonts w:ascii="Verdana" w:hAnsi="Verdana" w:cs="Verdana"/>
          <w:spacing w:val="-2"/>
          <w:sz w:val="20"/>
          <w:szCs w:val="20"/>
        </w:rPr>
        <w:t xml:space="preserve">Es una expectativa justa de los </w:t>
      </w:r>
      <w:r w:rsidRPr="00A54FFB">
        <w:rPr>
          <w:rFonts w:ascii="Verdana" w:hAnsi="Verdana" w:cs="Cambria"/>
          <w:spacing w:val="-2"/>
          <w:sz w:val="20"/>
          <w:szCs w:val="20"/>
        </w:rPr>
        <w:t>familiares</w:t>
      </w:r>
      <w:r w:rsidRPr="00A54FFB">
        <w:rPr>
          <w:rFonts w:ascii="Verdana" w:hAnsi="Verdana" w:cs="Verdana"/>
          <w:spacing w:val="-2"/>
          <w:sz w:val="20"/>
          <w:szCs w:val="20"/>
        </w:rPr>
        <w:t xml:space="preserve"> de las víctimas de las desapariciones forzadas que se identifique el paradero de </w:t>
      </w:r>
      <w:r>
        <w:rPr>
          <w:rFonts w:ascii="Verdana" w:hAnsi="Verdana" w:cs="Verdana"/>
          <w:spacing w:val="-2"/>
          <w:sz w:val="20"/>
          <w:szCs w:val="20"/>
        </w:rPr>
        <w:t>e</w:t>
      </w:r>
      <w:r w:rsidRPr="00A54FFB">
        <w:rPr>
          <w:rFonts w:ascii="Verdana" w:hAnsi="Verdana" w:cs="Verdana"/>
          <w:spacing w:val="-2"/>
          <w:sz w:val="20"/>
          <w:szCs w:val="20"/>
        </w:rPr>
        <w:t xml:space="preserve">stas o </w:t>
      </w:r>
      <w:r w:rsidRPr="00A54FFB">
        <w:rPr>
          <w:rFonts w:ascii="Verdana" w:hAnsi="Verdana" w:cs="Times"/>
          <w:spacing w:val="-2"/>
          <w:sz w:val="20"/>
          <w:szCs w:val="20"/>
          <w:lang w:eastAsia="es-CR"/>
        </w:rPr>
        <w:t>se hallen sus restos de modo que se determine con certeza su identidad</w:t>
      </w:r>
      <w:r w:rsidRPr="00A54FFB">
        <w:rPr>
          <w:rFonts w:ascii="Verdana" w:hAnsi="Verdana"/>
          <w:spacing w:val="-2"/>
          <w:sz w:val="20"/>
          <w:szCs w:val="20"/>
          <w:lang w:eastAsia="es-CR"/>
        </w:rPr>
        <w:t>,</w:t>
      </w:r>
      <w:r w:rsidRPr="00A54FFB">
        <w:rPr>
          <w:rFonts w:ascii="Verdana" w:hAnsi="Verdana" w:cs="Verdana"/>
          <w:spacing w:val="-2"/>
          <w:sz w:val="20"/>
          <w:szCs w:val="20"/>
        </w:rPr>
        <w:t xml:space="preserve"> lo que constituye una medida de reparación y, por lo tanto, genera el deber correlativo para el Estado de satisfacerla</w:t>
      </w:r>
      <w:r w:rsidRPr="00A54FFB">
        <w:rPr>
          <w:rFonts w:ascii="Verdana" w:hAnsi="Verdana" w:cs="Verdana"/>
          <w:spacing w:val="-2"/>
          <w:sz w:val="20"/>
          <w:szCs w:val="20"/>
          <w:vertAlign w:val="superscript"/>
        </w:rPr>
        <w:footnoteReference w:id="340"/>
      </w:r>
      <w:r w:rsidRPr="00A54FFB">
        <w:rPr>
          <w:rFonts w:ascii="Verdana" w:hAnsi="Verdana" w:cs="Verdana"/>
          <w:spacing w:val="-2"/>
          <w:sz w:val="20"/>
          <w:szCs w:val="20"/>
        </w:rPr>
        <w:t>. A su vez, esto permite a los familiares aliviar la angustia y sufrimiento causados por dicha incertidumbre</w:t>
      </w:r>
      <w:r w:rsidRPr="00A54FFB">
        <w:rPr>
          <w:rFonts w:ascii="Verdana" w:hAnsi="Verdana" w:cs="Verdana"/>
          <w:spacing w:val="-2"/>
          <w:sz w:val="20"/>
          <w:szCs w:val="20"/>
          <w:vertAlign w:val="superscript"/>
        </w:rPr>
        <w:footnoteReference w:id="341"/>
      </w:r>
      <w:r w:rsidRPr="00A54FFB">
        <w:rPr>
          <w:rFonts w:ascii="Verdana" w:hAnsi="Verdana" w:cs="Verdana"/>
          <w:spacing w:val="-2"/>
          <w:sz w:val="20"/>
          <w:szCs w:val="20"/>
        </w:rPr>
        <w:t>. Recibir el cuerpo de una persona desaparecida forzadamente es de suma importancia para sus familiares, ya que les permite sepultarlo de acuerdo a sus creencias, así como cerrar el proceso de duelo que han estado viviendo a lo largo de estos años</w:t>
      </w:r>
      <w:r w:rsidRPr="00A54FFB">
        <w:rPr>
          <w:rFonts w:ascii="Verdana" w:hAnsi="Verdana"/>
          <w:spacing w:val="-2"/>
          <w:sz w:val="20"/>
          <w:szCs w:val="20"/>
          <w:vertAlign w:val="superscript"/>
        </w:rPr>
        <w:footnoteReference w:id="342"/>
      </w:r>
      <w:r w:rsidRPr="00A54FFB">
        <w:rPr>
          <w:rFonts w:ascii="Verdana" w:hAnsi="Verdana" w:cs="Verdana"/>
          <w:spacing w:val="-2"/>
          <w:sz w:val="20"/>
          <w:szCs w:val="20"/>
        </w:rPr>
        <w:t>. Adicionalmente, el Tribunal considera que los restos son una prueba de lo sucedido y, junto al lugar en el cual sean encontrados, pueden proporcionar información valiosa sobre los autores de las violaciones o la institución a la que pertenecían</w:t>
      </w:r>
      <w:r w:rsidRPr="00A54FFB">
        <w:rPr>
          <w:rFonts w:ascii="Verdana" w:hAnsi="Verdana"/>
          <w:spacing w:val="-2"/>
          <w:sz w:val="20"/>
          <w:szCs w:val="20"/>
          <w:vertAlign w:val="superscript"/>
        </w:rPr>
        <w:footnoteReference w:id="343"/>
      </w:r>
      <w:r w:rsidRPr="00A54FFB">
        <w:rPr>
          <w:rFonts w:ascii="Verdana" w:hAnsi="Verdana" w:cs="Verdana"/>
          <w:spacing w:val="-2"/>
          <w:sz w:val="20"/>
          <w:szCs w:val="20"/>
        </w:rPr>
        <w:t xml:space="preserve">, </w:t>
      </w:r>
      <w:r w:rsidRPr="00A54FFB">
        <w:rPr>
          <w:rFonts w:ascii="Verdana" w:hAnsi="Verdana" w:cs="Verdana-Italic"/>
          <w:spacing w:val="-2"/>
          <w:sz w:val="20"/>
          <w:szCs w:val="20"/>
          <w:lang w:bidi="en-US"/>
        </w:rPr>
        <w:t>particularmente tratándose de agentes estatales</w:t>
      </w:r>
      <w:r w:rsidRPr="00A54FFB">
        <w:rPr>
          <w:rStyle w:val="FootnoteReference"/>
          <w:rFonts w:eastAsia="Calibri" w:cs="Verdana-Italic"/>
          <w:spacing w:val="-2"/>
          <w:szCs w:val="20"/>
        </w:rPr>
        <w:footnoteReference w:id="344"/>
      </w:r>
      <w:r w:rsidRPr="00A54FFB">
        <w:rPr>
          <w:rFonts w:ascii="Verdana" w:hAnsi="Verdana" w:cs="Verdana-Italic"/>
          <w:spacing w:val="-2"/>
          <w:sz w:val="20"/>
          <w:szCs w:val="20"/>
          <w:lang w:bidi="en-US"/>
        </w:rPr>
        <w:t>.</w:t>
      </w:r>
    </w:p>
    <w:p w:rsidR="00AB496F" w:rsidRPr="002964A7" w:rsidRDefault="00AB496F" w:rsidP="00AB496F">
      <w:pPr>
        <w:spacing w:after="0" w:line="240" w:lineRule="auto"/>
        <w:rPr>
          <w:rFonts w:ascii="Verdana" w:hAnsi="Verdana" w:cs="Verdana-Italic"/>
          <w:iCs/>
          <w:spacing w:val="-2"/>
          <w:sz w:val="20"/>
          <w:szCs w:val="20"/>
          <w:lang w:bidi="en-US"/>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cs="Verdana-Italic"/>
          <w:iCs/>
          <w:spacing w:val="-2"/>
          <w:sz w:val="20"/>
          <w:szCs w:val="20"/>
          <w:lang w:bidi="en-US"/>
        </w:rPr>
        <w:t xml:space="preserve">La Corte valora positivamente la voluntad manifestada por el Perú </w:t>
      </w:r>
      <w:r>
        <w:rPr>
          <w:rFonts w:ascii="Verdana" w:hAnsi="Verdana" w:cs="Verdana-Italic"/>
          <w:iCs/>
          <w:spacing w:val="-2"/>
          <w:sz w:val="20"/>
          <w:szCs w:val="20"/>
          <w:lang w:bidi="en-US"/>
        </w:rPr>
        <w:t>de</w:t>
      </w:r>
      <w:r w:rsidRPr="002964A7">
        <w:rPr>
          <w:rFonts w:ascii="Verdana" w:hAnsi="Verdana" w:cs="Verdana-Italic"/>
          <w:iCs/>
          <w:spacing w:val="-2"/>
          <w:sz w:val="20"/>
          <w:szCs w:val="20"/>
          <w:lang w:bidi="en-US"/>
        </w:rPr>
        <w:t xml:space="preserve"> </w:t>
      </w:r>
      <w:r w:rsidRPr="002964A7">
        <w:rPr>
          <w:rFonts w:ascii="Verdana" w:hAnsi="Verdana"/>
          <w:spacing w:val="-2"/>
          <w:sz w:val="20"/>
          <w:szCs w:val="20"/>
        </w:rPr>
        <w:t xml:space="preserve">realizar las acciones necesarias para la identificación de las víctimas del caso </w:t>
      </w:r>
      <w:r w:rsidRPr="002964A7">
        <w:rPr>
          <w:rFonts w:ascii="Verdana" w:hAnsi="Verdana" w:cs="Verdana-Italic"/>
          <w:iCs/>
          <w:spacing w:val="-2"/>
          <w:sz w:val="20"/>
          <w:szCs w:val="20"/>
          <w:lang w:bidi="en-US"/>
        </w:rPr>
        <w:t xml:space="preserve">y considera que es un paso importante para la reparación en el </w:t>
      </w:r>
      <w:r>
        <w:rPr>
          <w:rFonts w:ascii="Verdana" w:hAnsi="Verdana" w:cs="Verdana-Italic"/>
          <w:iCs/>
          <w:spacing w:val="-2"/>
          <w:sz w:val="20"/>
          <w:szCs w:val="20"/>
          <w:lang w:bidi="en-US"/>
        </w:rPr>
        <w:t>mism</w:t>
      </w:r>
      <w:r w:rsidRPr="002964A7">
        <w:rPr>
          <w:rFonts w:ascii="Verdana" w:hAnsi="Verdana" w:cs="Verdana-Italic"/>
          <w:iCs/>
          <w:spacing w:val="-2"/>
          <w:sz w:val="20"/>
          <w:szCs w:val="20"/>
          <w:lang w:bidi="en-US"/>
        </w:rPr>
        <w:t xml:space="preserve">o. </w:t>
      </w:r>
      <w:r w:rsidRPr="002964A7">
        <w:rPr>
          <w:rFonts w:ascii="Verdana" w:hAnsi="Verdana"/>
          <w:spacing w:val="-2"/>
          <w:sz w:val="20"/>
          <w:szCs w:val="20"/>
        </w:rPr>
        <w:t>En las circunstancias específicas que enmarcaron los hechos de</w:t>
      </w:r>
      <w:r>
        <w:rPr>
          <w:rFonts w:ascii="Verdana" w:hAnsi="Verdana"/>
          <w:spacing w:val="-2"/>
          <w:sz w:val="20"/>
          <w:szCs w:val="20"/>
        </w:rPr>
        <w:t xml:space="preserve"> este</w:t>
      </w:r>
      <w:r w:rsidRPr="002964A7">
        <w:rPr>
          <w:rFonts w:ascii="Verdana" w:hAnsi="Verdana"/>
          <w:spacing w:val="-2"/>
          <w:sz w:val="20"/>
          <w:szCs w:val="20"/>
        </w:rPr>
        <w:t xml:space="preserve"> caso, la Corte considera que el Estado debe iniciar, de manera sistemática, rigurosa y seria, con los recursos humanos y económicos adecuados, </w:t>
      </w:r>
      <w:r w:rsidRPr="002964A7">
        <w:rPr>
          <w:rFonts w:ascii="Verdana" w:hAnsi="Verdana" w:cs="Cambria"/>
          <w:spacing w:val="-2"/>
          <w:sz w:val="20"/>
          <w:szCs w:val="20"/>
        </w:rPr>
        <w:lastRenderedPageBreak/>
        <w:t>las</w:t>
      </w:r>
      <w:r w:rsidRPr="002964A7">
        <w:rPr>
          <w:rFonts w:ascii="Verdana" w:hAnsi="Verdana"/>
          <w:spacing w:val="-2"/>
          <w:sz w:val="20"/>
          <w:szCs w:val="20"/>
        </w:rPr>
        <w:t xml:space="preserve"> acciones que resulten necesarias</w:t>
      </w:r>
      <w:r>
        <w:rPr>
          <w:rFonts w:ascii="Verdana" w:hAnsi="Verdana"/>
          <w:spacing w:val="-2"/>
          <w:sz w:val="20"/>
          <w:szCs w:val="20"/>
        </w:rPr>
        <w:t xml:space="preserve"> tanto</w:t>
      </w:r>
      <w:r w:rsidRPr="002964A7">
        <w:rPr>
          <w:rFonts w:ascii="Verdana" w:eastAsia="MS Mincho" w:hAnsi="Verdana" w:cs="Verdana"/>
          <w:spacing w:val="-2"/>
          <w:sz w:val="20"/>
          <w:szCs w:val="20"/>
        </w:rPr>
        <w:t xml:space="preserve"> para la</w:t>
      </w:r>
      <w:r w:rsidRPr="002964A7">
        <w:rPr>
          <w:rFonts w:ascii="Verdana" w:hAnsi="Verdana"/>
          <w:spacing w:val="-2"/>
          <w:sz w:val="20"/>
          <w:szCs w:val="20"/>
        </w:rPr>
        <w:t xml:space="preserve"> exhumación </w:t>
      </w:r>
      <w:r>
        <w:rPr>
          <w:rFonts w:ascii="Verdana" w:hAnsi="Verdana"/>
          <w:spacing w:val="-2"/>
          <w:sz w:val="20"/>
          <w:szCs w:val="20"/>
        </w:rPr>
        <w:t>como la</w:t>
      </w:r>
      <w:r w:rsidRPr="002964A7">
        <w:rPr>
          <w:rFonts w:ascii="Verdana" w:hAnsi="Verdana"/>
          <w:spacing w:val="-2"/>
          <w:sz w:val="20"/>
          <w:szCs w:val="20"/>
        </w:rPr>
        <w:t xml:space="preserve"> identificación de los restos humanos localizados en la mina “Misteriosa”, o “Va</w:t>
      </w:r>
      <w:r w:rsidR="00884B9C">
        <w:rPr>
          <w:rFonts w:ascii="Verdana" w:hAnsi="Verdana"/>
          <w:spacing w:val="-2"/>
          <w:sz w:val="20"/>
          <w:szCs w:val="20"/>
        </w:rPr>
        <w:t>ll</w:t>
      </w:r>
      <w:r w:rsidRPr="002964A7">
        <w:rPr>
          <w:rFonts w:ascii="Verdana" w:hAnsi="Verdana"/>
          <w:spacing w:val="-2"/>
          <w:sz w:val="20"/>
          <w:szCs w:val="20"/>
        </w:rPr>
        <w:t>a</w:t>
      </w:r>
      <w:r w:rsidR="00884B9C">
        <w:rPr>
          <w:rFonts w:ascii="Verdana" w:hAnsi="Verdana"/>
          <w:spacing w:val="-2"/>
          <w:sz w:val="20"/>
          <w:szCs w:val="20"/>
        </w:rPr>
        <w:t>r</w:t>
      </w:r>
      <w:r w:rsidRPr="002964A7">
        <w:rPr>
          <w:rFonts w:ascii="Verdana" w:hAnsi="Verdana"/>
          <w:spacing w:val="-2"/>
          <w:sz w:val="20"/>
          <w:szCs w:val="20"/>
        </w:rPr>
        <w:t>ón”, sitio que deberá proteger para su preservación. Para ello, el Estado deberá emplear todos los medios técnicos y científicos necesarios, tomando en cuenta las normas nacionales o internacionales pertinentes en la materia</w:t>
      </w:r>
      <w:r w:rsidRPr="002964A7">
        <w:rPr>
          <w:rFonts w:ascii="Verdana" w:eastAsia="MS Mincho" w:hAnsi="Verdana"/>
          <w:spacing w:val="-2"/>
          <w:sz w:val="20"/>
          <w:szCs w:val="20"/>
          <w:vertAlign w:val="superscript"/>
        </w:rPr>
        <w:footnoteReference w:id="345"/>
      </w:r>
      <w:r w:rsidRPr="002964A7">
        <w:rPr>
          <w:rFonts w:ascii="Verdana" w:hAnsi="Verdana"/>
          <w:spacing w:val="-2"/>
          <w:sz w:val="20"/>
          <w:szCs w:val="20"/>
        </w:rPr>
        <w:t xml:space="preserve"> y procurar concluir con el total de las exhumaciones </w:t>
      </w:r>
      <w:r>
        <w:rPr>
          <w:rFonts w:ascii="Verdana" w:hAnsi="Verdana"/>
          <w:spacing w:val="-2"/>
          <w:sz w:val="20"/>
          <w:szCs w:val="20"/>
        </w:rPr>
        <w:t>que sean necesarias</w:t>
      </w:r>
      <w:r w:rsidRPr="002964A7">
        <w:rPr>
          <w:rFonts w:ascii="Verdana" w:hAnsi="Verdana"/>
          <w:spacing w:val="-2"/>
          <w:sz w:val="20"/>
          <w:szCs w:val="20"/>
        </w:rPr>
        <w:t xml:space="preserve"> en un plazo de </w:t>
      </w:r>
      <w:r w:rsidRPr="003F4FDB">
        <w:rPr>
          <w:rFonts w:ascii="Verdana" w:hAnsi="Verdana"/>
          <w:spacing w:val="-2"/>
          <w:sz w:val="20"/>
          <w:szCs w:val="20"/>
        </w:rPr>
        <w:t>un año</w:t>
      </w:r>
      <w:r w:rsidRPr="002964A7">
        <w:rPr>
          <w:rFonts w:ascii="Verdana" w:hAnsi="Verdana"/>
          <w:spacing w:val="-2"/>
          <w:sz w:val="20"/>
          <w:szCs w:val="20"/>
        </w:rPr>
        <w:t xml:space="preserve">, contado a partir de la notificación de la presente Sentencia. </w:t>
      </w:r>
      <w:r w:rsidRPr="002964A7">
        <w:rPr>
          <w:rFonts w:ascii="Verdana" w:hAnsi="Verdana" w:cs="Verdana-Italic"/>
          <w:iCs/>
          <w:spacing w:val="-2"/>
          <w:sz w:val="20"/>
          <w:szCs w:val="20"/>
          <w:lang w:bidi="en-US"/>
        </w:rPr>
        <w:t xml:space="preserve">Para las </w:t>
      </w:r>
      <w:r w:rsidRPr="002964A7">
        <w:rPr>
          <w:rFonts w:ascii="Verdana" w:hAnsi="Verdana" w:cs="Cambria"/>
          <w:spacing w:val="-2"/>
          <w:sz w:val="20"/>
          <w:szCs w:val="20"/>
        </w:rPr>
        <w:t>referidas</w:t>
      </w:r>
      <w:r w:rsidRPr="002964A7">
        <w:rPr>
          <w:rFonts w:ascii="Verdana" w:hAnsi="Verdana" w:cs="Verdana-Italic"/>
          <w:iCs/>
          <w:spacing w:val="-2"/>
          <w:sz w:val="20"/>
          <w:szCs w:val="20"/>
          <w:lang w:bidi="en-US"/>
        </w:rPr>
        <w:t xml:space="preserve"> diligencias se debe establecer una estrategia de comunicación con los familiares y acordar un marco de acción coordinada, para procurar su participación, conocimiento y presencia.</w:t>
      </w:r>
    </w:p>
    <w:p w:rsidR="00AB496F" w:rsidRPr="002964A7" w:rsidRDefault="00AB496F" w:rsidP="00AB496F">
      <w:pPr>
        <w:pStyle w:val="ListParagraph"/>
        <w:spacing w:after="0" w:line="240" w:lineRule="auto"/>
        <w:ind w:left="0"/>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En caso de identificar los restos, </w:t>
      </w:r>
      <w:r>
        <w:rPr>
          <w:rFonts w:ascii="Verdana" w:hAnsi="Verdana"/>
          <w:spacing w:val="-2"/>
          <w:sz w:val="20"/>
          <w:szCs w:val="20"/>
        </w:rPr>
        <w:t xml:space="preserve">estos </w:t>
      </w:r>
      <w:r w:rsidRPr="002964A7">
        <w:rPr>
          <w:rFonts w:ascii="Verdana" w:hAnsi="Verdana"/>
          <w:spacing w:val="-2"/>
          <w:sz w:val="20"/>
          <w:szCs w:val="20"/>
        </w:rPr>
        <w:t xml:space="preserve">deberán ser entregados a sus familiares, previa comprobación genética de filiación o reconocimiento por los medios adecuados e idóneos, según sea el caso, a la mayor brevedad y sin costo alguno para dichos familiares. </w:t>
      </w:r>
      <w:r w:rsidRPr="002964A7">
        <w:rPr>
          <w:rFonts w:ascii="Verdana" w:hAnsi="Verdana" w:cs="Verdana-Italic"/>
          <w:iCs/>
          <w:spacing w:val="-2"/>
          <w:sz w:val="20"/>
          <w:szCs w:val="20"/>
          <w:lang w:bidi="en-US"/>
        </w:rPr>
        <w:t>Además, el Estado deberá cubrir los gastos fúnebres, en su caso, de común acuerdo con los familiares</w:t>
      </w:r>
      <w:r w:rsidRPr="002964A7">
        <w:rPr>
          <w:rStyle w:val="FootnoteReference"/>
          <w:rFonts w:eastAsia="Calibri" w:cs="Verdana-Italic"/>
          <w:spacing w:val="-2"/>
          <w:szCs w:val="20"/>
        </w:rPr>
        <w:footnoteReference w:id="346"/>
      </w:r>
      <w:r w:rsidRPr="002964A7">
        <w:rPr>
          <w:rFonts w:ascii="Verdana" w:hAnsi="Verdana" w:cs="Verdana-Italic"/>
          <w:iCs/>
          <w:spacing w:val="-2"/>
          <w:sz w:val="20"/>
          <w:szCs w:val="20"/>
          <w:lang w:bidi="en-US"/>
        </w:rPr>
        <w:t>.</w:t>
      </w:r>
      <w:r w:rsidRPr="002964A7">
        <w:rPr>
          <w:rFonts w:ascii="Verdana" w:hAnsi="Verdana"/>
          <w:spacing w:val="-2"/>
          <w:sz w:val="20"/>
          <w:szCs w:val="20"/>
        </w:rPr>
        <w:t xml:space="preserve"> </w:t>
      </w:r>
      <w:r w:rsidRPr="00F13F0B">
        <w:rPr>
          <w:rFonts w:ascii="Verdana" w:hAnsi="Verdana"/>
          <w:bCs/>
          <w:spacing w:val="-2"/>
          <w:sz w:val="20"/>
          <w:szCs w:val="20"/>
          <w:lang w:eastAsia="es-CR"/>
        </w:rPr>
        <w:t xml:space="preserve">Ahora bien, </w:t>
      </w:r>
      <w:r w:rsidRPr="002964A7">
        <w:rPr>
          <w:rFonts w:ascii="Verdana" w:hAnsi="Verdana"/>
          <w:spacing w:val="-2"/>
          <w:sz w:val="20"/>
          <w:szCs w:val="20"/>
        </w:rPr>
        <w:t>en cuanto a que las posibilidades de identificación de los restos óseos humanos sean reducidas (</w:t>
      </w:r>
      <w:r w:rsidRPr="002964A7">
        <w:rPr>
          <w:rFonts w:ascii="Verdana" w:hAnsi="Verdana"/>
          <w:i/>
          <w:spacing w:val="-2"/>
          <w:sz w:val="20"/>
          <w:szCs w:val="20"/>
        </w:rPr>
        <w:t>supra</w:t>
      </w:r>
      <w:r w:rsidRPr="002964A7">
        <w:rPr>
          <w:rFonts w:ascii="Verdana" w:hAnsi="Verdana"/>
          <w:spacing w:val="-2"/>
          <w:sz w:val="20"/>
          <w:szCs w:val="20"/>
        </w:rPr>
        <w:t xml:space="preserve"> párr. </w:t>
      </w:r>
      <w:r>
        <w:rPr>
          <w:rFonts w:ascii="Verdana" w:hAnsi="Verdana"/>
          <w:spacing w:val="-2"/>
          <w:sz w:val="20"/>
          <w:szCs w:val="20"/>
        </w:rPr>
        <w:t>293</w:t>
      </w:r>
      <w:r w:rsidRPr="002964A7">
        <w:rPr>
          <w:rFonts w:ascii="Verdana" w:hAnsi="Verdana"/>
          <w:spacing w:val="-2"/>
          <w:sz w:val="20"/>
          <w:szCs w:val="20"/>
        </w:rPr>
        <w:t>), la Corte recuerda que</w:t>
      </w:r>
      <w:r w:rsidRPr="00F13F0B">
        <w:rPr>
          <w:rFonts w:ascii="Verdana" w:hAnsi="Verdana"/>
          <w:bCs/>
          <w:spacing w:val="-2"/>
          <w:sz w:val="20"/>
          <w:szCs w:val="20"/>
          <w:lang w:eastAsia="es-CR"/>
        </w:rPr>
        <w:t xml:space="preserve"> l</w:t>
      </w:r>
      <w:r w:rsidRPr="002964A7">
        <w:rPr>
          <w:rFonts w:ascii="Verdana" w:hAnsi="Verdana" w:cs="Verdana"/>
          <w:spacing w:val="-2"/>
          <w:sz w:val="20"/>
          <w:szCs w:val="20"/>
          <w:lang w:eastAsia="es-CR"/>
        </w:rPr>
        <w:t>os</w:t>
      </w:r>
      <w:r w:rsidRPr="002964A7">
        <w:rPr>
          <w:rFonts w:ascii="Verdana" w:hAnsi="Verdana"/>
          <w:spacing w:val="-2"/>
          <w:sz w:val="20"/>
          <w:szCs w:val="20"/>
          <w:lang w:eastAsia="es-CR"/>
        </w:rPr>
        <w:t xml:space="preserve"> estándares internacionales exigen que la entrega de restos ocurra cuando la víctima esté claramente identificada, es </w:t>
      </w:r>
      <w:r w:rsidRPr="002964A7">
        <w:rPr>
          <w:rFonts w:ascii="Verdana" w:hAnsi="Verdana" w:cs="Helvetica"/>
          <w:spacing w:val="-2"/>
          <w:sz w:val="20"/>
          <w:szCs w:val="20"/>
          <w:lang w:eastAsia="es-CR" w:bidi="en-US"/>
        </w:rPr>
        <w:t>decir</w:t>
      </w:r>
      <w:r w:rsidRPr="002964A7">
        <w:rPr>
          <w:rFonts w:ascii="Verdana" w:hAnsi="Verdana"/>
          <w:spacing w:val="-2"/>
          <w:sz w:val="20"/>
          <w:szCs w:val="20"/>
          <w:lang w:eastAsia="es-CR"/>
        </w:rPr>
        <w:t>, una vez que se haya conseguido una identificación positiva</w:t>
      </w:r>
      <w:r w:rsidRPr="002964A7">
        <w:rPr>
          <w:rFonts w:ascii="Verdana" w:hAnsi="Verdana"/>
          <w:spacing w:val="-2"/>
          <w:sz w:val="20"/>
          <w:szCs w:val="20"/>
          <w:vertAlign w:val="superscript"/>
          <w:lang w:eastAsia="es-CR"/>
        </w:rPr>
        <w:footnoteReference w:id="347"/>
      </w:r>
      <w:r w:rsidRPr="002964A7">
        <w:rPr>
          <w:rFonts w:ascii="Verdana" w:hAnsi="Verdana"/>
          <w:spacing w:val="-2"/>
          <w:sz w:val="20"/>
          <w:szCs w:val="20"/>
          <w:lang w:eastAsia="es-CR"/>
        </w:rPr>
        <w:t xml:space="preserve">. Sobre este punto, </w:t>
      </w:r>
      <w:r w:rsidRPr="002964A7">
        <w:rPr>
          <w:rFonts w:ascii="Verdana" w:hAnsi="Verdana" w:cs="Arial"/>
          <w:spacing w:val="-2"/>
          <w:sz w:val="20"/>
          <w:szCs w:val="20"/>
          <w:lang w:eastAsia="es-CR"/>
        </w:rPr>
        <w:t>e</w:t>
      </w:r>
      <w:r w:rsidRPr="002964A7">
        <w:rPr>
          <w:rFonts w:ascii="Verdana" w:hAnsi="Verdana"/>
          <w:spacing w:val="-2"/>
          <w:sz w:val="20"/>
          <w:szCs w:val="20"/>
          <w:lang w:eastAsia="es-CR"/>
        </w:rPr>
        <w:t xml:space="preserve">l Protocolo de Minnesota del año 1991 establece que </w:t>
      </w:r>
      <w:r w:rsidRPr="002964A7">
        <w:rPr>
          <w:rFonts w:ascii="Verdana" w:hAnsi="Verdana" w:cs="Arial"/>
          <w:spacing w:val="-2"/>
          <w:sz w:val="20"/>
          <w:szCs w:val="20"/>
          <w:lang w:eastAsia="es-CR"/>
        </w:rPr>
        <w:t>“</w:t>
      </w:r>
      <w:r w:rsidRPr="002964A7">
        <w:rPr>
          <w:rFonts w:ascii="Verdana" w:hAnsi="Verdana"/>
          <w:spacing w:val="-2"/>
          <w:sz w:val="20"/>
          <w:szCs w:val="20"/>
          <w:lang w:eastAsia="es-CR"/>
        </w:rPr>
        <w:t>el cuerpo debe ser identificado por testigos confiables y otros métodos objetivos”</w:t>
      </w:r>
      <w:r w:rsidRPr="002964A7">
        <w:rPr>
          <w:rFonts w:ascii="Verdana" w:hAnsi="Verdana"/>
          <w:spacing w:val="-2"/>
          <w:sz w:val="20"/>
          <w:szCs w:val="20"/>
          <w:vertAlign w:val="superscript"/>
          <w:lang w:eastAsia="es-CR"/>
        </w:rPr>
        <w:footnoteReference w:id="348"/>
      </w:r>
      <w:r w:rsidRPr="002964A7">
        <w:rPr>
          <w:rFonts w:ascii="Verdana" w:hAnsi="Verdana"/>
          <w:spacing w:val="-2"/>
          <w:sz w:val="20"/>
          <w:szCs w:val="20"/>
          <w:lang w:eastAsia="es-CR"/>
        </w:rPr>
        <w:t>. La Corte reconoce que, debido a las circunstancias específicas de un caso, es posible que la identificación y entrega de restos mortales no pueda estar respaldada por al menos un método científico</w:t>
      </w:r>
      <w:r w:rsidRPr="002964A7">
        <w:rPr>
          <w:rFonts w:ascii="Verdana" w:hAnsi="Verdana"/>
          <w:spacing w:val="-2"/>
          <w:sz w:val="20"/>
          <w:szCs w:val="20"/>
          <w:vertAlign w:val="superscript"/>
          <w:lang w:eastAsia="es-CR"/>
        </w:rPr>
        <w:footnoteReference w:id="349"/>
      </w:r>
      <w:r w:rsidRPr="002964A7">
        <w:rPr>
          <w:rFonts w:ascii="Verdana" w:hAnsi="Verdana"/>
          <w:spacing w:val="-2"/>
          <w:sz w:val="20"/>
          <w:szCs w:val="20"/>
          <w:lang w:eastAsia="es-CR"/>
        </w:rPr>
        <w:t xml:space="preserve"> y la única opción práctica en dichos casos sea la identificación </w:t>
      </w:r>
      <w:r w:rsidRPr="00F13F0B">
        <w:rPr>
          <w:rFonts w:ascii="Verdana" w:hAnsi="Verdana"/>
          <w:spacing w:val="-2"/>
          <w:sz w:val="20"/>
          <w:szCs w:val="20"/>
          <w:lang w:eastAsia="es-CR"/>
        </w:rPr>
        <w:t xml:space="preserve">mediante </w:t>
      </w:r>
      <w:r w:rsidRPr="002964A7">
        <w:rPr>
          <w:rFonts w:ascii="Verdana" w:hAnsi="Verdana"/>
          <w:spacing w:val="-2"/>
          <w:sz w:val="20"/>
          <w:szCs w:val="20"/>
          <w:lang w:eastAsia="es-CR"/>
        </w:rPr>
        <w:t xml:space="preserve">el reconocimiento de los restos efectuado por familiares o conocidos de la persona desaparecida, así como la </w:t>
      </w:r>
      <w:r w:rsidRPr="00F13F0B">
        <w:rPr>
          <w:rFonts w:ascii="Verdana" w:hAnsi="Verdana"/>
          <w:spacing w:val="-2"/>
          <w:sz w:val="20"/>
          <w:szCs w:val="20"/>
          <w:lang w:eastAsia="es-CR"/>
        </w:rPr>
        <w:t>comparación de datos entre el perfil biológico (sexo, edad, estatura), sus características individuales (lesiones antiguas, defectos congénitos, tatuajes y rasgos dentales)</w:t>
      </w:r>
      <w:r w:rsidRPr="002964A7">
        <w:rPr>
          <w:rFonts w:ascii="Verdana" w:hAnsi="Verdana"/>
          <w:spacing w:val="-2"/>
          <w:sz w:val="20"/>
          <w:szCs w:val="20"/>
          <w:lang w:eastAsia="es-CR"/>
        </w:rPr>
        <w:t>, sus objetos y documentos personales portados. En este sentido, el Comité Internacional de la Cruz Roja ha considerado que los métodos visuales deben utilizarse “como único medio de identificación sólo cuando los cuerpos no están descompuestos ni mutilados, y cuando se tiene una idea fundamentada de la identidad de la víctima, por ejemplo cuando hay testigos que han presenciado el asesinato y el entierro de una persona”</w:t>
      </w:r>
      <w:r w:rsidRPr="002964A7">
        <w:rPr>
          <w:rFonts w:ascii="Verdana" w:hAnsi="Verdana"/>
          <w:spacing w:val="-2"/>
          <w:sz w:val="20"/>
          <w:szCs w:val="20"/>
          <w:vertAlign w:val="superscript"/>
          <w:lang w:eastAsia="es-CR"/>
        </w:rPr>
        <w:footnoteReference w:id="350"/>
      </w:r>
      <w:r w:rsidRPr="002964A7">
        <w:rPr>
          <w:rFonts w:ascii="Verdana" w:hAnsi="Verdana"/>
          <w:spacing w:val="-2"/>
          <w:sz w:val="20"/>
          <w:szCs w:val="20"/>
          <w:lang w:eastAsia="es-CR"/>
        </w:rPr>
        <w:t>.</w:t>
      </w:r>
    </w:p>
    <w:p w:rsidR="00AB496F" w:rsidRPr="002964A7" w:rsidRDefault="00AB496F" w:rsidP="00AB496F">
      <w:pPr>
        <w:pStyle w:val="ListParagraph"/>
        <w:spacing w:after="0" w:line="240" w:lineRule="auto"/>
        <w:ind w:left="0"/>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Así, por ejemplo, en el marco de la supervisión de cumplimiento en el caso </w:t>
      </w:r>
      <w:r w:rsidRPr="002964A7">
        <w:rPr>
          <w:rFonts w:ascii="Verdana" w:hAnsi="Verdana"/>
          <w:i/>
          <w:spacing w:val="-2"/>
          <w:sz w:val="20"/>
          <w:szCs w:val="20"/>
        </w:rPr>
        <w:t>Gómez Palomino Vs</w:t>
      </w:r>
      <w:r>
        <w:rPr>
          <w:rFonts w:ascii="Verdana" w:hAnsi="Verdana"/>
          <w:i/>
          <w:spacing w:val="-2"/>
          <w:sz w:val="20"/>
          <w:szCs w:val="20"/>
        </w:rPr>
        <w:t>.</w:t>
      </w:r>
      <w:r w:rsidRPr="002964A7">
        <w:rPr>
          <w:rFonts w:ascii="Verdana" w:hAnsi="Verdana"/>
          <w:i/>
          <w:spacing w:val="-2"/>
          <w:sz w:val="20"/>
          <w:szCs w:val="20"/>
        </w:rPr>
        <w:t xml:space="preserve"> Perú</w:t>
      </w:r>
      <w:r>
        <w:rPr>
          <w:rFonts w:ascii="Verdana" w:hAnsi="Verdana"/>
          <w:i/>
          <w:spacing w:val="-2"/>
          <w:sz w:val="20"/>
          <w:szCs w:val="20"/>
        </w:rPr>
        <w:t>,</w:t>
      </w:r>
      <w:r w:rsidRPr="002964A7">
        <w:rPr>
          <w:rFonts w:ascii="Verdana" w:hAnsi="Verdana"/>
          <w:spacing w:val="-2"/>
          <w:sz w:val="20"/>
          <w:szCs w:val="20"/>
        </w:rPr>
        <w:t xml:space="preserve"> </w:t>
      </w:r>
      <w:r w:rsidRPr="002964A7">
        <w:rPr>
          <w:rFonts w:ascii="Verdana" w:hAnsi="Verdana" w:cs="Cambria"/>
          <w:spacing w:val="-2"/>
          <w:sz w:val="20"/>
          <w:szCs w:val="20"/>
        </w:rPr>
        <w:t>referente</w:t>
      </w:r>
      <w:r w:rsidRPr="002964A7">
        <w:rPr>
          <w:rFonts w:ascii="Verdana" w:hAnsi="Verdana"/>
          <w:spacing w:val="-2"/>
          <w:sz w:val="20"/>
          <w:szCs w:val="20"/>
        </w:rPr>
        <w:t xml:space="preserve"> también a una desaparición forzada, la Corte consideró que, a pesar de que se encontraría pendiente la realización -o en su caso el resultado- de una </w:t>
      </w:r>
      <w:r w:rsidRPr="002964A7">
        <w:rPr>
          <w:rFonts w:ascii="Verdana" w:hAnsi="Verdana"/>
          <w:spacing w:val="-2"/>
          <w:sz w:val="20"/>
          <w:szCs w:val="20"/>
        </w:rPr>
        <w:lastRenderedPageBreak/>
        <w:t xml:space="preserve">prueba de ADN, la localización e identificación de los restos ocurrió </w:t>
      </w:r>
      <w:r>
        <w:rPr>
          <w:rFonts w:ascii="Verdana" w:hAnsi="Verdana"/>
          <w:spacing w:val="-2"/>
          <w:sz w:val="20"/>
          <w:szCs w:val="20"/>
        </w:rPr>
        <w:t>con</w:t>
      </w:r>
      <w:r w:rsidRPr="002964A7">
        <w:rPr>
          <w:rFonts w:ascii="Verdana" w:hAnsi="Verdana"/>
          <w:spacing w:val="-2"/>
          <w:sz w:val="20"/>
          <w:szCs w:val="20"/>
        </w:rPr>
        <w:t xml:space="preserve"> base </w:t>
      </w:r>
      <w:r>
        <w:rPr>
          <w:rFonts w:ascii="Verdana" w:hAnsi="Verdana"/>
          <w:spacing w:val="-2"/>
          <w:sz w:val="20"/>
          <w:szCs w:val="20"/>
        </w:rPr>
        <w:t>en</w:t>
      </w:r>
      <w:r w:rsidRPr="002964A7">
        <w:rPr>
          <w:rFonts w:ascii="Verdana" w:hAnsi="Verdana"/>
          <w:spacing w:val="-2"/>
          <w:sz w:val="20"/>
          <w:szCs w:val="20"/>
        </w:rPr>
        <w:t xml:space="preserve"> las declaraciones de un colaborador eficaz, el reconocimiento de las prendas que la víctima vestía al momento de su detención, así como por una malformación ósea en una de las extremidades inferiores. Asimismo, los familiares y sus representantes consideraron que dicha identificación realizada mediante métodos tradicionales era “válida y suficiente”</w:t>
      </w:r>
      <w:r w:rsidRPr="002964A7">
        <w:rPr>
          <w:rStyle w:val="FootnoteReference"/>
          <w:rFonts w:eastAsiaTheme="minorHAnsi"/>
          <w:spacing w:val="-2"/>
          <w:szCs w:val="20"/>
        </w:rPr>
        <w:footnoteReference w:id="351"/>
      </w:r>
      <w:r w:rsidRPr="002964A7">
        <w:rPr>
          <w:rFonts w:ascii="Verdana" w:hAnsi="Verdana"/>
          <w:spacing w:val="-2"/>
          <w:sz w:val="20"/>
          <w:szCs w:val="20"/>
        </w:rPr>
        <w:t xml:space="preserve">. </w:t>
      </w:r>
    </w:p>
    <w:p w:rsidR="00AB496F" w:rsidRPr="002964A7" w:rsidRDefault="00AB496F" w:rsidP="00AB496F">
      <w:pPr>
        <w:pStyle w:val="ListParagraph"/>
        <w:spacing w:after="0" w:line="240" w:lineRule="auto"/>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Para hacer efectiva y viable la eventual localización, identificación y entrega a sus familiares de los restos</w:t>
      </w:r>
      <w:r w:rsidRPr="002964A7">
        <w:rPr>
          <w:rFonts w:ascii="Verdana" w:eastAsia="MS Mincho" w:hAnsi="Verdana"/>
          <w:spacing w:val="-2"/>
          <w:sz w:val="20"/>
          <w:szCs w:val="20"/>
        </w:rPr>
        <w:t>, este Tribunal dispone, como lo ha hecho en otros casos</w:t>
      </w:r>
      <w:r w:rsidRPr="002964A7">
        <w:rPr>
          <w:rFonts w:ascii="Verdana" w:eastAsia="MS Mincho" w:hAnsi="Verdana"/>
          <w:spacing w:val="-2"/>
          <w:sz w:val="20"/>
          <w:szCs w:val="20"/>
          <w:vertAlign w:val="superscript"/>
        </w:rPr>
        <w:footnoteReference w:id="352"/>
      </w:r>
      <w:r w:rsidRPr="002964A7">
        <w:rPr>
          <w:rFonts w:ascii="Verdana" w:eastAsia="MS Mincho" w:hAnsi="Verdana"/>
          <w:spacing w:val="-2"/>
          <w:sz w:val="20"/>
          <w:szCs w:val="20"/>
        </w:rPr>
        <w:t>, que</w:t>
      </w:r>
      <w:r w:rsidRPr="002964A7">
        <w:rPr>
          <w:rFonts w:ascii="Verdana" w:hAnsi="Verdana"/>
          <w:spacing w:val="-2"/>
          <w:sz w:val="20"/>
          <w:szCs w:val="20"/>
        </w:rPr>
        <w:t xml:space="preserve"> el Estado deberá comunicar por escrito a los representantes de las víctimas sobre el proceso de identificación y entrega </w:t>
      </w:r>
      <w:r w:rsidRPr="002964A7">
        <w:rPr>
          <w:rFonts w:ascii="Verdana" w:hAnsi="Verdana" w:cs="Cambria"/>
          <w:spacing w:val="-2"/>
          <w:sz w:val="20"/>
          <w:szCs w:val="20"/>
        </w:rPr>
        <w:t>de</w:t>
      </w:r>
      <w:r w:rsidRPr="002964A7">
        <w:rPr>
          <w:rFonts w:ascii="Verdana" w:hAnsi="Verdana"/>
          <w:spacing w:val="-2"/>
          <w:sz w:val="20"/>
          <w:szCs w:val="20"/>
        </w:rPr>
        <w:t xml:space="preserve"> los restos de las víctimas y, en su caso, requerir su colaboración para los efectos pertinentes. Las copias de dichas comunicaciones deberán ser presentadas a la Corte para que sean consideradas dentro de la supervisión del cumplimiento de esta Sentencia. En caso de que llegara a surgir una controversia entre las partes sobre la forma en que debe ser implementada por el Estado esta medida, el Tribunal considera, como lo ha hecho anteriormente</w:t>
      </w:r>
      <w:r w:rsidRPr="002964A7">
        <w:rPr>
          <w:rStyle w:val="FootnoteReference"/>
          <w:rFonts w:eastAsiaTheme="minorHAnsi"/>
          <w:spacing w:val="-2"/>
          <w:szCs w:val="20"/>
        </w:rPr>
        <w:footnoteReference w:id="353"/>
      </w:r>
      <w:r w:rsidRPr="002964A7">
        <w:rPr>
          <w:rFonts w:ascii="Verdana" w:hAnsi="Verdana"/>
          <w:spacing w:val="-2"/>
          <w:sz w:val="20"/>
          <w:szCs w:val="20"/>
        </w:rPr>
        <w:t>, que la debida implementación de las medidas de reparación será evaluada durante la etapa de supervisión de cumplimiento de la Sentencia, por lo cual la Corte valorará oportunamente la información y observaciones que las partes pudieran presentar al respecto durante dicha etapa.</w:t>
      </w:r>
    </w:p>
    <w:p w:rsidR="00AB496F" w:rsidRPr="00F13F0B" w:rsidRDefault="00CB71AA" w:rsidP="00A3580C">
      <w:pPr>
        <w:pStyle w:val="Heading3"/>
        <w:spacing w:line="240" w:lineRule="auto"/>
      </w:pPr>
      <w:bookmarkStart w:id="259" w:name="_Toc423102574"/>
      <w:bookmarkStart w:id="260" w:name="_Toc433387525"/>
      <w:r>
        <w:rPr>
          <w:rFonts w:eastAsia="MS Mincho"/>
        </w:rPr>
        <w:t xml:space="preserve">C. </w:t>
      </w:r>
      <w:r w:rsidR="00AB496F" w:rsidRPr="002964A7">
        <w:rPr>
          <w:rFonts w:eastAsia="MS Mincho"/>
        </w:rPr>
        <w:t>Medidas de restitución, rehabilitación, satisfacción y garantías de no repetición</w:t>
      </w:r>
      <w:bookmarkEnd w:id="259"/>
      <w:bookmarkEnd w:id="260"/>
    </w:p>
    <w:p w:rsidR="00AB496F" w:rsidRPr="001154F9" w:rsidRDefault="00AB496F" w:rsidP="00A3580C">
      <w:pPr>
        <w:pStyle w:val="Heading3"/>
        <w:spacing w:line="240" w:lineRule="auto"/>
      </w:pPr>
      <w:bookmarkStart w:id="261" w:name="_Toc423102575"/>
      <w:bookmarkStart w:id="262" w:name="_Toc433387526"/>
      <w:r w:rsidRPr="00F13F0B">
        <w:rPr>
          <w:rFonts w:cs="Verdana-Italic"/>
          <w:lang w:bidi="en-US"/>
        </w:rPr>
        <w:t xml:space="preserve">C.1. </w:t>
      </w:r>
      <w:r w:rsidRPr="00F13F0B">
        <w:t>Restitución</w:t>
      </w:r>
      <w:bookmarkEnd w:id="261"/>
      <w:bookmarkEnd w:id="262"/>
    </w:p>
    <w:p w:rsidR="00AB496F" w:rsidRPr="00F13F0B" w:rsidRDefault="00AB496F" w:rsidP="00A3580C">
      <w:pPr>
        <w:pStyle w:val="Heading3"/>
        <w:spacing w:line="240" w:lineRule="auto"/>
        <w:rPr>
          <w:rFonts w:eastAsiaTheme="minorHAnsi"/>
          <w:i/>
        </w:rPr>
      </w:pPr>
      <w:bookmarkStart w:id="263" w:name="_Toc433387527"/>
      <w:r w:rsidRPr="00F13F0B">
        <w:rPr>
          <w:rFonts w:eastAsiaTheme="minorHAnsi"/>
        </w:rPr>
        <w:t>C.1.1. Asistencia para ganadería y construcción de viviendas</w:t>
      </w:r>
      <w:bookmarkEnd w:id="263"/>
      <w:r w:rsidRPr="00F13F0B">
        <w:rPr>
          <w:rFonts w:eastAsiaTheme="minorHAnsi"/>
        </w:rPr>
        <w:t xml:space="preserve"> </w:t>
      </w:r>
    </w:p>
    <w:p w:rsidR="00AB496F" w:rsidRPr="00927EA8" w:rsidRDefault="00AB496F" w:rsidP="00AB496F">
      <w:pPr>
        <w:widowControl w:val="0"/>
        <w:tabs>
          <w:tab w:val="left" w:pos="90"/>
          <w:tab w:val="left" w:pos="567"/>
        </w:tabs>
        <w:suppressAutoHyphens/>
        <w:autoSpaceDE w:val="0"/>
        <w:spacing w:after="0" w:line="240" w:lineRule="auto"/>
        <w:ind w:right="-121"/>
        <w:jc w:val="both"/>
        <w:rPr>
          <w:rFonts w:ascii="Verdana" w:hAnsi="Verdana" w:cs="Verdana-Italic"/>
          <w:i/>
          <w:iCs/>
          <w:spacing w:val="-2"/>
          <w:sz w:val="16"/>
          <w:szCs w:val="20"/>
          <w:lang w:bidi="en-US"/>
        </w:rPr>
      </w:pPr>
    </w:p>
    <w:p w:rsidR="00AB496F" w:rsidRPr="002964A7" w:rsidRDefault="00AB496F" w:rsidP="00AB496F">
      <w:pPr>
        <w:widowControl w:val="0"/>
        <w:suppressAutoHyphens/>
        <w:autoSpaceDE w:val="0"/>
        <w:spacing w:after="0" w:line="240" w:lineRule="auto"/>
        <w:ind w:right="-121" w:firstLine="720"/>
        <w:jc w:val="both"/>
        <w:rPr>
          <w:rFonts w:ascii="Verdana" w:hAnsi="Verdana" w:cs="Verdana-Italic"/>
          <w:i/>
          <w:iCs/>
          <w:spacing w:val="-2"/>
          <w:sz w:val="20"/>
          <w:szCs w:val="20"/>
          <w:lang w:bidi="en-US"/>
        </w:rPr>
      </w:pPr>
      <w:r w:rsidRPr="002964A7">
        <w:rPr>
          <w:rFonts w:ascii="Verdana" w:hAnsi="Verdana" w:cs="Verdana-Italic"/>
          <w:i/>
          <w:iCs/>
          <w:spacing w:val="-2"/>
          <w:sz w:val="20"/>
          <w:szCs w:val="20"/>
          <w:lang w:bidi="en-US"/>
        </w:rPr>
        <w:t xml:space="preserve">Argumentos de las partes </w:t>
      </w:r>
    </w:p>
    <w:p w:rsidR="00AB496F" w:rsidRPr="00927EA8" w:rsidRDefault="00AB496F" w:rsidP="00AB496F">
      <w:pPr>
        <w:widowControl w:val="0"/>
        <w:suppressAutoHyphens/>
        <w:autoSpaceDE w:val="0"/>
        <w:spacing w:after="0" w:line="240" w:lineRule="auto"/>
        <w:ind w:right="-121" w:firstLine="720"/>
        <w:jc w:val="both"/>
        <w:rPr>
          <w:rFonts w:ascii="Verdana" w:hAnsi="Verdana" w:cs="Verdana-Italic"/>
          <w:i/>
          <w:iCs/>
          <w:spacing w:val="-2"/>
          <w:sz w:val="16"/>
          <w:szCs w:val="20"/>
          <w:lang w:bidi="en-US"/>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b/>
          <w:spacing w:val="-2"/>
          <w:sz w:val="20"/>
          <w:szCs w:val="20"/>
        </w:rPr>
      </w:pPr>
      <w:r w:rsidRPr="002964A7">
        <w:rPr>
          <w:rFonts w:ascii="Verdana" w:eastAsia="MS Mincho" w:hAnsi="Verdana"/>
          <w:spacing w:val="-2"/>
          <w:sz w:val="20"/>
          <w:szCs w:val="20"/>
        </w:rPr>
        <w:t xml:space="preserve">La </w:t>
      </w:r>
      <w:r w:rsidRPr="002964A7">
        <w:rPr>
          <w:rFonts w:ascii="Verdana" w:eastAsia="MS Mincho" w:hAnsi="Verdana"/>
          <w:b/>
          <w:i/>
          <w:spacing w:val="-2"/>
          <w:sz w:val="20"/>
          <w:szCs w:val="20"/>
        </w:rPr>
        <w:t>Comisión</w:t>
      </w:r>
      <w:r w:rsidRPr="002964A7">
        <w:rPr>
          <w:rFonts w:ascii="Verdana" w:eastAsia="MS Mincho" w:hAnsi="Verdana"/>
          <w:spacing w:val="-2"/>
          <w:sz w:val="20"/>
          <w:szCs w:val="20"/>
        </w:rPr>
        <w:t xml:space="preserve"> no presentó solicitud alguna al respecto. </w:t>
      </w:r>
      <w:r w:rsidRPr="002964A7">
        <w:rPr>
          <w:rFonts w:ascii="Verdana" w:hAnsi="Verdana" w:cs="Arial"/>
          <w:spacing w:val="-2"/>
          <w:sz w:val="20"/>
          <w:szCs w:val="20"/>
        </w:rPr>
        <w:t xml:space="preserve">Los </w:t>
      </w:r>
      <w:r w:rsidRPr="002964A7">
        <w:rPr>
          <w:rFonts w:ascii="Verdana" w:hAnsi="Verdana" w:cs="Arial"/>
          <w:b/>
          <w:i/>
          <w:spacing w:val="-2"/>
          <w:sz w:val="20"/>
          <w:szCs w:val="20"/>
        </w:rPr>
        <w:t>representantes</w:t>
      </w:r>
      <w:r w:rsidRPr="002964A7">
        <w:rPr>
          <w:rFonts w:ascii="Verdana" w:hAnsi="Verdana" w:cs="Arial"/>
          <w:spacing w:val="-2"/>
          <w:sz w:val="20"/>
          <w:szCs w:val="20"/>
        </w:rPr>
        <w:t xml:space="preserve"> señalaron que la desaparición </w:t>
      </w:r>
      <w:r w:rsidRPr="002964A7">
        <w:rPr>
          <w:rFonts w:ascii="Verdana" w:hAnsi="Verdana"/>
          <w:spacing w:val="-2"/>
          <w:sz w:val="20"/>
          <w:szCs w:val="20"/>
        </w:rPr>
        <w:t>forzada</w:t>
      </w:r>
      <w:r w:rsidRPr="002964A7">
        <w:rPr>
          <w:rFonts w:ascii="Verdana" w:hAnsi="Verdana" w:cs="Arial"/>
          <w:spacing w:val="-2"/>
          <w:sz w:val="20"/>
          <w:szCs w:val="20"/>
        </w:rPr>
        <w:t xml:space="preserve"> de las víctimas afectó seriamente las posibilidades de subsistencia de sus familiares,</w:t>
      </w:r>
      <w:r>
        <w:rPr>
          <w:rFonts w:ascii="Verdana" w:hAnsi="Verdana" w:cs="Arial"/>
          <w:spacing w:val="-2"/>
          <w:sz w:val="20"/>
          <w:szCs w:val="20"/>
        </w:rPr>
        <w:t xml:space="preserve"> ya</w:t>
      </w:r>
      <w:r w:rsidRPr="002964A7">
        <w:rPr>
          <w:rFonts w:ascii="Verdana" w:hAnsi="Verdana" w:cs="Arial"/>
          <w:spacing w:val="-2"/>
          <w:sz w:val="20"/>
          <w:szCs w:val="20"/>
        </w:rPr>
        <w:t xml:space="preserve"> que a raíz de los hechos perdieron el ganado (alpacas, ovinos, llamas y algunas vacas y caballos) que era su medio de subsistencia y las viviendas en que residían, pues estas fueron quemadas por los miembros del ejército que los detuvieron. Por ello, solicitaron que el Estado proporcione a los familiares de las víctimas que desean continuar realizando la actividad de ganadería, financiamiento para </w:t>
      </w:r>
      <w:r w:rsidRPr="002964A7">
        <w:rPr>
          <w:rFonts w:ascii="Verdana" w:hAnsi="Verdana"/>
          <w:spacing w:val="-2"/>
          <w:sz w:val="20"/>
          <w:szCs w:val="20"/>
        </w:rPr>
        <w:t xml:space="preserve">10 </w:t>
      </w:r>
      <w:r w:rsidRPr="002964A7">
        <w:rPr>
          <w:rFonts w:ascii="Verdana" w:hAnsi="Verdana" w:cs="Arial"/>
          <w:spacing w:val="-2"/>
          <w:sz w:val="20"/>
          <w:szCs w:val="20"/>
        </w:rPr>
        <w:t xml:space="preserve">reproductores de alpaca cada uno, lo cual tendría un costo aproximado de USD </w:t>
      </w:r>
      <w:r>
        <w:rPr>
          <w:rFonts w:ascii="Verdana" w:hAnsi="Verdana" w:cs="Arial"/>
          <w:spacing w:val="-2"/>
          <w:sz w:val="20"/>
          <w:szCs w:val="20"/>
        </w:rPr>
        <w:t>$</w:t>
      </w:r>
      <w:r w:rsidRPr="002964A7">
        <w:rPr>
          <w:rFonts w:ascii="Verdana" w:hAnsi="Verdana"/>
          <w:spacing w:val="-2"/>
          <w:sz w:val="20"/>
          <w:szCs w:val="20"/>
        </w:rPr>
        <w:t>20,000</w:t>
      </w:r>
      <w:r>
        <w:rPr>
          <w:rFonts w:ascii="Verdana" w:hAnsi="Verdana"/>
          <w:spacing w:val="-2"/>
          <w:sz w:val="20"/>
          <w:szCs w:val="20"/>
        </w:rPr>
        <w:t>.00</w:t>
      </w:r>
      <w:r w:rsidRPr="002964A7">
        <w:rPr>
          <w:rFonts w:ascii="Verdana" w:hAnsi="Verdana"/>
          <w:spacing w:val="-2"/>
          <w:sz w:val="20"/>
          <w:szCs w:val="20"/>
        </w:rPr>
        <w:t xml:space="preserve"> </w:t>
      </w:r>
      <w:r w:rsidRPr="002964A7">
        <w:rPr>
          <w:rFonts w:ascii="Verdana" w:hAnsi="Verdana" w:cs="Arial"/>
          <w:spacing w:val="-2"/>
          <w:sz w:val="20"/>
          <w:szCs w:val="20"/>
        </w:rPr>
        <w:t xml:space="preserve">por persona, para un costo total de USD </w:t>
      </w:r>
      <w:r>
        <w:rPr>
          <w:rFonts w:ascii="Verdana" w:hAnsi="Verdana" w:cs="Arial"/>
          <w:spacing w:val="-2"/>
          <w:sz w:val="20"/>
          <w:szCs w:val="20"/>
        </w:rPr>
        <w:t>$</w:t>
      </w:r>
      <w:r w:rsidRPr="002964A7">
        <w:rPr>
          <w:rFonts w:ascii="Verdana" w:hAnsi="Verdana" w:cs="Arial"/>
          <w:spacing w:val="-2"/>
          <w:sz w:val="20"/>
          <w:szCs w:val="20"/>
        </w:rPr>
        <w:t>80,000.</w:t>
      </w:r>
      <w:r>
        <w:rPr>
          <w:rFonts w:ascii="Verdana" w:hAnsi="Verdana" w:cs="Arial"/>
          <w:spacing w:val="-2"/>
          <w:sz w:val="20"/>
          <w:szCs w:val="20"/>
        </w:rPr>
        <w:t>00.</w:t>
      </w:r>
      <w:r w:rsidRPr="002964A7">
        <w:rPr>
          <w:rFonts w:ascii="Verdana" w:hAnsi="Verdana" w:cs="Arial"/>
          <w:spacing w:val="-2"/>
          <w:sz w:val="20"/>
          <w:szCs w:val="20"/>
        </w:rPr>
        <w:t xml:space="preserve"> </w:t>
      </w:r>
      <w:r>
        <w:rPr>
          <w:rFonts w:ascii="Verdana" w:hAnsi="Verdana" w:cs="Arial"/>
          <w:spacing w:val="-2"/>
          <w:sz w:val="20"/>
          <w:szCs w:val="20"/>
        </w:rPr>
        <w:t>Según los representantes, d</w:t>
      </w:r>
      <w:r w:rsidRPr="002964A7">
        <w:rPr>
          <w:rFonts w:ascii="Verdana" w:hAnsi="Verdana" w:cs="Arial"/>
          <w:spacing w:val="-2"/>
          <w:sz w:val="20"/>
          <w:szCs w:val="20"/>
        </w:rPr>
        <w:t xml:space="preserve">ichos reproductores permitirán repotenciar la actividad y aumentar la cantidad de ganado y contribuirá a mejorar sus condiciones de vida. Asimismo, solicitaron que el Estado restituya a los familiares de las víctimas, las viviendas que les fueron quemadas a </w:t>
      </w:r>
      <w:r w:rsidR="00335E16">
        <w:rPr>
          <w:rFonts w:ascii="Verdana" w:hAnsi="Verdana" w:cs="Arial"/>
          <w:spacing w:val="-2"/>
          <w:sz w:val="20"/>
          <w:szCs w:val="20"/>
        </w:rPr>
        <w:t>e</w:t>
      </w:r>
      <w:r w:rsidRPr="002964A7">
        <w:rPr>
          <w:rFonts w:ascii="Verdana" w:hAnsi="Verdana" w:cs="Arial"/>
          <w:spacing w:val="-2"/>
          <w:sz w:val="20"/>
          <w:szCs w:val="20"/>
        </w:rPr>
        <w:t xml:space="preserve">stas a raíz de los hechos, pues a la fecha varios de ellos no cuentan con una vivienda digna. Al respecto, se refirieron específicamente al caso de los señores y </w:t>
      </w:r>
      <w:r w:rsidRPr="00496B17">
        <w:rPr>
          <w:rFonts w:ascii="Verdana" w:hAnsi="Verdana" w:cs="Arial"/>
          <w:spacing w:val="-2"/>
          <w:sz w:val="20"/>
          <w:szCs w:val="20"/>
        </w:rPr>
        <w:t xml:space="preserve">señoras </w:t>
      </w:r>
      <w:r w:rsidRPr="00496B17">
        <w:rPr>
          <w:rFonts w:ascii="Verdana" w:hAnsi="Verdana"/>
          <w:spacing w:val="-2"/>
          <w:sz w:val="20"/>
          <w:szCs w:val="20"/>
        </w:rPr>
        <w:t>Zenón Cirilo Osnayo Tunque, quien “no cuenta con un lugar donde vivir”, así como</w:t>
      </w:r>
      <w:r w:rsidRPr="00937752">
        <w:rPr>
          <w:rFonts w:ascii="Verdana" w:hAnsi="Verdana" w:cs="Arial"/>
          <w:spacing w:val="-2"/>
          <w:sz w:val="20"/>
          <w:szCs w:val="20"/>
        </w:rPr>
        <w:t xml:space="preserve"> </w:t>
      </w:r>
      <w:r w:rsidRPr="00752249">
        <w:rPr>
          <w:rFonts w:ascii="Verdana" w:hAnsi="Verdana"/>
          <w:spacing w:val="-2"/>
          <w:sz w:val="20"/>
          <w:szCs w:val="20"/>
        </w:rPr>
        <w:t>Zósimo Hilario Quispe, Marcelo Hilario Quispe, Gregorio Hilario Quispe, Víctor C</w:t>
      </w:r>
      <w:r w:rsidRPr="009C7D8E">
        <w:rPr>
          <w:rFonts w:ascii="Verdana" w:hAnsi="Verdana"/>
          <w:spacing w:val="-2"/>
          <w:sz w:val="20"/>
          <w:szCs w:val="20"/>
        </w:rPr>
        <w:t xml:space="preserve">arhuapoma de la Cruz, </w:t>
      </w:r>
      <w:r w:rsidRPr="00496B17">
        <w:rPr>
          <w:rFonts w:ascii="Verdana" w:hAnsi="Verdana" w:cs="Verdana"/>
          <w:spacing w:val="-2"/>
          <w:sz w:val="20"/>
          <w:szCs w:val="20"/>
        </w:rPr>
        <w:t>Abilio Hilario Quispe,</w:t>
      </w:r>
      <w:r w:rsidRPr="00496B17">
        <w:rPr>
          <w:rFonts w:ascii="Verdana" w:hAnsi="Verdana"/>
          <w:spacing w:val="-2"/>
          <w:sz w:val="20"/>
          <w:szCs w:val="20"/>
        </w:rPr>
        <w:t xml:space="preserve"> Marcelina Guillen Riveros y </w:t>
      </w:r>
      <w:r w:rsidRPr="00496B17">
        <w:rPr>
          <w:rFonts w:ascii="Verdana" w:hAnsi="Verdana" w:cs="Arial"/>
          <w:spacing w:val="-2"/>
          <w:sz w:val="20"/>
          <w:szCs w:val="20"/>
        </w:rPr>
        <w:t>Marino Huamaní Vergara, cuyas</w:t>
      </w:r>
      <w:r w:rsidRPr="002964A7">
        <w:rPr>
          <w:rFonts w:ascii="Verdana" w:hAnsi="Verdana" w:cs="Arial"/>
          <w:spacing w:val="-2"/>
          <w:sz w:val="20"/>
          <w:szCs w:val="20"/>
        </w:rPr>
        <w:t xml:space="preserve"> viviendas son de material rústico y no reúnen las condiciones de un nivel de vida digno. En atención a ello, solicitaron a la Corte que ordene al Estado proporcionar a las víctimas financiamiento para procurar la </w:t>
      </w:r>
      <w:r w:rsidRPr="002964A7">
        <w:rPr>
          <w:rFonts w:ascii="Verdana" w:hAnsi="Verdana" w:cs="Arial"/>
          <w:spacing w:val="-2"/>
          <w:sz w:val="20"/>
          <w:szCs w:val="20"/>
        </w:rPr>
        <w:lastRenderedPageBreak/>
        <w:t xml:space="preserve">construcción de viviendas adecuadas de material noble, de 120 metros cuadrados, las cuales </w:t>
      </w:r>
      <w:r>
        <w:rPr>
          <w:rFonts w:ascii="Verdana" w:hAnsi="Verdana" w:cs="Arial"/>
          <w:spacing w:val="-2"/>
          <w:sz w:val="20"/>
          <w:szCs w:val="20"/>
        </w:rPr>
        <w:t>tendrían</w:t>
      </w:r>
      <w:r w:rsidRPr="002964A7">
        <w:rPr>
          <w:rFonts w:ascii="Verdana" w:hAnsi="Verdana" w:cs="Arial"/>
          <w:spacing w:val="-2"/>
          <w:sz w:val="20"/>
          <w:szCs w:val="20"/>
        </w:rPr>
        <w:t xml:space="preserve"> un costo aproximado de USD </w:t>
      </w:r>
      <w:r>
        <w:rPr>
          <w:rFonts w:ascii="Verdana" w:hAnsi="Verdana" w:cs="Arial"/>
          <w:spacing w:val="-2"/>
          <w:sz w:val="20"/>
          <w:szCs w:val="20"/>
        </w:rPr>
        <w:t>$</w:t>
      </w:r>
      <w:r w:rsidRPr="002964A7">
        <w:rPr>
          <w:rFonts w:ascii="Verdana" w:hAnsi="Verdana" w:cs="Arial"/>
          <w:spacing w:val="-2"/>
          <w:sz w:val="20"/>
          <w:szCs w:val="20"/>
        </w:rPr>
        <w:t>70,000</w:t>
      </w:r>
      <w:r>
        <w:rPr>
          <w:rFonts w:ascii="Verdana" w:hAnsi="Verdana" w:cs="Arial"/>
          <w:spacing w:val="-2"/>
          <w:sz w:val="20"/>
          <w:szCs w:val="20"/>
        </w:rPr>
        <w:t>.00</w:t>
      </w:r>
      <w:r w:rsidRPr="002964A7">
        <w:rPr>
          <w:rFonts w:ascii="Verdana" w:hAnsi="Verdana" w:cs="Arial"/>
          <w:spacing w:val="-2"/>
          <w:sz w:val="20"/>
          <w:szCs w:val="20"/>
        </w:rPr>
        <w:t xml:space="preserve"> cada una. En el caso del señor Zenón Cirilo Osnayo Tunque, este financiamiento también deberá incluir la provisión de un terreno de 120 metros cuadrados, con un costo aproximado de USD </w:t>
      </w:r>
      <w:r>
        <w:rPr>
          <w:rFonts w:ascii="Verdana" w:hAnsi="Verdana" w:cs="Arial"/>
          <w:spacing w:val="-2"/>
          <w:sz w:val="20"/>
          <w:szCs w:val="20"/>
        </w:rPr>
        <w:t>$</w:t>
      </w:r>
      <w:r w:rsidRPr="002964A7">
        <w:rPr>
          <w:rFonts w:ascii="Verdana" w:hAnsi="Verdana" w:cs="Arial"/>
          <w:spacing w:val="-2"/>
          <w:sz w:val="20"/>
          <w:szCs w:val="20"/>
        </w:rPr>
        <w:t xml:space="preserve">7,000.00, pues a raíz de la pérdida del lugar donde vivía no tiene donde construir. </w:t>
      </w:r>
    </w:p>
    <w:p w:rsidR="00AB496F" w:rsidRPr="002964A7" w:rsidRDefault="00AB496F" w:rsidP="00AB496F">
      <w:pPr>
        <w:autoSpaceDE w:val="0"/>
        <w:autoSpaceDN w:val="0"/>
        <w:adjustRightInd w:val="0"/>
        <w:spacing w:after="0" w:line="240" w:lineRule="auto"/>
        <w:jc w:val="both"/>
        <w:rPr>
          <w:rFonts w:ascii="Verdana" w:eastAsiaTheme="minorHAnsi" w:hAnsi="Verdana" w:cs="Arial"/>
          <w:b/>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 xml:space="preserve">El </w:t>
      </w:r>
      <w:r w:rsidRPr="002964A7">
        <w:rPr>
          <w:rFonts w:ascii="Verdana" w:hAnsi="Verdana" w:cs="Arial"/>
          <w:b/>
          <w:i/>
          <w:spacing w:val="-2"/>
          <w:sz w:val="20"/>
          <w:szCs w:val="20"/>
        </w:rPr>
        <w:t>Estado</w:t>
      </w:r>
      <w:r w:rsidRPr="002964A7">
        <w:rPr>
          <w:rFonts w:ascii="Verdana" w:hAnsi="Verdana" w:cs="Arial"/>
          <w:spacing w:val="-2"/>
          <w:sz w:val="20"/>
          <w:szCs w:val="20"/>
        </w:rPr>
        <w:t xml:space="preserve"> alegó que “no se ha[bía] probado [la] responsabilidad internacional por parte del Estado peruano respecto a los hechos denunciados referidos a la supuesta vulneración del derecho a la propiedad”. Asimismo, advirtió que la Corte debiera considerar que la </w:t>
      </w:r>
      <w:r>
        <w:rPr>
          <w:rFonts w:ascii="Verdana" w:hAnsi="Verdana" w:cs="Arial"/>
          <w:spacing w:val="-2"/>
          <w:sz w:val="20"/>
          <w:szCs w:val="20"/>
        </w:rPr>
        <w:t>c</w:t>
      </w:r>
      <w:r w:rsidRPr="002964A7">
        <w:rPr>
          <w:rFonts w:ascii="Verdana" w:hAnsi="Verdana" w:cs="Arial"/>
          <w:spacing w:val="-2"/>
          <w:sz w:val="20"/>
          <w:szCs w:val="20"/>
        </w:rPr>
        <w:t xml:space="preserve">omunidad de </w:t>
      </w:r>
      <w:r w:rsidRPr="002964A7">
        <w:rPr>
          <w:rFonts w:ascii="Verdana" w:hAnsi="Verdana"/>
          <w:spacing w:val="-2"/>
          <w:sz w:val="20"/>
          <w:szCs w:val="20"/>
        </w:rPr>
        <w:t>Santa</w:t>
      </w:r>
      <w:r w:rsidRPr="002964A7">
        <w:rPr>
          <w:rFonts w:ascii="Verdana" w:hAnsi="Verdana" w:cs="Arial"/>
          <w:spacing w:val="-2"/>
          <w:sz w:val="20"/>
          <w:szCs w:val="20"/>
        </w:rPr>
        <w:t xml:space="preserve"> Bárbara fue beneficiada con una reparación colectiva por un monto de S/</w:t>
      </w:r>
      <w:r>
        <w:rPr>
          <w:rFonts w:ascii="Verdana" w:hAnsi="Verdana" w:cs="Arial"/>
          <w:spacing w:val="-2"/>
          <w:sz w:val="20"/>
          <w:szCs w:val="20"/>
        </w:rPr>
        <w:t xml:space="preserve">. </w:t>
      </w:r>
      <w:r w:rsidRPr="002964A7">
        <w:rPr>
          <w:rFonts w:ascii="Verdana" w:hAnsi="Verdana" w:cs="Arial"/>
          <w:spacing w:val="-2"/>
          <w:sz w:val="20"/>
          <w:szCs w:val="20"/>
        </w:rPr>
        <w:t>100,000.00</w:t>
      </w:r>
      <w:r>
        <w:rPr>
          <w:rFonts w:ascii="Verdana" w:hAnsi="Verdana" w:cs="Arial"/>
          <w:spacing w:val="-2"/>
          <w:sz w:val="20"/>
          <w:szCs w:val="20"/>
        </w:rPr>
        <w:t xml:space="preserve"> nuevos soles</w:t>
      </w:r>
      <w:r w:rsidRPr="002964A7">
        <w:rPr>
          <w:rFonts w:ascii="Verdana" w:hAnsi="Verdana" w:cs="Arial"/>
          <w:spacing w:val="-2"/>
          <w:sz w:val="20"/>
          <w:szCs w:val="20"/>
        </w:rPr>
        <w:t xml:space="preserve">, </w:t>
      </w:r>
      <w:r w:rsidRPr="002964A7">
        <w:rPr>
          <w:rFonts w:ascii="Verdana" w:hAnsi="Verdana"/>
          <w:spacing w:val="-2"/>
          <w:sz w:val="20"/>
          <w:szCs w:val="20"/>
        </w:rPr>
        <w:t>para la ejecución de un proyecto de instalación de módulos de animales (auquénidos) en dicha comunidad. Explicó que la implementación del proyecto estuvo a cargo de la Municipalidad Provincial de Huancavelica y se llevó a cabo en el 2008, y que la ejecución total del proyecto fue supervisado por representantes de la</w:t>
      </w:r>
      <w:r>
        <w:rPr>
          <w:rFonts w:ascii="Verdana" w:hAnsi="Verdana"/>
          <w:spacing w:val="-2"/>
          <w:sz w:val="20"/>
          <w:szCs w:val="20"/>
        </w:rPr>
        <w:t xml:space="preserve"> </w:t>
      </w:r>
      <w:r w:rsidRPr="006269E6">
        <w:rPr>
          <w:rFonts w:ascii="Verdana" w:hAnsi="Verdana"/>
          <w:spacing w:val="-2"/>
          <w:sz w:val="20"/>
          <w:szCs w:val="20"/>
        </w:rPr>
        <w:t>Comisión Multisectorial de Alto Nivel</w:t>
      </w:r>
      <w:r w:rsidRPr="002964A7">
        <w:rPr>
          <w:rFonts w:ascii="Verdana" w:hAnsi="Verdana"/>
          <w:spacing w:val="-2"/>
          <w:sz w:val="20"/>
          <w:szCs w:val="20"/>
        </w:rPr>
        <w:t xml:space="preserve"> </w:t>
      </w:r>
      <w:r>
        <w:rPr>
          <w:rFonts w:ascii="Verdana" w:hAnsi="Verdana"/>
          <w:spacing w:val="-2"/>
          <w:sz w:val="20"/>
          <w:szCs w:val="20"/>
        </w:rPr>
        <w:t>(</w:t>
      </w:r>
      <w:r w:rsidRPr="002964A7">
        <w:rPr>
          <w:rFonts w:ascii="Verdana" w:hAnsi="Verdana"/>
          <w:spacing w:val="-2"/>
          <w:sz w:val="20"/>
          <w:szCs w:val="20"/>
        </w:rPr>
        <w:t>CMAN</w:t>
      </w:r>
      <w:r>
        <w:rPr>
          <w:rFonts w:ascii="Verdana" w:hAnsi="Verdana"/>
          <w:spacing w:val="-2"/>
          <w:sz w:val="20"/>
          <w:szCs w:val="20"/>
        </w:rPr>
        <w:t>)</w:t>
      </w:r>
      <w:r w:rsidRPr="002964A7">
        <w:rPr>
          <w:rFonts w:ascii="Verdana" w:hAnsi="Verdana"/>
          <w:spacing w:val="-2"/>
          <w:sz w:val="20"/>
          <w:szCs w:val="20"/>
        </w:rPr>
        <w:t xml:space="preserve"> de la oficina del Departamento de Junín. </w:t>
      </w:r>
    </w:p>
    <w:p w:rsidR="00AB496F" w:rsidRPr="00A3580C" w:rsidRDefault="00AB496F" w:rsidP="00AB496F">
      <w:pPr>
        <w:spacing w:after="0" w:line="240" w:lineRule="auto"/>
        <w:rPr>
          <w:rFonts w:ascii="Verdana" w:eastAsiaTheme="minorHAnsi" w:hAnsi="Verdana" w:cs="Arial"/>
          <w:spacing w:val="-2"/>
          <w:sz w:val="16"/>
          <w:szCs w:val="20"/>
        </w:rPr>
      </w:pPr>
    </w:p>
    <w:p w:rsidR="00AB496F" w:rsidRPr="002964A7" w:rsidRDefault="00AB496F" w:rsidP="00AB496F">
      <w:pPr>
        <w:spacing w:after="0" w:line="240" w:lineRule="auto"/>
        <w:ind w:firstLine="720"/>
        <w:rPr>
          <w:rFonts w:ascii="Verdana" w:eastAsiaTheme="minorHAnsi" w:hAnsi="Verdana" w:cs="Arial"/>
          <w:i/>
          <w:spacing w:val="-2"/>
          <w:sz w:val="20"/>
          <w:szCs w:val="20"/>
        </w:rPr>
      </w:pPr>
      <w:r w:rsidRPr="002964A7">
        <w:rPr>
          <w:rFonts w:ascii="Verdana" w:eastAsiaTheme="minorHAnsi" w:hAnsi="Verdana" w:cs="Arial"/>
          <w:i/>
          <w:spacing w:val="-2"/>
          <w:sz w:val="20"/>
          <w:szCs w:val="20"/>
        </w:rPr>
        <w:t>Consideraciones de la Corte</w:t>
      </w:r>
    </w:p>
    <w:p w:rsidR="00AB496F" w:rsidRPr="00A3580C" w:rsidRDefault="00AB496F" w:rsidP="00AB496F">
      <w:pPr>
        <w:spacing w:after="0" w:line="240" w:lineRule="auto"/>
        <w:rPr>
          <w:rFonts w:ascii="Verdana" w:eastAsiaTheme="minorHAnsi" w:hAnsi="Verdana" w:cs="Arial"/>
          <w:spacing w:val="-2"/>
          <w:sz w:val="16"/>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 xml:space="preserve">En el Capítulo </w:t>
      </w:r>
      <w:r>
        <w:rPr>
          <w:rFonts w:ascii="Verdana" w:hAnsi="Verdana" w:cs="Arial"/>
          <w:spacing w:val="-2"/>
          <w:sz w:val="20"/>
          <w:szCs w:val="20"/>
        </w:rPr>
        <w:t>IX.II</w:t>
      </w:r>
      <w:r w:rsidRPr="002964A7">
        <w:rPr>
          <w:rFonts w:ascii="Verdana" w:hAnsi="Verdana" w:cs="Arial"/>
          <w:spacing w:val="-2"/>
          <w:sz w:val="20"/>
          <w:szCs w:val="20"/>
        </w:rPr>
        <w:t xml:space="preserve"> de la Sentencia, la Corte </w:t>
      </w:r>
      <w:r w:rsidRPr="002964A7">
        <w:rPr>
          <w:rFonts w:ascii="Verdana" w:hAnsi="Verdana"/>
          <w:spacing w:val="-2"/>
          <w:sz w:val="20"/>
          <w:szCs w:val="20"/>
        </w:rPr>
        <w:t xml:space="preserve">consideró probado que militares participantes del operativo “Apolonia” quemaron las viviendas de las familias Hilario Quispe e Hilario Guillén </w:t>
      </w:r>
      <w:r w:rsidRPr="002B1801">
        <w:rPr>
          <w:rFonts w:ascii="Verdana" w:hAnsi="Verdana"/>
          <w:spacing w:val="-2"/>
          <w:sz w:val="20"/>
          <w:szCs w:val="20"/>
        </w:rPr>
        <w:t>y</w:t>
      </w:r>
      <w:r w:rsidRPr="002F45DC">
        <w:rPr>
          <w:rFonts w:ascii="Verdana" w:hAnsi="Verdana"/>
          <w:spacing w:val="-2"/>
          <w:sz w:val="20"/>
          <w:szCs w:val="20"/>
        </w:rPr>
        <w:t xml:space="preserve"> se llevaron su ganado</w:t>
      </w:r>
      <w:r w:rsidRPr="005C23EB">
        <w:rPr>
          <w:rFonts w:ascii="Verdana" w:hAnsi="Verdana"/>
          <w:spacing w:val="-2"/>
          <w:sz w:val="20"/>
          <w:szCs w:val="20"/>
        </w:rPr>
        <w:t>,</w:t>
      </w:r>
      <w:r w:rsidRPr="002964A7">
        <w:rPr>
          <w:rFonts w:ascii="Verdana" w:hAnsi="Verdana"/>
          <w:spacing w:val="-2"/>
          <w:sz w:val="20"/>
          <w:szCs w:val="20"/>
        </w:rPr>
        <w:t xml:space="preserve"> en violación de su derecho a la propiedad, </w:t>
      </w:r>
      <w:r w:rsidRPr="002964A7">
        <w:rPr>
          <w:rFonts w:ascii="Verdana" w:eastAsia="Batang" w:hAnsi="Verdana" w:cs="Times"/>
          <w:spacing w:val="-2"/>
          <w:sz w:val="20"/>
          <w:szCs w:val="20"/>
          <w:lang w:val="es-ES_tradnl"/>
        </w:rPr>
        <w:t xml:space="preserve">su vida privada y domicilio. </w:t>
      </w:r>
      <w:r w:rsidRPr="002964A7">
        <w:rPr>
          <w:rFonts w:ascii="Verdana" w:hAnsi="Verdana" w:cs="Arial"/>
          <w:spacing w:val="-2"/>
          <w:sz w:val="20"/>
          <w:szCs w:val="20"/>
        </w:rPr>
        <w:t>Este Tribunal constató que</w:t>
      </w:r>
      <w:r>
        <w:rPr>
          <w:rFonts w:ascii="Verdana" w:hAnsi="Verdana" w:cs="Arial"/>
          <w:spacing w:val="-2"/>
          <w:sz w:val="20"/>
          <w:szCs w:val="20"/>
        </w:rPr>
        <w:t>,</w:t>
      </w:r>
      <w:r w:rsidRPr="002964A7">
        <w:rPr>
          <w:rFonts w:ascii="Verdana" w:hAnsi="Verdana" w:cs="Arial"/>
          <w:spacing w:val="-2"/>
          <w:sz w:val="20"/>
          <w:szCs w:val="20"/>
        </w:rPr>
        <w:t xml:space="preserve"> al momento de los hechos</w:t>
      </w:r>
      <w:r>
        <w:rPr>
          <w:rFonts w:ascii="Verdana" w:hAnsi="Verdana" w:cs="Arial"/>
          <w:spacing w:val="-2"/>
          <w:sz w:val="20"/>
          <w:szCs w:val="20"/>
        </w:rPr>
        <w:t>,</w:t>
      </w:r>
      <w:r w:rsidRPr="002964A7">
        <w:rPr>
          <w:rFonts w:ascii="Verdana" w:hAnsi="Verdana" w:cs="Arial"/>
          <w:spacing w:val="-2"/>
          <w:sz w:val="20"/>
          <w:szCs w:val="20"/>
        </w:rPr>
        <w:t xml:space="preserve"> </w:t>
      </w:r>
      <w:r w:rsidRPr="002964A7">
        <w:rPr>
          <w:rFonts w:ascii="Verdana" w:hAnsi="Verdana" w:cs="Arial"/>
          <w:spacing w:val="-2"/>
          <w:sz w:val="20"/>
          <w:szCs w:val="20"/>
          <w:lang w:val="es-GT"/>
        </w:rPr>
        <w:t xml:space="preserve">Zenón Cirilo Osnayo Tunque y Marcelo Hilario Quispe residían en la estancia ubicada en </w:t>
      </w:r>
      <w:r w:rsidRPr="002964A7">
        <w:rPr>
          <w:rFonts w:ascii="Verdana" w:hAnsi="Verdana"/>
          <w:spacing w:val="-2"/>
          <w:sz w:val="20"/>
          <w:szCs w:val="20"/>
          <w:lang w:val="es-GT"/>
        </w:rPr>
        <w:t>el anexo de Rodeopampa del sector Miguel Pata en Santa Bárbara con sus familiares desaparecidos, y que son víctimas que actualmente sobreviven. Respecto de las demás víctimas que han sido mencionadas por los representantes, no consta prueba que residían en dicha estancia y tampoco que se hubiera vulnerado su derecho a la propiedad (</w:t>
      </w:r>
      <w:r w:rsidRPr="002964A7">
        <w:rPr>
          <w:rFonts w:ascii="Verdana" w:hAnsi="Verdana"/>
          <w:i/>
          <w:spacing w:val="-2"/>
          <w:sz w:val="20"/>
          <w:szCs w:val="20"/>
          <w:lang w:val="es-GT"/>
        </w:rPr>
        <w:t>supra</w:t>
      </w:r>
      <w:r w:rsidRPr="002964A7">
        <w:rPr>
          <w:rFonts w:ascii="Verdana" w:hAnsi="Verdana"/>
          <w:spacing w:val="-2"/>
          <w:sz w:val="20"/>
          <w:szCs w:val="20"/>
          <w:lang w:val="es-GT"/>
        </w:rPr>
        <w:t xml:space="preserve"> párr</w:t>
      </w:r>
      <w:r>
        <w:rPr>
          <w:rFonts w:ascii="Verdana" w:hAnsi="Verdana"/>
          <w:spacing w:val="-2"/>
          <w:sz w:val="20"/>
          <w:szCs w:val="20"/>
          <w:lang w:val="es-GT"/>
        </w:rPr>
        <w:t>s</w:t>
      </w:r>
      <w:r w:rsidRPr="002964A7">
        <w:rPr>
          <w:rFonts w:ascii="Verdana" w:hAnsi="Verdana"/>
          <w:spacing w:val="-2"/>
          <w:sz w:val="20"/>
          <w:szCs w:val="20"/>
          <w:lang w:val="es-GT"/>
        </w:rPr>
        <w:t xml:space="preserve">. </w:t>
      </w:r>
      <w:r>
        <w:rPr>
          <w:rFonts w:ascii="Verdana" w:hAnsi="Verdana"/>
          <w:spacing w:val="-2"/>
          <w:sz w:val="20"/>
          <w:szCs w:val="20"/>
          <w:lang w:val="es-GT"/>
        </w:rPr>
        <w:t>84 y 204</w:t>
      </w:r>
      <w:r w:rsidRPr="002964A7">
        <w:rPr>
          <w:rFonts w:ascii="Verdana" w:hAnsi="Verdana"/>
          <w:spacing w:val="-2"/>
          <w:sz w:val="20"/>
          <w:szCs w:val="20"/>
          <w:lang w:val="es-GT"/>
        </w:rPr>
        <w:t>).</w:t>
      </w:r>
      <w:r w:rsidRPr="002964A7">
        <w:rPr>
          <w:rFonts w:ascii="Verdana" w:hAnsi="Verdana" w:cs="Arial"/>
          <w:spacing w:val="-2"/>
          <w:sz w:val="20"/>
          <w:szCs w:val="20"/>
        </w:rPr>
        <w:t xml:space="preserve"> </w:t>
      </w:r>
      <w:r w:rsidRPr="002964A7">
        <w:rPr>
          <w:rFonts w:ascii="Verdana" w:eastAsia="Batang" w:hAnsi="Verdana" w:cs="Times"/>
          <w:spacing w:val="-2"/>
          <w:sz w:val="20"/>
          <w:szCs w:val="20"/>
          <w:lang w:val="es-ES_tradnl"/>
        </w:rPr>
        <w:t>Por otro lado,</w:t>
      </w:r>
      <w:r w:rsidRPr="002964A7">
        <w:rPr>
          <w:rFonts w:ascii="Verdana" w:eastAsia="MS Mincho" w:hAnsi="Verdana"/>
          <w:spacing w:val="-2"/>
          <w:sz w:val="20"/>
          <w:szCs w:val="20"/>
        </w:rPr>
        <w:t xml:space="preserve"> la Corte valora positivamente</w:t>
      </w:r>
      <w:r w:rsidRPr="002964A7">
        <w:rPr>
          <w:rFonts w:ascii="Verdana" w:eastAsia="Batang" w:hAnsi="Verdana" w:cs="Times"/>
          <w:spacing w:val="-2"/>
          <w:sz w:val="20"/>
          <w:szCs w:val="20"/>
          <w:lang w:val="es-ES_tradnl"/>
        </w:rPr>
        <w:t xml:space="preserve"> que, tal como lo señaló el Estado, </w:t>
      </w:r>
      <w:r w:rsidRPr="002964A7">
        <w:rPr>
          <w:rFonts w:ascii="Verdana" w:hAnsi="Verdana" w:cs="Arial"/>
          <w:spacing w:val="-2"/>
          <w:sz w:val="20"/>
          <w:szCs w:val="20"/>
        </w:rPr>
        <w:t>la población de Santa Bárbara fue motivo de Reparación Colectiva en el año 2007 financiado por la Comisión Multisectorial de Alto Nivel</w:t>
      </w:r>
      <w:r>
        <w:rPr>
          <w:rFonts w:ascii="Verdana" w:hAnsi="Verdana" w:cs="Arial"/>
          <w:spacing w:val="-2"/>
          <w:sz w:val="20"/>
          <w:szCs w:val="20"/>
        </w:rPr>
        <w:t>,</w:t>
      </w:r>
      <w:r w:rsidRPr="002964A7">
        <w:rPr>
          <w:rFonts w:ascii="Verdana" w:hAnsi="Verdana" w:cs="Arial"/>
          <w:spacing w:val="-2"/>
          <w:sz w:val="20"/>
          <w:szCs w:val="20"/>
        </w:rPr>
        <w:t xml:space="preserve"> encargada del seguimiento de las acciones y políticas del Estado en los ámbitos de la Paz, la Reparación Colectiva y la Reconciliación Nacional</w:t>
      </w:r>
      <w:r>
        <w:rPr>
          <w:rFonts w:ascii="Verdana" w:hAnsi="Verdana" w:cs="Arial"/>
          <w:spacing w:val="-2"/>
          <w:sz w:val="20"/>
          <w:szCs w:val="20"/>
        </w:rPr>
        <w:t>,</w:t>
      </w:r>
      <w:r w:rsidRPr="002964A7">
        <w:rPr>
          <w:rFonts w:ascii="Verdana" w:hAnsi="Verdana" w:cs="Arial"/>
          <w:spacing w:val="-2"/>
          <w:sz w:val="20"/>
          <w:szCs w:val="20"/>
        </w:rPr>
        <w:t xml:space="preserve"> por un monto de S/</w:t>
      </w:r>
      <w:r>
        <w:rPr>
          <w:rFonts w:ascii="Verdana" w:hAnsi="Verdana" w:cs="Arial"/>
          <w:spacing w:val="-2"/>
          <w:sz w:val="20"/>
          <w:szCs w:val="20"/>
        </w:rPr>
        <w:t xml:space="preserve">. </w:t>
      </w:r>
      <w:r w:rsidRPr="002964A7">
        <w:rPr>
          <w:rFonts w:ascii="Verdana" w:hAnsi="Verdana" w:cs="Arial"/>
          <w:spacing w:val="-2"/>
          <w:sz w:val="20"/>
          <w:szCs w:val="20"/>
        </w:rPr>
        <w:t>100,000.00</w:t>
      </w:r>
      <w:r>
        <w:rPr>
          <w:rFonts w:ascii="Verdana" w:hAnsi="Verdana" w:cs="Arial"/>
          <w:spacing w:val="-2"/>
          <w:sz w:val="20"/>
          <w:szCs w:val="20"/>
        </w:rPr>
        <w:t xml:space="preserve"> nuevos soles</w:t>
      </w:r>
      <w:r w:rsidRPr="002964A7">
        <w:rPr>
          <w:rFonts w:ascii="Verdana" w:hAnsi="Verdana" w:cs="Arial"/>
          <w:spacing w:val="-2"/>
          <w:sz w:val="20"/>
          <w:szCs w:val="20"/>
        </w:rPr>
        <w:t>, para un “proyecto de instalación de módulos de animales mayores en atención de violencia política en la comunidad de Santa Bárbara”</w:t>
      </w:r>
      <w:r w:rsidRPr="002964A7">
        <w:rPr>
          <w:rStyle w:val="FootnoteReference"/>
          <w:rFonts w:eastAsiaTheme="minorHAnsi" w:cs="Arial"/>
          <w:spacing w:val="-2"/>
          <w:szCs w:val="20"/>
        </w:rPr>
        <w:footnoteReference w:id="354"/>
      </w:r>
      <w:r w:rsidRPr="002964A7">
        <w:rPr>
          <w:rFonts w:ascii="Verdana" w:hAnsi="Verdana" w:cs="Arial"/>
          <w:spacing w:val="-2"/>
          <w:sz w:val="20"/>
          <w:szCs w:val="20"/>
        </w:rPr>
        <w:t xml:space="preserve">. </w:t>
      </w:r>
    </w:p>
    <w:p w:rsidR="00AB496F" w:rsidRPr="002964A7" w:rsidRDefault="00AB496F" w:rsidP="00AB496F">
      <w:pPr>
        <w:pStyle w:val="ListParagraph"/>
        <w:spacing w:after="0" w:line="240" w:lineRule="auto"/>
        <w:ind w:left="0"/>
        <w:jc w:val="bot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Sin embargo, la Corte no cuenta con información sobre qué personas o familias integran el sujeto colectivo de “la población de Santa Bárbara” que fueron los destinatarios de esta reparación, en específico, si los familiares de las víctimas de desaparición forzada del presente caso integran dicho sujeto colectivo</w:t>
      </w:r>
      <w:r>
        <w:rPr>
          <w:rFonts w:ascii="Verdana" w:hAnsi="Verdana" w:cs="Arial"/>
          <w:spacing w:val="-2"/>
          <w:sz w:val="20"/>
          <w:szCs w:val="20"/>
        </w:rPr>
        <w:t>. T</w:t>
      </w:r>
      <w:r w:rsidRPr="002964A7">
        <w:rPr>
          <w:rFonts w:ascii="Verdana" w:hAnsi="Verdana" w:cs="Arial"/>
          <w:spacing w:val="-2"/>
          <w:sz w:val="20"/>
          <w:szCs w:val="20"/>
        </w:rPr>
        <w:t xml:space="preserve">ampoco tiene información sobre la efectiva implementación de dicha reparación. Aún más, el Estado no argumentó en qué manera </w:t>
      </w:r>
      <w:r w:rsidRPr="002964A7">
        <w:rPr>
          <w:rFonts w:ascii="Verdana" w:hAnsi="Verdana" w:cs="Arial"/>
          <w:spacing w:val="-2"/>
          <w:sz w:val="20"/>
          <w:szCs w:val="20"/>
          <w:lang w:val="es-BO"/>
        </w:rPr>
        <w:t xml:space="preserve">la mencionada </w:t>
      </w:r>
      <w:r w:rsidRPr="002964A7">
        <w:rPr>
          <w:rFonts w:ascii="Verdana" w:hAnsi="Verdana" w:cs="Arial"/>
          <w:spacing w:val="-2"/>
          <w:sz w:val="20"/>
          <w:szCs w:val="20"/>
        </w:rPr>
        <w:t>reparación</w:t>
      </w:r>
      <w:r w:rsidRPr="002964A7">
        <w:rPr>
          <w:rFonts w:ascii="Verdana" w:hAnsi="Verdana" w:cs="Arial"/>
          <w:spacing w:val="-2"/>
          <w:sz w:val="20"/>
          <w:szCs w:val="20"/>
          <w:lang w:val="es-BO"/>
        </w:rPr>
        <w:t xml:space="preserve"> colectiva tomó en cuenta, de forma particular, las pérdidas de propiedad sufridas por las referidas dos víctimas del presente caso a raíz de los hechos, a fin de proporcionarles reparaciones específicas por el daño diferenciado que sufrieron. Sobre este punto, </w:t>
      </w:r>
      <w:r w:rsidRPr="002964A7">
        <w:rPr>
          <w:rFonts w:ascii="Verdana" w:hAnsi="Verdana"/>
          <w:spacing w:val="-2"/>
          <w:sz w:val="20"/>
          <w:szCs w:val="20"/>
        </w:rPr>
        <w:t xml:space="preserve">la perita </w:t>
      </w:r>
      <w:r w:rsidRPr="002964A7">
        <w:rPr>
          <w:rFonts w:ascii="Verdana" w:hAnsi="Verdana"/>
          <w:spacing w:val="-2"/>
          <w:sz w:val="20"/>
          <w:szCs w:val="20"/>
          <w:lang w:val="es-AR"/>
        </w:rPr>
        <w:t>Miryam Rebeca Rivera Holguín explicó a la Corte que</w:t>
      </w:r>
      <w:r>
        <w:rPr>
          <w:rFonts w:ascii="Verdana" w:hAnsi="Verdana"/>
          <w:spacing w:val="-2"/>
          <w:sz w:val="20"/>
          <w:szCs w:val="20"/>
          <w:lang w:val="es-AR"/>
        </w:rPr>
        <w:t>,</w:t>
      </w:r>
      <w:r w:rsidRPr="002964A7">
        <w:rPr>
          <w:rFonts w:ascii="Verdana" w:hAnsi="Verdana"/>
          <w:spacing w:val="-2"/>
          <w:sz w:val="20"/>
          <w:szCs w:val="20"/>
        </w:rPr>
        <w:t xml:space="preserve"> </w:t>
      </w:r>
      <w:r w:rsidRPr="002964A7">
        <w:rPr>
          <w:rFonts w:ascii="Verdana" w:hAnsi="Verdana" w:cs="Arial"/>
          <w:spacing w:val="-2"/>
          <w:sz w:val="20"/>
          <w:szCs w:val="20"/>
        </w:rPr>
        <w:t>“[a]l perder sus rebaños y sus animales domésticos</w:t>
      </w:r>
      <w:r>
        <w:rPr>
          <w:rFonts w:ascii="Verdana" w:hAnsi="Verdana" w:cs="Arial"/>
          <w:spacing w:val="-2"/>
          <w:sz w:val="20"/>
          <w:szCs w:val="20"/>
        </w:rPr>
        <w:t xml:space="preserve">[, </w:t>
      </w:r>
      <w:r w:rsidRPr="002964A7">
        <w:rPr>
          <w:rFonts w:ascii="Verdana" w:hAnsi="Verdana" w:cs="Arial"/>
          <w:spacing w:val="-2"/>
          <w:sz w:val="20"/>
          <w:szCs w:val="20"/>
        </w:rPr>
        <w:t>dichas personas] perdieron el modo de subsistencia. Retornar a la comunidad y disponer de casa sin que sean restituidos sus animales no tendría sentido desde el punto de vista de la vida andina, por lo que se debe asegurar que la reparación incluya animales que permitan un trabajo digno que asegure las necesidades de las familias”</w:t>
      </w:r>
      <w:r w:rsidRPr="002964A7">
        <w:rPr>
          <w:rStyle w:val="FootnoteReference"/>
          <w:rFonts w:eastAsiaTheme="minorHAnsi" w:cs="Arial"/>
          <w:spacing w:val="-2"/>
          <w:szCs w:val="20"/>
        </w:rPr>
        <w:footnoteReference w:id="355"/>
      </w:r>
      <w:r w:rsidRPr="002964A7">
        <w:rPr>
          <w:rFonts w:ascii="Verdana" w:hAnsi="Verdana" w:cs="Arial"/>
          <w:spacing w:val="-2"/>
          <w:sz w:val="20"/>
          <w:szCs w:val="20"/>
        </w:rPr>
        <w:t>.</w:t>
      </w:r>
    </w:p>
    <w:p w:rsidR="00AB496F" w:rsidRPr="002964A7" w:rsidRDefault="00AB496F" w:rsidP="00AB496F">
      <w:pPr>
        <w:pStyle w:val="ListParagraph"/>
        <w:spacing w:after="0" w:line="240" w:lineRule="auto"/>
        <w:ind w:left="0"/>
        <w:jc w:val="both"/>
        <w:rPr>
          <w:rFonts w:ascii="Verdana" w:hAnsi="Verdana" w:cs="Arial"/>
          <w:spacing w:val="-2"/>
          <w:sz w:val="20"/>
          <w:szCs w:val="20"/>
        </w:rPr>
      </w:pPr>
    </w:p>
    <w:p w:rsidR="00AB496F"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Por lo anterior, la Corte ordena al Estado que</w:t>
      </w:r>
      <w:r w:rsidR="00A3580C">
        <w:rPr>
          <w:rFonts w:ascii="Verdana" w:hAnsi="Verdana" w:cs="Arial"/>
          <w:spacing w:val="-2"/>
          <w:sz w:val="20"/>
          <w:szCs w:val="20"/>
        </w:rPr>
        <w:t xml:space="preserve"> </w:t>
      </w:r>
      <w:r>
        <w:rPr>
          <w:rFonts w:ascii="Verdana" w:hAnsi="Verdana" w:cs="Arial"/>
          <w:spacing w:val="-2"/>
          <w:sz w:val="20"/>
          <w:szCs w:val="20"/>
        </w:rPr>
        <w:t>entregue</w:t>
      </w:r>
      <w:r w:rsidRPr="00597FE9">
        <w:rPr>
          <w:rFonts w:ascii="Verdana" w:hAnsi="Verdana" w:cs="Arial"/>
          <w:spacing w:val="-2"/>
          <w:sz w:val="20"/>
          <w:szCs w:val="20"/>
        </w:rPr>
        <w:t xml:space="preserve"> a los señores </w:t>
      </w:r>
      <w:r w:rsidRPr="002964A7">
        <w:rPr>
          <w:rFonts w:ascii="Verdana" w:hAnsi="Verdana" w:cs="Arial"/>
          <w:spacing w:val="-2"/>
          <w:sz w:val="20"/>
          <w:szCs w:val="20"/>
          <w:lang w:val="es-GT"/>
        </w:rPr>
        <w:t>Zenón Cirilo Osnayo Tunque y Marcelo Hilario Quispe</w:t>
      </w:r>
      <w:r w:rsidR="00A3580C">
        <w:rPr>
          <w:rFonts w:ascii="Verdana" w:hAnsi="Verdana" w:cs="Arial"/>
          <w:spacing w:val="-2"/>
          <w:sz w:val="20"/>
          <w:szCs w:val="20"/>
          <w:lang w:val="es-GT"/>
        </w:rPr>
        <w:t xml:space="preserve">, </w:t>
      </w:r>
      <w:r w:rsidR="00A3580C" w:rsidRPr="002964A7">
        <w:rPr>
          <w:rFonts w:ascii="Verdana" w:hAnsi="Verdana" w:cs="Arial"/>
          <w:spacing w:val="-2"/>
          <w:sz w:val="20"/>
          <w:szCs w:val="20"/>
        </w:rPr>
        <w:t xml:space="preserve">en el plazo de un año </w:t>
      </w:r>
      <w:r w:rsidR="00A3580C" w:rsidRPr="002964A7">
        <w:rPr>
          <w:rFonts w:ascii="Verdana" w:hAnsi="Verdana"/>
          <w:spacing w:val="-2"/>
          <w:sz w:val="20"/>
          <w:szCs w:val="20"/>
        </w:rPr>
        <w:t xml:space="preserve">contado a partir de la notificación de </w:t>
      </w:r>
      <w:r w:rsidR="00A3580C">
        <w:rPr>
          <w:rFonts w:ascii="Verdana" w:hAnsi="Verdana"/>
          <w:spacing w:val="-2"/>
          <w:sz w:val="20"/>
          <w:szCs w:val="20"/>
        </w:rPr>
        <w:t>esta</w:t>
      </w:r>
      <w:r w:rsidR="00A3580C" w:rsidRPr="002964A7">
        <w:rPr>
          <w:rFonts w:ascii="Verdana" w:hAnsi="Verdana"/>
          <w:spacing w:val="-2"/>
          <w:sz w:val="20"/>
          <w:szCs w:val="20"/>
        </w:rPr>
        <w:t xml:space="preserve"> Sentencia</w:t>
      </w:r>
      <w:r w:rsidR="00A3580C">
        <w:rPr>
          <w:rFonts w:ascii="Verdana" w:hAnsi="Verdana" w:cs="Arial"/>
          <w:spacing w:val="-2"/>
          <w:sz w:val="20"/>
          <w:szCs w:val="20"/>
        </w:rPr>
        <w:t>,</w:t>
      </w:r>
      <w:r w:rsidRPr="00597FE9">
        <w:rPr>
          <w:rFonts w:ascii="Verdana" w:hAnsi="Verdana" w:cs="Arial"/>
          <w:spacing w:val="-2"/>
          <w:sz w:val="20"/>
          <w:szCs w:val="20"/>
        </w:rPr>
        <w:t xml:space="preserve"> la cantidad de diez alpacas</w:t>
      </w:r>
      <w:r>
        <w:rPr>
          <w:rFonts w:ascii="Verdana" w:hAnsi="Verdana" w:cs="Arial"/>
          <w:spacing w:val="-2"/>
          <w:sz w:val="20"/>
          <w:szCs w:val="20"/>
        </w:rPr>
        <w:t xml:space="preserve"> a cada uno</w:t>
      </w:r>
      <w:r w:rsidRPr="00597FE9">
        <w:rPr>
          <w:rFonts w:ascii="Verdana" w:hAnsi="Verdana" w:cs="Arial"/>
          <w:spacing w:val="-2"/>
          <w:sz w:val="20"/>
          <w:szCs w:val="20"/>
        </w:rPr>
        <w:t>, o su valor equivalente en el mercado</w:t>
      </w:r>
      <w:r w:rsidRPr="002964A7">
        <w:rPr>
          <w:rFonts w:ascii="Verdana" w:hAnsi="Verdana" w:cs="Arial"/>
          <w:spacing w:val="-2"/>
          <w:sz w:val="20"/>
          <w:szCs w:val="20"/>
        </w:rPr>
        <w:t>.</w:t>
      </w:r>
      <w:r>
        <w:rPr>
          <w:rFonts w:ascii="Verdana" w:hAnsi="Verdana" w:cs="Arial"/>
          <w:spacing w:val="-2"/>
          <w:sz w:val="20"/>
          <w:szCs w:val="20"/>
        </w:rPr>
        <w:t xml:space="preserve"> E</w:t>
      </w:r>
      <w:r w:rsidRPr="002964A7">
        <w:rPr>
          <w:rFonts w:ascii="Verdana" w:hAnsi="Verdana" w:cs="Arial"/>
          <w:spacing w:val="-2"/>
          <w:sz w:val="20"/>
          <w:szCs w:val="20"/>
        </w:rPr>
        <w:t xml:space="preserve">n relación con las viviendas que fueron quemadas a raíz de los hechos del presente caso, la Corte </w:t>
      </w:r>
      <w:r>
        <w:rPr>
          <w:rFonts w:ascii="Verdana" w:hAnsi="Verdana" w:cs="Arial"/>
          <w:spacing w:val="-2"/>
          <w:sz w:val="20"/>
          <w:szCs w:val="20"/>
        </w:rPr>
        <w:t xml:space="preserve">considera que el Estado debe, a través de sus programas habitacionales existentes, proveer de una vivienda adecuada </w:t>
      </w:r>
      <w:r w:rsidRPr="002964A7">
        <w:rPr>
          <w:rFonts w:ascii="Verdana" w:hAnsi="Verdana" w:cs="Arial"/>
          <w:spacing w:val="-2"/>
          <w:sz w:val="20"/>
          <w:szCs w:val="20"/>
        </w:rPr>
        <w:t>a</w:t>
      </w:r>
      <w:r>
        <w:rPr>
          <w:rFonts w:ascii="Verdana" w:hAnsi="Verdana" w:cs="Arial"/>
          <w:spacing w:val="-2"/>
          <w:sz w:val="20"/>
          <w:szCs w:val="20"/>
        </w:rPr>
        <w:t xml:space="preserve"> </w:t>
      </w:r>
      <w:r w:rsidRPr="002964A7">
        <w:rPr>
          <w:rFonts w:ascii="Verdana" w:hAnsi="Verdana" w:cs="Arial"/>
          <w:spacing w:val="-2"/>
          <w:sz w:val="20"/>
          <w:szCs w:val="20"/>
        </w:rPr>
        <w:t>l</w:t>
      </w:r>
      <w:r>
        <w:rPr>
          <w:rFonts w:ascii="Verdana" w:hAnsi="Verdana" w:cs="Arial"/>
          <w:spacing w:val="-2"/>
          <w:sz w:val="20"/>
          <w:szCs w:val="20"/>
        </w:rPr>
        <w:t>os</w:t>
      </w:r>
      <w:r w:rsidRPr="002964A7">
        <w:rPr>
          <w:rFonts w:ascii="Verdana" w:hAnsi="Verdana" w:cs="Arial"/>
          <w:spacing w:val="-2"/>
          <w:sz w:val="20"/>
          <w:szCs w:val="20"/>
        </w:rPr>
        <w:t xml:space="preserve"> señor</w:t>
      </w:r>
      <w:r>
        <w:rPr>
          <w:rFonts w:ascii="Verdana" w:hAnsi="Verdana" w:cs="Arial"/>
          <w:spacing w:val="-2"/>
          <w:sz w:val="20"/>
          <w:szCs w:val="20"/>
        </w:rPr>
        <w:t>es</w:t>
      </w:r>
      <w:r w:rsidRPr="002964A7">
        <w:rPr>
          <w:rFonts w:ascii="Verdana" w:hAnsi="Verdana" w:cs="Arial"/>
          <w:spacing w:val="-2"/>
          <w:sz w:val="20"/>
          <w:szCs w:val="20"/>
        </w:rPr>
        <w:t xml:space="preserve"> Zen</w:t>
      </w:r>
      <w:r>
        <w:rPr>
          <w:rFonts w:ascii="Verdana" w:hAnsi="Verdana" w:cs="Arial"/>
          <w:spacing w:val="-2"/>
          <w:sz w:val="20"/>
          <w:szCs w:val="20"/>
        </w:rPr>
        <w:t>ó</w:t>
      </w:r>
      <w:r w:rsidRPr="002964A7">
        <w:rPr>
          <w:rFonts w:ascii="Verdana" w:hAnsi="Verdana" w:cs="Arial"/>
          <w:spacing w:val="-2"/>
          <w:sz w:val="20"/>
          <w:szCs w:val="20"/>
        </w:rPr>
        <w:t>n Cirilo Osnayo Tunque</w:t>
      </w:r>
      <w:r>
        <w:rPr>
          <w:rFonts w:ascii="Verdana" w:hAnsi="Verdana" w:cs="Arial"/>
          <w:spacing w:val="-2"/>
          <w:sz w:val="20"/>
          <w:szCs w:val="20"/>
        </w:rPr>
        <w:t xml:space="preserve"> y Marcelo Hilario Quispe, respectivamente, dentro del plazo de un año. Si concluido este plazo el Estado no ha entregado las viviendas referidas, el Perú deberá proporcionar, en equidad, un monto de </w:t>
      </w:r>
      <w:r w:rsidRPr="00DF25F7">
        <w:rPr>
          <w:rFonts w:ascii="Verdana" w:hAnsi="Verdana"/>
          <w:sz w:val="20"/>
          <w:szCs w:val="20"/>
          <w:lang w:val="es-ES"/>
        </w:rPr>
        <w:t>US</w:t>
      </w:r>
      <w:r>
        <w:rPr>
          <w:rFonts w:ascii="Verdana" w:hAnsi="Verdana"/>
          <w:sz w:val="20"/>
          <w:szCs w:val="20"/>
          <w:lang w:val="es-ES"/>
        </w:rPr>
        <w:t xml:space="preserve">D </w:t>
      </w:r>
      <w:r w:rsidRPr="00DF25F7">
        <w:rPr>
          <w:rFonts w:ascii="Verdana" w:hAnsi="Verdana"/>
          <w:sz w:val="20"/>
          <w:szCs w:val="20"/>
          <w:lang w:val="es-ES"/>
        </w:rPr>
        <w:t>$</w:t>
      </w:r>
      <w:r>
        <w:rPr>
          <w:rFonts w:ascii="Verdana" w:hAnsi="Verdana"/>
          <w:sz w:val="20"/>
          <w:szCs w:val="20"/>
          <w:lang w:val="es-ES"/>
        </w:rPr>
        <w:t>25,000.00</w:t>
      </w:r>
      <w:r w:rsidRPr="00DF25F7">
        <w:rPr>
          <w:rFonts w:ascii="Verdana" w:hAnsi="Verdana"/>
          <w:sz w:val="20"/>
          <w:szCs w:val="20"/>
          <w:lang w:val="es-ES"/>
        </w:rPr>
        <w:t xml:space="preserve"> (</w:t>
      </w:r>
      <w:r>
        <w:rPr>
          <w:rFonts w:ascii="Verdana" w:hAnsi="Verdana"/>
          <w:sz w:val="20"/>
          <w:szCs w:val="20"/>
          <w:lang w:val="es-ES"/>
        </w:rPr>
        <w:t xml:space="preserve">veinticinco mil </w:t>
      </w:r>
      <w:r w:rsidRPr="00DF25F7">
        <w:rPr>
          <w:rFonts w:ascii="Verdana" w:hAnsi="Verdana"/>
          <w:sz w:val="20"/>
          <w:szCs w:val="20"/>
          <w:lang w:val="es-ES"/>
        </w:rPr>
        <w:t>dólares de los Estados Unidos de América)</w:t>
      </w:r>
      <w:r>
        <w:rPr>
          <w:rFonts w:ascii="Verdana" w:hAnsi="Verdana" w:cs="Arial"/>
          <w:spacing w:val="-2"/>
          <w:sz w:val="20"/>
          <w:szCs w:val="20"/>
        </w:rPr>
        <w:t xml:space="preserve"> a cada uno de ellos</w:t>
      </w:r>
      <w:r w:rsidRPr="00585D5F">
        <w:rPr>
          <w:rFonts w:ascii="Verdana" w:hAnsi="Verdana" w:cs="Arial"/>
          <w:spacing w:val="-2"/>
          <w:sz w:val="20"/>
          <w:szCs w:val="20"/>
        </w:rPr>
        <w:t>. Dicha medida de reparación debe ser implementada con la participación de las víctimas y de común acuerdo con est</w:t>
      </w:r>
      <w:r w:rsidR="00A3580C">
        <w:rPr>
          <w:rFonts w:ascii="Verdana" w:hAnsi="Verdana" w:cs="Arial"/>
          <w:spacing w:val="-2"/>
          <w:sz w:val="20"/>
          <w:szCs w:val="20"/>
        </w:rPr>
        <w:t>a</w:t>
      </w:r>
      <w:r w:rsidRPr="00585D5F">
        <w:rPr>
          <w:rFonts w:ascii="Verdana" w:hAnsi="Verdana" w:cs="Arial"/>
          <w:spacing w:val="-2"/>
          <w:sz w:val="20"/>
          <w:szCs w:val="20"/>
        </w:rPr>
        <w:t>s.</w:t>
      </w:r>
    </w:p>
    <w:p w:rsidR="00AB496F" w:rsidRPr="006B4292" w:rsidRDefault="00AB496F" w:rsidP="00AB496F">
      <w:pPr>
        <w:autoSpaceDE w:val="0"/>
        <w:autoSpaceDN w:val="0"/>
        <w:adjustRightInd w:val="0"/>
        <w:spacing w:after="0" w:line="240" w:lineRule="auto"/>
        <w:jc w:val="both"/>
      </w:pPr>
    </w:p>
    <w:p w:rsidR="00AB496F" w:rsidRPr="001154F9" w:rsidRDefault="00AB496F" w:rsidP="00A3580C">
      <w:pPr>
        <w:pStyle w:val="Heading3"/>
        <w:spacing w:line="240" w:lineRule="auto"/>
      </w:pPr>
      <w:bookmarkStart w:id="264" w:name="_Toc423102576"/>
      <w:bookmarkStart w:id="265" w:name="_Toc433387528"/>
      <w:r w:rsidRPr="00F13F0B">
        <w:rPr>
          <w:rFonts w:cs="Verdana-Italic"/>
          <w:lang w:bidi="en-US"/>
        </w:rPr>
        <w:t xml:space="preserve">C.2. </w:t>
      </w:r>
      <w:r w:rsidRPr="00F13F0B">
        <w:t>Rehabilitación</w:t>
      </w:r>
      <w:bookmarkEnd w:id="264"/>
      <w:bookmarkEnd w:id="265"/>
    </w:p>
    <w:p w:rsidR="00AB496F" w:rsidRPr="00F13F0B" w:rsidRDefault="00AB496F" w:rsidP="00A3580C">
      <w:pPr>
        <w:pStyle w:val="Heading3"/>
        <w:spacing w:line="240" w:lineRule="auto"/>
        <w:rPr>
          <w:rFonts w:eastAsiaTheme="minorHAnsi"/>
          <w:i/>
        </w:rPr>
      </w:pPr>
      <w:bookmarkStart w:id="266" w:name="_Toc433387529"/>
      <w:r w:rsidRPr="00F13F0B">
        <w:rPr>
          <w:rFonts w:eastAsiaTheme="minorHAnsi"/>
        </w:rPr>
        <w:t xml:space="preserve">C.2.1. </w:t>
      </w:r>
      <w:r w:rsidR="00E6234E">
        <w:rPr>
          <w:rFonts w:eastAsiaTheme="minorHAnsi"/>
        </w:rPr>
        <w:t>Tratamiento</w:t>
      </w:r>
      <w:r w:rsidR="00E6234E" w:rsidRPr="00F13F0B">
        <w:rPr>
          <w:rFonts w:eastAsiaTheme="minorHAnsi"/>
        </w:rPr>
        <w:t xml:space="preserve"> </w:t>
      </w:r>
      <w:r w:rsidRPr="00F13F0B">
        <w:rPr>
          <w:rFonts w:eastAsiaTheme="minorHAnsi"/>
        </w:rPr>
        <w:t>médic</w:t>
      </w:r>
      <w:r w:rsidR="00E6234E">
        <w:rPr>
          <w:rFonts w:eastAsiaTheme="minorHAnsi"/>
        </w:rPr>
        <w:t>o</w:t>
      </w:r>
      <w:r w:rsidRPr="00F13F0B">
        <w:rPr>
          <w:rFonts w:eastAsiaTheme="minorHAnsi"/>
        </w:rPr>
        <w:t xml:space="preserve"> y psicológic</w:t>
      </w:r>
      <w:r w:rsidR="00E6234E">
        <w:rPr>
          <w:rFonts w:eastAsiaTheme="minorHAnsi"/>
        </w:rPr>
        <w:t>o</w:t>
      </w:r>
      <w:bookmarkEnd w:id="266"/>
      <w:r w:rsidRPr="00F13F0B">
        <w:rPr>
          <w:rFonts w:eastAsiaTheme="minorHAnsi"/>
        </w:rPr>
        <w:t xml:space="preserve"> </w:t>
      </w:r>
      <w:r w:rsidR="00E6234E">
        <w:rPr>
          <w:rFonts w:eastAsiaTheme="minorHAnsi"/>
        </w:rPr>
        <w:t>o psiquiátrico</w:t>
      </w:r>
    </w:p>
    <w:p w:rsidR="00AB496F" w:rsidRPr="002964A7" w:rsidRDefault="00AB496F" w:rsidP="00A3580C">
      <w:pPr>
        <w:autoSpaceDE w:val="0"/>
        <w:autoSpaceDN w:val="0"/>
        <w:adjustRightInd w:val="0"/>
        <w:spacing w:after="0" w:line="240" w:lineRule="auto"/>
        <w:rPr>
          <w:rFonts w:ascii="Verdana" w:eastAsiaTheme="minorHAnsi" w:hAnsi="Verdana" w:cs="Arial"/>
          <w:spacing w:val="-2"/>
          <w:sz w:val="20"/>
          <w:szCs w:val="20"/>
        </w:rPr>
      </w:pPr>
    </w:p>
    <w:p w:rsidR="00AB496F" w:rsidRPr="002964A7" w:rsidRDefault="00AB496F" w:rsidP="00AB496F">
      <w:pPr>
        <w:autoSpaceDE w:val="0"/>
        <w:autoSpaceDN w:val="0"/>
        <w:adjustRightInd w:val="0"/>
        <w:spacing w:after="0" w:line="240" w:lineRule="auto"/>
        <w:ind w:firstLine="720"/>
        <w:rPr>
          <w:rFonts w:ascii="Verdana" w:hAnsi="Verdana" w:cs="Verdana-Italic"/>
          <w:i/>
          <w:iCs/>
          <w:spacing w:val="-2"/>
          <w:sz w:val="20"/>
          <w:szCs w:val="20"/>
          <w:lang w:bidi="en-US"/>
        </w:rPr>
      </w:pPr>
      <w:r w:rsidRPr="002964A7">
        <w:rPr>
          <w:rFonts w:ascii="Verdana" w:hAnsi="Verdana" w:cs="Verdana-Italic"/>
          <w:i/>
          <w:iCs/>
          <w:spacing w:val="-2"/>
          <w:sz w:val="20"/>
          <w:szCs w:val="20"/>
          <w:lang w:bidi="en-US"/>
        </w:rPr>
        <w:t>Argumentos de la Comisión</w:t>
      </w:r>
      <w:r w:rsidRPr="005C3718">
        <w:rPr>
          <w:rFonts w:ascii="Verdana" w:hAnsi="Verdana" w:cs="Verdana-Italic"/>
          <w:i/>
          <w:iCs/>
          <w:spacing w:val="-2"/>
          <w:sz w:val="20"/>
          <w:szCs w:val="20"/>
          <w:lang w:bidi="en-US"/>
        </w:rPr>
        <w:t xml:space="preserve"> </w:t>
      </w:r>
      <w:r>
        <w:rPr>
          <w:rFonts w:ascii="Verdana" w:hAnsi="Verdana" w:cs="Verdana-Italic"/>
          <w:i/>
          <w:iCs/>
          <w:spacing w:val="-2"/>
          <w:sz w:val="20"/>
          <w:szCs w:val="20"/>
          <w:lang w:bidi="en-US"/>
        </w:rPr>
        <w:t xml:space="preserve">y </w:t>
      </w:r>
      <w:r w:rsidRPr="002964A7">
        <w:rPr>
          <w:rFonts w:ascii="Verdana" w:hAnsi="Verdana" w:cs="Verdana-Italic"/>
          <w:i/>
          <w:iCs/>
          <w:spacing w:val="-2"/>
          <w:sz w:val="20"/>
          <w:szCs w:val="20"/>
          <w:lang w:bidi="en-US"/>
        </w:rPr>
        <w:t>las partes</w:t>
      </w:r>
    </w:p>
    <w:p w:rsidR="00AB496F" w:rsidRPr="002964A7" w:rsidRDefault="00AB496F" w:rsidP="00AB496F">
      <w:pPr>
        <w:autoSpaceDE w:val="0"/>
        <w:autoSpaceDN w:val="0"/>
        <w:adjustRightInd w:val="0"/>
        <w:spacing w:after="0" w:line="240" w:lineRule="auto"/>
        <w:rPr>
          <w:rFonts w:ascii="Verdana" w:eastAsiaTheme="minorHAnsi"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Verdana-Italic"/>
          <w:iCs/>
          <w:spacing w:val="-2"/>
          <w:sz w:val="20"/>
          <w:szCs w:val="20"/>
          <w:lang w:bidi="en-US"/>
        </w:rPr>
        <w:t xml:space="preserve">La </w:t>
      </w:r>
      <w:r w:rsidRPr="002964A7">
        <w:rPr>
          <w:rFonts w:ascii="Verdana" w:hAnsi="Verdana" w:cs="Verdana-Italic"/>
          <w:b/>
          <w:iCs/>
          <w:spacing w:val="-2"/>
          <w:sz w:val="20"/>
          <w:szCs w:val="20"/>
          <w:lang w:bidi="en-US"/>
        </w:rPr>
        <w:t>Comisión</w:t>
      </w:r>
      <w:r w:rsidRPr="002964A7">
        <w:rPr>
          <w:rFonts w:ascii="Verdana" w:hAnsi="Verdana" w:cs="Verdana-Italic"/>
          <w:iCs/>
          <w:spacing w:val="-2"/>
          <w:sz w:val="20"/>
          <w:szCs w:val="20"/>
          <w:lang w:bidi="en-US"/>
        </w:rPr>
        <w:t xml:space="preserve"> solicitó la implementación de un programa adecuado de atención psicosocial a los familiares de las víctimas des</w:t>
      </w:r>
      <w:r w:rsidR="00D66ECD">
        <w:rPr>
          <w:rFonts w:ascii="Verdana" w:hAnsi="Verdana" w:cs="Verdana-Italic"/>
          <w:iCs/>
          <w:spacing w:val="-2"/>
          <w:sz w:val="20"/>
          <w:szCs w:val="20"/>
          <w:lang w:bidi="en-US"/>
        </w:rPr>
        <w:t>a</w:t>
      </w:r>
      <w:r w:rsidRPr="002964A7">
        <w:rPr>
          <w:rFonts w:ascii="Verdana" w:hAnsi="Verdana" w:cs="Verdana-Italic"/>
          <w:iCs/>
          <w:spacing w:val="-2"/>
          <w:sz w:val="20"/>
          <w:szCs w:val="20"/>
          <w:lang w:bidi="en-US"/>
        </w:rPr>
        <w:t>parecidas.</w:t>
      </w:r>
      <w:r>
        <w:rPr>
          <w:rFonts w:ascii="Verdana" w:hAnsi="Verdana" w:cs="Verdana-Italic"/>
          <w:iCs/>
          <w:spacing w:val="-2"/>
          <w:sz w:val="20"/>
          <w:szCs w:val="20"/>
          <w:lang w:bidi="en-US"/>
        </w:rPr>
        <w:t xml:space="preserve"> </w:t>
      </w:r>
      <w:r w:rsidRPr="002964A7">
        <w:rPr>
          <w:rFonts w:ascii="Verdana" w:hAnsi="Verdana" w:cs="Arial"/>
          <w:spacing w:val="-2"/>
          <w:sz w:val="20"/>
          <w:szCs w:val="20"/>
        </w:rPr>
        <w:t xml:space="preserve">Los </w:t>
      </w:r>
      <w:r w:rsidRPr="00597FE9">
        <w:rPr>
          <w:rFonts w:ascii="Verdana" w:hAnsi="Verdana" w:cs="Arial"/>
          <w:b/>
          <w:i/>
          <w:spacing w:val="-2"/>
          <w:sz w:val="20"/>
          <w:szCs w:val="20"/>
        </w:rPr>
        <w:t>representantes</w:t>
      </w:r>
      <w:r w:rsidRPr="00597FE9">
        <w:rPr>
          <w:rFonts w:ascii="Verdana" w:hAnsi="Verdana" w:cs="Arial"/>
          <w:spacing w:val="-2"/>
          <w:sz w:val="20"/>
          <w:szCs w:val="20"/>
        </w:rPr>
        <w:t xml:space="preserve"> solicitaron a la Corte ordenar al Estado brindar asistencia médica y psicológica gratuita a los familiares de las víctimas, la cual deberá permitirles acceder a un centro médico estatal en el que se les brinde una atención adecuada y personalizada para ay</w:t>
      </w:r>
      <w:r w:rsidRPr="002964A7">
        <w:rPr>
          <w:rFonts w:ascii="Verdana" w:hAnsi="Verdana" w:cs="Arial"/>
          <w:spacing w:val="-2"/>
          <w:sz w:val="20"/>
          <w:szCs w:val="20"/>
        </w:rPr>
        <w:t xml:space="preserve">udarles a sanar sus heridas tanto físicas como psicológicas, e incluir además el costo de los medicamentos que sean prescritos. El centro médico en el que se les brinde atención física y psicológica a los familiares de las víctimas será elegido de mutuo acuerdo con ellos y se procurará que esté en las proximidades de su residencia. En dicho tratamiento se deberá considerar las circunstancias y necesidades particulares de cada una de las víctimas, de manera que se le brinden tratamientos colectivos, familiares, e individuales. Además, el plan de tratamiento debe desarrollarse después de una evaluación completa que refleja lo que se acuerde con cada una de las víctimas. </w:t>
      </w:r>
    </w:p>
    <w:p w:rsidR="00AB496F" w:rsidRPr="002964A7" w:rsidRDefault="00AB496F" w:rsidP="00AB496F">
      <w:pPr>
        <w:pStyle w:val="ListParagraph"/>
        <w:autoSpaceDE w:val="0"/>
        <w:autoSpaceDN w:val="0"/>
        <w:adjustRightInd w:val="0"/>
        <w:spacing w:after="0" w:line="240" w:lineRule="auto"/>
        <w:ind w:left="0"/>
        <w:jc w:val="bot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 xml:space="preserve">El </w:t>
      </w:r>
      <w:r w:rsidRPr="002964A7">
        <w:rPr>
          <w:rFonts w:ascii="Verdana" w:hAnsi="Verdana" w:cs="Arial"/>
          <w:b/>
          <w:i/>
          <w:spacing w:val="-2"/>
          <w:sz w:val="20"/>
          <w:szCs w:val="20"/>
        </w:rPr>
        <w:t>Estado</w:t>
      </w:r>
      <w:r w:rsidRPr="002964A7">
        <w:rPr>
          <w:rFonts w:ascii="Verdana" w:hAnsi="Verdana" w:cs="Arial"/>
          <w:spacing w:val="-2"/>
          <w:sz w:val="20"/>
          <w:szCs w:val="20"/>
        </w:rPr>
        <w:t xml:space="preserve"> informó que </w:t>
      </w:r>
      <w:r w:rsidRPr="002964A7">
        <w:rPr>
          <w:rFonts w:ascii="Verdana" w:hAnsi="Verdana"/>
          <w:spacing w:val="-2"/>
          <w:sz w:val="20"/>
          <w:szCs w:val="20"/>
        </w:rPr>
        <w:t xml:space="preserve">dentro del Plan Integral de Reparaciones se encuentra las reparaciones en salud, y que varios de los familiares de las presuntas víctimas cuentan a la fecha con el Seguro Integral de Salud (SIS), que tiene como finalidad proteger la salud de los peruanos que no cuentan con un seguro de salud, priorizando aquellas poblacionales vulnerables que se encuentran en situación de pobreza y pobreza extrema, contando dicho sistema con atención tanto médica como psicológica. Dentro de la cobertura del SIS se encuentra el diagnóstico, tratamiento y seguimiento de enfermedades como depresión, ansiedad, esquizofrenia y alcoholismo, </w:t>
      </w:r>
      <w:r w:rsidRPr="002964A7">
        <w:rPr>
          <w:rFonts w:ascii="Verdana" w:hAnsi="Verdana"/>
          <w:bCs/>
          <w:spacing w:val="-2"/>
          <w:sz w:val="20"/>
          <w:szCs w:val="20"/>
        </w:rPr>
        <w:t>entre otros</w:t>
      </w:r>
      <w:r w:rsidRPr="002964A7">
        <w:rPr>
          <w:rFonts w:ascii="Verdana" w:hAnsi="Verdana" w:cs="Arial"/>
          <w:spacing w:val="-2"/>
          <w:sz w:val="20"/>
          <w:szCs w:val="20"/>
        </w:rPr>
        <w:t xml:space="preserve">. En relación con los familiares que no cuentan con el seguro en mención, el Estado señaló que hará los esfuerzos necesarios para que dichas personas puedan ser incorporadas al SIS y gozar de la cobertura que actualmente el seguro brinda. </w:t>
      </w:r>
    </w:p>
    <w:p w:rsidR="00AB496F" w:rsidRPr="002964A7" w:rsidRDefault="00AB496F" w:rsidP="00AB496F">
      <w:pPr>
        <w:pStyle w:val="ListParagraph"/>
        <w:spacing w:after="0" w:line="240" w:lineRule="auto"/>
        <w:ind w:left="0"/>
        <w:jc w:val="both"/>
        <w:rPr>
          <w:rFonts w:ascii="Verdana" w:hAnsi="Verdana" w:cs="Arial"/>
          <w:spacing w:val="-2"/>
          <w:sz w:val="20"/>
          <w:szCs w:val="20"/>
        </w:rPr>
      </w:pPr>
    </w:p>
    <w:p w:rsidR="00AB496F" w:rsidRPr="002964A7" w:rsidRDefault="00AB496F" w:rsidP="00AB496F">
      <w:pPr>
        <w:pStyle w:val="ListParagraph"/>
        <w:spacing w:after="0" w:line="240" w:lineRule="auto"/>
        <w:ind w:left="0" w:firstLine="720"/>
        <w:jc w:val="both"/>
        <w:rPr>
          <w:rFonts w:ascii="Verdana" w:hAnsi="Verdana" w:cs="Arial"/>
          <w:i/>
          <w:spacing w:val="-2"/>
          <w:sz w:val="20"/>
          <w:szCs w:val="20"/>
        </w:rPr>
      </w:pPr>
      <w:r w:rsidRPr="002964A7">
        <w:rPr>
          <w:rFonts w:ascii="Verdana" w:hAnsi="Verdana" w:cs="Arial"/>
          <w:i/>
          <w:spacing w:val="-2"/>
          <w:sz w:val="20"/>
          <w:szCs w:val="20"/>
        </w:rPr>
        <w:t>Consideraciones de la Corte</w:t>
      </w:r>
    </w:p>
    <w:p w:rsidR="00AB496F" w:rsidRPr="002964A7" w:rsidRDefault="00AB496F" w:rsidP="00AB496F">
      <w:pPr>
        <w:pStyle w:val="ListParagraph"/>
        <w:spacing w:after="0" w:line="240" w:lineRule="auto"/>
        <w:ind w:left="0"/>
        <w:jc w:val="both"/>
        <w:rPr>
          <w:rFonts w:ascii="Verdana" w:hAnsi="Verdana" w:cs="Arial"/>
          <w:i/>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En el </w:t>
      </w:r>
      <w:r w:rsidRPr="002964A7">
        <w:rPr>
          <w:rFonts w:ascii="Verdana" w:hAnsi="Verdana" w:cs="Arial"/>
          <w:spacing w:val="-2"/>
          <w:sz w:val="20"/>
          <w:szCs w:val="20"/>
        </w:rPr>
        <w:t xml:space="preserve">Capítulo </w:t>
      </w:r>
      <w:r>
        <w:rPr>
          <w:rFonts w:ascii="Verdana" w:hAnsi="Verdana" w:cs="Arial"/>
          <w:spacing w:val="-2"/>
          <w:sz w:val="20"/>
          <w:szCs w:val="20"/>
        </w:rPr>
        <w:t xml:space="preserve">IX.IV </w:t>
      </w:r>
      <w:r w:rsidRPr="002964A7">
        <w:rPr>
          <w:rFonts w:ascii="Verdana" w:hAnsi="Verdana"/>
          <w:spacing w:val="-2"/>
          <w:sz w:val="20"/>
          <w:szCs w:val="20"/>
        </w:rPr>
        <w:t xml:space="preserve">de esta Sentencia, la Corte concluyó que la desaparición forzada de </w:t>
      </w:r>
      <w:r>
        <w:rPr>
          <w:rFonts w:ascii="Verdana" w:hAnsi="Verdana"/>
          <w:spacing w:val="-2"/>
          <w:sz w:val="20"/>
          <w:szCs w:val="20"/>
        </w:rPr>
        <w:t>15</w:t>
      </w:r>
      <w:r w:rsidRPr="002964A7">
        <w:rPr>
          <w:rFonts w:ascii="Verdana" w:hAnsi="Verdana"/>
          <w:spacing w:val="-2"/>
          <w:sz w:val="20"/>
          <w:szCs w:val="20"/>
        </w:rPr>
        <w:t xml:space="preserve"> víctima</w:t>
      </w:r>
      <w:r w:rsidRPr="002964A7">
        <w:rPr>
          <w:rFonts w:ascii="Verdana" w:hAnsi="Verdana" w:cs="Arial"/>
          <w:spacing w:val="-2"/>
          <w:sz w:val="20"/>
          <w:szCs w:val="20"/>
        </w:rPr>
        <w:t>s</w:t>
      </w:r>
      <w:r w:rsidRPr="002964A7">
        <w:rPr>
          <w:rFonts w:ascii="Verdana" w:hAnsi="Verdana"/>
          <w:spacing w:val="-2"/>
          <w:sz w:val="20"/>
          <w:szCs w:val="20"/>
        </w:rPr>
        <w:t xml:space="preserve"> generó en sus familiares </w:t>
      </w:r>
      <w:r w:rsidRPr="002964A7">
        <w:rPr>
          <w:rFonts w:ascii="Verdana" w:eastAsia="Calibri" w:hAnsi="Verdana"/>
          <w:spacing w:val="-2"/>
          <w:sz w:val="20"/>
          <w:szCs w:val="20"/>
        </w:rPr>
        <w:t>daño a su integridad psíquica y moral.</w:t>
      </w:r>
      <w:r w:rsidRPr="002964A7">
        <w:rPr>
          <w:rFonts w:ascii="Verdana" w:hAnsi="Verdana"/>
          <w:spacing w:val="-2"/>
          <w:sz w:val="20"/>
          <w:szCs w:val="20"/>
        </w:rPr>
        <w:t xml:space="preserve"> En cuanto al argumento estatal sobre los </w:t>
      </w:r>
      <w:r w:rsidRPr="002964A7">
        <w:rPr>
          <w:rFonts w:ascii="Verdana" w:hAnsi="Verdana" w:cs="Arial"/>
          <w:spacing w:val="-2"/>
          <w:sz w:val="20"/>
          <w:szCs w:val="20"/>
        </w:rPr>
        <w:t>servicios</w:t>
      </w:r>
      <w:r w:rsidRPr="002964A7">
        <w:rPr>
          <w:rFonts w:ascii="Verdana" w:hAnsi="Verdana"/>
          <w:spacing w:val="-2"/>
          <w:sz w:val="20"/>
          <w:szCs w:val="20"/>
        </w:rPr>
        <w:t xml:space="preserve"> de atención que brinda el Sistema Integral de Salud </w:t>
      </w:r>
      <w:r w:rsidRPr="002964A7">
        <w:rPr>
          <w:rFonts w:ascii="Verdana" w:hAnsi="Verdana"/>
          <w:spacing w:val="-2"/>
          <w:sz w:val="20"/>
          <w:szCs w:val="20"/>
        </w:rPr>
        <w:lastRenderedPageBreak/>
        <w:t>(SIS)</w:t>
      </w:r>
      <w:r w:rsidRPr="002964A7">
        <w:rPr>
          <w:rStyle w:val="FootnoteReference"/>
          <w:rFonts w:eastAsiaTheme="minorHAnsi"/>
          <w:spacing w:val="-2"/>
          <w:szCs w:val="20"/>
        </w:rPr>
        <w:footnoteReference w:id="356"/>
      </w:r>
      <w:r w:rsidRPr="002964A7">
        <w:rPr>
          <w:rFonts w:ascii="Verdana" w:hAnsi="Verdana"/>
          <w:spacing w:val="-2"/>
          <w:sz w:val="20"/>
          <w:szCs w:val="20"/>
        </w:rPr>
        <w:t>, la Corte considera necesario aclarar que las medidas de reparación que pueda dictar el Tribunal tienen sustento directo en los daños relativos a violaciones a derechos humanos declaradas en este caso</w:t>
      </w:r>
      <w:r w:rsidRPr="002964A7">
        <w:rPr>
          <w:rStyle w:val="FootnoteReference"/>
          <w:rFonts w:eastAsiaTheme="minorHAnsi"/>
          <w:spacing w:val="-2"/>
          <w:szCs w:val="20"/>
        </w:rPr>
        <w:footnoteReference w:id="357"/>
      </w:r>
      <w:r w:rsidRPr="002964A7">
        <w:rPr>
          <w:rFonts w:ascii="Verdana" w:hAnsi="Verdana"/>
          <w:spacing w:val="-2"/>
          <w:sz w:val="20"/>
          <w:szCs w:val="20"/>
        </w:rPr>
        <w:t xml:space="preserve">. </w:t>
      </w:r>
    </w:p>
    <w:p w:rsidR="00AB496F" w:rsidRPr="002964A7" w:rsidRDefault="00AB496F" w:rsidP="00AB496F">
      <w:pPr>
        <w:pStyle w:val="ListParagrap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Verdana-Italic"/>
          <w:iCs/>
          <w:spacing w:val="-2"/>
          <w:sz w:val="20"/>
          <w:szCs w:val="20"/>
          <w:lang w:bidi="en-US"/>
        </w:rPr>
      </w:pPr>
      <w:r w:rsidRPr="002964A7">
        <w:rPr>
          <w:rFonts w:ascii="Verdana" w:hAnsi="Verdana"/>
          <w:spacing w:val="-2"/>
          <w:sz w:val="20"/>
          <w:szCs w:val="20"/>
        </w:rPr>
        <w:t>Por lo tanto, l</w:t>
      </w:r>
      <w:r w:rsidRPr="002964A7">
        <w:rPr>
          <w:rFonts w:ascii="Verdana" w:hAnsi="Verdana" w:cs="Verdana-Italic"/>
          <w:spacing w:val="-2"/>
          <w:sz w:val="20"/>
          <w:szCs w:val="20"/>
          <w:lang w:bidi="en-US"/>
        </w:rPr>
        <w:t xml:space="preserve">a Corte </w:t>
      </w:r>
      <w:r w:rsidRPr="002964A7">
        <w:rPr>
          <w:rFonts w:ascii="Verdana" w:hAnsi="Verdana"/>
          <w:spacing w:val="-2"/>
          <w:sz w:val="20"/>
          <w:szCs w:val="20"/>
        </w:rPr>
        <w:t>estima, como lo ha hecho en otros casos</w:t>
      </w:r>
      <w:r w:rsidRPr="002964A7">
        <w:rPr>
          <w:rFonts w:ascii="Verdana" w:hAnsi="Verdana"/>
          <w:spacing w:val="-2"/>
          <w:sz w:val="20"/>
          <w:szCs w:val="20"/>
          <w:vertAlign w:val="superscript"/>
          <w:lang w:val="es-ES_tradnl"/>
        </w:rPr>
        <w:footnoteReference w:id="358"/>
      </w:r>
      <w:r w:rsidRPr="002964A7">
        <w:rPr>
          <w:rFonts w:ascii="Verdana" w:hAnsi="Verdana"/>
          <w:spacing w:val="-2"/>
          <w:sz w:val="20"/>
          <w:szCs w:val="20"/>
        </w:rPr>
        <w:t xml:space="preserve">, que es preciso disponer una medida de reparación que brinde una atención adecuada a los padecimientos psicológicos y físicos sufridos por las víctimas derivados de las violaciones establecidas en la presente Sentencia. </w:t>
      </w:r>
      <w:r w:rsidRPr="002964A7">
        <w:rPr>
          <w:rFonts w:ascii="Verdana" w:hAnsi="Verdana"/>
          <w:spacing w:val="-2"/>
          <w:sz w:val="20"/>
          <w:szCs w:val="20"/>
          <w:lang w:val="es-ES_tradnl"/>
        </w:rPr>
        <w:t>Con el fin de contribuir a la reparación de estos daños, el Tribunal dispone la obligación a cargo del Estado de brindar gratuitamente, a través de sus instituciones de salud especializadas, y de forma inmediata</w:t>
      </w:r>
      <w:r w:rsidRPr="002964A7">
        <w:rPr>
          <w:rFonts w:ascii="Verdana" w:hAnsi="Verdana"/>
          <w:spacing w:val="-2"/>
          <w:sz w:val="20"/>
          <w:szCs w:val="20"/>
        </w:rPr>
        <w:t>, adecuada, integral y efectiva</w:t>
      </w:r>
      <w:r w:rsidRPr="002964A7">
        <w:rPr>
          <w:rFonts w:ascii="Verdana" w:hAnsi="Verdana"/>
          <w:spacing w:val="-2"/>
          <w:sz w:val="20"/>
          <w:szCs w:val="20"/>
          <w:lang w:val="es-ES_tradnl"/>
        </w:rPr>
        <w:t>, tratamiento médico y psicológico o psiquiátrico</w:t>
      </w:r>
      <w:r w:rsidRPr="002964A7">
        <w:rPr>
          <w:rFonts w:ascii="Verdana" w:hAnsi="Verdana"/>
          <w:spacing w:val="-2"/>
          <w:sz w:val="20"/>
          <w:szCs w:val="20"/>
        </w:rPr>
        <w:t xml:space="preserve"> a las víctimas que así lo soliciten</w:t>
      </w:r>
      <w:r w:rsidRPr="002964A7">
        <w:rPr>
          <w:rFonts w:ascii="Verdana" w:hAnsi="Verdana"/>
          <w:spacing w:val="-2"/>
          <w:sz w:val="20"/>
          <w:szCs w:val="20"/>
          <w:lang w:val="es-ES_tradnl"/>
        </w:rPr>
        <w:t xml:space="preserve">, </w:t>
      </w:r>
      <w:r w:rsidRPr="002964A7">
        <w:rPr>
          <w:rFonts w:ascii="Verdana" w:hAnsi="Verdana" w:cs="Verdana-Italic"/>
          <w:spacing w:val="-2"/>
          <w:sz w:val="20"/>
          <w:szCs w:val="20"/>
          <w:lang w:bidi="en-US"/>
        </w:rPr>
        <w:t>previo consentimiento informado,</w:t>
      </w:r>
      <w:r w:rsidRPr="002964A7">
        <w:rPr>
          <w:rFonts w:ascii="Verdana" w:hAnsi="Verdana"/>
          <w:spacing w:val="-2"/>
          <w:sz w:val="20"/>
          <w:szCs w:val="20"/>
          <w:lang w:val="es-ES_tradnl"/>
        </w:rPr>
        <w:t xml:space="preserve"> incluyendo </w:t>
      </w:r>
      <w:r w:rsidRPr="002964A7">
        <w:rPr>
          <w:rFonts w:ascii="Verdana" w:hAnsi="Verdana"/>
          <w:spacing w:val="-2"/>
          <w:sz w:val="20"/>
          <w:szCs w:val="20"/>
        </w:rPr>
        <w:t>el suministro gratuito de los medicamentos que eventualmente se requieran</w:t>
      </w:r>
      <w:r w:rsidRPr="002964A7">
        <w:rPr>
          <w:rFonts w:ascii="Verdana" w:hAnsi="Verdana"/>
          <w:spacing w:val="-2"/>
          <w:sz w:val="20"/>
          <w:szCs w:val="20"/>
          <w:lang w:val="es-ES_tradnl"/>
        </w:rPr>
        <w:t xml:space="preserve">, tomando en consideración los padecimientos de cada uno de ellos. Lo anterior implica que las víctimas deberán recibir un tratamiento diferenciado en relación con el trámite y procedimiento que debieran realizar para ser atendidos en </w:t>
      </w:r>
      <w:r>
        <w:rPr>
          <w:rFonts w:ascii="Verdana" w:hAnsi="Verdana"/>
          <w:spacing w:val="-2"/>
          <w:sz w:val="20"/>
          <w:szCs w:val="20"/>
          <w:lang w:val="es-ES_tradnl"/>
        </w:rPr>
        <w:t>instituciones públicas</w:t>
      </w:r>
      <w:r w:rsidRPr="002964A7">
        <w:rPr>
          <w:rFonts w:ascii="Verdana" w:hAnsi="Verdana"/>
          <w:spacing w:val="-2"/>
          <w:sz w:val="20"/>
          <w:szCs w:val="20"/>
          <w:vertAlign w:val="superscript"/>
          <w:lang w:val="es-ES_tradnl"/>
        </w:rPr>
        <w:footnoteReference w:id="359"/>
      </w:r>
      <w:r w:rsidRPr="002964A7">
        <w:rPr>
          <w:rFonts w:ascii="Verdana" w:hAnsi="Verdana"/>
          <w:spacing w:val="-2"/>
          <w:sz w:val="20"/>
          <w:szCs w:val="20"/>
          <w:lang w:val="es-ES_tradnl"/>
        </w:rPr>
        <w:t xml:space="preserve">. </w:t>
      </w:r>
      <w:r w:rsidRPr="002964A7">
        <w:rPr>
          <w:rFonts w:ascii="Verdana" w:hAnsi="Verdana"/>
          <w:spacing w:val="-2"/>
          <w:sz w:val="20"/>
          <w:szCs w:val="20"/>
        </w:rPr>
        <w:t>Asimismo, los tratamientos respectivos deberán prestarse, en la medida de lo posible, en los centros más cercanos a sus lugares de residencia</w:t>
      </w:r>
      <w:r w:rsidRPr="002964A7">
        <w:rPr>
          <w:rFonts w:ascii="Verdana" w:hAnsi="Verdana"/>
          <w:spacing w:val="-2"/>
          <w:sz w:val="20"/>
          <w:szCs w:val="20"/>
          <w:vertAlign w:val="superscript"/>
          <w:lang w:val="es-ES_tradnl"/>
        </w:rPr>
        <w:footnoteReference w:id="360"/>
      </w:r>
      <w:r w:rsidRPr="002964A7">
        <w:rPr>
          <w:rFonts w:ascii="Verdana" w:hAnsi="Verdana"/>
          <w:spacing w:val="-2"/>
          <w:sz w:val="20"/>
          <w:szCs w:val="20"/>
        </w:rPr>
        <w:t xml:space="preserve"> en el Perú por el tiempo que sea necesario. </w:t>
      </w:r>
      <w:r w:rsidRPr="002964A7">
        <w:rPr>
          <w:rFonts w:ascii="Verdana" w:hAnsi="Verdana"/>
          <w:spacing w:val="-2"/>
          <w:sz w:val="20"/>
          <w:szCs w:val="20"/>
          <w:lang w:val="es-ES_tradnl"/>
        </w:rPr>
        <w:t>Al proveer el tratamiento psicológico o psiquiátrico se debe considerar, además, las circunstancias y necesidades particulares de cada víctima, de manera que se les brinden tratamientos colectivos, familiares e individuales, según lo que se acuerde con cada una de ellas y después de una evaluación individual</w:t>
      </w:r>
      <w:r w:rsidRPr="002964A7">
        <w:rPr>
          <w:rFonts w:ascii="Verdana" w:hAnsi="Verdana"/>
          <w:spacing w:val="-2"/>
          <w:sz w:val="20"/>
          <w:szCs w:val="20"/>
          <w:vertAlign w:val="superscript"/>
          <w:lang w:val="es-ES_tradnl"/>
        </w:rPr>
        <w:footnoteReference w:id="361"/>
      </w:r>
      <w:r w:rsidRPr="002964A7">
        <w:rPr>
          <w:rFonts w:ascii="Verdana" w:hAnsi="Verdana"/>
          <w:spacing w:val="-2"/>
          <w:sz w:val="20"/>
          <w:szCs w:val="20"/>
          <w:lang w:val="es-ES_tradnl"/>
        </w:rPr>
        <w:t xml:space="preserve">. </w:t>
      </w:r>
      <w:r w:rsidRPr="002964A7">
        <w:rPr>
          <w:rFonts w:ascii="Verdana" w:hAnsi="Verdana"/>
          <w:spacing w:val="-2"/>
          <w:sz w:val="20"/>
          <w:szCs w:val="20"/>
        </w:rPr>
        <w:t>Las víctimas que soliciten esta medida de reparación, o sus representantes legales, disponen de un plazo de seis meses, contado a partir de la notificación de la presente Sentencia, para dar a conocer al Estado su intención de recibir atención médica, psicológica o psiquiátrica</w:t>
      </w:r>
      <w:r w:rsidRPr="002964A7">
        <w:rPr>
          <w:rFonts w:ascii="Verdana" w:hAnsi="Verdana"/>
          <w:spacing w:val="-2"/>
          <w:sz w:val="20"/>
          <w:szCs w:val="20"/>
          <w:vertAlign w:val="superscript"/>
        </w:rPr>
        <w:footnoteReference w:id="362"/>
      </w:r>
      <w:r w:rsidRPr="002964A7">
        <w:rPr>
          <w:rFonts w:ascii="Verdana" w:hAnsi="Verdana"/>
          <w:spacing w:val="-2"/>
          <w:sz w:val="20"/>
          <w:szCs w:val="20"/>
        </w:rPr>
        <w:t>.</w:t>
      </w:r>
    </w:p>
    <w:p w:rsidR="00AB496F" w:rsidRPr="003871CF" w:rsidRDefault="00AB496F" w:rsidP="00E6234E">
      <w:pPr>
        <w:spacing w:after="0" w:line="240" w:lineRule="auto"/>
        <w:contextualSpacing/>
        <w:jc w:val="both"/>
        <w:rPr>
          <w:rFonts w:ascii="Verdana" w:hAnsi="Verdana" w:cs="Verdana-Italic"/>
          <w:b/>
          <w:iCs/>
          <w:spacing w:val="-2"/>
          <w:sz w:val="16"/>
          <w:szCs w:val="20"/>
          <w:lang w:bidi="en-US"/>
        </w:rPr>
      </w:pPr>
    </w:p>
    <w:p w:rsidR="00AB496F" w:rsidRPr="001154F9" w:rsidRDefault="00AB496F" w:rsidP="00E6234E">
      <w:pPr>
        <w:pStyle w:val="Heading3"/>
        <w:spacing w:line="240" w:lineRule="auto"/>
      </w:pPr>
      <w:bookmarkStart w:id="267" w:name="_Toc423102577"/>
      <w:bookmarkStart w:id="268" w:name="_Toc433387530"/>
      <w:r w:rsidRPr="00F13F0B">
        <w:rPr>
          <w:rFonts w:cs="Verdana-Italic"/>
          <w:iCs/>
          <w:lang w:bidi="en-US"/>
        </w:rPr>
        <w:t>C.3</w:t>
      </w:r>
      <w:r w:rsidRPr="00E6234E">
        <w:rPr>
          <w:rFonts w:cs="Verdana-Italic"/>
          <w:iCs/>
          <w:lang w:bidi="en-US"/>
        </w:rPr>
        <w:t>.</w:t>
      </w:r>
      <w:r w:rsidRPr="00F13F0B">
        <w:rPr>
          <w:rFonts w:cs="Verdana-Italic"/>
          <w:iCs/>
          <w:lang w:bidi="en-US"/>
        </w:rPr>
        <w:t xml:space="preserve"> </w:t>
      </w:r>
      <w:r w:rsidRPr="00F13F0B">
        <w:t>Satisfacción</w:t>
      </w:r>
      <w:bookmarkEnd w:id="267"/>
      <w:bookmarkEnd w:id="268"/>
    </w:p>
    <w:p w:rsidR="00AB496F" w:rsidRPr="00F13F0B" w:rsidRDefault="00AB496F" w:rsidP="00E6234E">
      <w:pPr>
        <w:pStyle w:val="Heading3"/>
        <w:spacing w:line="240" w:lineRule="auto"/>
        <w:rPr>
          <w:i/>
        </w:rPr>
      </w:pPr>
      <w:bookmarkStart w:id="269" w:name="_Toc433387531"/>
      <w:r w:rsidRPr="00F13F0B">
        <w:t>C.3.1</w:t>
      </w:r>
      <w:r>
        <w:t>.</w:t>
      </w:r>
      <w:r w:rsidRPr="00F13F0B">
        <w:t xml:space="preserve"> Publicación y difusión de la Sentencia</w:t>
      </w:r>
      <w:bookmarkEnd w:id="269"/>
    </w:p>
    <w:p w:rsidR="00AB496F" w:rsidRPr="003871CF" w:rsidRDefault="00AB496F" w:rsidP="00AB496F">
      <w:pPr>
        <w:spacing w:after="0" w:line="240" w:lineRule="auto"/>
        <w:jc w:val="both"/>
        <w:rPr>
          <w:rFonts w:ascii="Verdana" w:hAnsi="Verdana"/>
          <w:spacing w:val="-2"/>
          <w:sz w:val="16"/>
          <w:szCs w:val="20"/>
        </w:rPr>
      </w:pPr>
    </w:p>
    <w:p w:rsidR="00AB496F" w:rsidRPr="001154F9"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pacing w:val="-2"/>
          <w:sz w:val="20"/>
          <w:szCs w:val="20"/>
          <w:lang w:val="es-ES"/>
        </w:rPr>
      </w:pPr>
      <w:r w:rsidRPr="002964A7">
        <w:rPr>
          <w:rFonts w:ascii="Verdana" w:hAnsi="Verdana"/>
          <w:spacing w:val="-2"/>
          <w:sz w:val="20"/>
          <w:szCs w:val="20"/>
        </w:rPr>
        <w:t xml:space="preserve">A pesar de que no se ha solicitado la publicación de esta Sentencia, </w:t>
      </w:r>
      <w:r w:rsidRPr="002964A7">
        <w:rPr>
          <w:rFonts w:ascii="Verdana" w:hAnsi="Verdana" w:cs="Verdana"/>
          <w:spacing w:val="-2"/>
          <w:sz w:val="20"/>
          <w:szCs w:val="20"/>
        </w:rPr>
        <w:t>la Corte estima pertinente disponer, como lo ha hecho en otros casos</w:t>
      </w:r>
      <w:r w:rsidRPr="002964A7">
        <w:rPr>
          <w:rFonts w:ascii="Verdana" w:hAnsi="Verdana" w:cs="Verdana"/>
          <w:spacing w:val="-2"/>
          <w:sz w:val="20"/>
          <w:szCs w:val="20"/>
          <w:vertAlign w:val="superscript"/>
        </w:rPr>
        <w:footnoteReference w:id="363"/>
      </w:r>
      <w:r w:rsidRPr="002964A7">
        <w:rPr>
          <w:rFonts w:ascii="Verdana" w:hAnsi="Verdana" w:cs="Verdana"/>
          <w:spacing w:val="-2"/>
          <w:sz w:val="20"/>
          <w:szCs w:val="20"/>
        </w:rPr>
        <w:t xml:space="preserve">, que el Estado, en el plazo de seis meses, contado a partir de la </w:t>
      </w:r>
      <w:r w:rsidRPr="002964A7">
        <w:rPr>
          <w:rFonts w:ascii="Verdana" w:hAnsi="Verdana" w:cs="Arial"/>
          <w:spacing w:val="-2"/>
          <w:sz w:val="20"/>
          <w:szCs w:val="20"/>
        </w:rPr>
        <w:t>notificación</w:t>
      </w:r>
      <w:r w:rsidRPr="002964A7">
        <w:rPr>
          <w:rFonts w:ascii="Verdana" w:hAnsi="Verdana" w:cs="Verdana"/>
          <w:spacing w:val="-2"/>
          <w:sz w:val="20"/>
          <w:szCs w:val="20"/>
        </w:rPr>
        <w:t xml:space="preserve"> de la presente Sentencia, realice las siguientes </w:t>
      </w:r>
      <w:r w:rsidRPr="002964A7">
        <w:rPr>
          <w:rFonts w:ascii="Verdana" w:hAnsi="Verdana" w:cs="Verdana"/>
          <w:spacing w:val="-2"/>
          <w:sz w:val="20"/>
          <w:szCs w:val="20"/>
        </w:rPr>
        <w:lastRenderedPageBreak/>
        <w:t xml:space="preserve">publicaciones: </w:t>
      </w:r>
      <w:r w:rsidRPr="002964A7">
        <w:rPr>
          <w:rFonts w:ascii="Verdana" w:hAnsi="Verdana"/>
          <w:spacing w:val="-2"/>
          <w:sz w:val="20"/>
          <w:szCs w:val="20"/>
        </w:rPr>
        <w:t xml:space="preserve">a) el resumen oficial de la presente Sentencia elaborado por la Corte, por una sola vez, </w:t>
      </w:r>
      <w:r w:rsidRPr="002964A7">
        <w:rPr>
          <w:rFonts w:ascii="Verdana" w:hAnsi="Verdana" w:cs="Verdana"/>
          <w:spacing w:val="-2"/>
          <w:sz w:val="20"/>
          <w:szCs w:val="20"/>
        </w:rPr>
        <w:t>en el Diario Oficial y</w:t>
      </w:r>
      <w:r w:rsidRPr="002964A7">
        <w:rPr>
          <w:rFonts w:ascii="Verdana" w:hAnsi="Verdana"/>
          <w:spacing w:val="-2"/>
          <w:sz w:val="20"/>
          <w:szCs w:val="20"/>
        </w:rPr>
        <w:t xml:space="preserve"> en un diario de amplia circulación nacional del Perú, y b) la presente Sentencia en su integridad, disponible </w:t>
      </w:r>
      <w:r w:rsidRPr="00AD5D9D">
        <w:rPr>
          <w:rFonts w:ascii="Verdana" w:hAnsi="Verdana"/>
          <w:spacing w:val="-2"/>
          <w:sz w:val="20"/>
          <w:szCs w:val="20"/>
        </w:rPr>
        <w:t>al menos</w:t>
      </w:r>
      <w:r>
        <w:rPr>
          <w:rFonts w:ascii="Verdana" w:hAnsi="Verdana"/>
          <w:spacing w:val="-2"/>
          <w:sz w:val="20"/>
          <w:szCs w:val="20"/>
        </w:rPr>
        <w:t xml:space="preserve"> </w:t>
      </w:r>
      <w:r w:rsidRPr="002964A7">
        <w:rPr>
          <w:rFonts w:ascii="Verdana" w:hAnsi="Verdana"/>
          <w:spacing w:val="-2"/>
          <w:sz w:val="20"/>
          <w:szCs w:val="20"/>
        </w:rPr>
        <w:t xml:space="preserve">por un período de un año, en un sitio </w:t>
      </w:r>
      <w:r w:rsidRPr="002964A7">
        <w:rPr>
          <w:rFonts w:ascii="Verdana" w:hAnsi="Verdana"/>
          <w:i/>
          <w:spacing w:val="-2"/>
          <w:sz w:val="20"/>
          <w:szCs w:val="20"/>
        </w:rPr>
        <w:t>web</w:t>
      </w:r>
      <w:r w:rsidRPr="002964A7">
        <w:rPr>
          <w:rFonts w:ascii="Verdana" w:hAnsi="Verdana"/>
          <w:spacing w:val="-2"/>
          <w:sz w:val="20"/>
          <w:szCs w:val="20"/>
        </w:rPr>
        <w:t xml:space="preserve"> oficial del Estado.</w:t>
      </w:r>
    </w:p>
    <w:p w:rsidR="00AB496F" w:rsidRPr="001154F9" w:rsidRDefault="00AB496F" w:rsidP="00D93C37">
      <w:pPr>
        <w:pStyle w:val="Heading3"/>
        <w:spacing w:line="240" w:lineRule="auto"/>
      </w:pPr>
      <w:bookmarkStart w:id="270" w:name="_Toc423102578"/>
      <w:bookmarkStart w:id="271" w:name="_Toc433387532"/>
      <w:r w:rsidRPr="00F13F0B">
        <w:rPr>
          <w:rFonts w:cs="Verdana-Italic"/>
          <w:lang w:bidi="en-US"/>
        </w:rPr>
        <w:t xml:space="preserve">C.4. </w:t>
      </w:r>
      <w:r w:rsidRPr="00F13F0B">
        <w:rPr>
          <w:lang w:val="es-ES_tradnl"/>
        </w:rPr>
        <w:t>Garantías de no repetición</w:t>
      </w:r>
      <w:bookmarkEnd w:id="270"/>
      <w:bookmarkEnd w:id="271"/>
    </w:p>
    <w:p w:rsidR="00AB496F" w:rsidRPr="00F13F0B" w:rsidRDefault="00AB496F" w:rsidP="00D93C37">
      <w:pPr>
        <w:pStyle w:val="Heading3"/>
        <w:spacing w:line="240" w:lineRule="auto"/>
        <w:rPr>
          <w:i/>
        </w:rPr>
      </w:pPr>
      <w:bookmarkStart w:id="272" w:name="_Toc433387533"/>
      <w:r w:rsidRPr="00F13F0B">
        <w:rPr>
          <w:rFonts w:cs="Verdana-Italic"/>
          <w:lang w:bidi="en-US"/>
        </w:rPr>
        <w:t>C.4.1.</w:t>
      </w:r>
      <w:r w:rsidRPr="00F13F0B">
        <w:t xml:space="preserve"> </w:t>
      </w:r>
      <w:r>
        <w:t>C</w:t>
      </w:r>
      <w:r w:rsidRPr="00CB2A72">
        <w:t>apacitación continua de los integrantes del Equipo Forense Especializado (EFE) del Instituto de Medicina Legal y Ciencias Forenses del Ministerio Público</w:t>
      </w:r>
      <w:bookmarkEnd w:id="272"/>
    </w:p>
    <w:p w:rsidR="00AB496F" w:rsidRPr="00D51923" w:rsidRDefault="00AB496F" w:rsidP="00AB496F">
      <w:pPr>
        <w:pStyle w:val="ListParagraph"/>
        <w:spacing w:after="0" w:line="240" w:lineRule="auto"/>
        <w:ind w:left="0" w:firstLine="717"/>
        <w:jc w:val="both"/>
        <w:rPr>
          <w:rFonts w:ascii="Verdana" w:hAnsi="Verdana"/>
          <w:i/>
          <w:spacing w:val="-2"/>
          <w:sz w:val="16"/>
          <w:szCs w:val="20"/>
        </w:rPr>
      </w:pPr>
    </w:p>
    <w:p w:rsidR="00AB496F" w:rsidRPr="002964A7" w:rsidRDefault="00AB496F" w:rsidP="00AB496F">
      <w:pPr>
        <w:pStyle w:val="ListParagraph"/>
        <w:spacing w:after="0" w:line="240" w:lineRule="auto"/>
        <w:ind w:left="0" w:firstLine="717"/>
        <w:jc w:val="both"/>
        <w:rPr>
          <w:rFonts w:ascii="Verdana" w:hAnsi="Verdana" w:cs="Verdana-Italic"/>
          <w:i/>
          <w:iCs/>
          <w:spacing w:val="-2"/>
          <w:sz w:val="20"/>
          <w:szCs w:val="20"/>
          <w:lang w:bidi="en-US"/>
        </w:rPr>
      </w:pPr>
      <w:r w:rsidRPr="002964A7">
        <w:rPr>
          <w:rFonts w:ascii="Verdana" w:hAnsi="Verdana" w:cs="Verdana-Italic"/>
          <w:i/>
          <w:iCs/>
          <w:spacing w:val="-2"/>
          <w:sz w:val="20"/>
          <w:szCs w:val="20"/>
          <w:lang w:bidi="en-US"/>
        </w:rPr>
        <w:t>Argumentos de la Comisión</w:t>
      </w:r>
      <w:r w:rsidRPr="00937752">
        <w:rPr>
          <w:rFonts w:ascii="Verdana" w:hAnsi="Verdana" w:cs="Verdana-Italic"/>
          <w:i/>
          <w:iCs/>
          <w:spacing w:val="-2"/>
          <w:sz w:val="20"/>
          <w:szCs w:val="20"/>
          <w:lang w:bidi="en-US"/>
        </w:rPr>
        <w:t xml:space="preserve"> </w:t>
      </w:r>
      <w:r>
        <w:rPr>
          <w:rFonts w:ascii="Verdana" w:hAnsi="Verdana" w:cs="Verdana-Italic"/>
          <w:i/>
          <w:iCs/>
          <w:spacing w:val="-2"/>
          <w:sz w:val="20"/>
          <w:szCs w:val="20"/>
          <w:lang w:bidi="en-US"/>
        </w:rPr>
        <w:t xml:space="preserve">y </w:t>
      </w:r>
      <w:r w:rsidRPr="002964A7">
        <w:rPr>
          <w:rFonts w:ascii="Verdana" w:hAnsi="Verdana" w:cs="Verdana-Italic"/>
          <w:i/>
          <w:iCs/>
          <w:spacing w:val="-2"/>
          <w:sz w:val="20"/>
          <w:szCs w:val="20"/>
          <w:lang w:bidi="en-US"/>
        </w:rPr>
        <w:t>las partes</w:t>
      </w:r>
    </w:p>
    <w:p w:rsidR="00AB496F" w:rsidRPr="002964A7" w:rsidRDefault="00AB496F" w:rsidP="00AB496F">
      <w:pPr>
        <w:pStyle w:val="ListParagraph"/>
        <w:spacing w:after="0" w:line="240" w:lineRule="auto"/>
        <w:ind w:left="0" w:firstLine="717"/>
        <w:jc w:val="both"/>
        <w:rPr>
          <w:rFonts w:ascii="Verdana" w:hAnsi="Verdana"/>
          <w:i/>
          <w:spacing w:val="-2"/>
          <w:sz w:val="20"/>
          <w:szCs w:val="20"/>
        </w:rPr>
      </w:pPr>
    </w:p>
    <w:p w:rsidR="00AB496F" w:rsidRPr="00597FE9"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rPr>
      </w:pPr>
      <w:r w:rsidRPr="002964A7">
        <w:rPr>
          <w:rFonts w:ascii="Verdana" w:hAnsi="Verdana" w:cs="Arial"/>
          <w:spacing w:val="-2"/>
          <w:sz w:val="20"/>
          <w:szCs w:val="20"/>
        </w:rPr>
        <w:t xml:space="preserve">La </w:t>
      </w:r>
      <w:r w:rsidRPr="002964A7">
        <w:rPr>
          <w:rFonts w:ascii="Verdana" w:hAnsi="Verdana" w:cs="Arial"/>
          <w:b/>
          <w:i/>
          <w:spacing w:val="-2"/>
          <w:sz w:val="20"/>
          <w:szCs w:val="20"/>
        </w:rPr>
        <w:t>Comisión</w:t>
      </w:r>
      <w:r w:rsidRPr="002964A7">
        <w:rPr>
          <w:rFonts w:ascii="Verdana" w:hAnsi="Verdana" w:cs="Arial"/>
          <w:spacing w:val="-2"/>
          <w:sz w:val="20"/>
          <w:szCs w:val="20"/>
        </w:rPr>
        <w:t xml:space="preserve"> solicitó que la </w:t>
      </w:r>
      <w:r w:rsidRPr="002964A7">
        <w:rPr>
          <w:rFonts w:ascii="Verdana" w:hAnsi="Verdana"/>
          <w:spacing w:val="-2"/>
          <w:sz w:val="20"/>
          <w:szCs w:val="20"/>
        </w:rPr>
        <w:t>Corte</w:t>
      </w:r>
      <w:r w:rsidRPr="002964A7">
        <w:rPr>
          <w:rFonts w:ascii="Verdana" w:hAnsi="Verdana" w:cs="Arial"/>
          <w:spacing w:val="-2"/>
          <w:sz w:val="20"/>
          <w:szCs w:val="20"/>
        </w:rPr>
        <w:t xml:space="preserve"> ordene al Estado fortalecer la capacidad del poder judicial de investigar de forma adecuada y eficiente los hechos y sancionar a los responsables, incluso con los recursos materiales y técnicos necesarios para asegurar el correcto desarrollo del proceso.</w:t>
      </w:r>
    </w:p>
    <w:p w:rsidR="00AB496F" w:rsidRPr="002964A7" w:rsidRDefault="00AB496F" w:rsidP="00AB496F">
      <w:pPr>
        <w:widowControl w:val="0"/>
        <w:autoSpaceDE w:val="0"/>
        <w:autoSpaceDN w:val="0"/>
        <w:adjustRightInd w:val="0"/>
        <w:spacing w:after="0" w:line="240" w:lineRule="auto"/>
        <w:ind w:right="-90"/>
        <w:jc w:val="both"/>
        <w:rPr>
          <w:rFonts w:ascii="Verdana" w:hAnsi="Verdana"/>
          <w:b/>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rPr>
      </w:pPr>
      <w:r w:rsidRPr="002964A7">
        <w:rPr>
          <w:rFonts w:ascii="Verdana" w:hAnsi="Verdana"/>
          <w:spacing w:val="-2"/>
          <w:sz w:val="20"/>
          <w:szCs w:val="20"/>
        </w:rPr>
        <w:t xml:space="preserve">Los </w:t>
      </w:r>
      <w:r w:rsidRPr="002964A7">
        <w:rPr>
          <w:rFonts w:ascii="Verdana" w:hAnsi="Verdana"/>
          <w:b/>
          <w:i/>
          <w:spacing w:val="-2"/>
          <w:sz w:val="20"/>
          <w:szCs w:val="20"/>
        </w:rPr>
        <w:t>representantes</w:t>
      </w:r>
      <w:r w:rsidRPr="002964A7">
        <w:rPr>
          <w:rFonts w:ascii="Verdana" w:hAnsi="Verdana"/>
          <w:spacing w:val="-2"/>
          <w:sz w:val="20"/>
          <w:szCs w:val="20"/>
        </w:rPr>
        <w:t xml:space="preserve"> solicitaron a la Corte que ordene al Estado el fortalecimiento del </w:t>
      </w:r>
      <w:r w:rsidRPr="002964A7">
        <w:rPr>
          <w:rFonts w:ascii="Verdana" w:hAnsi="Verdana" w:cs="Arial"/>
          <w:spacing w:val="-2"/>
          <w:sz w:val="20"/>
          <w:szCs w:val="20"/>
        </w:rPr>
        <w:t>subsistema penal de investigación y juzgamiento de</w:t>
      </w:r>
      <w:r w:rsidRPr="002964A7">
        <w:rPr>
          <w:rFonts w:ascii="Verdana" w:hAnsi="Verdana"/>
          <w:spacing w:val="-2"/>
          <w:sz w:val="20"/>
          <w:szCs w:val="20"/>
        </w:rPr>
        <w:t xml:space="preserve"> </w:t>
      </w:r>
      <w:r w:rsidRPr="002964A7">
        <w:rPr>
          <w:rFonts w:ascii="Verdana" w:hAnsi="Verdana" w:cs="Arial"/>
          <w:spacing w:val="-2"/>
          <w:sz w:val="20"/>
          <w:szCs w:val="20"/>
        </w:rPr>
        <w:t>graves violaciones a los derechos humanos</w:t>
      </w:r>
      <w:r w:rsidRPr="002964A7">
        <w:rPr>
          <w:rFonts w:ascii="Verdana" w:hAnsi="Verdana"/>
          <w:spacing w:val="-2"/>
          <w:sz w:val="20"/>
          <w:szCs w:val="20"/>
        </w:rPr>
        <w:t xml:space="preserve">. Sobre esta reparación, </w:t>
      </w:r>
      <w:r w:rsidRPr="002964A7">
        <w:rPr>
          <w:rFonts w:ascii="Verdana" w:hAnsi="Verdana" w:cs="Arial"/>
          <w:spacing w:val="-2"/>
          <w:sz w:val="20"/>
          <w:szCs w:val="20"/>
        </w:rPr>
        <w:t>solicitaron</w:t>
      </w:r>
      <w:r w:rsidRPr="002964A7">
        <w:rPr>
          <w:rFonts w:ascii="Verdana" w:hAnsi="Verdana"/>
          <w:spacing w:val="-2"/>
          <w:sz w:val="20"/>
          <w:szCs w:val="20"/>
        </w:rPr>
        <w:t xml:space="preserve"> específicamente que se ordene al Estado: a) fortalecer estratégicamente las entidades públicas respectivas con el propósito de ubicar y capturar a los militares que se encuentran prófugos de la justicia peruana por caso de violaciones de derechos humanos, así como la agilización de los trámites de extradición que tengan por objeto llevar a juicio a los procesados; b) dotar de recursos humanos y logísticos necesarios al Instituto de Medicina Legal con el fin de que se agilicen los procesos de intervención, examen, identificación y entrega de los restos de las víctimas de violaciones a los derechos humanos, de manera que hechos como los de este caso “no se repitan”; c) </w:t>
      </w:r>
      <w:r w:rsidRPr="002964A7">
        <w:rPr>
          <w:rFonts w:ascii="Verdana" w:hAnsi="Verdana" w:cs="Arial"/>
          <w:spacing w:val="-2"/>
          <w:sz w:val="20"/>
          <w:szCs w:val="20"/>
        </w:rPr>
        <w:t>desarrollar las acciones urgentes que propicien un efectivo y adecuado proceso de investigación fiscal, equipando, adecuando e implementando nuevos despachos fiscales que sean parte del subsistema nacional como en Huancavelica; d) garantizar el acceso a la información y la colaboración de los Ministerios que son parte del Poder Ejecutivo con el propósito de brindar y proveer la información necesaria para el impulso y continuación de las investigaciones, como por ejemplo la relación del personal militar adscrito a las bases militares que ejecutaron operativos militares</w:t>
      </w:r>
      <w:r>
        <w:rPr>
          <w:rFonts w:ascii="Verdana" w:hAnsi="Verdana" w:cs="Arial"/>
          <w:spacing w:val="-2"/>
          <w:sz w:val="20"/>
          <w:szCs w:val="20"/>
        </w:rPr>
        <w:t>,</w:t>
      </w:r>
      <w:r w:rsidRPr="002964A7">
        <w:rPr>
          <w:rFonts w:ascii="Verdana" w:hAnsi="Verdana" w:cs="Arial"/>
          <w:spacing w:val="-2"/>
          <w:sz w:val="20"/>
          <w:szCs w:val="20"/>
        </w:rPr>
        <w:t xml:space="preserve"> y e) se designe defensores públicos del Ministerio de Justicia para los familiares de las víctimas que no cuentan con patrocinio judicial.</w:t>
      </w:r>
    </w:p>
    <w:p w:rsidR="00AB496F" w:rsidRPr="002964A7" w:rsidRDefault="00AB496F" w:rsidP="00AB496F">
      <w:pPr>
        <w:pStyle w:val="ListParagraph"/>
        <w:spacing w:after="0" w:line="240" w:lineRule="auto"/>
        <w:ind w:left="0"/>
        <w:jc w:val="both"/>
        <w:rPr>
          <w:rFonts w:ascii="Verdana" w:hAnsi="Verdana"/>
          <w:b/>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rPr>
      </w:pPr>
      <w:r w:rsidRPr="002964A7">
        <w:rPr>
          <w:rFonts w:ascii="Verdana" w:hAnsi="Verdana" w:cs="Arial"/>
          <w:spacing w:val="-2"/>
          <w:sz w:val="20"/>
          <w:szCs w:val="20"/>
        </w:rPr>
        <w:t xml:space="preserve">El </w:t>
      </w:r>
      <w:r w:rsidRPr="002964A7">
        <w:rPr>
          <w:rFonts w:ascii="Verdana" w:hAnsi="Verdana" w:cs="Arial"/>
          <w:b/>
          <w:i/>
          <w:spacing w:val="-2"/>
          <w:sz w:val="20"/>
          <w:szCs w:val="20"/>
        </w:rPr>
        <w:t>Estado</w:t>
      </w:r>
      <w:r w:rsidRPr="002964A7">
        <w:rPr>
          <w:rFonts w:ascii="Verdana" w:hAnsi="Verdana" w:cs="Arial"/>
          <w:spacing w:val="-2"/>
          <w:sz w:val="20"/>
          <w:szCs w:val="20"/>
        </w:rPr>
        <w:t xml:space="preserve"> informó que </w:t>
      </w:r>
      <w:r w:rsidRPr="002964A7">
        <w:rPr>
          <w:rFonts w:ascii="Verdana" w:hAnsi="Verdana"/>
          <w:spacing w:val="-2"/>
          <w:sz w:val="20"/>
          <w:szCs w:val="20"/>
        </w:rPr>
        <w:t xml:space="preserve">a la fecha se han tomado acciones concretas para fortalecer el sistema de investigación en materia de desaparición forzada. En tal sentido, </w:t>
      </w:r>
      <w:r w:rsidRPr="002964A7">
        <w:rPr>
          <w:rFonts w:ascii="Verdana" w:hAnsi="Verdana" w:cs="Arial"/>
          <w:spacing w:val="-2"/>
          <w:sz w:val="20"/>
          <w:szCs w:val="20"/>
        </w:rPr>
        <w:t>el Ministerio de Justicia y Derechos Humanos conjuntamente con el Instituto de Medicina Legal y representantes de la sociedad civil, se encuentran elaborando un anteproyecto de ley cuyo objetivo es regular de manera integral la política nacional de búsqueda de personas desaparecidas durante el período de violencia de 1980 al 2000, “</w:t>
      </w:r>
      <w:r w:rsidRPr="002964A7">
        <w:rPr>
          <w:rFonts w:ascii="Verdana" w:hAnsi="Verdana"/>
          <w:spacing w:val="-2"/>
          <w:sz w:val="20"/>
          <w:szCs w:val="20"/>
        </w:rPr>
        <w:t>y con ello lograr la identificación de las mismas, para que posteriormente sean entregados a sus familiares”.</w:t>
      </w:r>
      <w:r w:rsidRPr="002964A7">
        <w:rPr>
          <w:rFonts w:ascii="Verdana" w:hAnsi="Verdana"/>
          <w:b/>
          <w:spacing w:val="-2"/>
          <w:sz w:val="20"/>
          <w:szCs w:val="20"/>
        </w:rPr>
        <w:t xml:space="preserve"> </w:t>
      </w:r>
      <w:r w:rsidRPr="002964A7">
        <w:rPr>
          <w:rFonts w:ascii="Verdana" w:hAnsi="Verdana" w:cs="Arial"/>
          <w:spacing w:val="-2"/>
          <w:sz w:val="20"/>
          <w:szCs w:val="20"/>
        </w:rPr>
        <w:t xml:space="preserve">Por otra parte, el Estado señaló que ha venido realizando mejoras al interior del </w:t>
      </w:r>
      <w:r w:rsidRPr="002964A7">
        <w:rPr>
          <w:rFonts w:ascii="Verdana" w:hAnsi="Verdana"/>
          <w:spacing w:val="-2"/>
          <w:sz w:val="20"/>
          <w:szCs w:val="20"/>
        </w:rPr>
        <w:t>Equipo Forense Especializado (EFE) del Instituto de Medicina Legal y Ciencias Forenses del Ministerio Público</w:t>
      </w:r>
      <w:r w:rsidRPr="002964A7">
        <w:rPr>
          <w:rFonts w:ascii="Verdana" w:hAnsi="Verdana" w:cs="Arial"/>
          <w:spacing w:val="-2"/>
          <w:sz w:val="20"/>
          <w:szCs w:val="20"/>
        </w:rPr>
        <w:t>, “</w:t>
      </w:r>
      <w:r w:rsidRPr="002964A7">
        <w:rPr>
          <w:rFonts w:ascii="Verdana" w:hAnsi="Verdana"/>
          <w:spacing w:val="-2"/>
          <w:sz w:val="20"/>
          <w:szCs w:val="20"/>
        </w:rPr>
        <w:t xml:space="preserve">grupo encargado de realizar las búsquedas e investigaciones destinadas a ubicar a las personas desaparecidas”. En este sentido, se </w:t>
      </w:r>
      <w:r w:rsidRPr="002964A7">
        <w:rPr>
          <w:rFonts w:ascii="Verdana" w:hAnsi="Verdana" w:cs="Arial"/>
          <w:spacing w:val="-2"/>
          <w:sz w:val="20"/>
          <w:szCs w:val="20"/>
        </w:rPr>
        <w:t xml:space="preserve">incrementó el número de profesionales que conforman el EFE y se logró la </w:t>
      </w:r>
      <w:r w:rsidRPr="002964A7">
        <w:rPr>
          <w:rFonts w:ascii="Verdana" w:hAnsi="Verdana"/>
          <w:spacing w:val="-2"/>
          <w:sz w:val="20"/>
          <w:szCs w:val="20"/>
        </w:rPr>
        <w:t xml:space="preserve">especialización a través de la adaptación paulatina de las fases de intervención forense y sus procedimientos. Según el Estado, “[t]odo ello </w:t>
      </w:r>
      <w:r w:rsidRPr="002964A7">
        <w:rPr>
          <w:rFonts w:ascii="Verdana" w:hAnsi="Verdana"/>
          <w:spacing w:val="-2"/>
          <w:w w:val="104"/>
          <w:sz w:val="20"/>
          <w:szCs w:val="20"/>
        </w:rPr>
        <w:t>h</w:t>
      </w:r>
      <w:r w:rsidRPr="002964A7">
        <w:rPr>
          <w:rFonts w:ascii="Verdana" w:hAnsi="Verdana"/>
          <w:spacing w:val="-2"/>
          <w:w w:val="103"/>
          <w:sz w:val="20"/>
          <w:szCs w:val="20"/>
        </w:rPr>
        <w:t>a</w:t>
      </w:r>
      <w:r w:rsidRPr="002964A7">
        <w:rPr>
          <w:rFonts w:ascii="Verdana" w:hAnsi="Verdana"/>
          <w:spacing w:val="-2"/>
          <w:sz w:val="20"/>
          <w:szCs w:val="20"/>
        </w:rPr>
        <w:t xml:space="preserve"> permitido que en los últimos </w:t>
      </w:r>
      <w:r w:rsidRPr="002964A7">
        <w:rPr>
          <w:rFonts w:ascii="Verdana" w:hAnsi="Verdana"/>
          <w:spacing w:val="-2"/>
          <w:w w:val="99"/>
          <w:sz w:val="20"/>
          <w:szCs w:val="20"/>
        </w:rPr>
        <w:t xml:space="preserve">años </w:t>
      </w:r>
      <w:r w:rsidRPr="002964A7">
        <w:rPr>
          <w:rFonts w:ascii="Verdana" w:hAnsi="Verdana"/>
          <w:spacing w:val="-2"/>
          <w:sz w:val="20"/>
          <w:szCs w:val="20"/>
        </w:rPr>
        <w:t xml:space="preserve">se hayan realizado las investigaciones </w:t>
      </w:r>
      <w:r w:rsidRPr="002964A7">
        <w:rPr>
          <w:rFonts w:ascii="Verdana" w:hAnsi="Verdana"/>
          <w:spacing w:val="-2"/>
          <w:w w:val="103"/>
          <w:sz w:val="20"/>
          <w:szCs w:val="20"/>
        </w:rPr>
        <w:t xml:space="preserve">forenses </w:t>
      </w:r>
      <w:r w:rsidRPr="002964A7">
        <w:rPr>
          <w:rFonts w:ascii="Verdana" w:hAnsi="Verdana"/>
          <w:spacing w:val="-2"/>
          <w:sz w:val="20"/>
          <w:szCs w:val="20"/>
        </w:rPr>
        <w:t xml:space="preserve">en casos emblemáticos con muy buenos </w:t>
      </w:r>
      <w:r w:rsidRPr="002964A7">
        <w:rPr>
          <w:rFonts w:ascii="Verdana" w:hAnsi="Verdana"/>
          <w:spacing w:val="-2"/>
          <w:w w:val="102"/>
          <w:sz w:val="20"/>
          <w:szCs w:val="20"/>
        </w:rPr>
        <w:t>resultados”.</w:t>
      </w:r>
      <w:r w:rsidRPr="002964A7">
        <w:rPr>
          <w:rFonts w:ascii="Verdana" w:hAnsi="Verdana" w:cs="Arial"/>
          <w:b/>
          <w:spacing w:val="-2"/>
          <w:sz w:val="20"/>
          <w:szCs w:val="20"/>
        </w:rPr>
        <w:t xml:space="preserve"> </w:t>
      </w:r>
      <w:r w:rsidRPr="002964A7">
        <w:rPr>
          <w:rFonts w:ascii="Verdana" w:hAnsi="Verdana" w:cs="Arial"/>
          <w:spacing w:val="-2"/>
          <w:sz w:val="20"/>
          <w:szCs w:val="20"/>
        </w:rPr>
        <w:t>Al respecto, se refirió a los casos “Oreja de Perro” y “Cabitos”</w:t>
      </w:r>
      <w:r>
        <w:rPr>
          <w:rFonts w:ascii="Verdana" w:hAnsi="Verdana" w:cs="Arial"/>
          <w:spacing w:val="-2"/>
          <w:sz w:val="20"/>
          <w:szCs w:val="20"/>
        </w:rPr>
        <w:t>.</w:t>
      </w:r>
    </w:p>
    <w:p w:rsidR="00AB496F" w:rsidRPr="002964A7" w:rsidRDefault="00AB496F" w:rsidP="00AB496F">
      <w:pPr>
        <w:pStyle w:val="ListParagraph"/>
        <w:spacing w:after="0" w:line="240" w:lineRule="auto"/>
        <w:ind w:left="0"/>
        <w:jc w:val="both"/>
        <w:rPr>
          <w:rFonts w:ascii="Verdana" w:hAnsi="Verdana"/>
          <w:b/>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rPr>
      </w:pPr>
      <w:r w:rsidRPr="002964A7">
        <w:rPr>
          <w:rFonts w:ascii="Verdana" w:hAnsi="Verdana"/>
          <w:spacing w:val="-2"/>
          <w:sz w:val="20"/>
          <w:szCs w:val="20"/>
        </w:rPr>
        <w:lastRenderedPageBreak/>
        <w:t xml:space="preserve">El Estado también se refirió a las “mejoras que coadyuvan a repotenciar” el trabajo del Equipo Forense Especializado (EFE), “encargado de trabajos de investigación de violaciones de derechos humanos en el Perú durante los años del conflicto interno 1980-2000”. Sostuvo que el EFE “ha buscado concordar su trabajo con las normas y estándares internacionales”. En especial, se refirió a las siguientes: i) las establecidas por el “Manual sobre la Prevención e Investigaciones Eficaces de las Ejecuciones Extralegales, Arbitrarias o Sumarias de la Organización de Naciones Unidas” (año 1991), conocido como </w:t>
      </w:r>
      <w:r w:rsidRPr="002964A7">
        <w:rPr>
          <w:rFonts w:ascii="Verdana" w:hAnsi="Verdana" w:cs="Arial"/>
          <w:spacing w:val="-2"/>
          <w:sz w:val="20"/>
          <w:szCs w:val="20"/>
        </w:rPr>
        <w:t>Protocolo</w:t>
      </w:r>
      <w:r w:rsidRPr="002964A7">
        <w:rPr>
          <w:rFonts w:ascii="Verdana" w:hAnsi="Verdana"/>
          <w:spacing w:val="-2"/>
          <w:sz w:val="20"/>
          <w:szCs w:val="20"/>
        </w:rPr>
        <w:t xml:space="preserve"> de Minnesota; ii) el documento </w:t>
      </w:r>
      <w:r w:rsidRPr="00D80454">
        <w:rPr>
          <w:rFonts w:ascii="Verdana" w:hAnsi="Verdana"/>
          <w:i/>
          <w:iCs/>
          <w:spacing w:val="-2"/>
          <w:sz w:val="20"/>
          <w:szCs w:val="20"/>
        </w:rPr>
        <w:t>ICRC Report: The Missing and Their Families</w:t>
      </w:r>
      <w:r w:rsidRPr="002964A7">
        <w:rPr>
          <w:rFonts w:ascii="Verdana" w:hAnsi="Verdana"/>
          <w:iCs/>
          <w:spacing w:val="-2"/>
          <w:sz w:val="20"/>
          <w:szCs w:val="20"/>
        </w:rPr>
        <w:t xml:space="preserve"> (año 2003), </w:t>
      </w:r>
      <w:r w:rsidRPr="002964A7">
        <w:rPr>
          <w:rFonts w:ascii="Verdana" w:hAnsi="Verdana"/>
          <w:spacing w:val="-2"/>
          <w:sz w:val="20"/>
          <w:szCs w:val="20"/>
        </w:rPr>
        <w:t>elaborado por la Conferencia Internacional de Expertos Gubernamentales y No Gubernamentales auspiciada por el Comité Internacional de la Cruz Roja en Ginebra del</w:t>
      </w:r>
      <w:r w:rsidRPr="002964A7">
        <w:rPr>
          <w:rFonts w:ascii="Verdana" w:hAnsi="Verdana"/>
          <w:iCs/>
          <w:spacing w:val="-2"/>
          <w:sz w:val="20"/>
          <w:szCs w:val="20"/>
        </w:rPr>
        <w:t xml:space="preserve"> </w:t>
      </w:r>
      <w:r w:rsidRPr="002964A7">
        <w:rPr>
          <w:rFonts w:ascii="Verdana" w:hAnsi="Verdana"/>
          <w:spacing w:val="-2"/>
          <w:sz w:val="20"/>
          <w:szCs w:val="20"/>
        </w:rPr>
        <w:t>19 al 21 de febrero de 2003</w:t>
      </w:r>
      <w:r w:rsidRPr="002964A7">
        <w:rPr>
          <w:rFonts w:ascii="Verdana" w:hAnsi="Verdana"/>
          <w:iCs/>
          <w:spacing w:val="-2"/>
          <w:sz w:val="20"/>
          <w:szCs w:val="20"/>
        </w:rPr>
        <w:t xml:space="preserve">; iii) </w:t>
      </w:r>
      <w:r w:rsidRPr="002964A7">
        <w:rPr>
          <w:rFonts w:ascii="Verdana" w:hAnsi="Verdana"/>
          <w:spacing w:val="-2"/>
          <w:sz w:val="20"/>
          <w:szCs w:val="20"/>
        </w:rPr>
        <w:t xml:space="preserve">las recomendaciones científicas del </w:t>
      </w:r>
      <w:r w:rsidRPr="00D80454">
        <w:rPr>
          <w:rFonts w:ascii="Verdana" w:hAnsi="Verdana"/>
          <w:i/>
          <w:spacing w:val="-2"/>
          <w:sz w:val="20"/>
          <w:szCs w:val="20"/>
        </w:rPr>
        <w:t>Guidelines for International Forensic Bio-archaeology Monitors of Mass Grave Exhumations</w:t>
      </w:r>
      <w:r w:rsidRPr="002964A7">
        <w:rPr>
          <w:rFonts w:ascii="Verdana" w:hAnsi="Verdana"/>
          <w:spacing w:val="-2"/>
          <w:sz w:val="20"/>
          <w:szCs w:val="20"/>
        </w:rPr>
        <w:t xml:space="preserve"> publicada por Skinner, Alempijevic y Djuric-Srejic en </w:t>
      </w:r>
      <w:r w:rsidRPr="00D80454">
        <w:rPr>
          <w:rFonts w:ascii="Verdana" w:hAnsi="Verdana"/>
          <w:i/>
          <w:spacing w:val="-2"/>
          <w:sz w:val="20"/>
          <w:szCs w:val="20"/>
        </w:rPr>
        <w:t>Forensic Science lnternational</w:t>
      </w:r>
      <w:r w:rsidRPr="002964A7">
        <w:rPr>
          <w:rFonts w:ascii="Verdana" w:hAnsi="Verdana"/>
          <w:spacing w:val="-2"/>
          <w:sz w:val="20"/>
          <w:szCs w:val="20"/>
        </w:rPr>
        <w:t xml:space="preserve"> (2003). Además, indicó que un referente de consulta sería el Manual para la investigación eficaz ante el hallazgo de fosas con restos humanos en el Perú (año 2002), elaborado por la Defensoría del Pueblo y el Equipo Peruano de Antropología Forense. Asimismo, señaló que el EFE ha empezado a utilizar las recomendaciones del Consenso Mundial de principio</w:t>
      </w:r>
      <w:r>
        <w:rPr>
          <w:rFonts w:ascii="Verdana" w:hAnsi="Verdana"/>
          <w:spacing w:val="-2"/>
          <w:sz w:val="20"/>
          <w:szCs w:val="20"/>
        </w:rPr>
        <w:t>s</w:t>
      </w:r>
      <w:r w:rsidRPr="002964A7">
        <w:rPr>
          <w:rFonts w:ascii="Verdana" w:hAnsi="Verdana"/>
          <w:spacing w:val="-2"/>
          <w:sz w:val="20"/>
          <w:szCs w:val="20"/>
        </w:rPr>
        <w:t xml:space="preserve"> y normas mínimas sobre el trabajo psicosocial en procesos de búsqueda e investigaciones forenses para casos de desapariciones forzadas, ejecuciones arbitrarias o extrajudiciales. También, actualmente el EFE se encontraría participando en la Mesa de Trabajo sobre Búsqueda de Personas Desaparecidas (BDP) auspiciada en el Perú por el Comité Internacional de la Cruz Roja, Delegación Regional para Bolivia, Ecuador y Perú (CICR), siendo que uno de </w:t>
      </w:r>
      <w:r>
        <w:rPr>
          <w:rFonts w:ascii="Verdana" w:hAnsi="Verdana"/>
          <w:spacing w:val="-2"/>
          <w:sz w:val="20"/>
          <w:szCs w:val="20"/>
        </w:rPr>
        <w:t>sus</w:t>
      </w:r>
      <w:r w:rsidRPr="002964A7">
        <w:rPr>
          <w:rFonts w:ascii="Verdana" w:hAnsi="Verdana"/>
          <w:spacing w:val="-2"/>
          <w:sz w:val="20"/>
          <w:szCs w:val="20"/>
        </w:rPr>
        <w:t xml:space="preserve"> propósitos es llegar a un protocolo consensuado sobre los procedimientos adecuados para este tipo de trabajo. </w:t>
      </w:r>
    </w:p>
    <w:p w:rsidR="00AB496F" w:rsidRPr="002964A7" w:rsidRDefault="00AB496F" w:rsidP="00AB496F">
      <w:pPr>
        <w:pStyle w:val="ListParagraph"/>
        <w:spacing w:after="0" w:line="240" w:lineRule="auto"/>
        <w:ind w:left="0"/>
        <w:jc w:val="both"/>
        <w:rPr>
          <w:rFonts w:ascii="Verdana" w:hAnsi="Verdana"/>
          <w:spacing w:val="-2"/>
          <w:sz w:val="20"/>
          <w:szCs w:val="20"/>
        </w:rPr>
      </w:pPr>
    </w:p>
    <w:p w:rsidR="00AB496F" w:rsidRPr="002964A7" w:rsidRDefault="00AB496F" w:rsidP="00AB496F">
      <w:pPr>
        <w:pStyle w:val="ListParagraph"/>
        <w:spacing w:after="0" w:line="240" w:lineRule="auto"/>
        <w:ind w:left="0" w:firstLine="720"/>
        <w:jc w:val="both"/>
        <w:rPr>
          <w:rFonts w:ascii="Verdana" w:hAnsi="Verdana"/>
          <w:i/>
          <w:spacing w:val="-2"/>
          <w:sz w:val="20"/>
          <w:szCs w:val="20"/>
        </w:rPr>
      </w:pPr>
      <w:r w:rsidRPr="002964A7">
        <w:rPr>
          <w:rFonts w:ascii="Verdana" w:hAnsi="Verdana"/>
          <w:i/>
          <w:spacing w:val="-2"/>
          <w:sz w:val="20"/>
          <w:szCs w:val="20"/>
        </w:rPr>
        <w:t>Consideraciones de la Corte</w:t>
      </w:r>
    </w:p>
    <w:p w:rsidR="00AB496F" w:rsidRPr="002964A7" w:rsidRDefault="00AB496F" w:rsidP="00AB496F">
      <w:pPr>
        <w:pStyle w:val="ListParagraph"/>
        <w:spacing w:after="0" w:line="240" w:lineRule="auto"/>
        <w:ind w:left="0"/>
        <w:jc w:val="both"/>
        <w:rPr>
          <w:rFonts w:ascii="Verdana" w:hAnsi="Verdana"/>
          <w:i/>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La Corte valora los esfuerzos realizados por el Estado para fortalecer el sistema de investigación en materia de desaparición forzada, así como las mejoras en el Equipo Forense Especializado (EFE) del Instituto de Medicina Legal y Ciencias Forenses del Ministerio Público. Al respecto, este </w:t>
      </w:r>
      <w:r w:rsidRPr="002964A7">
        <w:rPr>
          <w:rFonts w:ascii="Verdana" w:hAnsi="Verdana" w:cs="Arial"/>
          <w:spacing w:val="-2"/>
          <w:sz w:val="20"/>
          <w:szCs w:val="20"/>
        </w:rPr>
        <w:t>Tribunal</w:t>
      </w:r>
      <w:r w:rsidRPr="002964A7">
        <w:rPr>
          <w:rFonts w:ascii="Verdana" w:hAnsi="Verdana"/>
          <w:spacing w:val="-2"/>
          <w:sz w:val="20"/>
          <w:szCs w:val="20"/>
        </w:rPr>
        <w:t xml:space="preserve"> ha realizado una evaluación sobre la prueba proporcionada por el Estado, mediante la cual consta que se inició y dio continuidad a las capacitaciones y formación de los integrantes del EFE</w:t>
      </w:r>
      <w:r w:rsidRPr="002964A7">
        <w:rPr>
          <w:rStyle w:val="FootnoteReference"/>
          <w:rFonts w:eastAsiaTheme="minorHAnsi"/>
          <w:spacing w:val="-2"/>
          <w:szCs w:val="20"/>
        </w:rPr>
        <w:footnoteReference w:id="364"/>
      </w:r>
      <w:r w:rsidRPr="002964A7">
        <w:rPr>
          <w:rFonts w:ascii="Verdana" w:hAnsi="Verdana"/>
          <w:spacing w:val="-2"/>
          <w:sz w:val="20"/>
          <w:szCs w:val="20"/>
        </w:rPr>
        <w:t>. A su vez, consta que además de diversas mesas de trabajo y estudios realizados, de manera específica se ha incorporado en el trabajo del EFE normas y estándares internacionales en la materia</w:t>
      </w:r>
      <w:r w:rsidRPr="002964A7">
        <w:rPr>
          <w:rStyle w:val="FootnoteReference"/>
          <w:rFonts w:eastAsiaTheme="minorHAnsi"/>
          <w:spacing w:val="-2"/>
          <w:szCs w:val="20"/>
        </w:rPr>
        <w:footnoteReference w:id="365"/>
      </w:r>
      <w:r w:rsidRPr="002964A7">
        <w:rPr>
          <w:rFonts w:ascii="Verdana" w:hAnsi="Verdana"/>
          <w:spacing w:val="-2"/>
          <w:sz w:val="20"/>
          <w:szCs w:val="20"/>
        </w:rPr>
        <w:t xml:space="preserve">. Este Tribunal </w:t>
      </w:r>
      <w:r w:rsidRPr="002964A7">
        <w:rPr>
          <w:rFonts w:ascii="Verdana" w:hAnsi="Verdana"/>
          <w:spacing w:val="-2"/>
          <w:sz w:val="20"/>
          <w:szCs w:val="20"/>
        </w:rPr>
        <w:lastRenderedPageBreak/>
        <w:t xml:space="preserve">constata que los esfuerzos mencionados tienen como objetivo procesar debidamente el trabajo que realiza el EFE. </w:t>
      </w:r>
    </w:p>
    <w:p w:rsidR="00AB496F" w:rsidRPr="002964A7" w:rsidRDefault="00AB496F" w:rsidP="00AB496F">
      <w:pPr>
        <w:pStyle w:val="ListParagraph"/>
        <w:rPr>
          <w:rFonts w:ascii="Verdana" w:hAnsi="Verdana"/>
          <w:spacing w:val="-2"/>
          <w:sz w:val="20"/>
          <w:szCs w:val="20"/>
        </w:rPr>
      </w:pPr>
    </w:p>
    <w:p w:rsidR="00AB496F" w:rsidRPr="00184FF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La Corte recuerda que la función de capacitación es una manera de brindar al funcionario público nuevos conocimientos, desarrollar sus capacidades, permitir su especialización en determinadas </w:t>
      </w:r>
      <w:r w:rsidRPr="002964A7">
        <w:rPr>
          <w:rFonts w:ascii="Verdana" w:hAnsi="Verdana" w:cs="Arial"/>
          <w:spacing w:val="-2"/>
          <w:sz w:val="20"/>
          <w:szCs w:val="20"/>
        </w:rPr>
        <w:t>áreas</w:t>
      </w:r>
      <w:r w:rsidRPr="002964A7">
        <w:rPr>
          <w:rFonts w:ascii="Verdana" w:hAnsi="Verdana"/>
          <w:spacing w:val="-2"/>
          <w:sz w:val="20"/>
          <w:szCs w:val="20"/>
        </w:rPr>
        <w:t xml:space="preserve"> novedosas, prepararlo para desempeñar posiciones distintas y adaptar sus capacidades para desempeñar mejor las tareas asignadas</w:t>
      </w:r>
      <w:r w:rsidRPr="002964A7">
        <w:rPr>
          <w:rStyle w:val="FootnoteReference"/>
          <w:rFonts w:eastAsiaTheme="minorHAnsi"/>
          <w:spacing w:val="-2"/>
          <w:szCs w:val="20"/>
        </w:rPr>
        <w:footnoteReference w:id="366"/>
      </w:r>
      <w:r w:rsidRPr="002964A7">
        <w:rPr>
          <w:rFonts w:ascii="Verdana" w:hAnsi="Verdana"/>
          <w:spacing w:val="-2"/>
          <w:sz w:val="20"/>
          <w:szCs w:val="20"/>
        </w:rPr>
        <w:t>. Es así que la capacitación, como sistema de formación continua, se debe extender durante un lapso importante para cumplir sus objetivos</w:t>
      </w:r>
      <w:r w:rsidRPr="002964A7">
        <w:rPr>
          <w:rStyle w:val="FootnoteReference"/>
          <w:rFonts w:eastAsiaTheme="minorHAnsi"/>
          <w:spacing w:val="-2"/>
          <w:szCs w:val="20"/>
        </w:rPr>
        <w:footnoteReference w:id="367"/>
      </w:r>
      <w:r w:rsidRPr="00B64253">
        <w:rPr>
          <w:rFonts w:ascii="Verdana" w:hAnsi="Verdana"/>
          <w:spacing w:val="-2"/>
          <w:sz w:val="20"/>
          <w:szCs w:val="20"/>
        </w:rPr>
        <w:t>.</w:t>
      </w:r>
      <w:r w:rsidRPr="00D80454">
        <w:rPr>
          <w:rFonts w:ascii="Verdana" w:eastAsia="Times New Roman" w:hAnsi="Verdana" w:cs="Times New Roman"/>
          <w:spacing w:val="-2"/>
          <w:sz w:val="20"/>
          <w:szCs w:val="20"/>
        </w:rPr>
        <w:t xml:space="preserve"> </w:t>
      </w:r>
      <w:r w:rsidRPr="00184FF7">
        <w:rPr>
          <w:rFonts w:ascii="Verdana" w:hAnsi="Verdana"/>
          <w:spacing w:val="-2"/>
          <w:sz w:val="20"/>
          <w:szCs w:val="20"/>
        </w:rPr>
        <w:t>La Corte exhorta al Estado a continuar con los esfuerzos seguidos actualmente y resalta la importancia de implementar un sistema de formación continua, lo cual no será supervisado por este Tribunal.</w:t>
      </w:r>
    </w:p>
    <w:p w:rsidR="00AB496F" w:rsidRPr="00A63741" w:rsidRDefault="00AB496F" w:rsidP="008A00BD">
      <w:pPr>
        <w:pStyle w:val="Heading3"/>
        <w:spacing w:line="240" w:lineRule="auto"/>
        <w:rPr>
          <w:i/>
          <w:spacing w:val="-2"/>
          <w:lang w:val="es-ES_tradnl"/>
        </w:rPr>
      </w:pPr>
      <w:bookmarkStart w:id="273" w:name="_Toc433387534"/>
      <w:r w:rsidRPr="00A63741">
        <w:rPr>
          <w:lang w:bidi="en-US"/>
        </w:rPr>
        <w:t>C.4.2.</w:t>
      </w:r>
      <w:r w:rsidRPr="00A63741">
        <w:rPr>
          <w:spacing w:val="-2"/>
          <w:lang w:val="es-ES_tradnl"/>
        </w:rPr>
        <w:t xml:space="preserve"> </w:t>
      </w:r>
      <w:r w:rsidRPr="00A63741">
        <w:rPr>
          <w:lang w:bidi="en-US"/>
        </w:rPr>
        <w:t>Adopción de una estrategia nacional de búsqueda y determinación del paradero de personas desaparecidas en el conflicto armado en el Perú</w:t>
      </w:r>
      <w:bookmarkEnd w:id="273"/>
    </w:p>
    <w:p w:rsidR="00AB496F" w:rsidRPr="00060421" w:rsidRDefault="00AB496F" w:rsidP="00AB496F">
      <w:pPr>
        <w:autoSpaceDE w:val="0"/>
        <w:autoSpaceDN w:val="0"/>
        <w:adjustRightInd w:val="0"/>
        <w:spacing w:after="0" w:line="240" w:lineRule="auto"/>
        <w:jc w:val="both"/>
        <w:rPr>
          <w:rFonts w:ascii="Verdana" w:hAnsi="Verdana" w:cs="Arial"/>
          <w:spacing w:val="-2"/>
          <w:sz w:val="16"/>
          <w:szCs w:val="20"/>
        </w:rPr>
      </w:pPr>
    </w:p>
    <w:p w:rsidR="00AB496F" w:rsidRPr="00A63741" w:rsidRDefault="00AB496F" w:rsidP="00AB496F">
      <w:pPr>
        <w:pStyle w:val="ListParagraph"/>
        <w:widowControl w:val="0"/>
        <w:tabs>
          <w:tab w:val="left" w:pos="90"/>
          <w:tab w:val="left" w:pos="720"/>
        </w:tabs>
        <w:suppressAutoHyphens/>
        <w:autoSpaceDE w:val="0"/>
        <w:spacing w:after="0" w:line="240" w:lineRule="auto"/>
        <w:ind w:right="-121"/>
        <w:contextualSpacing w:val="0"/>
        <w:jc w:val="both"/>
        <w:rPr>
          <w:rFonts w:ascii="Verdana" w:hAnsi="Verdana" w:cs="Verdana-Italic"/>
          <w:i/>
          <w:iCs/>
          <w:spacing w:val="-2"/>
          <w:sz w:val="20"/>
          <w:szCs w:val="20"/>
          <w:lang w:bidi="en-US"/>
        </w:rPr>
      </w:pPr>
      <w:r w:rsidRPr="00A63741">
        <w:rPr>
          <w:rFonts w:ascii="Verdana" w:hAnsi="Verdana" w:cs="Verdana-Italic"/>
          <w:i/>
          <w:iCs/>
          <w:spacing w:val="-2"/>
          <w:sz w:val="20"/>
          <w:szCs w:val="20"/>
          <w:lang w:bidi="en-US"/>
        </w:rPr>
        <w:t xml:space="preserve">Argumentos de las partes </w:t>
      </w:r>
    </w:p>
    <w:p w:rsidR="00AB496F" w:rsidRPr="00060421" w:rsidRDefault="00AB496F" w:rsidP="00AB496F">
      <w:pPr>
        <w:autoSpaceDE w:val="0"/>
        <w:autoSpaceDN w:val="0"/>
        <w:adjustRightInd w:val="0"/>
        <w:spacing w:after="0" w:line="240" w:lineRule="auto"/>
        <w:jc w:val="both"/>
        <w:rPr>
          <w:rFonts w:ascii="Verdana" w:hAnsi="Verdana" w:cs="Arial"/>
          <w:spacing w:val="-2"/>
          <w:sz w:val="16"/>
          <w:szCs w:val="20"/>
        </w:rPr>
      </w:pPr>
    </w:p>
    <w:p w:rsidR="00AB496F" w:rsidRPr="002A52AC"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rPr>
      </w:pPr>
      <w:r w:rsidRPr="00A63741">
        <w:rPr>
          <w:rFonts w:ascii="Verdana" w:hAnsi="Verdana" w:cs="Arial"/>
          <w:spacing w:val="-2"/>
          <w:sz w:val="20"/>
          <w:szCs w:val="20"/>
        </w:rPr>
        <w:t xml:space="preserve">La </w:t>
      </w:r>
      <w:r w:rsidRPr="00A63741">
        <w:rPr>
          <w:rFonts w:ascii="Verdana" w:hAnsi="Verdana" w:cs="Arial"/>
          <w:b/>
          <w:i/>
          <w:spacing w:val="-2"/>
          <w:sz w:val="20"/>
          <w:szCs w:val="20"/>
        </w:rPr>
        <w:t>Comisión</w:t>
      </w:r>
      <w:r w:rsidRPr="00A63741">
        <w:rPr>
          <w:rFonts w:ascii="Verdana" w:hAnsi="Verdana" w:cs="Arial"/>
          <w:spacing w:val="-2"/>
          <w:sz w:val="20"/>
          <w:szCs w:val="20"/>
        </w:rPr>
        <w:t xml:space="preserve"> </w:t>
      </w:r>
      <w:r w:rsidRPr="00A63741">
        <w:rPr>
          <w:rFonts w:ascii="Verdana" w:hAnsi="Verdana" w:cs="Verdana-Italic"/>
          <w:iCs/>
          <w:spacing w:val="-2"/>
          <w:sz w:val="20"/>
          <w:szCs w:val="20"/>
          <w:lang w:bidi="en-US"/>
        </w:rPr>
        <w:t xml:space="preserve">no se refirió a este punto. </w:t>
      </w:r>
      <w:r w:rsidRPr="00A63741">
        <w:rPr>
          <w:rFonts w:ascii="Verdana" w:hAnsi="Verdana" w:cs="Arial"/>
          <w:spacing w:val="-2"/>
          <w:sz w:val="20"/>
          <w:szCs w:val="20"/>
        </w:rPr>
        <w:t xml:space="preserve">Los </w:t>
      </w:r>
      <w:r w:rsidRPr="00A63741">
        <w:rPr>
          <w:rFonts w:ascii="Verdana" w:hAnsi="Verdana" w:cs="Arial"/>
          <w:b/>
          <w:i/>
          <w:spacing w:val="-2"/>
          <w:sz w:val="20"/>
          <w:szCs w:val="20"/>
        </w:rPr>
        <w:t>representantes</w:t>
      </w:r>
      <w:r w:rsidRPr="00A63741">
        <w:rPr>
          <w:rFonts w:ascii="Verdana" w:hAnsi="Verdana" w:cs="Arial"/>
          <w:spacing w:val="-2"/>
          <w:sz w:val="20"/>
          <w:szCs w:val="20"/>
        </w:rPr>
        <w:t xml:space="preserve"> solicitaron a </w:t>
      </w:r>
      <w:r w:rsidRPr="00A63741">
        <w:rPr>
          <w:rFonts w:ascii="Verdana" w:hAnsi="Verdana" w:cs="Verdana-Italic"/>
          <w:iCs/>
          <w:spacing w:val="-2"/>
          <w:sz w:val="20"/>
          <w:szCs w:val="20"/>
          <w:lang w:bidi="en-US"/>
        </w:rPr>
        <w:t xml:space="preserve">la </w:t>
      </w:r>
      <w:r w:rsidRPr="00A63741">
        <w:rPr>
          <w:rFonts w:ascii="Verdana" w:hAnsi="Verdana" w:cs="Arial"/>
          <w:spacing w:val="-2"/>
          <w:sz w:val="20"/>
          <w:szCs w:val="20"/>
        </w:rPr>
        <w:t>Corte que ordene al Estado a emplear todas las medidas a su alcance para establecer el destino o paradero de todas las víctimas que fueron desaparecidas durante el conflicto peruano, o sus restos mortales, según fuera el caso. Recordaron además que “[l]a determinación de</w:t>
      </w:r>
      <w:r w:rsidRPr="002A52AC">
        <w:rPr>
          <w:rFonts w:ascii="Verdana" w:hAnsi="Verdana" w:cs="Arial"/>
          <w:spacing w:val="-2"/>
          <w:sz w:val="20"/>
          <w:szCs w:val="20"/>
        </w:rPr>
        <w:t xml:space="preserve"> las personas desaparecidas y la identificación de sus restos sigue siendo una necesidad imperante en Perú”. Al respecto, </w:t>
      </w:r>
      <w:r w:rsidRPr="002A52AC">
        <w:rPr>
          <w:rFonts w:ascii="Verdana" w:hAnsi="Verdana" w:cs="Verdana-Italic"/>
          <w:iCs/>
          <w:spacing w:val="-2"/>
          <w:sz w:val="20"/>
          <w:szCs w:val="20"/>
          <w:lang w:bidi="en-US"/>
        </w:rPr>
        <w:t xml:space="preserve">solicitaron que el Tribunal </w:t>
      </w:r>
      <w:r w:rsidRPr="002A52AC">
        <w:rPr>
          <w:rFonts w:ascii="Verdana" w:hAnsi="Verdana" w:cs="Arial"/>
          <w:spacing w:val="-2"/>
          <w:sz w:val="20"/>
          <w:szCs w:val="20"/>
        </w:rPr>
        <w:t xml:space="preserve">reitere al Estado la obligación de adoptar medidas en este sentido, tal como lo hizo en el caso </w:t>
      </w:r>
      <w:r w:rsidRPr="002A52AC">
        <w:rPr>
          <w:rFonts w:ascii="Verdana" w:hAnsi="Verdana" w:cs="Arial"/>
          <w:i/>
          <w:spacing w:val="-2"/>
          <w:sz w:val="20"/>
          <w:szCs w:val="20"/>
        </w:rPr>
        <w:t>Anzualdo Castro</w:t>
      </w:r>
      <w:r w:rsidRPr="002A52AC">
        <w:rPr>
          <w:rFonts w:ascii="Verdana" w:hAnsi="Verdana" w:cs="Arial"/>
          <w:spacing w:val="-2"/>
          <w:sz w:val="20"/>
          <w:szCs w:val="20"/>
        </w:rPr>
        <w:t xml:space="preserve">. </w:t>
      </w:r>
      <w:r>
        <w:rPr>
          <w:rFonts w:ascii="Verdana" w:hAnsi="Verdana" w:cs="Arial"/>
          <w:spacing w:val="-2"/>
          <w:sz w:val="20"/>
          <w:szCs w:val="20"/>
        </w:rPr>
        <w:t>T</w:t>
      </w:r>
      <w:r w:rsidRPr="002A52AC">
        <w:rPr>
          <w:rFonts w:ascii="Verdana" w:hAnsi="Verdana" w:cs="Arial"/>
          <w:spacing w:val="-2"/>
          <w:sz w:val="20"/>
          <w:szCs w:val="20"/>
        </w:rPr>
        <w:t>ambién solicitaron que</w:t>
      </w:r>
      <w:r>
        <w:rPr>
          <w:rFonts w:ascii="Verdana" w:hAnsi="Verdana" w:cs="Arial"/>
          <w:spacing w:val="-2"/>
          <w:sz w:val="20"/>
          <w:szCs w:val="20"/>
        </w:rPr>
        <w:t>, e</w:t>
      </w:r>
      <w:r w:rsidRPr="002A52AC">
        <w:rPr>
          <w:rFonts w:ascii="Verdana" w:hAnsi="Verdana" w:cs="Arial"/>
          <w:spacing w:val="-2"/>
          <w:sz w:val="20"/>
          <w:szCs w:val="20"/>
        </w:rPr>
        <w:t xml:space="preserve">n el evento que se encuentren los restos mortales, se ordene al Estado entregarlos a sus familiares a la mayor brevedad posible y sin costo alguno, así como cubrir los gastos funerarios. El </w:t>
      </w:r>
      <w:r w:rsidRPr="002A52AC">
        <w:rPr>
          <w:rFonts w:ascii="Verdana" w:hAnsi="Verdana" w:cs="Arial"/>
          <w:b/>
          <w:i/>
          <w:spacing w:val="-2"/>
          <w:sz w:val="20"/>
          <w:szCs w:val="20"/>
        </w:rPr>
        <w:t>Estado</w:t>
      </w:r>
      <w:r w:rsidRPr="002A52AC">
        <w:rPr>
          <w:rFonts w:ascii="Verdana" w:hAnsi="Verdana" w:cs="Arial"/>
          <w:spacing w:val="-2"/>
          <w:sz w:val="20"/>
          <w:szCs w:val="20"/>
        </w:rPr>
        <w:t xml:space="preserve"> informó que </w:t>
      </w:r>
      <w:r w:rsidRPr="002A52AC">
        <w:rPr>
          <w:rFonts w:ascii="Verdana" w:hAnsi="Verdana"/>
          <w:spacing w:val="-2"/>
          <w:sz w:val="20"/>
          <w:szCs w:val="20"/>
        </w:rPr>
        <w:t xml:space="preserve">a la fecha se han tomado acciones concretas para fortalecer el sistema de investigación en materia de desaparición forzada. En tal sentido, </w:t>
      </w:r>
      <w:r w:rsidRPr="002A52AC">
        <w:rPr>
          <w:rFonts w:ascii="Verdana" w:hAnsi="Verdana" w:cs="Arial"/>
          <w:spacing w:val="-2"/>
          <w:sz w:val="20"/>
          <w:szCs w:val="20"/>
        </w:rPr>
        <w:t>el Ministerio de Justicia y Derechos Humanos conjuntamente con el Instituto de Medicina Legal y representantes de la sociedad civil, se encuentran elaborando un anteproyecto de ley cuyo objetivo es regular de manera integral la política nacional de búsqueda de personas desaparecidas durante el período de violencia de 1980 al 2000, “</w:t>
      </w:r>
      <w:r w:rsidRPr="002A52AC">
        <w:rPr>
          <w:rFonts w:ascii="Verdana" w:hAnsi="Verdana"/>
          <w:spacing w:val="-2"/>
          <w:sz w:val="20"/>
          <w:szCs w:val="20"/>
        </w:rPr>
        <w:t>y con ello lograr la identificación de las mismas, para que posteriormente sean entregados a sus familiares”.</w:t>
      </w:r>
      <w:r w:rsidRPr="002A52AC">
        <w:rPr>
          <w:rFonts w:ascii="Verdana" w:hAnsi="Verdana"/>
          <w:b/>
          <w:spacing w:val="-2"/>
          <w:sz w:val="20"/>
          <w:szCs w:val="20"/>
        </w:rPr>
        <w:t xml:space="preserve"> </w:t>
      </w:r>
      <w:r w:rsidRPr="002A52AC">
        <w:rPr>
          <w:rFonts w:ascii="Verdana" w:hAnsi="Verdana" w:cs="Arial"/>
          <w:spacing w:val="-2"/>
          <w:sz w:val="20"/>
          <w:szCs w:val="20"/>
        </w:rPr>
        <w:t xml:space="preserve">Además, el Estado señaló que ha venido realizando mejoras al interior del </w:t>
      </w:r>
      <w:r w:rsidRPr="002A52AC">
        <w:rPr>
          <w:rFonts w:ascii="Verdana" w:hAnsi="Verdana"/>
          <w:spacing w:val="-2"/>
          <w:sz w:val="20"/>
          <w:szCs w:val="20"/>
        </w:rPr>
        <w:t>Equipo Forense Especializado (EFE) del Instituto de Medicina Legal y Ciencias Forenses del Ministerio Público</w:t>
      </w:r>
      <w:r w:rsidRPr="002A52AC">
        <w:rPr>
          <w:rFonts w:ascii="Verdana" w:hAnsi="Verdana" w:cs="Arial"/>
          <w:spacing w:val="-2"/>
          <w:sz w:val="20"/>
          <w:szCs w:val="20"/>
        </w:rPr>
        <w:t>, “</w:t>
      </w:r>
      <w:r w:rsidRPr="002A52AC">
        <w:rPr>
          <w:rFonts w:ascii="Verdana" w:hAnsi="Verdana"/>
          <w:spacing w:val="-2"/>
          <w:sz w:val="20"/>
          <w:szCs w:val="20"/>
        </w:rPr>
        <w:t xml:space="preserve">grupo encargado de realizar las búsquedas e investigaciones destinadas a ubicar a las personas desaparecidas” y “de investigación de violaciones de derechos humanos en el Perú durante los años del conflicto interno 1980-2000”. Al respecto, se refirió con detalle a dichas mejoras, tal y como se ha indicado en los párrafos </w:t>
      </w:r>
      <w:r>
        <w:rPr>
          <w:rFonts w:ascii="Verdana" w:hAnsi="Verdana"/>
          <w:spacing w:val="-2"/>
          <w:sz w:val="20"/>
          <w:szCs w:val="20"/>
        </w:rPr>
        <w:t>312 y 313</w:t>
      </w:r>
      <w:r w:rsidRPr="002A52AC">
        <w:rPr>
          <w:rFonts w:ascii="Verdana" w:hAnsi="Verdana"/>
          <w:spacing w:val="-2"/>
          <w:sz w:val="20"/>
          <w:szCs w:val="20"/>
        </w:rPr>
        <w:t xml:space="preserve"> de </w:t>
      </w:r>
      <w:r>
        <w:rPr>
          <w:rFonts w:ascii="Verdana" w:hAnsi="Verdana"/>
          <w:spacing w:val="-2"/>
          <w:sz w:val="20"/>
          <w:szCs w:val="20"/>
        </w:rPr>
        <w:t>esta</w:t>
      </w:r>
      <w:r w:rsidRPr="002A52AC">
        <w:rPr>
          <w:rFonts w:ascii="Verdana" w:hAnsi="Verdana"/>
          <w:spacing w:val="-2"/>
          <w:sz w:val="20"/>
          <w:szCs w:val="20"/>
        </w:rPr>
        <w:t xml:space="preserve"> Sentencia.</w:t>
      </w:r>
      <w:r w:rsidRPr="002A52AC">
        <w:rPr>
          <w:rFonts w:ascii="Verdana" w:hAnsi="Verdana"/>
          <w:b/>
          <w:spacing w:val="-2"/>
          <w:sz w:val="20"/>
          <w:szCs w:val="20"/>
        </w:rPr>
        <w:t xml:space="preserve"> </w:t>
      </w:r>
    </w:p>
    <w:p w:rsidR="00AB496F" w:rsidRPr="002A52AC" w:rsidRDefault="00AB496F" w:rsidP="00AB496F">
      <w:pPr>
        <w:widowControl w:val="0"/>
        <w:tabs>
          <w:tab w:val="left" w:pos="90"/>
          <w:tab w:val="left" w:pos="567"/>
        </w:tabs>
        <w:suppressAutoHyphens/>
        <w:autoSpaceDE w:val="0"/>
        <w:spacing w:after="0" w:line="240" w:lineRule="auto"/>
        <w:ind w:right="-121"/>
        <w:jc w:val="both"/>
        <w:rPr>
          <w:rFonts w:ascii="Verdana" w:hAnsi="Verdana" w:cs="Verdana-Italic"/>
          <w:iCs/>
          <w:spacing w:val="-2"/>
          <w:sz w:val="20"/>
          <w:szCs w:val="20"/>
          <w:lang w:bidi="en-US"/>
        </w:rPr>
      </w:pPr>
    </w:p>
    <w:p w:rsidR="00AB496F" w:rsidRPr="002A52AC" w:rsidRDefault="00AB496F" w:rsidP="00AB496F">
      <w:pPr>
        <w:pStyle w:val="ListParagraph"/>
        <w:widowControl w:val="0"/>
        <w:tabs>
          <w:tab w:val="left" w:pos="720"/>
        </w:tabs>
        <w:suppressAutoHyphens/>
        <w:autoSpaceDE w:val="0"/>
        <w:spacing w:after="0" w:line="240" w:lineRule="auto"/>
        <w:ind w:left="0" w:right="-121"/>
        <w:contextualSpacing w:val="0"/>
        <w:jc w:val="both"/>
        <w:rPr>
          <w:rFonts w:ascii="Verdana" w:hAnsi="Verdana" w:cs="Verdana-Italic"/>
          <w:i/>
          <w:iCs/>
          <w:spacing w:val="-2"/>
          <w:sz w:val="20"/>
          <w:szCs w:val="20"/>
          <w:lang w:bidi="en-US"/>
        </w:rPr>
      </w:pPr>
      <w:r w:rsidRPr="002A52AC">
        <w:rPr>
          <w:rFonts w:ascii="Verdana" w:hAnsi="Verdana" w:cs="Verdana-Italic"/>
          <w:i/>
          <w:iCs/>
          <w:spacing w:val="-2"/>
          <w:sz w:val="20"/>
          <w:szCs w:val="20"/>
          <w:lang w:bidi="en-US"/>
        </w:rPr>
        <w:tab/>
        <w:t>Consideraciones de la Corte</w:t>
      </w:r>
    </w:p>
    <w:p w:rsidR="00AB496F" w:rsidRPr="002A52AC" w:rsidRDefault="00AB496F" w:rsidP="00AB496F">
      <w:pPr>
        <w:pStyle w:val="ListParagraph"/>
        <w:widowControl w:val="0"/>
        <w:tabs>
          <w:tab w:val="left" w:pos="90"/>
          <w:tab w:val="left" w:pos="567"/>
        </w:tabs>
        <w:suppressAutoHyphens/>
        <w:autoSpaceDE w:val="0"/>
        <w:spacing w:after="0" w:line="240" w:lineRule="auto"/>
        <w:ind w:left="0" w:right="-121"/>
        <w:contextualSpacing w:val="0"/>
        <w:jc w:val="both"/>
        <w:rPr>
          <w:rFonts w:ascii="Verdana" w:hAnsi="Verdana" w:cs="Verdana-Italic"/>
          <w:iCs/>
          <w:spacing w:val="-2"/>
          <w:sz w:val="20"/>
          <w:szCs w:val="20"/>
          <w:lang w:bidi="en-US"/>
        </w:rPr>
      </w:pPr>
    </w:p>
    <w:p w:rsidR="00AB496F" w:rsidRPr="00C56634"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z w:val="20"/>
          <w:szCs w:val="20"/>
        </w:rPr>
      </w:pPr>
      <w:r w:rsidRPr="00C56634">
        <w:rPr>
          <w:rFonts w:ascii="Verdana" w:hAnsi="Verdana"/>
          <w:spacing w:val="-2"/>
          <w:sz w:val="20"/>
          <w:szCs w:val="20"/>
        </w:rPr>
        <w:t xml:space="preserve">La Corte concluyó en la Sentencia que </w:t>
      </w:r>
      <w:r w:rsidRPr="00C56634">
        <w:rPr>
          <w:rFonts w:ascii="Verdana" w:hAnsi="Verdana"/>
          <w:sz w:val="20"/>
          <w:szCs w:val="20"/>
        </w:rPr>
        <w:t xml:space="preserve">en </w:t>
      </w:r>
      <w:r>
        <w:rPr>
          <w:rFonts w:ascii="Verdana" w:hAnsi="Verdana"/>
          <w:sz w:val="20"/>
          <w:szCs w:val="20"/>
        </w:rPr>
        <w:t>este</w:t>
      </w:r>
      <w:r w:rsidRPr="00C56634">
        <w:rPr>
          <w:rFonts w:ascii="Verdana" w:hAnsi="Verdana"/>
          <w:sz w:val="20"/>
          <w:szCs w:val="20"/>
        </w:rPr>
        <w:t xml:space="preserve"> caso</w:t>
      </w:r>
      <w:r w:rsidRPr="00C56634">
        <w:rPr>
          <w:rFonts w:ascii="Verdana" w:hAnsi="Verdana"/>
          <w:spacing w:val="-2"/>
          <w:sz w:val="20"/>
          <w:szCs w:val="20"/>
        </w:rPr>
        <w:t xml:space="preserve"> </w:t>
      </w:r>
      <w:r w:rsidRPr="00C56634">
        <w:rPr>
          <w:rFonts w:ascii="Verdana" w:hAnsi="Verdana"/>
          <w:sz w:val="20"/>
          <w:szCs w:val="20"/>
          <w:lang w:eastAsia="es-CR"/>
        </w:rPr>
        <w:t xml:space="preserve">la </w:t>
      </w:r>
      <w:r w:rsidRPr="00C56634">
        <w:rPr>
          <w:rFonts w:ascii="Verdana" w:hAnsi="Verdana"/>
          <w:sz w:val="20"/>
          <w:szCs w:val="20"/>
        </w:rPr>
        <w:t xml:space="preserve">investigación forense en la búsqueda, recuperación, análisis y eventual identificación de restos humanos </w:t>
      </w:r>
      <w:r w:rsidRPr="00C56634">
        <w:rPr>
          <w:rFonts w:ascii="Verdana" w:hAnsi="Verdana"/>
          <w:sz w:val="20"/>
          <w:szCs w:val="20"/>
          <w:lang w:val="es-PR"/>
        </w:rPr>
        <w:t>se ha caracterizado por una clara</w:t>
      </w:r>
      <w:r w:rsidRPr="00C56634">
        <w:rPr>
          <w:rFonts w:ascii="Verdana" w:hAnsi="Verdana" w:cs="Verdana"/>
          <w:sz w:val="20"/>
          <w:szCs w:val="20"/>
          <w:lang w:val="es-ES"/>
        </w:rPr>
        <w:t xml:space="preserve"> </w:t>
      </w:r>
      <w:r w:rsidRPr="00C56634">
        <w:rPr>
          <w:rFonts w:ascii="Verdana" w:hAnsi="Verdana" w:cs="Arial"/>
          <w:sz w:val="20"/>
          <w:szCs w:val="20"/>
          <w:lang w:eastAsia="es-CR"/>
        </w:rPr>
        <w:t xml:space="preserve">falta de </w:t>
      </w:r>
      <w:r w:rsidRPr="00C56634">
        <w:rPr>
          <w:rFonts w:ascii="Verdana" w:hAnsi="Verdana"/>
          <w:sz w:val="20"/>
          <w:szCs w:val="20"/>
          <w:lang w:eastAsia="es-CR"/>
        </w:rPr>
        <w:t>seriedad y debida diligencia,</w:t>
      </w:r>
      <w:r w:rsidRPr="00C56634">
        <w:rPr>
          <w:rFonts w:ascii="Verdana" w:hAnsi="Verdana" w:cs="Arial"/>
          <w:sz w:val="20"/>
          <w:szCs w:val="20"/>
          <w:lang w:eastAsia="es-CR"/>
        </w:rPr>
        <w:t xml:space="preserve"> especialmente grave, </w:t>
      </w:r>
      <w:r w:rsidRPr="00C56634">
        <w:rPr>
          <w:rFonts w:ascii="Verdana" w:hAnsi="Verdana"/>
          <w:sz w:val="20"/>
          <w:szCs w:val="20"/>
          <w:lang w:eastAsia="es-CR"/>
        </w:rPr>
        <w:t xml:space="preserve">que se ha prolongado en el tiempo </w:t>
      </w:r>
      <w:r w:rsidRPr="00C56634">
        <w:rPr>
          <w:rFonts w:ascii="Verdana" w:hAnsi="Verdana" w:cs="Arial"/>
          <w:sz w:val="20"/>
          <w:szCs w:val="20"/>
        </w:rPr>
        <w:t>hasta el día de hoy (</w:t>
      </w:r>
      <w:r w:rsidRPr="00C56634">
        <w:rPr>
          <w:rFonts w:ascii="Verdana" w:hAnsi="Verdana" w:cs="Arial"/>
          <w:i/>
          <w:sz w:val="20"/>
          <w:szCs w:val="20"/>
        </w:rPr>
        <w:t>supra</w:t>
      </w:r>
      <w:r w:rsidRPr="00C56634">
        <w:rPr>
          <w:rFonts w:ascii="Verdana" w:hAnsi="Verdana" w:cs="Arial"/>
          <w:sz w:val="20"/>
          <w:szCs w:val="20"/>
        </w:rPr>
        <w:t xml:space="preserve"> párr. </w:t>
      </w:r>
      <w:r>
        <w:rPr>
          <w:rFonts w:ascii="Verdana" w:hAnsi="Verdana" w:cs="Arial"/>
          <w:sz w:val="20"/>
          <w:szCs w:val="20"/>
        </w:rPr>
        <w:t>183</w:t>
      </w:r>
      <w:r w:rsidRPr="00C56634">
        <w:rPr>
          <w:rFonts w:ascii="Verdana" w:hAnsi="Verdana" w:cs="Arial"/>
          <w:sz w:val="20"/>
          <w:szCs w:val="20"/>
        </w:rPr>
        <w:t>)</w:t>
      </w:r>
      <w:r w:rsidRPr="00C56634">
        <w:rPr>
          <w:rFonts w:ascii="Verdana" w:hAnsi="Verdana" w:cs="Arial"/>
          <w:sz w:val="20"/>
          <w:szCs w:val="20"/>
          <w:lang w:eastAsia="es-CR"/>
        </w:rPr>
        <w:t xml:space="preserve">. Al respecto, </w:t>
      </w:r>
      <w:r>
        <w:rPr>
          <w:rFonts w:ascii="Verdana" w:hAnsi="Verdana"/>
          <w:sz w:val="20"/>
          <w:szCs w:val="20"/>
        </w:rPr>
        <w:t>el</w:t>
      </w:r>
      <w:r w:rsidRPr="00C56634">
        <w:rPr>
          <w:rFonts w:ascii="Verdana" w:hAnsi="Verdana" w:cs="Arial"/>
          <w:sz w:val="20"/>
          <w:szCs w:val="20"/>
          <w:lang w:eastAsia="es-CR"/>
        </w:rPr>
        <w:t xml:space="preserve"> Tribunal</w:t>
      </w:r>
      <w:r w:rsidRPr="00C56634">
        <w:rPr>
          <w:rFonts w:ascii="Verdana" w:hAnsi="Verdana"/>
          <w:sz w:val="20"/>
          <w:szCs w:val="20"/>
        </w:rPr>
        <w:t xml:space="preserve"> observa que los hechos de este caso se enmarcaron en el contexto del conflicto armado en el Perú,</w:t>
      </w:r>
      <w:r w:rsidRPr="00C56634">
        <w:rPr>
          <w:rFonts w:ascii="Verdana" w:hAnsi="Verdana" w:cs="Arial"/>
          <w:spacing w:val="-2"/>
          <w:sz w:val="20"/>
          <w:szCs w:val="20"/>
          <w:lang w:val="es-GT"/>
        </w:rPr>
        <w:t xml:space="preserve"> </w:t>
      </w:r>
      <w:r w:rsidRPr="00C56634">
        <w:rPr>
          <w:rFonts w:ascii="Verdana" w:hAnsi="Verdana"/>
          <w:sz w:val="20"/>
          <w:szCs w:val="20"/>
        </w:rPr>
        <w:t xml:space="preserve">que hay una falta de acuerdo respecto del número de desapariciones forzadas acontecidas durante el mismo, y que el porcentaje de víctimas hasta ahora identificadas es muy bajo en comparación con las cifras totales que aportan entidades </w:t>
      </w:r>
      <w:r w:rsidRPr="00C56634">
        <w:rPr>
          <w:rFonts w:ascii="Verdana" w:hAnsi="Verdana"/>
          <w:sz w:val="20"/>
          <w:szCs w:val="20"/>
        </w:rPr>
        <w:lastRenderedPageBreak/>
        <w:t>como la CVR</w:t>
      </w:r>
      <w:r w:rsidRPr="00C56634">
        <w:rPr>
          <w:rStyle w:val="FootnoteReference"/>
          <w:rFonts w:eastAsiaTheme="minorHAnsi"/>
        </w:rPr>
        <w:footnoteReference w:id="368"/>
      </w:r>
      <w:r w:rsidRPr="00C56634">
        <w:rPr>
          <w:rFonts w:ascii="Verdana" w:hAnsi="Verdana"/>
          <w:sz w:val="20"/>
          <w:szCs w:val="20"/>
        </w:rPr>
        <w:t xml:space="preserve">. En este punto, </w:t>
      </w:r>
      <w:r w:rsidRPr="00C56634">
        <w:rPr>
          <w:rFonts w:ascii="Verdana" w:hAnsi="Verdana" w:cs="Helvetica"/>
          <w:sz w:val="20"/>
          <w:szCs w:val="20"/>
          <w:lang w:bidi="en-US"/>
        </w:rPr>
        <w:t xml:space="preserve">la Corte recuerda que </w:t>
      </w:r>
      <w:r w:rsidRPr="00C56634">
        <w:rPr>
          <w:rFonts w:ascii="Verdana" w:hAnsi="Verdana"/>
          <w:sz w:val="20"/>
          <w:szCs w:val="20"/>
        </w:rPr>
        <w:t xml:space="preserve">la investigación y judicialización penal no es incompatible con la adopción de diferentes mecanismos adecuados y efectivos para localizar el paradero de las personas desaparecidas </w:t>
      </w:r>
      <w:r w:rsidRPr="00C56634">
        <w:rPr>
          <w:rFonts w:ascii="Verdana" w:hAnsi="Verdana" w:cs="Times"/>
          <w:sz w:val="20"/>
          <w:szCs w:val="20"/>
          <w:lang w:eastAsia="es-CR"/>
        </w:rPr>
        <w:t>o localizar sus restos de modo que se determine con certeza su identidad</w:t>
      </w:r>
      <w:r w:rsidRPr="00C56634">
        <w:rPr>
          <w:rFonts w:ascii="Verdana" w:hAnsi="Verdana"/>
          <w:sz w:val="20"/>
          <w:szCs w:val="20"/>
          <w:lang w:bidi="en-US"/>
        </w:rPr>
        <w:t xml:space="preserve">, por lo que ambas medidas </w:t>
      </w:r>
      <w:r w:rsidRPr="00C56634">
        <w:rPr>
          <w:rFonts w:ascii="Verdana" w:hAnsi="Verdana" w:cs="Arial"/>
          <w:sz w:val="20"/>
          <w:szCs w:val="20"/>
        </w:rPr>
        <w:t>pueden complementarse mutuamente</w:t>
      </w:r>
      <w:r w:rsidRPr="00C56634">
        <w:rPr>
          <w:rStyle w:val="FootnoteReference"/>
          <w:rFonts w:eastAsiaTheme="minorHAnsi"/>
        </w:rPr>
        <w:footnoteReference w:id="369"/>
      </w:r>
      <w:r w:rsidRPr="00C56634">
        <w:rPr>
          <w:rFonts w:ascii="Verdana" w:hAnsi="Verdana"/>
          <w:sz w:val="20"/>
          <w:szCs w:val="20"/>
          <w:lang w:val="es-ES"/>
        </w:rPr>
        <w:t xml:space="preserve">. </w:t>
      </w:r>
    </w:p>
    <w:p w:rsidR="00AB496F" w:rsidRPr="001645C6" w:rsidRDefault="00AB496F" w:rsidP="00AB496F">
      <w:pPr>
        <w:pStyle w:val="ListParagraph"/>
        <w:autoSpaceDE w:val="0"/>
        <w:autoSpaceDN w:val="0"/>
        <w:adjustRightInd w:val="0"/>
        <w:spacing w:after="0" w:line="240" w:lineRule="auto"/>
        <w:ind w:left="0"/>
        <w:jc w:val="both"/>
        <w:rPr>
          <w:rFonts w:ascii="Verdana" w:hAnsi="Verdana"/>
          <w:sz w:val="20"/>
          <w:szCs w:val="20"/>
        </w:rPr>
      </w:pPr>
    </w:p>
    <w:p w:rsidR="00AB496F" w:rsidRPr="001154F9"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Times New Roman" w:hAnsi="Verdana" w:cs="Times New Roman"/>
          <w:sz w:val="20"/>
          <w:szCs w:val="20"/>
        </w:rPr>
      </w:pPr>
      <w:r>
        <w:rPr>
          <w:rFonts w:ascii="Verdana" w:hAnsi="Verdana"/>
          <w:sz w:val="20"/>
          <w:szCs w:val="20"/>
        </w:rPr>
        <w:t>L</w:t>
      </w:r>
      <w:r w:rsidRPr="002A52AC">
        <w:rPr>
          <w:rFonts w:ascii="Verdana" w:hAnsi="Verdana"/>
          <w:spacing w:val="-2"/>
          <w:sz w:val="20"/>
          <w:szCs w:val="20"/>
        </w:rPr>
        <w:t xml:space="preserve">a </w:t>
      </w:r>
      <w:r>
        <w:rPr>
          <w:rFonts w:ascii="Verdana" w:hAnsi="Verdana"/>
          <w:spacing w:val="-2"/>
          <w:sz w:val="20"/>
          <w:szCs w:val="20"/>
        </w:rPr>
        <w:t xml:space="preserve">Corte </w:t>
      </w:r>
      <w:r w:rsidRPr="00910B4F">
        <w:rPr>
          <w:rFonts w:ascii="Verdana" w:hAnsi="Verdana"/>
          <w:spacing w:val="-2"/>
          <w:sz w:val="20"/>
          <w:szCs w:val="20"/>
        </w:rPr>
        <w:t>valora los esf</w:t>
      </w:r>
      <w:r>
        <w:rPr>
          <w:rFonts w:ascii="Verdana" w:hAnsi="Verdana"/>
          <w:spacing w:val="-2"/>
          <w:sz w:val="20"/>
          <w:szCs w:val="20"/>
        </w:rPr>
        <w:t xml:space="preserve">uerzos realizados por el </w:t>
      </w:r>
      <w:r w:rsidRPr="00C56634">
        <w:rPr>
          <w:rFonts w:ascii="Verdana" w:hAnsi="Verdana"/>
          <w:spacing w:val="-2"/>
          <w:sz w:val="20"/>
          <w:szCs w:val="20"/>
        </w:rPr>
        <w:t>Estado, en particular,</w:t>
      </w:r>
      <w:r>
        <w:rPr>
          <w:rFonts w:ascii="Verdana" w:hAnsi="Verdana"/>
          <w:spacing w:val="-2"/>
          <w:sz w:val="20"/>
          <w:szCs w:val="20"/>
        </w:rPr>
        <w:t xml:space="preserve"> a través de las labores que desempeña </w:t>
      </w:r>
      <w:r w:rsidRPr="0081072C">
        <w:rPr>
          <w:rFonts w:ascii="Verdana" w:hAnsi="Verdana"/>
          <w:spacing w:val="-2"/>
          <w:sz w:val="20"/>
          <w:szCs w:val="20"/>
        </w:rPr>
        <w:t>el Equipo Forense Especializado (EFE) del Instituto de Medicina Legal y Ciencias Forenses del Ministerio Público</w:t>
      </w:r>
      <w:r>
        <w:rPr>
          <w:rFonts w:ascii="Verdana" w:hAnsi="Verdana"/>
          <w:spacing w:val="-2"/>
          <w:sz w:val="20"/>
          <w:szCs w:val="20"/>
        </w:rPr>
        <w:t xml:space="preserve"> (</w:t>
      </w:r>
      <w:r w:rsidRPr="006C11A9">
        <w:rPr>
          <w:rFonts w:ascii="Verdana" w:hAnsi="Verdana"/>
          <w:i/>
          <w:spacing w:val="-2"/>
          <w:sz w:val="20"/>
          <w:szCs w:val="20"/>
        </w:rPr>
        <w:t>supra</w:t>
      </w:r>
      <w:r>
        <w:rPr>
          <w:rFonts w:ascii="Verdana" w:hAnsi="Verdana"/>
          <w:spacing w:val="-2"/>
          <w:sz w:val="20"/>
          <w:szCs w:val="20"/>
        </w:rPr>
        <w:t xml:space="preserve"> párr. 314)</w:t>
      </w:r>
      <w:r>
        <w:rPr>
          <w:rFonts w:ascii="Verdana" w:hAnsi="Verdana" w:cs="Arial"/>
          <w:spacing w:val="-2"/>
          <w:sz w:val="20"/>
          <w:szCs w:val="20"/>
        </w:rPr>
        <w:t>. Sin perjuicio de ello, t</w:t>
      </w:r>
      <w:r w:rsidRPr="00910B4F">
        <w:rPr>
          <w:rFonts w:ascii="Verdana" w:hAnsi="Verdana" w:cs="Arial"/>
          <w:spacing w:val="-2"/>
          <w:sz w:val="20"/>
          <w:szCs w:val="20"/>
        </w:rPr>
        <w:t xml:space="preserve">eniendo en cuenta que el Perú ha identificado la necesidad de regular de manera integral la política nacional de búsqueda de personas desaparecidas durante el período de violencia de 1980 al 2000 y que </w:t>
      </w:r>
      <w:r w:rsidRPr="00910B4F">
        <w:rPr>
          <w:rFonts w:ascii="Verdana" w:hAnsi="Verdana"/>
          <w:spacing w:val="-2"/>
          <w:sz w:val="20"/>
          <w:szCs w:val="20"/>
        </w:rPr>
        <w:t xml:space="preserve">se encuentra en elaboración </w:t>
      </w:r>
      <w:r w:rsidRPr="00910B4F">
        <w:rPr>
          <w:rFonts w:ascii="Verdana" w:hAnsi="Verdana" w:cs="Arial"/>
          <w:spacing w:val="-2"/>
          <w:sz w:val="20"/>
          <w:szCs w:val="20"/>
        </w:rPr>
        <w:t xml:space="preserve">un anteproyecto de ley </w:t>
      </w:r>
      <w:r>
        <w:rPr>
          <w:rFonts w:ascii="Verdana" w:hAnsi="Verdana" w:cs="Arial"/>
          <w:spacing w:val="-2"/>
          <w:sz w:val="20"/>
          <w:szCs w:val="20"/>
        </w:rPr>
        <w:t>con</w:t>
      </w:r>
      <w:r w:rsidRPr="00910B4F">
        <w:rPr>
          <w:rFonts w:ascii="Verdana" w:hAnsi="Verdana" w:cs="Arial"/>
          <w:spacing w:val="-2"/>
          <w:sz w:val="20"/>
          <w:szCs w:val="20"/>
        </w:rPr>
        <w:t xml:space="preserve"> dicho objetivo</w:t>
      </w:r>
      <w:r w:rsidRPr="00910B4F">
        <w:rPr>
          <w:rFonts w:ascii="Verdana" w:hAnsi="Verdana"/>
          <w:sz w:val="20"/>
          <w:szCs w:val="20"/>
          <w:lang w:bidi="en-US"/>
        </w:rPr>
        <w:t>, la Corte considera pertinente</w:t>
      </w:r>
      <w:r>
        <w:rPr>
          <w:rFonts w:ascii="Verdana" w:hAnsi="Verdana"/>
          <w:sz w:val="20"/>
          <w:szCs w:val="20"/>
          <w:lang w:bidi="en-US"/>
        </w:rPr>
        <w:t xml:space="preserve"> </w:t>
      </w:r>
      <w:r w:rsidRPr="00D35E93">
        <w:rPr>
          <w:rFonts w:ascii="Verdana" w:hAnsi="Verdana"/>
          <w:sz w:val="20"/>
          <w:szCs w:val="20"/>
          <w:lang w:bidi="en-US"/>
        </w:rPr>
        <w:t>instar</w:t>
      </w:r>
      <w:r w:rsidRPr="00910B4F">
        <w:rPr>
          <w:rFonts w:ascii="Verdana" w:hAnsi="Verdana"/>
          <w:sz w:val="20"/>
          <w:szCs w:val="20"/>
          <w:lang w:bidi="en-US"/>
        </w:rPr>
        <w:t xml:space="preserve"> al Estado que adopte</w:t>
      </w:r>
      <w:r w:rsidRPr="00910B4F">
        <w:rPr>
          <w:rFonts w:ascii="Verdana" w:hAnsi="Verdana"/>
          <w:spacing w:val="-2"/>
          <w:sz w:val="20"/>
          <w:szCs w:val="20"/>
        </w:rPr>
        <w:t xml:space="preserve"> </w:t>
      </w:r>
      <w:r w:rsidRPr="00910B4F">
        <w:rPr>
          <w:rFonts w:ascii="Verdana" w:hAnsi="Verdana"/>
          <w:sz w:val="20"/>
          <w:szCs w:val="20"/>
          <w:lang w:bidi="en-US"/>
        </w:rPr>
        <w:t>una estrategia nacional de búsqueda y determinación del paradero de personas desaparecidas en el conflicto armado en el Perú</w:t>
      </w:r>
      <w:r w:rsidRPr="00910B4F">
        <w:rPr>
          <w:rFonts w:ascii="Verdana" w:hAnsi="Verdana" w:cs="Verdana-Italic"/>
          <w:iCs/>
          <w:spacing w:val="-2"/>
          <w:sz w:val="20"/>
          <w:szCs w:val="20"/>
          <w:lang w:bidi="en-US"/>
        </w:rPr>
        <w:t xml:space="preserve">, </w:t>
      </w:r>
      <w:r w:rsidRPr="00C56634">
        <w:rPr>
          <w:rFonts w:ascii="Verdana" w:hAnsi="Verdana"/>
          <w:color w:val="000000"/>
          <w:sz w:val="20"/>
          <w:szCs w:val="20"/>
          <w:shd w:val="clear" w:color="auto" w:fill="FFFFFF"/>
        </w:rPr>
        <w:t>paralela y complementaria a los procesos judiciales,</w:t>
      </w:r>
      <w:r>
        <w:rPr>
          <w:rFonts w:ascii="Verdana" w:hAnsi="Verdana"/>
          <w:color w:val="000000"/>
          <w:sz w:val="20"/>
          <w:szCs w:val="20"/>
          <w:shd w:val="clear" w:color="auto" w:fill="FFFFFF"/>
        </w:rPr>
        <w:t xml:space="preserve"> </w:t>
      </w:r>
      <w:r w:rsidRPr="00910B4F">
        <w:rPr>
          <w:rFonts w:ascii="Verdana" w:hAnsi="Verdana" w:cs="Verdana-Italic"/>
          <w:iCs/>
          <w:spacing w:val="-2"/>
          <w:sz w:val="20"/>
          <w:szCs w:val="20"/>
          <w:lang w:bidi="en-US"/>
        </w:rPr>
        <w:t xml:space="preserve">mediante la cual se </w:t>
      </w:r>
      <w:r>
        <w:rPr>
          <w:rFonts w:ascii="Verdana" w:hAnsi="Verdana" w:cs="Verdana-Italic"/>
          <w:iCs/>
          <w:spacing w:val="-2"/>
          <w:sz w:val="20"/>
          <w:szCs w:val="20"/>
          <w:lang w:bidi="en-US"/>
        </w:rPr>
        <w:t xml:space="preserve">asegure </w:t>
      </w:r>
      <w:r w:rsidRPr="00910B4F">
        <w:rPr>
          <w:rFonts w:ascii="Verdana" w:eastAsia="MS Mincho" w:hAnsi="Verdana" w:cs="Arial"/>
          <w:sz w:val="20"/>
          <w:szCs w:val="20"/>
          <w:lang w:eastAsia="es-CR"/>
        </w:rPr>
        <w:t xml:space="preserve">el levantamiento de la información disponible sobre posibles sitios de inhumación o entierro y se proceda a su identificación, </w:t>
      </w:r>
      <w:r>
        <w:rPr>
          <w:rFonts w:ascii="Verdana" w:eastAsia="MS Mincho" w:hAnsi="Verdana" w:cs="Arial"/>
          <w:sz w:val="20"/>
          <w:szCs w:val="20"/>
          <w:lang w:eastAsia="es-CR"/>
        </w:rPr>
        <w:t>re</w:t>
      </w:r>
      <w:r w:rsidRPr="00910B4F">
        <w:rPr>
          <w:rFonts w:ascii="Verdana" w:eastAsia="MS Mincho" w:hAnsi="Verdana" w:cs="Arial"/>
          <w:sz w:val="20"/>
          <w:szCs w:val="20"/>
          <w:lang w:eastAsia="es-CR"/>
        </w:rPr>
        <w:t>gistro y protección para su preservación</w:t>
      </w:r>
      <w:r w:rsidRPr="00910B4F">
        <w:rPr>
          <w:rFonts w:ascii="Verdana" w:hAnsi="Verdana"/>
          <w:color w:val="000000"/>
          <w:sz w:val="20"/>
          <w:szCs w:val="20"/>
          <w:shd w:val="clear" w:color="auto" w:fill="FFFFFF"/>
        </w:rPr>
        <w:t xml:space="preserve">, así como se </w:t>
      </w:r>
      <w:r w:rsidRPr="00910B4F">
        <w:rPr>
          <w:rFonts w:ascii="Verdana" w:eastAsia="MS Mincho" w:hAnsi="Verdana" w:cs="Arial"/>
          <w:bCs/>
          <w:iCs/>
          <w:sz w:val="20"/>
          <w:szCs w:val="20"/>
        </w:rPr>
        <w:t xml:space="preserve">inicien y/o continúen </w:t>
      </w:r>
      <w:r w:rsidRPr="00910B4F">
        <w:rPr>
          <w:rFonts w:ascii="Verdana" w:eastAsia="Times New Roman" w:hAnsi="Verdana" w:cs="Times New Roman"/>
          <w:sz w:val="20"/>
          <w:szCs w:val="20"/>
        </w:rPr>
        <w:t>de manera sistemática y rigurosa, las acci</w:t>
      </w:r>
      <w:r>
        <w:rPr>
          <w:rFonts w:ascii="Verdana" w:eastAsia="Times New Roman" w:hAnsi="Verdana" w:cs="Times New Roman"/>
          <w:sz w:val="20"/>
          <w:szCs w:val="20"/>
        </w:rPr>
        <w:t>ones</w:t>
      </w:r>
      <w:r w:rsidRPr="00910B4F">
        <w:rPr>
          <w:rFonts w:ascii="Verdana" w:eastAsia="Times New Roman" w:hAnsi="Verdana" w:cs="Times New Roman"/>
          <w:sz w:val="20"/>
          <w:szCs w:val="20"/>
        </w:rPr>
        <w:t xml:space="preserve"> que resulte</w:t>
      </w:r>
      <w:r>
        <w:rPr>
          <w:rFonts w:ascii="Verdana" w:eastAsia="Times New Roman" w:hAnsi="Verdana" w:cs="Times New Roman"/>
          <w:sz w:val="20"/>
          <w:szCs w:val="20"/>
        </w:rPr>
        <w:t>n</w:t>
      </w:r>
      <w:r w:rsidRPr="00910B4F">
        <w:rPr>
          <w:rFonts w:ascii="Verdana" w:eastAsia="Times New Roman" w:hAnsi="Verdana" w:cs="Times New Roman"/>
          <w:sz w:val="20"/>
          <w:szCs w:val="20"/>
        </w:rPr>
        <w:t xml:space="preserve"> necesaria</w:t>
      </w:r>
      <w:r>
        <w:rPr>
          <w:rFonts w:ascii="Verdana" w:eastAsia="Times New Roman" w:hAnsi="Verdana" w:cs="Times New Roman"/>
          <w:sz w:val="20"/>
          <w:szCs w:val="20"/>
        </w:rPr>
        <w:t>s</w:t>
      </w:r>
      <w:r w:rsidRPr="00910B4F">
        <w:rPr>
          <w:rFonts w:ascii="Verdana" w:eastAsia="MS Mincho" w:hAnsi="Verdana" w:cs="Verdana"/>
          <w:sz w:val="20"/>
          <w:szCs w:val="20"/>
        </w:rPr>
        <w:t xml:space="preserve"> para la</w:t>
      </w:r>
      <w:r w:rsidRPr="00910B4F">
        <w:rPr>
          <w:rFonts w:ascii="Verdana" w:eastAsia="Times New Roman" w:hAnsi="Verdana" w:cs="Times New Roman"/>
          <w:sz w:val="20"/>
          <w:szCs w:val="20"/>
        </w:rPr>
        <w:t xml:space="preserve"> exhumación de restos en dichos sitios, y se asegure </w:t>
      </w:r>
      <w:r w:rsidRPr="00910B4F">
        <w:rPr>
          <w:rFonts w:ascii="Verdana" w:hAnsi="Verdana"/>
          <w:sz w:val="20"/>
          <w:szCs w:val="20"/>
        </w:rPr>
        <w:t xml:space="preserve">el uso </w:t>
      </w:r>
      <w:r w:rsidRPr="00910B4F">
        <w:rPr>
          <w:rFonts w:ascii="Verdana" w:hAnsi="Verdana"/>
          <w:color w:val="000000"/>
          <w:sz w:val="20"/>
          <w:szCs w:val="20"/>
          <w:shd w:val="clear" w:color="auto" w:fill="FFFFFF"/>
        </w:rPr>
        <w:t>de los diferentes medios de identificación forense.</w:t>
      </w:r>
      <w:r>
        <w:rPr>
          <w:rFonts w:ascii="Verdana" w:hAnsi="Verdana"/>
          <w:color w:val="000000"/>
          <w:sz w:val="20"/>
          <w:szCs w:val="20"/>
          <w:shd w:val="clear" w:color="auto" w:fill="FFFFFF"/>
        </w:rPr>
        <w:t xml:space="preserve"> </w:t>
      </w:r>
      <w:r w:rsidRPr="002C5698">
        <w:rPr>
          <w:rFonts w:ascii="Verdana" w:hAnsi="Verdana"/>
          <w:color w:val="000000"/>
          <w:sz w:val="20"/>
          <w:szCs w:val="20"/>
          <w:shd w:val="clear" w:color="auto" w:fill="FFFFFF"/>
        </w:rPr>
        <w:t xml:space="preserve">Lo anterior no será materia de supervisión por parte del Tribunal. </w:t>
      </w:r>
    </w:p>
    <w:p w:rsidR="00AB496F" w:rsidRPr="00F13F0B" w:rsidRDefault="00AB496F" w:rsidP="001154F9">
      <w:pPr>
        <w:pStyle w:val="Heading3"/>
      </w:pPr>
      <w:bookmarkStart w:id="274" w:name="_Toc423102579"/>
      <w:bookmarkStart w:id="275" w:name="_Toc433387535"/>
      <w:r w:rsidRPr="00F13F0B">
        <w:rPr>
          <w:rFonts w:cs="Verdana-Italic"/>
          <w:lang w:bidi="en-US"/>
        </w:rPr>
        <w:t xml:space="preserve">C.5. </w:t>
      </w:r>
      <w:r w:rsidRPr="00F13F0B">
        <w:rPr>
          <w:lang w:val="es-ES_tradnl"/>
        </w:rPr>
        <w:t>Otras medidas solicitadas</w:t>
      </w:r>
      <w:bookmarkEnd w:id="274"/>
      <w:bookmarkEnd w:id="275"/>
    </w:p>
    <w:p w:rsidR="00AB496F" w:rsidRPr="002964A7" w:rsidRDefault="00AB496F" w:rsidP="00AB496F">
      <w:pPr>
        <w:pStyle w:val="ListParagraph"/>
        <w:spacing w:after="0" w:line="240" w:lineRule="auto"/>
        <w:ind w:left="0" w:firstLine="720"/>
        <w:jc w:val="both"/>
        <w:rPr>
          <w:rFonts w:ascii="Verdana" w:hAnsi="Verdana" w:cs="Verdana-Italic"/>
          <w:i/>
          <w:iCs/>
          <w:spacing w:val="-2"/>
          <w:sz w:val="20"/>
          <w:szCs w:val="20"/>
          <w:lang w:bidi="en-US"/>
        </w:rPr>
      </w:pPr>
    </w:p>
    <w:p w:rsidR="00AB496F"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Verdana-Italic"/>
          <w:iCs/>
          <w:spacing w:val="-2"/>
          <w:sz w:val="20"/>
          <w:szCs w:val="20"/>
          <w:lang w:bidi="en-US"/>
        </w:rPr>
      </w:pPr>
      <w:r w:rsidRPr="002964A7">
        <w:rPr>
          <w:rFonts w:ascii="Verdana" w:hAnsi="Verdana" w:cs="Verdana-Italic"/>
          <w:iCs/>
          <w:spacing w:val="-2"/>
          <w:sz w:val="20"/>
          <w:szCs w:val="20"/>
          <w:lang w:bidi="en-US"/>
        </w:rPr>
        <w:t xml:space="preserve">La </w:t>
      </w:r>
      <w:r w:rsidRPr="002964A7">
        <w:rPr>
          <w:rFonts w:ascii="Verdana" w:hAnsi="Verdana" w:cs="Verdana-Italic"/>
          <w:b/>
          <w:i/>
          <w:iCs/>
          <w:spacing w:val="-2"/>
          <w:sz w:val="20"/>
          <w:szCs w:val="20"/>
          <w:lang w:bidi="en-US"/>
        </w:rPr>
        <w:t>Comisión</w:t>
      </w:r>
      <w:r w:rsidRPr="002964A7">
        <w:rPr>
          <w:rFonts w:ascii="Verdana" w:hAnsi="Verdana" w:cs="Verdana-Italic"/>
          <w:iCs/>
          <w:spacing w:val="-2"/>
          <w:sz w:val="20"/>
          <w:szCs w:val="20"/>
          <w:lang w:bidi="en-US"/>
        </w:rPr>
        <w:t xml:space="preserve"> solicitó la adopción de las medidas necesarias para evitar que en el futuro se produzcan hechos similares, conforme al deber de prevención y garantía de los derechos humanos reconocidos en la Convención Americana. En particular, </w:t>
      </w:r>
      <w:r>
        <w:rPr>
          <w:rFonts w:ascii="Verdana" w:hAnsi="Verdana" w:cs="Verdana-Italic"/>
          <w:iCs/>
          <w:spacing w:val="-2"/>
          <w:sz w:val="20"/>
          <w:szCs w:val="20"/>
          <w:lang w:bidi="en-US"/>
        </w:rPr>
        <w:t xml:space="preserve">solicitó </w:t>
      </w:r>
      <w:r w:rsidRPr="002964A7">
        <w:rPr>
          <w:rFonts w:ascii="Verdana" w:hAnsi="Verdana" w:cs="Verdana-Italic"/>
          <w:iCs/>
          <w:spacing w:val="-2"/>
          <w:sz w:val="20"/>
          <w:szCs w:val="20"/>
          <w:lang w:bidi="en-US"/>
        </w:rPr>
        <w:t xml:space="preserve">la implementación de programas permanentes de derechos humanos y derecho internacional humanitario en las escuelas de formación de las Fuerzas Armadas. Los </w:t>
      </w:r>
      <w:r w:rsidRPr="002964A7">
        <w:rPr>
          <w:rFonts w:ascii="Verdana" w:hAnsi="Verdana" w:cs="Verdana-Italic"/>
          <w:b/>
          <w:i/>
          <w:iCs/>
          <w:spacing w:val="-2"/>
          <w:sz w:val="20"/>
          <w:szCs w:val="20"/>
          <w:lang w:bidi="en-US"/>
        </w:rPr>
        <w:t>representantes</w:t>
      </w:r>
      <w:r w:rsidRPr="002964A7">
        <w:rPr>
          <w:rFonts w:ascii="Verdana" w:hAnsi="Verdana" w:cs="Verdana-Italic"/>
          <w:iCs/>
          <w:spacing w:val="-2"/>
          <w:sz w:val="20"/>
          <w:szCs w:val="20"/>
          <w:lang w:bidi="en-US"/>
        </w:rPr>
        <w:t xml:space="preserve"> no se refirieron a este punto. El </w:t>
      </w:r>
      <w:r w:rsidRPr="002964A7">
        <w:rPr>
          <w:rFonts w:ascii="Verdana" w:hAnsi="Verdana" w:cs="Verdana-Italic"/>
          <w:b/>
          <w:i/>
          <w:iCs/>
          <w:spacing w:val="-2"/>
          <w:sz w:val="20"/>
          <w:szCs w:val="20"/>
          <w:lang w:bidi="en-US"/>
        </w:rPr>
        <w:t>Estado</w:t>
      </w:r>
      <w:r w:rsidRPr="002964A7">
        <w:rPr>
          <w:rFonts w:ascii="Verdana" w:hAnsi="Verdana" w:cs="Verdana-Italic"/>
          <w:iCs/>
          <w:spacing w:val="-2"/>
          <w:sz w:val="20"/>
          <w:szCs w:val="20"/>
          <w:lang w:bidi="en-US"/>
        </w:rPr>
        <w:t xml:space="preserve"> explicó que desde hace varios años viene implementando sostenidamente múltiples programas de instrucción y educación en el Derecho Internacional de Derechos Humanos y Derecho Internacional Humanitario a los diversos funcionarios estatales, en especial en las Fuerzas Armadas, así como sobre los deberes del Estado respecto a la Convención Americana y demás instrumentos internacionales, tanto regionales como universales. Sostuvo que los programas tienen la finalidad de capacitar a los agentes estatales a fin de evitar que en el futuro se cometan hechos similares a los ocurridos en el presente caso, lo cual coincide plenamente con el deber de prevención y garantía reconocido en la Convención Americana. En específico, el Estado informó que el Centro del Derecho Internacional Humanitario y Derechos Humanos del Ministerio de Defensa del Perú</w:t>
      </w:r>
      <w:r w:rsidRPr="002964A7">
        <w:rPr>
          <w:rFonts w:ascii="Verdana" w:hAnsi="Verdana"/>
          <w:spacing w:val="-2"/>
          <w:sz w:val="20"/>
          <w:szCs w:val="20"/>
        </w:rPr>
        <w:t xml:space="preserve"> es el órgano académico encargado de instruir al personal de las Fuerzas Armadas en dichos temas y</w:t>
      </w:r>
      <w:r w:rsidRPr="002964A7">
        <w:rPr>
          <w:rFonts w:ascii="Verdana" w:hAnsi="Verdana" w:cs="Verdana-Italic"/>
          <w:iCs/>
          <w:spacing w:val="-2"/>
          <w:sz w:val="20"/>
          <w:szCs w:val="20"/>
          <w:lang w:bidi="en-US"/>
        </w:rPr>
        <w:t xml:space="preserve"> presentó información detallada respecto a los programas de capacitación que se estarían desarrollando. </w:t>
      </w:r>
      <w:r w:rsidRPr="002964A7">
        <w:rPr>
          <w:rFonts w:ascii="Verdana" w:hAnsi="Verdana"/>
          <w:spacing w:val="-2"/>
          <w:sz w:val="20"/>
          <w:szCs w:val="20"/>
        </w:rPr>
        <w:t xml:space="preserve">Finalmente, indicó que </w:t>
      </w:r>
      <w:r>
        <w:rPr>
          <w:rFonts w:ascii="Verdana" w:hAnsi="Verdana"/>
          <w:spacing w:val="-2"/>
          <w:sz w:val="20"/>
          <w:szCs w:val="20"/>
        </w:rPr>
        <w:t xml:space="preserve">ni </w:t>
      </w:r>
      <w:r w:rsidRPr="002964A7">
        <w:rPr>
          <w:rFonts w:ascii="Verdana" w:hAnsi="Verdana"/>
          <w:spacing w:val="-2"/>
          <w:sz w:val="20"/>
          <w:szCs w:val="20"/>
        </w:rPr>
        <w:t xml:space="preserve">la Comisión ni los representantes presentaron información que demuestre que resultan insuficientes las medidas adoptadas por el Estado, y que la solicitud de dicha medida de reparación no debiera ser atendida par la Corte. </w:t>
      </w:r>
    </w:p>
    <w:p w:rsidR="00AB496F" w:rsidRDefault="00AB496F" w:rsidP="00AB496F">
      <w:pPr>
        <w:pStyle w:val="ListParagraph"/>
        <w:autoSpaceDE w:val="0"/>
        <w:autoSpaceDN w:val="0"/>
        <w:adjustRightInd w:val="0"/>
        <w:spacing w:after="0" w:line="240" w:lineRule="auto"/>
        <w:ind w:left="0"/>
        <w:jc w:val="both"/>
        <w:rPr>
          <w:rFonts w:ascii="Verdana" w:hAnsi="Verdana" w:cs="Verdana-Italic"/>
          <w:iCs/>
          <w:spacing w:val="-2"/>
          <w:sz w:val="20"/>
          <w:szCs w:val="20"/>
          <w:lang w:bidi="en-US"/>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Verdana-Italic"/>
          <w:iCs/>
          <w:spacing w:val="-2"/>
          <w:sz w:val="20"/>
          <w:szCs w:val="20"/>
          <w:lang w:bidi="en-US"/>
        </w:rPr>
      </w:pPr>
      <w:r w:rsidRPr="002964A7">
        <w:rPr>
          <w:rFonts w:ascii="Verdana" w:hAnsi="Verdana" w:cs="Verdana-Italic"/>
          <w:iCs/>
          <w:spacing w:val="-2"/>
          <w:sz w:val="20"/>
          <w:szCs w:val="20"/>
          <w:lang w:bidi="en-US"/>
        </w:rPr>
        <w:lastRenderedPageBreak/>
        <w:t xml:space="preserve">La </w:t>
      </w:r>
      <w:r w:rsidRPr="002A76B3">
        <w:rPr>
          <w:rFonts w:ascii="Verdana" w:hAnsi="Verdana" w:cs="Verdana-Italic"/>
          <w:b/>
          <w:iCs/>
          <w:spacing w:val="-2"/>
          <w:sz w:val="20"/>
          <w:szCs w:val="20"/>
          <w:lang w:bidi="en-US"/>
        </w:rPr>
        <w:t>Corte</w:t>
      </w:r>
      <w:r w:rsidRPr="002964A7">
        <w:rPr>
          <w:rFonts w:ascii="Verdana" w:hAnsi="Verdana" w:cs="Verdana-Italic"/>
          <w:iCs/>
          <w:spacing w:val="-2"/>
          <w:sz w:val="20"/>
          <w:szCs w:val="20"/>
          <w:lang w:bidi="en-US"/>
        </w:rPr>
        <w:t xml:space="preserve"> recuerda que en los casos </w:t>
      </w:r>
      <w:r w:rsidRPr="002964A7">
        <w:rPr>
          <w:rFonts w:ascii="Verdana" w:hAnsi="Verdana" w:cs="Verdana-Italic"/>
          <w:i/>
          <w:iCs/>
          <w:spacing w:val="-2"/>
          <w:sz w:val="20"/>
          <w:szCs w:val="20"/>
          <w:lang w:bidi="en-US"/>
        </w:rPr>
        <w:t>La Cantuta</w:t>
      </w:r>
      <w:r w:rsidRPr="002964A7">
        <w:rPr>
          <w:rStyle w:val="FootnoteReference"/>
          <w:rFonts w:eastAsiaTheme="minorHAnsi" w:cs="Verdana-Italic"/>
          <w:spacing w:val="-2"/>
          <w:szCs w:val="20"/>
        </w:rPr>
        <w:footnoteReference w:id="370"/>
      </w:r>
      <w:r w:rsidRPr="002964A7">
        <w:rPr>
          <w:rFonts w:ascii="Verdana" w:hAnsi="Verdana" w:cs="Verdana-Italic"/>
          <w:iCs/>
          <w:spacing w:val="-2"/>
          <w:sz w:val="20"/>
          <w:szCs w:val="20"/>
          <w:lang w:bidi="en-US"/>
        </w:rPr>
        <w:t xml:space="preserve">, </w:t>
      </w:r>
      <w:r w:rsidRPr="002964A7">
        <w:rPr>
          <w:rFonts w:ascii="Verdana" w:hAnsi="Verdana" w:cs="Verdana-Italic"/>
          <w:i/>
          <w:iCs/>
          <w:spacing w:val="-2"/>
          <w:sz w:val="20"/>
          <w:szCs w:val="20"/>
          <w:lang w:bidi="en-US"/>
        </w:rPr>
        <w:t>Anzualdo Castro</w:t>
      </w:r>
      <w:r w:rsidRPr="002964A7">
        <w:rPr>
          <w:rStyle w:val="FootnoteReference"/>
          <w:rFonts w:eastAsiaTheme="minorHAnsi" w:cs="Verdana-Italic"/>
          <w:spacing w:val="-2"/>
          <w:szCs w:val="20"/>
        </w:rPr>
        <w:footnoteReference w:id="371"/>
      </w:r>
      <w:r w:rsidRPr="002964A7">
        <w:rPr>
          <w:rFonts w:ascii="Verdana" w:hAnsi="Verdana" w:cs="Verdana-Italic"/>
          <w:iCs/>
          <w:spacing w:val="-2"/>
          <w:sz w:val="20"/>
          <w:szCs w:val="20"/>
          <w:lang w:bidi="en-US"/>
        </w:rPr>
        <w:t xml:space="preserve"> y más recientemente en el caso </w:t>
      </w:r>
      <w:r w:rsidRPr="002964A7">
        <w:rPr>
          <w:rFonts w:ascii="Verdana" w:hAnsi="Verdana" w:cs="Verdana-Italic"/>
          <w:i/>
          <w:iCs/>
          <w:spacing w:val="-2"/>
          <w:sz w:val="20"/>
          <w:szCs w:val="20"/>
          <w:lang w:bidi="en-US"/>
        </w:rPr>
        <w:t>Osorio Rivera</w:t>
      </w:r>
      <w:r w:rsidRPr="002964A7">
        <w:rPr>
          <w:rStyle w:val="FootnoteReference"/>
          <w:rFonts w:eastAsiaTheme="minorHAnsi" w:cs="Verdana-Italic"/>
          <w:spacing w:val="-2"/>
          <w:szCs w:val="20"/>
        </w:rPr>
        <w:footnoteReference w:id="372"/>
      </w:r>
      <w:r w:rsidRPr="002964A7">
        <w:rPr>
          <w:rFonts w:ascii="Verdana" w:hAnsi="Verdana" w:cs="Verdana-Italic"/>
          <w:i/>
          <w:iCs/>
          <w:spacing w:val="-2"/>
          <w:sz w:val="20"/>
          <w:szCs w:val="20"/>
          <w:lang w:bidi="en-US"/>
        </w:rPr>
        <w:t xml:space="preserve"> </w:t>
      </w:r>
      <w:r w:rsidRPr="002964A7">
        <w:rPr>
          <w:rFonts w:ascii="Verdana" w:hAnsi="Verdana" w:cs="Verdana-Italic"/>
          <w:iCs/>
          <w:spacing w:val="-2"/>
          <w:sz w:val="20"/>
          <w:szCs w:val="20"/>
          <w:lang w:bidi="en-US"/>
        </w:rPr>
        <w:t xml:space="preserve">de 26 de noviembre de 2013, la Corte ordenó </w:t>
      </w:r>
      <w:r w:rsidRPr="002964A7">
        <w:rPr>
          <w:rFonts w:ascii="Verdana" w:hAnsi="Verdana"/>
          <w:spacing w:val="-2"/>
          <w:sz w:val="20"/>
          <w:szCs w:val="20"/>
          <w:lang w:val="es-ES_tradnl"/>
        </w:rPr>
        <w:t xml:space="preserve">al Estado peruano realizar cursos de capacitación permanentes en derechos humanos a miembros de fuerzas armadas y </w:t>
      </w:r>
      <w:r w:rsidRPr="002964A7">
        <w:rPr>
          <w:rFonts w:ascii="Verdana" w:hAnsi="Verdana" w:cs="Arial"/>
          <w:spacing w:val="-2"/>
          <w:sz w:val="20"/>
          <w:szCs w:val="20"/>
        </w:rPr>
        <w:t>policiales</w:t>
      </w:r>
      <w:r w:rsidRPr="002964A7">
        <w:rPr>
          <w:rFonts w:ascii="Verdana" w:hAnsi="Verdana" w:cs="Verdana-Italic"/>
          <w:iCs/>
          <w:spacing w:val="-2"/>
          <w:sz w:val="20"/>
          <w:szCs w:val="20"/>
          <w:lang w:bidi="en-US"/>
        </w:rPr>
        <w:t xml:space="preserve">. De este modo, la Corte </w:t>
      </w:r>
      <w:r w:rsidRPr="002964A7">
        <w:rPr>
          <w:rFonts w:ascii="Verdana" w:hAnsi="Verdana"/>
          <w:spacing w:val="-2"/>
          <w:sz w:val="20"/>
          <w:szCs w:val="20"/>
        </w:rPr>
        <w:t>no considera pertinente ordenar de nuevo</w:t>
      </w:r>
      <w:r w:rsidRPr="002964A7">
        <w:rPr>
          <w:rFonts w:ascii="Verdana" w:hAnsi="Verdana" w:cs="Verdana-Italic"/>
          <w:iCs/>
          <w:spacing w:val="-2"/>
          <w:sz w:val="20"/>
          <w:szCs w:val="20"/>
          <w:lang w:bidi="en-US"/>
        </w:rPr>
        <w:t xml:space="preserve"> la medida de reparación solicitada,</w:t>
      </w:r>
      <w:r w:rsidRPr="002964A7">
        <w:rPr>
          <w:rFonts w:ascii="Verdana" w:hAnsi="Verdana"/>
          <w:spacing w:val="-2"/>
          <w:sz w:val="20"/>
          <w:szCs w:val="20"/>
        </w:rPr>
        <w:t xml:space="preserve"> ya que </w:t>
      </w:r>
      <w:r w:rsidRPr="002964A7">
        <w:rPr>
          <w:rFonts w:ascii="Verdana" w:hAnsi="Verdana" w:cs="Verdana"/>
          <w:spacing w:val="-2"/>
          <w:sz w:val="20"/>
          <w:szCs w:val="20"/>
          <w:lang w:bidi="en-US"/>
        </w:rPr>
        <w:t xml:space="preserve">la </w:t>
      </w:r>
      <w:r w:rsidRPr="00597FE9">
        <w:rPr>
          <w:rFonts w:ascii="Verdana" w:hAnsi="Verdana" w:cs="Verdana-Italic"/>
          <w:iCs/>
          <w:spacing w:val="-2"/>
          <w:sz w:val="20"/>
          <w:szCs w:val="20"/>
          <w:lang w:bidi="en-US"/>
        </w:rPr>
        <w:t xml:space="preserve">debida implementación </w:t>
      </w:r>
      <w:r w:rsidRPr="002964A7">
        <w:rPr>
          <w:rFonts w:ascii="Verdana" w:hAnsi="Verdana" w:cs="Verdana"/>
          <w:spacing w:val="-2"/>
          <w:sz w:val="20"/>
          <w:szCs w:val="20"/>
          <w:lang w:bidi="en-US"/>
        </w:rPr>
        <w:t xml:space="preserve">de lo ordenado se continúa evaluando en la etapa de supervisión de cumplimiento </w:t>
      </w:r>
      <w:r w:rsidRPr="002964A7">
        <w:rPr>
          <w:rFonts w:ascii="Verdana" w:hAnsi="Verdana" w:cs="Verdana-Italic"/>
          <w:iCs/>
          <w:spacing w:val="-2"/>
          <w:sz w:val="20"/>
          <w:szCs w:val="20"/>
          <w:lang w:bidi="en-US"/>
        </w:rPr>
        <w:t>de los referidos casos.</w:t>
      </w:r>
    </w:p>
    <w:p w:rsidR="00AB496F" w:rsidRPr="002964A7" w:rsidRDefault="00AB496F" w:rsidP="00AB496F">
      <w:pPr>
        <w:pStyle w:val="ListParagraph"/>
        <w:spacing w:after="0" w:line="240" w:lineRule="auto"/>
        <w:ind w:left="0"/>
        <w:jc w:val="both"/>
        <w:rPr>
          <w:rFonts w:ascii="Verdana" w:hAnsi="Verdana"/>
          <w:spacing w:val="-2"/>
          <w:sz w:val="20"/>
          <w:szCs w:val="20"/>
        </w:rPr>
      </w:pPr>
    </w:p>
    <w:p w:rsidR="00AB496F" w:rsidRPr="008F34BF"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Verdana-Italic"/>
          <w:iCs/>
          <w:spacing w:val="-2"/>
          <w:sz w:val="20"/>
          <w:szCs w:val="20"/>
          <w:lang w:bidi="en-US"/>
        </w:rPr>
        <w:t xml:space="preserve">Los </w:t>
      </w:r>
      <w:r w:rsidRPr="002964A7">
        <w:rPr>
          <w:rFonts w:ascii="Verdana" w:hAnsi="Verdana" w:cs="Verdana-Italic"/>
          <w:b/>
          <w:i/>
          <w:iCs/>
          <w:spacing w:val="-2"/>
          <w:sz w:val="20"/>
          <w:szCs w:val="20"/>
          <w:lang w:bidi="en-US"/>
        </w:rPr>
        <w:t>representantes</w:t>
      </w:r>
      <w:r w:rsidRPr="002964A7">
        <w:rPr>
          <w:rFonts w:ascii="Verdana" w:hAnsi="Verdana" w:cs="Verdana-Italic"/>
          <w:iCs/>
          <w:spacing w:val="-2"/>
          <w:sz w:val="20"/>
          <w:szCs w:val="20"/>
          <w:lang w:bidi="en-US"/>
        </w:rPr>
        <w:t xml:space="preserve"> solicitaron a la Corte que ordene al Estado que proporcione a los familiares de las víctimas que así lo requieran</w:t>
      </w:r>
      <w:r>
        <w:rPr>
          <w:rFonts w:ascii="Verdana" w:hAnsi="Verdana" w:cs="Verdana-Italic"/>
          <w:iCs/>
          <w:spacing w:val="-2"/>
          <w:sz w:val="20"/>
          <w:szCs w:val="20"/>
          <w:lang w:bidi="en-US"/>
        </w:rPr>
        <w:t>,</w:t>
      </w:r>
      <w:r w:rsidRPr="002964A7">
        <w:rPr>
          <w:rFonts w:ascii="Verdana" w:hAnsi="Verdana" w:cs="Verdana-Italic"/>
          <w:iCs/>
          <w:spacing w:val="-2"/>
          <w:sz w:val="20"/>
          <w:szCs w:val="20"/>
          <w:lang w:bidi="en-US"/>
        </w:rPr>
        <w:t xml:space="preserve"> becas de estudio en el nivel universitario para que puedan cursar la carrera que ellos escojan. Argumentaron que debido a las desapariciones forzadas de las víctimas y la destrucción de sus bienes y viviendas, se afectó seriamente las posibilidades de subsistencia, situación que en algunos casos ha impedido que se cuenten con los recursos para procurar que sus descendientes puedan recibir una educación adecuada.</w:t>
      </w:r>
      <w:r>
        <w:rPr>
          <w:rFonts w:ascii="Verdana" w:hAnsi="Verdana" w:cs="Verdana-Italic"/>
          <w:iCs/>
          <w:spacing w:val="-2"/>
          <w:sz w:val="20"/>
          <w:szCs w:val="20"/>
          <w:lang w:bidi="en-US"/>
        </w:rPr>
        <w:t xml:space="preserve"> Al respecto, se refirieron </w:t>
      </w:r>
      <w:r w:rsidRPr="002964A7">
        <w:rPr>
          <w:rFonts w:ascii="Verdana" w:hAnsi="Verdana"/>
          <w:spacing w:val="-2"/>
          <w:sz w:val="20"/>
          <w:szCs w:val="20"/>
          <w:lang w:val="es-ES_tradnl"/>
        </w:rPr>
        <w:t xml:space="preserve">a los casos específicos de los familiares de los señores </w:t>
      </w:r>
      <w:r w:rsidRPr="002964A7">
        <w:rPr>
          <w:rFonts w:ascii="Verdana" w:hAnsi="Verdana" w:cs="Verdana-Italic"/>
          <w:iCs/>
          <w:spacing w:val="-2"/>
          <w:sz w:val="20"/>
          <w:szCs w:val="20"/>
          <w:lang w:bidi="en-US"/>
        </w:rPr>
        <w:t>Gregorio Hilario Quispe, Zenón Cirilo Osnayo Tunque y Marino Huamaní Vergara</w:t>
      </w:r>
      <w:r>
        <w:rPr>
          <w:rFonts w:ascii="Verdana" w:hAnsi="Verdana" w:cs="Verdana-Italic"/>
          <w:iCs/>
          <w:spacing w:val="-2"/>
          <w:sz w:val="20"/>
          <w:szCs w:val="20"/>
          <w:lang w:bidi="en-US"/>
        </w:rPr>
        <w:t>.</w:t>
      </w:r>
      <w:r w:rsidRPr="002964A7">
        <w:rPr>
          <w:rFonts w:ascii="Verdana" w:hAnsi="Verdana" w:cs="Verdana-Italic"/>
          <w:iCs/>
          <w:spacing w:val="-2"/>
          <w:sz w:val="20"/>
          <w:szCs w:val="20"/>
          <w:lang w:bidi="en-US"/>
        </w:rPr>
        <w:t xml:space="preserve"> La </w:t>
      </w:r>
      <w:r w:rsidRPr="002964A7">
        <w:rPr>
          <w:rFonts w:ascii="Verdana" w:hAnsi="Verdana" w:cs="Verdana-Italic"/>
          <w:b/>
          <w:iCs/>
          <w:spacing w:val="-2"/>
          <w:sz w:val="20"/>
          <w:szCs w:val="20"/>
          <w:lang w:bidi="en-US"/>
        </w:rPr>
        <w:t>Comisión</w:t>
      </w:r>
      <w:r w:rsidRPr="002964A7">
        <w:rPr>
          <w:rFonts w:ascii="Verdana" w:hAnsi="Verdana" w:cs="Verdana-Italic"/>
          <w:iCs/>
          <w:spacing w:val="-2"/>
          <w:sz w:val="20"/>
          <w:szCs w:val="20"/>
          <w:lang w:bidi="en-US"/>
        </w:rPr>
        <w:t xml:space="preserve"> no se refirió a </w:t>
      </w:r>
      <w:r w:rsidRPr="002964A7">
        <w:rPr>
          <w:rFonts w:ascii="Verdana" w:hAnsi="Verdana" w:cs="Arial"/>
          <w:spacing w:val="-2"/>
          <w:sz w:val="20"/>
          <w:szCs w:val="20"/>
        </w:rPr>
        <w:t>este</w:t>
      </w:r>
      <w:r w:rsidRPr="002964A7">
        <w:rPr>
          <w:rFonts w:ascii="Verdana" w:hAnsi="Verdana" w:cs="Verdana-Italic"/>
          <w:iCs/>
          <w:spacing w:val="-2"/>
          <w:sz w:val="20"/>
          <w:szCs w:val="20"/>
          <w:lang w:bidi="en-US"/>
        </w:rPr>
        <w:t xml:space="preserve"> punto.</w:t>
      </w:r>
      <w:r w:rsidRPr="00705A88">
        <w:rPr>
          <w:rFonts w:ascii="Verdana" w:hAnsi="Verdana" w:cs="Verdana-Italic"/>
          <w:iCs/>
          <w:spacing w:val="-2"/>
          <w:sz w:val="20"/>
          <w:szCs w:val="20"/>
          <w:lang w:bidi="en-US"/>
        </w:rPr>
        <w:t xml:space="preserve"> </w:t>
      </w:r>
      <w:r w:rsidRPr="002964A7">
        <w:rPr>
          <w:rFonts w:ascii="Verdana" w:hAnsi="Verdana" w:cs="Verdana-Italic"/>
          <w:iCs/>
          <w:spacing w:val="-2"/>
          <w:sz w:val="20"/>
          <w:szCs w:val="20"/>
          <w:lang w:bidi="en-US"/>
        </w:rPr>
        <w:t xml:space="preserve">El </w:t>
      </w:r>
      <w:r w:rsidRPr="002964A7">
        <w:rPr>
          <w:rFonts w:ascii="Verdana" w:hAnsi="Verdana" w:cs="Verdana-Italic"/>
          <w:b/>
          <w:i/>
          <w:iCs/>
          <w:spacing w:val="-2"/>
          <w:sz w:val="20"/>
          <w:szCs w:val="20"/>
          <w:lang w:bidi="en-US"/>
        </w:rPr>
        <w:t xml:space="preserve">Estado </w:t>
      </w:r>
      <w:r w:rsidRPr="002964A7">
        <w:rPr>
          <w:rFonts w:ascii="Verdana" w:hAnsi="Verdana" w:cs="Verdana-Italic"/>
          <w:iCs/>
          <w:spacing w:val="-2"/>
          <w:sz w:val="20"/>
          <w:szCs w:val="20"/>
          <w:lang w:bidi="en-US"/>
        </w:rPr>
        <w:t xml:space="preserve">afirmó que convocaría a los sectores y entidades correspondientes, a efectos de evaluar la posibilidad de que las becas solicitadas pudieran ser efectivamente entregadas a los familiares de las presuntas víctimas. En la audiencia pública, explicó que en el marco de la supervisión de cumplimiento de las recomendaciones dispuestas por la Comisión en su Informe de Admisibilidad y Fondo, se tuvieron conversaciones con los representantes </w:t>
      </w:r>
      <w:r w:rsidRPr="002964A7">
        <w:rPr>
          <w:rFonts w:ascii="Verdana" w:hAnsi="Verdana"/>
          <w:spacing w:val="-2"/>
          <w:sz w:val="20"/>
          <w:szCs w:val="20"/>
        </w:rPr>
        <w:t>en el ámbito interno para canalizar de forma operativa esta solicitud de reparación</w:t>
      </w:r>
      <w:r>
        <w:rPr>
          <w:rFonts w:ascii="Verdana" w:hAnsi="Verdana"/>
          <w:spacing w:val="-2"/>
          <w:sz w:val="20"/>
          <w:szCs w:val="20"/>
        </w:rPr>
        <w:t>;</w:t>
      </w:r>
      <w:r w:rsidRPr="002964A7">
        <w:rPr>
          <w:rFonts w:ascii="Verdana" w:hAnsi="Verdana"/>
          <w:spacing w:val="-2"/>
          <w:sz w:val="20"/>
          <w:szCs w:val="20"/>
        </w:rPr>
        <w:t xml:space="preserve"> sin embargo, “no se brindó información, había una discrepancia sobre los nombres [y] sobre algunas personas que habían sido involucradas”.</w:t>
      </w:r>
    </w:p>
    <w:p w:rsidR="00AB496F" w:rsidRPr="008F34BF" w:rsidRDefault="00AB496F" w:rsidP="00AB496F">
      <w:pPr>
        <w:pStyle w:val="ListParagraph"/>
        <w:autoSpaceDE w:val="0"/>
        <w:autoSpaceDN w:val="0"/>
        <w:adjustRightInd w:val="0"/>
        <w:spacing w:after="0" w:line="240" w:lineRule="auto"/>
        <w:ind w:left="0"/>
        <w:jc w:val="bot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spacing w:val="-2"/>
          <w:sz w:val="20"/>
          <w:szCs w:val="20"/>
        </w:rPr>
        <w:t>L</w:t>
      </w:r>
      <w:r w:rsidRPr="002964A7">
        <w:rPr>
          <w:rFonts w:ascii="Verdana" w:hAnsi="Verdana"/>
          <w:spacing w:val="-2"/>
          <w:sz w:val="20"/>
          <w:szCs w:val="20"/>
          <w:lang w:val="es-ES"/>
        </w:rPr>
        <w:t xml:space="preserve">a </w:t>
      </w:r>
      <w:r w:rsidRPr="002A76B3">
        <w:rPr>
          <w:rFonts w:ascii="Verdana" w:hAnsi="Verdana"/>
          <w:b/>
          <w:spacing w:val="-2"/>
          <w:sz w:val="20"/>
          <w:szCs w:val="20"/>
          <w:lang w:val="es-ES"/>
        </w:rPr>
        <w:t>Corte</w:t>
      </w:r>
      <w:r w:rsidRPr="002964A7">
        <w:rPr>
          <w:rFonts w:ascii="Verdana" w:hAnsi="Verdana"/>
          <w:spacing w:val="-2"/>
          <w:sz w:val="20"/>
          <w:szCs w:val="20"/>
          <w:lang w:val="es-ES"/>
        </w:rPr>
        <w:t xml:space="preserve"> valora positivamente </w:t>
      </w:r>
      <w:r w:rsidRPr="002964A7">
        <w:rPr>
          <w:rFonts w:ascii="Verdana" w:hAnsi="Verdana"/>
          <w:spacing w:val="-2"/>
          <w:sz w:val="20"/>
          <w:szCs w:val="20"/>
        </w:rPr>
        <w:t xml:space="preserve">los esfuerzos realizados por el Estado a </w:t>
      </w:r>
      <w:r w:rsidRPr="002964A7">
        <w:rPr>
          <w:rFonts w:ascii="Verdana" w:hAnsi="Verdana" w:cs="Verdana-Italic"/>
          <w:iCs/>
          <w:spacing w:val="-2"/>
          <w:sz w:val="20"/>
          <w:szCs w:val="20"/>
          <w:lang w:bidi="en-US"/>
        </w:rPr>
        <w:t xml:space="preserve">efectos de evaluar la posibilidad de que las becas solicitadas puedan ser efectivamente entregadas a los familiares de las víctimas en el presente caso. Además, advierte que </w:t>
      </w:r>
      <w:r w:rsidRPr="002964A7">
        <w:rPr>
          <w:rFonts w:ascii="Verdana" w:hAnsi="Verdana"/>
          <w:spacing w:val="-2"/>
          <w:sz w:val="20"/>
          <w:szCs w:val="20"/>
          <w:lang w:val="es-ES_tradnl"/>
        </w:rPr>
        <w:t xml:space="preserve">los representantes se refirieron, al menos ante este Tribunal, a los casos específicos de los familiares de los señores </w:t>
      </w:r>
      <w:r w:rsidRPr="002964A7">
        <w:rPr>
          <w:rFonts w:ascii="Verdana" w:hAnsi="Verdana" w:cs="Verdana-Italic"/>
          <w:iCs/>
          <w:spacing w:val="-2"/>
          <w:sz w:val="20"/>
          <w:szCs w:val="20"/>
          <w:lang w:bidi="en-US"/>
        </w:rPr>
        <w:t>Gregorio Hilario Quispe, Zenón Cirilo Osnayo Tunque y Marino Huamaní Vergara, y que con la información disponible pueden ser canalizados operativamente por el Estado. La Corte toma nota de dicha solicitud, así como de los esfuerzos y la</w:t>
      </w:r>
      <w:r w:rsidRPr="002964A7">
        <w:rPr>
          <w:rFonts w:ascii="Verdana" w:hAnsi="Verdana"/>
          <w:spacing w:val="-2"/>
          <w:sz w:val="20"/>
          <w:szCs w:val="20"/>
        </w:rPr>
        <w:t xml:space="preserve"> buena fe expresada por el </w:t>
      </w:r>
      <w:r>
        <w:rPr>
          <w:rFonts w:ascii="Verdana" w:hAnsi="Verdana"/>
          <w:spacing w:val="-2"/>
          <w:sz w:val="20"/>
          <w:szCs w:val="20"/>
        </w:rPr>
        <w:t>Perú</w:t>
      </w:r>
      <w:r w:rsidRPr="002964A7">
        <w:rPr>
          <w:rFonts w:ascii="Verdana" w:hAnsi="Verdana"/>
          <w:spacing w:val="-2"/>
          <w:sz w:val="20"/>
          <w:szCs w:val="20"/>
        </w:rPr>
        <w:t xml:space="preserve">, la cual busca reparar el daño causado a los familiares de las víctimas desaparecidas. </w:t>
      </w:r>
      <w:r w:rsidRPr="002964A7">
        <w:rPr>
          <w:rFonts w:ascii="Verdana" w:hAnsi="Verdana" w:cs="Verdana-Italic"/>
          <w:iCs/>
          <w:spacing w:val="-2"/>
          <w:sz w:val="20"/>
          <w:szCs w:val="20"/>
          <w:lang w:bidi="en-US"/>
        </w:rPr>
        <w:t xml:space="preserve">Sin embargo, </w:t>
      </w:r>
      <w:r w:rsidRPr="002964A7">
        <w:rPr>
          <w:rFonts w:ascii="Verdana" w:hAnsi="Verdana"/>
          <w:spacing w:val="-2"/>
          <w:sz w:val="20"/>
          <w:szCs w:val="20"/>
        </w:rPr>
        <w:t>considera que no es necesario ordenar la medida referida.</w:t>
      </w:r>
    </w:p>
    <w:p w:rsidR="00AB496F" w:rsidRPr="002964A7" w:rsidRDefault="00AB496F" w:rsidP="00AB496F">
      <w:pPr>
        <w:pStyle w:val="ListParagraph"/>
        <w:widowControl w:val="0"/>
        <w:tabs>
          <w:tab w:val="left" w:pos="90"/>
          <w:tab w:val="left" w:pos="567"/>
        </w:tabs>
        <w:suppressAutoHyphens/>
        <w:autoSpaceDE w:val="0"/>
        <w:spacing w:after="0" w:line="240" w:lineRule="auto"/>
        <w:ind w:left="0" w:right="-121"/>
        <w:contextualSpacing w:val="0"/>
        <w:jc w:val="both"/>
        <w:rPr>
          <w:rFonts w:ascii="Verdana" w:hAnsi="Verdana" w:cs="Verdana-Italic"/>
          <w:i/>
          <w:iCs/>
          <w:spacing w:val="-2"/>
          <w:sz w:val="20"/>
          <w:szCs w:val="20"/>
          <w:lang w:bidi="en-US"/>
        </w:rPr>
      </w:pPr>
    </w:p>
    <w:p w:rsidR="00AB496F"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 xml:space="preserve">La </w:t>
      </w:r>
      <w:r w:rsidRPr="002964A7">
        <w:rPr>
          <w:rFonts w:ascii="Verdana" w:hAnsi="Verdana" w:cs="Arial"/>
          <w:b/>
          <w:i/>
          <w:spacing w:val="-2"/>
          <w:sz w:val="20"/>
          <w:szCs w:val="20"/>
        </w:rPr>
        <w:t>Comisión</w:t>
      </w:r>
      <w:r w:rsidRPr="002964A7">
        <w:rPr>
          <w:rFonts w:ascii="Verdana" w:hAnsi="Verdana" w:cs="Arial"/>
          <w:spacing w:val="-2"/>
          <w:sz w:val="20"/>
          <w:szCs w:val="20"/>
        </w:rPr>
        <w:t xml:space="preserve"> solicitó la recuperación de la memoria de las víctimas des</w:t>
      </w:r>
      <w:r w:rsidR="00D66ECD">
        <w:rPr>
          <w:rFonts w:ascii="Verdana" w:hAnsi="Verdana" w:cs="Arial"/>
          <w:spacing w:val="-2"/>
          <w:sz w:val="20"/>
          <w:szCs w:val="20"/>
        </w:rPr>
        <w:t>a</w:t>
      </w:r>
      <w:r w:rsidRPr="002964A7">
        <w:rPr>
          <w:rFonts w:ascii="Verdana" w:hAnsi="Verdana" w:cs="Arial"/>
          <w:spacing w:val="-2"/>
          <w:sz w:val="20"/>
          <w:szCs w:val="20"/>
        </w:rPr>
        <w:t xml:space="preserve">parecidas. Los </w:t>
      </w:r>
      <w:r w:rsidRPr="002964A7">
        <w:rPr>
          <w:rFonts w:ascii="Verdana" w:hAnsi="Verdana" w:cs="Arial"/>
          <w:b/>
          <w:spacing w:val="-2"/>
          <w:sz w:val="20"/>
          <w:szCs w:val="20"/>
        </w:rPr>
        <w:t xml:space="preserve">representantes </w:t>
      </w:r>
      <w:r w:rsidRPr="002964A7">
        <w:rPr>
          <w:rFonts w:ascii="Verdana" w:hAnsi="Verdana" w:cs="Arial"/>
          <w:spacing w:val="-2"/>
          <w:sz w:val="20"/>
          <w:szCs w:val="20"/>
        </w:rPr>
        <w:t xml:space="preserve">solicitaron en sus alegatos finales escritos, como medida para recuperar la memoria de las víctimas desaparecidas, que se erija un monumento en la comunidad de Santa Bárbara. El </w:t>
      </w:r>
      <w:r w:rsidRPr="002964A7">
        <w:rPr>
          <w:rFonts w:ascii="Verdana" w:hAnsi="Verdana" w:cs="Arial"/>
          <w:b/>
          <w:i/>
          <w:spacing w:val="-2"/>
          <w:sz w:val="20"/>
          <w:szCs w:val="20"/>
        </w:rPr>
        <w:t>Estado</w:t>
      </w:r>
      <w:r w:rsidRPr="002964A7">
        <w:rPr>
          <w:rFonts w:ascii="Verdana" w:hAnsi="Verdana" w:cs="Arial"/>
          <w:spacing w:val="-2"/>
          <w:sz w:val="20"/>
          <w:szCs w:val="20"/>
        </w:rPr>
        <w:t xml:space="preserve"> no se pronunció al respecto. </w:t>
      </w:r>
    </w:p>
    <w:p w:rsidR="00AB496F" w:rsidRDefault="00AB496F" w:rsidP="00AB496F">
      <w:pPr>
        <w:pStyle w:val="ListParagraph"/>
        <w:autoSpaceDE w:val="0"/>
        <w:autoSpaceDN w:val="0"/>
        <w:adjustRightInd w:val="0"/>
        <w:spacing w:after="0" w:line="240" w:lineRule="auto"/>
        <w:ind w:left="0"/>
        <w:jc w:val="bot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spacing w:val="-2"/>
          <w:sz w:val="20"/>
          <w:szCs w:val="20"/>
          <w:lang w:val="es-ES"/>
        </w:rPr>
        <w:t xml:space="preserve">La </w:t>
      </w:r>
      <w:r w:rsidRPr="002A76B3">
        <w:rPr>
          <w:rFonts w:ascii="Verdana" w:hAnsi="Verdana"/>
          <w:b/>
          <w:spacing w:val="-2"/>
          <w:sz w:val="20"/>
          <w:szCs w:val="20"/>
          <w:lang w:val="es-ES"/>
        </w:rPr>
        <w:t>Corte</w:t>
      </w:r>
      <w:r w:rsidRPr="002964A7">
        <w:rPr>
          <w:rFonts w:ascii="Verdana" w:hAnsi="Verdana"/>
          <w:spacing w:val="-2"/>
          <w:sz w:val="20"/>
          <w:szCs w:val="20"/>
          <w:lang w:val="es-ES"/>
        </w:rPr>
        <w:t xml:space="preserve"> considera que la solicitud de </w:t>
      </w:r>
      <w:r>
        <w:rPr>
          <w:rFonts w:ascii="Verdana" w:hAnsi="Verdana"/>
          <w:spacing w:val="-2"/>
          <w:sz w:val="20"/>
          <w:szCs w:val="20"/>
          <w:lang w:val="es-ES"/>
        </w:rPr>
        <w:t>la edificación de un monumento</w:t>
      </w:r>
      <w:r w:rsidRPr="002964A7">
        <w:rPr>
          <w:rFonts w:ascii="Verdana" w:hAnsi="Verdana"/>
          <w:spacing w:val="-2"/>
          <w:sz w:val="20"/>
          <w:szCs w:val="20"/>
          <w:lang w:val="es-ES"/>
        </w:rPr>
        <w:t xml:space="preserve"> es extemporánea pues</w:t>
      </w:r>
      <w:r w:rsidRPr="002964A7">
        <w:rPr>
          <w:rFonts w:ascii="Verdana" w:hAnsi="Verdana" w:cs="Arial"/>
          <w:spacing w:val="-2"/>
          <w:sz w:val="20"/>
          <w:szCs w:val="20"/>
        </w:rPr>
        <w:t xml:space="preserve"> </w:t>
      </w:r>
      <w:r w:rsidRPr="002964A7">
        <w:rPr>
          <w:rFonts w:ascii="Verdana" w:hAnsi="Verdana"/>
          <w:spacing w:val="-2"/>
          <w:sz w:val="20"/>
          <w:szCs w:val="20"/>
          <w:lang w:val="es-ES"/>
        </w:rPr>
        <w:t>fue presentada recién en los alegatos finales de los representantes</w:t>
      </w:r>
      <w:r>
        <w:rPr>
          <w:rFonts w:ascii="Verdana" w:hAnsi="Verdana"/>
          <w:spacing w:val="-2"/>
          <w:sz w:val="20"/>
          <w:szCs w:val="20"/>
          <w:lang w:val="es-ES"/>
        </w:rPr>
        <w:t>; además</w:t>
      </w:r>
      <w:r w:rsidRPr="002964A7">
        <w:rPr>
          <w:rFonts w:ascii="Verdana" w:hAnsi="Verdana"/>
          <w:spacing w:val="-2"/>
          <w:sz w:val="20"/>
          <w:szCs w:val="20"/>
          <w:lang w:val="es-ES"/>
        </w:rPr>
        <w:t xml:space="preserve"> no es </w:t>
      </w:r>
      <w:r w:rsidRPr="002964A7">
        <w:rPr>
          <w:rFonts w:ascii="Verdana" w:hAnsi="Verdana"/>
          <w:spacing w:val="-2"/>
          <w:sz w:val="20"/>
          <w:szCs w:val="20"/>
        </w:rPr>
        <w:t>necesario ordenar</w:t>
      </w:r>
      <w:r>
        <w:rPr>
          <w:rFonts w:ascii="Verdana" w:hAnsi="Verdana"/>
          <w:spacing w:val="-2"/>
          <w:sz w:val="20"/>
          <w:szCs w:val="20"/>
        </w:rPr>
        <w:t xml:space="preserve"> dicha medida </w:t>
      </w:r>
      <w:r w:rsidRPr="002964A7">
        <w:rPr>
          <w:rFonts w:ascii="Verdana" w:hAnsi="Verdana"/>
          <w:spacing w:val="-2"/>
          <w:sz w:val="20"/>
          <w:szCs w:val="20"/>
        </w:rPr>
        <w:t xml:space="preserve">dado que la publicación del Fallo </w:t>
      </w:r>
      <w:r w:rsidRPr="002964A7">
        <w:rPr>
          <w:rFonts w:ascii="Verdana" w:hAnsi="Verdana" w:cs="Verdana-Italic"/>
          <w:iCs/>
          <w:spacing w:val="-2"/>
          <w:sz w:val="20"/>
          <w:szCs w:val="20"/>
          <w:lang w:bidi="en-US"/>
        </w:rPr>
        <w:t>conforme</w:t>
      </w:r>
      <w:r w:rsidRPr="002964A7">
        <w:rPr>
          <w:rFonts w:ascii="Verdana" w:hAnsi="Verdana"/>
          <w:spacing w:val="-2"/>
          <w:sz w:val="20"/>
          <w:szCs w:val="20"/>
        </w:rPr>
        <w:t xml:space="preserve"> </w:t>
      </w:r>
      <w:r>
        <w:rPr>
          <w:rFonts w:ascii="Verdana" w:hAnsi="Verdana"/>
          <w:spacing w:val="-2"/>
          <w:sz w:val="20"/>
          <w:szCs w:val="20"/>
        </w:rPr>
        <w:t>a</w:t>
      </w:r>
      <w:r w:rsidRPr="002964A7">
        <w:rPr>
          <w:rFonts w:ascii="Verdana" w:hAnsi="Verdana"/>
          <w:spacing w:val="-2"/>
          <w:sz w:val="20"/>
          <w:szCs w:val="20"/>
        </w:rPr>
        <w:t xml:space="preserve">l párrafo </w:t>
      </w:r>
      <w:r>
        <w:rPr>
          <w:rFonts w:ascii="Verdana" w:hAnsi="Verdana"/>
          <w:spacing w:val="-2"/>
          <w:sz w:val="20"/>
          <w:szCs w:val="20"/>
        </w:rPr>
        <w:t>309</w:t>
      </w:r>
      <w:r w:rsidRPr="002964A7">
        <w:rPr>
          <w:rFonts w:ascii="Verdana" w:hAnsi="Verdana"/>
          <w:spacing w:val="-2"/>
          <w:sz w:val="20"/>
          <w:szCs w:val="20"/>
        </w:rPr>
        <w:t xml:space="preserve"> de la Sentencia es una medida suficiente para </w:t>
      </w:r>
      <w:r w:rsidRPr="002964A7">
        <w:rPr>
          <w:rFonts w:ascii="Verdana" w:hAnsi="Verdana" w:cs="Arial"/>
          <w:spacing w:val="-2"/>
          <w:sz w:val="20"/>
          <w:szCs w:val="20"/>
        </w:rPr>
        <w:t>recuperación de la memoria de las víctimas des</w:t>
      </w:r>
      <w:r w:rsidR="00D66ECD">
        <w:rPr>
          <w:rFonts w:ascii="Verdana" w:hAnsi="Verdana" w:cs="Arial"/>
          <w:spacing w:val="-2"/>
          <w:sz w:val="20"/>
          <w:szCs w:val="20"/>
        </w:rPr>
        <w:t>a</w:t>
      </w:r>
      <w:r w:rsidRPr="002964A7">
        <w:rPr>
          <w:rFonts w:ascii="Verdana" w:hAnsi="Verdana" w:cs="Arial"/>
          <w:spacing w:val="-2"/>
          <w:sz w:val="20"/>
          <w:szCs w:val="20"/>
        </w:rPr>
        <w:t>parecidas en este caso.</w:t>
      </w:r>
    </w:p>
    <w:p w:rsidR="00AB496F" w:rsidRPr="002964A7" w:rsidRDefault="00AB496F" w:rsidP="00AB496F">
      <w:pPr>
        <w:autoSpaceDE w:val="0"/>
        <w:autoSpaceDN w:val="0"/>
        <w:adjustRightInd w:val="0"/>
        <w:spacing w:after="0" w:line="240" w:lineRule="auto"/>
        <w:jc w:val="both"/>
        <w:rPr>
          <w:rFonts w:ascii="Verdana" w:eastAsiaTheme="minorHAnsi" w:hAnsi="Verdana" w:cs="Arial"/>
          <w:spacing w:val="-2"/>
          <w:sz w:val="20"/>
          <w:szCs w:val="20"/>
        </w:rPr>
      </w:pPr>
    </w:p>
    <w:p w:rsidR="00AB496F"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 xml:space="preserve">Los </w:t>
      </w:r>
      <w:r w:rsidRPr="002964A7">
        <w:rPr>
          <w:rFonts w:ascii="Verdana" w:hAnsi="Verdana" w:cs="Arial"/>
          <w:b/>
          <w:i/>
          <w:spacing w:val="-2"/>
          <w:sz w:val="20"/>
          <w:szCs w:val="20"/>
        </w:rPr>
        <w:t>representantes</w:t>
      </w:r>
      <w:r w:rsidRPr="002964A7">
        <w:rPr>
          <w:rFonts w:ascii="Verdana" w:hAnsi="Verdana" w:cs="Arial"/>
          <w:spacing w:val="-2"/>
          <w:sz w:val="20"/>
          <w:szCs w:val="20"/>
        </w:rPr>
        <w:t xml:space="preserve"> solicitaron que la Corte reitere al Estado su obligación de adecuar el tipo penal de desaparición forzada a las normas internacionales. En particular, señalar</w:t>
      </w:r>
      <w:r>
        <w:rPr>
          <w:rFonts w:ascii="Verdana" w:hAnsi="Verdana" w:cs="Arial"/>
          <w:spacing w:val="-2"/>
          <w:sz w:val="20"/>
          <w:szCs w:val="20"/>
        </w:rPr>
        <w:t>o</w:t>
      </w:r>
      <w:r w:rsidRPr="002964A7">
        <w:rPr>
          <w:rFonts w:ascii="Verdana" w:hAnsi="Verdana" w:cs="Arial"/>
          <w:spacing w:val="-2"/>
          <w:sz w:val="20"/>
          <w:szCs w:val="20"/>
        </w:rPr>
        <w:t xml:space="preserve">n que “la adecuación del artículo 320 del Código Penal ("desaparición forzada") al artículo II de la Convención Interamericana sobre Desapariciones Forzadas, sería esencial al </w:t>
      </w:r>
      <w:r w:rsidRPr="002964A7">
        <w:rPr>
          <w:rFonts w:ascii="Verdana" w:hAnsi="Verdana" w:cs="Arial"/>
          <w:spacing w:val="-2"/>
          <w:sz w:val="20"/>
          <w:szCs w:val="20"/>
        </w:rPr>
        <w:lastRenderedPageBreak/>
        <w:t xml:space="preserve">presente caso, “dado que dicha reforma constituye una medida esencial para la obtención de justicia”. </w:t>
      </w:r>
      <w:r w:rsidRPr="00597FE9">
        <w:rPr>
          <w:rFonts w:ascii="Verdana" w:hAnsi="Verdana" w:cs="Arial"/>
          <w:spacing w:val="-2"/>
          <w:sz w:val="20"/>
          <w:szCs w:val="20"/>
        </w:rPr>
        <w:t xml:space="preserve">El </w:t>
      </w:r>
      <w:r w:rsidRPr="00597FE9">
        <w:rPr>
          <w:rFonts w:ascii="Verdana" w:hAnsi="Verdana" w:cs="Arial"/>
          <w:b/>
          <w:i/>
          <w:spacing w:val="-2"/>
          <w:sz w:val="20"/>
          <w:szCs w:val="20"/>
        </w:rPr>
        <w:t>Estado</w:t>
      </w:r>
      <w:r w:rsidRPr="002964A7">
        <w:rPr>
          <w:rFonts w:ascii="Verdana" w:hAnsi="Verdana" w:cs="Arial"/>
          <w:spacing w:val="-2"/>
          <w:sz w:val="20"/>
          <w:szCs w:val="20"/>
        </w:rPr>
        <w:t xml:space="preserve"> afirmó que si bien los hechos del presente caso no se enmarcan en la comisión de hechos que constituyan una desaparición, a la fecha existen proyectos de ley que tienen por objeto la modificación de la regulación penal vigente en torno a </w:t>
      </w:r>
      <w:r w:rsidR="00335E16">
        <w:rPr>
          <w:rFonts w:ascii="Verdana" w:hAnsi="Verdana" w:cs="Arial"/>
          <w:spacing w:val="-2"/>
          <w:sz w:val="20"/>
          <w:szCs w:val="20"/>
        </w:rPr>
        <w:t>e</w:t>
      </w:r>
      <w:r w:rsidRPr="002964A7">
        <w:rPr>
          <w:rFonts w:ascii="Verdana" w:hAnsi="Verdana" w:cs="Arial"/>
          <w:spacing w:val="-2"/>
          <w:sz w:val="20"/>
          <w:szCs w:val="20"/>
        </w:rPr>
        <w:t xml:space="preserve">ste y otros delitos contra los derechos humanos regulados en la legislación nacional. Al respecto, informó que la Comisión de Justicia y Derechos Humanos del Congreso de la República, viene estudiando varios proyectos de ley sobre esta materia que proponen la reforma de la tipificación del delito de desaparición forzada, conforme a lo dispuesto por el Derecho Internacional de los Derechos Humanos, el Derecho Internacional Humanitario y el Derecho Penal Internacional. La </w:t>
      </w:r>
      <w:r w:rsidRPr="002964A7">
        <w:rPr>
          <w:rFonts w:ascii="Verdana" w:hAnsi="Verdana" w:cs="Arial"/>
          <w:b/>
          <w:i/>
          <w:spacing w:val="-2"/>
          <w:sz w:val="20"/>
          <w:szCs w:val="20"/>
        </w:rPr>
        <w:t>Comisión</w:t>
      </w:r>
      <w:r w:rsidRPr="002964A7">
        <w:rPr>
          <w:rFonts w:ascii="Verdana" w:hAnsi="Verdana" w:cs="Arial"/>
          <w:spacing w:val="-2"/>
          <w:sz w:val="20"/>
          <w:szCs w:val="20"/>
        </w:rPr>
        <w:t xml:space="preserve"> </w:t>
      </w:r>
      <w:r w:rsidRPr="002964A7">
        <w:rPr>
          <w:rFonts w:ascii="Verdana" w:hAnsi="Verdana" w:cs="Verdana-Italic"/>
          <w:iCs/>
          <w:spacing w:val="-2"/>
          <w:sz w:val="20"/>
          <w:szCs w:val="20"/>
          <w:lang w:bidi="en-US"/>
        </w:rPr>
        <w:t>no se refirió a este punto.</w:t>
      </w:r>
      <w:r w:rsidRPr="00804AB0">
        <w:rPr>
          <w:rFonts w:ascii="Verdana" w:hAnsi="Verdana" w:cs="Arial"/>
          <w:spacing w:val="-2"/>
          <w:sz w:val="20"/>
          <w:szCs w:val="20"/>
        </w:rPr>
        <w:t xml:space="preserve"> </w:t>
      </w:r>
    </w:p>
    <w:p w:rsidR="00AB496F" w:rsidRDefault="00AB496F" w:rsidP="00AB496F">
      <w:pPr>
        <w:pStyle w:val="ListParagraph"/>
        <w:autoSpaceDE w:val="0"/>
        <w:autoSpaceDN w:val="0"/>
        <w:adjustRightInd w:val="0"/>
        <w:spacing w:after="0" w:line="240" w:lineRule="auto"/>
        <w:ind w:left="0"/>
        <w:jc w:val="both"/>
        <w:rPr>
          <w:rFonts w:ascii="Verdana" w:hAnsi="Verdana" w:cs="Arial"/>
          <w:spacing w:val="-2"/>
          <w:sz w:val="20"/>
          <w:szCs w:val="20"/>
        </w:rPr>
      </w:pPr>
    </w:p>
    <w:p w:rsidR="00AB496F" w:rsidRPr="00A807EF"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 xml:space="preserve">En el presente caso, la </w:t>
      </w:r>
      <w:r w:rsidRPr="002A76B3">
        <w:rPr>
          <w:rFonts w:ascii="Verdana" w:hAnsi="Verdana" w:cs="Arial"/>
          <w:b/>
          <w:spacing w:val="-2"/>
          <w:sz w:val="20"/>
          <w:szCs w:val="20"/>
        </w:rPr>
        <w:t>Corte</w:t>
      </w:r>
      <w:r w:rsidRPr="002964A7">
        <w:rPr>
          <w:rFonts w:ascii="Verdana" w:hAnsi="Verdana" w:cs="Arial"/>
          <w:spacing w:val="-2"/>
          <w:sz w:val="20"/>
          <w:szCs w:val="20"/>
        </w:rPr>
        <w:t xml:space="preserve"> no declaró una violación del artículo 2 de la Convención Americana</w:t>
      </w:r>
      <w:r>
        <w:rPr>
          <w:rFonts w:ascii="Verdana" w:hAnsi="Verdana" w:cs="Arial"/>
          <w:spacing w:val="-2"/>
          <w:sz w:val="20"/>
          <w:szCs w:val="20"/>
        </w:rPr>
        <w:t xml:space="preserve"> ni del artículo III de la </w:t>
      </w:r>
      <w:r w:rsidR="008A00BD">
        <w:rPr>
          <w:rFonts w:ascii="Verdana" w:hAnsi="Verdana" w:cs="Arial"/>
          <w:spacing w:val="-2"/>
          <w:sz w:val="20"/>
          <w:szCs w:val="20"/>
        </w:rPr>
        <w:t>Convención Interamericana sobre Desaparición Forzada de Personas</w:t>
      </w:r>
      <w:r w:rsidR="008A00BD" w:rsidRPr="002964A7">
        <w:rPr>
          <w:rFonts w:ascii="Verdana" w:hAnsi="Verdana" w:cs="Arial"/>
          <w:spacing w:val="-2"/>
          <w:sz w:val="20"/>
          <w:szCs w:val="20"/>
        </w:rPr>
        <w:t xml:space="preserve"> </w:t>
      </w:r>
      <w:r w:rsidRPr="002964A7">
        <w:rPr>
          <w:rFonts w:ascii="Verdana" w:hAnsi="Verdana" w:cs="Arial"/>
          <w:spacing w:val="-2"/>
          <w:sz w:val="20"/>
          <w:szCs w:val="20"/>
        </w:rPr>
        <w:t xml:space="preserve">en relación con la presunta aplicación del artículo 320 del Código Penal, por lo que no existe un nexo causal entre las violaciones declaradas en esta Sentencia y la medida de reparación solicitada. Sin perjuicio de ello, el Tribunal recuerda que en las Sentencias dictadas en los casos </w:t>
      </w:r>
      <w:r w:rsidRPr="002964A7">
        <w:rPr>
          <w:rFonts w:ascii="Verdana" w:hAnsi="Verdana" w:cs="Arial"/>
          <w:i/>
          <w:spacing w:val="-2"/>
          <w:sz w:val="20"/>
          <w:szCs w:val="20"/>
        </w:rPr>
        <w:t>Gómez Palomino</w:t>
      </w:r>
      <w:r w:rsidRPr="002964A7">
        <w:rPr>
          <w:rStyle w:val="FootnoteReference"/>
          <w:rFonts w:eastAsiaTheme="minorHAnsi" w:cs="Arial"/>
          <w:spacing w:val="-2"/>
          <w:szCs w:val="20"/>
        </w:rPr>
        <w:footnoteReference w:id="373"/>
      </w:r>
      <w:r w:rsidRPr="002964A7">
        <w:rPr>
          <w:rFonts w:ascii="Verdana" w:hAnsi="Verdana" w:cs="Arial"/>
          <w:i/>
          <w:spacing w:val="-2"/>
          <w:sz w:val="20"/>
          <w:szCs w:val="20"/>
        </w:rPr>
        <w:t>, Anzualdo Castro</w:t>
      </w:r>
      <w:r w:rsidRPr="002964A7">
        <w:rPr>
          <w:rStyle w:val="FootnoteReference"/>
          <w:rFonts w:eastAsiaTheme="minorHAnsi" w:cs="Arial"/>
          <w:spacing w:val="-2"/>
          <w:szCs w:val="20"/>
        </w:rPr>
        <w:footnoteReference w:id="374"/>
      </w:r>
      <w:r w:rsidRPr="002964A7">
        <w:rPr>
          <w:rFonts w:ascii="Verdana" w:hAnsi="Verdana" w:cs="Arial"/>
          <w:i/>
          <w:spacing w:val="-2"/>
          <w:sz w:val="20"/>
          <w:szCs w:val="20"/>
        </w:rPr>
        <w:t xml:space="preserve"> y Osorio Rivera</w:t>
      </w:r>
      <w:r w:rsidRPr="002964A7">
        <w:rPr>
          <w:rStyle w:val="FootnoteReference"/>
          <w:rFonts w:eastAsiaTheme="minorHAnsi" w:cs="Arial"/>
          <w:spacing w:val="-2"/>
          <w:szCs w:val="20"/>
        </w:rPr>
        <w:footnoteReference w:id="375"/>
      </w:r>
      <w:r w:rsidRPr="002964A7">
        <w:rPr>
          <w:rFonts w:ascii="Verdana" w:hAnsi="Verdana" w:cs="Arial"/>
          <w:i/>
          <w:spacing w:val="-2"/>
          <w:sz w:val="20"/>
          <w:szCs w:val="20"/>
        </w:rPr>
        <w:t xml:space="preserve"> </w:t>
      </w:r>
      <w:r w:rsidRPr="002964A7">
        <w:rPr>
          <w:rFonts w:ascii="Verdana" w:hAnsi="Verdana"/>
          <w:spacing w:val="-2"/>
          <w:sz w:val="20"/>
          <w:szCs w:val="20"/>
        </w:rPr>
        <w:t>ya se ordenó al Estado la referida adecuación de la legislación interna</w:t>
      </w:r>
      <w:r w:rsidRPr="002964A7">
        <w:rPr>
          <w:rFonts w:ascii="Verdana" w:hAnsi="Verdana" w:cs="Arial"/>
          <w:spacing w:val="-2"/>
          <w:sz w:val="20"/>
          <w:szCs w:val="20"/>
        </w:rPr>
        <w:t xml:space="preserve">, y que </w:t>
      </w:r>
      <w:r w:rsidR="00335E16">
        <w:rPr>
          <w:rFonts w:ascii="Verdana" w:hAnsi="Verdana" w:cs="Arial"/>
          <w:spacing w:val="-2"/>
          <w:sz w:val="20"/>
          <w:szCs w:val="20"/>
        </w:rPr>
        <w:t>e</w:t>
      </w:r>
      <w:r w:rsidRPr="002964A7">
        <w:rPr>
          <w:rFonts w:ascii="Verdana" w:hAnsi="Verdana" w:cs="Arial"/>
          <w:spacing w:val="-2"/>
          <w:sz w:val="20"/>
          <w:szCs w:val="20"/>
        </w:rPr>
        <w:t xml:space="preserve">stos se encuentran en la etapa de supervisión del cumplimiento de sus respectivas sentencias. De este modo, </w:t>
      </w:r>
      <w:r w:rsidRPr="002964A7">
        <w:rPr>
          <w:rFonts w:ascii="Verdana" w:hAnsi="Verdana" w:cs="Times-Roman"/>
          <w:spacing w:val="-2"/>
          <w:sz w:val="20"/>
          <w:szCs w:val="20"/>
          <w:lang w:val="es-ES" w:bidi="en-US"/>
        </w:rPr>
        <w:t>el Tribunal exhorta al Estado a continuar con el trámite legislativo y a adoptar, en un plazo razonable y de acuerdo con la obligación emanada del artículo 2 de la Convención Americana, las medidas que sean necesarias para tipificar el delito de desaparición forzada de personas de conformidad con los estándares interamericanos.</w:t>
      </w:r>
    </w:p>
    <w:p w:rsidR="00AB496F" w:rsidRPr="0058422B" w:rsidRDefault="00AB496F" w:rsidP="0058422B">
      <w:pPr>
        <w:pStyle w:val="ListParagraph"/>
        <w:spacing w:after="0" w:line="240" w:lineRule="auto"/>
        <w:ind w:left="0"/>
        <w:jc w:val="both"/>
        <w:rPr>
          <w:rFonts w:ascii="Verdana" w:hAnsi="Verdana" w:cs="Arial"/>
          <w:b/>
          <w:spacing w:val="-2"/>
          <w:sz w:val="16"/>
          <w:szCs w:val="20"/>
          <w:lang w:val="es-ES"/>
        </w:rPr>
      </w:pPr>
    </w:p>
    <w:p w:rsidR="00AB496F" w:rsidRPr="002964A7" w:rsidRDefault="0058422B" w:rsidP="0058422B">
      <w:pPr>
        <w:pStyle w:val="Heading3"/>
        <w:spacing w:line="240" w:lineRule="auto"/>
      </w:pPr>
      <w:bookmarkStart w:id="276" w:name="_Toc423102580"/>
      <w:bookmarkStart w:id="277" w:name="_Toc433387536"/>
      <w:r>
        <w:rPr>
          <w:rFonts w:eastAsia="MS Mincho"/>
        </w:rPr>
        <w:t xml:space="preserve">D. </w:t>
      </w:r>
      <w:r w:rsidR="00AB496F" w:rsidRPr="002964A7">
        <w:rPr>
          <w:rFonts w:eastAsia="MS Mincho"/>
        </w:rPr>
        <w:t>Indemnizaciones Compensatorias</w:t>
      </w:r>
      <w:bookmarkEnd w:id="276"/>
      <w:bookmarkEnd w:id="277"/>
    </w:p>
    <w:p w:rsidR="00AB496F" w:rsidRPr="0058422B" w:rsidRDefault="00AB496F" w:rsidP="0058422B">
      <w:pPr>
        <w:widowControl w:val="0"/>
        <w:tabs>
          <w:tab w:val="left" w:pos="90"/>
          <w:tab w:val="left" w:pos="567"/>
        </w:tabs>
        <w:suppressAutoHyphens/>
        <w:autoSpaceDE w:val="0"/>
        <w:spacing w:after="0" w:line="240" w:lineRule="auto"/>
        <w:ind w:right="-121"/>
        <w:jc w:val="both"/>
        <w:rPr>
          <w:rFonts w:ascii="Verdana" w:hAnsi="Verdana" w:cs="Verdana-Italic"/>
          <w:i/>
          <w:iCs/>
          <w:spacing w:val="-2"/>
          <w:sz w:val="16"/>
          <w:szCs w:val="20"/>
          <w:lang w:bidi="en-US"/>
        </w:rPr>
      </w:pPr>
    </w:p>
    <w:p w:rsidR="00AB496F" w:rsidRPr="002964A7" w:rsidRDefault="00AB496F" w:rsidP="0058422B">
      <w:pPr>
        <w:widowControl w:val="0"/>
        <w:suppressAutoHyphens/>
        <w:autoSpaceDE w:val="0"/>
        <w:spacing w:after="0" w:line="240" w:lineRule="auto"/>
        <w:ind w:right="-121" w:firstLine="717"/>
        <w:jc w:val="both"/>
        <w:rPr>
          <w:rFonts w:ascii="Verdana" w:hAnsi="Verdana" w:cs="Verdana-Italic"/>
          <w:i/>
          <w:iCs/>
          <w:spacing w:val="-2"/>
          <w:sz w:val="20"/>
          <w:szCs w:val="20"/>
          <w:lang w:bidi="en-US"/>
        </w:rPr>
      </w:pPr>
      <w:r w:rsidRPr="002964A7">
        <w:rPr>
          <w:rFonts w:ascii="Verdana" w:hAnsi="Verdana" w:cs="Verdana-Italic"/>
          <w:i/>
          <w:iCs/>
          <w:spacing w:val="-2"/>
          <w:sz w:val="20"/>
          <w:szCs w:val="20"/>
          <w:lang w:bidi="en-US"/>
        </w:rPr>
        <w:t>Argumentos de la Comisión</w:t>
      </w:r>
      <w:r>
        <w:rPr>
          <w:rFonts w:ascii="Verdana" w:hAnsi="Verdana" w:cs="Verdana-Italic"/>
          <w:i/>
          <w:iCs/>
          <w:spacing w:val="-2"/>
          <w:sz w:val="20"/>
          <w:szCs w:val="20"/>
          <w:lang w:bidi="en-US"/>
        </w:rPr>
        <w:t xml:space="preserve"> y</w:t>
      </w:r>
      <w:r w:rsidRPr="004A1DB0">
        <w:rPr>
          <w:rFonts w:ascii="Verdana" w:hAnsi="Verdana" w:cs="Verdana-Italic"/>
          <w:i/>
          <w:iCs/>
          <w:spacing w:val="-2"/>
          <w:sz w:val="20"/>
          <w:szCs w:val="20"/>
          <w:lang w:bidi="en-US"/>
        </w:rPr>
        <w:t xml:space="preserve"> </w:t>
      </w:r>
      <w:r w:rsidRPr="002964A7">
        <w:rPr>
          <w:rFonts w:ascii="Verdana" w:hAnsi="Verdana" w:cs="Verdana-Italic"/>
          <w:i/>
          <w:iCs/>
          <w:spacing w:val="-2"/>
          <w:sz w:val="20"/>
          <w:szCs w:val="20"/>
          <w:lang w:bidi="en-US"/>
        </w:rPr>
        <w:t>las partes</w:t>
      </w:r>
    </w:p>
    <w:p w:rsidR="00AB496F" w:rsidRPr="002964A7" w:rsidRDefault="00AB496F" w:rsidP="0058422B">
      <w:pPr>
        <w:widowControl w:val="0"/>
        <w:tabs>
          <w:tab w:val="left" w:pos="90"/>
          <w:tab w:val="left" w:pos="567"/>
        </w:tabs>
        <w:suppressAutoHyphens/>
        <w:autoSpaceDE w:val="0"/>
        <w:spacing w:after="0" w:line="240" w:lineRule="auto"/>
        <w:ind w:right="-121"/>
        <w:jc w:val="both"/>
        <w:rPr>
          <w:rFonts w:ascii="Verdana" w:hAnsi="Verdana" w:cs="Verdana-Italic"/>
          <w:i/>
          <w:iCs/>
          <w:spacing w:val="-2"/>
          <w:sz w:val="20"/>
          <w:szCs w:val="20"/>
          <w:lang w:bidi="en-US"/>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 xml:space="preserve">La </w:t>
      </w:r>
      <w:r w:rsidRPr="002964A7">
        <w:rPr>
          <w:rFonts w:ascii="Verdana" w:hAnsi="Verdana" w:cs="Arial"/>
          <w:b/>
          <w:i/>
          <w:spacing w:val="-2"/>
          <w:sz w:val="20"/>
          <w:szCs w:val="20"/>
        </w:rPr>
        <w:t>Comisión</w:t>
      </w:r>
      <w:r w:rsidRPr="002964A7">
        <w:rPr>
          <w:rFonts w:ascii="Verdana" w:hAnsi="Verdana" w:cs="Arial"/>
          <w:spacing w:val="-2"/>
          <w:sz w:val="20"/>
          <w:szCs w:val="20"/>
        </w:rPr>
        <w:t xml:space="preserve"> solicitó que la Corte ordene al Estado reparar adecuadamente a las víctimas tanto en el aspecto material como moral, teniendo en cuenta la especial condición de l</w:t>
      </w:r>
      <w:r>
        <w:rPr>
          <w:rFonts w:ascii="Verdana" w:hAnsi="Verdana" w:cs="Arial"/>
          <w:spacing w:val="-2"/>
          <w:sz w:val="20"/>
          <w:szCs w:val="20"/>
        </w:rPr>
        <w:t>a</w:t>
      </w:r>
      <w:r w:rsidRPr="002964A7">
        <w:rPr>
          <w:rFonts w:ascii="Verdana" w:hAnsi="Verdana" w:cs="Arial"/>
          <w:spacing w:val="-2"/>
          <w:sz w:val="20"/>
          <w:szCs w:val="20"/>
        </w:rPr>
        <w:t>s siete niñ</w:t>
      </w:r>
      <w:r>
        <w:rPr>
          <w:rFonts w:ascii="Verdana" w:hAnsi="Verdana" w:cs="Arial"/>
          <w:spacing w:val="-2"/>
          <w:sz w:val="20"/>
          <w:szCs w:val="20"/>
        </w:rPr>
        <w:t>a</w:t>
      </w:r>
      <w:r w:rsidRPr="002964A7">
        <w:rPr>
          <w:rFonts w:ascii="Verdana" w:hAnsi="Verdana" w:cs="Arial"/>
          <w:spacing w:val="-2"/>
          <w:sz w:val="20"/>
          <w:szCs w:val="20"/>
        </w:rPr>
        <w:t>s y niñ</w:t>
      </w:r>
      <w:r>
        <w:rPr>
          <w:rFonts w:ascii="Verdana" w:hAnsi="Verdana" w:cs="Arial"/>
          <w:spacing w:val="-2"/>
          <w:sz w:val="20"/>
          <w:szCs w:val="20"/>
        </w:rPr>
        <w:t>o</w:t>
      </w:r>
      <w:r w:rsidRPr="002964A7">
        <w:rPr>
          <w:rFonts w:ascii="Verdana" w:hAnsi="Verdana" w:cs="Arial"/>
          <w:spacing w:val="-2"/>
          <w:sz w:val="20"/>
          <w:szCs w:val="20"/>
        </w:rPr>
        <w:t>s, incluyendo una justa compensación.</w:t>
      </w:r>
    </w:p>
    <w:p w:rsidR="00AB496F" w:rsidRPr="002964A7" w:rsidRDefault="00AB496F" w:rsidP="00AB496F">
      <w:pPr>
        <w:pStyle w:val="ListParagraph"/>
        <w:autoSpaceDE w:val="0"/>
        <w:autoSpaceDN w:val="0"/>
        <w:adjustRightInd w:val="0"/>
        <w:spacing w:after="0" w:line="240" w:lineRule="auto"/>
        <w:ind w:left="0"/>
        <w:jc w:val="bot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spacing w:val="-2"/>
          <w:sz w:val="20"/>
          <w:szCs w:val="20"/>
          <w:lang w:val="es-MX" w:eastAsia="es-ES"/>
        </w:rPr>
        <w:t xml:space="preserve">Los </w:t>
      </w:r>
      <w:r w:rsidRPr="002964A7">
        <w:rPr>
          <w:rFonts w:ascii="Verdana" w:hAnsi="Verdana"/>
          <w:b/>
          <w:i/>
          <w:spacing w:val="-2"/>
          <w:sz w:val="20"/>
          <w:szCs w:val="20"/>
          <w:lang w:val="es-MX" w:eastAsia="es-ES"/>
        </w:rPr>
        <w:t>representantes</w:t>
      </w:r>
      <w:r w:rsidRPr="002964A7">
        <w:rPr>
          <w:rFonts w:ascii="Verdana" w:hAnsi="Verdana"/>
          <w:i/>
          <w:spacing w:val="-2"/>
          <w:sz w:val="20"/>
          <w:szCs w:val="20"/>
          <w:lang w:val="es-MX" w:eastAsia="es-ES"/>
        </w:rPr>
        <w:t xml:space="preserve"> </w:t>
      </w:r>
      <w:r w:rsidRPr="002964A7">
        <w:rPr>
          <w:rFonts w:ascii="Verdana" w:hAnsi="Verdana" w:cs="Arial"/>
          <w:spacing w:val="-2"/>
          <w:sz w:val="20"/>
          <w:szCs w:val="20"/>
        </w:rPr>
        <w:t xml:space="preserve">solicitaron al Tribunal que ordene al Estado a pagar a cada una de las 15 víctimas desaparecidas de manera forzada, en concepto de indemnización por el daño moral causado por las violaciones </w:t>
      </w:r>
      <w:r w:rsidRPr="002964A7">
        <w:rPr>
          <w:rFonts w:ascii="Verdana" w:hAnsi="Verdana" w:cs="Verdana-Italic"/>
          <w:iCs/>
          <w:spacing w:val="-2"/>
          <w:sz w:val="20"/>
          <w:szCs w:val="20"/>
          <w:lang w:bidi="en-US"/>
        </w:rPr>
        <w:t>cometidas</w:t>
      </w:r>
      <w:r w:rsidRPr="002964A7">
        <w:rPr>
          <w:rFonts w:ascii="Verdana" w:hAnsi="Verdana" w:cs="Arial"/>
          <w:spacing w:val="-2"/>
          <w:sz w:val="20"/>
          <w:szCs w:val="20"/>
        </w:rPr>
        <w:t xml:space="preserve"> en su contra, la suma de USD </w:t>
      </w:r>
      <w:r>
        <w:rPr>
          <w:rFonts w:ascii="Verdana" w:hAnsi="Verdana" w:cs="Arial"/>
          <w:spacing w:val="-2"/>
          <w:sz w:val="20"/>
          <w:szCs w:val="20"/>
        </w:rPr>
        <w:t>$</w:t>
      </w:r>
      <w:r w:rsidRPr="002964A7">
        <w:rPr>
          <w:rFonts w:ascii="Verdana" w:hAnsi="Verdana" w:cs="Arial"/>
          <w:spacing w:val="-2"/>
          <w:sz w:val="20"/>
          <w:szCs w:val="20"/>
        </w:rPr>
        <w:t xml:space="preserve">80,000.00, monto que </w:t>
      </w:r>
      <w:r>
        <w:rPr>
          <w:rFonts w:ascii="Verdana" w:hAnsi="Verdana" w:cs="Arial"/>
          <w:spacing w:val="-2"/>
          <w:sz w:val="20"/>
          <w:szCs w:val="20"/>
        </w:rPr>
        <w:t>tendría</w:t>
      </w:r>
      <w:r w:rsidRPr="002964A7">
        <w:rPr>
          <w:rFonts w:ascii="Verdana" w:hAnsi="Verdana" w:cs="Arial"/>
          <w:spacing w:val="-2"/>
          <w:sz w:val="20"/>
          <w:szCs w:val="20"/>
        </w:rPr>
        <w:t xml:space="preserve"> como base la jurisprudencia de la Corte en materia de desaparición forzada en el Estado peruano. Asimismo, en razón de la gravedad que reviste la desaparición forzada en perjuicio de las niñas y niños que fueron víctimas de </w:t>
      </w:r>
      <w:r>
        <w:rPr>
          <w:rFonts w:ascii="Verdana" w:hAnsi="Verdana" w:cs="Arial"/>
          <w:spacing w:val="-2"/>
          <w:sz w:val="20"/>
          <w:szCs w:val="20"/>
        </w:rPr>
        <w:t>e</w:t>
      </w:r>
      <w:r w:rsidRPr="002964A7">
        <w:rPr>
          <w:rFonts w:ascii="Verdana" w:hAnsi="Verdana" w:cs="Arial"/>
          <w:spacing w:val="-2"/>
          <w:sz w:val="20"/>
          <w:szCs w:val="20"/>
        </w:rPr>
        <w:t xml:space="preserve">sta, solicitaron que se ordene </w:t>
      </w:r>
      <w:r>
        <w:rPr>
          <w:rFonts w:ascii="Verdana" w:hAnsi="Verdana" w:cs="Arial"/>
          <w:spacing w:val="-2"/>
          <w:sz w:val="20"/>
          <w:szCs w:val="20"/>
        </w:rPr>
        <w:t>a</w:t>
      </w:r>
      <w:r w:rsidRPr="002964A7">
        <w:rPr>
          <w:rFonts w:ascii="Verdana" w:hAnsi="Verdana" w:cs="Arial"/>
          <w:spacing w:val="-2"/>
          <w:sz w:val="20"/>
          <w:szCs w:val="20"/>
        </w:rPr>
        <w:t>l Estado pagar la suma adicional de USD $5</w:t>
      </w:r>
      <w:r>
        <w:rPr>
          <w:rFonts w:ascii="Verdana" w:hAnsi="Verdana" w:cs="Arial"/>
          <w:spacing w:val="-2"/>
          <w:sz w:val="20"/>
          <w:szCs w:val="20"/>
        </w:rPr>
        <w:t>,</w:t>
      </w:r>
      <w:r w:rsidRPr="002964A7">
        <w:rPr>
          <w:rFonts w:ascii="Verdana" w:hAnsi="Verdana" w:cs="Arial"/>
          <w:spacing w:val="-2"/>
          <w:sz w:val="20"/>
          <w:szCs w:val="20"/>
        </w:rPr>
        <w:t>000</w:t>
      </w:r>
      <w:r>
        <w:rPr>
          <w:rFonts w:ascii="Verdana" w:hAnsi="Verdana" w:cs="Arial"/>
          <w:spacing w:val="-2"/>
          <w:sz w:val="20"/>
          <w:szCs w:val="20"/>
        </w:rPr>
        <w:t>.00</w:t>
      </w:r>
      <w:r w:rsidRPr="002964A7">
        <w:rPr>
          <w:rFonts w:ascii="Verdana" w:hAnsi="Verdana" w:cs="Arial"/>
          <w:spacing w:val="-2"/>
          <w:sz w:val="20"/>
          <w:szCs w:val="20"/>
        </w:rPr>
        <w:t xml:space="preserve"> a favor de Yesenia, Miriam y Edith Osnayo Hilario, Wilmer Hilario Carhuapoma, Alex Jorge Hilario</w:t>
      </w:r>
      <w:r>
        <w:rPr>
          <w:rFonts w:ascii="Verdana" w:hAnsi="Verdana" w:cs="Arial"/>
          <w:spacing w:val="-2"/>
          <w:sz w:val="20"/>
          <w:szCs w:val="20"/>
        </w:rPr>
        <w:t xml:space="preserve"> y</w:t>
      </w:r>
      <w:r w:rsidRPr="002964A7">
        <w:rPr>
          <w:rFonts w:ascii="Verdana" w:hAnsi="Verdana" w:cs="Arial"/>
          <w:spacing w:val="-2"/>
          <w:sz w:val="20"/>
          <w:szCs w:val="20"/>
        </w:rPr>
        <w:t xml:space="preserve"> Raúl y Héctor Hilario Guillén. </w:t>
      </w:r>
      <w:r>
        <w:rPr>
          <w:rFonts w:ascii="Verdana" w:hAnsi="Verdana" w:cs="Arial"/>
          <w:spacing w:val="-2"/>
          <w:sz w:val="20"/>
          <w:szCs w:val="20"/>
        </w:rPr>
        <w:t>Según los representantes, d</w:t>
      </w:r>
      <w:r w:rsidRPr="002964A7">
        <w:rPr>
          <w:rFonts w:ascii="Verdana" w:hAnsi="Verdana" w:cs="Arial"/>
          <w:spacing w:val="-2"/>
          <w:sz w:val="20"/>
          <w:szCs w:val="20"/>
        </w:rPr>
        <w:t>ichos montos deben ser entregados a los familiares que correspondan de acuerdo al derecho interno en la línea de sucesión. Asimismo, solicitaron a la Corte que ordene al Estado pagar a los familiares directos de las víctimas desaparecidas la suma de USD $45,000</w:t>
      </w:r>
      <w:r>
        <w:rPr>
          <w:rFonts w:ascii="Verdana" w:hAnsi="Verdana" w:cs="Arial"/>
          <w:spacing w:val="-2"/>
          <w:sz w:val="20"/>
          <w:szCs w:val="20"/>
        </w:rPr>
        <w:t>.00</w:t>
      </w:r>
      <w:r w:rsidRPr="002964A7">
        <w:rPr>
          <w:rFonts w:ascii="Verdana" w:hAnsi="Verdana" w:cs="Arial"/>
          <w:spacing w:val="-2"/>
          <w:sz w:val="20"/>
          <w:szCs w:val="20"/>
        </w:rPr>
        <w:t xml:space="preserve"> </w:t>
      </w:r>
      <w:r>
        <w:rPr>
          <w:rFonts w:ascii="Verdana" w:hAnsi="Verdana" w:cs="Arial"/>
          <w:spacing w:val="-2"/>
          <w:sz w:val="20"/>
          <w:szCs w:val="20"/>
        </w:rPr>
        <w:t>a</w:t>
      </w:r>
      <w:r w:rsidRPr="002964A7">
        <w:rPr>
          <w:rFonts w:ascii="Verdana" w:hAnsi="Verdana" w:cs="Arial"/>
          <w:spacing w:val="-2"/>
          <w:sz w:val="20"/>
          <w:szCs w:val="20"/>
        </w:rPr>
        <w:t xml:space="preserve"> cada una de ellas por el daño moral causado por las violaciones cometidas en contra de sus seres queridos, así como pagar a los hermanos y otros familiares indirectos de las víctimas desaparecidas la suma de USD </w:t>
      </w:r>
      <w:r>
        <w:rPr>
          <w:rFonts w:ascii="Verdana" w:hAnsi="Verdana" w:cs="Arial"/>
          <w:spacing w:val="-2"/>
          <w:sz w:val="20"/>
          <w:szCs w:val="20"/>
        </w:rPr>
        <w:lastRenderedPageBreak/>
        <w:t>$</w:t>
      </w:r>
      <w:r w:rsidRPr="002964A7">
        <w:rPr>
          <w:rFonts w:ascii="Verdana" w:hAnsi="Verdana" w:cs="Arial"/>
          <w:spacing w:val="-2"/>
          <w:sz w:val="20"/>
          <w:szCs w:val="20"/>
        </w:rPr>
        <w:t>15,000</w:t>
      </w:r>
      <w:r>
        <w:rPr>
          <w:rFonts w:ascii="Verdana" w:hAnsi="Verdana" w:cs="Arial"/>
          <w:spacing w:val="-2"/>
          <w:sz w:val="20"/>
          <w:szCs w:val="20"/>
        </w:rPr>
        <w:t>.00 a</w:t>
      </w:r>
      <w:r w:rsidRPr="002964A7">
        <w:rPr>
          <w:rFonts w:ascii="Verdana" w:hAnsi="Verdana" w:cs="Arial"/>
          <w:spacing w:val="-2"/>
          <w:sz w:val="20"/>
          <w:szCs w:val="20"/>
        </w:rPr>
        <w:t xml:space="preserve"> cada una de ellas. En el caso de los familiares que a la fecha han fallecido, estos mont</w:t>
      </w:r>
      <w:r>
        <w:rPr>
          <w:rFonts w:ascii="Verdana" w:hAnsi="Verdana" w:cs="Arial"/>
          <w:spacing w:val="-2"/>
          <w:sz w:val="20"/>
          <w:szCs w:val="20"/>
        </w:rPr>
        <w:t>o</w:t>
      </w:r>
      <w:r w:rsidRPr="002964A7">
        <w:rPr>
          <w:rFonts w:ascii="Verdana" w:hAnsi="Verdana" w:cs="Arial"/>
          <w:spacing w:val="-2"/>
          <w:sz w:val="20"/>
          <w:szCs w:val="20"/>
        </w:rPr>
        <w:t xml:space="preserve">s se entregarían a quienes corresponda de acuerdo a </w:t>
      </w:r>
      <w:r>
        <w:rPr>
          <w:rFonts w:ascii="Verdana" w:hAnsi="Verdana" w:cs="Arial"/>
          <w:spacing w:val="-2"/>
          <w:sz w:val="20"/>
          <w:szCs w:val="20"/>
        </w:rPr>
        <w:t xml:space="preserve">la </w:t>
      </w:r>
      <w:r w:rsidRPr="002964A7">
        <w:rPr>
          <w:rFonts w:ascii="Verdana" w:hAnsi="Verdana" w:cs="Arial"/>
          <w:spacing w:val="-2"/>
          <w:sz w:val="20"/>
          <w:szCs w:val="20"/>
        </w:rPr>
        <w:t>línea de sucesión.</w:t>
      </w:r>
      <w:r w:rsidRPr="002964A7">
        <w:rPr>
          <w:rFonts w:ascii="Verdana" w:hAnsi="Verdana" w:cs="Arial"/>
          <w:b/>
          <w:spacing w:val="-2"/>
          <w:sz w:val="20"/>
          <w:szCs w:val="20"/>
        </w:rPr>
        <w:t xml:space="preserve"> </w:t>
      </w:r>
    </w:p>
    <w:p w:rsidR="00AB496F" w:rsidRPr="002964A7" w:rsidRDefault="00AB496F" w:rsidP="00AB496F">
      <w:pPr>
        <w:pStyle w:val="ListParagraph"/>
        <w:spacing w:after="0" w:line="240" w:lineRule="auto"/>
        <w:ind w:left="0"/>
        <w:jc w:val="bot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Los representantes también solicitaron</w:t>
      </w:r>
      <w:r>
        <w:rPr>
          <w:rFonts w:ascii="Verdana" w:hAnsi="Verdana" w:cs="Arial"/>
          <w:spacing w:val="-2"/>
          <w:sz w:val="20"/>
          <w:szCs w:val="20"/>
        </w:rPr>
        <w:t>,</w:t>
      </w:r>
      <w:r w:rsidRPr="002964A7">
        <w:rPr>
          <w:rFonts w:ascii="Verdana" w:hAnsi="Verdana" w:cs="Arial"/>
          <w:spacing w:val="-2"/>
          <w:sz w:val="20"/>
          <w:szCs w:val="20"/>
        </w:rPr>
        <w:t xml:space="preserve"> por concepto de daño material</w:t>
      </w:r>
      <w:r>
        <w:rPr>
          <w:rFonts w:ascii="Verdana" w:hAnsi="Verdana" w:cs="Arial"/>
          <w:spacing w:val="-2"/>
          <w:sz w:val="20"/>
          <w:szCs w:val="20"/>
        </w:rPr>
        <w:t>,</w:t>
      </w:r>
      <w:r w:rsidRPr="002964A7">
        <w:rPr>
          <w:rFonts w:ascii="Verdana" w:hAnsi="Verdana" w:cs="Arial"/>
          <w:spacing w:val="-2"/>
          <w:sz w:val="20"/>
          <w:szCs w:val="20"/>
        </w:rPr>
        <w:t xml:space="preserve"> el pago de daño emergente y lucro cesante. Respecto al daño emergente, señalaron que los miembros de las familias Hilario Quispe e Hilario </w:t>
      </w:r>
      <w:r>
        <w:rPr>
          <w:rFonts w:ascii="Verdana" w:hAnsi="Verdana" w:cs="Arial"/>
          <w:spacing w:val="-2"/>
          <w:sz w:val="20"/>
          <w:szCs w:val="20"/>
        </w:rPr>
        <w:t>Guillén</w:t>
      </w:r>
      <w:r w:rsidRPr="002964A7">
        <w:rPr>
          <w:rFonts w:ascii="Verdana" w:hAnsi="Verdana" w:cs="Arial"/>
          <w:spacing w:val="-2"/>
          <w:sz w:val="20"/>
          <w:szCs w:val="20"/>
        </w:rPr>
        <w:t xml:space="preserve"> perdieron sus respectivas casas, así como una cantidad de 450 </w:t>
      </w:r>
      <w:r w:rsidRPr="002964A7">
        <w:rPr>
          <w:rFonts w:ascii="Verdana" w:hAnsi="Verdana" w:cs="Verdana-Italic"/>
          <w:iCs/>
          <w:spacing w:val="-2"/>
          <w:sz w:val="20"/>
          <w:szCs w:val="20"/>
          <w:lang w:bidi="en-US"/>
        </w:rPr>
        <w:t>alpacas</w:t>
      </w:r>
      <w:r w:rsidRPr="002964A7">
        <w:rPr>
          <w:rFonts w:ascii="Verdana" w:hAnsi="Verdana" w:cs="Arial"/>
          <w:spacing w:val="-2"/>
          <w:sz w:val="20"/>
          <w:szCs w:val="20"/>
        </w:rPr>
        <w:t xml:space="preserve">, 300 cabezas de ovinos, 15 caballos y 19 vacunos, </w:t>
      </w:r>
      <w:r>
        <w:rPr>
          <w:rFonts w:ascii="Verdana" w:hAnsi="Verdana" w:cs="Arial"/>
          <w:spacing w:val="-2"/>
          <w:sz w:val="20"/>
          <w:szCs w:val="20"/>
        </w:rPr>
        <w:t>así como</w:t>
      </w:r>
      <w:r w:rsidRPr="002964A7">
        <w:rPr>
          <w:rFonts w:ascii="Verdana" w:hAnsi="Verdana" w:cs="Arial"/>
          <w:spacing w:val="-2"/>
          <w:sz w:val="20"/>
          <w:szCs w:val="20"/>
        </w:rPr>
        <w:t xml:space="preserve"> víveres consistentes en maíz, cebada, papa y otros, todo ello sustraído por efectivos militares. En este punto, dado que las víctimas no contaban con documentos que comprueben el valor de sus propiedades o los gastos realizados, solicitaron que se fije el monto en equidad. En cuanto al lucro cesante, sostuvieron que</w:t>
      </w:r>
      <w:r>
        <w:rPr>
          <w:rFonts w:ascii="Verdana" w:hAnsi="Verdana" w:cs="Arial"/>
          <w:spacing w:val="-2"/>
          <w:sz w:val="20"/>
          <w:szCs w:val="20"/>
        </w:rPr>
        <w:t>,</w:t>
      </w:r>
      <w:r w:rsidRPr="002964A7">
        <w:rPr>
          <w:rFonts w:ascii="Verdana" w:hAnsi="Verdana" w:cs="Arial"/>
          <w:spacing w:val="-2"/>
          <w:sz w:val="20"/>
          <w:szCs w:val="20"/>
        </w:rPr>
        <w:t xml:space="preserve"> como consecuencia de la interrupción de las actividades diarias de las víctimas y sus familiares, en virtud de lo ocurrido, existió una pérdida de ingresos económicos. Por lo anterior, solicitaron que el Estado pague el monto total de USD $1,042,072.90. Lo anterior, tomando en cuenta </w:t>
      </w:r>
      <w:r w:rsidRPr="002964A7">
        <w:rPr>
          <w:rFonts w:ascii="Verdana" w:hAnsi="Verdana"/>
          <w:spacing w:val="-2"/>
          <w:sz w:val="20"/>
          <w:szCs w:val="20"/>
        </w:rPr>
        <w:t>la</w:t>
      </w:r>
      <w:r w:rsidRPr="002964A7">
        <w:rPr>
          <w:rFonts w:ascii="Verdana" w:hAnsi="Verdana" w:cs="Arial"/>
          <w:spacing w:val="-2"/>
          <w:sz w:val="20"/>
          <w:szCs w:val="20"/>
        </w:rPr>
        <w:t xml:space="preserve"> edad de las víctimas a la fecha de deceso, edad mínima en </w:t>
      </w:r>
      <w:r>
        <w:rPr>
          <w:rFonts w:ascii="Verdana" w:hAnsi="Verdana" w:cs="Arial"/>
          <w:spacing w:val="-2"/>
          <w:sz w:val="20"/>
          <w:szCs w:val="20"/>
        </w:rPr>
        <w:t xml:space="preserve">el </w:t>
      </w:r>
      <w:r w:rsidRPr="002964A7">
        <w:rPr>
          <w:rFonts w:ascii="Verdana" w:hAnsi="Verdana" w:cs="Arial"/>
          <w:spacing w:val="-2"/>
          <w:sz w:val="20"/>
          <w:szCs w:val="20"/>
        </w:rPr>
        <w:t>Perú para trabajar (14 años, históricamente), expectativa promedio de vida en el Perú al momento de la muerte de las víctimas (67 años), serie de salario mínimo en el Perú desde el año de la primera muerte a la actualidad, serie de la variación de la tasa de cambio entre soles y dólares, y la capitalización de períodos anteriores y descuentos de valores futuros.</w:t>
      </w:r>
    </w:p>
    <w:p w:rsidR="00AB496F" w:rsidRPr="002964A7" w:rsidRDefault="00AB496F" w:rsidP="00AB496F">
      <w:pPr>
        <w:pStyle w:val="ListParagraph"/>
        <w:spacing w:after="0" w:line="240" w:lineRule="auto"/>
        <w:ind w:left="0"/>
        <w:jc w:val="bot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El</w:t>
      </w:r>
      <w:r w:rsidRPr="002964A7">
        <w:rPr>
          <w:rFonts w:ascii="Verdana" w:hAnsi="Verdana" w:cs="Arial"/>
          <w:b/>
          <w:i/>
          <w:spacing w:val="-2"/>
          <w:sz w:val="20"/>
          <w:szCs w:val="20"/>
        </w:rPr>
        <w:t xml:space="preserve"> Estado </w:t>
      </w:r>
      <w:r w:rsidRPr="002964A7">
        <w:rPr>
          <w:rFonts w:ascii="Verdana" w:hAnsi="Verdana" w:cs="Arial"/>
          <w:spacing w:val="-2"/>
          <w:sz w:val="20"/>
          <w:szCs w:val="20"/>
        </w:rPr>
        <w:t xml:space="preserve">manifestó su disconformidad por considerar excesivas las cantidades solicitadas respecto al daño material e inmaterial, y señaló que </w:t>
      </w:r>
      <w:r w:rsidRPr="002964A7">
        <w:rPr>
          <w:rFonts w:ascii="Verdana" w:hAnsi="Verdana"/>
          <w:spacing w:val="-2"/>
          <w:sz w:val="20"/>
          <w:szCs w:val="20"/>
        </w:rPr>
        <w:t>el Sistema Interamericano tiene como objeto la protección de los derechos humanos y no lucrar con el mismo.</w:t>
      </w:r>
      <w:r w:rsidRPr="002964A7">
        <w:rPr>
          <w:rFonts w:ascii="Verdana" w:hAnsi="Verdana" w:cs="Arial"/>
          <w:spacing w:val="-2"/>
          <w:sz w:val="20"/>
          <w:szCs w:val="20"/>
        </w:rPr>
        <w:t xml:space="preserve"> En relación con el daño </w:t>
      </w:r>
      <w:r w:rsidRPr="002964A7">
        <w:rPr>
          <w:rFonts w:ascii="Verdana" w:hAnsi="Verdana" w:cs="Verdana-Italic"/>
          <w:iCs/>
          <w:spacing w:val="-2"/>
          <w:sz w:val="20"/>
          <w:szCs w:val="20"/>
          <w:lang w:bidi="en-US"/>
        </w:rPr>
        <w:t>emergente</w:t>
      </w:r>
      <w:r w:rsidRPr="002964A7">
        <w:rPr>
          <w:rFonts w:ascii="Verdana" w:hAnsi="Verdana" w:cs="Arial"/>
          <w:spacing w:val="-2"/>
          <w:sz w:val="20"/>
          <w:szCs w:val="20"/>
        </w:rPr>
        <w:t>, indicó que “no se ha probado responsabilidad internacional por parte del Estado peruano respecto de los hechos denunciados en el presente caso en relación a la afectación a la propiedad y los gastos que ella ha podido acarrear</w:t>
      </w:r>
      <w:r>
        <w:rPr>
          <w:rFonts w:ascii="Verdana" w:hAnsi="Verdana" w:cs="Arial"/>
          <w:spacing w:val="-2"/>
          <w:sz w:val="20"/>
          <w:szCs w:val="20"/>
        </w:rPr>
        <w:t>”</w:t>
      </w:r>
      <w:r w:rsidRPr="002964A7">
        <w:rPr>
          <w:rFonts w:ascii="Verdana" w:hAnsi="Verdana" w:cs="Arial"/>
          <w:spacing w:val="-2"/>
          <w:sz w:val="20"/>
          <w:szCs w:val="20"/>
        </w:rPr>
        <w:t xml:space="preserve">. En sus alegatos finales el Estado solicitó a la Corte que no </w:t>
      </w:r>
      <w:r w:rsidRPr="002964A7">
        <w:rPr>
          <w:rFonts w:ascii="Verdana" w:hAnsi="Verdana"/>
          <w:spacing w:val="-2"/>
          <w:sz w:val="20"/>
          <w:szCs w:val="20"/>
        </w:rPr>
        <w:t xml:space="preserve">se disponga el pago de reparaciones adicionales en virtud del principio de complementariedad del sistema interamericano, ya que tanto por la vía judicial como por la vía del </w:t>
      </w:r>
      <w:r w:rsidRPr="002964A7">
        <w:rPr>
          <w:rFonts w:ascii="Verdana" w:hAnsi="Verdana"/>
          <w:iCs/>
          <w:spacing w:val="-2"/>
          <w:sz w:val="20"/>
          <w:szCs w:val="20"/>
        </w:rPr>
        <w:t xml:space="preserve">Plan Integral de Reparaciones </w:t>
      </w:r>
      <w:r>
        <w:rPr>
          <w:rFonts w:ascii="Verdana" w:hAnsi="Verdana"/>
          <w:iCs/>
          <w:spacing w:val="-2"/>
          <w:sz w:val="20"/>
          <w:szCs w:val="20"/>
        </w:rPr>
        <w:t>(</w:t>
      </w:r>
      <w:r w:rsidRPr="002964A7">
        <w:rPr>
          <w:rFonts w:ascii="Verdana" w:hAnsi="Verdana"/>
          <w:iCs/>
          <w:spacing w:val="-2"/>
          <w:sz w:val="20"/>
          <w:szCs w:val="20"/>
        </w:rPr>
        <w:t>PIR</w:t>
      </w:r>
      <w:r>
        <w:rPr>
          <w:rFonts w:ascii="Verdana" w:hAnsi="Verdana"/>
          <w:iCs/>
          <w:spacing w:val="-2"/>
          <w:sz w:val="20"/>
          <w:szCs w:val="20"/>
        </w:rPr>
        <w:t>)</w:t>
      </w:r>
      <w:r w:rsidRPr="002964A7">
        <w:rPr>
          <w:rFonts w:ascii="Verdana" w:hAnsi="Verdana"/>
          <w:spacing w:val="-2"/>
          <w:sz w:val="20"/>
          <w:szCs w:val="20"/>
        </w:rPr>
        <w:t xml:space="preserve"> se dispuso</w:t>
      </w:r>
      <w:r>
        <w:rPr>
          <w:rFonts w:ascii="Verdana" w:hAnsi="Verdana"/>
          <w:spacing w:val="-2"/>
          <w:sz w:val="20"/>
          <w:szCs w:val="20"/>
        </w:rPr>
        <w:t>,</w:t>
      </w:r>
      <w:r w:rsidRPr="002964A7">
        <w:rPr>
          <w:rFonts w:ascii="Verdana" w:hAnsi="Verdana"/>
          <w:spacing w:val="-2"/>
          <w:sz w:val="20"/>
          <w:szCs w:val="20"/>
        </w:rPr>
        <w:t xml:space="preserve"> y en algunos casos se otorgó, un pago de reparaciones a favor de los familiares (herederos legales) de los agraviados por los hechos sucedidos en la </w:t>
      </w:r>
      <w:r>
        <w:rPr>
          <w:rFonts w:ascii="Verdana" w:hAnsi="Verdana"/>
          <w:spacing w:val="-2"/>
          <w:sz w:val="20"/>
          <w:szCs w:val="20"/>
        </w:rPr>
        <w:t>c</w:t>
      </w:r>
      <w:r w:rsidRPr="002964A7">
        <w:rPr>
          <w:rFonts w:ascii="Verdana" w:hAnsi="Verdana"/>
          <w:spacing w:val="-2"/>
          <w:sz w:val="20"/>
          <w:szCs w:val="20"/>
        </w:rPr>
        <w:t>omunidad de Santa B</w:t>
      </w:r>
      <w:r>
        <w:rPr>
          <w:rFonts w:ascii="Verdana" w:hAnsi="Verdana"/>
          <w:spacing w:val="-2"/>
          <w:sz w:val="20"/>
          <w:szCs w:val="20"/>
        </w:rPr>
        <w:t>á</w:t>
      </w:r>
      <w:r w:rsidRPr="002964A7">
        <w:rPr>
          <w:rFonts w:ascii="Verdana" w:hAnsi="Verdana"/>
          <w:spacing w:val="-2"/>
          <w:sz w:val="20"/>
          <w:szCs w:val="20"/>
        </w:rPr>
        <w:t xml:space="preserve">rbara el 4 de julio de 1991. </w:t>
      </w:r>
    </w:p>
    <w:p w:rsidR="00AB496F" w:rsidRPr="002964A7" w:rsidRDefault="00AB496F" w:rsidP="00AB496F">
      <w:pPr>
        <w:pStyle w:val="ListParagrap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 xml:space="preserve">Al respecto, el Estado explicó, por un lado, que </w:t>
      </w:r>
      <w:r w:rsidRPr="002964A7">
        <w:rPr>
          <w:rFonts w:ascii="Verdana" w:hAnsi="Verdana"/>
          <w:spacing w:val="-2"/>
          <w:sz w:val="20"/>
          <w:szCs w:val="20"/>
        </w:rPr>
        <w:t>en virtud de los procedimientos establecidos por la Ley N</w:t>
      </w:r>
      <w:r>
        <w:rPr>
          <w:rFonts w:ascii="Verdana" w:hAnsi="Verdana"/>
          <w:spacing w:val="-2"/>
          <w:sz w:val="20"/>
          <w:szCs w:val="20"/>
        </w:rPr>
        <w:t>o.</w:t>
      </w:r>
      <w:r w:rsidRPr="002964A7">
        <w:rPr>
          <w:rFonts w:ascii="Verdana" w:hAnsi="Verdana"/>
          <w:spacing w:val="-2"/>
          <w:sz w:val="20"/>
          <w:szCs w:val="20"/>
        </w:rPr>
        <w:t xml:space="preserve"> 28592 se estableció el marco normativo del Plan Integral de Reparaciones (PIR) para las víctimas de la violencia ocurrida entre los años 1980 a 2000, conforme a las conclusiones y </w:t>
      </w:r>
      <w:r w:rsidRPr="002964A7">
        <w:rPr>
          <w:rFonts w:ascii="Verdana" w:hAnsi="Verdana" w:cs="Verdana-Italic"/>
          <w:iCs/>
          <w:spacing w:val="-2"/>
          <w:sz w:val="20"/>
          <w:szCs w:val="20"/>
          <w:lang w:bidi="en-US"/>
        </w:rPr>
        <w:t>recomendaciones</w:t>
      </w:r>
      <w:r w:rsidRPr="002964A7">
        <w:rPr>
          <w:rFonts w:ascii="Verdana" w:hAnsi="Verdana"/>
          <w:spacing w:val="-2"/>
          <w:sz w:val="20"/>
          <w:szCs w:val="20"/>
        </w:rPr>
        <w:t xml:space="preserve"> del Informe de la CVR. Bajo los efectos de tal disposición, las 15 personas presentadas como presuntas víctimas de desaparición forzada han sido reconocidas oficialmente como víctimas por el Consejo de Reparaciones del Perú (CR) y como consecuencia de ello se encuentran inscritas en el respectivo Registro</w:t>
      </w:r>
      <w:r w:rsidRPr="002964A7">
        <w:rPr>
          <w:rFonts w:ascii="Verdana" w:hAnsi="Verdana" w:cs="Arial"/>
          <w:spacing w:val="-2"/>
          <w:sz w:val="20"/>
          <w:szCs w:val="20"/>
        </w:rPr>
        <w:t xml:space="preserve"> </w:t>
      </w:r>
      <w:r w:rsidRPr="002964A7">
        <w:rPr>
          <w:rFonts w:ascii="Verdana" w:hAnsi="Verdana"/>
          <w:spacing w:val="-2"/>
          <w:sz w:val="20"/>
          <w:szCs w:val="20"/>
        </w:rPr>
        <w:t xml:space="preserve">Único de Víctimas (RUV). Asimismo, varios de los familiares directos de </w:t>
      </w:r>
      <w:r>
        <w:rPr>
          <w:rFonts w:ascii="Verdana" w:hAnsi="Verdana"/>
          <w:spacing w:val="-2"/>
          <w:sz w:val="20"/>
          <w:szCs w:val="20"/>
        </w:rPr>
        <w:t>las</w:t>
      </w:r>
      <w:r w:rsidRPr="002964A7">
        <w:rPr>
          <w:rFonts w:ascii="Verdana" w:hAnsi="Verdana"/>
          <w:spacing w:val="-2"/>
          <w:sz w:val="20"/>
          <w:szCs w:val="20"/>
        </w:rPr>
        <w:t xml:space="preserve"> presuntas víctimas también han sido reconocidos como víctimas e incorporados como beneficiarios del PIR y en otros casos su inscripción aún se encuentra en evaluación por parte del CR. </w:t>
      </w:r>
      <w:r>
        <w:rPr>
          <w:rFonts w:ascii="Verdana" w:hAnsi="Verdana"/>
          <w:spacing w:val="-2"/>
          <w:sz w:val="20"/>
          <w:szCs w:val="20"/>
        </w:rPr>
        <w:t>Según el Perú,</w:t>
      </w:r>
      <w:r w:rsidRPr="002964A7">
        <w:rPr>
          <w:rFonts w:ascii="Verdana" w:hAnsi="Verdana" w:cs="Arial"/>
          <w:spacing w:val="-2"/>
          <w:sz w:val="20"/>
          <w:szCs w:val="20"/>
        </w:rPr>
        <w:t xml:space="preserve"> se realizaron los siguientes pagos a los familiares beneficiarios de las reparaciones económicas en el marco del PIR: </w:t>
      </w:r>
      <w:r>
        <w:rPr>
          <w:rFonts w:ascii="Verdana" w:hAnsi="Verdana" w:cs="Arial"/>
          <w:spacing w:val="-2"/>
          <w:sz w:val="20"/>
          <w:szCs w:val="20"/>
        </w:rPr>
        <w:t xml:space="preserve">a </w:t>
      </w:r>
      <w:r w:rsidRPr="002964A7">
        <w:rPr>
          <w:rFonts w:ascii="Verdana" w:hAnsi="Verdana" w:cs="Arial"/>
          <w:spacing w:val="-2"/>
          <w:sz w:val="20"/>
          <w:szCs w:val="20"/>
        </w:rPr>
        <w:t>Zósimo Hilario Quispe el monto de S/</w:t>
      </w:r>
      <w:r>
        <w:rPr>
          <w:rFonts w:ascii="Verdana" w:hAnsi="Verdana" w:cs="Arial"/>
          <w:spacing w:val="-2"/>
          <w:sz w:val="20"/>
          <w:szCs w:val="20"/>
        </w:rPr>
        <w:t>.</w:t>
      </w:r>
      <w:r w:rsidRPr="002964A7">
        <w:rPr>
          <w:rFonts w:ascii="Verdana" w:hAnsi="Verdana" w:cs="Arial"/>
          <w:spacing w:val="-2"/>
          <w:sz w:val="20"/>
          <w:szCs w:val="20"/>
        </w:rPr>
        <w:t xml:space="preserve"> 5</w:t>
      </w:r>
      <w:r>
        <w:rPr>
          <w:rFonts w:ascii="Verdana" w:hAnsi="Verdana" w:cs="Arial"/>
          <w:spacing w:val="-2"/>
          <w:sz w:val="20"/>
          <w:szCs w:val="20"/>
        </w:rPr>
        <w:t>,</w:t>
      </w:r>
      <w:r w:rsidRPr="002964A7">
        <w:rPr>
          <w:rFonts w:ascii="Verdana" w:hAnsi="Verdana" w:cs="Arial"/>
          <w:spacing w:val="-2"/>
          <w:sz w:val="20"/>
          <w:szCs w:val="20"/>
        </w:rPr>
        <w:t xml:space="preserve">000 nuevos soles; </w:t>
      </w:r>
      <w:r>
        <w:rPr>
          <w:rFonts w:ascii="Verdana" w:hAnsi="Verdana" w:cs="Arial"/>
          <w:spacing w:val="-2"/>
          <w:sz w:val="20"/>
          <w:szCs w:val="20"/>
        </w:rPr>
        <w:t xml:space="preserve">a </w:t>
      </w:r>
      <w:r w:rsidRPr="002964A7">
        <w:rPr>
          <w:rFonts w:ascii="Verdana" w:hAnsi="Verdana" w:cs="Arial"/>
          <w:spacing w:val="-2"/>
          <w:sz w:val="20"/>
          <w:szCs w:val="20"/>
        </w:rPr>
        <w:t>Zenón Cirilo Osnayo Tunque el monto de S/</w:t>
      </w:r>
      <w:r>
        <w:rPr>
          <w:rFonts w:ascii="Verdana" w:hAnsi="Verdana" w:cs="Arial"/>
          <w:spacing w:val="-2"/>
          <w:sz w:val="20"/>
          <w:szCs w:val="20"/>
        </w:rPr>
        <w:t>.</w:t>
      </w:r>
      <w:r w:rsidRPr="002964A7">
        <w:rPr>
          <w:rFonts w:ascii="Verdana" w:hAnsi="Verdana" w:cs="Arial"/>
          <w:spacing w:val="-2"/>
          <w:sz w:val="20"/>
          <w:szCs w:val="20"/>
        </w:rPr>
        <w:t xml:space="preserve"> 10</w:t>
      </w:r>
      <w:r>
        <w:rPr>
          <w:rFonts w:ascii="Verdana" w:hAnsi="Verdana" w:cs="Arial"/>
          <w:spacing w:val="-2"/>
          <w:sz w:val="20"/>
          <w:szCs w:val="20"/>
        </w:rPr>
        <w:t>,</w:t>
      </w:r>
      <w:r w:rsidRPr="002964A7">
        <w:rPr>
          <w:rFonts w:ascii="Verdana" w:hAnsi="Verdana" w:cs="Arial"/>
          <w:spacing w:val="-2"/>
          <w:sz w:val="20"/>
          <w:szCs w:val="20"/>
        </w:rPr>
        <w:t>000 nuevos soles</w:t>
      </w:r>
      <w:r>
        <w:rPr>
          <w:rFonts w:ascii="Verdana" w:hAnsi="Verdana" w:cs="Arial"/>
          <w:spacing w:val="-2"/>
          <w:sz w:val="20"/>
          <w:szCs w:val="20"/>
        </w:rPr>
        <w:t>, y</w:t>
      </w:r>
      <w:r w:rsidRPr="002964A7">
        <w:rPr>
          <w:rFonts w:ascii="Verdana" w:hAnsi="Verdana" w:cs="Arial"/>
          <w:spacing w:val="-2"/>
          <w:sz w:val="20"/>
          <w:szCs w:val="20"/>
        </w:rPr>
        <w:t xml:space="preserve"> </w:t>
      </w:r>
      <w:r>
        <w:rPr>
          <w:rFonts w:ascii="Verdana" w:hAnsi="Verdana" w:cs="Arial"/>
          <w:spacing w:val="-2"/>
          <w:sz w:val="20"/>
          <w:szCs w:val="20"/>
        </w:rPr>
        <w:t xml:space="preserve">a </w:t>
      </w:r>
      <w:r w:rsidRPr="002964A7">
        <w:rPr>
          <w:rFonts w:ascii="Verdana" w:hAnsi="Verdana" w:cs="Arial"/>
          <w:spacing w:val="-2"/>
          <w:sz w:val="20"/>
          <w:szCs w:val="20"/>
        </w:rPr>
        <w:t>Abilio Hilario Quispe el monto de S/</w:t>
      </w:r>
      <w:r>
        <w:rPr>
          <w:rFonts w:ascii="Verdana" w:hAnsi="Verdana" w:cs="Arial"/>
          <w:spacing w:val="-2"/>
          <w:sz w:val="20"/>
          <w:szCs w:val="20"/>
        </w:rPr>
        <w:t>.</w:t>
      </w:r>
      <w:r w:rsidRPr="002964A7">
        <w:rPr>
          <w:rFonts w:ascii="Verdana" w:hAnsi="Verdana" w:cs="Arial"/>
          <w:spacing w:val="-2"/>
          <w:sz w:val="20"/>
          <w:szCs w:val="20"/>
        </w:rPr>
        <w:t xml:space="preserve"> 10</w:t>
      </w:r>
      <w:r>
        <w:rPr>
          <w:rFonts w:ascii="Verdana" w:hAnsi="Verdana" w:cs="Arial"/>
          <w:spacing w:val="-2"/>
          <w:sz w:val="20"/>
          <w:szCs w:val="20"/>
        </w:rPr>
        <w:t>,</w:t>
      </w:r>
      <w:r w:rsidRPr="002964A7">
        <w:rPr>
          <w:rFonts w:ascii="Verdana" w:hAnsi="Verdana" w:cs="Arial"/>
          <w:spacing w:val="-2"/>
          <w:sz w:val="20"/>
          <w:szCs w:val="20"/>
        </w:rPr>
        <w:t>000 nuevos soles</w:t>
      </w:r>
      <w:r>
        <w:rPr>
          <w:rFonts w:ascii="Verdana" w:hAnsi="Verdana" w:cs="Arial"/>
          <w:spacing w:val="-2"/>
          <w:sz w:val="20"/>
          <w:szCs w:val="20"/>
        </w:rPr>
        <w:t>;</w:t>
      </w:r>
      <w:r w:rsidRPr="002964A7">
        <w:rPr>
          <w:rFonts w:ascii="Verdana" w:hAnsi="Verdana" w:cs="Arial"/>
          <w:spacing w:val="-2"/>
          <w:sz w:val="20"/>
          <w:szCs w:val="20"/>
        </w:rPr>
        <w:t xml:space="preserve"> en este último caso la suma dineraria se encontra</w:t>
      </w:r>
      <w:r>
        <w:rPr>
          <w:rFonts w:ascii="Verdana" w:hAnsi="Verdana" w:cs="Arial"/>
          <w:spacing w:val="-2"/>
          <w:sz w:val="20"/>
          <w:szCs w:val="20"/>
        </w:rPr>
        <w:t xml:space="preserve">ría </w:t>
      </w:r>
      <w:r w:rsidRPr="002964A7">
        <w:rPr>
          <w:rFonts w:ascii="Verdana" w:hAnsi="Verdana" w:cs="Arial"/>
          <w:spacing w:val="-2"/>
          <w:sz w:val="20"/>
          <w:szCs w:val="20"/>
        </w:rPr>
        <w:t>a disposición en una cuenta bancaria a nombre de aqu</w:t>
      </w:r>
      <w:r>
        <w:rPr>
          <w:rFonts w:ascii="Verdana" w:hAnsi="Verdana" w:cs="Arial"/>
          <w:spacing w:val="-2"/>
          <w:sz w:val="20"/>
          <w:szCs w:val="20"/>
        </w:rPr>
        <w:t>e</w:t>
      </w:r>
      <w:r w:rsidRPr="002964A7">
        <w:rPr>
          <w:rFonts w:ascii="Verdana" w:hAnsi="Verdana" w:cs="Arial"/>
          <w:spacing w:val="-2"/>
          <w:sz w:val="20"/>
          <w:szCs w:val="20"/>
        </w:rPr>
        <w:t>l.</w:t>
      </w:r>
    </w:p>
    <w:p w:rsidR="00AB496F" w:rsidRPr="002964A7" w:rsidRDefault="00AB496F" w:rsidP="00AB496F">
      <w:pPr>
        <w:pStyle w:val="ListParagraph"/>
        <w:spacing w:after="0" w:line="240" w:lineRule="auto"/>
        <w:ind w:left="0"/>
        <w:jc w:val="both"/>
        <w:rPr>
          <w:rFonts w:ascii="Verdana" w:hAnsi="Verdana" w:cs="Arial"/>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b/>
          <w:spacing w:val="-2"/>
          <w:sz w:val="20"/>
          <w:szCs w:val="20"/>
        </w:rPr>
      </w:pPr>
      <w:r w:rsidRPr="002964A7">
        <w:rPr>
          <w:rFonts w:ascii="Verdana" w:hAnsi="Verdana" w:cs="Arial"/>
          <w:spacing w:val="-2"/>
          <w:sz w:val="20"/>
          <w:szCs w:val="20"/>
        </w:rPr>
        <w:t xml:space="preserve">Por otro lado, el Estado argumentó que la </w:t>
      </w:r>
      <w:r w:rsidRPr="002964A7">
        <w:rPr>
          <w:rFonts w:ascii="Verdana" w:hAnsi="Verdana"/>
          <w:spacing w:val="-2"/>
          <w:sz w:val="20"/>
          <w:szCs w:val="20"/>
        </w:rPr>
        <w:t xml:space="preserve">sentencia de la Sala Penal Nacional de 9 de febrero de 2012, además de condenar al que declaró como responsable individual penal de los hechos acontecidos en la </w:t>
      </w:r>
      <w:r>
        <w:rPr>
          <w:rFonts w:ascii="Verdana" w:hAnsi="Verdana"/>
          <w:spacing w:val="-2"/>
          <w:sz w:val="20"/>
          <w:szCs w:val="20"/>
        </w:rPr>
        <w:t>c</w:t>
      </w:r>
      <w:r w:rsidRPr="002964A7">
        <w:rPr>
          <w:rFonts w:ascii="Verdana" w:hAnsi="Verdana"/>
          <w:spacing w:val="-2"/>
          <w:sz w:val="20"/>
          <w:szCs w:val="20"/>
        </w:rPr>
        <w:t xml:space="preserve">omunidad de Santa Bárbara, determinó el pago por un monto de </w:t>
      </w:r>
      <w:r w:rsidRPr="002964A7">
        <w:rPr>
          <w:rFonts w:ascii="Verdana" w:hAnsi="Verdana" w:cs="Arial"/>
          <w:spacing w:val="-2"/>
          <w:sz w:val="20"/>
          <w:szCs w:val="20"/>
          <w:lang w:val="es-BO"/>
        </w:rPr>
        <w:t>S/</w:t>
      </w:r>
      <w:r>
        <w:rPr>
          <w:rFonts w:ascii="Verdana" w:hAnsi="Verdana" w:cs="Arial"/>
          <w:spacing w:val="-2"/>
          <w:sz w:val="20"/>
          <w:szCs w:val="20"/>
          <w:lang w:val="es-BO"/>
        </w:rPr>
        <w:t>.</w:t>
      </w:r>
      <w:r w:rsidRPr="002964A7">
        <w:rPr>
          <w:rFonts w:ascii="Verdana" w:hAnsi="Verdana" w:cs="Arial"/>
          <w:spacing w:val="-2"/>
          <w:sz w:val="20"/>
          <w:szCs w:val="20"/>
          <w:lang w:val="es-BO"/>
        </w:rPr>
        <w:t xml:space="preserve"> </w:t>
      </w:r>
      <w:r w:rsidRPr="002964A7">
        <w:rPr>
          <w:rFonts w:ascii="Verdana" w:hAnsi="Verdana"/>
          <w:iCs/>
          <w:spacing w:val="-2"/>
          <w:sz w:val="20"/>
          <w:szCs w:val="20"/>
        </w:rPr>
        <w:t>25,000 nuevos soles por concepto de</w:t>
      </w:r>
      <w:r w:rsidRPr="002964A7">
        <w:rPr>
          <w:rFonts w:ascii="Verdana" w:hAnsi="Verdana"/>
          <w:spacing w:val="-2"/>
          <w:sz w:val="20"/>
          <w:szCs w:val="20"/>
        </w:rPr>
        <w:t xml:space="preserve"> reparación civil </w:t>
      </w:r>
      <w:r w:rsidRPr="002964A7">
        <w:rPr>
          <w:rFonts w:ascii="Verdana" w:hAnsi="Verdana"/>
          <w:iCs/>
          <w:spacing w:val="-2"/>
          <w:sz w:val="20"/>
          <w:szCs w:val="20"/>
        </w:rPr>
        <w:t xml:space="preserve">a favor de cada uno de los </w:t>
      </w:r>
      <w:r w:rsidRPr="002964A7">
        <w:rPr>
          <w:rFonts w:ascii="Verdana" w:hAnsi="Verdana"/>
          <w:iCs/>
          <w:spacing w:val="-2"/>
          <w:sz w:val="20"/>
          <w:szCs w:val="20"/>
        </w:rPr>
        <w:lastRenderedPageBreak/>
        <w:t xml:space="preserve">herederos legales de los agraviados, solidariamente con los responsables del hecho punible, “dejando a salvo el derecho de los familiares de los agraviados de solicitar indemnización contra el tercero civilmente responsable”. Posteriormente, </w:t>
      </w:r>
      <w:r w:rsidRPr="002964A7">
        <w:rPr>
          <w:rFonts w:ascii="Verdana" w:hAnsi="Verdana" w:cs="Arial"/>
          <w:spacing w:val="-2"/>
          <w:sz w:val="20"/>
          <w:szCs w:val="20"/>
        </w:rPr>
        <w:t xml:space="preserve">mediante una resolución de 16 </w:t>
      </w:r>
      <w:r w:rsidRPr="002964A7">
        <w:rPr>
          <w:rFonts w:ascii="Verdana" w:hAnsi="Verdana" w:cs="Verdana-Italic"/>
          <w:iCs/>
          <w:spacing w:val="-2"/>
          <w:sz w:val="20"/>
          <w:szCs w:val="20"/>
          <w:lang w:bidi="en-US"/>
        </w:rPr>
        <w:t>diciembre</w:t>
      </w:r>
      <w:r w:rsidRPr="002964A7">
        <w:rPr>
          <w:rFonts w:ascii="Verdana" w:hAnsi="Verdana" w:cs="Arial"/>
          <w:spacing w:val="-2"/>
          <w:sz w:val="20"/>
          <w:szCs w:val="20"/>
          <w:lang w:val="es-BO"/>
        </w:rPr>
        <w:t xml:space="preserve"> de 2013 del Segundo Juzgado Penal Nacional se requirió el pago al condenado Oscar Carrera Gonzáles, por lo que a la fecha dicho condenado habría hecho once depósitos que en su totalidad ascenderían a un monto de S/</w:t>
      </w:r>
      <w:r>
        <w:rPr>
          <w:rFonts w:ascii="Verdana" w:hAnsi="Verdana" w:cs="Arial"/>
          <w:spacing w:val="-2"/>
          <w:sz w:val="20"/>
          <w:szCs w:val="20"/>
          <w:lang w:val="es-BO"/>
        </w:rPr>
        <w:t>.</w:t>
      </w:r>
      <w:r w:rsidRPr="002964A7">
        <w:rPr>
          <w:rFonts w:ascii="Verdana" w:hAnsi="Verdana" w:cs="Arial"/>
          <w:spacing w:val="-2"/>
          <w:sz w:val="20"/>
          <w:szCs w:val="20"/>
          <w:lang w:val="es-BO"/>
        </w:rPr>
        <w:t xml:space="preserve"> 555 nuevos soles. </w:t>
      </w:r>
      <w:r w:rsidRPr="002964A7">
        <w:rPr>
          <w:rFonts w:ascii="Verdana" w:hAnsi="Verdana"/>
          <w:spacing w:val="-2"/>
          <w:sz w:val="20"/>
          <w:szCs w:val="20"/>
        </w:rPr>
        <w:t>Finalmente, solicitó que se considere el hecho de que a nivel interno los representantes (abogados de la Parte Civil) tuvieron la posibilidad de accionar por la vía correspondiente a fin de exigir el pago al tercero civilmente responsable, lo cual no ocurrió</w:t>
      </w:r>
      <w:r w:rsidRPr="002964A7">
        <w:rPr>
          <w:rFonts w:ascii="Verdana" w:hAnsi="Verdana" w:cs="Arial"/>
          <w:spacing w:val="-2"/>
          <w:sz w:val="20"/>
          <w:szCs w:val="20"/>
        </w:rPr>
        <w:t>. Al respecto, se refirió con detalle a este punto, así como a la normativa penal y civil aplicable a nivel interno.</w:t>
      </w:r>
    </w:p>
    <w:p w:rsidR="00AB496F" w:rsidRPr="0058422B" w:rsidRDefault="00AB496F" w:rsidP="00AB496F">
      <w:pPr>
        <w:pStyle w:val="ListParagraph"/>
        <w:spacing w:after="0" w:line="240" w:lineRule="auto"/>
        <w:ind w:left="0"/>
        <w:jc w:val="both"/>
        <w:rPr>
          <w:rFonts w:ascii="Verdana" w:hAnsi="Verdana"/>
          <w:b/>
          <w:spacing w:val="-2"/>
          <w:sz w:val="16"/>
          <w:szCs w:val="20"/>
        </w:rPr>
      </w:pPr>
    </w:p>
    <w:p w:rsidR="00AB496F" w:rsidRPr="00F13F0B" w:rsidRDefault="00AB496F" w:rsidP="00AB496F">
      <w:pPr>
        <w:pStyle w:val="ListParagraph"/>
        <w:spacing w:after="0" w:line="240" w:lineRule="auto"/>
        <w:ind w:left="0" w:firstLine="720"/>
        <w:jc w:val="both"/>
        <w:rPr>
          <w:rFonts w:ascii="Verdana" w:hAnsi="Verdana" w:cs="Arial"/>
          <w:i/>
          <w:spacing w:val="-2"/>
          <w:sz w:val="20"/>
          <w:szCs w:val="20"/>
        </w:rPr>
      </w:pPr>
      <w:r w:rsidRPr="00F13F0B">
        <w:rPr>
          <w:rFonts w:ascii="Verdana" w:hAnsi="Verdana" w:cs="Arial"/>
          <w:i/>
          <w:spacing w:val="-2"/>
          <w:sz w:val="20"/>
          <w:szCs w:val="20"/>
        </w:rPr>
        <w:t>Consideraciones de la Corte</w:t>
      </w:r>
    </w:p>
    <w:p w:rsidR="00AB496F" w:rsidRPr="0058422B" w:rsidRDefault="00AB496F" w:rsidP="00AB496F">
      <w:pPr>
        <w:pStyle w:val="ListParagraph"/>
        <w:spacing w:after="0" w:line="240" w:lineRule="auto"/>
        <w:ind w:left="0"/>
        <w:jc w:val="both"/>
        <w:rPr>
          <w:rFonts w:ascii="Verdana" w:hAnsi="Verdana"/>
          <w:b/>
          <w:spacing w:val="-2"/>
          <w:sz w:val="16"/>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2964A7">
        <w:rPr>
          <w:rFonts w:ascii="Verdana" w:hAnsi="Verdana" w:cs="Arial"/>
          <w:spacing w:val="-2"/>
          <w:sz w:val="20"/>
          <w:szCs w:val="20"/>
          <w:lang w:val="es-GT"/>
        </w:rPr>
        <w:t>Consta</w:t>
      </w:r>
      <w:r w:rsidRPr="002964A7">
        <w:rPr>
          <w:rFonts w:ascii="Verdana" w:hAnsi="Verdana"/>
          <w:spacing w:val="-2"/>
          <w:sz w:val="20"/>
          <w:szCs w:val="20"/>
          <w:lang w:val="es-GT"/>
        </w:rPr>
        <w:t xml:space="preserve"> en la prueba que al menos el 3 de abril de 2014 se encontraban inscritos en el Registro Único de Víctimas (RUV) del Consejo de Reparaciones como beneficiarios del Plan Integra</w:t>
      </w:r>
      <w:r>
        <w:rPr>
          <w:rFonts w:ascii="Verdana" w:hAnsi="Verdana"/>
          <w:spacing w:val="-2"/>
          <w:sz w:val="20"/>
          <w:szCs w:val="20"/>
          <w:lang w:val="es-GT"/>
        </w:rPr>
        <w:t>l</w:t>
      </w:r>
      <w:r w:rsidRPr="002964A7">
        <w:rPr>
          <w:rFonts w:ascii="Verdana" w:hAnsi="Verdana"/>
          <w:spacing w:val="-2"/>
          <w:sz w:val="20"/>
          <w:szCs w:val="20"/>
          <w:lang w:val="es-GT"/>
        </w:rPr>
        <w:t xml:space="preserve"> de Reparaciones (PIR)</w:t>
      </w:r>
      <w:r>
        <w:rPr>
          <w:rFonts w:ascii="Verdana" w:hAnsi="Verdana"/>
          <w:spacing w:val="-2"/>
          <w:sz w:val="20"/>
          <w:szCs w:val="20"/>
          <w:lang w:val="es-GT"/>
        </w:rPr>
        <w:t>, las siguientes personas</w:t>
      </w:r>
      <w:r w:rsidRPr="002964A7">
        <w:rPr>
          <w:rFonts w:ascii="Verdana" w:hAnsi="Verdana"/>
          <w:spacing w:val="-2"/>
          <w:sz w:val="20"/>
          <w:szCs w:val="20"/>
          <w:lang w:val="es-GT"/>
        </w:rPr>
        <w:t>: Dionicia Quispe Ma</w:t>
      </w:r>
      <w:r>
        <w:rPr>
          <w:rFonts w:ascii="Verdana" w:hAnsi="Verdana"/>
          <w:spacing w:val="-2"/>
          <w:sz w:val="20"/>
          <w:szCs w:val="20"/>
          <w:lang w:val="es-GT"/>
        </w:rPr>
        <w:t>ll</w:t>
      </w:r>
      <w:r w:rsidRPr="002964A7">
        <w:rPr>
          <w:rFonts w:ascii="Verdana" w:hAnsi="Verdana"/>
          <w:spacing w:val="-2"/>
          <w:sz w:val="20"/>
          <w:szCs w:val="20"/>
          <w:lang w:val="es-GT"/>
        </w:rPr>
        <w:t xml:space="preserve">qui, Francisco Hilario Torres, </w:t>
      </w:r>
      <w:r w:rsidRPr="002964A7">
        <w:rPr>
          <w:rFonts w:ascii="Verdana" w:hAnsi="Verdana" w:cs="Arial"/>
          <w:spacing w:val="-2"/>
          <w:sz w:val="20"/>
          <w:szCs w:val="20"/>
          <w:lang w:val="es-GT"/>
        </w:rPr>
        <w:t>Mercedes Carhuapoma de la Cruz y Antonia Hilario Quispe, así como Zenón Cirilo Osnayo Tunque, Zósimo Hilario Quispe</w:t>
      </w:r>
      <w:r w:rsidRPr="002964A7">
        <w:rPr>
          <w:rFonts w:ascii="Verdana" w:hAnsi="Verdana"/>
          <w:spacing w:val="-2"/>
          <w:sz w:val="20"/>
          <w:szCs w:val="20"/>
          <w:lang w:val="es-GT"/>
        </w:rPr>
        <w:t xml:space="preserve">, </w:t>
      </w:r>
      <w:r w:rsidRPr="002964A7">
        <w:rPr>
          <w:rFonts w:ascii="Verdana" w:hAnsi="Verdana" w:cs="Arial"/>
          <w:spacing w:val="-2"/>
          <w:sz w:val="20"/>
          <w:szCs w:val="20"/>
          <w:lang w:val="es-GT"/>
        </w:rPr>
        <w:t xml:space="preserve">Abilio Hilario Quispe, </w:t>
      </w:r>
      <w:r w:rsidRPr="002964A7">
        <w:rPr>
          <w:rFonts w:ascii="Verdana" w:hAnsi="Verdana"/>
          <w:spacing w:val="-2"/>
          <w:sz w:val="20"/>
          <w:szCs w:val="20"/>
          <w:lang w:val="es-GT"/>
        </w:rPr>
        <w:t>Víctor Carhuapoma de la Cruz</w:t>
      </w:r>
      <w:r w:rsidRPr="00597FE9">
        <w:rPr>
          <w:rFonts w:ascii="Verdana" w:hAnsi="Verdana" w:cs="Arial"/>
          <w:spacing w:val="-2"/>
          <w:sz w:val="20"/>
          <w:szCs w:val="20"/>
          <w:lang w:val="es-GT"/>
        </w:rPr>
        <w:t xml:space="preserve">, Viviano Hilario Mancha (fallecido) y Alejandro </w:t>
      </w:r>
      <w:r w:rsidR="00884B9C" w:rsidRPr="00597FE9">
        <w:rPr>
          <w:rFonts w:ascii="Verdana" w:hAnsi="Verdana" w:cs="Arial"/>
          <w:spacing w:val="-2"/>
          <w:sz w:val="20"/>
          <w:szCs w:val="20"/>
          <w:lang w:val="es-GT"/>
        </w:rPr>
        <w:t>Huamaní</w:t>
      </w:r>
      <w:r w:rsidRPr="00597FE9">
        <w:rPr>
          <w:rFonts w:ascii="Verdana" w:hAnsi="Verdana" w:cs="Arial"/>
          <w:spacing w:val="-2"/>
          <w:sz w:val="20"/>
          <w:szCs w:val="20"/>
          <w:lang w:val="es-GT"/>
        </w:rPr>
        <w:t xml:space="preserve"> Rob</w:t>
      </w:r>
      <w:r w:rsidRPr="002964A7">
        <w:rPr>
          <w:rFonts w:ascii="Verdana" w:hAnsi="Verdana" w:cs="Arial"/>
          <w:spacing w:val="-2"/>
          <w:sz w:val="20"/>
          <w:szCs w:val="20"/>
          <w:lang w:val="es-GT"/>
        </w:rPr>
        <w:t>les (fallecido). Por otro lado, Marcelo Hilario Quispe, Ana Carhuapoma de la Cruz (fallecida), Dolores Morán Paucar (fallecida) y Justiniano Guillén C</w:t>
      </w:r>
      <w:r>
        <w:rPr>
          <w:rFonts w:ascii="Verdana" w:hAnsi="Verdana" w:cs="Arial"/>
          <w:spacing w:val="-2"/>
          <w:sz w:val="20"/>
          <w:szCs w:val="20"/>
          <w:lang w:val="es-GT"/>
        </w:rPr>
        <w:t>c</w:t>
      </w:r>
      <w:r w:rsidRPr="002964A7">
        <w:rPr>
          <w:rFonts w:ascii="Verdana" w:hAnsi="Verdana" w:cs="Arial"/>
          <w:spacing w:val="-2"/>
          <w:sz w:val="20"/>
          <w:szCs w:val="20"/>
          <w:lang w:val="es-GT"/>
        </w:rPr>
        <w:t xml:space="preserve">anto (fallecido) tenían su inscripción pendiente en el RUV y no eran beneficiarios del </w:t>
      </w:r>
      <w:r w:rsidRPr="002964A7">
        <w:rPr>
          <w:rFonts w:ascii="Verdana" w:hAnsi="Verdana"/>
          <w:spacing w:val="-2"/>
          <w:sz w:val="20"/>
          <w:szCs w:val="20"/>
          <w:lang w:val="es-GT"/>
        </w:rPr>
        <w:t>Programa de Reparaciones Económicas</w:t>
      </w:r>
      <w:r>
        <w:rPr>
          <w:rFonts w:ascii="Verdana" w:hAnsi="Verdana"/>
          <w:spacing w:val="-2"/>
          <w:sz w:val="20"/>
          <w:szCs w:val="20"/>
          <w:lang w:val="es-GT"/>
        </w:rPr>
        <w:t xml:space="preserve"> (PRE)</w:t>
      </w:r>
      <w:r w:rsidRPr="002964A7">
        <w:rPr>
          <w:rFonts w:ascii="Verdana" w:hAnsi="Verdana" w:cs="Arial"/>
          <w:spacing w:val="-2"/>
          <w:sz w:val="20"/>
          <w:szCs w:val="20"/>
          <w:lang w:val="es-GT"/>
        </w:rPr>
        <w:t>. Por su parte, Gregorio Hilario Quispe, tenía suspendida su inscripción en el RUV y pendiente su incorporación en el PRE. Finalmente, Victoria Riveros Valencia (fallecida) y Marino Hu</w:t>
      </w:r>
      <w:r w:rsidR="00884B9C">
        <w:rPr>
          <w:rFonts w:ascii="Verdana" w:hAnsi="Verdana" w:cs="Arial"/>
          <w:spacing w:val="-2"/>
          <w:sz w:val="20"/>
          <w:szCs w:val="20"/>
          <w:lang w:val="es-GT"/>
        </w:rPr>
        <w:t>a</w:t>
      </w:r>
      <w:r w:rsidRPr="002964A7">
        <w:rPr>
          <w:rFonts w:ascii="Verdana" w:hAnsi="Verdana" w:cs="Arial"/>
          <w:spacing w:val="-2"/>
          <w:sz w:val="20"/>
          <w:szCs w:val="20"/>
          <w:lang w:val="es-GT"/>
        </w:rPr>
        <w:t>maní Vergara no tenían expediente alguno y no era beneficiarios del PRE</w:t>
      </w:r>
      <w:r w:rsidRPr="002964A7">
        <w:rPr>
          <w:rFonts w:ascii="Verdana" w:hAnsi="Verdana"/>
          <w:spacing w:val="-2"/>
          <w:sz w:val="20"/>
          <w:szCs w:val="20"/>
          <w:lang w:val="es-GT"/>
        </w:rPr>
        <w:t xml:space="preserve">. Por su parte, habían sido beneficiadas con el Programa de Reparaciones Económicas (PRE) del PIR, en su condición de beneficiarios vinculados al caso de la comunidad campesina Santa Bárbara: a) </w:t>
      </w:r>
      <w:r w:rsidRPr="002964A7">
        <w:rPr>
          <w:rFonts w:ascii="Verdana" w:hAnsi="Verdana" w:cs="Arial"/>
          <w:spacing w:val="-2"/>
          <w:sz w:val="20"/>
          <w:szCs w:val="20"/>
          <w:lang w:val="es-GT"/>
        </w:rPr>
        <w:t xml:space="preserve">Zósimo Hilario Quispe, con un monto de reparación de S/. 5,000 por el fallecimiento de su padre </w:t>
      </w:r>
      <w:r w:rsidRPr="002964A7">
        <w:rPr>
          <w:rFonts w:ascii="Verdana" w:hAnsi="Verdana"/>
          <w:spacing w:val="-2"/>
          <w:sz w:val="20"/>
          <w:szCs w:val="20"/>
          <w:lang w:val="es-GT"/>
        </w:rPr>
        <w:t>Francisco Hilario Torres, quedando pendiente el otorgamiento de la reparación por el fallecimiento de su madre</w:t>
      </w:r>
      <w:r w:rsidRPr="002964A7">
        <w:rPr>
          <w:rFonts w:ascii="Verdana" w:hAnsi="Verdana" w:cs="Arial"/>
          <w:spacing w:val="-2"/>
          <w:sz w:val="20"/>
          <w:szCs w:val="20"/>
          <w:lang w:val="es-GT"/>
        </w:rPr>
        <w:t xml:space="preserve"> </w:t>
      </w:r>
      <w:r w:rsidRPr="002964A7">
        <w:rPr>
          <w:rFonts w:ascii="Verdana" w:hAnsi="Verdana"/>
          <w:spacing w:val="-2"/>
          <w:sz w:val="20"/>
          <w:szCs w:val="20"/>
          <w:lang w:val="es-GT"/>
        </w:rPr>
        <w:t>Dionicia Quispe Ma</w:t>
      </w:r>
      <w:r>
        <w:rPr>
          <w:rFonts w:ascii="Verdana" w:hAnsi="Verdana"/>
          <w:spacing w:val="-2"/>
          <w:sz w:val="20"/>
          <w:szCs w:val="20"/>
          <w:lang w:val="es-GT"/>
        </w:rPr>
        <w:t>ll</w:t>
      </w:r>
      <w:r w:rsidRPr="002964A7">
        <w:rPr>
          <w:rFonts w:ascii="Verdana" w:hAnsi="Verdana"/>
          <w:spacing w:val="-2"/>
          <w:sz w:val="20"/>
          <w:szCs w:val="20"/>
          <w:lang w:val="es-GT"/>
        </w:rPr>
        <w:t xml:space="preserve">qui, y b) </w:t>
      </w:r>
      <w:r w:rsidRPr="002964A7">
        <w:rPr>
          <w:rFonts w:ascii="Verdana" w:hAnsi="Verdana" w:cs="Arial"/>
          <w:spacing w:val="-2"/>
          <w:sz w:val="20"/>
          <w:szCs w:val="20"/>
          <w:lang w:val="es-GT"/>
        </w:rPr>
        <w:t>Zenón Cirilo Osnayo Tunque, con un monto de reparación de S/. 10,000</w:t>
      </w:r>
      <w:r>
        <w:rPr>
          <w:rFonts w:ascii="Verdana" w:hAnsi="Verdana"/>
          <w:spacing w:val="-2"/>
          <w:sz w:val="20"/>
          <w:szCs w:val="20"/>
          <w:lang w:val="es-GT"/>
        </w:rPr>
        <w:t xml:space="preserve">. </w:t>
      </w:r>
      <w:r w:rsidRPr="002964A7">
        <w:rPr>
          <w:rFonts w:ascii="Verdana" w:hAnsi="Verdana"/>
          <w:spacing w:val="-2"/>
          <w:sz w:val="20"/>
          <w:szCs w:val="20"/>
          <w:lang w:val="es-GT"/>
        </w:rPr>
        <w:t xml:space="preserve">A su vez, respecto a Víctor Carhuapoma de la Cruz y </w:t>
      </w:r>
      <w:r w:rsidRPr="002964A7">
        <w:rPr>
          <w:rFonts w:ascii="Verdana" w:hAnsi="Verdana" w:cs="Arial"/>
          <w:spacing w:val="-2"/>
          <w:sz w:val="20"/>
          <w:szCs w:val="20"/>
          <w:lang w:val="es-GT"/>
        </w:rPr>
        <w:t>Abilio Hilario Quispe,</w:t>
      </w:r>
      <w:r w:rsidRPr="002964A7">
        <w:rPr>
          <w:rFonts w:ascii="Verdana" w:hAnsi="Verdana"/>
          <w:spacing w:val="-2"/>
          <w:sz w:val="20"/>
          <w:szCs w:val="20"/>
          <w:lang w:val="es-GT"/>
        </w:rPr>
        <w:t xml:space="preserve"> se encontraba pendiente el otorgamiento de </w:t>
      </w:r>
      <w:r w:rsidRPr="002964A7">
        <w:rPr>
          <w:rFonts w:ascii="Verdana" w:hAnsi="Verdana" w:cs="Arial"/>
          <w:spacing w:val="-2"/>
          <w:sz w:val="20"/>
          <w:szCs w:val="20"/>
          <w:lang w:val="es-GT"/>
        </w:rPr>
        <w:t>sus reparaciones, ya que debido a las limitaciones presupuestarias y por Ley No</w:t>
      </w:r>
      <w:r>
        <w:rPr>
          <w:rFonts w:ascii="Verdana" w:hAnsi="Verdana" w:cs="Arial"/>
          <w:spacing w:val="-2"/>
          <w:sz w:val="20"/>
          <w:szCs w:val="20"/>
          <w:lang w:val="es-GT"/>
        </w:rPr>
        <w:t>.</w:t>
      </w:r>
      <w:r w:rsidRPr="002964A7">
        <w:rPr>
          <w:rFonts w:ascii="Verdana" w:hAnsi="Verdana" w:cs="Arial"/>
          <w:spacing w:val="-2"/>
          <w:sz w:val="20"/>
          <w:szCs w:val="20"/>
          <w:lang w:val="es-GT"/>
        </w:rPr>
        <w:t xml:space="preserve"> 29.979, a partir de enero de 2013 se venía realizando la priorización de beneficiarios por fecha de afectación</w:t>
      </w:r>
      <w:r>
        <w:rPr>
          <w:rFonts w:ascii="Verdana" w:hAnsi="Verdana" w:cs="Arial"/>
          <w:spacing w:val="-2"/>
          <w:sz w:val="20"/>
          <w:szCs w:val="20"/>
          <w:lang w:val="es-GT"/>
        </w:rPr>
        <w:t>. P</w:t>
      </w:r>
      <w:r w:rsidRPr="002964A7">
        <w:rPr>
          <w:rFonts w:ascii="Verdana" w:hAnsi="Verdana" w:cs="Arial"/>
          <w:spacing w:val="-2"/>
          <w:sz w:val="20"/>
          <w:szCs w:val="20"/>
          <w:lang w:val="es-GT"/>
        </w:rPr>
        <w:t>or tanto, las afectaciones sufridas por los beneficiarios en 1991 se atenderían en los próximos listados</w:t>
      </w:r>
      <w:r w:rsidRPr="002964A7">
        <w:rPr>
          <w:rStyle w:val="FootnoteReference"/>
          <w:rFonts w:eastAsiaTheme="majorEastAsia"/>
          <w:spacing w:val="-2"/>
          <w:szCs w:val="20"/>
        </w:rPr>
        <w:footnoteReference w:id="376"/>
      </w:r>
      <w:r w:rsidRPr="002964A7">
        <w:rPr>
          <w:rFonts w:ascii="Verdana" w:hAnsi="Verdana" w:cs="Arial"/>
          <w:spacing w:val="-2"/>
          <w:sz w:val="20"/>
          <w:szCs w:val="20"/>
          <w:lang w:val="es-GT"/>
        </w:rPr>
        <w:t>.</w:t>
      </w:r>
    </w:p>
    <w:p w:rsidR="00AB496F" w:rsidRPr="002964A7" w:rsidRDefault="00AB496F" w:rsidP="00AB496F">
      <w:pPr>
        <w:spacing w:after="0" w:line="240" w:lineRule="auto"/>
        <w:contextualSpacing/>
        <w:jc w:val="both"/>
        <w:rPr>
          <w:rFonts w:ascii="Verdana" w:hAnsi="Verdana" w:cs="Arial"/>
          <w:spacing w:val="-2"/>
          <w:sz w:val="20"/>
          <w:szCs w:val="20"/>
          <w:lang w:val="es-GT"/>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2964A7">
        <w:rPr>
          <w:rFonts w:ascii="Verdana" w:hAnsi="Verdana"/>
          <w:spacing w:val="-2"/>
          <w:sz w:val="20"/>
          <w:szCs w:val="20"/>
          <w:lang w:val="es-GT"/>
        </w:rPr>
        <w:t xml:space="preserve">En definitiva, de la información proporcionada hasta este momento, la Corte constata que únicamente </w:t>
      </w:r>
      <w:r>
        <w:rPr>
          <w:rFonts w:ascii="Verdana" w:hAnsi="Verdana"/>
          <w:spacing w:val="-2"/>
          <w:sz w:val="20"/>
          <w:szCs w:val="20"/>
          <w:lang w:val="es-GT"/>
        </w:rPr>
        <w:t>4</w:t>
      </w:r>
      <w:r w:rsidRPr="002964A7">
        <w:rPr>
          <w:rFonts w:ascii="Verdana" w:hAnsi="Verdana"/>
          <w:spacing w:val="-2"/>
          <w:sz w:val="20"/>
          <w:szCs w:val="20"/>
          <w:lang w:val="es-GT"/>
        </w:rPr>
        <w:t xml:space="preserve"> de las </w:t>
      </w:r>
      <w:r>
        <w:rPr>
          <w:rFonts w:ascii="Verdana" w:hAnsi="Verdana"/>
          <w:spacing w:val="-2"/>
          <w:sz w:val="20"/>
          <w:szCs w:val="20"/>
          <w:lang w:val="es-GT"/>
        </w:rPr>
        <w:t>15</w:t>
      </w:r>
      <w:r w:rsidRPr="002964A7">
        <w:rPr>
          <w:rFonts w:ascii="Verdana" w:hAnsi="Verdana"/>
          <w:spacing w:val="-2"/>
          <w:sz w:val="20"/>
          <w:szCs w:val="20"/>
          <w:lang w:val="es-GT"/>
        </w:rPr>
        <w:t xml:space="preserve"> víctimas de desaparición forzada y </w:t>
      </w:r>
      <w:r>
        <w:rPr>
          <w:rFonts w:ascii="Verdana" w:hAnsi="Verdana"/>
          <w:spacing w:val="-2"/>
          <w:sz w:val="20"/>
          <w:szCs w:val="20"/>
          <w:lang w:val="es-GT"/>
        </w:rPr>
        <w:t>6</w:t>
      </w:r>
      <w:r w:rsidRPr="002964A7">
        <w:rPr>
          <w:rFonts w:ascii="Verdana" w:hAnsi="Verdana"/>
          <w:spacing w:val="-2"/>
          <w:sz w:val="20"/>
          <w:szCs w:val="20"/>
          <w:lang w:val="es-GT"/>
        </w:rPr>
        <w:t xml:space="preserve"> de </w:t>
      </w:r>
      <w:r>
        <w:rPr>
          <w:rFonts w:ascii="Verdana" w:hAnsi="Verdana"/>
          <w:spacing w:val="-2"/>
          <w:sz w:val="20"/>
          <w:szCs w:val="20"/>
          <w:lang w:val="es-GT"/>
        </w:rPr>
        <w:t>14</w:t>
      </w:r>
      <w:r w:rsidRPr="002964A7">
        <w:rPr>
          <w:rFonts w:ascii="Verdana" w:hAnsi="Verdana"/>
          <w:spacing w:val="-2"/>
          <w:sz w:val="20"/>
          <w:szCs w:val="20"/>
          <w:lang w:val="es-GT"/>
        </w:rPr>
        <w:t xml:space="preserve"> de sus familiares habían </w:t>
      </w:r>
      <w:r w:rsidRPr="002964A7">
        <w:rPr>
          <w:rFonts w:ascii="Verdana" w:hAnsi="Verdana" w:cs="Verdana-Italic"/>
          <w:iCs/>
          <w:spacing w:val="-2"/>
          <w:sz w:val="20"/>
          <w:szCs w:val="20"/>
          <w:lang w:bidi="en-US"/>
        </w:rPr>
        <w:t>sido</w:t>
      </w:r>
      <w:r w:rsidRPr="002964A7">
        <w:rPr>
          <w:rFonts w:ascii="Verdana" w:hAnsi="Verdana"/>
          <w:spacing w:val="-2"/>
          <w:sz w:val="20"/>
          <w:szCs w:val="20"/>
          <w:lang w:val="es-GT"/>
        </w:rPr>
        <w:t xml:space="preserve"> inscritos en el RUV y dos de estas últimas habían recibido un monto de reparación. Si bien el Estado ha contado con la oportunidad de reparar a nivel interno las violaciones declaradas en esta Sentencia, la información que proporcionó no da cuenta de un resultado definitivo hasta el momento. Aunado a lo anterior, el Estado no proporcionó información sobre los daños que cubren las reparaciones establecidas por el Plan Integra</w:t>
      </w:r>
      <w:r>
        <w:rPr>
          <w:rFonts w:ascii="Verdana" w:hAnsi="Verdana"/>
          <w:spacing w:val="-2"/>
          <w:sz w:val="20"/>
          <w:szCs w:val="20"/>
          <w:lang w:val="es-GT"/>
        </w:rPr>
        <w:t>l</w:t>
      </w:r>
      <w:r w:rsidRPr="002964A7">
        <w:rPr>
          <w:rFonts w:ascii="Verdana" w:hAnsi="Verdana"/>
          <w:spacing w:val="-2"/>
          <w:sz w:val="20"/>
          <w:szCs w:val="20"/>
          <w:lang w:val="es-GT"/>
        </w:rPr>
        <w:t xml:space="preserve"> de Reparaciones (PIR), los rubros que incluye el Programa de Reparaciones Económicas (PRE), los topes indemnizatorios del mismo y el estado actual en que se encontraría el registro de las víctimas del presente caso ante el Registro Único de Víctimas (RUV). Por lo tanto, la Corte no cuenta con información suficiente que le permita formular un pronunciamiento sobre la efectividad de las reparaciones contempladas en el PIR en el presente caso.</w:t>
      </w:r>
    </w:p>
    <w:p w:rsidR="00AB496F" w:rsidRPr="002964A7" w:rsidRDefault="00AB496F" w:rsidP="00AB496F">
      <w:pPr>
        <w:spacing w:after="0" w:line="240" w:lineRule="auto"/>
        <w:contextualSpacing/>
        <w:jc w:val="both"/>
        <w:rPr>
          <w:rFonts w:ascii="Verdana" w:hAnsi="Verdana" w:cs="Arial"/>
          <w:spacing w:val="-2"/>
          <w:sz w:val="20"/>
          <w:szCs w:val="20"/>
          <w:lang w:val="es-GT"/>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lang w:val="es-GT"/>
        </w:rPr>
      </w:pPr>
      <w:r w:rsidRPr="002964A7">
        <w:rPr>
          <w:rFonts w:ascii="Verdana" w:eastAsia="Calibri" w:hAnsi="Verdana"/>
          <w:spacing w:val="-2"/>
          <w:sz w:val="20"/>
          <w:szCs w:val="20"/>
          <w:lang w:val="es-GT"/>
        </w:rPr>
        <w:lastRenderedPageBreak/>
        <w:t xml:space="preserve">Respecto a la reparación civil establecida </w:t>
      </w:r>
      <w:r w:rsidRPr="002964A7">
        <w:rPr>
          <w:rFonts w:ascii="Verdana" w:eastAsia="Calibri" w:hAnsi="Verdana" w:cs="Arial"/>
          <w:spacing w:val="-2"/>
          <w:sz w:val="20"/>
          <w:szCs w:val="20"/>
          <w:lang w:val="es-GT"/>
        </w:rPr>
        <w:t>por la Sala Penal Nacional</w:t>
      </w:r>
      <w:r w:rsidRPr="002964A7">
        <w:rPr>
          <w:rFonts w:ascii="Verdana" w:eastAsia="Calibri" w:hAnsi="Verdana"/>
          <w:spacing w:val="-2"/>
          <w:sz w:val="20"/>
          <w:szCs w:val="20"/>
          <w:lang w:val="es-GT"/>
        </w:rPr>
        <w:t xml:space="preserve"> en la </w:t>
      </w:r>
      <w:r w:rsidR="004C74EB">
        <w:rPr>
          <w:rFonts w:ascii="Verdana" w:eastAsia="Calibri" w:hAnsi="Verdana"/>
          <w:spacing w:val="-2"/>
          <w:sz w:val="20"/>
          <w:szCs w:val="20"/>
          <w:lang w:val="es-GT"/>
        </w:rPr>
        <w:t>s</w:t>
      </w:r>
      <w:r w:rsidRPr="002964A7">
        <w:rPr>
          <w:rFonts w:ascii="Verdana" w:eastAsia="Calibri" w:hAnsi="Verdana"/>
          <w:spacing w:val="-2"/>
          <w:sz w:val="20"/>
          <w:szCs w:val="20"/>
          <w:lang w:val="es-GT"/>
        </w:rPr>
        <w:t>entencia de</w:t>
      </w:r>
      <w:r w:rsidRPr="002964A7">
        <w:rPr>
          <w:rFonts w:ascii="Verdana" w:eastAsia="Calibri" w:hAnsi="Verdana" w:cs="Arial"/>
          <w:spacing w:val="-2"/>
          <w:sz w:val="20"/>
          <w:szCs w:val="20"/>
          <w:lang w:val="es-GT"/>
        </w:rPr>
        <w:t xml:space="preserve"> 9 de febrero del 2012 por la cantidad de S/</w:t>
      </w:r>
      <w:r>
        <w:rPr>
          <w:rFonts w:ascii="Verdana" w:eastAsia="Calibri" w:hAnsi="Verdana" w:cs="Arial"/>
          <w:spacing w:val="-2"/>
          <w:sz w:val="20"/>
          <w:szCs w:val="20"/>
          <w:lang w:val="es-GT"/>
        </w:rPr>
        <w:t>.</w:t>
      </w:r>
      <w:r w:rsidRPr="002964A7">
        <w:rPr>
          <w:rFonts w:ascii="Verdana" w:eastAsia="Calibri" w:hAnsi="Verdana" w:cs="Arial"/>
          <w:spacing w:val="-2"/>
          <w:sz w:val="20"/>
          <w:szCs w:val="20"/>
          <w:lang w:val="es-GT"/>
        </w:rPr>
        <w:t xml:space="preserve"> 25,000 nuevos soles a favor de cada uno de los herederos legales de los agraviados</w:t>
      </w:r>
      <w:r w:rsidRPr="002964A7">
        <w:rPr>
          <w:rFonts w:ascii="Verdana" w:eastAsia="Calibri" w:hAnsi="Verdana"/>
          <w:bCs/>
          <w:spacing w:val="-2"/>
          <w:sz w:val="20"/>
          <w:szCs w:val="20"/>
          <w:lang w:val="es-GT"/>
        </w:rPr>
        <w:t xml:space="preserve">, según consta en la prueba que </w:t>
      </w:r>
      <w:r>
        <w:rPr>
          <w:rFonts w:ascii="Verdana" w:eastAsia="Calibri" w:hAnsi="Verdana"/>
          <w:bCs/>
          <w:spacing w:val="-2"/>
          <w:sz w:val="20"/>
          <w:szCs w:val="20"/>
          <w:lang w:val="es-GT"/>
        </w:rPr>
        <w:t>present</w:t>
      </w:r>
      <w:r w:rsidRPr="002964A7">
        <w:rPr>
          <w:rFonts w:ascii="Verdana" w:eastAsia="Calibri" w:hAnsi="Verdana"/>
          <w:bCs/>
          <w:spacing w:val="-2"/>
          <w:sz w:val="20"/>
          <w:szCs w:val="20"/>
          <w:lang w:val="es-GT"/>
        </w:rPr>
        <w:t xml:space="preserve">ó el Estado, en el marco de la ejecutoria de sentencia el condenado </w:t>
      </w:r>
      <w:r w:rsidRPr="002964A7">
        <w:rPr>
          <w:rFonts w:ascii="Verdana" w:hAnsi="Verdana" w:cs="Arial"/>
          <w:spacing w:val="-2"/>
          <w:sz w:val="20"/>
          <w:szCs w:val="20"/>
          <w:lang w:val="es-GT"/>
        </w:rPr>
        <w:t xml:space="preserve">Oscar Alberto Carrera Gonzales consignó </w:t>
      </w:r>
      <w:r w:rsidRPr="002964A7">
        <w:rPr>
          <w:rFonts w:ascii="Verdana" w:eastAsia="Calibri" w:hAnsi="Verdana"/>
          <w:bCs/>
          <w:spacing w:val="-2"/>
          <w:sz w:val="20"/>
          <w:szCs w:val="20"/>
          <w:lang w:val="es-GT"/>
        </w:rPr>
        <w:t>11 certificados de depósito judicial por la suma de S/</w:t>
      </w:r>
      <w:r>
        <w:rPr>
          <w:rFonts w:ascii="Verdana" w:eastAsia="Calibri" w:hAnsi="Verdana"/>
          <w:bCs/>
          <w:spacing w:val="-2"/>
          <w:sz w:val="20"/>
          <w:szCs w:val="20"/>
          <w:lang w:val="es-GT"/>
        </w:rPr>
        <w:t xml:space="preserve">. </w:t>
      </w:r>
      <w:r w:rsidRPr="002964A7">
        <w:rPr>
          <w:rFonts w:ascii="Verdana" w:eastAsia="Calibri" w:hAnsi="Verdana"/>
          <w:bCs/>
          <w:spacing w:val="-2"/>
          <w:sz w:val="20"/>
          <w:szCs w:val="20"/>
          <w:lang w:val="es-GT"/>
        </w:rPr>
        <w:t xml:space="preserve">50 </w:t>
      </w:r>
      <w:r>
        <w:rPr>
          <w:rFonts w:ascii="Verdana" w:eastAsia="Calibri" w:hAnsi="Verdana"/>
          <w:bCs/>
          <w:spacing w:val="-2"/>
          <w:sz w:val="20"/>
          <w:szCs w:val="20"/>
          <w:lang w:val="es-GT"/>
        </w:rPr>
        <w:t xml:space="preserve">nuevos </w:t>
      </w:r>
      <w:r w:rsidRPr="002964A7">
        <w:rPr>
          <w:rFonts w:ascii="Verdana" w:eastAsia="Calibri" w:hAnsi="Verdana"/>
          <w:bCs/>
          <w:spacing w:val="-2"/>
          <w:sz w:val="20"/>
          <w:szCs w:val="20"/>
          <w:lang w:val="es-GT"/>
        </w:rPr>
        <w:t xml:space="preserve">soles en concepto de pago de la reparación civil en el período de </w:t>
      </w:r>
      <w:r w:rsidRPr="002964A7">
        <w:rPr>
          <w:rFonts w:ascii="Verdana" w:hAnsi="Verdana" w:cs="Verdana-Italic"/>
          <w:iCs/>
          <w:spacing w:val="-2"/>
          <w:sz w:val="20"/>
          <w:szCs w:val="20"/>
          <w:lang w:bidi="en-US"/>
        </w:rPr>
        <w:t>diciembre</w:t>
      </w:r>
      <w:r w:rsidRPr="002964A7">
        <w:rPr>
          <w:rFonts w:ascii="Verdana" w:eastAsia="Calibri" w:hAnsi="Verdana"/>
          <w:bCs/>
          <w:spacing w:val="-2"/>
          <w:sz w:val="20"/>
          <w:szCs w:val="20"/>
          <w:lang w:val="es-GT"/>
        </w:rPr>
        <w:t xml:space="preserve"> de 2013 a septiembre de 2014</w:t>
      </w:r>
      <w:r w:rsidRPr="002964A7">
        <w:rPr>
          <w:rStyle w:val="FootnoteReference"/>
          <w:rFonts w:eastAsia="Calibri"/>
          <w:bCs/>
          <w:spacing w:val="-2"/>
          <w:szCs w:val="20"/>
        </w:rPr>
        <w:footnoteReference w:id="377"/>
      </w:r>
      <w:r w:rsidRPr="002964A7">
        <w:rPr>
          <w:rFonts w:ascii="Verdana" w:eastAsia="Calibri" w:hAnsi="Verdana"/>
          <w:bCs/>
          <w:spacing w:val="-2"/>
          <w:sz w:val="20"/>
          <w:szCs w:val="20"/>
          <w:lang w:val="es-GT"/>
        </w:rPr>
        <w:t>. Sobre el particular, no consta que se haya realizado pago alguno a favor de los familiares de las víctimas desaparecidas.</w:t>
      </w:r>
      <w:r w:rsidRPr="002964A7">
        <w:rPr>
          <w:rFonts w:ascii="Verdana" w:hAnsi="Verdana" w:cs="Arial"/>
          <w:spacing w:val="-2"/>
          <w:sz w:val="20"/>
          <w:szCs w:val="20"/>
          <w:lang w:val="es-GT"/>
        </w:rPr>
        <w:t xml:space="preserve"> </w:t>
      </w:r>
      <w:r w:rsidRPr="002964A7">
        <w:rPr>
          <w:rFonts w:ascii="Verdana" w:hAnsi="Verdana"/>
          <w:spacing w:val="-2"/>
          <w:sz w:val="20"/>
          <w:szCs w:val="20"/>
        </w:rPr>
        <w:t xml:space="preserve">Finalmente, respecto al alegato estatal sobre la posibilidad que tuvieron los representantes de accionar a nivel interno y por la vía correspondiente, a fin de exigir el pago al tercero civilmente responsable, </w:t>
      </w:r>
      <w:r w:rsidRPr="002964A7">
        <w:rPr>
          <w:rFonts w:ascii="Verdana" w:hAnsi="Verdana" w:cs="Arial"/>
          <w:spacing w:val="-2"/>
          <w:sz w:val="20"/>
          <w:szCs w:val="20"/>
        </w:rPr>
        <w:t>la Corte considera que este alegato es extemporáneo ya que fue presentado recién en sus alegatos finales.</w:t>
      </w:r>
    </w:p>
    <w:p w:rsidR="00AB496F" w:rsidRPr="002964A7" w:rsidRDefault="00AB496F" w:rsidP="00AB496F">
      <w:pPr>
        <w:pStyle w:val="ListParagraph"/>
        <w:spacing w:after="0" w:line="240" w:lineRule="auto"/>
        <w:rPr>
          <w:rFonts w:ascii="Verdana" w:hAnsi="Verdana"/>
          <w:spacing w:val="-2"/>
          <w:sz w:val="20"/>
          <w:szCs w:val="20"/>
          <w:lang w:val="es-GT"/>
        </w:rPr>
      </w:pPr>
    </w:p>
    <w:p w:rsidR="00AB496F" w:rsidRPr="001154F9" w:rsidRDefault="00AB496F" w:rsidP="001154F9">
      <w:pPr>
        <w:pStyle w:val="ListParagraph"/>
        <w:numPr>
          <w:ilvl w:val="0"/>
          <w:numId w:val="7"/>
        </w:numPr>
        <w:autoSpaceDE w:val="0"/>
        <w:autoSpaceDN w:val="0"/>
        <w:adjustRightInd w:val="0"/>
        <w:spacing w:after="0" w:line="240" w:lineRule="auto"/>
        <w:ind w:left="0" w:firstLine="0"/>
        <w:jc w:val="both"/>
        <w:rPr>
          <w:rStyle w:val="Strong"/>
          <w:rFonts w:ascii="Verdana" w:hAnsi="Verdana" w:cs="Arial"/>
          <w:b w:val="0"/>
          <w:bCs w:val="0"/>
          <w:spacing w:val="-2"/>
          <w:sz w:val="20"/>
          <w:szCs w:val="20"/>
          <w:lang w:val="es-GT"/>
        </w:rPr>
      </w:pPr>
      <w:r w:rsidRPr="002964A7">
        <w:rPr>
          <w:rFonts w:ascii="Verdana" w:hAnsi="Verdana"/>
          <w:spacing w:val="-2"/>
          <w:sz w:val="20"/>
          <w:szCs w:val="20"/>
          <w:lang w:val="es-GT"/>
        </w:rPr>
        <w:t>En razón de todo lo anterior, corresponde a la Corte dictar una reparación inmaterial y material sobre la base de su propia jurisprudencia.</w:t>
      </w:r>
    </w:p>
    <w:p w:rsidR="00AB496F" w:rsidRPr="00F13F0B" w:rsidRDefault="00AB496F" w:rsidP="001154F9">
      <w:pPr>
        <w:pStyle w:val="Heading3"/>
        <w:rPr>
          <w:rFonts w:cs="Arial"/>
        </w:rPr>
      </w:pPr>
      <w:bookmarkStart w:id="278" w:name="_Toc423102581"/>
      <w:bookmarkStart w:id="279" w:name="_Toc433387537"/>
      <w:r w:rsidRPr="00F13F0B">
        <w:rPr>
          <w:rFonts w:cs="Arial"/>
        </w:rPr>
        <w:t xml:space="preserve">D.1. </w:t>
      </w:r>
      <w:r w:rsidRPr="00F13F0B">
        <w:rPr>
          <w:lang w:val="es-ES_tradnl"/>
        </w:rPr>
        <w:t>Daño Inmaterial</w:t>
      </w:r>
      <w:bookmarkEnd w:id="278"/>
      <w:bookmarkEnd w:id="279"/>
    </w:p>
    <w:p w:rsidR="00AB496F" w:rsidRPr="002964A7" w:rsidRDefault="00AB496F" w:rsidP="00AB496F">
      <w:pPr>
        <w:spacing w:after="0" w:line="240" w:lineRule="auto"/>
        <w:rPr>
          <w:rFonts w:ascii="Verdana" w:hAnsi="Verdana"/>
          <w:b/>
          <w:bCs/>
          <w:i/>
          <w:iCs/>
          <w:spacing w:val="-2"/>
          <w:sz w:val="20"/>
          <w:szCs w:val="20"/>
          <w:lang w:val="es-GT"/>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cs="Verdana"/>
          <w:spacing w:val="-2"/>
          <w:sz w:val="20"/>
          <w:szCs w:val="20"/>
          <w:lang w:bidi="en-US"/>
        </w:rPr>
        <w:t xml:space="preserve">La jurisprudencia internacional ha establecido reiteradamente que la </w:t>
      </w:r>
      <w:r>
        <w:rPr>
          <w:rFonts w:ascii="Verdana" w:hAnsi="Verdana" w:cs="Verdana"/>
          <w:spacing w:val="-2"/>
          <w:sz w:val="20"/>
          <w:szCs w:val="20"/>
          <w:lang w:bidi="en-US"/>
        </w:rPr>
        <w:t>S</w:t>
      </w:r>
      <w:r w:rsidRPr="002964A7">
        <w:rPr>
          <w:rFonts w:ascii="Verdana" w:hAnsi="Verdana" w:cs="Verdana"/>
          <w:spacing w:val="-2"/>
          <w:sz w:val="20"/>
          <w:szCs w:val="20"/>
          <w:lang w:bidi="en-US"/>
        </w:rPr>
        <w:t xml:space="preserve">entencia puede constituir </w:t>
      </w:r>
      <w:r w:rsidRPr="002964A7">
        <w:rPr>
          <w:rFonts w:ascii="Verdana" w:hAnsi="Verdana" w:cs="Verdana"/>
          <w:i/>
          <w:iCs/>
          <w:spacing w:val="-2"/>
          <w:sz w:val="20"/>
          <w:szCs w:val="20"/>
          <w:lang w:bidi="en-US"/>
        </w:rPr>
        <w:t xml:space="preserve">per se </w:t>
      </w:r>
      <w:r w:rsidRPr="002964A7">
        <w:rPr>
          <w:rFonts w:ascii="Verdana" w:hAnsi="Verdana" w:cs="Verdana"/>
          <w:spacing w:val="-2"/>
          <w:sz w:val="20"/>
          <w:szCs w:val="20"/>
          <w:lang w:bidi="en-US"/>
        </w:rPr>
        <w:t>una forma de reparación</w:t>
      </w:r>
      <w:r w:rsidRPr="002964A7">
        <w:rPr>
          <w:rFonts w:ascii="Verdana" w:hAnsi="Verdana" w:cs="Verdana"/>
          <w:spacing w:val="-2"/>
          <w:sz w:val="20"/>
          <w:szCs w:val="20"/>
          <w:vertAlign w:val="superscript"/>
          <w:lang w:bidi="en-US"/>
        </w:rPr>
        <w:footnoteReference w:id="378"/>
      </w:r>
      <w:r w:rsidRPr="002964A7">
        <w:rPr>
          <w:rFonts w:ascii="Verdana" w:hAnsi="Verdana" w:cs="Verdana"/>
          <w:spacing w:val="-2"/>
          <w:sz w:val="20"/>
          <w:szCs w:val="20"/>
          <w:lang w:bidi="en-US"/>
        </w:rPr>
        <w:t xml:space="preserve">. No obstante, la Corte ha desarrollado en su jurisprudencia el concepto de daño inmaterial y </w:t>
      </w:r>
      <w:r w:rsidRPr="002964A7">
        <w:rPr>
          <w:rFonts w:ascii="Verdana" w:hAnsi="Verdana"/>
          <w:spacing w:val="-2"/>
          <w:sz w:val="20"/>
          <w:szCs w:val="20"/>
        </w:rPr>
        <w:t xml:space="preserve">ha establecido que </w:t>
      </w:r>
      <w:r>
        <w:rPr>
          <w:rFonts w:ascii="Verdana" w:hAnsi="Verdana"/>
          <w:spacing w:val="-2"/>
          <w:sz w:val="20"/>
          <w:szCs w:val="20"/>
        </w:rPr>
        <w:t>e</w:t>
      </w:r>
      <w:r w:rsidRPr="002964A7">
        <w:rPr>
          <w:rFonts w:ascii="Verdana" w:hAnsi="Verdana"/>
          <w:spacing w:val="-2"/>
          <w:sz w:val="20"/>
          <w:szCs w:val="20"/>
        </w:rPr>
        <w:t>ste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2964A7">
        <w:rPr>
          <w:rStyle w:val="FootnoteReference"/>
          <w:rFonts w:eastAsiaTheme="minorHAnsi"/>
          <w:spacing w:val="-2"/>
          <w:szCs w:val="20"/>
        </w:rPr>
        <w:footnoteReference w:id="379"/>
      </w:r>
      <w:r w:rsidRPr="002964A7">
        <w:rPr>
          <w:rFonts w:ascii="Verdana" w:hAnsi="Verdana" w:cs="Verdana"/>
          <w:spacing w:val="-2"/>
          <w:sz w:val="20"/>
          <w:szCs w:val="20"/>
          <w:lang w:bidi="en-US"/>
        </w:rPr>
        <w:t>.</w:t>
      </w:r>
    </w:p>
    <w:p w:rsidR="00AB496F" w:rsidRPr="002964A7" w:rsidRDefault="00AB496F" w:rsidP="00AB496F">
      <w:pPr>
        <w:tabs>
          <w:tab w:val="left" w:pos="709"/>
        </w:tabs>
        <w:spacing w:after="0" w:line="240" w:lineRule="auto"/>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En consideración de las circunstancias del presente caso, las violaciones cometidas, los sufrimientos ocasionados y experimentados en diferentes grados, el tiempo transcurrido, la denegación de justicia, así como el cambio en las condiciones de vida de algunos familiares, las comprobadas afectaciones a la integridad </w:t>
      </w:r>
      <w:r w:rsidRPr="002964A7">
        <w:rPr>
          <w:rFonts w:ascii="Verdana" w:hAnsi="Verdana" w:cs="Verdana-Italic"/>
          <w:iCs/>
          <w:spacing w:val="-2"/>
          <w:sz w:val="20"/>
          <w:szCs w:val="20"/>
          <w:lang w:bidi="en-US"/>
        </w:rPr>
        <w:t>personal</w:t>
      </w:r>
      <w:r w:rsidRPr="002964A7">
        <w:rPr>
          <w:rFonts w:ascii="Verdana" w:hAnsi="Verdana"/>
          <w:spacing w:val="-2"/>
          <w:sz w:val="20"/>
          <w:szCs w:val="20"/>
        </w:rPr>
        <w:t xml:space="preserve"> de los familiares de las víctimas y las restantes consecuencias de orden inmaterial que sufrieron, el Tribunal pasa a fijar en equidad las indemnizaciones por daño inmaterial a favor de </w:t>
      </w:r>
      <w:r w:rsidRPr="00F13F0B">
        <w:rPr>
          <w:rFonts w:ascii="Verdana" w:eastAsia="Arial Unicode MS" w:hAnsi="Verdana" w:cs="Times"/>
          <w:spacing w:val="-2"/>
          <w:sz w:val="20"/>
          <w:szCs w:val="20"/>
        </w:rPr>
        <w:t xml:space="preserve">cada una de las víctimas, como compensación por concepto de daño inmaterial: </w:t>
      </w:r>
    </w:p>
    <w:p w:rsidR="00AB496F" w:rsidRPr="00326551" w:rsidRDefault="00AB496F" w:rsidP="00AB496F">
      <w:pPr>
        <w:widowControl w:val="0"/>
        <w:tabs>
          <w:tab w:val="left" w:pos="720"/>
        </w:tabs>
        <w:autoSpaceDE w:val="0"/>
        <w:autoSpaceDN w:val="0"/>
        <w:adjustRightInd w:val="0"/>
        <w:spacing w:after="0" w:line="240" w:lineRule="auto"/>
        <w:ind w:right="-90"/>
        <w:jc w:val="both"/>
        <w:rPr>
          <w:rFonts w:ascii="Verdana" w:hAnsi="Verdana"/>
          <w:spacing w:val="-2"/>
          <w:sz w:val="20"/>
          <w:szCs w:val="20"/>
        </w:rPr>
      </w:pPr>
    </w:p>
    <w:p w:rsidR="00AB496F" w:rsidRDefault="00AB496F" w:rsidP="001154F9">
      <w:pPr>
        <w:pStyle w:val="Estilo4"/>
        <w:numPr>
          <w:ilvl w:val="1"/>
          <w:numId w:val="15"/>
        </w:numPr>
        <w:spacing w:after="0"/>
        <w:ind w:left="0" w:firstLine="360"/>
        <w:rPr>
          <w:sz w:val="20"/>
          <w:szCs w:val="20"/>
        </w:rPr>
      </w:pPr>
      <w:r w:rsidRPr="004932B6">
        <w:rPr>
          <w:sz w:val="20"/>
          <w:szCs w:val="20"/>
        </w:rPr>
        <w:t>U</w:t>
      </w:r>
      <w:r>
        <w:rPr>
          <w:sz w:val="20"/>
          <w:szCs w:val="20"/>
        </w:rPr>
        <w:t xml:space="preserve">SD </w:t>
      </w:r>
      <w:r w:rsidRPr="004932B6">
        <w:rPr>
          <w:sz w:val="20"/>
          <w:szCs w:val="20"/>
        </w:rPr>
        <w:t>$80</w:t>
      </w:r>
      <w:r>
        <w:rPr>
          <w:sz w:val="20"/>
          <w:szCs w:val="20"/>
        </w:rPr>
        <w:t>,</w:t>
      </w:r>
      <w:r w:rsidRPr="004932B6">
        <w:rPr>
          <w:sz w:val="20"/>
          <w:szCs w:val="20"/>
        </w:rPr>
        <w:t>000</w:t>
      </w:r>
      <w:r>
        <w:rPr>
          <w:sz w:val="20"/>
          <w:szCs w:val="20"/>
        </w:rPr>
        <w:t>.</w:t>
      </w:r>
      <w:r w:rsidRPr="004932B6">
        <w:rPr>
          <w:sz w:val="20"/>
          <w:szCs w:val="20"/>
        </w:rPr>
        <w:t>00 (ochenta mil dólares</w:t>
      </w:r>
      <w:r w:rsidRPr="00630B2E">
        <w:rPr>
          <w:sz w:val="20"/>
          <w:szCs w:val="20"/>
        </w:rPr>
        <w:t xml:space="preserve"> </w:t>
      </w:r>
      <w:r w:rsidRPr="004932B6">
        <w:rPr>
          <w:sz w:val="20"/>
          <w:szCs w:val="20"/>
        </w:rPr>
        <w:t>de los Estados Unidos de América) a los adultos desaparecidos forzadamente: Francisco Hilario Torres, Dionicia Quispe Ma</w:t>
      </w:r>
      <w:r>
        <w:rPr>
          <w:sz w:val="20"/>
          <w:szCs w:val="20"/>
        </w:rPr>
        <w:t>l</w:t>
      </w:r>
      <w:r w:rsidRPr="004932B6">
        <w:rPr>
          <w:sz w:val="20"/>
          <w:szCs w:val="20"/>
        </w:rPr>
        <w:t xml:space="preserve">lqui, Antonia Hilario Quispe, Magdalena Hilario Quispe, Mercedes Carhuapoma de la Cruz, Ramón Hilario Morán, </w:t>
      </w:r>
      <w:r w:rsidRPr="004932B6">
        <w:rPr>
          <w:rFonts w:cs="Arial"/>
          <w:sz w:val="20"/>
          <w:szCs w:val="20"/>
          <w:lang w:val="es-GT"/>
        </w:rPr>
        <w:t>Dionicia Guillén Riveros</w:t>
      </w:r>
      <w:r w:rsidRPr="004932B6">
        <w:rPr>
          <w:sz w:val="20"/>
          <w:szCs w:val="20"/>
        </w:rPr>
        <w:t xml:space="preserve"> y Elihoref Huamaní Vergara.</w:t>
      </w:r>
    </w:p>
    <w:p w:rsidR="00AB496F" w:rsidRPr="004932B6" w:rsidRDefault="00AB496F" w:rsidP="00AB496F">
      <w:pPr>
        <w:pStyle w:val="Estilo4"/>
        <w:spacing w:after="0"/>
        <w:ind w:left="360"/>
        <w:rPr>
          <w:sz w:val="20"/>
          <w:szCs w:val="20"/>
        </w:rPr>
      </w:pPr>
    </w:p>
    <w:p w:rsidR="00AB496F" w:rsidRPr="004932B6" w:rsidRDefault="00AB496F" w:rsidP="001154F9">
      <w:pPr>
        <w:pStyle w:val="Estilo4"/>
        <w:numPr>
          <w:ilvl w:val="1"/>
          <w:numId w:val="15"/>
        </w:numPr>
        <w:spacing w:after="0"/>
        <w:ind w:left="0" w:firstLine="360"/>
        <w:rPr>
          <w:sz w:val="20"/>
          <w:szCs w:val="20"/>
        </w:rPr>
      </w:pPr>
      <w:r w:rsidRPr="004932B6">
        <w:rPr>
          <w:sz w:val="20"/>
          <w:szCs w:val="20"/>
        </w:rPr>
        <w:t>U</w:t>
      </w:r>
      <w:r>
        <w:rPr>
          <w:sz w:val="20"/>
          <w:szCs w:val="20"/>
        </w:rPr>
        <w:t xml:space="preserve">SD </w:t>
      </w:r>
      <w:r w:rsidRPr="004932B6">
        <w:rPr>
          <w:sz w:val="20"/>
          <w:szCs w:val="20"/>
        </w:rPr>
        <w:t>$</w:t>
      </w:r>
      <w:r>
        <w:rPr>
          <w:sz w:val="20"/>
          <w:szCs w:val="20"/>
        </w:rPr>
        <w:t>80,</w:t>
      </w:r>
      <w:r w:rsidRPr="004932B6">
        <w:rPr>
          <w:sz w:val="20"/>
          <w:szCs w:val="20"/>
        </w:rPr>
        <w:t>000</w:t>
      </w:r>
      <w:r>
        <w:rPr>
          <w:sz w:val="20"/>
          <w:szCs w:val="20"/>
        </w:rPr>
        <w:t>.</w:t>
      </w:r>
      <w:r w:rsidRPr="004932B6">
        <w:rPr>
          <w:sz w:val="20"/>
          <w:szCs w:val="20"/>
        </w:rPr>
        <w:t>00 (</w:t>
      </w:r>
      <w:r>
        <w:rPr>
          <w:sz w:val="20"/>
          <w:szCs w:val="20"/>
        </w:rPr>
        <w:t>ochenta</w:t>
      </w:r>
      <w:r w:rsidRPr="004932B6">
        <w:rPr>
          <w:sz w:val="20"/>
          <w:szCs w:val="20"/>
        </w:rPr>
        <w:t xml:space="preserve"> mil dólares</w:t>
      </w:r>
      <w:r w:rsidRPr="00630B2E">
        <w:rPr>
          <w:sz w:val="20"/>
          <w:szCs w:val="20"/>
        </w:rPr>
        <w:t xml:space="preserve"> </w:t>
      </w:r>
      <w:r w:rsidRPr="004932B6">
        <w:rPr>
          <w:sz w:val="20"/>
          <w:szCs w:val="20"/>
        </w:rPr>
        <w:t>de los Estados Unidos de América) a las niñas y niños des</w:t>
      </w:r>
      <w:r w:rsidR="00151F98">
        <w:rPr>
          <w:sz w:val="20"/>
          <w:szCs w:val="20"/>
        </w:rPr>
        <w:t>a</w:t>
      </w:r>
      <w:r w:rsidRPr="004932B6">
        <w:rPr>
          <w:sz w:val="20"/>
          <w:szCs w:val="20"/>
        </w:rPr>
        <w:t xml:space="preserve">parecidos forzadamente: Yessenia Osnayo Hilario, Miriam Osnayo Hilario, Edith Osnayo Hilario, </w:t>
      </w:r>
      <w:r w:rsidRPr="004932B6">
        <w:rPr>
          <w:sz w:val="20"/>
          <w:szCs w:val="20"/>
          <w:lang w:val="es-GT"/>
        </w:rPr>
        <w:t xml:space="preserve">Wilmer Hilario Carhuapoma, </w:t>
      </w:r>
      <w:r w:rsidRPr="004932B6">
        <w:rPr>
          <w:sz w:val="20"/>
          <w:szCs w:val="20"/>
        </w:rPr>
        <w:t>Alex Jorge Hilari</w:t>
      </w:r>
      <w:r w:rsidR="00884B9C">
        <w:rPr>
          <w:sz w:val="20"/>
          <w:szCs w:val="20"/>
        </w:rPr>
        <w:t>o</w:t>
      </w:r>
      <w:r w:rsidRPr="004932B6">
        <w:rPr>
          <w:sz w:val="20"/>
          <w:szCs w:val="20"/>
        </w:rPr>
        <w:t xml:space="preserve">, </w:t>
      </w:r>
      <w:r w:rsidRPr="004932B6">
        <w:rPr>
          <w:sz w:val="20"/>
          <w:szCs w:val="20"/>
          <w:lang w:val="es-GT"/>
        </w:rPr>
        <w:t>Raúl Hilario Guillén</w:t>
      </w:r>
      <w:r w:rsidRPr="004932B6">
        <w:rPr>
          <w:sz w:val="20"/>
          <w:szCs w:val="20"/>
        </w:rPr>
        <w:t xml:space="preserve"> y Héctor Hilario Guillen.</w:t>
      </w:r>
    </w:p>
    <w:p w:rsidR="00AB496F" w:rsidRDefault="00AB496F" w:rsidP="00DF015D">
      <w:pPr>
        <w:pStyle w:val="Estilo4"/>
        <w:spacing w:after="0"/>
        <w:ind w:left="360"/>
        <w:rPr>
          <w:sz w:val="20"/>
          <w:szCs w:val="20"/>
        </w:rPr>
      </w:pPr>
    </w:p>
    <w:p w:rsidR="00AB496F" w:rsidRPr="004932B6" w:rsidRDefault="00AB496F" w:rsidP="001154F9">
      <w:pPr>
        <w:pStyle w:val="Estilo4"/>
        <w:numPr>
          <w:ilvl w:val="1"/>
          <w:numId w:val="15"/>
        </w:numPr>
        <w:spacing w:after="0"/>
        <w:ind w:left="0" w:firstLine="360"/>
        <w:rPr>
          <w:sz w:val="20"/>
          <w:szCs w:val="20"/>
        </w:rPr>
      </w:pPr>
      <w:r w:rsidRPr="004932B6">
        <w:rPr>
          <w:sz w:val="20"/>
          <w:szCs w:val="20"/>
        </w:rPr>
        <w:t>U</w:t>
      </w:r>
      <w:r>
        <w:rPr>
          <w:sz w:val="20"/>
          <w:szCs w:val="20"/>
        </w:rPr>
        <w:t xml:space="preserve">SD </w:t>
      </w:r>
      <w:r w:rsidRPr="004932B6">
        <w:rPr>
          <w:sz w:val="20"/>
          <w:szCs w:val="20"/>
        </w:rPr>
        <w:t>$45</w:t>
      </w:r>
      <w:r>
        <w:rPr>
          <w:sz w:val="20"/>
          <w:szCs w:val="20"/>
        </w:rPr>
        <w:t>,</w:t>
      </w:r>
      <w:r w:rsidRPr="004932B6">
        <w:rPr>
          <w:sz w:val="20"/>
          <w:szCs w:val="20"/>
        </w:rPr>
        <w:t>000</w:t>
      </w:r>
      <w:r>
        <w:rPr>
          <w:sz w:val="20"/>
          <w:szCs w:val="20"/>
        </w:rPr>
        <w:t>.</w:t>
      </w:r>
      <w:r w:rsidRPr="004932B6">
        <w:rPr>
          <w:sz w:val="20"/>
          <w:szCs w:val="20"/>
        </w:rPr>
        <w:t xml:space="preserve">00 (cuarenta </w:t>
      </w:r>
      <w:r>
        <w:rPr>
          <w:sz w:val="20"/>
          <w:szCs w:val="20"/>
        </w:rPr>
        <w:t xml:space="preserve">y </w:t>
      </w:r>
      <w:r w:rsidRPr="004932B6">
        <w:rPr>
          <w:sz w:val="20"/>
          <w:szCs w:val="20"/>
        </w:rPr>
        <w:t>cinco mil dólares</w:t>
      </w:r>
      <w:r w:rsidRPr="00630B2E">
        <w:rPr>
          <w:sz w:val="20"/>
          <w:szCs w:val="20"/>
        </w:rPr>
        <w:t xml:space="preserve"> </w:t>
      </w:r>
      <w:r w:rsidRPr="004932B6">
        <w:rPr>
          <w:sz w:val="20"/>
          <w:szCs w:val="20"/>
        </w:rPr>
        <w:t xml:space="preserve">de los Estados Unidos de América) a los familiares: Zenón Cirilo Osnayo Tunque, Zósimo Hilario Quispe, Marcelo Hilario Quispe, Gregorio Hilario Quispe y Abilio Hilario Quispe, quienes </w:t>
      </w:r>
      <w:r w:rsidRPr="004932B6">
        <w:rPr>
          <w:rFonts w:cs="Arial"/>
          <w:sz w:val="20"/>
          <w:szCs w:val="20"/>
        </w:rPr>
        <w:t xml:space="preserve">según el grupo familiar al que </w:t>
      </w:r>
      <w:r w:rsidRPr="004932B6">
        <w:rPr>
          <w:rFonts w:cs="Arial"/>
          <w:sz w:val="20"/>
          <w:szCs w:val="20"/>
        </w:rPr>
        <w:lastRenderedPageBreak/>
        <w:t>corresponden, son</w:t>
      </w:r>
      <w:r w:rsidRPr="004932B6">
        <w:rPr>
          <w:rFonts w:eastAsia="Calibri"/>
          <w:sz w:val="20"/>
          <w:szCs w:val="20"/>
        </w:rPr>
        <w:t>, padres, hijos y compañeros de vida de víctimas de la desaparición forzada</w:t>
      </w:r>
      <w:r w:rsidRPr="004932B6">
        <w:rPr>
          <w:bCs/>
          <w:sz w:val="20"/>
          <w:szCs w:val="20"/>
          <w:lang w:val="es-VE"/>
        </w:rPr>
        <w:t>.</w:t>
      </w:r>
    </w:p>
    <w:p w:rsidR="00AB496F" w:rsidRDefault="00AB496F" w:rsidP="00DF015D">
      <w:pPr>
        <w:pStyle w:val="Estilo4"/>
        <w:spacing w:after="0"/>
        <w:ind w:left="360"/>
        <w:rPr>
          <w:sz w:val="20"/>
          <w:szCs w:val="20"/>
        </w:rPr>
      </w:pPr>
    </w:p>
    <w:p w:rsidR="00AB496F" w:rsidRPr="004932B6" w:rsidRDefault="00AB496F" w:rsidP="001154F9">
      <w:pPr>
        <w:pStyle w:val="Estilo4"/>
        <w:numPr>
          <w:ilvl w:val="1"/>
          <w:numId w:val="15"/>
        </w:numPr>
        <w:spacing w:after="0"/>
        <w:ind w:left="0" w:firstLine="360"/>
        <w:rPr>
          <w:sz w:val="20"/>
          <w:szCs w:val="20"/>
        </w:rPr>
      </w:pPr>
      <w:r w:rsidRPr="004932B6">
        <w:rPr>
          <w:sz w:val="20"/>
          <w:szCs w:val="20"/>
        </w:rPr>
        <w:t>U</w:t>
      </w:r>
      <w:r>
        <w:rPr>
          <w:sz w:val="20"/>
          <w:szCs w:val="20"/>
        </w:rPr>
        <w:t xml:space="preserve">SD </w:t>
      </w:r>
      <w:r w:rsidRPr="004932B6">
        <w:rPr>
          <w:sz w:val="20"/>
          <w:szCs w:val="20"/>
        </w:rPr>
        <w:t>$45</w:t>
      </w:r>
      <w:r>
        <w:rPr>
          <w:sz w:val="20"/>
          <w:szCs w:val="20"/>
        </w:rPr>
        <w:t>,</w:t>
      </w:r>
      <w:r w:rsidRPr="004932B6">
        <w:rPr>
          <w:sz w:val="20"/>
          <w:szCs w:val="20"/>
        </w:rPr>
        <w:t>000</w:t>
      </w:r>
      <w:r>
        <w:rPr>
          <w:sz w:val="20"/>
          <w:szCs w:val="20"/>
        </w:rPr>
        <w:t>.</w:t>
      </w:r>
      <w:r w:rsidRPr="004932B6">
        <w:rPr>
          <w:sz w:val="20"/>
          <w:szCs w:val="20"/>
        </w:rPr>
        <w:t>00 (cuarenta cinco mil dólares</w:t>
      </w:r>
      <w:r w:rsidRPr="00630B2E">
        <w:rPr>
          <w:sz w:val="20"/>
          <w:szCs w:val="20"/>
        </w:rPr>
        <w:t xml:space="preserve"> </w:t>
      </w:r>
      <w:r w:rsidRPr="004932B6">
        <w:rPr>
          <w:sz w:val="20"/>
          <w:szCs w:val="20"/>
        </w:rPr>
        <w:t xml:space="preserve">de los Estados Unidos de América) a los familiares </w:t>
      </w:r>
      <w:r>
        <w:rPr>
          <w:sz w:val="20"/>
          <w:szCs w:val="20"/>
        </w:rPr>
        <w:t xml:space="preserve">que </w:t>
      </w:r>
      <w:r w:rsidRPr="004932B6">
        <w:rPr>
          <w:sz w:val="20"/>
          <w:szCs w:val="20"/>
        </w:rPr>
        <w:t xml:space="preserve">actualmente </w:t>
      </w:r>
      <w:r>
        <w:rPr>
          <w:sz w:val="20"/>
          <w:szCs w:val="20"/>
        </w:rPr>
        <w:t xml:space="preserve">se encuentran </w:t>
      </w:r>
      <w:r w:rsidRPr="004932B6">
        <w:rPr>
          <w:sz w:val="20"/>
          <w:szCs w:val="20"/>
        </w:rPr>
        <w:t>fallecidos: Ana de la Cruz Carhuapoma, Viviano Hilario Mancha, Dolores Morán Paucar, Justiniano Guillén Ccanto, Victoria Riveros Valencia y Alejandro Huaman</w:t>
      </w:r>
      <w:r>
        <w:rPr>
          <w:sz w:val="20"/>
          <w:szCs w:val="20"/>
        </w:rPr>
        <w:t>í</w:t>
      </w:r>
      <w:r w:rsidRPr="004932B6">
        <w:rPr>
          <w:sz w:val="20"/>
          <w:szCs w:val="20"/>
        </w:rPr>
        <w:t xml:space="preserve"> Robles, quienes </w:t>
      </w:r>
      <w:r w:rsidRPr="004932B6">
        <w:rPr>
          <w:rFonts w:cs="Arial"/>
          <w:sz w:val="20"/>
          <w:szCs w:val="20"/>
        </w:rPr>
        <w:t>según el grupo familiar al que corresponden, son</w:t>
      </w:r>
      <w:r w:rsidRPr="004932B6">
        <w:rPr>
          <w:rFonts w:eastAsia="Calibri"/>
          <w:sz w:val="20"/>
          <w:szCs w:val="20"/>
        </w:rPr>
        <w:t xml:space="preserve"> madres, padres, hijos y compañeros de vida de víctimas de la desaparición forzada</w:t>
      </w:r>
      <w:r w:rsidRPr="004932B6">
        <w:rPr>
          <w:bCs/>
          <w:sz w:val="20"/>
          <w:szCs w:val="20"/>
          <w:lang w:val="es-VE"/>
        </w:rPr>
        <w:t>.</w:t>
      </w:r>
    </w:p>
    <w:p w:rsidR="00AB496F" w:rsidRDefault="00AB496F" w:rsidP="00DF015D">
      <w:pPr>
        <w:pStyle w:val="Estilo4"/>
        <w:spacing w:after="0"/>
        <w:ind w:left="360"/>
        <w:rPr>
          <w:sz w:val="20"/>
          <w:szCs w:val="20"/>
        </w:rPr>
      </w:pPr>
    </w:p>
    <w:p w:rsidR="00AB496F" w:rsidRPr="004932B6" w:rsidRDefault="00AB496F" w:rsidP="001154F9">
      <w:pPr>
        <w:pStyle w:val="Estilo4"/>
        <w:numPr>
          <w:ilvl w:val="1"/>
          <w:numId w:val="15"/>
        </w:numPr>
        <w:spacing w:after="0"/>
        <w:ind w:left="0" w:firstLine="360"/>
        <w:rPr>
          <w:sz w:val="20"/>
          <w:szCs w:val="20"/>
        </w:rPr>
      </w:pPr>
      <w:r w:rsidRPr="004932B6">
        <w:rPr>
          <w:sz w:val="20"/>
          <w:szCs w:val="20"/>
        </w:rPr>
        <w:t>U</w:t>
      </w:r>
      <w:r>
        <w:rPr>
          <w:sz w:val="20"/>
          <w:szCs w:val="20"/>
        </w:rPr>
        <w:t xml:space="preserve">SD </w:t>
      </w:r>
      <w:r w:rsidRPr="004932B6">
        <w:rPr>
          <w:sz w:val="20"/>
          <w:szCs w:val="20"/>
        </w:rPr>
        <w:t>$</w:t>
      </w:r>
      <w:r>
        <w:rPr>
          <w:sz w:val="20"/>
          <w:szCs w:val="20"/>
        </w:rPr>
        <w:t>10,</w:t>
      </w:r>
      <w:r w:rsidRPr="004932B6">
        <w:rPr>
          <w:sz w:val="20"/>
          <w:szCs w:val="20"/>
        </w:rPr>
        <w:t>000</w:t>
      </w:r>
      <w:r>
        <w:rPr>
          <w:sz w:val="20"/>
          <w:szCs w:val="20"/>
        </w:rPr>
        <w:t>.</w:t>
      </w:r>
      <w:r w:rsidRPr="004932B6">
        <w:rPr>
          <w:sz w:val="20"/>
          <w:szCs w:val="20"/>
        </w:rPr>
        <w:t>00 (</w:t>
      </w:r>
      <w:r>
        <w:rPr>
          <w:sz w:val="20"/>
          <w:szCs w:val="20"/>
        </w:rPr>
        <w:t>diez</w:t>
      </w:r>
      <w:r w:rsidRPr="004932B6">
        <w:rPr>
          <w:sz w:val="20"/>
          <w:szCs w:val="20"/>
        </w:rPr>
        <w:t xml:space="preserve"> mil dólares</w:t>
      </w:r>
      <w:r>
        <w:rPr>
          <w:sz w:val="20"/>
          <w:szCs w:val="20"/>
        </w:rPr>
        <w:t xml:space="preserve"> </w:t>
      </w:r>
      <w:r w:rsidRPr="004932B6">
        <w:rPr>
          <w:sz w:val="20"/>
          <w:szCs w:val="20"/>
        </w:rPr>
        <w:t xml:space="preserve">de los Estados Unidos de América) a Víctor Carhuapoma de la Cruz (hermano de Mercedes Carhuapoma de la Cruz), </w:t>
      </w:r>
      <w:r w:rsidRPr="002F45DC">
        <w:rPr>
          <w:sz w:val="20"/>
          <w:szCs w:val="20"/>
        </w:rPr>
        <w:t>Marcelina Guillen Riveros</w:t>
      </w:r>
      <w:r w:rsidRPr="004932B6">
        <w:rPr>
          <w:sz w:val="20"/>
          <w:szCs w:val="20"/>
        </w:rPr>
        <w:t xml:space="preserve"> </w:t>
      </w:r>
      <w:r w:rsidRPr="004932B6">
        <w:rPr>
          <w:rFonts w:cs="Arial"/>
          <w:sz w:val="20"/>
          <w:szCs w:val="20"/>
          <w:lang w:val="es-GT"/>
        </w:rPr>
        <w:t>(hermana de Dionicia Guillén Riveros) y</w:t>
      </w:r>
      <w:r w:rsidRPr="004932B6">
        <w:rPr>
          <w:sz w:val="20"/>
          <w:szCs w:val="20"/>
        </w:rPr>
        <w:t xml:space="preserve"> </w:t>
      </w:r>
      <w:r w:rsidRPr="004932B6">
        <w:rPr>
          <w:rFonts w:cs="Arial"/>
          <w:sz w:val="20"/>
          <w:szCs w:val="20"/>
        </w:rPr>
        <w:t xml:space="preserve">Marino Huamaní Vergara </w:t>
      </w:r>
      <w:r w:rsidRPr="004932B6">
        <w:rPr>
          <w:sz w:val="20"/>
          <w:szCs w:val="20"/>
        </w:rPr>
        <w:t>(hermano de Elihoref Huamaní Vergara).</w:t>
      </w:r>
    </w:p>
    <w:p w:rsidR="00AB496F" w:rsidRPr="00326551" w:rsidRDefault="00AB496F" w:rsidP="00AB496F">
      <w:pPr>
        <w:pStyle w:val="Estilo4"/>
        <w:spacing w:after="0"/>
        <w:ind w:left="720"/>
        <w:rPr>
          <w:sz w:val="20"/>
          <w:szCs w:val="20"/>
        </w:rPr>
      </w:pPr>
    </w:p>
    <w:p w:rsidR="00AB496F" w:rsidRPr="00654B84"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pacing w:val="-2"/>
          <w:sz w:val="20"/>
        </w:rPr>
      </w:pPr>
      <w:r w:rsidRPr="002964A7">
        <w:rPr>
          <w:rFonts w:ascii="Verdana" w:hAnsi="Verdana" w:cs="Arial"/>
          <w:spacing w:val="-2"/>
          <w:sz w:val="20"/>
          <w:szCs w:val="20"/>
        </w:rPr>
        <w:t xml:space="preserve">En el caso de las víctimas de la desaparición forzada y de los familiares que a la fecha han fallecido, </w:t>
      </w:r>
      <w:r>
        <w:rPr>
          <w:rFonts w:ascii="Verdana" w:hAnsi="Verdana" w:cs="Arial"/>
          <w:spacing w:val="-2"/>
          <w:sz w:val="20"/>
          <w:szCs w:val="20"/>
        </w:rPr>
        <w:t>l</w:t>
      </w:r>
      <w:r w:rsidRPr="00786593">
        <w:rPr>
          <w:rFonts w:ascii="Verdana" w:eastAsia="Calibri" w:hAnsi="Verdana"/>
          <w:spacing w:val="-2"/>
          <w:sz w:val="20"/>
        </w:rPr>
        <w:t xml:space="preserve">os montos dispuestos en el párrafo anterior deben ser pagados a </w:t>
      </w:r>
      <w:r w:rsidRPr="00786593">
        <w:rPr>
          <w:rFonts w:ascii="Verdana" w:hAnsi="Verdana" w:cs="Verdana"/>
          <w:spacing w:val="-2"/>
          <w:sz w:val="20"/>
          <w:szCs w:val="20"/>
        </w:rPr>
        <w:t>sus</w:t>
      </w:r>
      <w:r w:rsidRPr="00786593">
        <w:rPr>
          <w:rFonts w:ascii="Verdana" w:eastAsia="Calibri" w:hAnsi="Verdana"/>
          <w:spacing w:val="-2"/>
          <w:sz w:val="20"/>
        </w:rPr>
        <w:t xml:space="preserve"> familiares,</w:t>
      </w:r>
      <w:r w:rsidRPr="00654B84">
        <w:rPr>
          <w:rFonts w:ascii="Verdana" w:eastAsia="Calibri" w:hAnsi="Verdana"/>
          <w:spacing w:val="-2"/>
          <w:sz w:val="20"/>
        </w:rPr>
        <w:t xml:space="preserve"> en el plazo </w:t>
      </w:r>
      <w:r w:rsidRPr="00654B84">
        <w:rPr>
          <w:rFonts w:ascii="Verdana" w:hAnsi="Verdana"/>
          <w:sz w:val="20"/>
          <w:szCs w:val="20"/>
        </w:rPr>
        <w:t>de un año</w:t>
      </w:r>
      <w:r>
        <w:rPr>
          <w:rFonts w:ascii="Verdana" w:eastAsia="Calibri" w:hAnsi="Verdana"/>
          <w:spacing w:val="-2"/>
          <w:sz w:val="20"/>
        </w:rPr>
        <w:t xml:space="preserve"> y</w:t>
      </w:r>
      <w:r w:rsidRPr="00654B84">
        <w:rPr>
          <w:rFonts w:ascii="Verdana" w:eastAsia="Calibri" w:hAnsi="Verdana"/>
          <w:spacing w:val="-2"/>
          <w:sz w:val="20"/>
        </w:rPr>
        <w:t xml:space="preserve"> de acuerdo con los siguientes criterios: </w:t>
      </w:r>
    </w:p>
    <w:p w:rsidR="00AB496F" w:rsidRPr="00786593" w:rsidRDefault="00AB496F" w:rsidP="00AB496F">
      <w:pPr>
        <w:tabs>
          <w:tab w:val="left" w:pos="567"/>
        </w:tabs>
        <w:spacing w:before="120" w:after="120" w:line="240" w:lineRule="auto"/>
        <w:ind w:left="567" w:right="446"/>
        <w:jc w:val="both"/>
        <w:rPr>
          <w:rFonts w:ascii="Verdana" w:eastAsia="Calibri" w:hAnsi="Verdana"/>
          <w:spacing w:val="-2"/>
          <w:sz w:val="16"/>
          <w:szCs w:val="16"/>
        </w:rPr>
      </w:pPr>
      <w:r w:rsidRPr="00FF138A">
        <w:rPr>
          <w:rFonts w:ascii="Verdana" w:eastAsia="Calibri" w:hAnsi="Verdana"/>
          <w:spacing w:val="-2"/>
          <w:sz w:val="16"/>
          <w:szCs w:val="16"/>
        </w:rPr>
        <w:t xml:space="preserve">a) </w:t>
      </w:r>
      <w:r w:rsidRPr="003734D2">
        <w:rPr>
          <w:rFonts w:ascii="Verdana" w:eastAsia="Calibri" w:hAnsi="Verdana"/>
          <w:spacing w:val="-2"/>
          <w:sz w:val="16"/>
          <w:szCs w:val="16"/>
        </w:rPr>
        <w:t xml:space="preserve">el cincuenta por ciento (50%) de la indemnización correspondiente a cada víctima se repartirá, por partes iguales, entre los hijos </w:t>
      </w:r>
      <w:r w:rsidRPr="004F2DF0">
        <w:rPr>
          <w:rFonts w:ascii="Verdana" w:eastAsia="Calibri" w:hAnsi="Verdana"/>
          <w:spacing w:val="-2"/>
          <w:sz w:val="16"/>
          <w:szCs w:val="16"/>
        </w:rPr>
        <w:t xml:space="preserve">e hijas </w:t>
      </w:r>
      <w:r w:rsidRPr="00B063F2">
        <w:rPr>
          <w:rFonts w:ascii="Verdana" w:eastAsia="Calibri" w:hAnsi="Verdana"/>
          <w:spacing w:val="-2"/>
          <w:sz w:val="16"/>
          <w:szCs w:val="16"/>
        </w:rPr>
        <w:t xml:space="preserve">de </w:t>
      </w:r>
      <w:r w:rsidR="00335E16">
        <w:rPr>
          <w:rFonts w:ascii="Verdana" w:eastAsia="Calibri" w:hAnsi="Verdana"/>
          <w:spacing w:val="-2"/>
          <w:sz w:val="16"/>
          <w:szCs w:val="16"/>
        </w:rPr>
        <w:t>e</w:t>
      </w:r>
      <w:r w:rsidRPr="00B063F2">
        <w:rPr>
          <w:rFonts w:ascii="Verdana" w:eastAsia="Calibri" w:hAnsi="Verdana"/>
          <w:spacing w:val="-2"/>
          <w:sz w:val="16"/>
          <w:szCs w:val="16"/>
        </w:rPr>
        <w:t xml:space="preserve">sta. Si uno o varios de los hijos </w:t>
      </w:r>
      <w:r w:rsidRPr="004F2DF0">
        <w:rPr>
          <w:rFonts w:ascii="Verdana" w:eastAsia="Calibri" w:hAnsi="Verdana"/>
          <w:spacing w:val="-2"/>
          <w:sz w:val="16"/>
          <w:szCs w:val="16"/>
        </w:rPr>
        <w:t>e hijas</w:t>
      </w:r>
      <w:r w:rsidRPr="004665E2">
        <w:rPr>
          <w:rFonts w:ascii="Verdana" w:eastAsia="Calibri" w:hAnsi="Verdana"/>
          <w:spacing w:val="-2"/>
          <w:sz w:val="16"/>
          <w:szCs w:val="16"/>
        </w:rPr>
        <w:t xml:space="preserve"> </w:t>
      </w:r>
      <w:r w:rsidRPr="00B063F2">
        <w:rPr>
          <w:rFonts w:ascii="Verdana" w:eastAsia="Calibri" w:hAnsi="Verdana"/>
          <w:spacing w:val="-2"/>
          <w:sz w:val="16"/>
          <w:szCs w:val="16"/>
        </w:rPr>
        <w:t xml:space="preserve">hubieren fallecido ya, la parte que le o les corresponda acrecerá a </w:t>
      </w:r>
      <w:r w:rsidRPr="002A76B3">
        <w:rPr>
          <w:rFonts w:ascii="Verdana" w:eastAsia="Calibri" w:hAnsi="Verdana"/>
          <w:spacing w:val="-2"/>
          <w:sz w:val="16"/>
          <w:szCs w:val="16"/>
        </w:rPr>
        <w:t>las de los demás hijos e hijas de la misma víctima</w:t>
      </w:r>
      <w:r w:rsidRPr="003734D2">
        <w:rPr>
          <w:rFonts w:ascii="Verdana" w:eastAsia="Calibri" w:hAnsi="Verdana"/>
          <w:spacing w:val="-2"/>
          <w:sz w:val="16"/>
          <w:szCs w:val="16"/>
        </w:rPr>
        <w:t>;</w:t>
      </w:r>
    </w:p>
    <w:p w:rsidR="00AB496F" w:rsidRPr="00786593" w:rsidRDefault="00AB496F" w:rsidP="00AB496F">
      <w:pPr>
        <w:tabs>
          <w:tab w:val="left" w:pos="567"/>
        </w:tabs>
        <w:spacing w:before="120" w:after="120" w:line="240" w:lineRule="auto"/>
        <w:ind w:left="567" w:right="446"/>
        <w:jc w:val="both"/>
        <w:rPr>
          <w:rFonts w:ascii="Verdana" w:eastAsia="Calibri" w:hAnsi="Verdana"/>
          <w:spacing w:val="-2"/>
          <w:sz w:val="16"/>
          <w:szCs w:val="16"/>
        </w:rPr>
      </w:pPr>
      <w:r w:rsidRPr="00786593">
        <w:rPr>
          <w:rFonts w:ascii="Verdana" w:eastAsia="Calibri" w:hAnsi="Verdana"/>
          <w:spacing w:val="-2"/>
          <w:sz w:val="16"/>
          <w:szCs w:val="16"/>
        </w:rPr>
        <w:t xml:space="preserve">b) el otro cincuenta por ciento (50%) de la indemnización deberá ser entregado a quien fuera cónyuge, compañero o compañera permanente de la víctima, al inicio de la desaparición o al momento de la muerte de </w:t>
      </w:r>
      <w:r w:rsidR="00335E16">
        <w:rPr>
          <w:rFonts w:ascii="Verdana" w:eastAsia="Calibri" w:hAnsi="Verdana"/>
          <w:spacing w:val="-2"/>
          <w:sz w:val="16"/>
          <w:szCs w:val="16"/>
        </w:rPr>
        <w:t>e</w:t>
      </w:r>
      <w:r w:rsidRPr="00786593">
        <w:rPr>
          <w:rFonts w:ascii="Verdana" w:eastAsia="Calibri" w:hAnsi="Verdana"/>
          <w:spacing w:val="-2"/>
          <w:sz w:val="16"/>
          <w:szCs w:val="16"/>
        </w:rPr>
        <w:t>sta, según corresponda;</w:t>
      </w:r>
    </w:p>
    <w:p w:rsidR="00AB496F" w:rsidRPr="00786593" w:rsidRDefault="00AB496F" w:rsidP="00AB496F">
      <w:pPr>
        <w:tabs>
          <w:tab w:val="left" w:pos="567"/>
        </w:tabs>
        <w:spacing w:before="120" w:after="120" w:line="240" w:lineRule="auto"/>
        <w:ind w:left="567" w:right="446"/>
        <w:jc w:val="both"/>
        <w:rPr>
          <w:rFonts w:ascii="Verdana" w:eastAsia="Calibri" w:hAnsi="Verdana"/>
          <w:spacing w:val="-2"/>
          <w:sz w:val="16"/>
          <w:szCs w:val="16"/>
        </w:rPr>
      </w:pPr>
      <w:r w:rsidRPr="00786593">
        <w:rPr>
          <w:rFonts w:ascii="Verdana" w:eastAsia="Calibri" w:hAnsi="Verdana"/>
          <w:spacing w:val="-2"/>
          <w:sz w:val="16"/>
          <w:szCs w:val="16"/>
        </w:rPr>
        <w:t>c) en el evento de que la víctima no tuviese hijos</w:t>
      </w:r>
      <w:r>
        <w:rPr>
          <w:rFonts w:ascii="Verdana" w:eastAsia="Calibri" w:hAnsi="Verdana"/>
          <w:spacing w:val="-2"/>
          <w:sz w:val="16"/>
          <w:szCs w:val="16"/>
        </w:rPr>
        <w:t xml:space="preserve"> o</w:t>
      </w:r>
      <w:r>
        <w:rPr>
          <w:rFonts w:ascii="Verdana" w:eastAsia="Calibri" w:hAnsi="Verdana"/>
          <w:b/>
          <w:spacing w:val="-2"/>
          <w:sz w:val="16"/>
          <w:szCs w:val="16"/>
        </w:rPr>
        <w:t xml:space="preserve"> </w:t>
      </w:r>
      <w:r w:rsidRPr="004F2DF0">
        <w:rPr>
          <w:rFonts w:ascii="Verdana" w:eastAsia="Calibri" w:hAnsi="Verdana"/>
          <w:spacing w:val="-2"/>
          <w:sz w:val="16"/>
          <w:szCs w:val="16"/>
        </w:rPr>
        <w:t>hijas</w:t>
      </w:r>
      <w:r w:rsidRPr="00786593">
        <w:rPr>
          <w:rFonts w:ascii="Verdana" w:eastAsia="Calibri" w:hAnsi="Verdana"/>
          <w:spacing w:val="-2"/>
          <w:sz w:val="16"/>
          <w:szCs w:val="16"/>
        </w:rPr>
        <w:t xml:space="preserve"> o cónyuge, compañero o compañera permanente, lo que hubiere correspondido a los familiares ubicados en esa categoría acrecerá a la parte que le corresponda a la otra categoría;</w:t>
      </w:r>
    </w:p>
    <w:p w:rsidR="00AB496F" w:rsidRPr="00786593" w:rsidRDefault="00AB496F" w:rsidP="00AB496F">
      <w:pPr>
        <w:tabs>
          <w:tab w:val="left" w:pos="567"/>
        </w:tabs>
        <w:spacing w:before="120" w:after="120" w:line="240" w:lineRule="auto"/>
        <w:ind w:left="567" w:right="446"/>
        <w:jc w:val="both"/>
        <w:rPr>
          <w:rFonts w:ascii="Verdana" w:eastAsia="Calibri" w:hAnsi="Verdana"/>
          <w:spacing w:val="-2"/>
          <w:sz w:val="16"/>
          <w:szCs w:val="16"/>
        </w:rPr>
      </w:pPr>
      <w:r w:rsidRPr="00786593">
        <w:rPr>
          <w:rFonts w:ascii="Verdana" w:eastAsia="Calibri" w:hAnsi="Verdana"/>
          <w:spacing w:val="-2"/>
          <w:sz w:val="16"/>
          <w:szCs w:val="16"/>
        </w:rPr>
        <w:t xml:space="preserve">d) en el caso de que la víctima no tuviere </w:t>
      </w:r>
      <w:r w:rsidRPr="004F2DF0">
        <w:rPr>
          <w:rFonts w:ascii="Verdana" w:eastAsia="Calibri" w:hAnsi="Verdana"/>
          <w:spacing w:val="-2"/>
          <w:sz w:val="16"/>
          <w:szCs w:val="16"/>
        </w:rPr>
        <w:t>hijos o hijas</w:t>
      </w:r>
      <w:r w:rsidRPr="00786593">
        <w:rPr>
          <w:rFonts w:ascii="Verdana" w:eastAsia="Calibri" w:hAnsi="Verdana"/>
          <w:spacing w:val="-2"/>
          <w:sz w:val="16"/>
          <w:szCs w:val="16"/>
        </w:rPr>
        <w:t xml:space="preserve"> ni cónyuge ni compañero o compañera permanente, la indemnización será entregado a sus padres o, en su defecto, a sus hermanos</w:t>
      </w:r>
      <w:r>
        <w:rPr>
          <w:rFonts w:ascii="Verdana" w:eastAsia="Calibri" w:hAnsi="Verdana"/>
          <w:spacing w:val="-2"/>
          <w:sz w:val="16"/>
          <w:szCs w:val="16"/>
        </w:rPr>
        <w:t xml:space="preserve"> o </w:t>
      </w:r>
      <w:r w:rsidRPr="004F2DF0">
        <w:rPr>
          <w:rFonts w:ascii="Verdana" w:eastAsia="Calibri" w:hAnsi="Verdana"/>
          <w:spacing w:val="-2"/>
          <w:sz w:val="16"/>
          <w:szCs w:val="16"/>
        </w:rPr>
        <w:t>hermanas</w:t>
      </w:r>
      <w:r w:rsidRPr="00786593">
        <w:rPr>
          <w:rFonts w:ascii="Verdana" w:eastAsia="Calibri" w:hAnsi="Verdana"/>
          <w:spacing w:val="-2"/>
          <w:sz w:val="16"/>
          <w:szCs w:val="16"/>
        </w:rPr>
        <w:t xml:space="preserve"> en partes iguales, y</w:t>
      </w:r>
    </w:p>
    <w:p w:rsidR="00AB496F" w:rsidRDefault="00AB496F" w:rsidP="00AB496F">
      <w:pPr>
        <w:tabs>
          <w:tab w:val="left" w:pos="567"/>
        </w:tabs>
        <w:spacing w:before="120" w:after="0" w:line="240" w:lineRule="auto"/>
        <w:ind w:left="567" w:right="446"/>
        <w:jc w:val="both"/>
        <w:rPr>
          <w:rFonts w:ascii="Verdana" w:eastAsia="Calibri" w:hAnsi="Verdana"/>
          <w:spacing w:val="-2"/>
          <w:sz w:val="16"/>
          <w:szCs w:val="16"/>
        </w:rPr>
      </w:pPr>
      <w:r w:rsidRPr="00786593">
        <w:rPr>
          <w:rFonts w:ascii="Verdana" w:eastAsia="Calibri" w:hAnsi="Verdana"/>
          <w:spacing w:val="-2"/>
          <w:sz w:val="16"/>
          <w:szCs w:val="16"/>
        </w:rPr>
        <w:t>e) en el evento de que la víctima no hubiera tenido ni hijos</w:t>
      </w:r>
      <w:r>
        <w:rPr>
          <w:rFonts w:ascii="Verdana" w:eastAsia="Calibri" w:hAnsi="Verdana"/>
          <w:spacing w:val="-2"/>
          <w:sz w:val="16"/>
          <w:szCs w:val="16"/>
        </w:rPr>
        <w:t xml:space="preserve"> o </w:t>
      </w:r>
      <w:r w:rsidRPr="004F2DF0">
        <w:rPr>
          <w:rFonts w:ascii="Verdana" w:eastAsia="Calibri" w:hAnsi="Verdana"/>
          <w:spacing w:val="-2"/>
          <w:sz w:val="16"/>
          <w:szCs w:val="16"/>
        </w:rPr>
        <w:t>hijas</w:t>
      </w:r>
      <w:r w:rsidRPr="00786593">
        <w:rPr>
          <w:rFonts w:ascii="Verdana" w:eastAsia="Calibri" w:hAnsi="Verdana"/>
          <w:spacing w:val="-2"/>
          <w:sz w:val="16"/>
          <w:szCs w:val="16"/>
        </w:rPr>
        <w:t>, ni cónyuge, compañera o compañero, ni padres, ni hermanos</w:t>
      </w:r>
      <w:r>
        <w:rPr>
          <w:rFonts w:ascii="Verdana" w:eastAsia="Calibri" w:hAnsi="Verdana"/>
          <w:spacing w:val="-2"/>
          <w:sz w:val="16"/>
          <w:szCs w:val="16"/>
        </w:rPr>
        <w:t xml:space="preserve"> o </w:t>
      </w:r>
      <w:r w:rsidRPr="004F2DF0">
        <w:rPr>
          <w:rFonts w:ascii="Verdana" w:eastAsia="Calibri" w:hAnsi="Verdana"/>
          <w:spacing w:val="-2"/>
          <w:sz w:val="16"/>
          <w:szCs w:val="16"/>
        </w:rPr>
        <w:t>hermanas</w:t>
      </w:r>
      <w:r w:rsidRPr="00786593">
        <w:rPr>
          <w:rFonts w:ascii="Verdana" w:eastAsia="Calibri" w:hAnsi="Verdana"/>
          <w:spacing w:val="-2"/>
          <w:sz w:val="16"/>
          <w:szCs w:val="16"/>
        </w:rPr>
        <w:t xml:space="preserve">, la indemnización deberá ser pagada a los herederos </w:t>
      </w:r>
      <w:r w:rsidRPr="004F2DF0">
        <w:rPr>
          <w:rFonts w:ascii="Verdana" w:eastAsia="Calibri" w:hAnsi="Verdana"/>
          <w:spacing w:val="-2"/>
          <w:sz w:val="16"/>
          <w:szCs w:val="16"/>
        </w:rPr>
        <w:t>o herederas</w:t>
      </w:r>
      <w:r>
        <w:rPr>
          <w:rFonts w:ascii="Verdana" w:eastAsia="Calibri" w:hAnsi="Verdana"/>
          <w:b/>
          <w:spacing w:val="-2"/>
          <w:sz w:val="16"/>
          <w:szCs w:val="16"/>
        </w:rPr>
        <w:t xml:space="preserve"> </w:t>
      </w:r>
      <w:r w:rsidRPr="00786593">
        <w:rPr>
          <w:rFonts w:ascii="Verdana" w:eastAsia="Calibri" w:hAnsi="Verdana"/>
          <w:spacing w:val="-2"/>
          <w:sz w:val="16"/>
          <w:szCs w:val="16"/>
        </w:rPr>
        <w:t>de acuerdo con el derecho sucesorio interno.</w:t>
      </w:r>
    </w:p>
    <w:p w:rsidR="00AB496F" w:rsidRPr="00786593" w:rsidRDefault="00AB496F" w:rsidP="00AB496F">
      <w:pPr>
        <w:tabs>
          <w:tab w:val="left" w:pos="567"/>
        </w:tabs>
        <w:spacing w:before="120" w:after="0" w:line="240" w:lineRule="auto"/>
        <w:ind w:left="567" w:right="446"/>
        <w:jc w:val="both"/>
        <w:rPr>
          <w:rFonts w:ascii="Verdana" w:eastAsia="Calibri" w:hAnsi="Verdana"/>
          <w:spacing w:val="-2"/>
          <w:sz w:val="16"/>
          <w:szCs w:val="16"/>
        </w:rPr>
      </w:pPr>
    </w:p>
    <w:p w:rsidR="00AB496F" w:rsidRPr="00654B84"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Pr>
          <w:rFonts w:ascii="Verdana" w:hAnsi="Verdana"/>
          <w:sz w:val="20"/>
          <w:szCs w:val="20"/>
        </w:rPr>
        <w:t>Los</w:t>
      </w:r>
      <w:r w:rsidRPr="00654B84">
        <w:rPr>
          <w:rFonts w:ascii="Verdana" w:hAnsi="Verdana"/>
          <w:sz w:val="20"/>
          <w:szCs w:val="20"/>
        </w:rPr>
        <w:t xml:space="preserve"> familiares de víctimas que no fueron peticionarios, que no han sido representados en los procedimientos ante la Comisión y la Corte o que no han sido incluidos como víctimas o parte lesionada en esta Sentencia</w:t>
      </w:r>
      <w:r>
        <w:rPr>
          <w:rFonts w:ascii="Verdana" w:hAnsi="Verdana"/>
          <w:sz w:val="20"/>
          <w:szCs w:val="20"/>
        </w:rPr>
        <w:t xml:space="preserve"> y </w:t>
      </w:r>
      <w:r w:rsidRPr="00654B84">
        <w:rPr>
          <w:rFonts w:ascii="Verdana" w:hAnsi="Verdana"/>
          <w:sz w:val="20"/>
          <w:szCs w:val="20"/>
        </w:rPr>
        <w:t xml:space="preserve">que consideren que son beneficiarios de lo dispuesto en </w:t>
      </w:r>
      <w:r>
        <w:rPr>
          <w:rFonts w:ascii="Verdana" w:hAnsi="Verdana"/>
          <w:sz w:val="20"/>
          <w:szCs w:val="20"/>
        </w:rPr>
        <w:t>el</w:t>
      </w:r>
      <w:r w:rsidRPr="00654B84">
        <w:rPr>
          <w:rFonts w:ascii="Verdana" w:hAnsi="Verdana"/>
          <w:sz w:val="20"/>
          <w:szCs w:val="20"/>
        </w:rPr>
        <w:t xml:space="preserve"> párrafo</w:t>
      </w:r>
      <w:r>
        <w:rPr>
          <w:rFonts w:ascii="Verdana" w:hAnsi="Verdana"/>
          <w:sz w:val="20"/>
          <w:szCs w:val="20"/>
        </w:rPr>
        <w:t xml:space="preserve"> anterior,</w:t>
      </w:r>
      <w:r w:rsidRPr="00654B84">
        <w:rPr>
          <w:rFonts w:ascii="Verdana" w:hAnsi="Verdana"/>
          <w:sz w:val="20"/>
          <w:szCs w:val="20"/>
        </w:rPr>
        <w:t xml:space="preserve"> deben presentarse ante las autoridades estatales correspondientes a más tardar en el plazo de </w:t>
      </w:r>
      <w:r w:rsidRPr="004F2DF0">
        <w:rPr>
          <w:rFonts w:ascii="Verdana" w:hAnsi="Verdana"/>
          <w:sz w:val="20"/>
          <w:szCs w:val="20"/>
        </w:rPr>
        <w:t>3 meses</w:t>
      </w:r>
      <w:r w:rsidRPr="00654B84">
        <w:rPr>
          <w:rFonts w:ascii="Verdana" w:hAnsi="Verdana"/>
          <w:sz w:val="20"/>
          <w:szCs w:val="20"/>
        </w:rPr>
        <w:t>, contado a partir de la notificación de esta Sentencia.</w:t>
      </w:r>
    </w:p>
    <w:p w:rsidR="00AB496F" w:rsidRPr="00654B84" w:rsidRDefault="00AB496F" w:rsidP="00AB496F">
      <w:pPr>
        <w:autoSpaceDE w:val="0"/>
        <w:autoSpaceDN w:val="0"/>
        <w:adjustRightInd w:val="0"/>
        <w:spacing w:after="0" w:line="240" w:lineRule="auto"/>
        <w:ind w:left="360"/>
        <w:jc w:val="both"/>
        <w:rPr>
          <w:rFonts w:ascii="Verdana" w:hAnsi="Verdana" w:cs="Arial"/>
          <w:spacing w:val="-2"/>
          <w:sz w:val="20"/>
          <w:szCs w:val="20"/>
        </w:rPr>
      </w:pPr>
    </w:p>
    <w:p w:rsidR="001154F9" w:rsidRPr="001154F9"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Arial"/>
          <w:spacing w:val="-2"/>
          <w:sz w:val="20"/>
          <w:szCs w:val="20"/>
        </w:rPr>
      </w:pPr>
      <w:r w:rsidRPr="002964A7">
        <w:rPr>
          <w:rFonts w:ascii="Verdana" w:hAnsi="Verdana" w:cs="Arial"/>
          <w:spacing w:val="-2"/>
          <w:sz w:val="20"/>
          <w:szCs w:val="20"/>
        </w:rPr>
        <w:t>Las cantidades que han sido entregadas a los señores Zósimo Hilario Quispe</w:t>
      </w:r>
      <w:r>
        <w:rPr>
          <w:rFonts w:ascii="Verdana" w:hAnsi="Verdana" w:cs="Arial"/>
          <w:spacing w:val="-2"/>
          <w:sz w:val="20"/>
          <w:szCs w:val="20"/>
        </w:rPr>
        <w:t xml:space="preserve"> y</w:t>
      </w:r>
      <w:r w:rsidRPr="002964A7">
        <w:rPr>
          <w:rFonts w:ascii="Verdana" w:hAnsi="Verdana" w:cs="Arial"/>
          <w:spacing w:val="-2"/>
          <w:sz w:val="20"/>
          <w:szCs w:val="20"/>
        </w:rPr>
        <w:t xml:space="preserve"> Zenón Cirilo Osnayo Tunque</w:t>
      </w:r>
      <w:r>
        <w:rPr>
          <w:rFonts w:ascii="Verdana" w:hAnsi="Verdana" w:cs="Arial"/>
          <w:spacing w:val="-2"/>
          <w:sz w:val="20"/>
          <w:szCs w:val="20"/>
        </w:rPr>
        <w:t xml:space="preserve"> (</w:t>
      </w:r>
      <w:r>
        <w:rPr>
          <w:rFonts w:ascii="Verdana" w:hAnsi="Verdana" w:cs="Arial"/>
          <w:i/>
          <w:spacing w:val="-2"/>
          <w:sz w:val="20"/>
          <w:szCs w:val="20"/>
        </w:rPr>
        <w:t xml:space="preserve">supra </w:t>
      </w:r>
      <w:r>
        <w:rPr>
          <w:rFonts w:ascii="Verdana" w:hAnsi="Verdana" w:cs="Arial"/>
          <w:spacing w:val="-2"/>
          <w:sz w:val="20"/>
          <w:szCs w:val="20"/>
        </w:rPr>
        <w:t xml:space="preserve">párr. 333), así como aquellas que eventualmente sean entregadas a las víctimas de este caso en el marco del </w:t>
      </w:r>
      <w:r w:rsidRPr="002964A7">
        <w:rPr>
          <w:rFonts w:ascii="Verdana" w:hAnsi="Verdana"/>
          <w:spacing w:val="-2"/>
          <w:sz w:val="20"/>
          <w:szCs w:val="20"/>
          <w:lang w:val="es-GT"/>
        </w:rPr>
        <w:t>Programa de Reparaciones Económicas (PRE) del PIR</w:t>
      </w:r>
      <w:r>
        <w:rPr>
          <w:rFonts w:ascii="Verdana" w:hAnsi="Verdana"/>
          <w:spacing w:val="-2"/>
          <w:sz w:val="20"/>
          <w:szCs w:val="20"/>
          <w:lang w:val="es-GT"/>
        </w:rPr>
        <w:t xml:space="preserve"> y como</w:t>
      </w:r>
      <w:r w:rsidRPr="00FB5C04">
        <w:rPr>
          <w:rFonts w:ascii="Verdana" w:eastAsia="Calibri" w:hAnsi="Verdana"/>
          <w:spacing w:val="-2"/>
          <w:sz w:val="20"/>
          <w:szCs w:val="20"/>
          <w:lang w:val="es-GT"/>
        </w:rPr>
        <w:t xml:space="preserve"> </w:t>
      </w:r>
      <w:r w:rsidRPr="002964A7">
        <w:rPr>
          <w:rFonts w:ascii="Verdana" w:eastAsia="Calibri" w:hAnsi="Verdana"/>
          <w:spacing w:val="-2"/>
          <w:sz w:val="20"/>
          <w:szCs w:val="20"/>
          <w:lang w:val="es-GT"/>
        </w:rPr>
        <w:t>reparación civil</w:t>
      </w:r>
      <w:r>
        <w:rPr>
          <w:rFonts w:ascii="Verdana" w:hAnsi="Verdana" w:cs="Arial"/>
          <w:spacing w:val="-2"/>
          <w:sz w:val="20"/>
          <w:szCs w:val="20"/>
        </w:rPr>
        <w:t>,</w:t>
      </w:r>
      <w:r w:rsidRPr="002964A7">
        <w:rPr>
          <w:rFonts w:ascii="Verdana" w:hAnsi="Verdana" w:cs="Arial"/>
          <w:spacing w:val="-2"/>
          <w:sz w:val="20"/>
          <w:szCs w:val="20"/>
        </w:rPr>
        <w:t xml:space="preserve"> deberán ser deducidas del monto que les corresponda al momento de efectuarse el pago</w:t>
      </w:r>
      <w:r>
        <w:rPr>
          <w:rFonts w:ascii="Verdana" w:hAnsi="Verdana" w:cs="Arial"/>
          <w:spacing w:val="-2"/>
          <w:sz w:val="20"/>
          <w:szCs w:val="20"/>
        </w:rPr>
        <w:t>, lo cual será materia del procedimiento de supervisión de cumplimiento de la Sentencia</w:t>
      </w:r>
      <w:r w:rsidRPr="002964A7">
        <w:rPr>
          <w:rFonts w:ascii="Verdana" w:hAnsi="Verdana" w:cs="Arial"/>
          <w:spacing w:val="-2"/>
          <w:sz w:val="20"/>
          <w:szCs w:val="20"/>
        </w:rPr>
        <w:t>.</w:t>
      </w:r>
    </w:p>
    <w:p w:rsidR="00AB496F" w:rsidRPr="00F13F0B" w:rsidRDefault="00AB496F" w:rsidP="001154F9">
      <w:pPr>
        <w:pStyle w:val="Heading3"/>
        <w:rPr>
          <w:rFonts w:cs="Arial"/>
        </w:rPr>
      </w:pPr>
      <w:bookmarkStart w:id="280" w:name="_Toc423102582"/>
      <w:bookmarkStart w:id="281" w:name="_Toc433387538"/>
      <w:r w:rsidRPr="00F13F0B">
        <w:rPr>
          <w:rFonts w:cs="Arial"/>
        </w:rPr>
        <w:t xml:space="preserve">D.2. </w:t>
      </w:r>
      <w:r w:rsidRPr="00F13F0B">
        <w:rPr>
          <w:lang w:val="es-ES_tradnl"/>
        </w:rPr>
        <w:t>Daño Material</w:t>
      </w:r>
      <w:bookmarkEnd w:id="280"/>
      <w:bookmarkEnd w:id="281"/>
    </w:p>
    <w:p w:rsidR="00AB496F" w:rsidRPr="002964A7" w:rsidRDefault="00AB496F" w:rsidP="00AB496F">
      <w:pPr>
        <w:spacing w:after="0" w:line="240" w:lineRule="auto"/>
        <w:rPr>
          <w:rFonts w:ascii="Verdana" w:hAnsi="Verdana"/>
          <w:b/>
          <w:bCs/>
          <w:i/>
          <w:iCs/>
          <w:spacing w:val="-2"/>
          <w:sz w:val="20"/>
          <w:szCs w:val="20"/>
          <w:lang w:val="es-ES_tradnl"/>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Batang" w:hAnsi="Verdana" w:cs="Times"/>
          <w:spacing w:val="-2"/>
          <w:sz w:val="20"/>
          <w:szCs w:val="20"/>
          <w:lang w:val="es-ES_tradnl"/>
        </w:rPr>
      </w:pPr>
      <w:r w:rsidRPr="002964A7">
        <w:rPr>
          <w:rFonts w:ascii="Verdana" w:hAnsi="Verdana"/>
          <w:spacing w:val="-2"/>
          <w:sz w:val="20"/>
          <w:szCs w:val="20"/>
        </w:rPr>
        <w:t xml:space="preserve">La Corte ha desarrollado en su jurisprudencia el concepto de daño material y los supuestos en que corresponde indemnizarlo. </w:t>
      </w:r>
      <w:r w:rsidRPr="002964A7">
        <w:rPr>
          <w:rFonts w:ascii="Verdana" w:hAnsi="Verdana"/>
          <w:bCs/>
          <w:spacing w:val="-2"/>
          <w:sz w:val="20"/>
          <w:szCs w:val="20"/>
        </w:rPr>
        <w:t xml:space="preserve">La Corte ha establecido que el daño material supone “la pérdida o detrimento de los ingresos de las víctimas, los gastos efectuados con motivo de los hechos y las consecuencias de carácter pecuniario que tengan un nexo causal </w:t>
      </w:r>
      <w:r w:rsidRPr="002964A7">
        <w:rPr>
          <w:rFonts w:ascii="Verdana" w:hAnsi="Verdana"/>
          <w:bCs/>
          <w:spacing w:val="-2"/>
          <w:sz w:val="20"/>
          <w:szCs w:val="20"/>
        </w:rPr>
        <w:lastRenderedPageBreak/>
        <w:t>con los hechos del caso”</w:t>
      </w:r>
      <w:r w:rsidRPr="002964A7">
        <w:rPr>
          <w:rFonts w:ascii="Verdana" w:hAnsi="Verdana"/>
          <w:spacing w:val="-2"/>
          <w:sz w:val="20"/>
          <w:szCs w:val="20"/>
          <w:vertAlign w:val="superscript"/>
        </w:rPr>
        <w:footnoteReference w:id="380"/>
      </w:r>
      <w:r w:rsidRPr="002964A7">
        <w:rPr>
          <w:rFonts w:ascii="Verdana" w:hAnsi="Verdana"/>
          <w:spacing w:val="-2"/>
          <w:sz w:val="20"/>
          <w:szCs w:val="20"/>
        </w:rPr>
        <w:t xml:space="preserve">. En el párrafo </w:t>
      </w:r>
      <w:r>
        <w:rPr>
          <w:rFonts w:ascii="Verdana" w:hAnsi="Verdana"/>
          <w:spacing w:val="-2"/>
          <w:sz w:val="20"/>
          <w:szCs w:val="20"/>
        </w:rPr>
        <w:t>304</w:t>
      </w:r>
      <w:r w:rsidRPr="002964A7">
        <w:rPr>
          <w:rFonts w:ascii="Verdana" w:hAnsi="Verdana"/>
          <w:spacing w:val="-2"/>
          <w:sz w:val="20"/>
          <w:szCs w:val="20"/>
        </w:rPr>
        <w:t xml:space="preserve"> de esta </w:t>
      </w:r>
      <w:r w:rsidRPr="002964A7">
        <w:rPr>
          <w:rFonts w:ascii="Verdana" w:hAnsi="Verdana" w:cs="Verdana-Italic"/>
          <w:iCs/>
          <w:spacing w:val="-2"/>
          <w:sz w:val="20"/>
          <w:szCs w:val="20"/>
          <w:lang w:bidi="en-US"/>
        </w:rPr>
        <w:t>Sentencia</w:t>
      </w:r>
      <w:r w:rsidRPr="002964A7">
        <w:rPr>
          <w:rFonts w:ascii="Verdana" w:hAnsi="Verdana"/>
          <w:spacing w:val="-2"/>
          <w:sz w:val="20"/>
          <w:szCs w:val="20"/>
        </w:rPr>
        <w:t>, la</w:t>
      </w:r>
      <w:r w:rsidRPr="002964A7">
        <w:rPr>
          <w:rFonts w:ascii="Verdana" w:hAnsi="Verdana" w:cs="Arial"/>
          <w:spacing w:val="-2"/>
          <w:sz w:val="20"/>
          <w:szCs w:val="20"/>
        </w:rPr>
        <w:t xml:space="preserve"> Corte ya realizó una determinación sobre la reparación que corresponde a la vulneración del derecho a la propiedad</w:t>
      </w:r>
      <w:r w:rsidRPr="002964A7">
        <w:rPr>
          <w:rFonts w:ascii="Verdana" w:hAnsi="Verdana"/>
          <w:spacing w:val="-2"/>
          <w:sz w:val="20"/>
          <w:szCs w:val="20"/>
        </w:rPr>
        <w:t xml:space="preserve">, </w:t>
      </w:r>
      <w:r w:rsidRPr="002964A7">
        <w:rPr>
          <w:rFonts w:ascii="Verdana" w:eastAsia="Batang" w:hAnsi="Verdana" w:cs="Times"/>
          <w:spacing w:val="-2"/>
          <w:sz w:val="20"/>
          <w:szCs w:val="20"/>
          <w:lang w:val="es-ES_tradnl"/>
        </w:rPr>
        <w:t xml:space="preserve">vida privada y domicilio y </w:t>
      </w:r>
      <w:r w:rsidRPr="002964A7">
        <w:rPr>
          <w:rFonts w:ascii="Verdana" w:hAnsi="Verdana" w:cs="Arial"/>
          <w:spacing w:val="-2"/>
          <w:sz w:val="20"/>
          <w:szCs w:val="20"/>
        </w:rPr>
        <w:t xml:space="preserve">estableció una </w:t>
      </w:r>
      <w:r w:rsidRPr="00F13F0B">
        <w:rPr>
          <w:rFonts w:ascii="Verdana" w:hAnsi="Verdana" w:cs="Verdana"/>
          <w:spacing w:val="-2"/>
          <w:sz w:val="20"/>
          <w:szCs w:val="20"/>
        </w:rPr>
        <w:t>medida</w:t>
      </w:r>
      <w:r w:rsidRPr="002964A7">
        <w:rPr>
          <w:rFonts w:ascii="Verdana" w:hAnsi="Verdana" w:cs="Arial"/>
          <w:spacing w:val="-2"/>
          <w:sz w:val="20"/>
          <w:szCs w:val="20"/>
        </w:rPr>
        <w:t xml:space="preserve"> de restitución en ese sentido</w:t>
      </w:r>
      <w:r w:rsidRPr="002964A7">
        <w:rPr>
          <w:rFonts w:ascii="Verdana" w:eastAsia="Batang" w:hAnsi="Verdana" w:cs="Times"/>
          <w:spacing w:val="-2"/>
          <w:sz w:val="20"/>
          <w:szCs w:val="20"/>
          <w:lang w:val="es-ES_tradnl"/>
        </w:rPr>
        <w:t>. Por tanto, estima que no corresponde realizar determinación alguna</w:t>
      </w:r>
      <w:r>
        <w:rPr>
          <w:rFonts w:ascii="Verdana" w:eastAsia="Batang" w:hAnsi="Verdana" w:cs="Times"/>
          <w:spacing w:val="-2"/>
          <w:sz w:val="20"/>
          <w:szCs w:val="20"/>
          <w:lang w:val="es-ES_tradnl"/>
        </w:rPr>
        <w:t xml:space="preserve"> en cuanto a este punto</w:t>
      </w:r>
      <w:r w:rsidRPr="002964A7">
        <w:rPr>
          <w:rFonts w:ascii="Verdana" w:eastAsia="Batang" w:hAnsi="Verdana" w:cs="Times"/>
          <w:spacing w:val="-2"/>
          <w:sz w:val="20"/>
          <w:szCs w:val="20"/>
          <w:lang w:val="es-ES_tradnl"/>
        </w:rPr>
        <w:t xml:space="preserve"> más allá de lo que ya fue establecido.</w:t>
      </w:r>
    </w:p>
    <w:p w:rsidR="00AB496F" w:rsidRPr="002964A7" w:rsidRDefault="00AB496F" w:rsidP="00AB496F">
      <w:pPr>
        <w:pStyle w:val="ListParagraph"/>
        <w:spacing w:after="0" w:line="240" w:lineRule="auto"/>
        <w:ind w:left="0"/>
        <w:jc w:val="both"/>
        <w:rPr>
          <w:rFonts w:ascii="Verdana" w:eastAsia="Batang" w:hAnsi="Verdana" w:cs="Times"/>
          <w:spacing w:val="-2"/>
          <w:sz w:val="20"/>
          <w:szCs w:val="20"/>
          <w:lang w:val="es-ES_tradnl"/>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Batang" w:hAnsi="Verdana" w:cs="Times"/>
          <w:spacing w:val="-2"/>
          <w:sz w:val="20"/>
          <w:szCs w:val="20"/>
          <w:lang w:val="es-ES_tradnl"/>
        </w:rPr>
      </w:pPr>
      <w:r w:rsidRPr="002964A7">
        <w:rPr>
          <w:rFonts w:ascii="Verdana" w:hAnsi="Verdana" w:cs="Verdana"/>
          <w:spacing w:val="-2"/>
          <w:sz w:val="20"/>
          <w:szCs w:val="20"/>
        </w:rPr>
        <w:t xml:space="preserve">La Corte </w:t>
      </w:r>
      <w:r w:rsidRPr="002964A7">
        <w:rPr>
          <w:rFonts w:ascii="Verdana" w:eastAsia="Batang" w:hAnsi="Verdana" w:cs="Times"/>
          <w:spacing w:val="-2"/>
          <w:sz w:val="20"/>
          <w:szCs w:val="20"/>
          <w:lang w:val="es-ES_tradnl"/>
        </w:rPr>
        <w:t>considera</w:t>
      </w:r>
      <w:r w:rsidRPr="002964A7">
        <w:rPr>
          <w:rFonts w:ascii="Verdana" w:hAnsi="Verdana" w:cs="Verdana"/>
          <w:spacing w:val="-2"/>
          <w:sz w:val="20"/>
          <w:szCs w:val="20"/>
        </w:rPr>
        <w:t>, como lo ha hecho en otros casos sobre desapariciones forzadas</w:t>
      </w:r>
      <w:r w:rsidRPr="002964A7">
        <w:rPr>
          <w:rFonts w:ascii="Verdana" w:hAnsi="Verdana" w:cs="Verdana"/>
          <w:spacing w:val="-2"/>
          <w:sz w:val="20"/>
          <w:szCs w:val="20"/>
          <w:vertAlign w:val="superscript"/>
        </w:rPr>
        <w:footnoteReference w:id="381"/>
      </w:r>
      <w:r w:rsidRPr="002964A7">
        <w:rPr>
          <w:rFonts w:ascii="Verdana" w:hAnsi="Verdana" w:cs="Verdana"/>
          <w:spacing w:val="-2"/>
          <w:sz w:val="20"/>
          <w:szCs w:val="20"/>
        </w:rPr>
        <w:t xml:space="preserve">, que en este caso, en que se desconoce el paradero de las víctimas, es posible aplicar los criterios de compensación por la pérdida de ingresos de </w:t>
      </w:r>
      <w:r>
        <w:rPr>
          <w:rFonts w:ascii="Verdana" w:hAnsi="Verdana" w:cs="Verdana"/>
          <w:spacing w:val="-2"/>
          <w:sz w:val="20"/>
          <w:szCs w:val="20"/>
        </w:rPr>
        <w:t>e</w:t>
      </w:r>
      <w:r w:rsidRPr="002964A7">
        <w:rPr>
          <w:rFonts w:ascii="Verdana" w:hAnsi="Verdana" w:cs="Verdana"/>
          <w:spacing w:val="-2"/>
          <w:sz w:val="20"/>
          <w:szCs w:val="20"/>
        </w:rPr>
        <w:t>sta</w:t>
      </w:r>
      <w:r>
        <w:rPr>
          <w:rFonts w:ascii="Verdana" w:hAnsi="Verdana" w:cs="Verdana"/>
          <w:spacing w:val="-2"/>
          <w:sz w:val="20"/>
          <w:szCs w:val="20"/>
        </w:rPr>
        <w:t>s</w:t>
      </w:r>
      <w:r w:rsidRPr="002964A7">
        <w:rPr>
          <w:rFonts w:ascii="Verdana" w:hAnsi="Verdana" w:cs="Verdana"/>
          <w:spacing w:val="-2"/>
          <w:sz w:val="20"/>
          <w:szCs w:val="20"/>
        </w:rPr>
        <w:t>, lo cual comprende los ingresos que habría</w:t>
      </w:r>
      <w:r>
        <w:rPr>
          <w:rFonts w:ascii="Verdana" w:hAnsi="Verdana" w:cs="Verdana"/>
          <w:spacing w:val="-2"/>
          <w:sz w:val="20"/>
          <w:szCs w:val="20"/>
        </w:rPr>
        <w:t>n</w:t>
      </w:r>
      <w:r w:rsidRPr="002964A7">
        <w:rPr>
          <w:rFonts w:ascii="Verdana" w:hAnsi="Verdana" w:cs="Verdana"/>
          <w:spacing w:val="-2"/>
          <w:sz w:val="20"/>
          <w:szCs w:val="20"/>
        </w:rPr>
        <w:t xml:space="preserve"> percibido durante su vida probable. </w:t>
      </w:r>
      <w:r>
        <w:rPr>
          <w:rFonts w:ascii="Verdana" w:hAnsi="Verdana" w:cs="Verdana"/>
          <w:spacing w:val="-2"/>
          <w:sz w:val="20"/>
          <w:szCs w:val="20"/>
        </w:rPr>
        <w:t xml:space="preserve">Al respecto, dado que siete de las víctimas de las desapariciones forzadas tenían edades entre 8 meses y 6 años de edad, la Corte no cuenta con elementos para dimensionar la pérdida de ingresos ni el daño a un proyecto de vida. </w:t>
      </w:r>
      <w:r w:rsidRPr="002964A7">
        <w:rPr>
          <w:rFonts w:ascii="Verdana" w:hAnsi="Verdana" w:cs="Verdana"/>
          <w:spacing w:val="-2"/>
          <w:sz w:val="20"/>
          <w:szCs w:val="20"/>
        </w:rPr>
        <w:t>Teniendo en cuenta la</w:t>
      </w:r>
      <w:r>
        <w:rPr>
          <w:rFonts w:ascii="Verdana" w:hAnsi="Verdana" w:cs="Verdana"/>
          <w:spacing w:val="-2"/>
          <w:sz w:val="20"/>
          <w:szCs w:val="20"/>
        </w:rPr>
        <w:t>s</w:t>
      </w:r>
      <w:r w:rsidRPr="002964A7">
        <w:rPr>
          <w:rFonts w:ascii="Verdana" w:hAnsi="Verdana" w:cs="Verdana"/>
          <w:spacing w:val="-2"/>
          <w:sz w:val="20"/>
          <w:szCs w:val="20"/>
        </w:rPr>
        <w:t xml:space="preserve"> edad</w:t>
      </w:r>
      <w:r>
        <w:rPr>
          <w:rFonts w:ascii="Verdana" w:hAnsi="Verdana" w:cs="Verdana"/>
          <w:spacing w:val="-2"/>
          <w:sz w:val="20"/>
          <w:szCs w:val="20"/>
        </w:rPr>
        <w:t>es</w:t>
      </w:r>
      <w:r w:rsidRPr="002964A7">
        <w:rPr>
          <w:rFonts w:ascii="Verdana" w:hAnsi="Verdana" w:cs="Verdana"/>
          <w:spacing w:val="-2"/>
          <w:sz w:val="20"/>
          <w:szCs w:val="20"/>
        </w:rPr>
        <w:t xml:space="preserve"> de la</w:t>
      </w:r>
      <w:r>
        <w:rPr>
          <w:rFonts w:ascii="Verdana" w:hAnsi="Verdana" w:cs="Verdana"/>
          <w:spacing w:val="-2"/>
          <w:sz w:val="20"/>
          <w:szCs w:val="20"/>
        </w:rPr>
        <w:t>s</w:t>
      </w:r>
      <w:r w:rsidRPr="002964A7">
        <w:rPr>
          <w:rFonts w:ascii="Verdana" w:hAnsi="Verdana" w:cs="Verdana"/>
          <w:spacing w:val="-2"/>
          <w:sz w:val="20"/>
          <w:szCs w:val="20"/>
        </w:rPr>
        <w:t xml:space="preserve"> víctima</w:t>
      </w:r>
      <w:r>
        <w:rPr>
          <w:rFonts w:ascii="Verdana" w:hAnsi="Verdana" w:cs="Verdana"/>
          <w:spacing w:val="-2"/>
          <w:sz w:val="20"/>
          <w:szCs w:val="20"/>
        </w:rPr>
        <w:t>s</w:t>
      </w:r>
      <w:r w:rsidRPr="002964A7">
        <w:rPr>
          <w:rFonts w:ascii="Verdana" w:hAnsi="Verdana" w:cs="Verdana"/>
          <w:spacing w:val="-2"/>
          <w:sz w:val="20"/>
          <w:szCs w:val="20"/>
        </w:rPr>
        <w:t xml:space="preserve"> al</w:t>
      </w:r>
      <w:r w:rsidRPr="002964A7">
        <w:rPr>
          <w:rFonts w:ascii="Verdana" w:hAnsi="Verdana"/>
          <w:b/>
          <w:spacing w:val="-2"/>
          <w:sz w:val="20"/>
          <w:szCs w:val="20"/>
          <w:lang w:val="es-ES_tradnl"/>
        </w:rPr>
        <w:t xml:space="preserve"> </w:t>
      </w:r>
      <w:r w:rsidRPr="002964A7">
        <w:rPr>
          <w:rFonts w:ascii="Verdana" w:hAnsi="Verdana" w:cs="Verdana"/>
          <w:spacing w:val="-2"/>
          <w:sz w:val="20"/>
          <w:szCs w:val="20"/>
        </w:rPr>
        <w:t>momento de su desaparición, los elementos que obran en el expediente y con base en el</w:t>
      </w:r>
      <w:r w:rsidRPr="002964A7">
        <w:rPr>
          <w:rFonts w:ascii="Verdana" w:hAnsi="Verdana"/>
          <w:b/>
          <w:spacing w:val="-2"/>
          <w:sz w:val="20"/>
          <w:szCs w:val="20"/>
          <w:lang w:val="es-ES_tradnl"/>
        </w:rPr>
        <w:t xml:space="preserve"> </w:t>
      </w:r>
      <w:r w:rsidRPr="002964A7">
        <w:rPr>
          <w:rFonts w:ascii="Verdana" w:hAnsi="Verdana" w:cs="Verdana"/>
          <w:spacing w:val="-2"/>
          <w:sz w:val="20"/>
          <w:szCs w:val="20"/>
        </w:rPr>
        <w:t>criterio de equidad, la Corte decide fijar las siguientes cantidades:</w:t>
      </w:r>
    </w:p>
    <w:p w:rsidR="00AB496F" w:rsidRPr="00D50CE5" w:rsidRDefault="00AB496F" w:rsidP="00AB496F">
      <w:pPr>
        <w:pStyle w:val="ListParagraph"/>
        <w:spacing w:after="0" w:line="240" w:lineRule="auto"/>
        <w:rPr>
          <w:rFonts w:ascii="Verdana" w:hAnsi="Verdana" w:cs="Verdana"/>
          <w:spacing w:val="-2"/>
          <w:sz w:val="20"/>
          <w:szCs w:val="20"/>
        </w:rPr>
      </w:pPr>
    </w:p>
    <w:p w:rsidR="00AB496F" w:rsidRPr="004932B6" w:rsidRDefault="00AB496F" w:rsidP="001154F9">
      <w:pPr>
        <w:pStyle w:val="Estilo4"/>
        <w:numPr>
          <w:ilvl w:val="0"/>
          <w:numId w:val="16"/>
        </w:numPr>
        <w:spacing w:after="0"/>
        <w:ind w:left="0" w:firstLine="360"/>
        <w:rPr>
          <w:rFonts w:eastAsia="Batang" w:cs="Times"/>
          <w:sz w:val="20"/>
          <w:szCs w:val="20"/>
          <w:lang w:val="es-ES_tradnl"/>
        </w:rPr>
      </w:pPr>
      <w:r w:rsidRPr="004932B6">
        <w:rPr>
          <w:sz w:val="20"/>
          <w:szCs w:val="20"/>
        </w:rPr>
        <w:t>US$ 50</w:t>
      </w:r>
      <w:r>
        <w:rPr>
          <w:sz w:val="20"/>
          <w:szCs w:val="20"/>
        </w:rPr>
        <w:t>,</w:t>
      </w:r>
      <w:r w:rsidRPr="004932B6">
        <w:rPr>
          <w:sz w:val="20"/>
          <w:szCs w:val="20"/>
        </w:rPr>
        <w:t>000</w:t>
      </w:r>
      <w:r>
        <w:rPr>
          <w:sz w:val="20"/>
          <w:szCs w:val="20"/>
        </w:rPr>
        <w:t>.</w:t>
      </w:r>
      <w:r w:rsidRPr="004932B6">
        <w:rPr>
          <w:sz w:val="20"/>
          <w:szCs w:val="20"/>
        </w:rPr>
        <w:t xml:space="preserve">00 (cincuenta </w:t>
      </w:r>
      <w:r>
        <w:rPr>
          <w:sz w:val="20"/>
          <w:szCs w:val="20"/>
        </w:rPr>
        <w:t xml:space="preserve">mil </w:t>
      </w:r>
      <w:r w:rsidRPr="004932B6">
        <w:rPr>
          <w:sz w:val="20"/>
          <w:szCs w:val="20"/>
        </w:rPr>
        <w:t>dólares</w:t>
      </w:r>
      <w:r w:rsidRPr="004932B6">
        <w:rPr>
          <w:b/>
          <w:sz w:val="20"/>
          <w:szCs w:val="20"/>
          <w:lang w:val="es-ES_tradnl"/>
        </w:rPr>
        <w:t xml:space="preserve"> </w:t>
      </w:r>
      <w:r w:rsidRPr="004932B6">
        <w:rPr>
          <w:sz w:val="20"/>
          <w:szCs w:val="20"/>
        </w:rPr>
        <w:t xml:space="preserve">de los Estados Unidos de América) por concepto de ingresos dejados de percibir </w:t>
      </w:r>
      <w:r>
        <w:rPr>
          <w:sz w:val="20"/>
          <w:szCs w:val="20"/>
        </w:rPr>
        <w:t>a</w:t>
      </w:r>
      <w:r w:rsidRPr="004932B6">
        <w:rPr>
          <w:sz w:val="20"/>
          <w:szCs w:val="20"/>
        </w:rPr>
        <w:t xml:space="preserve"> cada una de las víctimas de desaparición forzada que eran adultas al momento de los hechos:</w:t>
      </w:r>
      <w:r w:rsidRPr="004932B6">
        <w:rPr>
          <w:sz w:val="20"/>
          <w:szCs w:val="20"/>
          <w:lang w:val="es-GT"/>
        </w:rPr>
        <w:t xml:space="preserve"> Antonia Hilario Quispe, Magdalena Hilario Quispe, Mercedes Carhuapoma de la Cruz</w:t>
      </w:r>
      <w:r w:rsidRPr="004932B6">
        <w:rPr>
          <w:rFonts w:cs="Arial"/>
          <w:sz w:val="20"/>
          <w:szCs w:val="20"/>
          <w:lang w:val="es-GT"/>
        </w:rPr>
        <w:t>,</w:t>
      </w:r>
      <w:r w:rsidRPr="004932B6">
        <w:rPr>
          <w:sz w:val="20"/>
          <w:szCs w:val="20"/>
          <w:lang w:val="es-GT"/>
        </w:rPr>
        <w:t xml:space="preserve"> </w:t>
      </w:r>
      <w:r w:rsidRPr="004932B6">
        <w:rPr>
          <w:rFonts w:cs="Arial"/>
          <w:sz w:val="20"/>
          <w:szCs w:val="20"/>
          <w:lang w:val="es-GT"/>
        </w:rPr>
        <w:t>Dionicia Guillén Riveros</w:t>
      </w:r>
      <w:r w:rsidRPr="004932B6">
        <w:rPr>
          <w:sz w:val="20"/>
          <w:szCs w:val="20"/>
          <w:lang w:val="es-GT"/>
        </w:rPr>
        <w:t>, Ramón Hilario Morán y Elihoref Huaman</w:t>
      </w:r>
      <w:r>
        <w:rPr>
          <w:sz w:val="20"/>
          <w:szCs w:val="20"/>
          <w:lang w:val="es-GT"/>
        </w:rPr>
        <w:t>í</w:t>
      </w:r>
      <w:r w:rsidRPr="004932B6">
        <w:rPr>
          <w:sz w:val="20"/>
          <w:szCs w:val="20"/>
          <w:lang w:val="es-GT"/>
        </w:rPr>
        <w:t xml:space="preserve"> Vergara</w:t>
      </w:r>
      <w:r w:rsidRPr="004932B6">
        <w:rPr>
          <w:rFonts w:cs="Arial"/>
          <w:sz w:val="20"/>
          <w:szCs w:val="20"/>
        </w:rPr>
        <w:t>.</w:t>
      </w:r>
    </w:p>
    <w:p w:rsidR="00AB496F" w:rsidRPr="00F332DC" w:rsidRDefault="00AB496F" w:rsidP="00AB496F">
      <w:pPr>
        <w:pStyle w:val="Estilo4"/>
        <w:spacing w:after="0"/>
        <w:ind w:left="360"/>
        <w:rPr>
          <w:rFonts w:eastAsia="Batang" w:cs="Times"/>
          <w:sz w:val="20"/>
          <w:szCs w:val="20"/>
          <w:lang w:val="es-ES_tradnl"/>
        </w:rPr>
      </w:pPr>
    </w:p>
    <w:p w:rsidR="00AB496F" w:rsidRPr="004932B6" w:rsidRDefault="00AB496F" w:rsidP="001154F9">
      <w:pPr>
        <w:pStyle w:val="Estilo4"/>
        <w:numPr>
          <w:ilvl w:val="0"/>
          <w:numId w:val="16"/>
        </w:numPr>
        <w:spacing w:after="0"/>
        <w:ind w:left="0" w:firstLine="360"/>
        <w:rPr>
          <w:rFonts w:eastAsia="Batang" w:cs="Times"/>
          <w:sz w:val="20"/>
          <w:szCs w:val="20"/>
          <w:lang w:val="es-ES_tradnl"/>
        </w:rPr>
      </w:pPr>
      <w:r w:rsidRPr="004932B6">
        <w:rPr>
          <w:sz w:val="20"/>
          <w:szCs w:val="20"/>
        </w:rPr>
        <w:t>US$ 20</w:t>
      </w:r>
      <w:r>
        <w:rPr>
          <w:sz w:val="20"/>
          <w:szCs w:val="20"/>
        </w:rPr>
        <w:t>,</w:t>
      </w:r>
      <w:r w:rsidRPr="004932B6">
        <w:rPr>
          <w:sz w:val="20"/>
          <w:szCs w:val="20"/>
        </w:rPr>
        <w:t>000</w:t>
      </w:r>
      <w:r>
        <w:rPr>
          <w:sz w:val="20"/>
          <w:szCs w:val="20"/>
        </w:rPr>
        <w:t>.</w:t>
      </w:r>
      <w:r w:rsidRPr="004932B6">
        <w:rPr>
          <w:sz w:val="20"/>
          <w:szCs w:val="20"/>
        </w:rPr>
        <w:t>00 (</w:t>
      </w:r>
      <w:r>
        <w:rPr>
          <w:sz w:val="20"/>
          <w:szCs w:val="20"/>
        </w:rPr>
        <w:t>veinte</w:t>
      </w:r>
      <w:r w:rsidRPr="004932B6">
        <w:rPr>
          <w:sz w:val="20"/>
          <w:szCs w:val="20"/>
        </w:rPr>
        <w:t xml:space="preserve"> mil dólares</w:t>
      </w:r>
      <w:r w:rsidRPr="004932B6">
        <w:rPr>
          <w:b/>
          <w:sz w:val="20"/>
          <w:szCs w:val="20"/>
          <w:lang w:val="es-ES_tradnl"/>
        </w:rPr>
        <w:t xml:space="preserve"> </w:t>
      </w:r>
      <w:r w:rsidRPr="004932B6">
        <w:rPr>
          <w:sz w:val="20"/>
          <w:szCs w:val="20"/>
        </w:rPr>
        <w:t xml:space="preserve">de los Estados Unidos de América) por concepto de ingresos dejados de percibir </w:t>
      </w:r>
      <w:r>
        <w:rPr>
          <w:sz w:val="20"/>
          <w:szCs w:val="20"/>
        </w:rPr>
        <w:t>a</w:t>
      </w:r>
      <w:r w:rsidRPr="004932B6">
        <w:rPr>
          <w:sz w:val="20"/>
          <w:szCs w:val="20"/>
        </w:rPr>
        <w:t xml:space="preserve"> cada una de las víctimas de desaparición forzada que eran adultas con edades de 59 y 60 años al momento de los hechos:</w:t>
      </w:r>
      <w:r w:rsidRPr="004932B6">
        <w:rPr>
          <w:sz w:val="20"/>
          <w:szCs w:val="20"/>
          <w:lang w:val="es-GT"/>
        </w:rPr>
        <w:t xml:space="preserve"> Francisco Hilario Torres</w:t>
      </w:r>
      <w:r w:rsidRPr="004932B6">
        <w:rPr>
          <w:sz w:val="20"/>
          <w:szCs w:val="20"/>
        </w:rPr>
        <w:t xml:space="preserve"> y </w:t>
      </w:r>
      <w:r w:rsidRPr="004932B6">
        <w:rPr>
          <w:sz w:val="20"/>
          <w:szCs w:val="20"/>
          <w:lang w:val="es-GT"/>
        </w:rPr>
        <w:t>Dionicia Quispe Ma</w:t>
      </w:r>
      <w:r>
        <w:rPr>
          <w:sz w:val="20"/>
          <w:szCs w:val="20"/>
          <w:lang w:val="es-GT"/>
        </w:rPr>
        <w:t>ll</w:t>
      </w:r>
      <w:r w:rsidRPr="004932B6">
        <w:rPr>
          <w:sz w:val="20"/>
          <w:szCs w:val="20"/>
          <w:lang w:val="es-GT"/>
        </w:rPr>
        <w:t>qui.</w:t>
      </w:r>
    </w:p>
    <w:p w:rsidR="00AB496F" w:rsidRPr="00F332DC" w:rsidRDefault="00AB496F" w:rsidP="00AB496F">
      <w:pPr>
        <w:pStyle w:val="Estilo4"/>
        <w:spacing w:after="0"/>
        <w:ind w:left="360"/>
        <w:rPr>
          <w:rFonts w:eastAsia="Batang" w:cs="Times"/>
          <w:sz w:val="20"/>
          <w:szCs w:val="20"/>
          <w:lang w:val="es-ES_tradnl"/>
        </w:rPr>
      </w:pPr>
    </w:p>
    <w:p w:rsidR="00AB496F" w:rsidRPr="004932B6" w:rsidRDefault="00AB496F" w:rsidP="001154F9">
      <w:pPr>
        <w:pStyle w:val="Estilo4"/>
        <w:numPr>
          <w:ilvl w:val="0"/>
          <w:numId w:val="16"/>
        </w:numPr>
        <w:spacing w:after="0"/>
        <w:ind w:left="0" w:firstLine="360"/>
        <w:rPr>
          <w:rFonts w:eastAsia="Batang" w:cs="Times"/>
          <w:sz w:val="20"/>
          <w:szCs w:val="20"/>
          <w:lang w:val="es-ES_tradnl"/>
        </w:rPr>
      </w:pPr>
      <w:r w:rsidRPr="004932B6">
        <w:rPr>
          <w:sz w:val="20"/>
          <w:szCs w:val="20"/>
        </w:rPr>
        <w:t xml:space="preserve">US$ </w:t>
      </w:r>
      <w:r>
        <w:rPr>
          <w:sz w:val="20"/>
          <w:szCs w:val="20"/>
        </w:rPr>
        <w:t>20,</w:t>
      </w:r>
      <w:r w:rsidRPr="004932B6">
        <w:rPr>
          <w:sz w:val="20"/>
          <w:szCs w:val="20"/>
        </w:rPr>
        <w:t>000</w:t>
      </w:r>
      <w:r>
        <w:rPr>
          <w:sz w:val="20"/>
          <w:szCs w:val="20"/>
        </w:rPr>
        <w:t>.</w:t>
      </w:r>
      <w:r w:rsidRPr="004932B6">
        <w:rPr>
          <w:sz w:val="20"/>
          <w:szCs w:val="20"/>
        </w:rPr>
        <w:t>00 (</w:t>
      </w:r>
      <w:r>
        <w:rPr>
          <w:sz w:val="20"/>
          <w:szCs w:val="20"/>
        </w:rPr>
        <w:t>veinte</w:t>
      </w:r>
      <w:r w:rsidRPr="004932B6">
        <w:rPr>
          <w:sz w:val="20"/>
          <w:szCs w:val="20"/>
        </w:rPr>
        <w:t xml:space="preserve"> mil dólares</w:t>
      </w:r>
      <w:r w:rsidRPr="004932B6">
        <w:rPr>
          <w:b/>
          <w:sz w:val="20"/>
          <w:szCs w:val="20"/>
          <w:lang w:val="es-ES_tradnl"/>
        </w:rPr>
        <w:t xml:space="preserve"> </w:t>
      </w:r>
      <w:r w:rsidRPr="004932B6">
        <w:rPr>
          <w:sz w:val="20"/>
          <w:szCs w:val="20"/>
        </w:rPr>
        <w:t xml:space="preserve">de los Estados Unidos de América) por concepto de ingresos dejados de percibir </w:t>
      </w:r>
      <w:r>
        <w:rPr>
          <w:sz w:val="20"/>
          <w:szCs w:val="20"/>
        </w:rPr>
        <w:t>a</w:t>
      </w:r>
      <w:r w:rsidRPr="004932B6">
        <w:rPr>
          <w:sz w:val="20"/>
          <w:szCs w:val="20"/>
        </w:rPr>
        <w:t xml:space="preserve"> cada una de las víctimas de desaparición forzada que eran niñas y niños al momento de los hechos:</w:t>
      </w:r>
      <w:r w:rsidRPr="004932B6">
        <w:rPr>
          <w:sz w:val="20"/>
          <w:szCs w:val="20"/>
          <w:lang w:val="es-GT"/>
        </w:rPr>
        <w:t xml:space="preserve"> Yesenia </w:t>
      </w:r>
      <w:r w:rsidRPr="004932B6">
        <w:rPr>
          <w:rFonts w:cs="Arial"/>
          <w:sz w:val="20"/>
          <w:szCs w:val="20"/>
          <w:lang w:val="es-GT"/>
        </w:rPr>
        <w:t>Osnayo Hilario</w:t>
      </w:r>
      <w:r w:rsidRPr="004932B6">
        <w:rPr>
          <w:sz w:val="20"/>
          <w:szCs w:val="20"/>
          <w:lang w:val="es-GT"/>
        </w:rPr>
        <w:t xml:space="preserve">, Miriam </w:t>
      </w:r>
      <w:r w:rsidRPr="004932B6">
        <w:rPr>
          <w:rFonts w:cs="Arial"/>
          <w:sz w:val="20"/>
          <w:szCs w:val="20"/>
          <w:lang w:val="es-GT"/>
        </w:rPr>
        <w:t>Osnayo Hilario,</w:t>
      </w:r>
      <w:r w:rsidRPr="004932B6">
        <w:rPr>
          <w:sz w:val="20"/>
          <w:szCs w:val="20"/>
          <w:lang w:val="es-GT"/>
        </w:rPr>
        <w:t xml:space="preserve"> </w:t>
      </w:r>
      <w:r w:rsidRPr="004932B6">
        <w:rPr>
          <w:rFonts w:cs="Arial"/>
          <w:sz w:val="20"/>
          <w:szCs w:val="20"/>
          <w:lang w:val="es-GT"/>
        </w:rPr>
        <w:t>Edith Osnayo Hilario</w:t>
      </w:r>
      <w:r w:rsidRPr="004932B6">
        <w:rPr>
          <w:sz w:val="20"/>
          <w:szCs w:val="20"/>
          <w:lang w:val="es-GT"/>
        </w:rPr>
        <w:t>, Wilmer Hilario Carhuapoma, Alex Jorge Hilario, Raúl Hilario Guillén, Héctor Hilario Guillén.</w:t>
      </w:r>
    </w:p>
    <w:p w:rsidR="00AB496F" w:rsidRPr="00D50CE5" w:rsidRDefault="00AB496F" w:rsidP="00AB496F">
      <w:pPr>
        <w:pStyle w:val="ListParagraph"/>
        <w:spacing w:after="0" w:line="240" w:lineRule="auto"/>
        <w:ind w:left="0"/>
        <w:jc w:val="both"/>
        <w:rPr>
          <w:rFonts w:ascii="Verdana" w:eastAsia="Batang" w:hAnsi="Verdana" w:cs="Times"/>
          <w:spacing w:val="-2"/>
          <w:sz w:val="20"/>
          <w:szCs w:val="20"/>
          <w:lang w:val="es-ES_tradnl"/>
        </w:rPr>
      </w:pPr>
    </w:p>
    <w:p w:rsidR="00AB496F" w:rsidRPr="001154F9"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spacing w:val="-2"/>
          <w:sz w:val="20"/>
        </w:rPr>
      </w:pPr>
      <w:bookmarkStart w:id="282" w:name="_Ref405768990"/>
      <w:r w:rsidRPr="00786593">
        <w:rPr>
          <w:rFonts w:ascii="Verdana" w:eastAsia="Calibri" w:hAnsi="Verdana"/>
          <w:spacing w:val="-2"/>
          <w:sz w:val="20"/>
        </w:rPr>
        <w:t xml:space="preserve">Los montos dispuestos a favor de las personas indicadas en el párrafo anterior deben ser pagados a </w:t>
      </w:r>
      <w:r w:rsidRPr="00786593">
        <w:rPr>
          <w:rFonts w:ascii="Verdana" w:hAnsi="Verdana" w:cs="Verdana"/>
          <w:spacing w:val="-2"/>
          <w:sz w:val="20"/>
          <w:szCs w:val="20"/>
        </w:rPr>
        <w:t>sus</w:t>
      </w:r>
      <w:r w:rsidRPr="00786593">
        <w:rPr>
          <w:rFonts w:ascii="Verdana" w:eastAsia="Calibri" w:hAnsi="Verdana"/>
          <w:spacing w:val="-2"/>
          <w:sz w:val="20"/>
        </w:rPr>
        <w:t xml:space="preserve"> familiares, en el plazo </w:t>
      </w:r>
      <w:r>
        <w:rPr>
          <w:rFonts w:ascii="Verdana" w:eastAsia="Calibri" w:hAnsi="Verdana"/>
          <w:spacing w:val="-2"/>
          <w:sz w:val="20"/>
        </w:rPr>
        <w:t>de un año</w:t>
      </w:r>
      <w:r w:rsidRPr="00786593">
        <w:rPr>
          <w:rFonts w:ascii="Verdana" w:eastAsia="Calibri" w:hAnsi="Verdana"/>
          <w:spacing w:val="-2"/>
          <w:sz w:val="20"/>
        </w:rPr>
        <w:t>, de acuerdo con los criterios</w:t>
      </w:r>
      <w:r>
        <w:rPr>
          <w:rFonts w:ascii="Verdana" w:eastAsia="Calibri" w:hAnsi="Verdana"/>
          <w:spacing w:val="-2"/>
          <w:sz w:val="20"/>
        </w:rPr>
        <w:t xml:space="preserve"> establecidos en el párrafo 339 de esta Sentencia.</w:t>
      </w:r>
      <w:bookmarkEnd w:id="282"/>
    </w:p>
    <w:p w:rsidR="00AB496F" w:rsidRPr="002964A7" w:rsidRDefault="003178F0" w:rsidP="003178F0">
      <w:pPr>
        <w:pStyle w:val="Heading3"/>
        <w:spacing w:line="240" w:lineRule="auto"/>
      </w:pPr>
      <w:bookmarkStart w:id="283" w:name="_Toc423102583"/>
      <w:bookmarkStart w:id="284" w:name="_Toc433387539"/>
      <w:r>
        <w:t xml:space="preserve">E. </w:t>
      </w:r>
      <w:r w:rsidR="00AB496F" w:rsidRPr="002964A7">
        <w:t>Costas y gastos</w:t>
      </w:r>
      <w:bookmarkEnd w:id="283"/>
      <w:bookmarkEnd w:id="284"/>
    </w:p>
    <w:p w:rsidR="00AB496F" w:rsidRPr="002548FE" w:rsidRDefault="00AB496F" w:rsidP="003178F0">
      <w:pPr>
        <w:autoSpaceDE w:val="0"/>
        <w:autoSpaceDN w:val="0"/>
        <w:adjustRightInd w:val="0"/>
        <w:spacing w:after="0" w:line="240" w:lineRule="auto"/>
        <w:rPr>
          <w:rFonts w:ascii="Verdana" w:eastAsiaTheme="minorHAnsi" w:hAnsi="Verdana" w:cs="Verdana"/>
          <w:spacing w:val="-2"/>
          <w:sz w:val="16"/>
          <w:szCs w:val="20"/>
          <w:lang w:val="es-PR"/>
        </w:rPr>
      </w:pPr>
    </w:p>
    <w:p w:rsidR="00AB496F" w:rsidRPr="002964A7" w:rsidRDefault="00AB496F" w:rsidP="003178F0">
      <w:pPr>
        <w:autoSpaceDE w:val="0"/>
        <w:autoSpaceDN w:val="0"/>
        <w:adjustRightInd w:val="0"/>
        <w:spacing w:after="0" w:line="240" w:lineRule="auto"/>
        <w:ind w:firstLine="717"/>
        <w:rPr>
          <w:rFonts w:ascii="Verdana" w:hAnsi="Verdana" w:cs="Verdana-Italic"/>
          <w:i/>
          <w:iCs/>
          <w:spacing w:val="-2"/>
          <w:sz w:val="20"/>
          <w:szCs w:val="20"/>
          <w:lang w:bidi="en-US"/>
        </w:rPr>
      </w:pPr>
      <w:r w:rsidRPr="002964A7">
        <w:rPr>
          <w:rFonts w:ascii="Verdana" w:hAnsi="Verdana" w:cs="Verdana-Italic"/>
          <w:i/>
          <w:iCs/>
          <w:spacing w:val="-2"/>
          <w:sz w:val="20"/>
          <w:szCs w:val="20"/>
          <w:lang w:bidi="en-US"/>
        </w:rPr>
        <w:t>Argumentos de las partes y la Comisión</w:t>
      </w:r>
    </w:p>
    <w:p w:rsidR="00AB496F" w:rsidRPr="003178F0" w:rsidRDefault="00AB496F" w:rsidP="003178F0">
      <w:pPr>
        <w:autoSpaceDE w:val="0"/>
        <w:autoSpaceDN w:val="0"/>
        <w:adjustRightInd w:val="0"/>
        <w:spacing w:after="0" w:line="240" w:lineRule="auto"/>
        <w:rPr>
          <w:rFonts w:ascii="Verdana" w:eastAsiaTheme="minorHAnsi" w:hAnsi="Verdana" w:cs="Verdana"/>
          <w:spacing w:val="-2"/>
          <w:sz w:val="16"/>
          <w:szCs w:val="20"/>
        </w:rPr>
      </w:pPr>
    </w:p>
    <w:p w:rsidR="00AB496F" w:rsidRPr="00F13F0B"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cs="Verdana"/>
          <w:spacing w:val="-2"/>
          <w:sz w:val="20"/>
          <w:szCs w:val="20"/>
        </w:rPr>
      </w:pPr>
      <w:r w:rsidRPr="00F13F0B">
        <w:rPr>
          <w:rFonts w:ascii="Verdana" w:hAnsi="Verdana" w:cs="Verdana"/>
          <w:spacing w:val="-2"/>
          <w:sz w:val="20"/>
          <w:szCs w:val="20"/>
        </w:rPr>
        <w:t xml:space="preserve">La </w:t>
      </w:r>
      <w:r w:rsidRPr="00F13F0B">
        <w:rPr>
          <w:rFonts w:ascii="Verdana" w:hAnsi="Verdana" w:cs="Verdana"/>
          <w:b/>
          <w:bCs/>
          <w:i/>
          <w:iCs/>
          <w:spacing w:val="-2"/>
          <w:sz w:val="20"/>
          <w:szCs w:val="20"/>
        </w:rPr>
        <w:t xml:space="preserve">Comisión </w:t>
      </w:r>
      <w:r w:rsidRPr="00F13F0B">
        <w:rPr>
          <w:rFonts w:ascii="Verdana" w:hAnsi="Verdana" w:cs="Verdana"/>
          <w:spacing w:val="-2"/>
          <w:sz w:val="20"/>
          <w:szCs w:val="20"/>
        </w:rPr>
        <w:t xml:space="preserve">no presentó argumentos al respecto. Los </w:t>
      </w:r>
      <w:r w:rsidRPr="00F13F0B">
        <w:rPr>
          <w:rFonts w:ascii="Verdana" w:hAnsi="Verdana" w:cs="Verdana"/>
          <w:b/>
          <w:bCs/>
          <w:i/>
          <w:iCs/>
          <w:spacing w:val="-2"/>
          <w:sz w:val="20"/>
          <w:szCs w:val="20"/>
        </w:rPr>
        <w:t xml:space="preserve">representantes </w:t>
      </w:r>
      <w:r w:rsidRPr="00F13F0B">
        <w:rPr>
          <w:rFonts w:ascii="Verdana" w:hAnsi="Verdana" w:cs="Verdana"/>
          <w:spacing w:val="-2"/>
          <w:sz w:val="20"/>
          <w:szCs w:val="20"/>
        </w:rPr>
        <w:t xml:space="preserve">solicitaron, respecto de la </w:t>
      </w:r>
      <w:r w:rsidRPr="002964A7">
        <w:rPr>
          <w:rFonts w:ascii="Verdana" w:hAnsi="Verdana"/>
          <w:spacing w:val="-2"/>
          <w:sz w:val="20"/>
          <w:szCs w:val="20"/>
        </w:rPr>
        <w:t>Asociación Paz y Esperanza</w:t>
      </w:r>
      <w:r w:rsidRPr="00F13F0B">
        <w:rPr>
          <w:rFonts w:ascii="Verdana" w:hAnsi="Verdana" w:cs="Verdana"/>
          <w:spacing w:val="-2"/>
          <w:sz w:val="20"/>
          <w:szCs w:val="20"/>
        </w:rPr>
        <w:t>, que se ordene al Estado pagar el monto de USD $160</w:t>
      </w:r>
      <w:r>
        <w:rPr>
          <w:rFonts w:ascii="Verdana" w:hAnsi="Verdana" w:cs="Verdana"/>
          <w:spacing w:val="-2"/>
          <w:sz w:val="20"/>
          <w:szCs w:val="20"/>
        </w:rPr>
        <w:t>,</w:t>
      </w:r>
      <w:r w:rsidRPr="00F13F0B">
        <w:rPr>
          <w:rFonts w:ascii="Verdana" w:hAnsi="Verdana" w:cs="Verdana"/>
          <w:spacing w:val="-2"/>
          <w:sz w:val="20"/>
          <w:szCs w:val="20"/>
        </w:rPr>
        <w:t>507</w:t>
      </w:r>
      <w:r>
        <w:rPr>
          <w:rFonts w:ascii="Verdana" w:hAnsi="Verdana" w:cs="Verdana"/>
          <w:spacing w:val="-2"/>
          <w:sz w:val="20"/>
          <w:szCs w:val="20"/>
        </w:rPr>
        <w:t>.</w:t>
      </w:r>
      <w:r w:rsidRPr="00F13F0B">
        <w:rPr>
          <w:rFonts w:ascii="Verdana" w:hAnsi="Verdana" w:cs="Verdana"/>
          <w:spacing w:val="-2"/>
          <w:sz w:val="20"/>
          <w:szCs w:val="20"/>
        </w:rPr>
        <w:t xml:space="preserve">00 por concepto de los gastos </w:t>
      </w:r>
      <w:r w:rsidRPr="002964A7">
        <w:rPr>
          <w:rFonts w:ascii="Verdana" w:hAnsi="Verdana" w:cs="Verdana"/>
          <w:spacing w:val="-2"/>
          <w:sz w:val="20"/>
          <w:szCs w:val="20"/>
        </w:rPr>
        <w:t>incurridos</w:t>
      </w:r>
      <w:r w:rsidRPr="00F13F0B">
        <w:rPr>
          <w:rFonts w:ascii="Verdana" w:hAnsi="Verdana" w:cs="Verdana"/>
          <w:spacing w:val="-2"/>
          <w:sz w:val="20"/>
          <w:szCs w:val="20"/>
        </w:rPr>
        <w:t xml:space="preserve"> en la representación legal de los familiares durante los procesos judiciales internos e internacionales a lo largo de 22 años. Dichos gastos incluirían </w:t>
      </w:r>
      <w:r w:rsidRPr="002964A7">
        <w:rPr>
          <w:rFonts w:ascii="Verdana" w:hAnsi="Verdana" w:cs="Arial"/>
          <w:spacing w:val="-2"/>
          <w:sz w:val="20"/>
          <w:szCs w:val="20"/>
        </w:rPr>
        <w:t>gestiones de investigación y</w:t>
      </w:r>
      <w:r w:rsidRPr="00F13F0B">
        <w:rPr>
          <w:rFonts w:ascii="Verdana" w:hAnsi="Verdana" w:cs="Verdana"/>
          <w:spacing w:val="-2"/>
          <w:sz w:val="20"/>
          <w:szCs w:val="20"/>
        </w:rPr>
        <w:t xml:space="preserve"> </w:t>
      </w:r>
      <w:r w:rsidRPr="002964A7">
        <w:rPr>
          <w:rFonts w:ascii="Verdana" w:hAnsi="Verdana" w:cs="Arial"/>
          <w:spacing w:val="-2"/>
          <w:sz w:val="20"/>
          <w:szCs w:val="20"/>
        </w:rPr>
        <w:t>recolección de pruebas, notarización de documentos, preparación de escritos legales, y</w:t>
      </w:r>
      <w:r w:rsidRPr="00F13F0B">
        <w:rPr>
          <w:rFonts w:ascii="Verdana" w:hAnsi="Verdana" w:cs="Verdana"/>
          <w:spacing w:val="-2"/>
          <w:sz w:val="20"/>
          <w:szCs w:val="20"/>
        </w:rPr>
        <w:t xml:space="preserve"> </w:t>
      </w:r>
      <w:r w:rsidRPr="002964A7">
        <w:rPr>
          <w:rFonts w:ascii="Verdana" w:hAnsi="Verdana" w:cs="Arial"/>
          <w:spacing w:val="-2"/>
          <w:sz w:val="20"/>
          <w:szCs w:val="20"/>
        </w:rPr>
        <w:t>gastos de desplazamiento a diversas dependencias gubernamentales en el país con el</w:t>
      </w:r>
      <w:r w:rsidRPr="00F13F0B">
        <w:rPr>
          <w:rFonts w:ascii="Verdana" w:hAnsi="Verdana" w:cs="Verdana"/>
          <w:spacing w:val="-2"/>
          <w:sz w:val="20"/>
          <w:szCs w:val="20"/>
        </w:rPr>
        <w:t xml:space="preserve"> </w:t>
      </w:r>
      <w:r w:rsidRPr="002964A7">
        <w:rPr>
          <w:rFonts w:ascii="Verdana" w:hAnsi="Verdana" w:cs="Arial"/>
          <w:spacing w:val="-2"/>
          <w:sz w:val="20"/>
          <w:szCs w:val="20"/>
        </w:rPr>
        <w:t xml:space="preserve">fin de adelantar el litigio del caso ante esa instancia internacional. </w:t>
      </w:r>
      <w:r w:rsidRPr="00F13F0B">
        <w:rPr>
          <w:rFonts w:ascii="Verdana" w:hAnsi="Verdana" w:cs="Verdana"/>
          <w:spacing w:val="-2"/>
          <w:sz w:val="20"/>
          <w:szCs w:val="20"/>
        </w:rPr>
        <w:t xml:space="preserve">Asimismo, por concepto de gastos para la asistencia a la audiencia </w:t>
      </w:r>
      <w:r w:rsidRPr="00F13F0B">
        <w:rPr>
          <w:rFonts w:ascii="Verdana" w:hAnsi="Verdana" w:cs="Verdana"/>
          <w:spacing w:val="-2"/>
          <w:sz w:val="20"/>
          <w:szCs w:val="20"/>
        </w:rPr>
        <w:lastRenderedPageBreak/>
        <w:t>pública del caso en Costa Rica, solicitaron el pago de USD $2</w:t>
      </w:r>
      <w:r>
        <w:rPr>
          <w:rFonts w:ascii="Verdana" w:hAnsi="Verdana" w:cs="Verdana"/>
          <w:spacing w:val="-2"/>
          <w:sz w:val="20"/>
          <w:szCs w:val="20"/>
        </w:rPr>
        <w:t>,</w:t>
      </w:r>
      <w:r w:rsidRPr="00F13F0B">
        <w:rPr>
          <w:rFonts w:ascii="Verdana" w:hAnsi="Verdana" w:cs="Verdana"/>
          <w:spacing w:val="-2"/>
          <w:sz w:val="20"/>
          <w:szCs w:val="20"/>
        </w:rPr>
        <w:t>021</w:t>
      </w:r>
      <w:r>
        <w:rPr>
          <w:rFonts w:ascii="Verdana" w:hAnsi="Verdana" w:cs="Verdana"/>
          <w:spacing w:val="-2"/>
          <w:sz w:val="20"/>
          <w:szCs w:val="20"/>
        </w:rPr>
        <w:t>.</w:t>
      </w:r>
      <w:r w:rsidRPr="00F13F0B">
        <w:rPr>
          <w:rFonts w:ascii="Verdana" w:hAnsi="Verdana" w:cs="Verdana"/>
          <w:spacing w:val="-2"/>
          <w:sz w:val="20"/>
          <w:szCs w:val="20"/>
        </w:rPr>
        <w:t>77. En el caso del Centro por la Justicia y el Derecho Internacional (CEJIL), señalaron que dicha organización</w:t>
      </w:r>
      <w:r w:rsidRPr="002964A7">
        <w:rPr>
          <w:rFonts w:ascii="Verdana" w:hAnsi="Verdana" w:cs="Verdana"/>
          <w:spacing w:val="-2"/>
          <w:sz w:val="20"/>
          <w:szCs w:val="20"/>
        </w:rPr>
        <w:t xml:space="preserve"> </w:t>
      </w:r>
      <w:r w:rsidRPr="00F13F0B">
        <w:rPr>
          <w:rFonts w:ascii="Verdana" w:hAnsi="Verdana" w:cs="Verdana"/>
          <w:spacing w:val="-2"/>
          <w:sz w:val="20"/>
          <w:szCs w:val="20"/>
        </w:rPr>
        <w:t>se habría incorporado al litigio del caso en el proceso internacional y había actuado como representante desde el trámite del caso ante la Comisión. Al respecto, indicaron que para la realización de dicha labor había incurrido en gastos que incluyen viajes, pago de hoteles, gastos de comunicaciones, fotocopias, papelería y envíos, tiempo de trabajo jurídico dedicado a la atención específica del caso y a la investigación, la recopilación y presentación de pruebas, que incluyó la realización de entrevistas y preparación de escritos</w:t>
      </w:r>
      <w:r>
        <w:rPr>
          <w:rFonts w:ascii="Verdana" w:hAnsi="Verdana" w:cs="Verdana"/>
          <w:spacing w:val="-2"/>
          <w:sz w:val="20"/>
          <w:szCs w:val="20"/>
        </w:rPr>
        <w:t>.</w:t>
      </w:r>
      <w:r w:rsidRPr="00F13F0B">
        <w:rPr>
          <w:rFonts w:ascii="Verdana" w:hAnsi="Verdana" w:cs="Verdana"/>
          <w:spacing w:val="-2"/>
          <w:sz w:val="20"/>
          <w:szCs w:val="20"/>
        </w:rPr>
        <w:t xml:space="preserve"> </w:t>
      </w:r>
      <w:r>
        <w:rPr>
          <w:rFonts w:ascii="Verdana" w:hAnsi="Verdana" w:cs="Verdana"/>
          <w:spacing w:val="-2"/>
          <w:sz w:val="20"/>
          <w:szCs w:val="20"/>
        </w:rPr>
        <w:t>S</w:t>
      </w:r>
      <w:r w:rsidRPr="00F13F0B">
        <w:rPr>
          <w:rFonts w:ascii="Verdana" w:hAnsi="Verdana" w:cs="Verdana"/>
          <w:spacing w:val="-2"/>
          <w:sz w:val="20"/>
          <w:szCs w:val="20"/>
        </w:rPr>
        <w:t>olicitaron a la Corte que fije en equidad la cantidad de USD $</w:t>
      </w:r>
      <w:r w:rsidRPr="002964A7">
        <w:rPr>
          <w:rFonts w:ascii="Verdana" w:hAnsi="Verdana"/>
          <w:spacing w:val="-2"/>
          <w:sz w:val="20"/>
          <w:szCs w:val="20"/>
        </w:rPr>
        <w:t>4</w:t>
      </w:r>
      <w:r>
        <w:rPr>
          <w:rFonts w:ascii="Verdana" w:hAnsi="Verdana"/>
          <w:spacing w:val="-2"/>
          <w:sz w:val="20"/>
          <w:szCs w:val="20"/>
        </w:rPr>
        <w:t>,</w:t>
      </w:r>
      <w:r w:rsidRPr="002964A7">
        <w:rPr>
          <w:rFonts w:ascii="Verdana" w:hAnsi="Verdana"/>
          <w:spacing w:val="-2"/>
          <w:sz w:val="20"/>
          <w:szCs w:val="20"/>
        </w:rPr>
        <w:t>095</w:t>
      </w:r>
      <w:r>
        <w:rPr>
          <w:rFonts w:ascii="Verdana" w:hAnsi="Verdana"/>
          <w:spacing w:val="-2"/>
          <w:sz w:val="20"/>
          <w:szCs w:val="20"/>
        </w:rPr>
        <w:t>.</w:t>
      </w:r>
      <w:r w:rsidRPr="002964A7">
        <w:rPr>
          <w:rFonts w:ascii="Verdana" w:hAnsi="Verdana"/>
          <w:spacing w:val="-2"/>
          <w:sz w:val="20"/>
          <w:szCs w:val="20"/>
        </w:rPr>
        <w:t>56</w:t>
      </w:r>
      <w:r w:rsidRPr="00F13F0B">
        <w:rPr>
          <w:rFonts w:ascii="Verdana" w:hAnsi="Verdana" w:cs="Verdana"/>
          <w:spacing w:val="-2"/>
          <w:sz w:val="20"/>
          <w:szCs w:val="20"/>
        </w:rPr>
        <w:t>, así como el reintegro de USD $</w:t>
      </w:r>
      <w:r w:rsidRPr="002964A7">
        <w:rPr>
          <w:rFonts w:ascii="Verdana" w:hAnsi="Verdana"/>
          <w:spacing w:val="-2"/>
          <w:sz w:val="20"/>
          <w:szCs w:val="20"/>
        </w:rPr>
        <w:t>6</w:t>
      </w:r>
      <w:r>
        <w:rPr>
          <w:rFonts w:ascii="Verdana" w:hAnsi="Verdana"/>
          <w:spacing w:val="-2"/>
          <w:sz w:val="20"/>
          <w:szCs w:val="20"/>
        </w:rPr>
        <w:t>,</w:t>
      </w:r>
      <w:r w:rsidRPr="002964A7">
        <w:rPr>
          <w:rFonts w:ascii="Verdana" w:hAnsi="Verdana"/>
          <w:spacing w:val="-2"/>
          <w:sz w:val="20"/>
          <w:szCs w:val="20"/>
        </w:rPr>
        <w:t>178</w:t>
      </w:r>
      <w:r>
        <w:rPr>
          <w:rFonts w:ascii="Verdana" w:hAnsi="Verdana"/>
          <w:spacing w:val="-2"/>
          <w:sz w:val="20"/>
          <w:szCs w:val="20"/>
        </w:rPr>
        <w:t>.00</w:t>
      </w:r>
      <w:r w:rsidRPr="00F13F0B">
        <w:rPr>
          <w:rFonts w:ascii="Verdana" w:hAnsi="Verdana" w:cs="Verdana"/>
          <w:spacing w:val="-2"/>
          <w:sz w:val="20"/>
          <w:szCs w:val="20"/>
        </w:rPr>
        <w:t xml:space="preserve"> por concepto de gastos relacionados con el fin de asistir a la audiencia pública del caso. Solicitaron que dichas cantidades sean reintegradas directamente por el Estado a los representantes.</w:t>
      </w:r>
    </w:p>
    <w:p w:rsidR="00AB496F" w:rsidRPr="00F13F0B" w:rsidRDefault="00AB496F" w:rsidP="00AB496F">
      <w:pPr>
        <w:autoSpaceDE w:val="0"/>
        <w:autoSpaceDN w:val="0"/>
        <w:adjustRightInd w:val="0"/>
        <w:spacing w:after="0" w:line="240" w:lineRule="auto"/>
        <w:jc w:val="both"/>
        <w:rPr>
          <w:rFonts w:ascii="Verdana" w:eastAsiaTheme="minorHAnsi" w:hAnsi="Verdana" w:cs="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pacing w:val="-2"/>
          <w:sz w:val="20"/>
          <w:szCs w:val="20"/>
        </w:rPr>
      </w:pPr>
      <w:r w:rsidRPr="002964A7">
        <w:rPr>
          <w:rFonts w:ascii="Verdana" w:eastAsia="MS Mincho" w:hAnsi="Verdana"/>
          <w:spacing w:val="-2"/>
          <w:sz w:val="20"/>
          <w:szCs w:val="20"/>
        </w:rPr>
        <w:t xml:space="preserve">El </w:t>
      </w:r>
      <w:r w:rsidRPr="002964A7">
        <w:rPr>
          <w:rFonts w:ascii="Verdana" w:eastAsia="MS Mincho" w:hAnsi="Verdana"/>
          <w:b/>
          <w:i/>
          <w:spacing w:val="-2"/>
          <w:sz w:val="20"/>
          <w:szCs w:val="20"/>
        </w:rPr>
        <w:t>Estado</w:t>
      </w:r>
      <w:r w:rsidRPr="002964A7">
        <w:rPr>
          <w:rFonts w:ascii="Verdana" w:eastAsia="MS Mincho" w:hAnsi="Verdana"/>
          <w:spacing w:val="-2"/>
          <w:sz w:val="20"/>
          <w:szCs w:val="20"/>
        </w:rPr>
        <w:t xml:space="preserve"> indicó que considera inaceptable la solicitud por parte de CEJIL y la Asociación Paz y Esperanza del reintegro de costas y gastos sin la presentación</w:t>
      </w:r>
      <w:r>
        <w:rPr>
          <w:rFonts w:ascii="Verdana" w:eastAsia="MS Mincho" w:hAnsi="Verdana"/>
          <w:spacing w:val="-2"/>
          <w:sz w:val="20"/>
          <w:szCs w:val="20"/>
        </w:rPr>
        <w:t xml:space="preserve"> de</w:t>
      </w:r>
      <w:r w:rsidRPr="002964A7">
        <w:rPr>
          <w:rFonts w:ascii="Verdana" w:eastAsia="MS Mincho" w:hAnsi="Verdana"/>
          <w:spacing w:val="-2"/>
          <w:sz w:val="20"/>
          <w:szCs w:val="20"/>
        </w:rPr>
        <w:t xml:space="preserve"> los recibos y demás documentos que justifiquen la procedencia de la reparación. Además, afirmó que los gastos solicitados por la organización Paz y Esperanza incluyen los montos desembolsados por motivo del desarrollo del proceso penal interno, los cuales no est</w:t>
      </w:r>
      <w:r>
        <w:rPr>
          <w:rFonts w:ascii="Verdana" w:eastAsia="MS Mincho" w:hAnsi="Verdana"/>
          <w:spacing w:val="-2"/>
          <w:sz w:val="20"/>
          <w:szCs w:val="20"/>
        </w:rPr>
        <w:t>a</w:t>
      </w:r>
      <w:r w:rsidRPr="002964A7">
        <w:rPr>
          <w:rFonts w:ascii="Verdana" w:eastAsia="MS Mincho" w:hAnsi="Verdana"/>
          <w:spacing w:val="-2"/>
          <w:sz w:val="20"/>
          <w:szCs w:val="20"/>
        </w:rPr>
        <w:t xml:space="preserve">rían contemplados como </w:t>
      </w:r>
      <w:r w:rsidRPr="002964A7">
        <w:rPr>
          <w:rFonts w:ascii="Verdana" w:hAnsi="Verdana" w:cs="Verdana"/>
          <w:spacing w:val="-2"/>
          <w:sz w:val="20"/>
          <w:szCs w:val="20"/>
        </w:rPr>
        <w:t>componentes</w:t>
      </w:r>
      <w:r w:rsidRPr="002964A7">
        <w:rPr>
          <w:rFonts w:ascii="Verdana" w:eastAsia="MS Mincho" w:hAnsi="Verdana"/>
          <w:spacing w:val="-2"/>
          <w:sz w:val="20"/>
          <w:szCs w:val="20"/>
        </w:rPr>
        <w:t xml:space="preserve"> de las costas y gastos dentro del proceso internacional. A</w:t>
      </w:r>
      <w:r>
        <w:rPr>
          <w:rFonts w:ascii="Verdana" w:eastAsia="MS Mincho" w:hAnsi="Verdana"/>
          <w:spacing w:val="-2"/>
          <w:sz w:val="20"/>
          <w:szCs w:val="20"/>
        </w:rPr>
        <w:t xml:space="preserve">l respecto, </w:t>
      </w:r>
      <w:r w:rsidRPr="002964A7">
        <w:rPr>
          <w:rFonts w:ascii="Verdana" w:eastAsia="MS Mincho" w:hAnsi="Verdana"/>
          <w:spacing w:val="-2"/>
          <w:sz w:val="20"/>
          <w:szCs w:val="20"/>
        </w:rPr>
        <w:t>recordó que entre 1995 y 2005 el proceso penal interno estuvo paralizado, por lo que no resulta</w:t>
      </w:r>
      <w:r>
        <w:rPr>
          <w:rFonts w:ascii="Verdana" w:eastAsia="MS Mincho" w:hAnsi="Verdana"/>
          <w:spacing w:val="-2"/>
          <w:sz w:val="20"/>
          <w:szCs w:val="20"/>
        </w:rPr>
        <w:t>ría</w:t>
      </w:r>
      <w:r w:rsidRPr="002964A7">
        <w:rPr>
          <w:rFonts w:ascii="Verdana" w:eastAsia="MS Mincho" w:hAnsi="Verdana"/>
          <w:spacing w:val="-2"/>
          <w:sz w:val="20"/>
          <w:szCs w:val="20"/>
        </w:rPr>
        <w:t xml:space="preserve"> correcto señalar que ha habido un litigio de 22 años, como si el mismo se hubiese dado de manera continua e ininterrumpida. Finalmente, afirmó que la organización Paz y Esperanza </w:t>
      </w:r>
      <w:r>
        <w:rPr>
          <w:rFonts w:ascii="Verdana" w:eastAsia="MS Mincho" w:hAnsi="Verdana"/>
          <w:spacing w:val="-2"/>
          <w:sz w:val="20"/>
          <w:szCs w:val="20"/>
        </w:rPr>
        <w:t>“</w:t>
      </w:r>
      <w:r w:rsidRPr="002964A7">
        <w:rPr>
          <w:rFonts w:ascii="Verdana" w:eastAsia="MS Mincho" w:hAnsi="Verdana"/>
          <w:spacing w:val="-2"/>
          <w:sz w:val="20"/>
          <w:szCs w:val="20"/>
        </w:rPr>
        <w:t>ha incluido un concepto de gastos operativos que hace referencia a judicialización de derechos humanos, defensa jurídica, difusión de casos emblemáticos y otros</w:t>
      </w:r>
      <w:r>
        <w:rPr>
          <w:rFonts w:ascii="Verdana" w:eastAsia="MS Mincho" w:hAnsi="Verdana"/>
          <w:spacing w:val="-2"/>
          <w:sz w:val="20"/>
          <w:szCs w:val="20"/>
        </w:rPr>
        <w:t>”</w:t>
      </w:r>
      <w:r w:rsidRPr="002964A7">
        <w:rPr>
          <w:rFonts w:ascii="Verdana" w:eastAsia="MS Mincho" w:hAnsi="Verdana"/>
          <w:spacing w:val="-2"/>
          <w:sz w:val="20"/>
          <w:szCs w:val="20"/>
        </w:rPr>
        <w:t>, sin explicar la vinculación que dichos montos tendrían con el presente caso.</w:t>
      </w:r>
      <w:r w:rsidRPr="00B90E4C">
        <w:rPr>
          <w:rFonts w:ascii="Verdana" w:eastAsia="MS Mincho" w:hAnsi="Verdana"/>
          <w:spacing w:val="-2"/>
          <w:sz w:val="20"/>
          <w:szCs w:val="20"/>
        </w:rPr>
        <w:t xml:space="preserve"> </w:t>
      </w:r>
      <w:r w:rsidRPr="00010B10">
        <w:rPr>
          <w:rFonts w:ascii="Verdana" w:eastAsia="MS Mincho" w:hAnsi="Verdana"/>
          <w:spacing w:val="-2"/>
          <w:sz w:val="20"/>
          <w:szCs w:val="20"/>
        </w:rPr>
        <w:t>En específico,</w:t>
      </w:r>
      <w:r>
        <w:rPr>
          <w:rFonts w:ascii="Verdana" w:eastAsia="MS Mincho" w:hAnsi="Verdana"/>
          <w:spacing w:val="-2"/>
          <w:sz w:val="20"/>
          <w:szCs w:val="20"/>
        </w:rPr>
        <w:t xml:space="preserve"> se opuso a los gastos relacionados con</w:t>
      </w:r>
      <w:r>
        <w:rPr>
          <w:rFonts w:ascii="Verdana" w:hAnsi="Verdana"/>
          <w:sz w:val="20"/>
          <w:szCs w:val="20"/>
          <w:lang w:val="es-MX"/>
        </w:rPr>
        <w:t xml:space="preserve"> el viaje de</w:t>
      </w:r>
      <w:r w:rsidRPr="005579E6">
        <w:rPr>
          <w:rFonts w:ascii="Verdana" w:hAnsi="Verdana"/>
          <w:sz w:val="20"/>
          <w:szCs w:val="20"/>
          <w:lang w:val="es-ES"/>
        </w:rPr>
        <w:t xml:space="preserve"> </w:t>
      </w:r>
      <w:r w:rsidRPr="005579E6">
        <w:rPr>
          <w:rFonts w:ascii="Verdana" w:hAnsi="Verdana"/>
          <w:sz w:val="20"/>
          <w:szCs w:val="20"/>
          <w:lang w:val="es-AR"/>
        </w:rPr>
        <w:t>Miryam Rebeca Rivera Holguín para asistir a la audiencia pública en el caso</w:t>
      </w:r>
      <w:r>
        <w:rPr>
          <w:rFonts w:ascii="Verdana" w:hAnsi="Verdana"/>
          <w:sz w:val="20"/>
          <w:szCs w:val="20"/>
          <w:lang w:val="es-AR"/>
        </w:rPr>
        <w:t xml:space="preserve">, así como a la noche adicional del señor </w:t>
      </w:r>
      <w:r w:rsidRPr="00962918">
        <w:rPr>
          <w:rFonts w:ascii="Verdana" w:hAnsi="Verdana" w:cs="Verdana"/>
          <w:sz w:val="20"/>
          <w:szCs w:val="20"/>
        </w:rPr>
        <w:t>Zenón Cirilo Osnayo Tunque</w:t>
      </w:r>
      <w:r>
        <w:rPr>
          <w:rFonts w:ascii="Verdana" w:hAnsi="Verdana" w:cs="Verdana"/>
          <w:sz w:val="20"/>
          <w:szCs w:val="20"/>
        </w:rPr>
        <w:t xml:space="preserve"> en Costa Rica derivado de su participación en la audiencia pública, </w:t>
      </w:r>
      <w:r w:rsidRPr="0044015F">
        <w:rPr>
          <w:rFonts w:ascii="Verdana" w:hAnsi="Verdana"/>
          <w:sz w:val="20"/>
          <w:szCs w:val="20"/>
          <w:lang w:val="es-AR"/>
        </w:rPr>
        <w:t>por no ser necesario</w:t>
      </w:r>
      <w:r>
        <w:rPr>
          <w:rFonts w:ascii="Verdana" w:hAnsi="Verdana"/>
          <w:sz w:val="20"/>
          <w:szCs w:val="20"/>
          <w:lang w:val="es-AR"/>
        </w:rPr>
        <w:t>,</w:t>
      </w:r>
      <w:r w:rsidRPr="0044015F">
        <w:rPr>
          <w:rFonts w:ascii="Verdana" w:hAnsi="Verdana"/>
          <w:sz w:val="20"/>
          <w:szCs w:val="20"/>
          <w:lang w:val="es-AR"/>
        </w:rPr>
        <w:t xml:space="preserve"> indispensable</w:t>
      </w:r>
      <w:r>
        <w:rPr>
          <w:rFonts w:ascii="Verdana" w:hAnsi="Verdana"/>
          <w:sz w:val="20"/>
          <w:szCs w:val="20"/>
          <w:lang w:val="es-AR"/>
        </w:rPr>
        <w:t xml:space="preserve"> ni razonable</w:t>
      </w:r>
      <w:r w:rsidRPr="0044015F">
        <w:rPr>
          <w:rFonts w:ascii="Verdana" w:hAnsi="Verdana"/>
          <w:sz w:val="20"/>
          <w:szCs w:val="20"/>
          <w:lang w:val="es-AR"/>
        </w:rPr>
        <w:t xml:space="preserve">. </w:t>
      </w:r>
      <w:r w:rsidRPr="0044015F">
        <w:rPr>
          <w:rFonts w:ascii="Verdana" w:eastAsia="MS Mincho" w:hAnsi="Verdana"/>
          <w:spacing w:val="-2"/>
          <w:sz w:val="20"/>
          <w:szCs w:val="20"/>
        </w:rPr>
        <w:t>Además, presentó observaciones detalladas respecto a los comprobantes que fueron remitidos por los representantes</w:t>
      </w:r>
      <w:r>
        <w:rPr>
          <w:rFonts w:ascii="Verdana" w:eastAsia="MS Mincho" w:hAnsi="Verdana"/>
          <w:spacing w:val="-2"/>
          <w:sz w:val="20"/>
          <w:szCs w:val="20"/>
        </w:rPr>
        <w:t xml:space="preserve"> y la conversión que hicieron de los gastos en moneda de soles y colones a dólares</w:t>
      </w:r>
      <w:r w:rsidRPr="0044015F">
        <w:rPr>
          <w:rFonts w:ascii="Verdana" w:eastAsia="MS Mincho" w:hAnsi="Verdana"/>
          <w:spacing w:val="-2"/>
          <w:sz w:val="20"/>
          <w:szCs w:val="20"/>
        </w:rPr>
        <w:t xml:space="preserve">, </w:t>
      </w:r>
      <w:r>
        <w:rPr>
          <w:rFonts w:ascii="Verdana" w:eastAsia="MS Mincho" w:hAnsi="Verdana"/>
          <w:spacing w:val="-2"/>
          <w:sz w:val="20"/>
          <w:szCs w:val="20"/>
        </w:rPr>
        <w:t>así como</w:t>
      </w:r>
      <w:r w:rsidRPr="004839AF">
        <w:rPr>
          <w:rFonts w:ascii="Verdana" w:eastAsia="MS Mincho" w:hAnsi="Verdana"/>
          <w:spacing w:val="-2"/>
          <w:sz w:val="20"/>
          <w:szCs w:val="20"/>
        </w:rPr>
        <w:t xml:space="preserve"> recordó que los gastos deben estar directamente relacionados con el caso y el desarrollo del proceso en sí mismo, quedando excluidos los montos que no correspondan y/o no se vinculen estrictamente al caso en concreto.</w:t>
      </w:r>
    </w:p>
    <w:p w:rsidR="00AB496F" w:rsidRPr="0049269B" w:rsidRDefault="00AB496F" w:rsidP="00AB496F">
      <w:pPr>
        <w:spacing w:after="0" w:line="240" w:lineRule="auto"/>
        <w:jc w:val="both"/>
        <w:rPr>
          <w:rFonts w:ascii="Verdana" w:eastAsia="Calibri" w:hAnsi="Verdana"/>
          <w:spacing w:val="-2"/>
          <w:sz w:val="16"/>
          <w:szCs w:val="20"/>
        </w:rPr>
      </w:pPr>
    </w:p>
    <w:p w:rsidR="00AB496F" w:rsidRPr="002964A7" w:rsidRDefault="00AB496F" w:rsidP="00AB496F">
      <w:pPr>
        <w:spacing w:after="0" w:line="240" w:lineRule="auto"/>
        <w:ind w:firstLine="720"/>
        <w:jc w:val="both"/>
        <w:rPr>
          <w:rFonts w:ascii="Verdana" w:hAnsi="Verdana" w:cs="Arial"/>
          <w:i/>
          <w:spacing w:val="-2"/>
          <w:sz w:val="20"/>
          <w:szCs w:val="20"/>
        </w:rPr>
      </w:pPr>
      <w:r w:rsidRPr="002964A7">
        <w:rPr>
          <w:rFonts w:ascii="Verdana" w:hAnsi="Verdana" w:cs="Arial"/>
          <w:i/>
          <w:spacing w:val="-2"/>
          <w:sz w:val="20"/>
          <w:szCs w:val="20"/>
        </w:rPr>
        <w:t>Consideraciones de la Corte</w:t>
      </w:r>
    </w:p>
    <w:p w:rsidR="00AB496F" w:rsidRPr="0049269B" w:rsidRDefault="00AB496F" w:rsidP="00AB496F">
      <w:pPr>
        <w:spacing w:after="0" w:line="240" w:lineRule="auto"/>
        <w:jc w:val="both"/>
        <w:rPr>
          <w:rFonts w:ascii="Verdana" w:eastAsia="Calibri" w:hAnsi="Verdana"/>
          <w:spacing w:val="-2"/>
          <w:sz w:val="16"/>
          <w:szCs w:val="20"/>
        </w:rPr>
      </w:pPr>
    </w:p>
    <w:p w:rsidR="00AB496F"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pacing w:val="-2"/>
          <w:sz w:val="20"/>
          <w:szCs w:val="20"/>
        </w:rPr>
      </w:pPr>
      <w:r w:rsidRPr="002964A7">
        <w:rPr>
          <w:rFonts w:ascii="Verdana" w:eastAsia="MS Mincho" w:hAnsi="Verdana"/>
          <w:spacing w:val="-2"/>
          <w:sz w:val="20"/>
          <w:szCs w:val="20"/>
        </w:rPr>
        <w:t xml:space="preserve">La Corte reitera que, conforme a su jurisprudencia, las costas y gastos hacen parte del concepto de reparación, toda vez que las actividades desplegadas por las víctimas con el fin de obtener justicia, tanto a nivel </w:t>
      </w:r>
      <w:r w:rsidRPr="002964A7">
        <w:rPr>
          <w:rFonts w:ascii="Verdana" w:hAnsi="Verdana"/>
          <w:spacing w:val="-2"/>
          <w:sz w:val="20"/>
          <w:szCs w:val="20"/>
        </w:rPr>
        <w:t>nacional</w:t>
      </w:r>
      <w:r w:rsidRPr="002964A7">
        <w:rPr>
          <w:rFonts w:ascii="Verdana" w:eastAsia="MS Mincho" w:hAnsi="Verdana"/>
          <w:spacing w:val="-2"/>
          <w:sz w:val="20"/>
          <w:szCs w:val="20"/>
        </w:rPr>
        <w:t xml:space="preserve"> como internacional, implican erogaciones que deben ser compensadas cuando la responsabilidad internacional del Estado es declarada mediante una </w:t>
      </w:r>
      <w:r w:rsidRPr="002964A7">
        <w:rPr>
          <w:rFonts w:ascii="Verdana" w:hAnsi="Verdana" w:cs="Verdana"/>
          <w:spacing w:val="-2"/>
          <w:sz w:val="20"/>
          <w:szCs w:val="20"/>
        </w:rPr>
        <w:t>sentencia</w:t>
      </w:r>
      <w:r w:rsidRPr="002964A7">
        <w:rPr>
          <w:rFonts w:ascii="Verdana" w:eastAsia="MS Mincho" w:hAnsi="Verdana"/>
          <w:spacing w:val="-2"/>
          <w:sz w:val="20"/>
          <w:szCs w:val="20"/>
        </w:rPr>
        <w:t xml:space="preserve"> condenatoria. En cuanto al reembolso de gastos, corresponde a la Corte apreciar prudentemente su alcance, el cual comprende los gastos generados ante las </w:t>
      </w:r>
      <w:r w:rsidRPr="002964A7">
        <w:rPr>
          <w:rFonts w:ascii="Verdana" w:hAnsi="Verdana" w:cs="Verdana"/>
          <w:spacing w:val="-2"/>
          <w:sz w:val="20"/>
          <w:szCs w:val="20"/>
        </w:rPr>
        <w:t>autoridades</w:t>
      </w:r>
      <w:r w:rsidRPr="002964A7">
        <w:rPr>
          <w:rFonts w:ascii="Verdana" w:eastAsia="MS Mincho" w:hAnsi="Verdana"/>
          <w:spacing w:val="-2"/>
          <w:sz w:val="20"/>
          <w:szCs w:val="20"/>
        </w:rPr>
        <w:t xml:space="preserve"> de la jurisdicción interna, así como los generados en el curso del proceso ante el sistema interamericano, teniendo en cuenta las circunstancias del caso concreto y la naturaleza de la jurisdicción internacional de </w:t>
      </w:r>
      <w:r w:rsidRPr="002964A7">
        <w:rPr>
          <w:rFonts w:ascii="Verdana" w:hAnsi="Verdana"/>
          <w:spacing w:val="-2"/>
          <w:sz w:val="20"/>
          <w:szCs w:val="20"/>
        </w:rPr>
        <w:t>protección</w:t>
      </w:r>
      <w:r w:rsidRPr="002964A7">
        <w:rPr>
          <w:rFonts w:ascii="Verdana" w:eastAsia="MS Mincho" w:hAnsi="Verdana"/>
          <w:spacing w:val="-2"/>
          <w:sz w:val="20"/>
          <w:szCs w:val="20"/>
        </w:rPr>
        <w:t xml:space="preserve"> de los derechos humanos. Esta apreciación puede ser realizada con base en el principio de equidad y tomando en cuenta los gastos señalados por las partes, siempre que su </w:t>
      </w:r>
      <w:r w:rsidRPr="002964A7">
        <w:rPr>
          <w:rFonts w:ascii="Verdana" w:eastAsia="MS Mincho" w:hAnsi="Verdana"/>
          <w:i/>
          <w:spacing w:val="-2"/>
          <w:sz w:val="20"/>
          <w:szCs w:val="20"/>
        </w:rPr>
        <w:t>quantum</w:t>
      </w:r>
      <w:r w:rsidRPr="002964A7">
        <w:rPr>
          <w:rFonts w:ascii="Verdana" w:eastAsia="MS Mincho" w:hAnsi="Verdana"/>
          <w:spacing w:val="-2"/>
          <w:sz w:val="20"/>
          <w:szCs w:val="20"/>
        </w:rPr>
        <w:t xml:space="preserve"> sea razonable</w:t>
      </w:r>
      <w:r w:rsidRPr="002964A7">
        <w:rPr>
          <w:rFonts w:ascii="Verdana" w:eastAsia="MS Mincho" w:hAnsi="Verdana"/>
          <w:spacing w:val="-2"/>
          <w:sz w:val="20"/>
          <w:szCs w:val="20"/>
          <w:vertAlign w:val="superscript"/>
        </w:rPr>
        <w:footnoteReference w:id="382"/>
      </w:r>
      <w:r w:rsidRPr="002964A7">
        <w:rPr>
          <w:rFonts w:ascii="Verdana" w:eastAsia="MS Mincho" w:hAnsi="Verdana"/>
          <w:spacing w:val="-2"/>
          <w:sz w:val="20"/>
          <w:szCs w:val="20"/>
        </w:rPr>
        <w:t xml:space="preserve">. Como ha señalado en otras ocasiones, la Corte recuerda que no es suficiente la remisión de documentos probatorios, sino que se requiere que las partes hagan una argumentación que relacione la prueba con el hecho que se considera representado, y que, al tratarse de </w:t>
      </w:r>
      <w:r w:rsidRPr="002964A7">
        <w:rPr>
          <w:rFonts w:ascii="Verdana" w:eastAsia="MS Mincho" w:hAnsi="Verdana"/>
          <w:spacing w:val="-2"/>
          <w:sz w:val="20"/>
          <w:szCs w:val="20"/>
        </w:rPr>
        <w:lastRenderedPageBreak/>
        <w:t>alegados desembolsos económicos, se establezca con claridad los rubros y la justificación de los mismos</w:t>
      </w:r>
      <w:r w:rsidRPr="002964A7">
        <w:rPr>
          <w:rFonts w:ascii="Verdana" w:eastAsia="MS Mincho" w:hAnsi="Verdana"/>
          <w:spacing w:val="-2"/>
          <w:sz w:val="20"/>
          <w:szCs w:val="20"/>
          <w:vertAlign w:val="superscript"/>
        </w:rPr>
        <w:footnoteReference w:id="383"/>
      </w:r>
      <w:r w:rsidRPr="002964A7">
        <w:rPr>
          <w:rFonts w:ascii="Verdana" w:eastAsia="MS Mincho" w:hAnsi="Verdana"/>
          <w:spacing w:val="-2"/>
          <w:sz w:val="20"/>
          <w:szCs w:val="20"/>
        </w:rPr>
        <w:t>.</w:t>
      </w:r>
    </w:p>
    <w:p w:rsidR="00AB496F" w:rsidRPr="002964A7" w:rsidRDefault="00AB496F" w:rsidP="00AB496F">
      <w:pPr>
        <w:pStyle w:val="ListParagraph"/>
        <w:autoSpaceDE w:val="0"/>
        <w:autoSpaceDN w:val="0"/>
        <w:adjustRightInd w:val="0"/>
        <w:spacing w:after="0" w:line="240" w:lineRule="auto"/>
        <w:ind w:left="0"/>
        <w:jc w:val="both"/>
        <w:rPr>
          <w:rFonts w:ascii="Verdana" w:eastAsia="MS Mincho" w:hAnsi="Verdana"/>
          <w:spacing w:val="-2"/>
          <w:sz w:val="20"/>
          <w:szCs w:val="20"/>
        </w:rPr>
      </w:pPr>
    </w:p>
    <w:p w:rsidR="00AB496F" w:rsidRPr="00DF25F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z w:val="20"/>
          <w:szCs w:val="20"/>
        </w:rPr>
      </w:pPr>
      <w:r w:rsidRPr="00DE680A">
        <w:rPr>
          <w:rFonts w:ascii="Verdana" w:eastAsia="MS Mincho" w:hAnsi="Verdana" w:cs="Times New Roman"/>
          <w:sz w:val="20"/>
          <w:szCs w:val="20"/>
        </w:rPr>
        <w:t>En cuanto a la prueba relativa a las erogaciones económicas realizadas, el Tribunal constató lo siguiente: a) algunos comprobantes de pago presentan un concepto de gasto que no se vincula de manera clara y precisa con el presente caso; b) algunos comprobantes no presentan un concepto de gasto específico</w:t>
      </w:r>
      <w:r>
        <w:rPr>
          <w:rFonts w:ascii="Verdana" w:eastAsia="MS Mincho" w:hAnsi="Verdana" w:cs="Times New Roman"/>
          <w:sz w:val="20"/>
          <w:szCs w:val="20"/>
        </w:rPr>
        <w:t>, y</w:t>
      </w:r>
      <w:r w:rsidRPr="00E97E29">
        <w:rPr>
          <w:rFonts w:ascii="Verdana" w:eastAsia="MS Mincho" w:hAnsi="Verdana" w:cs="Times New Roman"/>
          <w:sz w:val="20"/>
          <w:szCs w:val="20"/>
        </w:rPr>
        <w:t xml:space="preserve"> c) </w:t>
      </w:r>
      <w:r w:rsidRPr="00E97E29">
        <w:rPr>
          <w:rFonts w:ascii="Verdana" w:hAnsi="Verdana"/>
          <w:sz w:val="20"/>
          <w:szCs w:val="20"/>
          <w:lang w:val="es-MX"/>
        </w:rPr>
        <w:t>algunos recibos de pago se encuentran ilegibl</w:t>
      </w:r>
      <w:r w:rsidRPr="00E25ECE">
        <w:rPr>
          <w:rFonts w:ascii="Verdana" w:hAnsi="Verdana"/>
          <w:sz w:val="20"/>
          <w:szCs w:val="20"/>
          <w:lang w:val="es-MX"/>
        </w:rPr>
        <w:t>es</w:t>
      </w:r>
      <w:r>
        <w:rPr>
          <w:rFonts w:ascii="Verdana" w:hAnsi="Verdana"/>
          <w:sz w:val="20"/>
          <w:szCs w:val="20"/>
          <w:lang w:val="es-MX"/>
        </w:rPr>
        <w:t xml:space="preserve"> o con tachaduras</w:t>
      </w:r>
      <w:r w:rsidRPr="00E25ECE">
        <w:rPr>
          <w:rFonts w:ascii="Verdana" w:hAnsi="Verdana"/>
          <w:sz w:val="20"/>
          <w:szCs w:val="20"/>
          <w:lang w:val="es-MX"/>
        </w:rPr>
        <w:t xml:space="preserve"> sin que de ellos se desprenda la fecha</w:t>
      </w:r>
      <w:r>
        <w:rPr>
          <w:rFonts w:ascii="Verdana" w:hAnsi="Verdana"/>
          <w:sz w:val="20"/>
          <w:szCs w:val="20"/>
          <w:lang w:val="es-MX"/>
        </w:rPr>
        <w:t>, el concepto de</w:t>
      </w:r>
      <w:r w:rsidRPr="00E25ECE">
        <w:rPr>
          <w:rFonts w:ascii="Verdana" w:hAnsi="Verdana"/>
          <w:sz w:val="20"/>
          <w:szCs w:val="20"/>
          <w:lang w:val="es-MX"/>
        </w:rPr>
        <w:t xml:space="preserve"> gastos </w:t>
      </w:r>
      <w:r>
        <w:rPr>
          <w:rFonts w:ascii="Verdana" w:hAnsi="Verdana"/>
          <w:sz w:val="20"/>
          <w:szCs w:val="20"/>
          <w:lang w:val="es-MX"/>
        </w:rPr>
        <w:t xml:space="preserve">o </w:t>
      </w:r>
      <w:r w:rsidRPr="00E25ECE">
        <w:rPr>
          <w:rFonts w:ascii="Verdana" w:hAnsi="Verdana"/>
          <w:sz w:val="20"/>
          <w:szCs w:val="20"/>
          <w:lang w:val="es-MX"/>
        </w:rPr>
        <w:t>la cantidad económica que se pretende probar</w:t>
      </w:r>
      <w:r w:rsidRPr="005579E6">
        <w:rPr>
          <w:rFonts w:ascii="Verdana" w:eastAsia="MS Mincho" w:hAnsi="Verdana"/>
          <w:sz w:val="20"/>
          <w:szCs w:val="20"/>
        </w:rPr>
        <w:t xml:space="preserve">. </w:t>
      </w:r>
      <w:r w:rsidRPr="005579E6">
        <w:rPr>
          <w:rFonts w:ascii="Verdana" w:eastAsia="MS Mincho" w:hAnsi="Verdana" w:cs="Times New Roman"/>
          <w:sz w:val="20"/>
          <w:szCs w:val="20"/>
        </w:rPr>
        <w:t>Dichos conceptos han sido equitativamente deducidos del cálculo establecido por este Tribunal.</w:t>
      </w:r>
      <w:r w:rsidRPr="003844A8">
        <w:rPr>
          <w:rFonts w:ascii="Verdana" w:eastAsia="MS Mincho" w:hAnsi="Verdana" w:cs="Times New Roman"/>
          <w:sz w:val="20"/>
          <w:szCs w:val="20"/>
        </w:rPr>
        <w:t xml:space="preserve"> </w:t>
      </w:r>
      <w:r>
        <w:rPr>
          <w:rFonts w:ascii="Verdana" w:eastAsia="MS Mincho" w:hAnsi="Verdana"/>
          <w:sz w:val="20"/>
          <w:szCs w:val="20"/>
        </w:rPr>
        <w:t>Por otro lado</w:t>
      </w:r>
      <w:r w:rsidRPr="003844A8">
        <w:rPr>
          <w:rFonts w:ascii="Verdana" w:eastAsia="MS Mincho" w:hAnsi="Verdana"/>
          <w:sz w:val="20"/>
          <w:szCs w:val="20"/>
        </w:rPr>
        <w:t xml:space="preserve">, </w:t>
      </w:r>
      <w:r w:rsidRPr="00E25ECE">
        <w:rPr>
          <w:rFonts w:ascii="Verdana" w:hAnsi="Verdana"/>
          <w:sz w:val="20"/>
          <w:szCs w:val="20"/>
          <w:lang w:val="es-MX"/>
        </w:rPr>
        <w:t>algunos recibos de pago se refieren a</w:t>
      </w:r>
      <w:r w:rsidRPr="00E25ECE">
        <w:rPr>
          <w:rFonts w:ascii="Verdana" w:hAnsi="Verdana"/>
          <w:sz w:val="20"/>
          <w:szCs w:val="20"/>
          <w:lang w:val="es-ES"/>
        </w:rPr>
        <w:t xml:space="preserve"> gastos de hospedaje, </w:t>
      </w:r>
      <w:r w:rsidRPr="004F30AB">
        <w:rPr>
          <w:rFonts w:ascii="Verdana" w:hAnsi="Verdana"/>
          <w:sz w:val="20"/>
          <w:szCs w:val="20"/>
          <w:lang w:val="es-ES"/>
        </w:rPr>
        <w:t>alimentaci</w:t>
      </w:r>
      <w:r w:rsidRPr="005528E5">
        <w:rPr>
          <w:rFonts w:ascii="Verdana" w:hAnsi="Verdana"/>
          <w:sz w:val="20"/>
          <w:szCs w:val="20"/>
          <w:lang w:val="es-ES"/>
        </w:rPr>
        <w:t>ón y</w:t>
      </w:r>
      <w:r w:rsidRPr="005579E6">
        <w:rPr>
          <w:rFonts w:ascii="Verdana" w:hAnsi="Verdana"/>
          <w:sz w:val="20"/>
          <w:szCs w:val="20"/>
          <w:lang w:val="es-ES"/>
        </w:rPr>
        <w:t xml:space="preserve"> movilidad de </w:t>
      </w:r>
      <w:r w:rsidRPr="005579E6">
        <w:rPr>
          <w:rFonts w:ascii="Verdana" w:hAnsi="Verdana"/>
          <w:sz w:val="20"/>
          <w:szCs w:val="20"/>
          <w:lang w:val="es-AR"/>
        </w:rPr>
        <w:t>Miryam Rebeca Rivera Holguín para asistir a la audiencia pública en el presente caso</w:t>
      </w:r>
      <w:r>
        <w:rPr>
          <w:rFonts w:ascii="Verdana" w:hAnsi="Verdana"/>
          <w:sz w:val="20"/>
          <w:szCs w:val="20"/>
          <w:lang w:val="es-AR"/>
        </w:rPr>
        <w:t xml:space="preserve">, sin que los representantes hayan presentado argumentación alguna respecto a las razones de su asistencia, teniendo en cuenta que su dictamen pericial fue recibido mediante </w:t>
      </w:r>
      <w:r w:rsidRPr="002964A7">
        <w:rPr>
          <w:rFonts w:ascii="Verdana" w:eastAsia="Calibri" w:hAnsi="Verdana"/>
          <w:spacing w:val="-2"/>
          <w:sz w:val="20"/>
          <w:szCs w:val="20"/>
        </w:rPr>
        <w:t xml:space="preserve">fedatario </w:t>
      </w:r>
      <w:r w:rsidRPr="00455894">
        <w:rPr>
          <w:rFonts w:ascii="Verdana" w:eastAsia="Calibri" w:hAnsi="Verdana"/>
          <w:spacing w:val="-2"/>
          <w:sz w:val="20"/>
          <w:szCs w:val="20"/>
        </w:rPr>
        <w:t xml:space="preserve">público. Respecto al </w:t>
      </w:r>
      <w:r w:rsidRPr="00455894">
        <w:rPr>
          <w:rFonts w:ascii="Verdana" w:hAnsi="Verdana"/>
          <w:sz w:val="20"/>
          <w:szCs w:val="20"/>
          <w:lang w:val="es-ES"/>
        </w:rPr>
        <w:t xml:space="preserve">día adicional </w:t>
      </w:r>
      <w:r w:rsidRPr="00796E5D">
        <w:rPr>
          <w:rFonts w:ascii="Verdana" w:hAnsi="Verdana"/>
          <w:sz w:val="20"/>
          <w:szCs w:val="20"/>
          <w:lang w:val="es-ES"/>
        </w:rPr>
        <w:t xml:space="preserve">del señor </w:t>
      </w:r>
      <w:r w:rsidRPr="00796E5D">
        <w:rPr>
          <w:rFonts w:ascii="Verdana" w:hAnsi="Verdana" w:cs="Verdana"/>
          <w:sz w:val="20"/>
          <w:szCs w:val="20"/>
        </w:rPr>
        <w:t>Zenón Cirilo Osnayo Tunque</w:t>
      </w:r>
      <w:r w:rsidRPr="00455894">
        <w:rPr>
          <w:rFonts w:ascii="Verdana" w:hAnsi="Verdana"/>
          <w:sz w:val="20"/>
          <w:szCs w:val="20"/>
          <w:lang w:val="es-ES"/>
        </w:rPr>
        <w:t xml:space="preserve"> para asistir a la audiencia celebrada ante la Corte</w:t>
      </w:r>
      <w:r w:rsidRPr="00455894">
        <w:rPr>
          <w:rFonts w:ascii="Verdana" w:hAnsi="Verdana" w:cs="Verdana"/>
          <w:sz w:val="20"/>
          <w:szCs w:val="20"/>
        </w:rPr>
        <w:t xml:space="preserve">, los representantes no </w:t>
      </w:r>
      <w:r>
        <w:rPr>
          <w:rFonts w:ascii="Verdana" w:hAnsi="Verdana" w:cs="Verdana"/>
          <w:sz w:val="20"/>
          <w:szCs w:val="20"/>
        </w:rPr>
        <w:t xml:space="preserve">señalaron la razón </w:t>
      </w:r>
      <w:r w:rsidRPr="00455894">
        <w:rPr>
          <w:rFonts w:ascii="Verdana" w:hAnsi="Verdana" w:cs="Verdana"/>
          <w:sz w:val="20"/>
          <w:szCs w:val="20"/>
        </w:rPr>
        <w:t xml:space="preserve">por </w:t>
      </w:r>
      <w:r>
        <w:rPr>
          <w:rFonts w:ascii="Verdana" w:hAnsi="Verdana" w:cs="Verdana"/>
          <w:sz w:val="20"/>
          <w:szCs w:val="20"/>
        </w:rPr>
        <w:t>l</w:t>
      </w:r>
      <w:r w:rsidRPr="00455894">
        <w:rPr>
          <w:rFonts w:ascii="Verdana" w:hAnsi="Verdana" w:cs="Verdana"/>
          <w:sz w:val="20"/>
          <w:szCs w:val="20"/>
        </w:rPr>
        <w:t>a cual fue necesario erogar dicho gasto más allá de lo cubierto por el Fondo de Asistencia de Víctimas</w:t>
      </w:r>
      <w:r w:rsidRPr="00455894">
        <w:rPr>
          <w:rFonts w:ascii="Verdana" w:eastAsia="Calibri" w:hAnsi="Verdana"/>
          <w:spacing w:val="-2"/>
          <w:sz w:val="20"/>
          <w:szCs w:val="20"/>
        </w:rPr>
        <w:t xml:space="preserve"> (</w:t>
      </w:r>
      <w:r>
        <w:rPr>
          <w:rFonts w:ascii="Verdana" w:eastAsia="Calibri" w:hAnsi="Verdana"/>
          <w:i/>
          <w:spacing w:val="-2"/>
          <w:sz w:val="20"/>
          <w:szCs w:val="20"/>
        </w:rPr>
        <w:t>infra</w:t>
      </w:r>
      <w:r w:rsidRPr="00455894">
        <w:rPr>
          <w:rFonts w:ascii="Verdana" w:eastAsia="Calibri" w:hAnsi="Verdana"/>
          <w:spacing w:val="-2"/>
          <w:sz w:val="20"/>
          <w:szCs w:val="20"/>
        </w:rPr>
        <w:t xml:space="preserve"> párrs. </w:t>
      </w:r>
      <w:r>
        <w:rPr>
          <w:rFonts w:ascii="Verdana" w:eastAsia="Calibri" w:hAnsi="Verdana"/>
          <w:spacing w:val="-2"/>
          <w:sz w:val="20"/>
          <w:szCs w:val="20"/>
        </w:rPr>
        <w:t>351 a 356</w:t>
      </w:r>
      <w:r w:rsidRPr="00455894">
        <w:rPr>
          <w:rFonts w:ascii="Verdana" w:eastAsia="Calibri" w:hAnsi="Verdana"/>
          <w:spacing w:val="-2"/>
          <w:sz w:val="20"/>
          <w:szCs w:val="20"/>
        </w:rPr>
        <w:t>).</w:t>
      </w:r>
      <w:r w:rsidRPr="00455894">
        <w:rPr>
          <w:rFonts w:ascii="Verdana" w:eastAsia="Batang" w:hAnsi="Verdana"/>
          <w:spacing w:val="-2"/>
          <w:sz w:val="20"/>
          <w:szCs w:val="20"/>
        </w:rPr>
        <w:t xml:space="preserve"> Además, </w:t>
      </w:r>
      <w:r w:rsidRPr="00455894">
        <w:rPr>
          <w:rFonts w:ascii="Verdana" w:eastAsia="MS Mincho" w:hAnsi="Verdana"/>
          <w:sz w:val="20"/>
          <w:szCs w:val="20"/>
        </w:rPr>
        <w:t xml:space="preserve">los representantes remitieron </w:t>
      </w:r>
      <w:r w:rsidRPr="00455894">
        <w:rPr>
          <w:rFonts w:ascii="Verdana" w:hAnsi="Verdana"/>
          <w:spacing w:val="-2"/>
          <w:sz w:val="20"/>
          <w:szCs w:val="20"/>
        </w:rPr>
        <w:t>documentos internos de CEJIL en los que se detallan gastos</w:t>
      </w:r>
      <w:r w:rsidRPr="006B2E74">
        <w:rPr>
          <w:rFonts w:ascii="Verdana" w:hAnsi="Verdana"/>
          <w:spacing w:val="-2"/>
          <w:sz w:val="20"/>
          <w:szCs w:val="20"/>
        </w:rPr>
        <w:t>, sin acompañar un comprobante de pago</w:t>
      </w:r>
      <w:r w:rsidRPr="002562FD">
        <w:rPr>
          <w:rFonts w:ascii="Verdana" w:hAnsi="Verdana"/>
          <w:spacing w:val="-2"/>
          <w:sz w:val="20"/>
          <w:szCs w:val="20"/>
        </w:rPr>
        <w:t xml:space="preserve"> al respecto</w:t>
      </w:r>
      <w:r>
        <w:rPr>
          <w:rFonts w:ascii="Verdana" w:hAnsi="Verdana"/>
          <w:spacing w:val="-2"/>
          <w:sz w:val="20"/>
          <w:szCs w:val="20"/>
        </w:rPr>
        <w:t xml:space="preserve">. Los recibos de pago y documentos mencionados </w:t>
      </w:r>
      <w:r w:rsidRPr="00F742BB">
        <w:rPr>
          <w:rFonts w:ascii="Verdana" w:eastAsia="Batang" w:hAnsi="Verdana"/>
          <w:spacing w:val="-2"/>
          <w:sz w:val="20"/>
          <w:szCs w:val="20"/>
        </w:rPr>
        <w:t xml:space="preserve">no </w:t>
      </w:r>
      <w:r>
        <w:rPr>
          <w:rFonts w:ascii="Verdana" w:eastAsia="Batang" w:hAnsi="Verdana"/>
          <w:spacing w:val="-2"/>
          <w:sz w:val="20"/>
          <w:szCs w:val="20"/>
        </w:rPr>
        <w:t xml:space="preserve">han sido </w:t>
      </w:r>
      <w:r w:rsidRPr="00F742BB">
        <w:rPr>
          <w:rFonts w:ascii="Verdana" w:eastAsia="Batang" w:hAnsi="Verdana"/>
          <w:spacing w:val="-2"/>
          <w:sz w:val="20"/>
          <w:szCs w:val="20"/>
        </w:rPr>
        <w:t>considerados por la Corte</w:t>
      </w:r>
      <w:r>
        <w:rPr>
          <w:rFonts w:ascii="Verdana" w:eastAsia="Batang" w:hAnsi="Verdana"/>
          <w:spacing w:val="-2"/>
          <w:sz w:val="20"/>
          <w:szCs w:val="20"/>
        </w:rPr>
        <w:t>.</w:t>
      </w:r>
    </w:p>
    <w:p w:rsidR="00AB496F" w:rsidRDefault="00AB496F" w:rsidP="00AB496F">
      <w:pPr>
        <w:pStyle w:val="ListParagraph"/>
        <w:autoSpaceDE w:val="0"/>
        <w:autoSpaceDN w:val="0"/>
        <w:adjustRightInd w:val="0"/>
        <w:spacing w:after="0" w:line="240" w:lineRule="auto"/>
        <w:ind w:left="0"/>
        <w:jc w:val="both"/>
        <w:rPr>
          <w:rFonts w:ascii="Verdana" w:eastAsia="MS Mincho" w:hAnsi="Verdana"/>
          <w:sz w:val="20"/>
          <w:szCs w:val="20"/>
        </w:rPr>
      </w:pPr>
    </w:p>
    <w:p w:rsidR="00AB496F" w:rsidRPr="006B2E74"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z w:val="20"/>
          <w:szCs w:val="20"/>
        </w:rPr>
      </w:pPr>
      <w:r>
        <w:rPr>
          <w:rFonts w:ascii="Verdana" w:hAnsi="Verdana"/>
          <w:sz w:val="20"/>
          <w:szCs w:val="20"/>
        </w:rPr>
        <w:t>L</w:t>
      </w:r>
      <w:r w:rsidRPr="00DF25F7">
        <w:rPr>
          <w:rFonts w:ascii="Verdana" w:hAnsi="Verdana" w:cs="Verdana"/>
          <w:spacing w:val="-2"/>
          <w:sz w:val="20"/>
          <w:szCs w:val="20"/>
        </w:rPr>
        <w:t>a</w:t>
      </w:r>
      <w:r>
        <w:rPr>
          <w:rFonts w:ascii="Verdana" w:eastAsia="MS Mincho" w:hAnsi="Verdana"/>
          <w:sz w:val="20"/>
          <w:szCs w:val="20"/>
        </w:rPr>
        <w:t xml:space="preserve"> </w:t>
      </w:r>
      <w:r w:rsidRPr="00DF25F7">
        <w:rPr>
          <w:rFonts w:ascii="Verdana" w:hAnsi="Verdana" w:cs="Verdana"/>
          <w:spacing w:val="-2"/>
          <w:sz w:val="20"/>
          <w:szCs w:val="20"/>
        </w:rPr>
        <w:t>Corte constató que la Asociación Paz y Esperanza no presentó comprobantes relacionados con las costas y gastos</w:t>
      </w:r>
      <w:r>
        <w:rPr>
          <w:rFonts w:ascii="Verdana" w:hAnsi="Verdana" w:cs="Verdana"/>
          <w:spacing w:val="-2"/>
          <w:sz w:val="20"/>
          <w:szCs w:val="20"/>
        </w:rPr>
        <w:t xml:space="preserve"> </w:t>
      </w:r>
      <w:r w:rsidRPr="00CE78DF">
        <w:rPr>
          <w:rFonts w:ascii="Verdana" w:hAnsi="Verdana" w:cs="Verdana"/>
          <w:spacing w:val="-2"/>
          <w:sz w:val="20"/>
          <w:szCs w:val="20"/>
        </w:rPr>
        <w:t>más allá de los que se refieren a</w:t>
      </w:r>
      <w:r w:rsidRPr="007B69BB">
        <w:rPr>
          <w:rFonts w:ascii="Verdana" w:hAnsi="Verdana" w:cs="Verdana"/>
          <w:spacing w:val="-2"/>
          <w:sz w:val="20"/>
          <w:szCs w:val="20"/>
        </w:rPr>
        <w:t xml:space="preserve"> </w:t>
      </w:r>
      <w:r>
        <w:rPr>
          <w:rFonts w:ascii="Verdana" w:hAnsi="Verdana" w:cs="Verdana"/>
          <w:spacing w:val="-2"/>
          <w:sz w:val="20"/>
          <w:szCs w:val="20"/>
        </w:rPr>
        <w:t xml:space="preserve">su asistencia </w:t>
      </w:r>
      <w:r w:rsidRPr="00CE78DF">
        <w:rPr>
          <w:rFonts w:ascii="Verdana" w:hAnsi="Verdana" w:cs="Verdana"/>
          <w:spacing w:val="-2"/>
          <w:sz w:val="20"/>
          <w:szCs w:val="20"/>
        </w:rPr>
        <w:t>a la audiencia pública celebrada en la sede del Tribunal</w:t>
      </w:r>
      <w:r>
        <w:rPr>
          <w:rFonts w:ascii="Verdana" w:hAnsi="Verdana" w:cs="Verdana"/>
          <w:spacing w:val="-2"/>
          <w:sz w:val="20"/>
          <w:szCs w:val="20"/>
        </w:rPr>
        <w:t xml:space="preserve">. Además, </w:t>
      </w:r>
      <w:r w:rsidRPr="00502506">
        <w:rPr>
          <w:rFonts w:ascii="Verdana" w:hAnsi="Verdana"/>
          <w:sz w:val="20"/>
          <w:szCs w:val="20"/>
          <w:lang w:val="es-ES"/>
        </w:rPr>
        <w:t>incorporaron comprobantes que se refieren a gastos adicionales a los cubiertos por el Fondo de Asistencia Legal</w:t>
      </w:r>
      <w:r>
        <w:rPr>
          <w:rFonts w:ascii="Verdana" w:hAnsi="Verdana"/>
          <w:sz w:val="20"/>
          <w:szCs w:val="20"/>
          <w:lang w:val="es-ES"/>
        </w:rPr>
        <w:t xml:space="preserve"> </w:t>
      </w:r>
      <w:r w:rsidRPr="002964A7">
        <w:rPr>
          <w:rFonts w:ascii="Verdana" w:hAnsi="Verdana"/>
          <w:spacing w:val="-2"/>
          <w:sz w:val="20"/>
          <w:szCs w:val="20"/>
          <w:lang w:eastAsia="es-ES"/>
        </w:rPr>
        <w:t xml:space="preserve">de Víctimas de la Corte Interamericana </w:t>
      </w:r>
      <w:r w:rsidRPr="00502506">
        <w:rPr>
          <w:rFonts w:ascii="Verdana" w:hAnsi="Verdana"/>
          <w:sz w:val="20"/>
          <w:szCs w:val="20"/>
          <w:lang w:val="es-ES"/>
        </w:rPr>
        <w:t xml:space="preserve">por concepto de hospedaje, alimentación y movilidad en Lima y Huancavelica para la elaboración del peritaje </w:t>
      </w:r>
      <w:r w:rsidRPr="00502506">
        <w:rPr>
          <w:rFonts w:ascii="Verdana" w:eastAsia="MS Mincho" w:hAnsi="Verdana" w:cs="Times New Roman"/>
          <w:sz w:val="20"/>
          <w:szCs w:val="20"/>
        </w:rPr>
        <w:t xml:space="preserve">de </w:t>
      </w:r>
      <w:r w:rsidRPr="00502506">
        <w:rPr>
          <w:rFonts w:ascii="Verdana" w:hAnsi="Verdana"/>
          <w:sz w:val="20"/>
          <w:szCs w:val="20"/>
          <w:lang w:val="es-AR"/>
        </w:rPr>
        <w:t>Miryam Rebeca Rivera Holguín</w:t>
      </w:r>
      <w:r w:rsidRPr="00502506">
        <w:rPr>
          <w:rFonts w:ascii="Verdana" w:hAnsi="Verdana"/>
          <w:sz w:val="20"/>
          <w:szCs w:val="20"/>
          <w:lang w:val="es-ES"/>
        </w:rPr>
        <w:t xml:space="preserve">, </w:t>
      </w:r>
      <w:r w:rsidRPr="006B2E74">
        <w:rPr>
          <w:rFonts w:ascii="Verdana" w:hAnsi="Verdana"/>
          <w:sz w:val="20"/>
          <w:szCs w:val="20"/>
          <w:lang w:val="es-ES"/>
        </w:rPr>
        <w:t>los cuales</w:t>
      </w:r>
      <w:r w:rsidRPr="006B2E74">
        <w:rPr>
          <w:rFonts w:ascii="Verdana" w:hAnsi="Verdana"/>
          <w:sz w:val="20"/>
          <w:szCs w:val="20"/>
        </w:rPr>
        <w:t xml:space="preserve"> fueron tomados en cuenta para ser incluidos en el cálculo</w:t>
      </w:r>
      <w:r>
        <w:rPr>
          <w:rFonts w:ascii="Verdana" w:hAnsi="Verdana"/>
          <w:sz w:val="20"/>
          <w:szCs w:val="20"/>
        </w:rPr>
        <w:t>,</w:t>
      </w:r>
      <w:r w:rsidRPr="006B2E74">
        <w:rPr>
          <w:rFonts w:ascii="Verdana" w:hAnsi="Verdana"/>
          <w:sz w:val="20"/>
          <w:szCs w:val="20"/>
        </w:rPr>
        <w:t xml:space="preserve"> ya que implicaron erogaciones relacionadas con el litigio del presente caso.</w:t>
      </w:r>
      <w:r w:rsidRPr="00502506">
        <w:rPr>
          <w:rFonts w:ascii="Verdana" w:hAnsi="Verdana" w:cs="Verdana"/>
          <w:spacing w:val="-2"/>
          <w:sz w:val="20"/>
          <w:szCs w:val="20"/>
        </w:rPr>
        <w:t xml:space="preserve"> </w:t>
      </w:r>
      <w:r w:rsidRPr="00DF25F7">
        <w:rPr>
          <w:rFonts w:ascii="Verdana" w:hAnsi="Verdana" w:cs="Verdana"/>
          <w:spacing w:val="-2"/>
          <w:sz w:val="20"/>
          <w:szCs w:val="20"/>
        </w:rPr>
        <w:t>P</w:t>
      </w:r>
      <w:r>
        <w:rPr>
          <w:rFonts w:ascii="Verdana" w:hAnsi="Verdana" w:cs="Verdana"/>
          <w:spacing w:val="-2"/>
          <w:sz w:val="20"/>
          <w:szCs w:val="20"/>
        </w:rPr>
        <w:t xml:space="preserve">or su parte, CEJIL </w:t>
      </w:r>
      <w:r w:rsidRPr="00DF25F7">
        <w:rPr>
          <w:rFonts w:ascii="Verdana" w:hAnsi="Verdana" w:cs="Verdana"/>
          <w:spacing w:val="-2"/>
          <w:sz w:val="20"/>
          <w:szCs w:val="20"/>
        </w:rPr>
        <w:t>remiti</w:t>
      </w:r>
      <w:r>
        <w:rPr>
          <w:rFonts w:ascii="Verdana" w:hAnsi="Verdana" w:cs="Verdana"/>
          <w:spacing w:val="-2"/>
          <w:sz w:val="20"/>
          <w:szCs w:val="20"/>
        </w:rPr>
        <w:t>ó</w:t>
      </w:r>
      <w:r w:rsidRPr="00DF25F7">
        <w:rPr>
          <w:rFonts w:ascii="Verdana" w:hAnsi="Verdana" w:cs="Verdana"/>
          <w:spacing w:val="-2"/>
          <w:sz w:val="20"/>
          <w:szCs w:val="20"/>
        </w:rPr>
        <w:t xml:space="preserve"> comprobantes relacionados con la compra de pasajes aéreos, el pago de hoteles, movilidad, alimentación</w:t>
      </w:r>
      <w:r>
        <w:rPr>
          <w:rFonts w:ascii="Verdana" w:hAnsi="Verdana" w:cs="Verdana"/>
          <w:spacing w:val="-2"/>
          <w:sz w:val="20"/>
          <w:szCs w:val="20"/>
        </w:rPr>
        <w:t xml:space="preserve">, </w:t>
      </w:r>
      <w:r w:rsidRPr="00CE78DF">
        <w:rPr>
          <w:rFonts w:ascii="Verdana" w:hAnsi="Verdana" w:cs="Verdana"/>
          <w:spacing w:val="-2"/>
          <w:sz w:val="20"/>
          <w:szCs w:val="20"/>
        </w:rPr>
        <w:t>comunicación</w:t>
      </w:r>
      <w:r w:rsidRPr="00DF25F7">
        <w:rPr>
          <w:rFonts w:ascii="Verdana" w:hAnsi="Verdana" w:cs="Verdana"/>
          <w:spacing w:val="-2"/>
          <w:sz w:val="20"/>
          <w:szCs w:val="20"/>
        </w:rPr>
        <w:t xml:space="preserve"> y gastos incurridos por reuniones de trabajo realizadas en el Perú</w:t>
      </w:r>
      <w:r>
        <w:rPr>
          <w:rFonts w:ascii="Verdana" w:hAnsi="Verdana" w:cs="Verdana"/>
          <w:spacing w:val="-2"/>
          <w:sz w:val="20"/>
          <w:szCs w:val="20"/>
        </w:rPr>
        <w:t xml:space="preserve"> </w:t>
      </w:r>
      <w:r w:rsidRPr="00CE78DF">
        <w:rPr>
          <w:rFonts w:ascii="Verdana" w:hAnsi="Verdana" w:cs="Verdana"/>
          <w:spacing w:val="-2"/>
          <w:sz w:val="20"/>
          <w:szCs w:val="20"/>
        </w:rPr>
        <w:t>y en la sede de la Comisión en Washington</w:t>
      </w:r>
      <w:r w:rsidRPr="00DF25F7">
        <w:rPr>
          <w:rFonts w:ascii="Verdana" w:hAnsi="Verdana" w:cs="Verdana"/>
          <w:spacing w:val="-2"/>
          <w:sz w:val="20"/>
          <w:szCs w:val="20"/>
        </w:rPr>
        <w:t xml:space="preserve">, así como para asistir a la audiencia pública celebrada en la sede </w:t>
      </w:r>
      <w:r>
        <w:rPr>
          <w:rFonts w:ascii="Verdana" w:hAnsi="Verdana" w:cs="Verdana"/>
          <w:spacing w:val="-2"/>
          <w:sz w:val="20"/>
          <w:szCs w:val="20"/>
        </w:rPr>
        <w:t>de la Corte en el presente caso</w:t>
      </w:r>
      <w:r w:rsidRPr="00502506">
        <w:rPr>
          <w:rFonts w:ascii="Verdana" w:hAnsi="Verdana"/>
          <w:sz w:val="20"/>
          <w:szCs w:val="20"/>
          <w:lang w:val="es-AR"/>
        </w:rPr>
        <w:t>.</w:t>
      </w:r>
      <w:r>
        <w:rPr>
          <w:rFonts w:ascii="Verdana" w:hAnsi="Verdana"/>
          <w:sz w:val="20"/>
          <w:szCs w:val="20"/>
          <w:lang w:val="es-AR"/>
        </w:rPr>
        <w:t xml:space="preserve"> Sumado a lo anterior, </w:t>
      </w:r>
      <w:r>
        <w:rPr>
          <w:rFonts w:ascii="Verdana" w:hAnsi="Verdana" w:cs="Verdana"/>
          <w:spacing w:val="-2"/>
          <w:sz w:val="20"/>
          <w:szCs w:val="20"/>
        </w:rPr>
        <w:t>l</w:t>
      </w:r>
      <w:r w:rsidRPr="00502506">
        <w:rPr>
          <w:rFonts w:ascii="Verdana" w:hAnsi="Verdana" w:cs="Verdana"/>
          <w:spacing w:val="-2"/>
          <w:sz w:val="20"/>
          <w:szCs w:val="20"/>
        </w:rPr>
        <w:t>a</w:t>
      </w:r>
      <w:r w:rsidRPr="003E2253">
        <w:rPr>
          <w:rFonts w:ascii="Verdana" w:hAnsi="Verdana" w:cs="Verdana"/>
          <w:spacing w:val="-2"/>
          <w:sz w:val="20"/>
          <w:szCs w:val="20"/>
        </w:rPr>
        <w:t xml:space="preserve"> C</w:t>
      </w:r>
      <w:r w:rsidRPr="006B2E74">
        <w:rPr>
          <w:rFonts w:ascii="Verdana" w:hAnsi="Verdana" w:cs="Verdana"/>
          <w:spacing w:val="-2"/>
          <w:sz w:val="20"/>
          <w:szCs w:val="20"/>
        </w:rPr>
        <w:t>orte considera razonable presumir que existieron otras erogaciones durante los años en que actuó CEJIL en el litigio del caso a nivel internacional, así como la Asociación Paz y Esperanza en el litigio del caso a nivel interno</w:t>
      </w:r>
      <w:r w:rsidRPr="006B2E74">
        <w:rPr>
          <w:rFonts w:ascii="Verdana" w:eastAsia="MS Mincho" w:hAnsi="Verdana"/>
          <w:spacing w:val="-2"/>
          <w:sz w:val="20"/>
          <w:szCs w:val="20"/>
        </w:rPr>
        <w:t xml:space="preserve"> </w:t>
      </w:r>
      <w:r w:rsidRPr="006B2E74">
        <w:rPr>
          <w:rFonts w:ascii="Verdana" w:hAnsi="Verdana" w:cs="Verdana"/>
          <w:spacing w:val="-2"/>
          <w:sz w:val="20"/>
          <w:szCs w:val="20"/>
        </w:rPr>
        <w:t>e internacional</w:t>
      </w:r>
      <w:r>
        <w:rPr>
          <w:rFonts w:ascii="Verdana" w:hAnsi="Verdana" w:cs="Verdana"/>
          <w:spacing w:val="-2"/>
          <w:sz w:val="20"/>
          <w:szCs w:val="20"/>
        </w:rPr>
        <w:t xml:space="preserve">, sin que escape </w:t>
      </w:r>
      <w:r w:rsidRPr="006B2E74">
        <w:rPr>
          <w:rFonts w:ascii="Verdana" w:hAnsi="Verdana" w:cs="Verdana"/>
          <w:spacing w:val="-2"/>
          <w:sz w:val="20"/>
          <w:szCs w:val="20"/>
        </w:rPr>
        <w:t xml:space="preserve">a este Tribunal que </w:t>
      </w:r>
      <w:r w:rsidRPr="006B2E74">
        <w:rPr>
          <w:rFonts w:ascii="Verdana" w:eastAsia="MS Mincho" w:hAnsi="Verdana"/>
          <w:spacing w:val="-2"/>
          <w:sz w:val="20"/>
          <w:szCs w:val="20"/>
        </w:rPr>
        <w:t>el proceso penal interno estuvo paralizado en varios períodos</w:t>
      </w:r>
      <w:r w:rsidRPr="006B2E74">
        <w:rPr>
          <w:rFonts w:ascii="Verdana" w:hAnsi="Verdana" w:cs="Verdana"/>
          <w:spacing w:val="-2"/>
          <w:sz w:val="20"/>
          <w:szCs w:val="20"/>
        </w:rPr>
        <w:t xml:space="preserve">. </w:t>
      </w:r>
    </w:p>
    <w:p w:rsidR="00AB496F" w:rsidRPr="00F50A42" w:rsidRDefault="00AB496F" w:rsidP="00AB496F">
      <w:pPr>
        <w:pStyle w:val="ListParagraph"/>
        <w:autoSpaceDE w:val="0"/>
        <w:autoSpaceDN w:val="0"/>
        <w:adjustRightInd w:val="0"/>
        <w:spacing w:after="0" w:line="240" w:lineRule="auto"/>
        <w:ind w:left="0"/>
        <w:jc w:val="both"/>
        <w:rPr>
          <w:rFonts w:ascii="Verdana" w:eastAsia="MS Mincho" w:hAnsi="Verdana"/>
          <w:sz w:val="20"/>
          <w:szCs w:val="20"/>
        </w:rPr>
      </w:pPr>
    </w:p>
    <w:p w:rsidR="00AB496F" w:rsidRPr="00DF25F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z w:val="20"/>
          <w:szCs w:val="20"/>
        </w:rPr>
      </w:pPr>
      <w:r w:rsidRPr="00DC3F3C">
        <w:rPr>
          <w:rFonts w:ascii="Verdana" w:hAnsi="Verdana" w:cs="Verdana"/>
          <w:spacing w:val="-2"/>
          <w:sz w:val="20"/>
          <w:szCs w:val="20"/>
        </w:rPr>
        <w:t>En razón de</w:t>
      </w:r>
      <w:r>
        <w:rPr>
          <w:rFonts w:ascii="Verdana" w:hAnsi="Verdana" w:cs="Verdana"/>
          <w:spacing w:val="-2"/>
          <w:sz w:val="20"/>
          <w:szCs w:val="20"/>
        </w:rPr>
        <w:t xml:space="preserve"> todo</w:t>
      </w:r>
      <w:r w:rsidRPr="00DC3F3C">
        <w:rPr>
          <w:rFonts w:ascii="Verdana" w:hAnsi="Verdana" w:cs="Verdana"/>
          <w:spacing w:val="-2"/>
          <w:sz w:val="20"/>
          <w:szCs w:val="20"/>
        </w:rPr>
        <w:t xml:space="preserve"> lo anterior, </w:t>
      </w:r>
      <w:r w:rsidRPr="00170575">
        <w:rPr>
          <w:rFonts w:ascii="Verdana" w:hAnsi="Verdana" w:cs="Verdana"/>
          <w:spacing w:val="-2"/>
          <w:sz w:val="20"/>
          <w:szCs w:val="20"/>
        </w:rPr>
        <w:t>la Corte ordena al Estado que reintegre</w:t>
      </w:r>
      <w:r>
        <w:rPr>
          <w:rFonts w:ascii="Verdana" w:hAnsi="Verdana" w:cs="Verdana"/>
          <w:spacing w:val="-2"/>
          <w:sz w:val="20"/>
          <w:szCs w:val="20"/>
        </w:rPr>
        <w:t xml:space="preserve"> </w:t>
      </w:r>
      <w:r w:rsidRPr="00A86215">
        <w:rPr>
          <w:rFonts w:ascii="Verdana" w:hAnsi="Verdana" w:cs="Verdana"/>
          <w:spacing w:val="-2"/>
          <w:sz w:val="20"/>
          <w:szCs w:val="20"/>
        </w:rPr>
        <w:t xml:space="preserve">una </w:t>
      </w:r>
      <w:r w:rsidRPr="00170575">
        <w:rPr>
          <w:rFonts w:ascii="Verdana" w:hAnsi="Verdana" w:cs="Verdana"/>
          <w:spacing w:val="-2"/>
          <w:sz w:val="20"/>
          <w:szCs w:val="20"/>
        </w:rPr>
        <w:t>suma</w:t>
      </w:r>
      <w:r>
        <w:rPr>
          <w:rFonts w:ascii="Verdana" w:hAnsi="Verdana" w:cs="Verdana"/>
          <w:spacing w:val="-2"/>
          <w:sz w:val="20"/>
          <w:szCs w:val="20"/>
        </w:rPr>
        <w:t xml:space="preserve"> </w:t>
      </w:r>
      <w:r w:rsidRPr="00A86215">
        <w:rPr>
          <w:rFonts w:ascii="Verdana" w:hAnsi="Verdana" w:cs="Verdana"/>
          <w:spacing w:val="-2"/>
          <w:sz w:val="20"/>
          <w:szCs w:val="20"/>
        </w:rPr>
        <w:t>razonable</w:t>
      </w:r>
      <w:r>
        <w:rPr>
          <w:rFonts w:ascii="Verdana" w:hAnsi="Verdana" w:cs="Verdana"/>
          <w:spacing w:val="-2"/>
          <w:sz w:val="20"/>
          <w:szCs w:val="20"/>
        </w:rPr>
        <w:t xml:space="preserve"> </w:t>
      </w:r>
      <w:r w:rsidRPr="00170575">
        <w:rPr>
          <w:rFonts w:ascii="Verdana" w:hAnsi="Verdana" w:cs="Verdana"/>
          <w:spacing w:val="-2"/>
          <w:sz w:val="20"/>
          <w:szCs w:val="20"/>
        </w:rPr>
        <w:t>de USD</w:t>
      </w:r>
      <w:r>
        <w:rPr>
          <w:rFonts w:ascii="Verdana" w:hAnsi="Verdana" w:cs="Verdana"/>
          <w:spacing w:val="-2"/>
          <w:sz w:val="20"/>
          <w:szCs w:val="20"/>
        </w:rPr>
        <w:t xml:space="preserve"> </w:t>
      </w:r>
      <w:r w:rsidRPr="00170575">
        <w:rPr>
          <w:rFonts w:ascii="Verdana" w:hAnsi="Verdana" w:cs="Verdana"/>
          <w:spacing w:val="-2"/>
          <w:sz w:val="20"/>
          <w:szCs w:val="20"/>
        </w:rPr>
        <w:t>$</w:t>
      </w:r>
      <w:r w:rsidRPr="00A86215">
        <w:rPr>
          <w:rFonts w:ascii="Verdana" w:hAnsi="Verdana" w:cs="Verdana"/>
          <w:spacing w:val="-2"/>
          <w:sz w:val="20"/>
          <w:szCs w:val="20"/>
        </w:rPr>
        <w:t xml:space="preserve">10,000.00 </w:t>
      </w:r>
      <w:r w:rsidRPr="00A86215">
        <w:rPr>
          <w:rFonts w:ascii="Verdana" w:hAnsi="Verdana"/>
          <w:sz w:val="20"/>
          <w:szCs w:val="20"/>
          <w:lang w:val="es-ES"/>
        </w:rPr>
        <w:t>(diez</w:t>
      </w:r>
      <w:r>
        <w:rPr>
          <w:rFonts w:ascii="Verdana" w:hAnsi="Verdana"/>
          <w:sz w:val="20"/>
          <w:szCs w:val="20"/>
          <w:lang w:val="es-ES"/>
        </w:rPr>
        <w:t xml:space="preserve"> mil</w:t>
      </w:r>
      <w:r w:rsidRPr="00F742BB">
        <w:rPr>
          <w:rFonts w:ascii="Verdana" w:hAnsi="Verdana"/>
          <w:sz w:val="20"/>
          <w:szCs w:val="20"/>
          <w:lang w:val="es-ES"/>
        </w:rPr>
        <w:t xml:space="preserve"> dólares de los Estados Unidos de América</w:t>
      </w:r>
      <w:r w:rsidRPr="007C12C1">
        <w:rPr>
          <w:rFonts w:ascii="Verdana" w:hAnsi="Verdana"/>
          <w:sz w:val="20"/>
          <w:szCs w:val="20"/>
          <w:lang w:val="es-ES"/>
        </w:rPr>
        <w:t>)</w:t>
      </w:r>
      <w:r>
        <w:rPr>
          <w:rFonts w:ascii="Verdana" w:hAnsi="Verdana"/>
          <w:sz w:val="20"/>
          <w:szCs w:val="20"/>
          <w:lang w:val="es-ES"/>
        </w:rPr>
        <w:t xml:space="preserve"> </w:t>
      </w:r>
      <w:r w:rsidRPr="00170575">
        <w:rPr>
          <w:rFonts w:ascii="Verdana" w:hAnsi="Verdana" w:cs="Verdana"/>
          <w:spacing w:val="-2"/>
          <w:sz w:val="20"/>
          <w:szCs w:val="20"/>
        </w:rPr>
        <w:t>a</w:t>
      </w:r>
      <w:r>
        <w:rPr>
          <w:rFonts w:ascii="Verdana" w:hAnsi="Verdana" w:cs="Verdana"/>
          <w:spacing w:val="-2"/>
          <w:sz w:val="20"/>
          <w:szCs w:val="20"/>
        </w:rPr>
        <w:t xml:space="preserve"> la</w:t>
      </w:r>
      <w:r w:rsidRPr="00170575">
        <w:rPr>
          <w:rFonts w:ascii="Verdana" w:hAnsi="Verdana" w:cs="Verdana"/>
          <w:spacing w:val="-2"/>
          <w:sz w:val="20"/>
          <w:szCs w:val="20"/>
        </w:rPr>
        <w:t xml:space="preserve"> Asociación Paz y Esperanza</w:t>
      </w:r>
      <w:r>
        <w:rPr>
          <w:rFonts w:ascii="Verdana" w:hAnsi="Verdana"/>
          <w:sz w:val="20"/>
          <w:szCs w:val="20"/>
        </w:rPr>
        <w:t xml:space="preserve"> </w:t>
      </w:r>
      <w:r w:rsidRPr="00DE5E39">
        <w:rPr>
          <w:rFonts w:ascii="Verdana" w:eastAsia="Times New Roman" w:hAnsi="Verdana"/>
          <w:sz w:val="20"/>
          <w:szCs w:val="20"/>
        </w:rPr>
        <w:t>por concepto de reintegro de costas y gastos por las labores realizadas en el litigio del caso a nivel nacional e internacional. Asimismo, la Corte decide fijar</w:t>
      </w:r>
      <w:r>
        <w:rPr>
          <w:rFonts w:ascii="Verdana" w:eastAsia="Times New Roman" w:hAnsi="Verdana"/>
          <w:sz w:val="20"/>
          <w:szCs w:val="20"/>
        </w:rPr>
        <w:t>, en equidad,</w:t>
      </w:r>
      <w:r>
        <w:rPr>
          <w:rFonts w:ascii="Verdana" w:hAnsi="Verdana" w:cs="Verdana"/>
          <w:spacing w:val="-2"/>
          <w:sz w:val="20"/>
          <w:szCs w:val="20"/>
        </w:rPr>
        <w:t xml:space="preserve"> una</w:t>
      </w:r>
      <w:r w:rsidRPr="00170575">
        <w:rPr>
          <w:rFonts w:ascii="Verdana" w:hAnsi="Verdana" w:cs="Verdana"/>
          <w:spacing w:val="-2"/>
          <w:sz w:val="20"/>
          <w:szCs w:val="20"/>
        </w:rPr>
        <w:t xml:space="preserve"> suma de USD</w:t>
      </w:r>
      <w:r>
        <w:rPr>
          <w:rFonts w:ascii="Verdana" w:hAnsi="Verdana" w:cs="Verdana"/>
          <w:spacing w:val="-2"/>
          <w:sz w:val="20"/>
          <w:szCs w:val="20"/>
        </w:rPr>
        <w:t xml:space="preserve"> </w:t>
      </w:r>
      <w:r w:rsidRPr="00170575">
        <w:rPr>
          <w:rFonts w:ascii="Verdana" w:hAnsi="Verdana" w:cs="Verdana"/>
          <w:spacing w:val="-2"/>
          <w:sz w:val="20"/>
          <w:szCs w:val="20"/>
        </w:rPr>
        <w:t>$</w:t>
      </w:r>
      <w:r w:rsidRPr="00A86215">
        <w:rPr>
          <w:rFonts w:ascii="Verdana" w:hAnsi="Verdana" w:cs="Verdana"/>
          <w:spacing w:val="-2"/>
          <w:sz w:val="20"/>
          <w:szCs w:val="20"/>
        </w:rPr>
        <w:t xml:space="preserve">12,000.00 </w:t>
      </w:r>
      <w:r w:rsidRPr="00A86215">
        <w:rPr>
          <w:rFonts w:ascii="Verdana" w:hAnsi="Verdana"/>
          <w:sz w:val="20"/>
          <w:szCs w:val="20"/>
          <w:lang w:val="es-ES"/>
        </w:rPr>
        <w:t>(doce</w:t>
      </w:r>
      <w:r>
        <w:rPr>
          <w:rFonts w:ascii="Verdana" w:hAnsi="Verdana"/>
          <w:sz w:val="20"/>
          <w:szCs w:val="20"/>
          <w:lang w:val="es-ES"/>
        </w:rPr>
        <w:t xml:space="preserve"> mil</w:t>
      </w:r>
      <w:r w:rsidRPr="00F742BB">
        <w:rPr>
          <w:rFonts w:ascii="Verdana" w:hAnsi="Verdana"/>
          <w:sz w:val="20"/>
          <w:szCs w:val="20"/>
          <w:lang w:val="es-ES"/>
        </w:rPr>
        <w:t xml:space="preserve"> dólares de los Estados Unidos de América</w:t>
      </w:r>
      <w:r w:rsidRPr="007C12C1">
        <w:rPr>
          <w:rFonts w:ascii="Verdana" w:hAnsi="Verdana"/>
          <w:sz w:val="20"/>
          <w:szCs w:val="20"/>
          <w:lang w:val="es-ES"/>
        </w:rPr>
        <w:t>)</w:t>
      </w:r>
      <w:r>
        <w:rPr>
          <w:rFonts w:ascii="Verdana" w:hAnsi="Verdana"/>
          <w:sz w:val="20"/>
          <w:szCs w:val="20"/>
          <w:lang w:val="es-ES"/>
        </w:rPr>
        <w:t xml:space="preserve"> </w:t>
      </w:r>
      <w:r>
        <w:rPr>
          <w:rFonts w:ascii="Verdana" w:hAnsi="Verdana"/>
          <w:sz w:val="20"/>
          <w:szCs w:val="20"/>
        </w:rPr>
        <w:t>a</w:t>
      </w:r>
      <w:r w:rsidRPr="002964A7">
        <w:rPr>
          <w:rFonts w:ascii="Verdana" w:hAnsi="Verdana"/>
          <w:sz w:val="20"/>
          <w:szCs w:val="20"/>
        </w:rPr>
        <w:t xml:space="preserve">l Centro por la Justicia y el Derecho Internacional </w:t>
      </w:r>
      <w:r w:rsidRPr="00DE5E39">
        <w:rPr>
          <w:rFonts w:ascii="Verdana" w:eastAsia="Times New Roman" w:hAnsi="Verdana"/>
          <w:sz w:val="20"/>
          <w:szCs w:val="20"/>
        </w:rPr>
        <w:t>por concepto de reintegro de costas y gastos por las labores realizadas en el litigio del caso a nivel internacional</w:t>
      </w:r>
      <w:r w:rsidRPr="00170575">
        <w:rPr>
          <w:rFonts w:ascii="Verdana" w:hAnsi="Verdana" w:cs="Verdana"/>
          <w:spacing w:val="-2"/>
          <w:sz w:val="20"/>
          <w:szCs w:val="20"/>
        </w:rPr>
        <w:t>. Las cantidades fijadas deberán ser entregadas directamente a las organizaciones representantes. En la etapa de supervisión de cumplimiento de la presente Sentencia, la</w:t>
      </w:r>
      <w:r w:rsidRPr="00DC3F3C">
        <w:rPr>
          <w:rFonts w:ascii="Verdana" w:hAnsi="Verdana" w:cs="Verdana"/>
          <w:spacing w:val="-2"/>
          <w:sz w:val="20"/>
          <w:szCs w:val="20"/>
        </w:rPr>
        <w:t xml:space="preserve"> Corte podrá disponer el reembolso por parte del Estado a las víctimas o sus representantes de gastos posteriores razonables y debidamente comprobados</w:t>
      </w:r>
      <w:r>
        <w:rPr>
          <w:rFonts w:ascii="Verdana" w:hAnsi="Verdana" w:cs="Verdana"/>
          <w:spacing w:val="-2"/>
          <w:sz w:val="20"/>
          <w:szCs w:val="20"/>
        </w:rPr>
        <w:t xml:space="preserve"> </w:t>
      </w:r>
      <w:r w:rsidRPr="00DE5E39">
        <w:rPr>
          <w:rFonts w:ascii="Verdana" w:eastAsia="MS Mincho" w:hAnsi="Verdana" w:cs="Verdana"/>
          <w:sz w:val="20"/>
          <w:szCs w:val="20"/>
        </w:rPr>
        <w:t>en que incurran en dicha etapa procesal</w:t>
      </w:r>
      <w:r w:rsidRPr="00DC3F3C">
        <w:rPr>
          <w:rFonts w:ascii="Verdana" w:hAnsi="Verdana" w:cs="Verdana"/>
          <w:spacing w:val="-2"/>
          <w:sz w:val="20"/>
          <w:szCs w:val="20"/>
        </w:rPr>
        <w:t>.</w:t>
      </w:r>
    </w:p>
    <w:p w:rsidR="00AB496F" w:rsidRPr="0049269B" w:rsidRDefault="00AB496F" w:rsidP="0049269B">
      <w:pPr>
        <w:spacing w:after="0" w:line="240" w:lineRule="auto"/>
        <w:jc w:val="both"/>
        <w:rPr>
          <w:rFonts w:ascii="Verdana" w:hAnsi="Verdana"/>
          <w:spacing w:val="-2"/>
          <w:sz w:val="4"/>
          <w:szCs w:val="20"/>
        </w:rPr>
      </w:pPr>
    </w:p>
    <w:p w:rsidR="00AB496F" w:rsidRPr="002964A7" w:rsidRDefault="0049269B" w:rsidP="0049269B">
      <w:pPr>
        <w:pStyle w:val="Heading3"/>
        <w:spacing w:line="240" w:lineRule="auto"/>
      </w:pPr>
      <w:bookmarkStart w:id="285" w:name="_Toc423102584"/>
      <w:bookmarkStart w:id="286" w:name="_Toc433387540"/>
      <w:r>
        <w:lastRenderedPageBreak/>
        <w:t xml:space="preserve">F. </w:t>
      </w:r>
      <w:r w:rsidR="00AB496F" w:rsidRPr="002964A7">
        <w:t>Reintegro de los gastos al Fondo de Asistencia Legal de Víctimas</w:t>
      </w:r>
      <w:bookmarkEnd w:id="285"/>
      <w:bookmarkEnd w:id="286"/>
      <w:r w:rsidR="00AB496F" w:rsidRPr="002964A7">
        <w:t xml:space="preserve"> </w:t>
      </w:r>
    </w:p>
    <w:p w:rsidR="00AB496F" w:rsidRPr="00F13F0B" w:rsidRDefault="00AB496F" w:rsidP="0049269B">
      <w:pPr>
        <w:spacing w:after="0" w:line="240" w:lineRule="auto"/>
        <w:contextualSpacing/>
        <w:jc w:val="both"/>
        <w:rPr>
          <w:rFonts w:ascii="Verdana" w:eastAsiaTheme="minorHAnsi" w:hAnsi="Verdana" w:cs="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pacing w:val="-2"/>
          <w:sz w:val="20"/>
          <w:szCs w:val="20"/>
        </w:rPr>
      </w:pPr>
      <w:r w:rsidRPr="002964A7">
        <w:rPr>
          <w:rFonts w:ascii="Verdana" w:hAnsi="Verdana"/>
          <w:spacing w:val="-2"/>
          <w:sz w:val="20"/>
          <w:szCs w:val="20"/>
          <w:lang w:eastAsia="es-ES"/>
        </w:rPr>
        <w:t xml:space="preserve">En el escrito de solicitudes y argumentos las presuntas víctimas solicitaron, a través de sus </w:t>
      </w:r>
      <w:r w:rsidRPr="00F13F0B">
        <w:rPr>
          <w:rFonts w:ascii="Verdana" w:hAnsi="Verdana" w:cs="Verdana"/>
          <w:spacing w:val="-2"/>
          <w:sz w:val="20"/>
          <w:szCs w:val="20"/>
        </w:rPr>
        <w:t>representantes</w:t>
      </w:r>
      <w:r w:rsidRPr="002964A7">
        <w:rPr>
          <w:rFonts w:ascii="Verdana" w:hAnsi="Verdana"/>
          <w:spacing w:val="-2"/>
          <w:sz w:val="20"/>
          <w:szCs w:val="20"/>
          <w:lang w:eastAsia="es-ES"/>
        </w:rPr>
        <w:t xml:space="preserve">, acogerse al Fondo de Asistencia Legal de Víctimas de la Corte Interamericana (en adelante el “Fondo de Asistencia de la Corte” o el “Fondo”). </w:t>
      </w:r>
      <w:r w:rsidRPr="002964A7">
        <w:rPr>
          <w:rFonts w:ascii="Verdana" w:hAnsi="Verdana" w:cs="Verdana"/>
          <w:spacing w:val="-2"/>
          <w:sz w:val="20"/>
          <w:szCs w:val="20"/>
          <w:lang w:eastAsia="es-ES"/>
        </w:rPr>
        <w:t xml:space="preserve">Mediante </w:t>
      </w:r>
      <w:r w:rsidRPr="002964A7">
        <w:rPr>
          <w:rFonts w:ascii="Verdana" w:hAnsi="Verdana" w:cs="Verdana"/>
          <w:spacing w:val="-2"/>
          <w:sz w:val="20"/>
          <w:szCs w:val="20"/>
        </w:rPr>
        <w:t>Resolución</w:t>
      </w:r>
      <w:r w:rsidRPr="002964A7">
        <w:rPr>
          <w:rFonts w:ascii="Verdana" w:hAnsi="Verdana" w:cs="Verdana"/>
          <w:spacing w:val="-2"/>
          <w:sz w:val="20"/>
          <w:szCs w:val="20"/>
          <w:lang w:eastAsia="es-ES"/>
        </w:rPr>
        <w:t xml:space="preserve"> </w:t>
      </w:r>
      <w:r w:rsidRPr="002964A7">
        <w:rPr>
          <w:rFonts w:ascii="Verdana" w:hAnsi="Verdana" w:cs="Verdana"/>
          <w:spacing w:val="-2"/>
          <w:sz w:val="20"/>
          <w:szCs w:val="20"/>
        </w:rPr>
        <w:t>de</w:t>
      </w:r>
      <w:r w:rsidRPr="002964A7">
        <w:rPr>
          <w:rFonts w:ascii="Verdana" w:hAnsi="Verdana" w:cs="Verdana"/>
          <w:spacing w:val="-2"/>
          <w:sz w:val="20"/>
          <w:szCs w:val="20"/>
          <w:lang w:eastAsia="es-ES"/>
        </w:rPr>
        <w:t xml:space="preserve"> la Presidencia de 9 de junio de 2014, se dispuso la asistencia económica necesaria para la presentación de un máximo de tres declaraciones y un peritaje, ya sea en audiencia o por a</w:t>
      </w:r>
      <w:r>
        <w:rPr>
          <w:rFonts w:ascii="Verdana" w:hAnsi="Verdana" w:cs="Verdana"/>
          <w:spacing w:val="-2"/>
          <w:sz w:val="20"/>
          <w:szCs w:val="20"/>
          <w:lang w:eastAsia="es-ES"/>
        </w:rPr>
        <w:t>f</w:t>
      </w:r>
      <w:r w:rsidRPr="002964A7">
        <w:rPr>
          <w:rFonts w:ascii="Verdana" w:hAnsi="Verdana" w:cs="Verdana"/>
          <w:spacing w:val="-2"/>
          <w:sz w:val="20"/>
          <w:szCs w:val="20"/>
          <w:lang w:eastAsia="es-ES"/>
        </w:rPr>
        <w:t>fidávit</w:t>
      </w:r>
      <w:r w:rsidRPr="002964A7">
        <w:rPr>
          <w:rStyle w:val="FootnoteReference"/>
          <w:rFonts w:eastAsiaTheme="minorHAnsi" w:cs="Verdana"/>
          <w:spacing w:val="-2"/>
          <w:szCs w:val="20"/>
          <w:lang w:eastAsia="es-ES"/>
        </w:rPr>
        <w:footnoteReference w:id="384"/>
      </w:r>
      <w:r w:rsidRPr="002964A7">
        <w:rPr>
          <w:rFonts w:ascii="Verdana" w:hAnsi="Verdana" w:cs="Verdana"/>
          <w:spacing w:val="-2"/>
          <w:sz w:val="20"/>
          <w:szCs w:val="20"/>
          <w:lang w:eastAsia="es-ES"/>
        </w:rPr>
        <w:t>. Mediante Resolución de la Presidencia de 4 de diciembre de 2014</w:t>
      </w:r>
      <w:r w:rsidRPr="002964A7">
        <w:rPr>
          <w:rFonts w:ascii="Verdana" w:hAnsi="Verdana" w:cs="Verdana"/>
          <w:b/>
          <w:spacing w:val="-2"/>
          <w:sz w:val="20"/>
          <w:szCs w:val="20"/>
          <w:lang w:eastAsia="es-ES"/>
        </w:rPr>
        <w:t xml:space="preserve"> </w:t>
      </w:r>
      <w:r w:rsidRPr="002964A7">
        <w:rPr>
          <w:rFonts w:ascii="Verdana" w:hAnsi="Verdana" w:cs="Verdana"/>
          <w:spacing w:val="-2"/>
          <w:sz w:val="20"/>
          <w:szCs w:val="20"/>
          <w:lang w:eastAsia="es-ES"/>
        </w:rPr>
        <w:t xml:space="preserve">se dispuso que </w:t>
      </w:r>
      <w:r w:rsidRPr="002964A7">
        <w:rPr>
          <w:rFonts w:ascii="Verdana" w:hAnsi="Verdana"/>
          <w:spacing w:val="-2"/>
          <w:sz w:val="20"/>
          <w:szCs w:val="20"/>
        </w:rPr>
        <w:t xml:space="preserve">la asistencia económica estaría asignada para cubrir los gastos de viaje y estadía necesarios para que </w:t>
      </w:r>
      <w:r w:rsidRPr="00F13F0B">
        <w:rPr>
          <w:rFonts w:ascii="Verdana" w:hAnsi="Verdana" w:cs="Verdana"/>
          <w:spacing w:val="-2"/>
          <w:sz w:val="20"/>
          <w:szCs w:val="20"/>
          <w:lang w:val="es-AR"/>
        </w:rPr>
        <w:t xml:space="preserve">Zenón Cirilo Osnayo Tunque </w:t>
      </w:r>
      <w:r w:rsidRPr="00F13F0B">
        <w:rPr>
          <w:rFonts w:ascii="Verdana" w:hAnsi="Verdana" w:cs="Verdana"/>
          <w:spacing w:val="-2"/>
          <w:sz w:val="20"/>
          <w:szCs w:val="20"/>
        </w:rPr>
        <w:t xml:space="preserve">y José Pablo Baraybar, presunta víctima y perito, respectivamente, </w:t>
      </w:r>
      <w:r w:rsidRPr="002964A7">
        <w:rPr>
          <w:rFonts w:ascii="Verdana" w:hAnsi="Verdana"/>
          <w:spacing w:val="-2"/>
          <w:sz w:val="20"/>
          <w:szCs w:val="20"/>
        </w:rPr>
        <w:t>comparecieran ante el Tribunal en la audiencia pública</w:t>
      </w:r>
      <w:r w:rsidRPr="00F13F0B">
        <w:rPr>
          <w:rFonts w:ascii="Verdana" w:hAnsi="Verdana" w:cs="Verdana"/>
          <w:spacing w:val="-2"/>
          <w:sz w:val="20"/>
          <w:szCs w:val="20"/>
        </w:rPr>
        <w:t xml:space="preserve">. </w:t>
      </w:r>
      <w:r w:rsidRPr="002964A7">
        <w:rPr>
          <w:rFonts w:ascii="Verdana" w:hAnsi="Verdana"/>
          <w:spacing w:val="-2"/>
          <w:sz w:val="20"/>
          <w:szCs w:val="20"/>
        </w:rPr>
        <w:t xml:space="preserve">Asimismo, se </w:t>
      </w:r>
      <w:r>
        <w:rPr>
          <w:rFonts w:ascii="Verdana" w:hAnsi="Verdana"/>
          <w:spacing w:val="-2"/>
          <w:sz w:val="20"/>
          <w:szCs w:val="20"/>
        </w:rPr>
        <w:t>dispuso</w:t>
      </w:r>
      <w:r w:rsidRPr="002964A7">
        <w:rPr>
          <w:rFonts w:ascii="Verdana" w:hAnsi="Verdana"/>
          <w:spacing w:val="-2"/>
          <w:sz w:val="20"/>
          <w:szCs w:val="20"/>
        </w:rPr>
        <w:t xml:space="preserve"> que se brindaría asistencia económica para cubrir los gastos de formalización y envío de dos declaraciones presentadas mediante </w:t>
      </w:r>
      <w:r w:rsidRPr="002964A7">
        <w:rPr>
          <w:rFonts w:ascii="Verdana" w:hAnsi="Verdana"/>
          <w:iCs/>
          <w:spacing w:val="-2"/>
          <w:sz w:val="20"/>
          <w:szCs w:val="20"/>
        </w:rPr>
        <w:t>affidávit</w:t>
      </w:r>
      <w:r w:rsidRPr="002964A7">
        <w:rPr>
          <w:rFonts w:ascii="Verdana" w:hAnsi="Verdana"/>
          <w:i/>
          <w:iCs/>
          <w:spacing w:val="-2"/>
          <w:sz w:val="20"/>
          <w:szCs w:val="20"/>
        </w:rPr>
        <w:t xml:space="preserve">, </w:t>
      </w:r>
      <w:r w:rsidRPr="002964A7">
        <w:rPr>
          <w:rFonts w:ascii="Verdana" w:hAnsi="Verdana"/>
          <w:spacing w:val="-2"/>
          <w:sz w:val="20"/>
          <w:szCs w:val="20"/>
        </w:rPr>
        <w:t>según lo determinaran las presuntas víctimas. En este sentido, se requirió que los representantes comunicaran a la Corte los nombres de los dos declarantes cuyos affidávits serían cubiertos por el Fondo de Asistencia, así como confirmar la cotización del costo de la formalización de una declaración jurada en su país de residencia y de su envío</w:t>
      </w:r>
      <w:r w:rsidRPr="002964A7">
        <w:rPr>
          <w:rStyle w:val="FootnoteReference"/>
          <w:rFonts w:eastAsiaTheme="minorHAnsi"/>
          <w:spacing w:val="-2"/>
          <w:szCs w:val="20"/>
        </w:rPr>
        <w:footnoteReference w:id="385"/>
      </w:r>
      <w:r w:rsidRPr="002964A7">
        <w:rPr>
          <w:rFonts w:ascii="Verdana" w:hAnsi="Verdana"/>
          <w:spacing w:val="-2"/>
          <w:sz w:val="20"/>
          <w:szCs w:val="20"/>
        </w:rPr>
        <w:t>.</w:t>
      </w:r>
    </w:p>
    <w:p w:rsidR="00AB496F" w:rsidRPr="002964A7" w:rsidRDefault="00AB496F" w:rsidP="00AB496F">
      <w:pPr>
        <w:tabs>
          <w:tab w:val="left" w:pos="720"/>
          <w:tab w:val="num" w:pos="11028"/>
        </w:tabs>
        <w:spacing w:after="0" w:line="240" w:lineRule="auto"/>
        <w:ind w:right="-90"/>
        <w:jc w:val="both"/>
        <w:rPr>
          <w:rFonts w:ascii="Verdana" w:eastAsia="MS Mincho"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pacing w:val="-2"/>
          <w:sz w:val="20"/>
          <w:szCs w:val="20"/>
        </w:rPr>
      </w:pPr>
      <w:r w:rsidRPr="002964A7">
        <w:rPr>
          <w:rFonts w:ascii="Verdana" w:eastAsia="MS Mincho" w:hAnsi="Verdana"/>
          <w:spacing w:val="-2"/>
          <w:sz w:val="20"/>
          <w:szCs w:val="20"/>
        </w:rPr>
        <w:t xml:space="preserve">Mediante escrito de 17 de diciembre de 2014, los representantes confirmaron la </w:t>
      </w:r>
      <w:r w:rsidRPr="002964A7">
        <w:rPr>
          <w:rFonts w:ascii="Verdana" w:hAnsi="Verdana"/>
          <w:spacing w:val="-2"/>
          <w:sz w:val="20"/>
          <w:szCs w:val="20"/>
          <w:lang w:eastAsia="es-ES"/>
        </w:rPr>
        <w:t>cotización</w:t>
      </w:r>
      <w:r w:rsidRPr="002964A7">
        <w:rPr>
          <w:rFonts w:ascii="Verdana" w:eastAsia="MS Mincho" w:hAnsi="Verdana"/>
          <w:spacing w:val="-2"/>
          <w:sz w:val="20"/>
          <w:szCs w:val="20"/>
        </w:rPr>
        <w:t xml:space="preserve"> del costo de una declaración jurada en el país de residencia de los declarantes. </w:t>
      </w:r>
      <w:r w:rsidRPr="002964A7">
        <w:rPr>
          <w:rFonts w:ascii="Verdana" w:hAnsi="Verdana" w:cs="Verdana"/>
          <w:spacing w:val="-2"/>
          <w:sz w:val="20"/>
          <w:szCs w:val="20"/>
        </w:rPr>
        <w:t>Mediante</w:t>
      </w:r>
      <w:r w:rsidRPr="002964A7">
        <w:rPr>
          <w:rFonts w:ascii="Verdana" w:eastAsia="MS Mincho" w:hAnsi="Verdana"/>
          <w:spacing w:val="-2"/>
          <w:sz w:val="20"/>
          <w:szCs w:val="20"/>
        </w:rPr>
        <w:t xml:space="preserve"> </w:t>
      </w:r>
      <w:r w:rsidRPr="00F13F0B">
        <w:rPr>
          <w:rFonts w:ascii="Verdana" w:hAnsi="Verdana" w:cs="Verdana"/>
          <w:spacing w:val="-2"/>
          <w:sz w:val="20"/>
          <w:szCs w:val="20"/>
        </w:rPr>
        <w:t>nota</w:t>
      </w:r>
      <w:r w:rsidRPr="002964A7">
        <w:rPr>
          <w:rFonts w:ascii="Verdana" w:eastAsia="MS Mincho" w:hAnsi="Verdana"/>
          <w:spacing w:val="-2"/>
          <w:sz w:val="20"/>
          <w:szCs w:val="20"/>
        </w:rPr>
        <w:t xml:space="preserve"> de Secretaría de 19 de diciembre de 2014, se constató que los representantes no indicaron los nombres de los declarantes cuyos affidávits serían cubiertos por el Fondo de Asistencia y se solicitó la remisión de dicha información a la mayor brevedad. Mediante escrito de 24 de diciembre de 2014</w:t>
      </w:r>
      <w:r>
        <w:rPr>
          <w:rFonts w:ascii="Verdana" w:eastAsia="MS Mincho" w:hAnsi="Verdana"/>
          <w:spacing w:val="-2"/>
          <w:sz w:val="20"/>
          <w:szCs w:val="20"/>
        </w:rPr>
        <w:t>,</w:t>
      </w:r>
      <w:r w:rsidRPr="002964A7">
        <w:rPr>
          <w:rFonts w:ascii="Verdana" w:eastAsia="MS Mincho" w:hAnsi="Verdana"/>
          <w:spacing w:val="-2"/>
          <w:sz w:val="20"/>
          <w:szCs w:val="20"/>
        </w:rPr>
        <w:t xml:space="preserve"> los representantes solicitaron que el Fondo de Asistencia cubriera los costos de los affidávits de Zósimo Hilario Quispe, Marcelo Hilario Quispe</w:t>
      </w:r>
      <w:r>
        <w:rPr>
          <w:rFonts w:ascii="Verdana" w:eastAsia="MS Mincho" w:hAnsi="Verdana"/>
          <w:spacing w:val="-2"/>
          <w:sz w:val="20"/>
          <w:szCs w:val="20"/>
        </w:rPr>
        <w:t xml:space="preserve"> y</w:t>
      </w:r>
      <w:r w:rsidRPr="002964A7">
        <w:rPr>
          <w:rFonts w:ascii="Verdana" w:eastAsia="MS Mincho" w:hAnsi="Verdana"/>
          <w:spacing w:val="-2"/>
          <w:sz w:val="20"/>
          <w:szCs w:val="20"/>
        </w:rPr>
        <w:t xml:space="preserve"> Gregorio Hilario Quispe, así como el peritaje de Miryam Rebeca Rivera Holguín. Mediante nota de Secretaría de 9 de enero de 2015, se recordó a los representantes que se otorgó la asistencia económica necesaria para la formalización y envío de dos declaraciones presentadas mediante affidávit. Por tanto, siguiendo instrucciones del Presidente, se dispuso que la asistencia económica del Fondo de Asistencia sería destinada a la formalización de los affidávits de los señores Zósimo Hilario Quispe y Marcelo Hilario Quispe. Mediante escrito de 26 de enero de 2015 los representantes informaron que los affidávits de dichas personas fueron obtenidos de forma gratuita y por ello, solicitaron que el monto que se tenía dispuesto para sus declaraciones fuera asignado para el peritaje realizado por la señora Miryam Rebeca Rivera Holguín. </w:t>
      </w:r>
      <w:r w:rsidRPr="001848FF">
        <w:rPr>
          <w:rFonts w:ascii="Verdana" w:eastAsia="MS Mincho" w:hAnsi="Verdana"/>
          <w:spacing w:val="-2"/>
          <w:sz w:val="20"/>
          <w:szCs w:val="20"/>
        </w:rPr>
        <w:t xml:space="preserve">Mediante nota de Secretaría de 26 de enero de 2015, </w:t>
      </w:r>
      <w:r w:rsidRPr="001848FF">
        <w:rPr>
          <w:rFonts w:ascii="Verdana" w:hAnsi="Verdana"/>
          <w:sz w:val="20"/>
          <w:szCs w:val="20"/>
          <w:lang w:val="es-ES_tradnl"/>
        </w:rPr>
        <w:t>siguiendo instrucciones del Presidente del Tribunal,</w:t>
      </w:r>
      <w:r w:rsidRPr="001848FF">
        <w:rPr>
          <w:rFonts w:ascii="Verdana" w:eastAsia="MS Mincho" w:hAnsi="Verdana"/>
          <w:spacing w:val="-2"/>
          <w:sz w:val="20"/>
          <w:szCs w:val="20"/>
        </w:rPr>
        <w:t xml:space="preserve"> se a</w:t>
      </w:r>
      <w:r w:rsidRPr="002964A7">
        <w:rPr>
          <w:rFonts w:ascii="Verdana" w:eastAsia="MS Mincho" w:hAnsi="Verdana"/>
          <w:spacing w:val="-2"/>
          <w:sz w:val="20"/>
          <w:szCs w:val="20"/>
        </w:rPr>
        <w:t>cogió dicha solicitud.</w:t>
      </w:r>
    </w:p>
    <w:p w:rsidR="00AB496F" w:rsidRPr="002964A7" w:rsidRDefault="00AB496F" w:rsidP="00AB496F">
      <w:pPr>
        <w:tabs>
          <w:tab w:val="left" w:pos="720"/>
          <w:tab w:val="num" w:pos="11028"/>
        </w:tabs>
        <w:spacing w:after="0" w:line="240" w:lineRule="auto"/>
        <w:ind w:right="-90"/>
        <w:jc w:val="both"/>
        <w:rPr>
          <w:rFonts w:ascii="Verdana" w:eastAsia="MS Mincho"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pacing w:val="-2"/>
          <w:sz w:val="20"/>
          <w:szCs w:val="20"/>
        </w:rPr>
      </w:pPr>
      <w:r w:rsidRPr="002964A7">
        <w:rPr>
          <w:rFonts w:ascii="Verdana" w:hAnsi="Verdana"/>
          <w:spacing w:val="-2"/>
          <w:sz w:val="20"/>
          <w:szCs w:val="20"/>
          <w:lang w:eastAsia="es-ES"/>
        </w:rPr>
        <w:t xml:space="preserve">El 25 de mayo </w:t>
      </w:r>
      <w:r w:rsidRPr="002964A7">
        <w:rPr>
          <w:rFonts w:ascii="Verdana" w:eastAsia="MS Mincho" w:hAnsi="Verdana"/>
          <w:spacing w:val="-2"/>
          <w:sz w:val="20"/>
          <w:szCs w:val="20"/>
        </w:rPr>
        <w:t>de</w:t>
      </w:r>
      <w:r w:rsidRPr="002964A7">
        <w:rPr>
          <w:rFonts w:ascii="Verdana" w:hAnsi="Verdana"/>
          <w:spacing w:val="-2"/>
          <w:sz w:val="20"/>
          <w:szCs w:val="20"/>
          <w:lang w:eastAsia="es-ES"/>
        </w:rPr>
        <w:t xml:space="preserve"> </w:t>
      </w:r>
      <w:r w:rsidRPr="00F13F0B">
        <w:rPr>
          <w:rFonts w:ascii="Verdana" w:hAnsi="Verdana" w:cs="Verdana"/>
          <w:spacing w:val="-2"/>
          <w:sz w:val="20"/>
          <w:szCs w:val="20"/>
        </w:rPr>
        <w:t>2015</w:t>
      </w:r>
      <w:r w:rsidRPr="002964A7">
        <w:rPr>
          <w:rFonts w:ascii="Verdana" w:hAnsi="Verdana"/>
          <w:spacing w:val="-2"/>
          <w:sz w:val="20"/>
          <w:szCs w:val="20"/>
          <w:lang w:eastAsia="es-ES"/>
        </w:rPr>
        <w:t xml:space="preserve"> se remitió un informe al Estado sobre las erogaciones efectuadas en </w:t>
      </w:r>
      <w:r w:rsidRPr="002964A7">
        <w:rPr>
          <w:rFonts w:ascii="Verdana" w:eastAsia="MS Mincho" w:hAnsi="Verdana"/>
          <w:spacing w:val="-2"/>
          <w:sz w:val="20"/>
          <w:szCs w:val="20"/>
        </w:rPr>
        <w:t>aplicación</w:t>
      </w:r>
      <w:r w:rsidRPr="002964A7">
        <w:rPr>
          <w:rFonts w:ascii="Verdana" w:hAnsi="Verdana"/>
          <w:spacing w:val="-2"/>
          <w:sz w:val="20"/>
          <w:szCs w:val="20"/>
          <w:lang w:eastAsia="es-ES"/>
        </w:rPr>
        <w:t xml:space="preserve"> del </w:t>
      </w:r>
      <w:r w:rsidRPr="002964A7">
        <w:rPr>
          <w:rFonts w:ascii="Verdana" w:eastAsia="MS Mincho" w:hAnsi="Verdana"/>
          <w:spacing w:val="-2"/>
          <w:sz w:val="20"/>
          <w:szCs w:val="20"/>
        </w:rPr>
        <w:t>Fondo</w:t>
      </w:r>
      <w:r w:rsidRPr="002964A7">
        <w:rPr>
          <w:rFonts w:ascii="Verdana" w:hAnsi="Verdana"/>
          <w:spacing w:val="-2"/>
          <w:sz w:val="20"/>
          <w:szCs w:val="20"/>
          <w:lang w:eastAsia="es-ES"/>
        </w:rPr>
        <w:t xml:space="preserve"> de Asistencia </w:t>
      </w:r>
      <w:r>
        <w:rPr>
          <w:rFonts w:ascii="Verdana" w:hAnsi="Verdana"/>
          <w:spacing w:val="-2"/>
          <w:sz w:val="20"/>
          <w:szCs w:val="20"/>
          <w:lang w:eastAsia="es-ES"/>
        </w:rPr>
        <w:t xml:space="preserve">Legal </w:t>
      </w:r>
      <w:r w:rsidRPr="002964A7">
        <w:rPr>
          <w:rFonts w:ascii="Verdana" w:hAnsi="Verdana"/>
          <w:spacing w:val="-2"/>
          <w:sz w:val="20"/>
          <w:szCs w:val="20"/>
          <w:lang w:eastAsia="es-ES"/>
        </w:rPr>
        <w:t xml:space="preserve">de Víctimas en el presente caso, </w:t>
      </w:r>
      <w:r w:rsidRPr="002964A7">
        <w:rPr>
          <w:rFonts w:ascii="Verdana" w:eastAsia="MS Mincho" w:hAnsi="Verdana"/>
          <w:spacing w:val="-2"/>
          <w:sz w:val="20"/>
          <w:szCs w:val="20"/>
        </w:rPr>
        <w:t xml:space="preserve">las cuales ascendieron a la suma de USD $3,457.40 (tres mil cuatrocientos cincuenta y siete dólares de los Estados Unidos de </w:t>
      </w:r>
      <w:r w:rsidRPr="002964A7">
        <w:rPr>
          <w:rFonts w:ascii="Verdana" w:hAnsi="Verdana" w:cs="Verdana"/>
          <w:spacing w:val="-2"/>
          <w:sz w:val="20"/>
          <w:szCs w:val="20"/>
        </w:rPr>
        <w:t>América</w:t>
      </w:r>
      <w:r w:rsidRPr="002964A7">
        <w:rPr>
          <w:rFonts w:ascii="Verdana" w:eastAsia="MS Mincho" w:hAnsi="Verdana"/>
          <w:spacing w:val="-2"/>
          <w:sz w:val="20"/>
          <w:szCs w:val="20"/>
        </w:rPr>
        <w:t xml:space="preserve"> con cuarenta centavos)</w:t>
      </w:r>
      <w:r w:rsidRPr="002964A7">
        <w:rPr>
          <w:rStyle w:val="FootnoteReference"/>
          <w:rFonts w:eastAsia="MS Mincho"/>
          <w:spacing w:val="-2"/>
          <w:szCs w:val="20"/>
        </w:rPr>
        <w:footnoteReference w:id="386"/>
      </w:r>
      <w:r w:rsidRPr="002964A7">
        <w:rPr>
          <w:rFonts w:ascii="Verdana" w:eastAsia="MS Mincho" w:hAnsi="Verdana"/>
          <w:spacing w:val="-2"/>
          <w:sz w:val="20"/>
          <w:szCs w:val="20"/>
        </w:rPr>
        <w:t xml:space="preserve"> y</w:t>
      </w:r>
      <w:r w:rsidRPr="002964A7">
        <w:rPr>
          <w:rFonts w:ascii="Verdana" w:hAnsi="Verdana"/>
          <w:spacing w:val="-2"/>
          <w:sz w:val="20"/>
          <w:szCs w:val="20"/>
          <w:lang w:eastAsia="es-ES"/>
        </w:rPr>
        <w:t>, según lo dispuesto en el artículo 5 del Reglamento de la Corte sobre el Funcionamiento del referido Fondo, se otorgó un plazo para que el Perú presentara las observaciones que estimara pertinentes. El Estado presentó sus observaciones el 1 de junio de 2015.</w:t>
      </w:r>
    </w:p>
    <w:p w:rsidR="00AB496F" w:rsidRPr="002964A7" w:rsidRDefault="00AB496F" w:rsidP="00AB496F">
      <w:pPr>
        <w:tabs>
          <w:tab w:val="left" w:pos="720"/>
          <w:tab w:val="num" w:pos="11028"/>
        </w:tabs>
        <w:spacing w:after="0" w:line="240" w:lineRule="auto"/>
        <w:ind w:right="-90"/>
        <w:jc w:val="both"/>
        <w:rPr>
          <w:rFonts w:ascii="Verdana" w:eastAsia="MS Mincho"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pacing w:val="-2"/>
          <w:sz w:val="20"/>
          <w:szCs w:val="20"/>
        </w:rPr>
      </w:pPr>
      <w:r w:rsidRPr="002964A7">
        <w:rPr>
          <w:rFonts w:ascii="Verdana" w:eastAsia="MS Mincho" w:hAnsi="Verdana"/>
          <w:spacing w:val="-2"/>
          <w:sz w:val="20"/>
          <w:szCs w:val="20"/>
        </w:rPr>
        <w:lastRenderedPageBreak/>
        <w:t xml:space="preserve">El Perú sostuvo que no se presentó documento alguno que sustentara los gastos de USD $697.00 y USD $687.00 por concepto de “Viáticos y gastos de transporte” efectuados a favor de </w:t>
      </w:r>
      <w:r w:rsidRPr="002964A7">
        <w:rPr>
          <w:rFonts w:ascii="Verdana" w:hAnsi="Verdana" w:cs="Verdana"/>
          <w:spacing w:val="-2"/>
          <w:sz w:val="20"/>
          <w:szCs w:val="20"/>
        </w:rPr>
        <w:t>los</w:t>
      </w:r>
      <w:r w:rsidRPr="002964A7">
        <w:rPr>
          <w:rFonts w:ascii="Verdana" w:eastAsia="MS Mincho" w:hAnsi="Verdana"/>
          <w:spacing w:val="-2"/>
          <w:sz w:val="20"/>
          <w:szCs w:val="20"/>
        </w:rPr>
        <w:t xml:space="preserve"> señores Zenón Cirilo Osnayo Tunque y José Pablo Baraybar Do Carmo, respectivamente, con base en la tabla de viáticos de la Organización de Estados Americanos (OEA) aplicable a la ciudad de San José, Costa Rica, vigente al mes de enero de 2015, no siendo suficiente la </w:t>
      </w:r>
      <w:r w:rsidRPr="002964A7">
        <w:rPr>
          <w:rFonts w:ascii="Verdana" w:hAnsi="Verdana" w:cs="Verdana"/>
          <w:spacing w:val="-2"/>
          <w:sz w:val="20"/>
          <w:szCs w:val="20"/>
        </w:rPr>
        <w:t>sola</w:t>
      </w:r>
      <w:r w:rsidRPr="002964A7">
        <w:rPr>
          <w:rFonts w:ascii="Verdana" w:eastAsia="MS Mincho" w:hAnsi="Verdana"/>
          <w:spacing w:val="-2"/>
          <w:sz w:val="20"/>
          <w:szCs w:val="20"/>
        </w:rPr>
        <w:t xml:space="preserve"> presentación de los Recibos N</w:t>
      </w:r>
      <w:r>
        <w:rPr>
          <w:rFonts w:ascii="Verdana" w:eastAsia="MS Mincho" w:hAnsi="Verdana"/>
          <w:spacing w:val="-2"/>
          <w:sz w:val="20"/>
          <w:szCs w:val="20"/>
        </w:rPr>
        <w:t>o.</w:t>
      </w:r>
      <w:r w:rsidRPr="002964A7">
        <w:rPr>
          <w:rFonts w:ascii="Verdana" w:eastAsia="MS Mincho" w:hAnsi="Verdana"/>
          <w:spacing w:val="-2"/>
          <w:sz w:val="20"/>
          <w:szCs w:val="20"/>
        </w:rPr>
        <w:t xml:space="preserve"> 0008005 y N</w:t>
      </w:r>
      <w:r>
        <w:rPr>
          <w:rFonts w:ascii="Verdana" w:eastAsia="MS Mincho" w:hAnsi="Verdana"/>
          <w:spacing w:val="-2"/>
          <w:sz w:val="20"/>
          <w:szCs w:val="20"/>
        </w:rPr>
        <w:t>o.</w:t>
      </w:r>
      <w:r w:rsidRPr="002964A7">
        <w:rPr>
          <w:rFonts w:ascii="Verdana" w:eastAsia="MS Mincho" w:hAnsi="Verdana"/>
          <w:spacing w:val="-2"/>
          <w:sz w:val="20"/>
          <w:szCs w:val="20"/>
        </w:rPr>
        <w:t xml:space="preserve"> 0008006 de fecha de 26 de enero de 2015. Así, señaló que es necesario conocer el detalle de los gastos y su debido sustento probatorio. Por otra parte, en cuanto al Recibo N</w:t>
      </w:r>
      <w:r>
        <w:rPr>
          <w:rFonts w:ascii="Verdana" w:eastAsia="MS Mincho" w:hAnsi="Verdana"/>
          <w:spacing w:val="-2"/>
          <w:sz w:val="20"/>
          <w:szCs w:val="20"/>
        </w:rPr>
        <w:t>o.</w:t>
      </w:r>
      <w:r w:rsidRPr="002964A7">
        <w:rPr>
          <w:rFonts w:ascii="Verdana" w:eastAsia="MS Mincho" w:hAnsi="Verdana"/>
          <w:spacing w:val="-2"/>
          <w:sz w:val="20"/>
          <w:szCs w:val="20"/>
        </w:rPr>
        <w:t xml:space="preserve"> 0008023 relativo a los gastos de transporte, hospedaje y alimentación en Perú por el traslado de Zenón Cirilo Osnayo Tunque de Lima a Huancavelica, ascendente a un gasto de USD $ 41.78, el Estado sostuvo que dicho monto no contaba con un sustento documental que lo acreditara, por lo que no debería ser considerad</w:t>
      </w:r>
      <w:r>
        <w:rPr>
          <w:rFonts w:ascii="Verdana" w:eastAsia="MS Mincho" w:hAnsi="Verdana"/>
          <w:spacing w:val="-2"/>
          <w:sz w:val="20"/>
          <w:szCs w:val="20"/>
        </w:rPr>
        <w:t>o</w:t>
      </w:r>
      <w:r w:rsidRPr="002964A7">
        <w:rPr>
          <w:rFonts w:ascii="Verdana" w:eastAsia="MS Mincho" w:hAnsi="Verdana"/>
          <w:spacing w:val="-2"/>
          <w:sz w:val="20"/>
          <w:szCs w:val="20"/>
        </w:rPr>
        <w:t>. Además, el Estado recordó que, antes de ordenar a un Estado el reintegro al Fondo de los gastos en que se hubiese incurrido, la Corte deberá determinar que en el caso particular se configuraron violaciones a la Convención Americana, lo cual a su consideración no ocurriría en el presente caso.</w:t>
      </w:r>
    </w:p>
    <w:p w:rsidR="00AB496F" w:rsidRPr="002964A7" w:rsidRDefault="00AB496F" w:rsidP="00AB496F">
      <w:pPr>
        <w:tabs>
          <w:tab w:val="left" w:pos="720"/>
          <w:tab w:val="num" w:pos="11028"/>
        </w:tabs>
        <w:spacing w:after="0" w:line="240" w:lineRule="auto"/>
        <w:ind w:right="-90"/>
        <w:jc w:val="both"/>
        <w:rPr>
          <w:rFonts w:ascii="Verdana" w:eastAsia="MS Mincho"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pacing w:val="-2"/>
          <w:sz w:val="20"/>
          <w:szCs w:val="20"/>
        </w:rPr>
      </w:pPr>
      <w:r w:rsidRPr="002964A7">
        <w:rPr>
          <w:rFonts w:ascii="Verdana" w:eastAsia="MS Mincho" w:hAnsi="Verdana"/>
          <w:spacing w:val="-2"/>
          <w:sz w:val="20"/>
          <w:szCs w:val="20"/>
        </w:rPr>
        <w:t xml:space="preserve">En cuanto a las objeciones del Estado respecto a la falta de documentación que sustente los montos erogados por concepto de viáticos y gastos de transporte, la Corte recuerda que, de conformidad con el artículo 6 del Reglamento de la Corte sobre el Funcionamiento del Fondo de Asistencia Legal de Víctimas, “a falta de disposición en [dicho] Reglamento, o en caso de duda sobre su interpretación, la Corte decidirá”. Al respecto, </w:t>
      </w:r>
      <w:r>
        <w:rPr>
          <w:rFonts w:ascii="Verdana" w:eastAsia="MS Mincho" w:hAnsi="Verdana"/>
          <w:spacing w:val="-2"/>
          <w:sz w:val="20"/>
          <w:szCs w:val="20"/>
        </w:rPr>
        <w:t>desde que comenzó a funcionar el Fondo</w:t>
      </w:r>
      <w:r w:rsidRPr="002964A7">
        <w:rPr>
          <w:rStyle w:val="FootnoteReference"/>
          <w:rFonts w:eastAsia="MS Mincho"/>
          <w:spacing w:val="-2"/>
          <w:szCs w:val="20"/>
        </w:rPr>
        <w:footnoteReference w:id="387"/>
      </w:r>
      <w:r w:rsidRPr="002964A7">
        <w:rPr>
          <w:rFonts w:ascii="Verdana" w:eastAsia="MS Mincho" w:hAnsi="Verdana"/>
          <w:spacing w:val="-2"/>
          <w:sz w:val="20"/>
          <w:szCs w:val="20"/>
        </w:rPr>
        <w:t xml:space="preserve">, este Tribunal ha establecido como política entregar a las personas cubiertas por el </w:t>
      </w:r>
      <w:r>
        <w:rPr>
          <w:rFonts w:ascii="Verdana" w:eastAsia="MS Mincho" w:hAnsi="Verdana"/>
          <w:spacing w:val="-2"/>
          <w:sz w:val="20"/>
          <w:szCs w:val="20"/>
        </w:rPr>
        <w:t>mismo,</w:t>
      </w:r>
      <w:r w:rsidRPr="002964A7">
        <w:rPr>
          <w:rFonts w:ascii="Verdana" w:eastAsia="MS Mincho" w:hAnsi="Verdana"/>
          <w:spacing w:val="-2"/>
          <w:sz w:val="20"/>
          <w:szCs w:val="20"/>
        </w:rPr>
        <w:t xml:space="preserve"> un monto fijo de viáticos, lo cual incluye hospedaje y alimentación, tomando como base de referencia la tabla de viáticos vigente de la OEA aplicable a la ciudad de San José, Costa Rica, sin necesidad de que presenten facturas que demuestren los gastos efectuados. Lo anterior, dado que esta tabla refleja el monto que, según la OEA, razonablemente desembolsaría una persona en hospedaje y alimentación en dicha ciudad. Asimismo, el procedimiento de pedir facturas a los beneficiarios del Fondo de Asistencia por los viáticos recibidos presentaría serios obstáculos para la correcta y expedita administración del Fondo de Asistencia. También por esta razón es que, en cuanto a los gastos terminales, es decir, los gastos por trasporte para el traslado hacia y desde la estación terminal y otros gastos incidentales, el Tribunal únicamente requiere que se comprueben aquellos gastos realizados desde el punto de origen hasta la sede del Tribunal en San José, siendo razonable que el mismo monto sea desembolsado en el viaje de retorno de la persona correspondiente. Por tanto, la Corte desestima las objeciones del Estado.  </w:t>
      </w:r>
    </w:p>
    <w:p w:rsidR="00AB496F" w:rsidRPr="002964A7" w:rsidRDefault="00AB496F" w:rsidP="00AB496F">
      <w:pPr>
        <w:tabs>
          <w:tab w:val="left" w:pos="720"/>
          <w:tab w:val="num" w:pos="11028"/>
        </w:tabs>
        <w:spacing w:after="0" w:line="240" w:lineRule="auto"/>
        <w:ind w:right="-90"/>
        <w:jc w:val="both"/>
        <w:rPr>
          <w:rFonts w:ascii="Verdana" w:eastAsia="MS Mincho"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MS Mincho" w:hAnsi="Verdana"/>
          <w:spacing w:val="-2"/>
          <w:sz w:val="20"/>
          <w:szCs w:val="20"/>
        </w:rPr>
      </w:pPr>
      <w:r w:rsidRPr="002964A7">
        <w:rPr>
          <w:rFonts w:ascii="Verdana" w:eastAsia="MS Mincho" w:hAnsi="Verdana"/>
          <w:spacing w:val="-2"/>
          <w:sz w:val="20"/>
          <w:szCs w:val="20"/>
        </w:rPr>
        <w:t xml:space="preserve">Con base en lo </w:t>
      </w:r>
      <w:r w:rsidRPr="00F13F0B">
        <w:rPr>
          <w:rFonts w:ascii="Verdana" w:hAnsi="Verdana" w:cs="Verdana"/>
          <w:spacing w:val="-2"/>
          <w:sz w:val="20"/>
          <w:szCs w:val="20"/>
        </w:rPr>
        <w:t>anterior</w:t>
      </w:r>
      <w:r w:rsidRPr="002964A7">
        <w:rPr>
          <w:rFonts w:ascii="Verdana" w:eastAsia="MS Mincho" w:hAnsi="Verdana"/>
          <w:spacing w:val="-2"/>
          <w:sz w:val="20"/>
          <w:szCs w:val="20"/>
        </w:rPr>
        <w:t xml:space="preserve">, en razón de las violaciones declaradas en la presente Sentencia y que se cumplió </w:t>
      </w:r>
      <w:r w:rsidRPr="002964A7">
        <w:rPr>
          <w:rFonts w:ascii="Verdana" w:hAnsi="Verdana" w:cs="Verdana"/>
          <w:spacing w:val="-2"/>
          <w:sz w:val="20"/>
          <w:szCs w:val="20"/>
        </w:rPr>
        <w:t>con</w:t>
      </w:r>
      <w:r w:rsidRPr="002964A7">
        <w:rPr>
          <w:rFonts w:ascii="Verdana" w:eastAsia="MS Mincho" w:hAnsi="Verdana"/>
          <w:spacing w:val="-2"/>
          <w:sz w:val="20"/>
          <w:szCs w:val="20"/>
        </w:rPr>
        <w:t xml:space="preserve"> los requisitos para acogerse al Fondo</w:t>
      </w:r>
      <w:r w:rsidRPr="004A171C">
        <w:rPr>
          <w:rFonts w:ascii="Verdana" w:eastAsia="MS Mincho" w:hAnsi="Verdana"/>
          <w:spacing w:val="-2"/>
          <w:sz w:val="20"/>
          <w:szCs w:val="20"/>
        </w:rPr>
        <w:t xml:space="preserve"> de Asistencia Legal de Víctimas</w:t>
      </w:r>
      <w:r w:rsidRPr="002964A7">
        <w:rPr>
          <w:rFonts w:ascii="Verdana" w:eastAsia="MS Mincho" w:hAnsi="Verdana"/>
          <w:spacing w:val="-2"/>
          <w:sz w:val="20"/>
          <w:szCs w:val="20"/>
        </w:rPr>
        <w:t xml:space="preserve">, la Corte ordena al Estado el reintegro a dicho Fondo de la cantidad de USD $3,457.40 (tres mil cuatrocientos cincuenta y siete dólares de </w:t>
      </w:r>
      <w:r w:rsidRPr="002964A7">
        <w:rPr>
          <w:rFonts w:ascii="Verdana" w:hAnsi="Verdana" w:cs="Verdana"/>
          <w:spacing w:val="-2"/>
          <w:sz w:val="20"/>
          <w:szCs w:val="20"/>
        </w:rPr>
        <w:t>los</w:t>
      </w:r>
      <w:r w:rsidRPr="002964A7">
        <w:rPr>
          <w:rFonts w:ascii="Verdana" w:eastAsia="MS Mincho" w:hAnsi="Verdana"/>
          <w:spacing w:val="-2"/>
          <w:sz w:val="20"/>
          <w:szCs w:val="20"/>
        </w:rPr>
        <w:t xml:space="preserve"> Estados Unidos de América con cuarenta centavos) por concepto de los gastos realizados para la comparecencia de un testigo y un perito en la audiencia pública del presente caso y la formalización y envío de </w:t>
      </w:r>
      <w:r>
        <w:rPr>
          <w:rFonts w:ascii="Verdana" w:eastAsia="MS Mincho" w:hAnsi="Verdana"/>
          <w:spacing w:val="-2"/>
          <w:sz w:val="20"/>
          <w:szCs w:val="20"/>
        </w:rPr>
        <w:t>un</w:t>
      </w:r>
      <w:r w:rsidRPr="002964A7">
        <w:rPr>
          <w:rFonts w:ascii="Verdana" w:eastAsia="MS Mincho" w:hAnsi="Verdana"/>
          <w:spacing w:val="-2"/>
          <w:sz w:val="20"/>
          <w:szCs w:val="20"/>
        </w:rPr>
        <w:t xml:space="preserve"> </w:t>
      </w:r>
      <w:r w:rsidRPr="002964A7">
        <w:rPr>
          <w:rFonts w:ascii="Verdana" w:eastAsia="MS Mincho" w:hAnsi="Verdana"/>
          <w:i/>
          <w:spacing w:val="-2"/>
          <w:sz w:val="20"/>
          <w:szCs w:val="20"/>
        </w:rPr>
        <w:t>affidávit</w:t>
      </w:r>
      <w:r w:rsidRPr="002964A7">
        <w:rPr>
          <w:rFonts w:ascii="Verdana" w:eastAsia="MS Mincho" w:hAnsi="Verdana"/>
          <w:spacing w:val="-2"/>
          <w:sz w:val="20"/>
          <w:szCs w:val="20"/>
        </w:rPr>
        <w:t>. Dicha cantidad deberá ser reintegrada en el plazo de noventa días, contados a partir de la notificación del presente Fallo.</w:t>
      </w:r>
    </w:p>
    <w:p w:rsidR="00AB496F" w:rsidRPr="003F6A37" w:rsidRDefault="00AB496F" w:rsidP="001154F9">
      <w:pPr>
        <w:pStyle w:val="Estilo2"/>
        <w:rPr>
          <w:sz w:val="6"/>
        </w:rPr>
      </w:pPr>
    </w:p>
    <w:p w:rsidR="00AB496F" w:rsidRPr="002964A7" w:rsidRDefault="0049269B" w:rsidP="0049269B">
      <w:pPr>
        <w:pStyle w:val="Heading3"/>
      </w:pPr>
      <w:bookmarkStart w:id="287" w:name="_Toc423102585"/>
      <w:bookmarkStart w:id="288" w:name="_Toc433387541"/>
      <w:r>
        <w:t xml:space="preserve">G. </w:t>
      </w:r>
      <w:r w:rsidR="00AB496F" w:rsidRPr="002964A7">
        <w:t>Modalidad de cumplimiento de los pagos ordenados</w:t>
      </w:r>
      <w:bookmarkEnd w:id="287"/>
      <w:bookmarkEnd w:id="288"/>
    </w:p>
    <w:p w:rsidR="00AB496F" w:rsidRPr="003F6A37" w:rsidRDefault="00AB496F" w:rsidP="00AB496F">
      <w:pPr>
        <w:widowControl w:val="0"/>
        <w:autoSpaceDE w:val="0"/>
        <w:autoSpaceDN w:val="0"/>
        <w:adjustRightInd w:val="0"/>
        <w:spacing w:after="0" w:line="240" w:lineRule="auto"/>
        <w:contextualSpacing/>
        <w:jc w:val="both"/>
        <w:textAlignment w:val="baseline"/>
        <w:rPr>
          <w:rFonts w:ascii="Verdana" w:hAnsi="Verdana"/>
          <w:spacing w:val="-2"/>
          <w:sz w:val="16"/>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El Estado deberá efectuar el pago de las indemnizaciones por concepto de daño </w:t>
      </w:r>
      <w:r>
        <w:rPr>
          <w:rFonts w:ascii="Verdana" w:hAnsi="Verdana"/>
          <w:spacing w:val="-2"/>
          <w:sz w:val="20"/>
          <w:szCs w:val="20"/>
        </w:rPr>
        <w:t xml:space="preserve">material e </w:t>
      </w:r>
      <w:r w:rsidRPr="002964A7">
        <w:rPr>
          <w:rFonts w:ascii="Verdana" w:eastAsia="MS Mincho" w:hAnsi="Verdana"/>
          <w:spacing w:val="-2"/>
          <w:sz w:val="20"/>
          <w:szCs w:val="20"/>
        </w:rPr>
        <w:t>inmaterial</w:t>
      </w:r>
      <w:r>
        <w:rPr>
          <w:rFonts w:ascii="Verdana" w:eastAsia="MS Mincho" w:hAnsi="Verdana"/>
          <w:spacing w:val="-2"/>
          <w:sz w:val="20"/>
          <w:szCs w:val="20"/>
        </w:rPr>
        <w:t>, así como</w:t>
      </w:r>
      <w:r w:rsidRPr="002964A7">
        <w:rPr>
          <w:rFonts w:ascii="Verdana" w:hAnsi="Verdana"/>
          <w:spacing w:val="-2"/>
          <w:sz w:val="20"/>
          <w:szCs w:val="20"/>
        </w:rPr>
        <w:t xml:space="preserve"> el reintegro de costas y gastos establecidos en la presente </w:t>
      </w:r>
      <w:r w:rsidRPr="002964A7">
        <w:rPr>
          <w:rFonts w:ascii="Verdana" w:hAnsi="Verdana"/>
          <w:spacing w:val="-2"/>
          <w:sz w:val="20"/>
          <w:szCs w:val="20"/>
        </w:rPr>
        <w:lastRenderedPageBreak/>
        <w:t xml:space="preserve">Sentencia directamente a las personas </w:t>
      </w:r>
      <w:r w:rsidRPr="002964A7">
        <w:rPr>
          <w:rFonts w:ascii="Verdana" w:hAnsi="Verdana" w:cs="Verdana"/>
          <w:spacing w:val="-2"/>
          <w:sz w:val="20"/>
          <w:szCs w:val="20"/>
        </w:rPr>
        <w:t>indicadas</w:t>
      </w:r>
      <w:r w:rsidRPr="002964A7">
        <w:rPr>
          <w:rFonts w:ascii="Verdana" w:hAnsi="Verdana"/>
          <w:spacing w:val="-2"/>
          <w:sz w:val="20"/>
          <w:szCs w:val="20"/>
        </w:rPr>
        <w:t xml:space="preserve"> en la </w:t>
      </w:r>
      <w:r w:rsidRPr="002964A7">
        <w:rPr>
          <w:rFonts w:ascii="Verdana" w:hAnsi="Verdana" w:cs="Verdana"/>
          <w:spacing w:val="-2"/>
          <w:sz w:val="20"/>
          <w:szCs w:val="20"/>
        </w:rPr>
        <w:t>misma</w:t>
      </w:r>
      <w:r w:rsidRPr="002964A7">
        <w:rPr>
          <w:rFonts w:ascii="Verdana" w:hAnsi="Verdana"/>
          <w:spacing w:val="-2"/>
          <w:sz w:val="20"/>
          <w:szCs w:val="20"/>
        </w:rPr>
        <w:t xml:space="preserve">, dentro del plazo de un año, contado a partir de la notificación del presente Fallo, en los términos de los siguientes párrafos. </w:t>
      </w:r>
    </w:p>
    <w:p w:rsidR="00AB496F" w:rsidRPr="002964A7" w:rsidRDefault="00AB496F" w:rsidP="00AB496F">
      <w:pPr>
        <w:tabs>
          <w:tab w:val="left" w:pos="567"/>
        </w:tabs>
        <w:spacing w:after="0" w:line="240" w:lineRule="auto"/>
        <w:jc w:val="both"/>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cs="Arial"/>
          <w:spacing w:val="-2"/>
          <w:sz w:val="20"/>
          <w:szCs w:val="20"/>
        </w:rPr>
        <w:t xml:space="preserve">En el caso de las víctimas de la desaparición forzada y de los familiares </w:t>
      </w:r>
      <w:r>
        <w:rPr>
          <w:rFonts w:ascii="Verdana" w:hAnsi="Verdana" w:cs="Arial"/>
          <w:spacing w:val="-2"/>
          <w:sz w:val="20"/>
          <w:szCs w:val="20"/>
        </w:rPr>
        <w:t xml:space="preserve">de estas </w:t>
      </w:r>
      <w:r w:rsidRPr="002964A7">
        <w:rPr>
          <w:rFonts w:ascii="Verdana" w:hAnsi="Verdana" w:cs="Arial"/>
          <w:spacing w:val="-2"/>
          <w:sz w:val="20"/>
          <w:szCs w:val="20"/>
        </w:rPr>
        <w:t xml:space="preserve">que a la fecha han fallecido, </w:t>
      </w:r>
      <w:r>
        <w:rPr>
          <w:rFonts w:ascii="Verdana" w:hAnsi="Verdana" w:cs="Arial"/>
          <w:spacing w:val="-2"/>
          <w:sz w:val="20"/>
          <w:szCs w:val="20"/>
        </w:rPr>
        <w:t>l</w:t>
      </w:r>
      <w:r w:rsidRPr="00786593">
        <w:rPr>
          <w:rFonts w:ascii="Verdana" w:eastAsia="Calibri" w:hAnsi="Verdana"/>
          <w:spacing w:val="-2"/>
          <w:sz w:val="20"/>
        </w:rPr>
        <w:t xml:space="preserve">os montos dispuestos </w:t>
      </w:r>
      <w:r>
        <w:rPr>
          <w:rFonts w:ascii="Verdana" w:eastAsia="Calibri" w:hAnsi="Verdana"/>
          <w:spacing w:val="-2"/>
          <w:sz w:val="20"/>
        </w:rPr>
        <w:t xml:space="preserve">deberán ser pagados de conformidad con los párrafos 339 y 344 de esta Sentencia. </w:t>
      </w:r>
      <w:r w:rsidRPr="002964A7">
        <w:rPr>
          <w:rFonts w:ascii="Verdana" w:hAnsi="Verdana"/>
          <w:spacing w:val="-2"/>
          <w:sz w:val="20"/>
          <w:szCs w:val="20"/>
        </w:rPr>
        <w:t xml:space="preserve">En caso de que los beneficiarios </w:t>
      </w:r>
      <w:r>
        <w:rPr>
          <w:rFonts w:ascii="Verdana" w:hAnsi="Verdana"/>
          <w:spacing w:val="-2"/>
          <w:sz w:val="20"/>
          <w:szCs w:val="20"/>
        </w:rPr>
        <w:t xml:space="preserve">no contemplados en los párrafos 339 y 344 de esta Sentencia </w:t>
      </w:r>
      <w:r w:rsidRPr="002964A7">
        <w:rPr>
          <w:rFonts w:ascii="Verdana" w:hAnsi="Verdana"/>
          <w:spacing w:val="-2"/>
          <w:sz w:val="20"/>
          <w:szCs w:val="20"/>
        </w:rPr>
        <w:t xml:space="preserve">fallezcan antes de que les sean entregadas las </w:t>
      </w:r>
      <w:r w:rsidRPr="002964A7">
        <w:rPr>
          <w:rFonts w:ascii="Verdana" w:eastAsia="MS Mincho" w:hAnsi="Verdana"/>
          <w:spacing w:val="-2"/>
          <w:sz w:val="20"/>
          <w:szCs w:val="20"/>
        </w:rPr>
        <w:t>indemnizaciones</w:t>
      </w:r>
      <w:r w:rsidRPr="002964A7">
        <w:rPr>
          <w:rFonts w:ascii="Verdana" w:hAnsi="Verdana"/>
          <w:spacing w:val="-2"/>
          <w:sz w:val="20"/>
          <w:szCs w:val="20"/>
        </w:rPr>
        <w:t xml:space="preserve"> respectivas, </w:t>
      </w:r>
      <w:r w:rsidR="00335E16">
        <w:rPr>
          <w:rFonts w:ascii="Verdana" w:hAnsi="Verdana" w:cs="Verdana"/>
          <w:spacing w:val="-2"/>
          <w:sz w:val="20"/>
          <w:szCs w:val="20"/>
        </w:rPr>
        <w:t>e</w:t>
      </w:r>
      <w:r w:rsidRPr="002964A7">
        <w:rPr>
          <w:rFonts w:ascii="Verdana" w:hAnsi="Verdana" w:cs="Verdana"/>
          <w:spacing w:val="-2"/>
          <w:sz w:val="20"/>
          <w:szCs w:val="20"/>
        </w:rPr>
        <w:t>stas</w:t>
      </w:r>
      <w:r w:rsidRPr="002964A7">
        <w:rPr>
          <w:rFonts w:ascii="Verdana" w:hAnsi="Verdana"/>
          <w:spacing w:val="-2"/>
          <w:sz w:val="20"/>
          <w:szCs w:val="20"/>
        </w:rPr>
        <w:t xml:space="preserve"> se </w:t>
      </w:r>
      <w:r w:rsidRPr="002964A7">
        <w:rPr>
          <w:rFonts w:ascii="Verdana" w:hAnsi="Verdana" w:cs="Verdana"/>
          <w:spacing w:val="-2"/>
          <w:sz w:val="20"/>
          <w:szCs w:val="20"/>
        </w:rPr>
        <w:t>efectuarán</w:t>
      </w:r>
      <w:r w:rsidRPr="002964A7">
        <w:rPr>
          <w:rFonts w:ascii="Verdana" w:hAnsi="Verdana"/>
          <w:spacing w:val="-2"/>
          <w:sz w:val="20"/>
          <w:szCs w:val="20"/>
        </w:rPr>
        <w:t xml:space="preserve"> directamente a sus derechohabientes, conforme al derecho interno aplicable.</w:t>
      </w:r>
    </w:p>
    <w:p w:rsidR="00AB496F" w:rsidRPr="002964A7" w:rsidRDefault="00AB496F" w:rsidP="00AB496F">
      <w:pPr>
        <w:widowControl w:val="0"/>
        <w:tabs>
          <w:tab w:val="left" w:pos="567"/>
        </w:tabs>
        <w:adjustRightInd w:val="0"/>
        <w:spacing w:after="0" w:line="240" w:lineRule="auto"/>
        <w:jc w:val="both"/>
        <w:textAlignment w:val="baseline"/>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trike/>
          <w:spacing w:val="-2"/>
          <w:sz w:val="20"/>
          <w:szCs w:val="20"/>
        </w:rPr>
      </w:pPr>
      <w:r w:rsidRPr="002964A7">
        <w:rPr>
          <w:rFonts w:ascii="Verdana" w:hAnsi="Verdana"/>
          <w:spacing w:val="-2"/>
          <w:sz w:val="20"/>
          <w:szCs w:val="20"/>
        </w:rPr>
        <w:t xml:space="preserve">El Estado debe cumplir sus </w:t>
      </w:r>
      <w:r w:rsidRPr="002964A7">
        <w:rPr>
          <w:rFonts w:ascii="Verdana" w:hAnsi="Verdana" w:cs="Verdana"/>
          <w:spacing w:val="-2"/>
          <w:sz w:val="20"/>
          <w:szCs w:val="20"/>
        </w:rPr>
        <w:t>obligaciones</w:t>
      </w:r>
      <w:r w:rsidRPr="002964A7">
        <w:rPr>
          <w:rFonts w:ascii="Verdana" w:hAnsi="Verdana"/>
          <w:spacing w:val="-2"/>
          <w:sz w:val="20"/>
          <w:szCs w:val="20"/>
        </w:rPr>
        <w:t xml:space="preserve"> mediante el pago en dólares de los Estados Unidos de </w:t>
      </w:r>
      <w:r w:rsidRPr="002964A7">
        <w:rPr>
          <w:rFonts w:ascii="Verdana" w:eastAsia="MS Mincho" w:hAnsi="Verdana"/>
          <w:spacing w:val="-2"/>
          <w:sz w:val="20"/>
          <w:szCs w:val="20"/>
        </w:rPr>
        <w:t>América</w:t>
      </w:r>
      <w:r w:rsidRPr="002964A7">
        <w:rPr>
          <w:rFonts w:ascii="Verdana" w:hAnsi="Verdana"/>
          <w:spacing w:val="-2"/>
          <w:sz w:val="20"/>
          <w:szCs w:val="20"/>
        </w:rPr>
        <w:t xml:space="preserve"> o moneda peruana, utilizando para el cálculo respectivo el tipo de cambio entre ambas </w:t>
      </w:r>
      <w:r w:rsidRPr="002964A7">
        <w:rPr>
          <w:rFonts w:ascii="Verdana" w:hAnsi="Verdana" w:cs="Verdana"/>
          <w:spacing w:val="-2"/>
          <w:sz w:val="20"/>
          <w:szCs w:val="20"/>
        </w:rPr>
        <w:t>monedas</w:t>
      </w:r>
      <w:r w:rsidRPr="002964A7">
        <w:rPr>
          <w:rFonts w:ascii="Verdana" w:hAnsi="Verdana"/>
          <w:spacing w:val="-2"/>
          <w:sz w:val="20"/>
          <w:szCs w:val="20"/>
        </w:rPr>
        <w:t xml:space="preserve"> que esté vigente en la bolsa de Nueva York, Estados Unidos de América, el día anterior al pago.</w:t>
      </w:r>
    </w:p>
    <w:p w:rsidR="00AB496F" w:rsidRPr="002964A7" w:rsidRDefault="00AB496F" w:rsidP="00AB496F">
      <w:pPr>
        <w:widowControl w:val="0"/>
        <w:tabs>
          <w:tab w:val="left" w:pos="567"/>
        </w:tabs>
        <w:adjustRightInd w:val="0"/>
        <w:spacing w:after="0" w:line="240" w:lineRule="auto"/>
        <w:jc w:val="both"/>
        <w:textAlignment w:val="baseline"/>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Si por causas atribuibles a los beneficiarios de las indemnizaciones</w:t>
      </w:r>
      <w:r>
        <w:rPr>
          <w:rFonts w:ascii="Verdana" w:hAnsi="Verdana"/>
          <w:spacing w:val="-2"/>
          <w:sz w:val="20"/>
          <w:szCs w:val="20"/>
        </w:rPr>
        <w:t xml:space="preserve"> o a sus derechohabientes</w:t>
      </w:r>
      <w:r w:rsidRPr="002964A7">
        <w:rPr>
          <w:rFonts w:ascii="Verdana" w:hAnsi="Verdana"/>
          <w:spacing w:val="-2"/>
          <w:sz w:val="20"/>
          <w:szCs w:val="20"/>
        </w:rPr>
        <w:t xml:space="preserve"> no fuese posible que las </w:t>
      </w:r>
      <w:r w:rsidRPr="002964A7">
        <w:rPr>
          <w:rFonts w:ascii="Verdana" w:eastAsia="MS Mincho" w:hAnsi="Verdana"/>
          <w:spacing w:val="-2"/>
          <w:sz w:val="20"/>
          <w:szCs w:val="20"/>
        </w:rPr>
        <w:t>reciban</w:t>
      </w:r>
      <w:r w:rsidRPr="002964A7">
        <w:rPr>
          <w:rFonts w:ascii="Verdana" w:hAnsi="Verdana"/>
          <w:spacing w:val="-2"/>
          <w:sz w:val="20"/>
          <w:szCs w:val="20"/>
        </w:rPr>
        <w:t xml:space="preserve"> dentro </w:t>
      </w:r>
      <w:r w:rsidRPr="002964A7">
        <w:rPr>
          <w:rFonts w:ascii="Verdana" w:hAnsi="Verdana" w:cs="Verdana"/>
          <w:spacing w:val="-2"/>
          <w:sz w:val="20"/>
          <w:szCs w:val="20"/>
        </w:rPr>
        <w:t>del</w:t>
      </w:r>
      <w:r w:rsidRPr="002964A7">
        <w:rPr>
          <w:rFonts w:ascii="Verdana" w:hAnsi="Verdana"/>
          <w:spacing w:val="-2"/>
          <w:sz w:val="20"/>
          <w:szCs w:val="20"/>
        </w:rPr>
        <w:t xml:space="preserve"> plazo indicado, el Estado consignará dichos montos a su favor en una cuenta o certificado de depósito en una institución financiera peruana</w:t>
      </w:r>
      <w:r>
        <w:rPr>
          <w:rFonts w:ascii="Verdana" w:hAnsi="Verdana"/>
          <w:spacing w:val="-2"/>
          <w:sz w:val="20"/>
          <w:szCs w:val="20"/>
        </w:rPr>
        <w:t xml:space="preserve"> solvente</w:t>
      </w:r>
      <w:r w:rsidRPr="002964A7">
        <w:rPr>
          <w:rFonts w:ascii="Verdana" w:hAnsi="Verdana"/>
          <w:spacing w:val="-2"/>
          <w:sz w:val="20"/>
          <w:szCs w:val="20"/>
        </w:rPr>
        <w:t>, en dólares de los Estados Unidos de América y en las condiciones financieras más favorables que permitan la legislación y la práctica bancaria del Estado. Si al cabo de 10 años las indemnizaciones no han sido reclamadas, las cantidades serán devueltas al Estado con los intereses devengados.</w:t>
      </w:r>
    </w:p>
    <w:p w:rsidR="00AB496F" w:rsidRPr="002964A7" w:rsidRDefault="00AB496F" w:rsidP="00AB496F">
      <w:pPr>
        <w:widowControl w:val="0"/>
        <w:tabs>
          <w:tab w:val="left" w:pos="567"/>
        </w:tabs>
        <w:adjustRightInd w:val="0"/>
        <w:spacing w:after="0" w:line="240" w:lineRule="auto"/>
        <w:jc w:val="both"/>
        <w:textAlignment w:val="baseline"/>
        <w:rPr>
          <w:rFonts w:ascii="Verdana" w:hAnsi="Verdana"/>
          <w:spacing w:val="-2"/>
          <w:sz w:val="20"/>
          <w:szCs w:val="20"/>
        </w:rPr>
      </w:pPr>
    </w:p>
    <w:p w:rsidR="00AB496F" w:rsidRPr="002964A7" w:rsidRDefault="00AB496F"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2964A7">
        <w:rPr>
          <w:rFonts w:ascii="Verdana" w:hAnsi="Verdana"/>
          <w:spacing w:val="-2"/>
          <w:sz w:val="20"/>
          <w:szCs w:val="20"/>
        </w:rPr>
        <w:t xml:space="preserve">Las cantidades asignadas en la presente Sentencia como indemnización deberán ser </w:t>
      </w:r>
      <w:r w:rsidRPr="002964A7">
        <w:rPr>
          <w:rFonts w:ascii="Verdana" w:eastAsia="MS Mincho" w:hAnsi="Verdana"/>
          <w:spacing w:val="-2"/>
          <w:sz w:val="20"/>
          <w:szCs w:val="20"/>
        </w:rPr>
        <w:t>entregadas</w:t>
      </w:r>
      <w:r w:rsidRPr="002964A7">
        <w:rPr>
          <w:rFonts w:ascii="Verdana" w:hAnsi="Verdana"/>
          <w:spacing w:val="-2"/>
          <w:sz w:val="20"/>
          <w:szCs w:val="20"/>
        </w:rPr>
        <w:t xml:space="preserve"> a las personas </w:t>
      </w:r>
      <w:r w:rsidRPr="002964A7">
        <w:rPr>
          <w:rFonts w:ascii="Verdana" w:hAnsi="Verdana" w:cs="Verdana"/>
          <w:spacing w:val="-2"/>
          <w:sz w:val="20"/>
          <w:szCs w:val="20"/>
        </w:rPr>
        <w:t>indicadas</w:t>
      </w:r>
      <w:r w:rsidRPr="002964A7">
        <w:rPr>
          <w:rFonts w:ascii="Verdana" w:hAnsi="Verdana"/>
          <w:spacing w:val="-2"/>
          <w:sz w:val="20"/>
          <w:szCs w:val="20"/>
        </w:rPr>
        <w:t xml:space="preserve"> en forma íntegra conforme a lo establecido en este Fallo, sin reducciones derivadas de eventuales cargas fiscales.</w:t>
      </w:r>
    </w:p>
    <w:p w:rsidR="00AB496F" w:rsidRPr="002964A7" w:rsidRDefault="00AB496F" w:rsidP="00AB496F">
      <w:pPr>
        <w:widowControl w:val="0"/>
        <w:tabs>
          <w:tab w:val="left" w:pos="0"/>
        </w:tabs>
        <w:adjustRightInd w:val="0"/>
        <w:spacing w:after="0" w:line="240" w:lineRule="auto"/>
        <w:jc w:val="both"/>
        <w:textAlignment w:val="baseline"/>
        <w:rPr>
          <w:rFonts w:ascii="Verdana" w:hAnsi="Verdana"/>
          <w:spacing w:val="-2"/>
          <w:sz w:val="20"/>
          <w:szCs w:val="20"/>
        </w:rPr>
      </w:pPr>
    </w:p>
    <w:p w:rsidR="00AB496F" w:rsidRPr="00897439" w:rsidRDefault="00AB496F" w:rsidP="001154F9">
      <w:pPr>
        <w:pStyle w:val="ListParagraph"/>
        <w:numPr>
          <w:ilvl w:val="0"/>
          <w:numId w:val="7"/>
        </w:numPr>
        <w:autoSpaceDE w:val="0"/>
        <w:autoSpaceDN w:val="0"/>
        <w:adjustRightInd w:val="0"/>
        <w:spacing w:after="0" w:line="240" w:lineRule="auto"/>
        <w:ind w:left="0" w:firstLine="0"/>
        <w:jc w:val="both"/>
        <w:rPr>
          <w:rFonts w:ascii="Verdana" w:eastAsia="Calibri" w:hAnsi="Verdana"/>
          <w:b/>
          <w:sz w:val="20"/>
        </w:rPr>
      </w:pPr>
      <w:r w:rsidRPr="009D1117">
        <w:rPr>
          <w:rFonts w:ascii="Verdana" w:hAnsi="Verdana"/>
          <w:spacing w:val="-2"/>
          <w:sz w:val="20"/>
          <w:szCs w:val="20"/>
        </w:rPr>
        <w:t xml:space="preserve">En </w:t>
      </w:r>
      <w:r w:rsidRPr="009D1117">
        <w:rPr>
          <w:rFonts w:ascii="Verdana" w:eastAsia="MS Mincho" w:hAnsi="Verdana"/>
          <w:spacing w:val="-2"/>
          <w:sz w:val="20"/>
          <w:szCs w:val="20"/>
        </w:rPr>
        <w:t>caso</w:t>
      </w:r>
      <w:r w:rsidRPr="009D1117">
        <w:rPr>
          <w:rFonts w:ascii="Verdana" w:hAnsi="Verdana"/>
          <w:spacing w:val="-2"/>
          <w:sz w:val="20"/>
          <w:szCs w:val="20"/>
        </w:rPr>
        <w:t xml:space="preserve"> de que el Estado incurriera en mora</w:t>
      </w:r>
      <w:r w:rsidRPr="009D1117">
        <w:rPr>
          <w:rFonts w:ascii="Verdana" w:hAnsi="Verdana" w:cs="Verdana"/>
          <w:spacing w:val="-2"/>
          <w:sz w:val="20"/>
          <w:szCs w:val="20"/>
        </w:rPr>
        <w:t>, incluyendo en el reintegro de los gastos al Fondo de Asistencia Legal de Víctimas</w:t>
      </w:r>
      <w:r w:rsidRPr="00F13F0B">
        <w:rPr>
          <w:rFonts w:ascii="Verdana" w:hAnsi="Verdana"/>
          <w:spacing w:val="-2"/>
          <w:sz w:val="20"/>
          <w:szCs w:val="20"/>
        </w:rPr>
        <w:t xml:space="preserve">, deberá pagar un interés sobre la </w:t>
      </w:r>
      <w:r w:rsidRPr="00F13F0B">
        <w:rPr>
          <w:rFonts w:ascii="Verdana" w:eastAsia="MS Mincho" w:hAnsi="Verdana"/>
          <w:spacing w:val="-2"/>
          <w:sz w:val="20"/>
          <w:szCs w:val="20"/>
        </w:rPr>
        <w:t>cantidad</w:t>
      </w:r>
      <w:r w:rsidRPr="00F13F0B">
        <w:rPr>
          <w:rFonts w:ascii="Verdana" w:hAnsi="Verdana"/>
          <w:spacing w:val="-2"/>
          <w:sz w:val="20"/>
          <w:szCs w:val="20"/>
        </w:rPr>
        <w:t xml:space="preserve"> adeudada, correspondiente al interés bancario moratorio en la República del Perú.</w:t>
      </w:r>
    </w:p>
    <w:p w:rsidR="00897439" w:rsidRPr="00897439" w:rsidRDefault="00897439" w:rsidP="00897439">
      <w:pPr>
        <w:pStyle w:val="ListParagraph"/>
        <w:rPr>
          <w:rFonts w:ascii="Verdana" w:eastAsia="Calibri" w:hAnsi="Verdana"/>
          <w:b/>
          <w:sz w:val="20"/>
        </w:rPr>
      </w:pPr>
    </w:p>
    <w:p w:rsidR="00897439" w:rsidRDefault="00897439" w:rsidP="001154F9">
      <w:pPr>
        <w:pStyle w:val="Heading1"/>
      </w:pPr>
      <w:bookmarkStart w:id="289" w:name="_Toc433387542"/>
      <w:r>
        <w:t>XI</w:t>
      </w:r>
      <w:bookmarkEnd w:id="289"/>
    </w:p>
    <w:p w:rsidR="00897439" w:rsidRDefault="00897439" w:rsidP="001154F9">
      <w:pPr>
        <w:pStyle w:val="Heading1"/>
      </w:pPr>
      <w:bookmarkStart w:id="290" w:name="_Toc433387543"/>
      <w:r>
        <w:t>PUNTOS RESOLUTIVOS</w:t>
      </w:r>
      <w:bookmarkEnd w:id="290"/>
    </w:p>
    <w:p w:rsidR="00897439" w:rsidRDefault="00897439" w:rsidP="00897439">
      <w:pPr>
        <w:pStyle w:val="Default"/>
        <w:jc w:val="both"/>
        <w:rPr>
          <w:spacing w:val="-2"/>
          <w:sz w:val="20"/>
          <w:szCs w:val="20"/>
          <w:lang w:val="es-CR"/>
        </w:rPr>
      </w:pPr>
    </w:p>
    <w:p w:rsidR="00897439" w:rsidRPr="00624C2A" w:rsidRDefault="00897439" w:rsidP="001154F9">
      <w:pPr>
        <w:pStyle w:val="ListParagraph"/>
        <w:numPr>
          <w:ilvl w:val="0"/>
          <w:numId w:val="7"/>
        </w:numPr>
        <w:autoSpaceDE w:val="0"/>
        <w:autoSpaceDN w:val="0"/>
        <w:adjustRightInd w:val="0"/>
        <w:spacing w:after="0" w:line="240" w:lineRule="auto"/>
        <w:ind w:left="0" w:firstLine="0"/>
        <w:jc w:val="both"/>
        <w:rPr>
          <w:rFonts w:ascii="Verdana" w:hAnsi="Verdana"/>
          <w:spacing w:val="-2"/>
          <w:sz w:val="20"/>
          <w:szCs w:val="20"/>
        </w:rPr>
      </w:pPr>
      <w:r w:rsidRPr="00624C2A">
        <w:rPr>
          <w:rFonts w:ascii="Verdana" w:hAnsi="Verdana"/>
          <w:spacing w:val="-2"/>
          <w:sz w:val="20"/>
          <w:szCs w:val="20"/>
        </w:rPr>
        <w:t xml:space="preserve">Por </w:t>
      </w:r>
      <w:r w:rsidRPr="00624C2A">
        <w:rPr>
          <w:rFonts w:ascii="Verdana" w:eastAsia="MS Mincho" w:hAnsi="Verdana"/>
          <w:spacing w:val="-2"/>
          <w:sz w:val="20"/>
          <w:szCs w:val="20"/>
        </w:rPr>
        <w:t>tanto</w:t>
      </w:r>
      <w:r w:rsidRPr="00624C2A">
        <w:rPr>
          <w:rFonts w:ascii="Verdana" w:hAnsi="Verdana"/>
          <w:spacing w:val="-2"/>
          <w:sz w:val="20"/>
          <w:szCs w:val="20"/>
        </w:rPr>
        <w:t xml:space="preserve">, </w:t>
      </w:r>
    </w:p>
    <w:p w:rsidR="00897439" w:rsidRDefault="00897439" w:rsidP="00897439">
      <w:pPr>
        <w:pStyle w:val="Default"/>
        <w:jc w:val="both"/>
        <w:rPr>
          <w:spacing w:val="-2"/>
          <w:sz w:val="20"/>
          <w:szCs w:val="20"/>
          <w:lang w:val="es-CR"/>
        </w:rPr>
      </w:pPr>
    </w:p>
    <w:p w:rsidR="00897439" w:rsidRDefault="00897439" w:rsidP="00897439">
      <w:pPr>
        <w:pStyle w:val="Default"/>
        <w:jc w:val="both"/>
        <w:rPr>
          <w:spacing w:val="-2"/>
          <w:sz w:val="20"/>
          <w:szCs w:val="20"/>
          <w:lang w:val="es-CR"/>
        </w:rPr>
      </w:pPr>
      <w:r>
        <w:rPr>
          <w:b/>
          <w:bCs/>
          <w:spacing w:val="-2"/>
          <w:sz w:val="20"/>
          <w:szCs w:val="20"/>
          <w:lang w:val="es-CR"/>
        </w:rPr>
        <w:t xml:space="preserve">LA CORTE </w:t>
      </w:r>
    </w:p>
    <w:p w:rsidR="00897439" w:rsidRDefault="00897439" w:rsidP="00897439">
      <w:pPr>
        <w:pStyle w:val="Default"/>
        <w:jc w:val="both"/>
        <w:rPr>
          <w:b/>
          <w:bCs/>
          <w:spacing w:val="-2"/>
          <w:sz w:val="20"/>
          <w:szCs w:val="20"/>
          <w:lang w:val="es-CR"/>
        </w:rPr>
      </w:pPr>
    </w:p>
    <w:p w:rsidR="00897439" w:rsidRDefault="00897439" w:rsidP="00897439">
      <w:pPr>
        <w:pStyle w:val="Default"/>
        <w:jc w:val="both"/>
        <w:rPr>
          <w:spacing w:val="-2"/>
          <w:sz w:val="20"/>
          <w:szCs w:val="20"/>
          <w:lang w:val="es-CR"/>
        </w:rPr>
      </w:pPr>
      <w:r>
        <w:rPr>
          <w:b/>
          <w:bCs/>
          <w:spacing w:val="-2"/>
          <w:sz w:val="20"/>
          <w:szCs w:val="20"/>
          <w:lang w:val="es-CR"/>
        </w:rPr>
        <w:t xml:space="preserve">DECIDE, </w:t>
      </w:r>
    </w:p>
    <w:p w:rsidR="00897439" w:rsidRDefault="00897439" w:rsidP="00897439">
      <w:pPr>
        <w:pStyle w:val="Default"/>
        <w:jc w:val="both"/>
        <w:rPr>
          <w:spacing w:val="-2"/>
          <w:sz w:val="20"/>
          <w:szCs w:val="20"/>
          <w:lang w:val="es-CR"/>
        </w:rPr>
      </w:pPr>
    </w:p>
    <w:p w:rsidR="00897439" w:rsidRDefault="00373535" w:rsidP="00897439">
      <w:pPr>
        <w:pStyle w:val="Default"/>
        <w:jc w:val="both"/>
        <w:rPr>
          <w:spacing w:val="-2"/>
          <w:sz w:val="20"/>
          <w:szCs w:val="20"/>
          <w:lang w:val="es-AR"/>
        </w:rPr>
      </w:pPr>
      <w:r>
        <w:rPr>
          <w:spacing w:val="-2"/>
          <w:sz w:val="20"/>
          <w:szCs w:val="20"/>
          <w:lang w:val="es-AR"/>
        </w:rPr>
        <w:t>p</w:t>
      </w:r>
      <w:r w:rsidR="00897439">
        <w:rPr>
          <w:spacing w:val="-2"/>
          <w:sz w:val="20"/>
          <w:szCs w:val="20"/>
          <w:lang w:val="es-AR"/>
        </w:rPr>
        <w:t>or cinco votos a favor y uno en contra,</w:t>
      </w:r>
    </w:p>
    <w:p w:rsidR="00897439" w:rsidRDefault="00897439" w:rsidP="00897439">
      <w:pPr>
        <w:pStyle w:val="Default"/>
        <w:jc w:val="both"/>
        <w:rPr>
          <w:spacing w:val="-2"/>
          <w:sz w:val="20"/>
          <w:szCs w:val="20"/>
          <w:lang w:val="es-AR"/>
        </w:rPr>
      </w:pPr>
    </w:p>
    <w:p w:rsidR="00897439" w:rsidRDefault="00897439" w:rsidP="001154F9">
      <w:pPr>
        <w:pStyle w:val="Default"/>
        <w:numPr>
          <w:ilvl w:val="0"/>
          <w:numId w:val="17"/>
        </w:numPr>
        <w:ind w:left="0" w:firstLine="0"/>
        <w:jc w:val="both"/>
        <w:rPr>
          <w:spacing w:val="-2"/>
          <w:sz w:val="20"/>
          <w:szCs w:val="20"/>
          <w:lang w:val="es-AR"/>
        </w:rPr>
      </w:pPr>
      <w:r>
        <w:rPr>
          <w:spacing w:val="-2"/>
          <w:sz w:val="20"/>
          <w:szCs w:val="20"/>
          <w:lang w:val="es-AR"/>
        </w:rPr>
        <w:t xml:space="preserve">Aceptar el reconocimiento parcial de responsabilidad internacional efectuado por el Estado, en los términos de los párrafos 23 a 33 de </w:t>
      </w:r>
      <w:r w:rsidR="004C74EB">
        <w:rPr>
          <w:spacing w:val="-2"/>
          <w:sz w:val="20"/>
          <w:szCs w:val="20"/>
          <w:lang w:val="es-AR"/>
        </w:rPr>
        <w:t xml:space="preserve">esta </w:t>
      </w:r>
      <w:r>
        <w:rPr>
          <w:spacing w:val="-2"/>
          <w:sz w:val="20"/>
          <w:szCs w:val="20"/>
          <w:lang w:val="es-AR"/>
        </w:rPr>
        <w:t xml:space="preserve">Sentencia. </w:t>
      </w:r>
    </w:p>
    <w:p w:rsidR="00897439" w:rsidRDefault="00897439" w:rsidP="00897439">
      <w:pPr>
        <w:pStyle w:val="Default"/>
        <w:jc w:val="both"/>
        <w:rPr>
          <w:spacing w:val="-2"/>
          <w:sz w:val="20"/>
          <w:szCs w:val="20"/>
          <w:lang w:val="es-AR"/>
        </w:rPr>
      </w:pPr>
    </w:p>
    <w:p w:rsidR="00897439" w:rsidRDefault="00897439" w:rsidP="00897439">
      <w:pPr>
        <w:pStyle w:val="Default"/>
        <w:jc w:val="both"/>
        <w:rPr>
          <w:spacing w:val="-2"/>
          <w:sz w:val="20"/>
          <w:szCs w:val="20"/>
          <w:lang w:val="es-AR"/>
        </w:rPr>
      </w:pPr>
      <w:r>
        <w:rPr>
          <w:spacing w:val="-2"/>
          <w:sz w:val="20"/>
          <w:szCs w:val="20"/>
          <w:lang w:val="es-AR"/>
        </w:rPr>
        <w:t>Disiente el Juez Vio Grossi.</w:t>
      </w:r>
    </w:p>
    <w:p w:rsidR="00897439" w:rsidRDefault="00897439" w:rsidP="00897439">
      <w:pPr>
        <w:pStyle w:val="Default"/>
        <w:jc w:val="both"/>
        <w:rPr>
          <w:spacing w:val="-2"/>
          <w:sz w:val="20"/>
          <w:szCs w:val="20"/>
          <w:lang w:val="es-AR"/>
        </w:rPr>
      </w:pPr>
    </w:p>
    <w:p w:rsidR="00897439" w:rsidRDefault="00897439" w:rsidP="00897439">
      <w:pPr>
        <w:pStyle w:val="Default"/>
        <w:jc w:val="both"/>
        <w:rPr>
          <w:spacing w:val="-2"/>
          <w:sz w:val="20"/>
          <w:szCs w:val="20"/>
          <w:lang w:val="es-AR"/>
        </w:rPr>
      </w:pPr>
      <w:r>
        <w:rPr>
          <w:spacing w:val="-2"/>
          <w:sz w:val="20"/>
          <w:szCs w:val="20"/>
          <w:lang w:val="es-AR"/>
        </w:rPr>
        <w:t>por cinco votos a favor y uno en contra,</w:t>
      </w:r>
    </w:p>
    <w:p w:rsidR="00897439" w:rsidRDefault="00897439" w:rsidP="00897439">
      <w:pPr>
        <w:pStyle w:val="Default"/>
        <w:jc w:val="both"/>
        <w:rPr>
          <w:spacing w:val="-2"/>
          <w:sz w:val="20"/>
          <w:szCs w:val="20"/>
          <w:lang w:val="es-AR"/>
        </w:rPr>
      </w:pPr>
    </w:p>
    <w:p w:rsidR="00897439" w:rsidRDefault="00897439" w:rsidP="001154F9">
      <w:pPr>
        <w:pStyle w:val="Default"/>
        <w:numPr>
          <w:ilvl w:val="0"/>
          <w:numId w:val="17"/>
        </w:numPr>
        <w:ind w:left="0" w:firstLine="0"/>
        <w:jc w:val="both"/>
        <w:rPr>
          <w:spacing w:val="-2"/>
          <w:sz w:val="20"/>
          <w:szCs w:val="20"/>
          <w:lang w:val="es-AR"/>
        </w:rPr>
      </w:pPr>
      <w:r>
        <w:rPr>
          <w:spacing w:val="-2"/>
          <w:sz w:val="20"/>
          <w:szCs w:val="20"/>
          <w:lang w:val="es-AR"/>
        </w:rPr>
        <w:lastRenderedPageBreak/>
        <w:t xml:space="preserve">Desestimar la excepción preliminar relativa a la alegada falta de agotamiento de los recursos internos interpuesta por el Estado, en los términos </w:t>
      </w:r>
      <w:r w:rsidR="001D2E95">
        <w:rPr>
          <w:spacing w:val="-2"/>
          <w:sz w:val="20"/>
          <w:szCs w:val="20"/>
          <w:lang w:val="es-AR"/>
        </w:rPr>
        <w:t>de los párrafos 43 a 46 de esta</w:t>
      </w:r>
      <w:r>
        <w:rPr>
          <w:spacing w:val="-2"/>
          <w:sz w:val="20"/>
          <w:szCs w:val="20"/>
          <w:lang w:val="es-AR"/>
        </w:rPr>
        <w:t xml:space="preserve"> Sentencia. </w:t>
      </w:r>
    </w:p>
    <w:p w:rsidR="00897439" w:rsidRDefault="00897439" w:rsidP="00897439">
      <w:pPr>
        <w:pStyle w:val="Default"/>
        <w:jc w:val="both"/>
        <w:rPr>
          <w:spacing w:val="-2"/>
          <w:sz w:val="20"/>
          <w:szCs w:val="20"/>
          <w:lang w:val="es-AR"/>
        </w:rPr>
      </w:pPr>
    </w:p>
    <w:p w:rsidR="00897439" w:rsidRDefault="00897439" w:rsidP="00897439">
      <w:pPr>
        <w:pStyle w:val="Default"/>
        <w:jc w:val="both"/>
        <w:rPr>
          <w:spacing w:val="-2"/>
          <w:sz w:val="20"/>
          <w:szCs w:val="20"/>
          <w:lang w:val="es-AR"/>
        </w:rPr>
      </w:pPr>
      <w:r w:rsidRPr="004059C9">
        <w:rPr>
          <w:spacing w:val="-2"/>
          <w:sz w:val="20"/>
          <w:szCs w:val="20"/>
          <w:lang w:val="es-AR"/>
        </w:rPr>
        <w:t>Disiente el Juez Vio Grossi.</w:t>
      </w:r>
    </w:p>
    <w:p w:rsidR="00897439" w:rsidRDefault="00897439" w:rsidP="00897439">
      <w:pPr>
        <w:pStyle w:val="Default"/>
        <w:jc w:val="both"/>
        <w:rPr>
          <w:spacing w:val="-2"/>
          <w:sz w:val="20"/>
          <w:szCs w:val="20"/>
          <w:lang w:val="es-AR"/>
        </w:rPr>
      </w:pPr>
    </w:p>
    <w:p w:rsidR="00897439" w:rsidRDefault="00897439" w:rsidP="00897439">
      <w:pPr>
        <w:pStyle w:val="Default"/>
        <w:jc w:val="both"/>
        <w:rPr>
          <w:spacing w:val="-2"/>
          <w:sz w:val="20"/>
          <w:szCs w:val="20"/>
          <w:lang w:val="es-AR"/>
        </w:rPr>
      </w:pPr>
      <w:r>
        <w:rPr>
          <w:spacing w:val="-2"/>
          <w:sz w:val="20"/>
          <w:szCs w:val="20"/>
          <w:lang w:val="es-AR"/>
        </w:rPr>
        <w:t>por cinco votos a favor y uno en contra,</w:t>
      </w:r>
    </w:p>
    <w:p w:rsidR="00897439" w:rsidRDefault="00897439" w:rsidP="00897439">
      <w:pPr>
        <w:pStyle w:val="Default"/>
        <w:jc w:val="both"/>
        <w:rPr>
          <w:spacing w:val="-2"/>
          <w:sz w:val="20"/>
          <w:szCs w:val="20"/>
          <w:lang w:val="es-AR"/>
        </w:rPr>
      </w:pPr>
    </w:p>
    <w:p w:rsidR="00897439" w:rsidRDefault="00897439" w:rsidP="001154F9">
      <w:pPr>
        <w:pStyle w:val="Default"/>
        <w:numPr>
          <w:ilvl w:val="0"/>
          <w:numId w:val="17"/>
        </w:numPr>
        <w:ind w:left="0" w:firstLine="0"/>
        <w:jc w:val="both"/>
        <w:rPr>
          <w:spacing w:val="-2"/>
          <w:sz w:val="20"/>
          <w:szCs w:val="20"/>
          <w:lang w:val="es-AR"/>
        </w:rPr>
      </w:pPr>
      <w:r w:rsidRPr="00373535">
        <w:rPr>
          <w:spacing w:val="-2"/>
          <w:sz w:val="20"/>
          <w:szCs w:val="20"/>
          <w:lang w:val="es-AR"/>
        </w:rPr>
        <w:t>Desestimar</w:t>
      </w:r>
      <w:r>
        <w:rPr>
          <w:spacing w:val="-2"/>
          <w:sz w:val="20"/>
          <w:szCs w:val="20"/>
          <w:lang w:val="es-AR"/>
        </w:rPr>
        <w:t xml:space="preserve"> la excepción preliminar relativa a la alegada falta de competencia </w:t>
      </w:r>
      <w:r w:rsidRPr="00473AB8">
        <w:rPr>
          <w:i/>
          <w:spacing w:val="-2"/>
          <w:sz w:val="20"/>
          <w:szCs w:val="20"/>
          <w:lang w:val="es-AR"/>
        </w:rPr>
        <w:t>ratione materiae</w:t>
      </w:r>
      <w:r w:rsidRPr="00473AB8">
        <w:rPr>
          <w:spacing w:val="-2"/>
          <w:sz w:val="20"/>
          <w:szCs w:val="20"/>
          <w:lang w:val="es-AR"/>
        </w:rPr>
        <w:t xml:space="preserve"> respecto a la Convención Interamericana sobre Desaparición Forzada</w:t>
      </w:r>
      <w:r>
        <w:rPr>
          <w:spacing w:val="-2"/>
          <w:sz w:val="20"/>
          <w:szCs w:val="20"/>
          <w:lang w:val="es-AR"/>
        </w:rPr>
        <w:t xml:space="preserve"> de Personas, en los términos de los párrafos 49 a 52 de esta Sentencia. </w:t>
      </w:r>
    </w:p>
    <w:p w:rsidR="00897439" w:rsidRDefault="00897439" w:rsidP="00897439">
      <w:pPr>
        <w:tabs>
          <w:tab w:val="num" w:pos="630"/>
          <w:tab w:val="left" w:pos="720"/>
        </w:tabs>
        <w:spacing w:after="0" w:line="240" w:lineRule="auto"/>
        <w:jc w:val="both"/>
        <w:rPr>
          <w:rFonts w:ascii="Verdana" w:hAnsi="Verdana" w:cs="Verdana"/>
          <w:b/>
          <w:color w:val="000000" w:themeColor="text1"/>
          <w:spacing w:val="-2"/>
          <w:sz w:val="20"/>
          <w:szCs w:val="20"/>
          <w:lang w:val="es-AR"/>
        </w:rPr>
      </w:pPr>
    </w:p>
    <w:p w:rsidR="00897439" w:rsidRPr="004059C9" w:rsidRDefault="00897439" w:rsidP="00897439">
      <w:pPr>
        <w:autoSpaceDE w:val="0"/>
        <w:autoSpaceDN w:val="0"/>
        <w:adjustRightInd w:val="0"/>
        <w:spacing w:after="0" w:line="240" w:lineRule="auto"/>
        <w:jc w:val="both"/>
        <w:rPr>
          <w:rFonts w:ascii="Verdana" w:hAnsi="Verdana" w:cs="Verdana"/>
          <w:color w:val="000000"/>
          <w:spacing w:val="-2"/>
          <w:sz w:val="20"/>
          <w:szCs w:val="20"/>
          <w:lang w:val="es-AR"/>
        </w:rPr>
      </w:pPr>
      <w:r w:rsidRPr="004059C9">
        <w:rPr>
          <w:rFonts w:ascii="Verdana" w:hAnsi="Verdana" w:cs="Verdana"/>
          <w:color w:val="000000"/>
          <w:spacing w:val="-2"/>
          <w:sz w:val="20"/>
          <w:szCs w:val="20"/>
          <w:lang w:val="es-AR"/>
        </w:rPr>
        <w:t>Disiente el Juez Vio Grossi.</w:t>
      </w:r>
    </w:p>
    <w:p w:rsidR="00897439" w:rsidRPr="00D80454" w:rsidRDefault="00897439" w:rsidP="00897439">
      <w:pPr>
        <w:tabs>
          <w:tab w:val="num" w:pos="630"/>
          <w:tab w:val="left" w:pos="720"/>
        </w:tabs>
        <w:spacing w:after="0" w:line="240" w:lineRule="auto"/>
        <w:jc w:val="both"/>
        <w:rPr>
          <w:rFonts w:ascii="Verdana" w:hAnsi="Verdana" w:cs="Verdana"/>
          <w:b/>
          <w:color w:val="000000" w:themeColor="text1"/>
          <w:spacing w:val="-2"/>
          <w:sz w:val="20"/>
          <w:szCs w:val="20"/>
          <w:lang w:val="es-AR"/>
        </w:rPr>
      </w:pPr>
    </w:p>
    <w:p w:rsidR="00897439" w:rsidRDefault="00897439" w:rsidP="00897439">
      <w:pPr>
        <w:tabs>
          <w:tab w:val="num" w:pos="630"/>
          <w:tab w:val="left" w:pos="720"/>
        </w:tabs>
        <w:spacing w:after="0" w:line="240" w:lineRule="auto"/>
        <w:jc w:val="both"/>
        <w:rPr>
          <w:rFonts w:ascii="Verdana" w:hAnsi="Verdana" w:cs="Verdana"/>
          <w:b/>
          <w:color w:val="000000" w:themeColor="text1"/>
          <w:spacing w:val="-2"/>
          <w:sz w:val="20"/>
          <w:szCs w:val="20"/>
          <w:lang w:val="es-EC"/>
        </w:rPr>
      </w:pPr>
      <w:r>
        <w:rPr>
          <w:rFonts w:ascii="Verdana" w:hAnsi="Verdana" w:cs="Verdana"/>
          <w:b/>
          <w:color w:val="000000" w:themeColor="text1"/>
          <w:spacing w:val="-2"/>
          <w:sz w:val="20"/>
          <w:szCs w:val="20"/>
          <w:lang w:val="es-EC"/>
        </w:rPr>
        <w:t>DECLARA,</w:t>
      </w:r>
    </w:p>
    <w:p w:rsidR="00897439" w:rsidRDefault="00897439" w:rsidP="00897439">
      <w:pPr>
        <w:tabs>
          <w:tab w:val="num" w:pos="630"/>
          <w:tab w:val="left" w:pos="720"/>
        </w:tabs>
        <w:spacing w:after="0" w:line="240" w:lineRule="auto"/>
        <w:jc w:val="both"/>
        <w:rPr>
          <w:rFonts w:ascii="Verdana" w:hAnsi="Verdana" w:cs="Verdana"/>
          <w:b/>
          <w:color w:val="000000" w:themeColor="text1"/>
          <w:spacing w:val="-2"/>
          <w:sz w:val="20"/>
          <w:szCs w:val="20"/>
          <w:lang w:val="es-EC"/>
        </w:rPr>
      </w:pPr>
    </w:p>
    <w:p w:rsidR="00897439" w:rsidRDefault="00897439" w:rsidP="00897439">
      <w:pPr>
        <w:pStyle w:val="Default"/>
        <w:jc w:val="both"/>
        <w:rPr>
          <w:spacing w:val="-2"/>
          <w:sz w:val="20"/>
          <w:szCs w:val="20"/>
          <w:lang w:val="es-AR"/>
        </w:rPr>
      </w:pPr>
      <w:r>
        <w:rPr>
          <w:spacing w:val="-2"/>
          <w:sz w:val="20"/>
          <w:szCs w:val="20"/>
          <w:lang w:val="es-EC"/>
        </w:rPr>
        <w:t>p</w:t>
      </w:r>
      <w:r>
        <w:rPr>
          <w:spacing w:val="-2"/>
          <w:sz w:val="20"/>
          <w:szCs w:val="20"/>
          <w:lang w:val="es-AR"/>
        </w:rPr>
        <w:t>or cuatro votos a favor y dos en contra, que:</w:t>
      </w:r>
    </w:p>
    <w:p w:rsidR="00897439" w:rsidRDefault="00897439" w:rsidP="00897439">
      <w:pPr>
        <w:tabs>
          <w:tab w:val="left" w:pos="567"/>
        </w:tabs>
        <w:spacing w:after="0" w:line="240" w:lineRule="auto"/>
        <w:jc w:val="both"/>
        <w:rPr>
          <w:rFonts w:ascii="Verdana" w:eastAsia="Batang" w:hAnsi="Verdana" w:cs="Times"/>
          <w:color w:val="000000" w:themeColor="text1"/>
          <w:spacing w:val="-2"/>
          <w:sz w:val="20"/>
          <w:szCs w:val="20"/>
        </w:rPr>
      </w:pPr>
    </w:p>
    <w:p w:rsidR="00897439" w:rsidRDefault="00897439" w:rsidP="001154F9">
      <w:pPr>
        <w:pStyle w:val="Default"/>
        <w:numPr>
          <w:ilvl w:val="0"/>
          <w:numId w:val="17"/>
        </w:numPr>
        <w:ind w:left="0" w:firstLine="0"/>
        <w:jc w:val="both"/>
        <w:rPr>
          <w:rFonts w:eastAsia="Batang" w:cs="Times"/>
          <w:color w:val="000000" w:themeColor="text1"/>
          <w:spacing w:val="-2"/>
          <w:sz w:val="20"/>
          <w:szCs w:val="20"/>
          <w:lang w:val="es-PR"/>
        </w:rPr>
      </w:pPr>
      <w:r>
        <w:rPr>
          <w:sz w:val="20"/>
          <w:szCs w:val="20"/>
          <w:lang w:val="es-CR" w:eastAsia="es-CR"/>
        </w:rPr>
        <w:t>E</w:t>
      </w:r>
      <w:r w:rsidRPr="0050068E">
        <w:rPr>
          <w:sz w:val="20"/>
          <w:szCs w:val="20"/>
          <w:lang w:val="es-CR" w:eastAsia="es-CR"/>
        </w:rPr>
        <w:t xml:space="preserve">l Estado violó los derechos </w:t>
      </w:r>
      <w:r w:rsidRPr="007C2FC7">
        <w:rPr>
          <w:sz w:val="20"/>
          <w:szCs w:val="20"/>
          <w:lang w:val="es-CR" w:eastAsia="es-CR"/>
        </w:rPr>
        <w:t>reconocidos en</w:t>
      </w:r>
      <w:r w:rsidR="007E78E6" w:rsidRPr="007C2FC7">
        <w:rPr>
          <w:sz w:val="20"/>
          <w:szCs w:val="20"/>
          <w:lang w:val="es-CR" w:eastAsia="es-CR"/>
        </w:rPr>
        <w:t xml:space="preserve"> los artículos 7, 5.1, 5.2, 4.1</w:t>
      </w:r>
      <w:r w:rsidRPr="007C2FC7">
        <w:rPr>
          <w:sz w:val="20"/>
          <w:szCs w:val="20"/>
          <w:lang w:val="es-CR" w:eastAsia="es-CR"/>
        </w:rPr>
        <w:t xml:space="preserve"> y 3 de la Convención </w:t>
      </w:r>
      <w:r w:rsidRPr="007C2FC7">
        <w:rPr>
          <w:sz w:val="20"/>
          <w:szCs w:val="20"/>
          <w:lang w:val="es-GT" w:eastAsia="es-CR"/>
        </w:rPr>
        <w:t xml:space="preserve">Americana, en relación con el artículo 1.1 de la misma, </w:t>
      </w:r>
      <w:r w:rsidRPr="007C2FC7">
        <w:rPr>
          <w:color w:val="000000" w:themeColor="text1"/>
          <w:spacing w:val="-2"/>
          <w:sz w:val="20"/>
          <w:szCs w:val="20"/>
          <w:lang w:val="es-PR" w:eastAsia="es-CR"/>
        </w:rPr>
        <w:t xml:space="preserve">en perjuicio de </w:t>
      </w:r>
      <w:r w:rsidRPr="007C2FC7">
        <w:rPr>
          <w:sz w:val="20"/>
          <w:szCs w:val="20"/>
          <w:lang w:val="es-GT"/>
        </w:rPr>
        <w:t xml:space="preserve">Yesenia </w:t>
      </w:r>
      <w:r w:rsidRPr="007C2FC7">
        <w:rPr>
          <w:rFonts w:cs="Arial"/>
          <w:sz w:val="20"/>
          <w:szCs w:val="20"/>
          <w:lang w:val="es-GT"/>
        </w:rPr>
        <w:t>Osnayo Hilario</w:t>
      </w:r>
      <w:r w:rsidRPr="007C2FC7">
        <w:rPr>
          <w:sz w:val="20"/>
          <w:szCs w:val="20"/>
          <w:lang w:val="es-GT"/>
        </w:rPr>
        <w:t xml:space="preserve">, Miriam </w:t>
      </w:r>
      <w:r w:rsidRPr="007C2FC7">
        <w:rPr>
          <w:rFonts w:cs="Arial"/>
          <w:sz w:val="20"/>
          <w:szCs w:val="20"/>
          <w:lang w:val="es-GT"/>
        </w:rPr>
        <w:t>Osnayo Hilario,</w:t>
      </w:r>
      <w:r w:rsidRPr="007C2FC7">
        <w:rPr>
          <w:sz w:val="20"/>
          <w:szCs w:val="20"/>
          <w:lang w:val="es-GT"/>
        </w:rPr>
        <w:t xml:space="preserve"> </w:t>
      </w:r>
      <w:r w:rsidRPr="007C2FC7">
        <w:rPr>
          <w:rFonts w:cs="Arial"/>
          <w:sz w:val="20"/>
          <w:szCs w:val="20"/>
          <w:lang w:val="es-GT"/>
        </w:rPr>
        <w:t>Edith Osnayo Hilario</w:t>
      </w:r>
      <w:r w:rsidRPr="007C2FC7">
        <w:rPr>
          <w:sz w:val="20"/>
          <w:szCs w:val="20"/>
          <w:lang w:val="es-GT"/>
        </w:rPr>
        <w:t>, Wilmer Hilario Carhuapoma, Alex Jorge Hilario, Raúl Hilario Guillén, Héctor Hilario Guillén, Francisco Hilario Torres</w:t>
      </w:r>
      <w:r w:rsidRPr="007C2FC7">
        <w:rPr>
          <w:sz w:val="20"/>
          <w:szCs w:val="20"/>
          <w:lang w:val="es-CR"/>
        </w:rPr>
        <w:t xml:space="preserve">, </w:t>
      </w:r>
      <w:r w:rsidRPr="007C2FC7">
        <w:rPr>
          <w:sz w:val="20"/>
          <w:szCs w:val="20"/>
          <w:lang w:val="es-GT"/>
        </w:rPr>
        <w:t>Mercedes Carhuapoma de la Cruz</w:t>
      </w:r>
      <w:r w:rsidRPr="007C2FC7">
        <w:rPr>
          <w:rFonts w:cs="Arial"/>
          <w:sz w:val="20"/>
          <w:szCs w:val="20"/>
          <w:lang w:val="es-GT"/>
        </w:rPr>
        <w:t>,</w:t>
      </w:r>
      <w:r w:rsidRPr="007C2FC7">
        <w:rPr>
          <w:sz w:val="20"/>
          <w:szCs w:val="20"/>
          <w:lang w:val="es-GT"/>
        </w:rPr>
        <w:t xml:space="preserve"> Dionicia Quispe Ma</w:t>
      </w:r>
      <w:r w:rsidR="000E2C7E" w:rsidRPr="007C2FC7">
        <w:rPr>
          <w:sz w:val="20"/>
          <w:szCs w:val="20"/>
          <w:lang w:val="es-GT"/>
        </w:rPr>
        <w:t>ll</w:t>
      </w:r>
      <w:r w:rsidRPr="007C2FC7">
        <w:rPr>
          <w:sz w:val="20"/>
          <w:szCs w:val="20"/>
          <w:lang w:val="es-GT"/>
        </w:rPr>
        <w:t xml:space="preserve">qui, Antonia Hilario Quispe, Magdalena Hilario Quispe, </w:t>
      </w:r>
      <w:r w:rsidRPr="007C2FC7">
        <w:rPr>
          <w:rFonts w:cs="Arial"/>
          <w:sz w:val="20"/>
          <w:szCs w:val="20"/>
          <w:lang w:val="es-GT"/>
        </w:rPr>
        <w:t>Dionicia Guillén Riveros</w:t>
      </w:r>
      <w:r w:rsidRPr="007C2FC7">
        <w:rPr>
          <w:sz w:val="20"/>
          <w:szCs w:val="20"/>
          <w:lang w:val="es-GT"/>
        </w:rPr>
        <w:t xml:space="preserve">, Ramón Hilario Morán y Elihoref Huamaní Vergara. </w:t>
      </w:r>
      <w:r w:rsidRPr="007C2FC7">
        <w:rPr>
          <w:spacing w:val="-2"/>
          <w:sz w:val="20"/>
          <w:szCs w:val="20"/>
          <w:lang w:val="es-GT"/>
        </w:rPr>
        <w:t>Dichas violaciones ocurren también en relación con el artículo 19 de la Convención Americana respecto de</w:t>
      </w:r>
      <w:r w:rsidRPr="007C2FC7">
        <w:rPr>
          <w:rFonts w:cs="Arial"/>
          <w:sz w:val="20"/>
          <w:szCs w:val="20"/>
          <w:lang w:val="es-CR" w:eastAsia="es-CR"/>
        </w:rPr>
        <w:t xml:space="preserve"> </w:t>
      </w:r>
      <w:r w:rsidRPr="007C2FC7">
        <w:rPr>
          <w:sz w:val="20"/>
          <w:szCs w:val="20"/>
          <w:lang w:val="es-GT"/>
        </w:rPr>
        <w:t xml:space="preserve">Yesenia, Miriam </w:t>
      </w:r>
      <w:r w:rsidRPr="007C2FC7">
        <w:rPr>
          <w:rFonts w:cs="Arial"/>
          <w:sz w:val="20"/>
          <w:szCs w:val="20"/>
          <w:lang w:val="es-GT"/>
        </w:rPr>
        <w:t>y</w:t>
      </w:r>
      <w:r w:rsidRPr="007C2FC7">
        <w:rPr>
          <w:sz w:val="20"/>
          <w:szCs w:val="20"/>
          <w:lang w:val="es-GT"/>
        </w:rPr>
        <w:t xml:space="preserve"> </w:t>
      </w:r>
      <w:r w:rsidRPr="007C2FC7">
        <w:rPr>
          <w:rFonts w:cs="Arial"/>
          <w:sz w:val="20"/>
          <w:szCs w:val="20"/>
          <w:lang w:val="es-GT"/>
        </w:rPr>
        <w:t>Edith Osnayo Hilario</w:t>
      </w:r>
      <w:r w:rsidRPr="007C2FC7">
        <w:rPr>
          <w:sz w:val="20"/>
          <w:szCs w:val="20"/>
          <w:lang w:val="es-GT"/>
        </w:rPr>
        <w:t xml:space="preserve">, Wilmer Hilario Carhuapoma, Alex Jorge Hilario, </w:t>
      </w:r>
      <w:r w:rsidR="000E2C7E" w:rsidRPr="007C2FC7">
        <w:rPr>
          <w:sz w:val="20"/>
          <w:szCs w:val="20"/>
          <w:lang w:val="es-GT"/>
        </w:rPr>
        <w:t xml:space="preserve">y </w:t>
      </w:r>
      <w:r w:rsidRPr="007C2FC7">
        <w:rPr>
          <w:sz w:val="20"/>
          <w:szCs w:val="20"/>
          <w:lang w:val="es-GT"/>
        </w:rPr>
        <w:t xml:space="preserve">Raúl y Héctor Hilario Guillén, quienes </w:t>
      </w:r>
      <w:r w:rsidRPr="007C2FC7">
        <w:rPr>
          <w:spacing w:val="-2"/>
          <w:sz w:val="20"/>
          <w:szCs w:val="20"/>
          <w:lang w:val="es-GT"/>
        </w:rPr>
        <w:t xml:space="preserve">eran </w:t>
      </w:r>
      <w:r w:rsidRPr="007C2FC7">
        <w:rPr>
          <w:sz w:val="20"/>
          <w:szCs w:val="20"/>
          <w:lang w:val="es-ES"/>
        </w:rPr>
        <w:t>niñas y niños</w:t>
      </w:r>
      <w:r w:rsidRPr="007C2FC7" w:rsidDel="00F425DF">
        <w:rPr>
          <w:spacing w:val="-2"/>
          <w:sz w:val="20"/>
          <w:szCs w:val="20"/>
          <w:lang w:val="es-GT"/>
        </w:rPr>
        <w:t xml:space="preserve"> </w:t>
      </w:r>
      <w:r w:rsidRPr="007C2FC7">
        <w:rPr>
          <w:spacing w:val="-2"/>
          <w:sz w:val="20"/>
          <w:szCs w:val="20"/>
          <w:lang w:val="es-GT"/>
        </w:rPr>
        <w:t>al momento que inició su desaparición forzada. Finalmente</w:t>
      </w:r>
      <w:r w:rsidRPr="00CC23DD">
        <w:rPr>
          <w:spacing w:val="-2"/>
          <w:sz w:val="20"/>
          <w:szCs w:val="20"/>
          <w:lang w:val="es-GT"/>
        </w:rPr>
        <w:t xml:space="preserve">, todas las violaciones señaladas en este punto resolutivo ocurren también en relación con </w:t>
      </w:r>
      <w:r w:rsidR="009B2E0A">
        <w:rPr>
          <w:spacing w:val="-2"/>
          <w:sz w:val="20"/>
          <w:szCs w:val="20"/>
          <w:lang w:val="es-GT"/>
        </w:rPr>
        <w:t>los artículos</w:t>
      </w:r>
      <w:r w:rsidR="009B2E0A" w:rsidRPr="00CC23DD">
        <w:rPr>
          <w:spacing w:val="-2"/>
          <w:sz w:val="20"/>
          <w:szCs w:val="20"/>
          <w:lang w:val="es-GT"/>
        </w:rPr>
        <w:t xml:space="preserve"> </w:t>
      </w:r>
      <w:r w:rsidRPr="00CC23DD">
        <w:rPr>
          <w:spacing w:val="-2"/>
          <w:sz w:val="20"/>
          <w:szCs w:val="20"/>
          <w:lang w:val="es-GT"/>
        </w:rPr>
        <w:t xml:space="preserve">artículo </w:t>
      </w:r>
      <w:r w:rsidRPr="00CC23DD">
        <w:rPr>
          <w:sz w:val="20"/>
          <w:szCs w:val="20"/>
          <w:lang w:val="es-GT"/>
        </w:rPr>
        <w:t>I.a)</w:t>
      </w:r>
      <w:r>
        <w:rPr>
          <w:sz w:val="20"/>
          <w:szCs w:val="20"/>
          <w:lang w:val="es-GT"/>
        </w:rPr>
        <w:t xml:space="preserve"> </w:t>
      </w:r>
      <w:r w:rsidRPr="009B2E0A">
        <w:rPr>
          <w:sz w:val="20"/>
          <w:szCs w:val="20"/>
          <w:lang w:val="es-GT"/>
        </w:rPr>
        <w:t>y II</w:t>
      </w:r>
      <w:r w:rsidRPr="00CC23DD">
        <w:rPr>
          <w:sz w:val="20"/>
          <w:szCs w:val="20"/>
          <w:lang w:val="es-GT"/>
        </w:rPr>
        <w:t xml:space="preserve"> de la Convención Interamericana sobre Desaparición Forzada de Personas</w:t>
      </w:r>
      <w:r w:rsidRPr="00CC23DD">
        <w:rPr>
          <w:sz w:val="20"/>
          <w:szCs w:val="20"/>
          <w:lang w:val="es-ES_tradnl"/>
        </w:rPr>
        <w:t xml:space="preserve">, a partir del </w:t>
      </w:r>
      <w:r w:rsidRPr="00CC23DD">
        <w:rPr>
          <w:rFonts w:cs="Arial"/>
          <w:bCs/>
          <w:sz w:val="20"/>
          <w:szCs w:val="20"/>
          <w:lang w:val="es-ES_tradnl" w:eastAsia="es-CR"/>
        </w:rPr>
        <w:t>15 de marzo</w:t>
      </w:r>
      <w:r w:rsidRPr="00CC23DD">
        <w:rPr>
          <w:rFonts w:cs="Arial"/>
          <w:sz w:val="20"/>
          <w:szCs w:val="20"/>
          <w:lang w:val="es-ES_tradnl" w:eastAsia="es-CR"/>
        </w:rPr>
        <w:t xml:space="preserve"> </w:t>
      </w:r>
      <w:r w:rsidRPr="00CC23DD">
        <w:rPr>
          <w:rFonts w:cs="Arial"/>
          <w:bCs/>
          <w:sz w:val="20"/>
          <w:szCs w:val="20"/>
          <w:lang w:val="es-ES_tradnl" w:eastAsia="es-CR"/>
        </w:rPr>
        <w:t>de 2002, fecha de</w:t>
      </w:r>
      <w:r w:rsidRPr="00CC23DD">
        <w:rPr>
          <w:sz w:val="20"/>
          <w:szCs w:val="20"/>
          <w:lang w:val="es-ES_tradnl"/>
        </w:rPr>
        <w:t xml:space="preserve"> su entrada en vigor para el Perú</w:t>
      </w:r>
      <w:r w:rsidRPr="00CC23DD">
        <w:rPr>
          <w:rFonts w:cs="Arial"/>
          <w:sz w:val="20"/>
          <w:szCs w:val="20"/>
          <w:lang w:val="es-ES_tradnl" w:eastAsia="es-CR"/>
        </w:rPr>
        <w:t xml:space="preserve">. </w:t>
      </w:r>
      <w:r>
        <w:rPr>
          <w:rFonts w:cs="Arial"/>
          <w:sz w:val="20"/>
          <w:szCs w:val="20"/>
          <w:lang w:val="es-ES_tradnl" w:eastAsia="es-CR"/>
        </w:rPr>
        <w:t>Todo lo anterior,</w:t>
      </w:r>
      <w:r>
        <w:rPr>
          <w:sz w:val="20"/>
          <w:szCs w:val="20"/>
          <w:lang w:val="es-GT"/>
        </w:rPr>
        <w:t xml:space="preserve"> en</w:t>
      </w:r>
      <w:r>
        <w:rPr>
          <w:color w:val="000000" w:themeColor="text1"/>
          <w:spacing w:val="-2"/>
          <w:sz w:val="20"/>
          <w:szCs w:val="20"/>
          <w:lang w:val="es-PR" w:eastAsia="es-CR"/>
        </w:rPr>
        <w:t xml:space="preserve"> los términos de los párrafos</w:t>
      </w:r>
      <w:r>
        <w:rPr>
          <w:rFonts w:eastAsia="Batang" w:cs="Times"/>
          <w:color w:val="000000" w:themeColor="text1"/>
          <w:spacing w:val="-2"/>
          <w:sz w:val="20"/>
          <w:szCs w:val="20"/>
          <w:lang w:val="es-PR"/>
        </w:rPr>
        <w:t xml:space="preserve"> </w:t>
      </w:r>
      <w:r w:rsidR="009B2E0A">
        <w:rPr>
          <w:rFonts w:eastAsia="Batang" w:cs="Times"/>
          <w:color w:val="000000" w:themeColor="text1"/>
          <w:spacing w:val="-2"/>
          <w:sz w:val="20"/>
          <w:szCs w:val="20"/>
          <w:lang w:val="es-PR"/>
        </w:rPr>
        <w:t xml:space="preserve">157 </w:t>
      </w:r>
      <w:r>
        <w:rPr>
          <w:rFonts w:eastAsia="Batang" w:cs="Times"/>
          <w:color w:val="000000" w:themeColor="text1"/>
          <w:spacing w:val="-2"/>
          <w:sz w:val="20"/>
          <w:szCs w:val="20"/>
          <w:lang w:val="es-PR"/>
        </w:rPr>
        <w:t>a 195</w:t>
      </w:r>
      <w:r>
        <w:rPr>
          <w:rFonts w:eastAsia="Batang" w:cs="Times"/>
          <w:color w:val="000000" w:themeColor="text1"/>
          <w:spacing w:val="-2"/>
          <w:sz w:val="20"/>
          <w:szCs w:val="20"/>
          <w:lang w:val="es-ES_tradnl"/>
        </w:rPr>
        <w:t xml:space="preserve"> </w:t>
      </w:r>
      <w:r>
        <w:rPr>
          <w:rFonts w:eastAsia="Batang" w:cs="Times"/>
          <w:color w:val="000000" w:themeColor="text1"/>
          <w:spacing w:val="-2"/>
          <w:sz w:val="20"/>
          <w:szCs w:val="20"/>
          <w:lang w:val="es-PR"/>
        </w:rPr>
        <w:t>de esta Sentencia.</w:t>
      </w:r>
    </w:p>
    <w:p w:rsidR="00897439" w:rsidRDefault="00897439" w:rsidP="00897439">
      <w:pPr>
        <w:pStyle w:val="Default"/>
        <w:jc w:val="both"/>
        <w:rPr>
          <w:rFonts w:eastAsia="Batang" w:cs="Times"/>
          <w:color w:val="000000" w:themeColor="text1"/>
          <w:spacing w:val="-2"/>
          <w:sz w:val="20"/>
          <w:szCs w:val="20"/>
          <w:lang w:val="es-AR"/>
        </w:rPr>
      </w:pPr>
    </w:p>
    <w:p w:rsidR="00897439" w:rsidRPr="00642C9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Disiente</w:t>
      </w:r>
      <w:r w:rsidR="009B2E0A">
        <w:rPr>
          <w:rFonts w:eastAsia="Batang" w:cs="Times"/>
          <w:color w:val="000000" w:themeColor="text1"/>
          <w:spacing w:val="-2"/>
          <w:sz w:val="20"/>
          <w:szCs w:val="20"/>
          <w:lang w:val="es-AR"/>
        </w:rPr>
        <w:t>n</w:t>
      </w:r>
      <w:r>
        <w:rPr>
          <w:rFonts w:eastAsia="Batang" w:cs="Times"/>
          <w:color w:val="000000" w:themeColor="text1"/>
          <w:spacing w:val="-2"/>
          <w:sz w:val="20"/>
          <w:szCs w:val="20"/>
          <w:lang w:val="es-AR"/>
        </w:rPr>
        <w:t xml:space="preserve"> los Jueces Pérez Pérez y Vio Grossi.</w:t>
      </w:r>
    </w:p>
    <w:p w:rsidR="00897439" w:rsidRDefault="00897439" w:rsidP="00897439">
      <w:pPr>
        <w:pStyle w:val="Default"/>
        <w:jc w:val="both"/>
        <w:rPr>
          <w:rFonts w:eastAsia="Batang" w:cs="Times"/>
          <w:color w:val="000000" w:themeColor="text1"/>
          <w:spacing w:val="-2"/>
          <w:sz w:val="20"/>
          <w:szCs w:val="20"/>
          <w:lang w:val="es-AR"/>
        </w:rPr>
      </w:pPr>
    </w:p>
    <w:p w:rsidR="00897439" w:rsidRDefault="00897439" w:rsidP="00897439">
      <w:pPr>
        <w:pStyle w:val="Default"/>
        <w:jc w:val="both"/>
        <w:rPr>
          <w:sz w:val="20"/>
          <w:szCs w:val="20"/>
          <w:lang w:val="es-CR"/>
        </w:rPr>
      </w:pPr>
      <w:r w:rsidRPr="00D80454">
        <w:rPr>
          <w:sz w:val="20"/>
          <w:szCs w:val="20"/>
          <w:lang w:val="es-CR"/>
        </w:rPr>
        <w:t>por cinco votos a favor y uno en contra, que:</w:t>
      </w:r>
    </w:p>
    <w:p w:rsidR="00897439" w:rsidRPr="00D80454" w:rsidRDefault="00897439" w:rsidP="00897439">
      <w:pPr>
        <w:pStyle w:val="Default"/>
        <w:jc w:val="both"/>
        <w:rPr>
          <w:rFonts w:eastAsia="Batang" w:cs="Times"/>
          <w:color w:val="000000" w:themeColor="text1"/>
          <w:spacing w:val="-2"/>
          <w:sz w:val="20"/>
          <w:szCs w:val="20"/>
          <w:lang w:val="es-CR"/>
        </w:rPr>
      </w:pPr>
    </w:p>
    <w:p w:rsidR="00897439" w:rsidRPr="009D7C61" w:rsidRDefault="00897439" w:rsidP="001154F9">
      <w:pPr>
        <w:pStyle w:val="Default"/>
        <w:numPr>
          <w:ilvl w:val="0"/>
          <w:numId w:val="17"/>
        </w:numPr>
        <w:ind w:left="0" w:firstLine="0"/>
        <w:jc w:val="both"/>
        <w:rPr>
          <w:rFonts w:eastAsia="Batang" w:cs="Times"/>
          <w:color w:val="000000" w:themeColor="text1"/>
          <w:spacing w:val="-2"/>
          <w:sz w:val="20"/>
          <w:szCs w:val="20"/>
          <w:lang w:val="es-AR"/>
        </w:rPr>
      </w:pPr>
      <w:r w:rsidRPr="005E3C7B">
        <w:rPr>
          <w:color w:val="000000" w:themeColor="text1"/>
          <w:spacing w:val="-2"/>
          <w:sz w:val="20"/>
          <w:szCs w:val="20"/>
          <w:lang w:val="es-GT" w:eastAsia="es-ES"/>
        </w:rPr>
        <w:t xml:space="preserve">El Estado violó </w:t>
      </w:r>
      <w:r>
        <w:rPr>
          <w:color w:val="000000" w:themeColor="text1"/>
          <w:spacing w:val="-2"/>
          <w:sz w:val="20"/>
          <w:szCs w:val="20"/>
          <w:lang w:val="es-GT" w:eastAsia="es-ES"/>
        </w:rPr>
        <w:t>los</w:t>
      </w:r>
      <w:r w:rsidRPr="005E3C7B">
        <w:rPr>
          <w:color w:val="000000" w:themeColor="text1"/>
          <w:spacing w:val="-2"/>
          <w:sz w:val="20"/>
          <w:szCs w:val="20"/>
          <w:lang w:val="es-GT" w:eastAsia="es-ES"/>
        </w:rPr>
        <w:t xml:space="preserve"> derecho</w:t>
      </w:r>
      <w:r>
        <w:rPr>
          <w:color w:val="000000" w:themeColor="text1"/>
          <w:spacing w:val="-2"/>
          <w:sz w:val="20"/>
          <w:szCs w:val="20"/>
          <w:lang w:val="es-GT" w:eastAsia="es-ES"/>
        </w:rPr>
        <w:t>s</w:t>
      </w:r>
      <w:r w:rsidRPr="005E3C7B">
        <w:rPr>
          <w:color w:val="000000" w:themeColor="text1"/>
          <w:spacing w:val="-2"/>
          <w:sz w:val="20"/>
          <w:szCs w:val="20"/>
          <w:lang w:val="es-GT" w:eastAsia="es-ES"/>
        </w:rPr>
        <w:t xml:space="preserve"> a la propiedad privada </w:t>
      </w:r>
      <w:r>
        <w:rPr>
          <w:color w:val="000000" w:themeColor="text1"/>
          <w:spacing w:val="-2"/>
          <w:sz w:val="20"/>
          <w:szCs w:val="20"/>
          <w:lang w:val="es-GT" w:eastAsia="es-ES"/>
        </w:rPr>
        <w:t xml:space="preserve">y a </w:t>
      </w:r>
      <w:r w:rsidRPr="00DE4708">
        <w:rPr>
          <w:sz w:val="20"/>
          <w:szCs w:val="20"/>
          <w:lang w:val="es-GT"/>
        </w:rPr>
        <w:t>no sufrir injerencias arbitrarias o abusivas en su vida privada</w:t>
      </w:r>
      <w:r w:rsidR="00B5439B">
        <w:rPr>
          <w:sz w:val="20"/>
          <w:szCs w:val="20"/>
          <w:lang w:val="es-GT"/>
        </w:rPr>
        <w:t xml:space="preserve"> y domicilio</w:t>
      </w:r>
      <w:r w:rsidRPr="00DE4708">
        <w:rPr>
          <w:sz w:val="20"/>
          <w:szCs w:val="20"/>
          <w:lang w:val="es-GT"/>
        </w:rPr>
        <w:t>,</w:t>
      </w:r>
      <w:r>
        <w:rPr>
          <w:sz w:val="20"/>
          <w:szCs w:val="20"/>
          <w:lang w:val="es-GT"/>
        </w:rPr>
        <w:t xml:space="preserve"> </w:t>
      </w:r>
      <w:r w:rsidRPr="005E3C7B">
        <w:rPr>
          <w:color w:val="000000" w:themeColor="text1"/>
          <w:spacing w:val="-2"/>
          <w:sz w:val="20"/>
          <w:szCs w:val="20"/>
          <w:lang w:val="es-GT" w:eastAsia="es-ES"/>
        </w:rPr>
        <w:t>reconocido</w:t>
      </w:r>
      <w:r>
        <w:rPr>
          <w:color w:val="000000" w:themeColor="text1"/>
          <w:spacing w:val="-2"/>
          <w:sz w:val="20"/>
          <w:szCs w:val="20"/>
          <w:lang w:val="es-GT" w:eastAsia="es-ES"/>
        </w:rPr>
        <w:t>s</w:t>
      </w:r>
      <w:r w:rsidRPr="005E3C7B">
        <w:rPr>
          <w:color w:val="000000" w:themeColor="text1"/>
          <w:spacing w:val="-2"/>
          <w:sz w:val="20"/>
          <w:szCs w:val="20"/>
          <w:lang w:val="es-GT" w:eastAsia="es-ES"/>
        </w:rPr>
        <w:t xml:space="preserve"> en </w:t>
      </w:r>
      <w:r>
        <w:rPr>
          <w:color w:val="000000" w:themeColor="text1"/>
          <w:spacing w:val="-2"/>
          <w:sz w:val="20"/>
          <w:szCs w:val="20"/>
          <w:lang w:val="es-GT" w:eastAsia="es-ES"/>
        </w:rPr>
        <w:t>los</w:t>
      </w:r>
      <w:r w:rsidRPr="005E3C7B">
        <w:rPr>
          <w:color w:val="000000" w:themeColor="text1"/>
          <w:spacing w:val="-2"/>
          <w:sz w:val="20"/>
          <w:szCs w:val="20"/>
          <w:lang w:val="es-GT" w:eastAsia="es-ES"/>
        </w:rPr>
        <w:t xml:space="preserve"> artículo</w:t>
      </w:r>
      <w:r>
        <w:rPr>
          <w:color w:val="000000" w:themeColor="text1"/>
          <w:spacing w:val="-2"/>
          <w:sz w:val="20"/>
          <w:szCs w:val="20"/>
          <w:lang w:val="es-GT" w:eastAsia="es-ES"/>
        </w:rPr>
        <w:t>s</w:t>
      </w:r>
      <w:r w:rsidRPr="005E3C7B">
        <w:rPr>
          <w:color w:val="000000" w:themeColor="text1"/>
          <w:spacing w:val="-2"/>
          <w:sz w:val="20"/>
          <w:szCs w:val="20"/>
          <w:lang w:val="es-GT" w:eastAsia="es-ES"/>
        </w:rPr>
        <w:t xml:space="preserve"> 21</w:t>
      </w:r>
      <w:r>
        <w:rPr>
          <w:color w:val="000000" w:themeColor="text1"/>
          <w:spacing w:val="-2"/>
          <w:sz w:val="20"/>
          <w:szCs w:val="20"/>
          <w:lang w:val="es-GT" w:eastAsia="es-ES"/>
        </w:rPr>
        <w:t xml:space="preserve"> y 11.2</w:t>
      </w:r>
      <w:r w:rsidRPr="005E3C7B">
        <w:rPr>
          <w:color w:val="000000" w:themeColor="text1"/>
          <w:spacing w:val="-2"/>
          <w:sz w:val="20"/>
          <w:szCs w:val="20"/>
          <w:lang w:val="es-GT" w:eastAsia="es-ES"/>
        </w:rPr>
        <w:t xml:space="preserve"> de la Convenci</w:t>
      </w:r>
      <w:r>
        <w:rPr>
          <w:color w:val="000000" w:themeColor="text1"/>
          <w:spacing w:val="-2"/>
          <w:sz w:val="20"/>
          <w:szCs w:val="20"/>
          <w:lang w:val="es-GT" w:eastAsia="es-ES"/>
        </w:rPr>
        <w:t xml:space="preserve">ón Americana, en </w:t>
      </w:r>
      <w:r w:rsidRPr="009D7C61">
        <w:rPr>
          <w:color w:val="000000" w:themeColor="text1"/>
          <w:spacing w:val="-2"/>
          <w:sz w:val="20"/>
          <w:szCs w:val="20"/>
          <w:lang w:val="es-GT" w:eastAsia="es-ES"/>
        </w:rPr>
        <w:t xml:space="preserve">relación con el artículo 1.1 de la misma, en perjuicio </w:t>
      </w:r>
      <w:r w:rsidRPr="009D7C61">
        <w:rPr>
          <w:color w:val="000000" w:themeColor="text1"/>
          <w:spacing w:val="-2"/>
          <w:sz w:val="20"/>
          <w:szCs w:val="20"/>
          <w:lang w:val="es-AR"/>
        </w:rPr>
        <w:t>de</w:t>
      </w:r>
      <w:r w:rsidRPr="009D7C61">
        <w:rPr>
          <w:sz w:val="20"/>
          <w:szCs w:val="20"/>
          <w:lang w:val="es-CR"/>
        </w:rPr>
        <w:t xml:space="preserve"> Francisco Hilario Torres, Dionicia Quispe Ma</w:t>
      </w:r>
      <w:r w:rsidR="009B2E0A" w:rsidRPr="009D7C61">
        <w:rPr>
          <w:sz w:val="20"/>
          <w:szCs w:val="20"/>
          <w:lang w:val="es-CR"/>
        </w:rPr>
        <w:t>ll</w:t>
      </w:r>
      <w:r w:rsidRPr="009D7C61">
        <w:rPr>
          <w:sz w:val="20"/>
          <w:szCs w:val="20"/>
          <w:lang w:val="es-CR"/>
        </w:rPr>
        <w:t>qui, Antonia Hilario Quispe, Zenón Cirilo Osnayo Tunque, Yesenia Osnayo Hilario, Miriam Osnayo Hilario</w:t>
      </w:r>
      <w:r w:rsidR="005142F4">
        <w:rPr>
          <w:sz w:val="20"/>
          <w:szCs w:val="20"/>
          <w:lang w:val="es-CR"/>
        </w:rPr>
        <w:t>,</w:t>
      </w:r>
      <w:r w:rsidRPr="009D7C61">
        <w:rPr>
          <w:sz w:val="20"/>
          <w:szCs w:val="20"/>
          <w:lang w:val="es-CR"/>
        </w:rPr>
        <w:t xml:space="preserve"> Edith Osnayo Hilario, Magdalena Hilario Quispe, Alex Jorge Hilario, Marcelo Hilario Quispe, Mercedes Carhuapoma de la Cruz, Wilmer Hilario Carhuapoma, Ramón Hilario Morán, Dionicia Guillén Riveros, Raúl Hilario Guillén y Héctor Hilario Guillén</w:t>
      </w:r>
      <w:r w:rsidRPr="009D7C61">
        <w:rPr>
          <w:rFonts w:eastAsia="Batang" w:cs="Times"/>
          <w:sz w:val="20"/>
          <w:szCs w:val="20"/>
          <w:lang w:val="es-ES_tradnl"/>
        </w:rPr>
        <w:t>. Todo ello,</w:t>
      </w:r>
      <w:r w:rsidRPr="009D7C61">
        <w:rPr>
          <w:color w:val="000000" w:themeColor="text1"/>
          <w:spacing w:val="-2"/>
          <w:sz w:val="20"/>
          <w:szCs w:val="20"/>
          <w:lang w:val="es-AR"/>
        </w:rPr>
        <w:t xml:space="preserve"> en los términos de los párrafos 199 a 205 de esta Sentencia.</w:t>
      </w:r>
    </w:p>
    <w:p w:rsidR="00897439" w:rsidRDefault="00897439" w:rsidP="00897439">
      <w:pPr>
        <w:pStyle w:val="ListParagraph"/>
        <w:autoSpaceDE w:val="0"/>
        <w:autoSpaceDN w:val="0"/>
        <w:adjustRightInd w:val="0"/>
        <w:spacing w:after="0" w:line="240" w:lineRule="auto"/>
        <w:ind w:left="0" w:right="-20"/>
        <w:jc w:val="both"/>
        <w:rPr>
          <w:rFonts w:ascii="Verdana" w:eastAsia="Batang" w:hAnsi="Verdana" w:cs="Times"/>
          <w:color w:val="000000" w:themeColor="text1"/>
          <w:spacing w:val="-2"/>
          <w:sz w:val="20"/>
          <w:szCs w:val="20"/>
          <w:lang w:val="es-AR"/>
        </w:rPr>
      </w:pPr>
    </w:p>
    <w:p w:rsidR="00897439" w:rsidRDefault="00897439" w:rsidP="00897439">
      <w:pPr>
        <w:pStyle w:val="ListParagraph"/>
        <w:autoSpaceDE w:val="0"/>
        <w:autoSpaceDN w:val="0"/>
        <w:adjustRightInd w:val="0"/>
        <w:spacing w:after="0" w:line="240" w:lineRule="auto"/>
        <w:ind w:left="0" w:right="-20"/>
        <w:jc w:val="both"/>
        <w:rPr>
          <w:rFonts w:ascii="Verdana" w:eastAsia="Batang" w:hAnsi="Verdana" w:cs="Times"/>
          <w:color w:val="000000" w:themeColor="text1"/>
          <w:spacing w:val="-2"/>
          <w:sz w:val="20"/>
          <w:szCs w:val="20"/>
          <w:lang w:val="es-AR"/>
        </w:rPr>
      </w:pPr>
      <w:r>
        <w:rPr>
          <w:rFonts w:ascii="Verdana" w:eastAsia="Batang" w:hAnsi="Verdana" w:cs="Times"/>
          <w:color w:val="000000" w:themeColor="text1"/>
          <w:spacing w:val="-2"/>
          <w:sz w:val="20"/>
          <w:szCs w:val="20"/>
          <w:lang w:val="es-AR"/>
        </w:rPr>
        <w:t>Disidente el Juez Vio Grossi.</w:t>
      </w:r>
    </w:p>
    <w:p w:rsidR="00897439" w:rsidRDefault="00897439" w:rsidP="00897439">
      <w:pPr>
        <w:pStyle w:val="ListParagraph"/>
        <w:autoSpaceDE w:val="0"/>
        <w:autoSpaceDN w:val="0"/>
        <w:adjustRightInd w:val="0"/>
        <w:spacing w:after="0" w:line="240" w:lineRule="auto"/>
        <w:ind w:left="0" w:right="-20"/>
        <w:jc w:val="both"/>
        <w:rPr>
          <w:rFonts w:ascii="Verdana" w:eastAsia="Batang" w:hAnsi="Verdana" w:cs="Times"/>
          <w:color w:val="000000" w:themeColor="text1"/>
          <w:spacing w:val="-2"/>
          <w:sz w:val="20"/>
          <w:szCs w:val="20"/>
          <w:lang w:val="es-AR"/>
        </w:rPr>
      </w:pPr>
    </w:p>
    <w:p w:rsidR="00897439" w:rsidRDefault="00897439" w:rsidP="00897439">
      <w:pPr>
        <w:pStyle w:val="ListParagraph"/>
        <w:autoSpaceDE w:val="0"/>
        <w:autoSpaceDN w:val="0"/>
        <w:adjustRightInd w:val="0"/>
        <w:spacing w:after="0" w:line="240" w:lineRule="auto"/>
        <w:ind w:left="0" w:right="-20"/>
        <w:jc w:val="both"/>
        <w:rPr>
          <w:rFonts w:ascii="Verdana" w:eastAsia="Batang" w:hAnsi="Verdana" w:cs="Times"/>
          <w:color w:val="000000" w:themeColor="text1"/>
          <w:spacing w:val="-2"/>
          <w:sz w:val="20"/>
          <w:szCs w:val="20"/>
          <w:lang w:val="es-AR"/>
        </w:rPr>
      </w:pPr>
      <w:r>
        <w:rPr>
          <w:rFonts w:ascii="Verdana" w:eastAsia="Batang" w:hAnsi="Verdana" w:cs="Times"/>
          <w:color w:val="000000" w:themeColor="text1"/>
          <w:spacing w:val="-2"/>
          <w:sz w:val="20"/>
          <w:szCs w:val="20"/>
          <w:lang w:val="es-AR"/>
        </w:rPr>
        <w:t>por cuatro votos a favor y dos en contra, que:</w:t>
      </w:r>
    </w:p>
    <w:p w:rsidR="00897439" w:rsidRDefault="00897439" w:rsidP="00897439">
      <w:pPr>
        <w:pStyle w:val="ListParagraph"/>
        <w:autoSpaceDE w:val="0"/>
        <w:autoSpaceDN w:val="0"/>
        <w:adjustRightInd w:val="0"/>
        <w:spacing w:after="0" w:line="240" w:lineRule="auto"/>
        <w:ind w:left="0" w:right="-20"/>
        <w:jc w:val="both"/>
        <w:rPr>
          <w:rFonts w:ascii="Verdana" w:eastAsia="Batang" w:hAnsi="Verdana" w:cs="Times"/>
          <w:color w:val="000000" w:themeColor="text1"/>
          <w:spacing w:val="-2"/>
          <w:sz w:val="20"/>
          <w:szCs w:val="20"/>
          <w:lang w:val="es-AR"/>
        </w:rPr>
      </w:pPr>
    </w:p>
    <w:p w:rsidR="00897439" w:rsidRDefault="009B2E0A" w:rsidP="001154F9">
      <w:pPr>
        <w:pStyle w:val="Default"/>
        <w:numPr>
          <w:ilvl w:val="0"/>
          <w:numId w:val="17"/>
        </w:numPr>
        <w:ind w:left="0" w:firstLine="0"/>
        <w:jc w:val="both"/>
        <w:rPr>
          <w:color w:val="000000" w:themeColor="text1"/>
          <w:spacing w:val="-2"/>
          <w:sz w:val="20"/>
          <w:szCs w:val="20"/>
          <w:lang w:val="es-PR"/>
        </w:rPr>
      </w:pPr>
      <w:r w:rsidRPr="004C74EB">
        <w:rPr>
          <w:rFonts w:eastAsia="Batang"/>
          <w:color w:val="000000" w:themeColor="text1"/>
          <w:spacing w:val="-2"/>
          <w:sz w:val="20"/>
          <w:szCs w:val="20"/>
          <w:lang w:val="es-ES_tradnl"/>
        </w:rPr>
        <w:t>El</w:t>
      </w:r>
      <w:r>
        <w:rPr>
          <w:rFonts w:eastAsia="Batang"/>
          <w:b/>
          <w:color w:val="000000" w:themeColor="text1"/>
          <w:spacing w:val="-2"/>
          <w:sz w:val="20"/>
          <w:szCs w:val="20"/>
          <w:lang w:val="es-ES_tradnl"/>
        </w:rPr>
        <w:t xml:space="preserve"> </w:t>
      </w:r>
      <w:r w:rsidR="00897439" w:rsidRPr="002964A7">
        <w:rPr>
          <w:spacing w:val="-2"/>
          <w:sz w:val="20"/>
          <w:szCs w:val="20"/>
          <w:lang w:val="es-ES"/>
        </w:rPr>
        <w:t xml:space="preserve">Estado </w:t>
      </w:r>
      <w:r w:rsidR="00897439" w:rsidRPr="002964A7">
        <w:rPr>
          <w:rFonts w:cs="Times-Roman"/>
          <w:spacing w:val="-2"/>
          <w:sz w:val="20"/>
          <w:szCs w:val="20"/>
          <w:lang w:val="es-GT" w:bidi="en-US"/>
        </w:rPr>
        <w:t xml:space="preserve">violó, </w:t>
      </w:r>
      <w:r w:rsidR="00897439" w:rsidRPr="002964A7">
        <w:rPr>
          <w:spacing w:val="-2"/>
          <w:sz w:val="20"/>
          <w:szCs w:val="20"/>
          <w:lang w:val="es-GT"/>
        </w:rPr>
        <w:t xml:space="preserve">en perjuicio de las víctimas </w:t>
      </w:r>
      <w:r w:rsidR="00897439" w:rsidRPr="002964A7">
        <w:rPr>
          <w:spacing w:val="-2"/>
          <w:sz w:val="20"/>
          <w:szCs w:val="20"/>
          <w:lang w:val="es-PR"/>
        </w:rPr>
        <w:t>desaparecidas</w:t>
      </w:r>
      <w:r w:rsidR="00897439" w:rsidRPr="002964A7">
        <w:rPr>
          <w:spacing w:val="-2"/>
          <w:sz w:val="20"/>
          <w:szCs w:val="20"/>
          <w:lang w:val="es-GT"/>
        </w:rPr>
        <w:t xml:space="preserve"> </w:t>
      </w:r>
      <w:r w:rsidR="00897439" w:rsidRPr="002964A7">
        <w:rPr>
          <w:spacing w:val="-2"/>
          <w:sz w:val="20"/>
          <w:szCs w:val="20"/>
          <w:lang w:val="es-PR"/>
        </w:rPr>
        <w:t>forzosamente</w:t>
      </w:r>
      <w:r w:rsidR="00897439">
        <w:rPr>
          <w:spacing w:val="-2"/>
          <w:sz w:val="20"/>
          <w:szCs w:val="20"/>
          <w:lang w:val="es-PR"/>
        </w:rPr>
        <w:t xml:space="preserve"> y sus familiares, </w:t>
      </w:r>
      <w:r w:rsidR="00897439" w:rsidRPr="002964A7">
        <w:rPr>
          <w:rFonts w:cs="Times-Roman"/>
          <w:spacing w:val="-2"/>
          <w:sz w:val="20"/>
          <w:szCs w:val="20"/>
          <w:lang w:val="es-GT" w:bidi="en-US"/>
        </w:rPr>
        <w:t xml:space="preserve">los derechos a las garantías judiciales y a la protección judicial </w:t>
      </w:r>
      <w:r w:rsidR="00897439" w:rsidRPr="002964A7">
        <w:rPr>
          <w:spacing w:val="-2"/>
          <w:sz w:val="20"/>
          <w:szCs w:val="20"/>
          <w:lang w:val="es-GT"/>
        </w:rPr>
        <w:t xml:space="preserve">consagrados en </w:t>
      </w:r>
      <w:r w:rsidR="00897439" w:rsidRPr="002964A7">
        <w:rPr>
          <w:spacing w:val="-2"/>
          <w:sz w:val="20"/>
          <w:szCs w:val="20"/>
          <w:lang w:val="es-GT"/>
        </w:rPr>
        <w:lastRenderedPageBreak/>
        <w:t xml:space="preserve">los artículos 8.1 y 25.1 de la Convención Americana, en relación con el artículo 1.1 de la misma, así como en relación con los artículos 1, 6 y 8 de la Convención Interamericana para Prevenir y Sancionar la Tortura, y con el artículo I.b de la Convención Interamericana sobre Desaparición Forzada de Personas </w:t>
      </w:r>
      <w:r w:rsidRPr="00CC23DD">
        <w:rPr>
          <w:sz w:val="20"/>
          <w:szCs w:val="20"/>
          <w:lang w:val="es-ES_tradnl"/>
        </w:rPr>
        <w:t xml:space="preserve">a partir del </w:t>
      </w:r>
      <w:r w:rsidRPr="00CC23DD">
        <w:rPr>
          <w:rFonts w:cs="Arial"/>
          <w:bCs/>
          <w:sz w:val="20"/>
          <w:szCs w:val="20"/>
          <w:lang w:val="es-ES_tradnl" w:eastAsia="es-CR"/>
        </w:rPr>
        <w:t>15 de marzo</w:t>
      </w:r>
      <w:r w:rsidRPr="00CC23DD">
        <w:rPr>
          <w:rFonts w:cs="Arial"/>
          <w:sz w:val="20"/>
          <w:szCs w:val="20"/>
          <w:lang w:val="es-ES_tradnl" w:eastAsia="es-CR"/>
        </w:rPr>
        <w:t xml:space="preserve"> </w:t>
      </w:r>
      <w:r w:rsidRPr="00CC23DD">
        <w:rPr>
          <w:rFonts w:cs="Arial"/>
          <w:bCs/>
          <w:sz w:val="20"/>
          <w:szCs w:val="20"/>
          <w:lang w:val="es-ES_tradnl" w:eastAsia="es-CR"/>
        </w:rPr>
        <w:t>de 2002, fecha de</w:t>
      </w:r>
      <w:r w:rsidRPr="00CC23DD">
        <w:rPr>
          <w:sz w:val="20"/>
          <w:szCs w:val="20"/>
          <w:lang w:val="es-ES_tradnl"/>
        </w:rPr>
        <w:t xml:space="preserve"> su entrada en vigor para el Perú</w:t>
      </w:r>
      <w:r w:rsidR="00897439" w:rsidRPr="002964A7">
        <w:rPr>
          <w:spacing w:val="-2"/>
          <w:sz w:val="20"/>
          <w:szCs w:val="20"/>
          <w:lang w:val="es-GT"/>
        </w:rPr>
        <w:t xml:space="preserve">. </w:t>
      </w:r>
      <w:r>
        <w:rPr>
          <w:spacing w:val="-2"/>
          <w:sz w:val="20"/>
          <w:szCs w:val="20"/>
          <w:lang w:val="es-GT"/>
        </w:rPr>
        <w:t>Además</w:t>
      </w:r>
      <w:r w:rsidR="00897439">
        <w:rPr>
          <w:spacing w:val="-2"/>
          <w:sz w:val="20"/>
          <w:szCs w:val="20"/>
          <w:lang w:val="es-GT"/>
        </w:rPr>
        <w:t>, el Perú violó el derecho a conocer la verdad de los familiares de las víctimas desaparecidas</w:t>
      </w:r>
      <w:r w:rsidR="00897439">
        <w:rPr>
          <w:rFonts w:eastAsia="Batang"/>
          <w:bCs/>
          <w:color w:val="000000" w:themeColor="text1"/>
          <w:spacing w:val="-2"/>
          <w:sz w:val="20"/>
          <w:szCs w:val="20"/>
          <w:lang w:val="es-PR" w:eastAsia="es-CR"/>
        </w:rPr>
        <w:t>. Todo ello,</w:t>
      </w:r>
      <w:r w:rsidR="00897439">
        <w:rPr>
          <w:rFonts w:eastAsia="Batang"/>
          <w:color w:val="000000" w:themeColor="text1"/>
          <w:spacing w:val="-2"/>
          <w:sz w:val="20"/>
          <w:szCs w:val="20"/>
          <w:lang w:val="es-ES_tradnl"/>
        </w:rPr>
        <w:t xml:space="preserve"> en los términos de los párrafos 215 a</w:t>
      </w:r>
      <w:r>
        <w:rPr>
          <w:rFonts w:eastAsia="Batang"/>
          <w:color w:val="000000" w:themeColor="text1"/>
          <w:spacing w:val="-2"/>
          <w:sz w:val="20"/>
          <w:szCs w:val="20"/>
          <w:lang w:val="es-ES_tradnl"/>
        </w:rPr>
        <w:t xml:space="preserve"> 229 y</w:t>
      </w:r>
      <w:r w:rsidR="00897439">
        <w:rPr>
          <w:rFonts w:eastAsia="Batang"/>
          <w:color w:val="000000" w:themeColor="text1"/>
          <w:spacing w:val="-2"/>
          <w:sz w:val="20"/>
          <w:szCs w:val="20"/>
          <w:lang w:val="es-ES_tradnl"/>
        </w:rPr>
        <w:t xml:space="preserve"> </w:t>
      </w:r>
      <w:r w:rsidR="009F4566">
        <w:rPr>
          <w:rFonts w:eastAsia="Batang"/>
          <w:color w:val="000000" w:themeColor="text1"/>
          <w:spacing w:val="-2"/>
          <w:sz w:val="20"/>
          <w:szCs w:val="20"/>
          <w:lang w:val="es-ES_tradnl"/>
        </w:rPr>
        <w:t xml:space="preserve">237 a </w:t>
      </w:r>
      <w:r w:rsidR="00897439">
        <w:rPr>
          <w:rFonts w:eastAsia="Batang"/>
          <w:color w:val="000000" w:themeColor="text1"/>
          <w:spacing w:val="-2"/>
          <w:sz w:val="20"/>
          <w:szCs w:val="20"/>
          <w:lang w:val="es-ES_tradnl"/>
        </w:rPr>
        <w:t xml:space="preserve">270 de esta Sentencia. </w:t>
      </w:r>
      <w:r w:rsidR="004C74EB" w:rsidRPr="00607C16">
        <w:rPr>
          <w:rFonts w:eastAsia="Batang"/>
          <w:color w:val="000000" w:themeColor="text1"/>
          <w:spacing w:val="-2"/>
          <w:sz w:val="20"/>
          <w:szCs w:val="20"/>
          <w:lang w:val="es-ES_tradnl"/>
        </w:rPr>
        <w:t>Asimismo, e</w:t>
      </w:r>
      <w:r w:rsidR="004C74EB" w:rsidRPr="00607C16">
        <w:rPr>
          <w:spacing w:val="-2"/>
          <w:sz w:val="20"/>
          <w:szCs w:val="20"/>
          <w:lang w:val="es-ES"/>
        </w:rPr>
        <w:t>l</w:t>
      </w:r>
      <w:r w:rsidR="004C74EB" w:rsidRPr="00607C16">
        <w:rPr>
          <w:rFonts w:eastAsia="Batang"/>
          <w:color w:val="000000" w:themeColor="text1"/>
          <w:spacing w:val="-2"/>
          <w:sz w:val="20"/>
          <w:szCs w:val="20"/>
          <w:lang w:val="es-ES_tradnl"/>
        </w:rPr>
        <w:t xml:space="preserve"> Estado violó, en perjuicio de </w:t>
      </w:r>
      <w:r w:rsidR="00CC2F35" w:rsidRPr="007C2FC7">
        <w:rPr>
          <w:sz w:val="20"/>
          <w:szCs w:val="20"/>
          <w:lang w:val="es-GT"/>
        </w:rPr>
        <w:t>Elihoref Huamaní Vergara</w:t>
      </w:r>
      <w:r w:rsidR="00CC2F35" w:rsidRPr="00607C16">
        <w:rPr>
          <w:spacing w:val="-2"/>
          <w:sz w:val="20"/>
          <w:szCs w:val="20"/>
          <w:lang w:val="es-PR"/>
        </w:rPr>
        <w:t xml:space="preserve"> </w:t>
      </w:r>
      <w:r w:rsidR="004C74EB" w:rsidRPr="00607C16">
        <w:rPr>
          <w:spacing w:val="-2"/>
          <w:sz w:val="20"/>
          <w:szCs w:val="20"/>
          <w:lang w:val="es-PR"/>
        </w:rPr>
        <w:t>y</w:t>
      </w:r>
      <w:r w:rsidR="004C74EB" w:rsidRPr="00607C16">
        <w:rPr>
          <w:rFonts w:eastAsia="Batang"/>
          <w:color w:val="000000" w:themeColor="text1"/>
          <w:spacing w:val="-2"/>
          <w:sz w:val="20"/>
          <w:szCs w:val="20"/>
          <w:lang w:val="es-ES_tradnl"/>
        </w:rPr>
        <w:t xml:space="preserve"> sus familiares, el artículo 7.6 de la Convención Americana, en los términos de los párrafos 230 a 236 de esta Sentencia.</w:t>
      </w:r>
      <w:r w:rsidR="004C74EB">
        <w:rPr>
          <w:rFonts w:eastAsia="Batang"/>
          <w:b/>
          <w:color w:val="000000" w:themeColor="text1"/>
          <w:spacing w:val="-2"/>
          <w:sz w:val="20"/>
          <w:szCs w:val="20"/>
          <w:lang w:val="es-ES_tradnl"/>
        </w:rPr>
        <w:t xml:space="preserve"> </w:t>
      </w:r>
    </w:p>
    <w:p w:rsidR="00897439" w:rsidRPr="00D80454" w:rsidRDefault="00897439" w:rsidP="00897439">
      <w:pPr>
        <w:tabs>
          <w:tab w:val="left" w:pos="720"/>
        </w:tabs>
        <w:spacing w:after="0" w:line="240" w:lineRule="auto"/>
        <w:jc w:val="both"/>
        <w:rPr>
          <w:rFonts w:ascii="Verdana" w:hAnsi="Verdana" w:cs="Verdana"/>
          <w:color w:val="000000" w:themeColor="text1"/>
          <w:spacing w:val="-2"/>
          <w:sz w:val="20"/>
          <w:szCs w:val="20"/>
          <w:lang w:val="es-PR"/>
        </w:rPr>
      </w:pPr>
    </w:p>
    <w:p w:rsidR="00897439" w:rsidRDefault="00897439" w:rsidP="00897439">
      <w:pPr>
        <w:tabs>
          <w:tab w:val="left" w:pos="720"/>
        </w:tabs>
        <w:spacing w:after="0" w:line="240" w:lineRule="auto"/>
        <w:jc w:val="both"/>
        <w:rPr>
          <w:rFonts w:ascii="Verdana" w:hAnsi="Verdana" w:cs="Verdana"/>
          <w:color w:val="000000" w:themeColor="text1"/>
          <w:spacing w:val="-2"/>
          <w:sz w:val="20"/>
          <w:szCs w:val="20"/>
          <w:lang w:val="es-EC"/>
        </w:rPr>
      </w:pPr>
      <w:r>
        <w:rPr>
          <w:rFonts w:ascii="Verdana" w:hAnsi="Verdana" w:cs="Verdana"/>
          <w:color w:val="000000" w:themeColor="text1"/>
          <w:spacing w:val="-2"/>
          <w:sz w:val="20"/>
          <w:szCs w:val="20"/>
          <w:lang w:val="es-EC"/>
        </w:rPr>
        <w:t>Disidentes los Juece</w:t>
      </w:r>
      <w:r w:rsidR="009F4566">
        <w:rPr>
          <w:rFonts w:ascii="Verdana" w:hAnsi="Verdana" w:cs="Verdana"/>
          <w:color w:val="000000" w:themeColor="text1"/>
          <w:spacing w:val="-2"/>
          <w:sz w:val="20"/>
          <w:szCs w:val="20"/>
          <w:lang w:val="es-EC"/>
        </w:rPr>
        <w:t>s</w:t>
      </w:r>
      <w:r>
        <w:rPr>
          <w:rFonts w:ascii="Verdana" w:hAnsi="Verdana" w:cs="Verdana"/>
          <w:color w:val="000000" w:themeColor="text1"/>
          <w:spacing w:val="-2"/>
          <w:sz w:val="20"/>
          <w:szCs w:val="20"/>
          <w:lang w:val="es-EC"/>
        </w:rPr>
        <w:t xml:space="preserve"> Pérez Pérez y Vio Grossi.</w:t>
      </w:r>
    </w:p>
    <w:p w:rsidR="00897439" w:rsidRDefault="00897439" w:rsidP="00897439">
      <w:pPr>
        <w:tabs>
          <w:tab w:val="left" w:pos="720"/>
        </w:tabs>
        <w:spacing w:after="0" w:line="240" w:lineRule="auto"/>
        <w:jc w:val="both"/>
        <w:rPr>
          <w:rFonts w:ascii="Verdana" w:hAnsi="Verdana" w:cs="Verdana"/>
          <w:color w:val="000000" w:themeColor="text1"/>
          <w:spacing w:val="-2"/>
          <w:sz w:val="20"/>
          <w:szCs w:val="20"/>
          <w:lang w:val="es-EC"/>
        </w:rPr>
      </w:pPr>
    </w:p>
    <w:p w:rsidR="00897439" w:rsidRDefault="00897439" w:rsidP="00897439">
      <w:pPr>
        <w:tabs>
          <w:tab w:val="left" w:pos="720"/>
        </w:tabs>
        <w:spacing w:after="0" w:line="240" w:lineRule="auto"/>
        <w:jc w:val="both"/>
        <w:rPr>
          <w:rFonts w:ascii="Verdana" w:hAnsi="Verdana" w:cs="Verdana"/>
          <w:color w:val="000000" w:themeColor="text1"/>
          <w:spacing w:val="-2"/>
          <w:sz w:val="20"/>
          <w:szCs w:val="20"/>
          <w:lang w:val="es-EC"/>
        </w:rPr>
      </w:pPr>
      <w:r>
        <w:rPr>
          <w:rFonts w:ascii="Verdana" w:hAnsi="Verdana" w:cs="Verdana"/>
          <w:color w:val="000000" w:themeColor="text1"/>
          <w:spacing w:val="-2"/>
          <w:sz w:val="20"/>
          <w:szCs w:val="20"/>
          <w:lang w:val="es-EC"/>
        </w:rPr>
        <w:t xml:space="preserve">por </w:t>
      </w:r>
      <w:r w:rsidR="009F4566">
        <w:rPr>
          <w:rFonts w:ascii="Verdana" w:hAnsi="Verdana" w:cs="Verdana"/>
          <w:color w:val="000000" w:themeColor="text1"/>
          <w:spacing w:val="-2"/>
          <w:sz w:val="20"/>
          <w:szCs w:val="20"/>
          <w:lang w:val="es-EC"/>
        </w:rPr>
        <w:t xml:space="preserve">cinco </w:t>
      </w:r>
      <w:r>
        <w:rPr>
          <w:rFonts w:ascii="Verdana" w:hAnsi="Verdana" w:cs="Verdana"/>
          <w:color w:val="000000" w:themeColor="text1"/>
          <w:spacing w:val="-2"/>
          <w:sz w:val="20"/>
          <w:szCs w:val="20"/>
          <w:lang w:val="es-EC"/>
        </w:rPr>
        <w:t xml:space="preserve">votos a favor y </w:t>
      </w:r>
      <w:r w:rsidR="009F4566">
        <w:rPr>
          <w:rFonts w:ascii="Verdana" w:hAnsi="Verdana" w:cs="Verdana"/>
          <w:color w:val="000000" w:themeColor="text1"/>
          <w:spacing w:val="-2"/>
          <w:sz w:val="20"/>
          <w:szCs w:val="20"/>
          <w:lang w:val="es-EC"/>
        </w:rPr>
        <w:t xml:space="preserve">uno </w:t>
      </w:r>
      <w:r>
        <w:rPr>
          <w:rFonts w:ascii="Verdana" w:hAnsi="Verdana" w:cs="Verdana"/>
          <w:color w:val="000000" w:themeColor="text1"/>
          <w:spacing w:val="-2"/>
          <w:sz w:val="20"/>
          <w:szCs w:val="20"/>
          <w:lang w:val="es-EC"/>
        </w:rPr>
        <w:t xml:space="preserve">en contra, que: </w:t>
      </w:r>
    </w:p>
    <w:p w:rsidR="00897439" w:rsidRPr="00D80454" w:rsidRDefault="00897439" w:rsidP="00897439">
      <w:pPr>
        <w:tabs>
          <w:tab w:val="left" w:pos="720"/>
        </w:tabs>
        <w:spacing w:after="0" w:line="240" w:lineRule="auto"/>
        <w:jc w:val="both"/>
        <w:rPr>
          <w:rFonts w:ascii="Verdana" w:hAnsi="Verdana" w:cs="Verdana"/>
          <w:color w:val="000000" w:themeColor="text1"/>
          <w:spacing w:val="-2"/>
          <w:sz w:val="20"/>
          <w:szCs w:val="20"/>
          <w:lang w:val="es-AR"/>
        </w:rPr>
      </w:pPr>
    </w:p>
    <w:p w:rsidR="00897439" w:rsidRPr="007D57A2" w:rsidRDefault="00897439" w:rsidP="001154F9">
      <w:pPr>
        <w:pStyle w:val="Default"/>
        <w:numPr>
          <w:ilvl w:val="0"/>
          <w:numId w:val="17"/>
        </w:numPr>
        <w:ind w:left="0" w:firstLine="0"/>
        <w:jc w:val="both"/>
        <w:rPr>
          <w:rFonts w:eastAsia="Batang" w:cs="Times"/>
          <w:color w:val="000000" w:themeColor="text1"/>
          <w:spacing w:val="-2"/>
          <w:sz w:val="20"/>
          <w:szCs w:val="20"/>
          <w:lang w:val="es-PR"/>
        </w:rPr>
      </w:pPr>
      <w:r>
        <w:rPr>
          <w:spacing w:val="-2"/>
          <w:sz w:val="20"/>
          <w:szCs w:val="20"/>
          <w:lang w:val="es-EC"/>
        </w:rPr>
        <w:t>E</w:t>
      </w:r>
      <w:r w:rsidRPr="00637D99">
        <w:rPr>
          <w:spacing w:val="-2"/>
          <w:sz w:val="20"/>
          <w:szCs w:val="20"/>
          <w:lang w:val="es-CR"/>
        </w:rPr>
        <w:t xml:space="preserve">l Estado violó el derecho </w:t>
      </w:r>
      <w:r w:rsidRPr="007D57A2">
        <w:rPr>
          <w:spacing w:val="-2"/>
          <w:sz w:val="20"/>
          <w:szCs w:val="20"/>
          <w:lang w:val="es-CR"/>
        </w:rPr>
        <w:t xml:space="preserve">a la integridad personal </w:t>
      </w:r>
      <w:r w:rsidRPr="007D57A2">
        <w:rPr>
          <w:rFonts w:eastAsia="Calibri"/>
          <w:spacing w:val="-2"/>
          <w:sz w:val="20"/>
          <w:szCs w:val="20"/>
          <w:lang w:val="es-CR"/>
        </w:rPr>
        <w:t>establecido</w:t>
      </w:r>
      <w:r w:rsidRPr="007D57A2">
        <w:rPr>
          <w:spacing w:val="-2"/>
          <w:sz w:val="20"/>
          <w:szCs w:val="20"/>
          <w:lang w:val="es-CR"/>
        </w:rPr>
        <w:t xml:space="preserve"> en el artículo 5.1 de la Convención Americana, en relación con el artículo 1.1 de la misma, en perjuicio de Zósimo Hilario Quispe, Marcelo Hilario Quispe, Gregorio Hilario Quispe, Zenón Cirilo Osnayo Tunque, Víctor Carhuapoma de la Cruz, Abilio Hilario Quispe, Marcelina Guillen Riveros, </w:t>
      </w:r>
      <w:r w:rsidRPr="007D57A2">
        <w:rPr>
          <w:rFonts w:cs="Arial"/>
          <w:spacing w:val="-2"/>
          <w:sz w:val="20"/>
          <w:szCs w:val="20"/>
          <w:lang w:val="es-CR"/>
        </w:rPr>
        <w:t xml:space="preserve">Marino Huamaní Vergara, </w:t>
      </w:r>
      <w:r w:rsidRPr="007D57A2">
        <w:rPr>
          <w:spacing w:val="-2"/>
          <w:sz w:val="20"/>
          <w:szCs w:val="20"/>
          <w:lang w:val="es-CR"/>
        </w:rPr>
        <w:t>Ana de la Cruz Carhuapoma</w:t>
      </w:r>
      <w:r w:rsidRPr="007D57A2">
        <w:rPr>
          <w:bCs/>
          <w:spacing w:val="-2"/>
          <w:sz w:val="20"/>
          <w:szCs w:val="20"/>
          <w:lang w:val="es-VE"/>
        </w:rPr>
        <w:t>,</w:t>
      </w:r>
      <w:r w:rsidRPr="007D57A2">
        <w:rPr>
          <w:spacing w:val="-2"/>
          <w:sz w:val="20"/>
          <w:szCs w:val="20"/>
          <w:lang w:val="es-CR"/>
        </w:rPr>
        <w:t xml:space="preserve"> Viviano Hilario Mancha, Dolores Morán Paucar, Justiniano Guillén Ccanto, Victoria Riveros Valencia y Alejandro Huamaní Robles. Todo ello</w:t>
      </w:r>
      <w:r w:rsidRPr="007D57A2">
        <w:rPr>
          <w:color w:val="000000" w:themeColor="text1"/>
          <w:spacing w:val="-2"/>
          <w:sz w:val="20"/>
          <w:szCs w:val="20"/>
          <w:lang w:val="es-AR"/>
        </w:rPr>
        <w:t xml:space="preserve">, en los términos de los párrafos </w:t>
      </w:r>
      <w:r w:rsidRPr="007D57A2">
        <w:rPr>
          <w:rFonts w:eastAsia="Batang"/>
          <w:color w:val="000000" w:themeColor="text1"/>
          <w:spacing w:val="-2"/>
          <w:sz w:val="20"/>
          <w:szCs w:val="20"/>
          <w:lang w:val="es-ES_tradnl"/>
        </w:rPr>
        <w:t>274 a 281</w:t>
      </w:r>
      <w:r w:rsidRPr="007D57A2">
        <w:rPr>
          <w:color w:val="000000" w:themeColor="text1"/>
          <w:spacing w:val="-2"/>
          <w:sz w:val="20"/>
          <w:szCs w:val="20"/>
          <w:lang w:val="es-AR"/>
        </w:rPr>
        <w:t xml:space="preserve"> de esta Sentencia.</w:t>
      </w:r>
    </w:p>
    <w:p w:rsidR="00897439" w:rsidRDefault="00897439" w:rsidP="00897439">
      <w:pPr>
        <w:pStyle w:val="Default"/>
        <w:jc w:val="both"/>
        <w:rPr>
          <w:color w:val="000000" w:themeColor="text1"/>
          <w:spacing w:val="-2"/>
          <w:sz w:val="20"/>
          <w:szCs w:val="20"/>
          <w:lang w:val="es-AR"/>
        </w:rPr>
      </w:pPr>
    </w:p>
    <w:p w:rsidR="00897439" w:rsidRPr="00AE41B5" w:rsidRDefault="00897439" w:rsidP="00897439">
      <w:pPr>
        <w:pStyle w:val="Default"/>
        <w:jc w:val="both"/>
        <w:rPr>
          <w:rFonts w:eastAsia="Batang" w:cs="Times"/>
          <w:color w:val="000000" w:themeColor="text1"/>
          <w:spacing w:val="-2"/>
          <w:sz w:val="20"/>
          <w:szCs w:val="20"/>
          <w:lang w:val="es-PR"/>
        </w:rPr>
      </w:pPr>
      <w:r>
        <w:rPr>
          <w:color w:val="000000" w:themeColor="text1"/>
          <w:spacing w:val="-2"/>
          <w:sz w:val="20"/>
          <w:szCs w:val="20"/>
          <w:lang w:val="es-AR"/>
        </w:rPr>
        <w:t>Disiente</w:t>
      </w:r>
      <w:r w:rsidR="009F4566">
        <w:rPr>
          <w:color w:val="000000" w:themeColor="text1"/>
          <w:spacing w:val="-2"/>
          <w:sz w:val="20"/>
          <w:szCs w:val="20"/>
          <w:lang w:val="es-AR"/>
        </w:rPr>
        <w:t xml:space="preserve"> el </w:t>
      </w:r>
      <w:r>
        <w:rPr>
          <w:color w:val="000000" w:themeColor="text1"/>
          <w:spacing w:val="-2"/>
          <w:sz w:val="20"/>
          <w:szCs w:val="20"/>
          <w:lang w:val="es-AR"/>
        </w:rPr>
        <w:t>Jue</w:t>
      </w:r>
      <w:r w:rsidR="009F4566">
        <w:rPr>
          <w:color w:val="000000" w:themeColor="text1"/>
          <w:spacing w:val="-2"/>
          <w:sz w:val="20"/>
          <w:szCs w:val="20"/>
          <w:lang w:val="es-AR"/>
        </w:rPr>
        <w:t>z</w:t>
      </w:r>
      <w:r>
        <w:rPr>
          <w:color w:val="000000" w:themeColor="text1"/>
          <w:spacing w:val="-2"/>
          <w:sz w:val="20"/>
          <w:szCs w:val="20"/>
          <w:lang w:val="es-AR"/>
        </w:rPr>
        <w:t xml:space="preserve"> Vio Grossi.</w:t>
      </w:r>
    </w:p>
    <w:p w:rsidR="00897439" w:rsidRDefault="00897439" w:rsidP="00897439">
      <w:pPr>
        <w:pStyle w:val="Default"/>
        <w:jc w:val="both"/>
        <w:rPr>
          <w:rFonts w:eastAsia="Batang" w:cs="Times"/>
          <w:color w:val="000000" w:themeColor="text1"/>
          <w:spacing w:val="-2"/>
          <w:sz w:val="20"/>
          <w:szCs w:val="20"/>
          <w:lang w:val="es-AR"/>
        </w:rPr>
      </w:pPr>
    </w:p>
    <w:p w:rsidR="0089743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 xml:space="preserve">por cinco votos a favor y uno en contra, que: </w:t>
      </w:r>
    </w:p>
    <w:p w:rsidR="00897439" w:rsidRPr="00AE41B5" w:rsidRDefault="00897439" w:rsidP="00897439">
      <w:pPr>
        <w:pStyle w:val="Default"/>
        <w:jc w:val="both"/>
        <w:rPr>
          <w:rFonts w:eastAsia="Batang" w:cs="Times"/>
          <w:color w:val="000000" w:themeColor="text1"/>
          <w:spacing w:val="-2"/>
          <w:sz w:val="20"/>
          <w:szCs w:val="20"/>
          <w:lang w:val="es-AR"/>
        </w:rPr>
      </w:pPr>
    </w:p>
    <w:p w:rsidR="00897439" w:rsidRPr="00D80454" w:rsidRDefault="00897439" w:rsidP="001154F9">
      <w:pPr>
        <w:pStyle w:val="Default"/>
        <w:numPr>
          <w:ilvl w:val="0"/>
          <w:numId w:val="17"/>
        </w:numPr>
        <w:ind w:left="0" w:firstLine="0"/>
        <w:jc w:val="both"/>
        <w:rPr>
          <w:rFonts w:eastAsia="Batang" w:cs="Times"/>
          <w:color w:val="000000" w:themeColor="text1"/>
          <w:spacing w:val="-2"/>
          <w:sz w:val="20"/>
          <w:szCs w:val="20"/>
          <w:lang w:val="es-AR"/>
        </w:rPr>
      </w:pPr>
      <w:r w:rsidRPr="00C94FC4">
        <w:rPr>
          <w:sz w:val="20"/>
          <w:szCs w:val="20"/>
          <w:lang w:val="es-PR"/>
        </w:rPr>
        <w:t>L</w:t>
      </w:r>
      <w:r w:rsidRPr="00C94FC4">
        <w:rPr>
          <w:sz w:val="20"/>
          <w:szCs w:val="20"/>
          <w:lang w:val="es-CR"/>
        </w:rPr>
        <w:t xml:space="preserve">a Corte no cuenta con los elementos probatorios suficientes para acreditar la alegada violación de los artículos 11 y </w:t>
      </w:r>
      <w:r w:rsidRPr="00C94FC4">
        <w:rPr>
          <w:rFonts w:eastAsia="Calibri"/>
          <w:sz w:val="20"/>
          <w:szCs w:val="20"/>
          <w:lang w:val="es-CR"/>
        </w:rPr>
        <w:t>17 de la Convención Americana, en los términos</w:t>
      </w:r>
      <w:r w:rsidRPr="00C94FC4">
        <w:rPr>
          <w:color w:val="000000" w:themeColor="text1"/>
          <w:spacing w:val="-2"/>
          <w:sz w:val="20"/>
          <w:szCs w:val="20"/>
          <w:lang w:val="es-AR"/>
        </w:rPr>
        <w:t xml:space="preserve"> del párrafo </w:t>
      </w:r>
      <w:r>
        <w:rPr>
          <w:color w:val="000000" w:themeColor="text1"/>
          <w:spacing w:val="-2"/>
          <w:sz w:val="20"/>
          <w:szCs w:val="20"/>
          <w:lang w:val="es-AR"/>
        </w:rPr>
        <w:t>193</w:t>
      </w:r>
      <w:r w:rsidRPr="00C94FC4">
        <w:rPr>
          <w:color w:val="000000" w:themeColor="text1"/>
          <w:spacing w:val="-2"/>
          <w:sz w:val="20"/>
          <w:szCs w:val="20"/>
          <w:lang w:val="es-AR"/>
        </w:rPr>
        <w:t xml:space="preserve"> de esta Sentencia.</w:t>
      </w:r>
    </w:p>
    <w:p w:rsidR="00897439" w:rsidRPr="00C94FC4" w:rsidRDefault="00897439" w:rsidP="00897439">
      <w:pPr>
        <w:pStyle w:val="Default"/>
        <w:jc w:val="both"/>
        <w:rPr>
          <w:rFonts w:eastAsia="Batang" w:cs="Times"/>
          <w:color w:val="000000" w:themeColor="text1"/>
          <w:spacing w:val="-2"/>
          <w:sz w:val="20"/>
          <w:szCs w:val="20"/>
          <w:lang w:val="es-AR"/>
        </w:rPr>
      </w:pPr>
    </w:p>
    <w:p w:rsidR="00897439" w:rsidRPr="00AE41B5"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Disiente el Juez Vio Grossi.</w:t>
      </w:r>
    </w:p>
    <w:p w:rsidR="009F4566" w:rsidRDefault="009F4566" w:rsidP="00897439">
      <w:pPr>
        <w:tabs>
          <w:tab w:val="left" w:pos="567"/>
          <w:tab w:val="left" w:pos="720"/>
        </w:tabs>
        <w:spacing w:after="0" w:line="240" w:lineRule="auto"/>
        <w:jc w:val="both"/>
        <w:rPr>
          <w:rFonts w:ascii="Verdana" w:hAnsi="Verdana" w:cs="Verdana"/>
          <w:b/>
          <w:color w:val="000000" w:themeColor="text1"/>
          <w:spacing w:val="-2"/>
          <w:sz w:val="20"/>
          <w:szCs w:val="20"/>
        </w:rPr>
      </w:pPr>
    </w:p>
    <w:p w:rsidR="00897439" w:rsidRDefault="00897439" w:rsidP="00897439">
      <w:pPr>
        <w:tabs>
          <w:tab w:val="left" w:pos="567"/>
          <w:tab w:val="left" w:pos="720"/>
        </w:tabs>
        <w:spacing w:after="0" w:line="240" w:lineRule="auto"/>
        <w:jc w:val="both"/>
        <w:rPr>
          <w:rFonts w:ascii="Verdana" w:hAnsi="Verdana" w:cs="Verdana"/>
          <w:b/>
          <w:color w:val="000000" w:themeColor="text1"/>
          <w:spacing w:val="-2"/>
          <w:sz w:val="20"/>
          <w:szCs w:val="20"/>
        </w:rPr>
      </w:pPr>
      <w:r>
        <w:rPr>
          <w:rFonts w:ascii="Verdana" w:hAnsi="Verdana" w:cs="Verdana"/>
          <w:b/>
          <w:color w:val="000000" w:themeColor="text1"/>
          <w:spacing w:val="-2"/>
          <w:sz w:val="20"/>
          <w:szCs w:val="20"/>
        </w:rPr>
        <w:t>Y DISPONE,</w:t>
      </w:r>
    </w:p>
    <w:p w:rsidR="00897439" w:rsidRDefault="00897439" w:rsidP="00897439">
      <w:pPr>
        <w:tabs>
          <w:tab w:val="left" w:pos="567"/>
          <w:tab w:val="left" w:pos="720"/>
        </w:tabs>
        <w:spacing w:after="0" w:line="240" w:lineRule="auto"/>
        <w:jc w:val="both"/>
        <w:rPr>
          <w:rFonts w:ascii="Verdana" w:hAnsi="Verdana" w:cs="Verdana"/>
          <w:b/>
          <w:color w:val="000000" w:themeColor="text1"/>
          <w:spacing w:val="-2"/>
          <w:sz w:val="20"/>
          <w:szCs w:val="20"/>
        </w:rPr>
      </w:pPr>
    </w:p>
    <w:p w:rsidR="0089743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 xml:space="preserve">por cinco votos a favor y uno en contra, que: </w:t>
      </w:r>
    </w:p>
    <w:p w:rsidR="00897439" w:rsidRDefault="00897439" w:rsidP="00897439">
      <w:pPr>
        <w:tabs>
          <w:tab w:val="left" w:pos="567"/>
          <w:tab w:val="left" w:pos="720"/>
        </w:tabs>
        <w:spacing w:after="0" w:line="240" w:lineRule="auto"/>
        <w:jc w:val="both"/>
        <w:rPr>
          <w:rFonts w:ascii="Verdana" w:hAnsi="Verdana" w:cs="Verdana"/>
          <w:color w:val="000000" w:themeColor="text1"/>
          <w:spacing w:val="-2"/>
          <w:sz w:val="20"/>
          <w:szCs w:val="20"/>
          <w:lang w:val="es-EC"/>
        </w:rPr>
      </w:pPr>
    </w:p>
    <w:p w:rsidR="00897439" w:rsidRDefault="00897439" w:rsidP="001154F9">
      <w:pPr>
        <w:pStyle w:val="Default"/>
        <w:numPr>
          <w:ilvl w:val="0"/>
          <w:numId w:val="17"/>
        </w:numPr>
        <w:ind w:left="0" w:firstLine="0"/>
        <w:jc w:val="both"/>
        <w:rPr>
          <w:color w:val="000000" w:themeColor="text1"/>
          <w:spacing w:val="-2"/>
          <w:sz w:val="20"/>
          <w:szCs w:val="20"/>
          <w:lang w:val="es-PR"/>
        </w:rPr>
      </w:pPr>
      <w:r>
        <w:rPr>
          <w:color w:val="000000" w:themeColor="text1"/>
          <w:spacing w:val="-2"/>
          <w:sz w:val="20"/>
          <w:szCs w:val="20"/>
          <w:lang w:val="es-PR"/>
        </w:rPr>
        <w:t xml:space="preserve">Esta </w:t>
      </w:r>
      <w:r>
        <w:rPr>
          <w:color w:val="000000" w:themeColor="text1"/>
          <w:spacing w:val="-2"/>
          <w:sz w:val="20"/>
          <w:szCs w:val="20"/>
          <w:lang w:val="es-GT" w:eastAsia="es-ES"/>
        </w:rPr>
        <w:t>Sentencia</w:t>
      </w:r>
      <w:r>
        <w:rPr>
          <w:color w:val="000000" w:themeColor="text1"/>
          <w:spacing w:val="-2"/>
          <w:sz w:val="20"/>
          <w:szCs w:val="20"/>
          <w:lang w:val="es-PR"/>
        </w:rPr>
        <w:t xml:space="preserve"> constituye </w:t>
      </w:r>
      <w:r>
        <w:rPr>
          <w:i/>
          <w:color w:val="000000" w:themeColor="text1"/>
          <w:spacing w:val="-2"/>
          <w:sz w:val="20"/>
          <w:szCs w:val="20"/>
          <w:lang w:val="es-PR"/>
        </w:rPr>
        <w:t>per se</w:t>
      </w:r>
      <w:r>
        <w:rPr>
          <w:color w:val="000000" w:themeColor="text1"/>
          <w:spacing w:val="-2"/>
          <w:sz w:val="20"/>
          <w:szCs w:val="20"/>
          <w:lang w:val="es-PR"/>
        </w:rPr>
        <w:t xml:space="preserve"> una forma de reparación. </w:t>
      </w:r>
    </w:p>
    <w:p w:rsidR="00897439" w:rsidRDefault="00897439" w:rsidP="00897439">
      <w:pPr>
        <w:pStyle w:val="Default"/>
        <w:jc w:val="both"/>
        <w:rPr>
          <w:color w:val="000000" w:themeColor="text1"/>
          <w:spacing w:val="-2"/>
          <w:sz w:val="20"/>
          <w:szCs w:val="20"/>
          <w:lang w:val="es-AR"/>
        </w:rPr>
      </w:pPr>
    </w:p>
    <w:p w:rsidR="00897439" w:rsidRDefault="00897439" w:rsidP="00897439">
      <w:pPr>
        <w:pStyle w:val="Default"/>
        <w:jc w:val="both"/>
        <w:rPr>
          <w:color w:val="000000" w:themeColor="text1"/>
          <w:spacing w:val="-2"/>
          <w:sz w:val="20"/>
          <w:szCs w:val="20"/>
          <w:lang w:val="es-AR"/>
        </w:rPr>
      </w:pPr>
      <w:r w:rsidRPr="00323EE5">
        <w:rPr>
          <w:color w:val="000000" w:themeColor="text1"/>
          <w:spacing w:val="-2"/>
          <w:sz w:val="20"/>
          <w:szCs w:val="20"/>
          <w:lang w:val="es-AR"/>
        </w:rPr>
        <w:t>Disiente el Juez Vio Grossi.</w:t>
      </w:r>
    </w:p>
    <w:p w:rsidR="00897439" w:rsidRPr="00D80454" w:rsidRDefault="00897439" w:rsidP="00897439">
      <w:pPr>
        <w:pStyle w:val="Default"/>
        <w:jc w:val="both"/>
        <w:rPr>
          <w:color w:val="000000" w:themeColor="text1"/>
          <w:spacing w:val="-2"/>
          <w:sz w:val="20"/>
          <w:szCs w:val="20"/>
          <w:lang w:val="es-AR"/>
        </w:rPr>
      </w:pPr>
    </w:p>
    <w:p w:rsidR="0089743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 xml:space="preserve">por cinco votos a favor y uno en contra, que: </w:t>
      </w:r>
    </w:p>
    <w:p w:rsidR="00897439" w:rsidRDefault="00897439" w:rsidP="00897439">
      <w:pPr>
        <w:pStyle w:val="Default"/>
        <w:jc w:val="both"/>
        <w:rPr>
          <w:color w:val="000000" w:themeColor="text1"/>
          <w:spacing w:val="-2"/>
          <w:sz w:val="20"/>
          <w:szCs w:val="20"/>
          <w:lang w:val="es-PR"/>
        </w:rPr>
      </w:pPr>
    </w:p>
    <w:p w:rsidR="00897439" w:rsidRPr="009468AA" w:rsidRDefault="00897439" w:rsidP="001154F9">
      <w:pPr>
        <w:pStyle w:val="Default"/>
        <w:numPr>
          <w:ilvl w:val="0"/>
          <w:numId w:val="17"/>
        </w:numPr>
        <w:ind w:left="0" w:firstLine="0"/>
        <w:jc w:val="both"/>
        <w:rPr>
          <w:color w:val="000000" w:themeColor="text1"/>
          <w:spacing w:val="-2"/>
          <w:sz w:val="20"/>
          <w:szCs w:val="20"/>
          <w:lang w:val="es-PR"/>
        </w:rPr>
      </w:pPr>
      <w:r w:rsidRPr="009468AA">
        <w:rPr>
          <w:rFonts w:cs="Verdana-Italic"/>
          <w:spacing w:val="-2"/>
          <w:sz w:val="20"/>
          <w:szCs w:val="20"/>
          <w:lang w:val="es-PR" w:bidi="en-US"/>
        </w:rPr>
        <w:t>E</w:t>
      </w:r>
      <w:r w:rsidRPr="009468AA">
        <w:rPr>
          <w:rFonts w:cs="Verdana-Italic"/>
          <w:spacing w:val="-2"/>
          <w:sz w:val="20"/>
          <w:szCs w:val="20"/>
          <w:lang w:val="es-CR" w:bidi="en-US"/>
        </w:rPr>
        <w:t xml:space="preserve">l Estado debe llevar a cabo las investigaciones amplias, sistemáticas y minuciosas que sean necesarias para determinar, juzgar y, en su caso, sancionar a los responsables de las </w:t>
      </w:r>
      <w:r w:rsidRPr="009F4566">
        <w:rPr>
          <w:rFonts w:cs="Verdana-Italic"/>
          <w:spacing w:val="-2"/>
          <w:sz w:val="20"/>
          <w:szCs w:val="20"/>
          <w:lang w:val="es-CR" w:bidi="en-US"/>
        </w:rPr>
        <w:t>violaciones</w:t>
      </w:r>
      <w:r>
        <w:rPr>
          <w:rFonts w:cs="Verdana-Italic"/>
          <w:spacing w:val="-2"/>
          <w:sz w:val="20"/>
          <w:szCs w:val="20"/>
          <w:lang w:val="es-CR" w:bidi="en-US"/>
        </w:rPr>
        <w:t xml:space="preserve"> </w:t>
      </w:r>
      <w:r w:rsidRPr="009468AA">
        <w:rPr>
          <w:rFonts w:cs="Verdana-Italic"/>
          <w:spacing w:val="-2"/>
          <w:sz w:val="20"/>
          <w:szCs w:val="20"/>
          <w:lang w:val="es-CR" w:bidi="en-US"/>
        </w:rPr>
        <w:t xml:space="preserve">declaradas en esta Sentencia, </w:t>
      </w:r>
      <w:r w:rsidRPr="009468AA">
        <w:rPr>
          <w:color w:val="000000" w:themeColor="text1"/>
          <w:spacing w:val="-2"/>
          <w:sz w:val="20"/>
          <w:szCs w:val="20"/>
          <w:lang w:val="es-PR" w:eastAsia="es-CR"/>
        </w:rPr>
        <w:t xml:space="preserve">en los términos de los párrafos </w:t>
      </w:r>
      <w:r>
        <w:rPr>
          <w:color w:val="000000" w:themeColor="text1"/>
          <w:spacing w:val="-2"/>
          <w:sz w:val="20"/>
          <w:szCs w:val="20"/>
          <w:lang w:val="es-PR" w:eastAsia="es-CR"/>
        </w:rPr>
        <w:t>289 a 290</w:t>
      </w:r>
      <w:r w:rsidRPr="009468AA">
        <w:rPr>
          <w:color w:val="000000" w:themeColor="text1"/>
          <w:spacing w:val="-2"/>
          <w:sz w:val="20"/>
          <w:szCs w:val="20"/>
          <w:lang w:val="es-PR" w:eastAsia="es-CR"/>
        </w:rPr>
        <w:t xml:space="preserve"> de la misma.</w:t>
      </w:r>
    </w:p>
    <w:p w:rsidR="00897439" w:rsidRDefault="00897439" w:rsidP="00897439">
      <w:pPr>
        <w:pStyle w:val="Default"/>
        <w:jc w:val="both"/>
        <w:rPr>
          <w:spacing w:val="-2"/>
          <w:sz w:val="20"/>
          <w:szCs w:val="20"/>
          <w:lang w:val="es-AR"/>
        </w:rPr>
      </w:pPr>
    </w:p>
    <w:p w:rsidR="00897439" w:rsidRDefault="00897439" w:rsidP="00897439">
      <w:pPr>
        <w:pStyle w:val="Default"/>
        <w:jc w:val="both"/>
        <w:rPr>
          <w:spacing w:val="-2"/>
          <w:sz w:val="20"/>
          <w:szCs w:val="20"/>
          <w:lang w:val="es-AR"/>
        </w:rPr>
      </w:pPr>
      <w:r w:rsidRPr="004059C9">
        <w:rPr>
          <w:spacing w:val="-2"/>
          <w:sz w:val="20"/>
          <w:szCs w:val="20"/>
          <w:lang w:val="es-AR"/>
        </w:rPr>
        <w:t>Disidente el Juez Vio Grossi.</w:t>
      </w:r>
    </w:p>
    <w:p w:rsidR="00897439" w:rsidRPr="00D80454" w:rsidRDefault="00897439" w:rsidP="00897439">
      <w:pPr>
        <w:spacing w:after="0"/>
        <w:rPr>
          <w:color w:val="000000" w:themeColor="text1"/>
          <w:spacing w:val="-2"/>
          <w:sz w:val="20"/>
          <w:szCs w:val="20"/>
          <w:lang w:val="es-AR" w:eastAsia="es-CR"/>
        </w:rPr>
      </w:pPr>
    </w:p>
    <w:p w:rsidR="0089743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 xml:space="preserve">por cinco votos a favor y uno en contra, que: </w:t>
      </w:r>
    </w:p>
    <w:p w:rsidR="00897439" w:rsidRPr="00701D7E" w:rsidRDefault="00897439" w:rsidP="00897439">
      <w:pPr>
        <w:spacing w:after="0"/>
        <w:rPr>
          <w:color w:val="000000" w:themeColor="text1"/>
          <w:spacing w:val="-2"/>
          <w:sz w:val="20"/>
          <w:szCs w:val="20"/>
          <w:lang w:val="es-PR" w:eastAsia="es-CR"/>
        </w:rPr>
      </w:pPr>
    </w:p>
    <w:p w:rsidR="00897439" w:rsidRPr="00897B83" w:rsidRDefault="00897439" w:rsidP="001154F9">
      <w:pPr>
        <w:pStyle w:val="Default"/>
        <w:numPr>
          <w:ilvl w:val="0"/>
          <w:numId w:val="17"/>
        </w:numPr>
        <w:ind w:left="0" w:firstLine="0"/>
        <w:jc w:val="both"/>
        <w:rPr>
          <w:spacing w:val="-2"/>
          <w:sz w:val="20"/>
          <w:szCs w:val="20"/>
          <w:lang w:val="es-PR"/>
        </w:rPr>
      </w:pPr>
      <w:r>
        <w:rPr>
          <w:spacing w:val="-2"/>
          <w:sz w:val="20"/>
          <w:szCs w:val="20"/>
          <w:lang w:val="es-PR"/>
        </w:rPr>
        <w:t>E</w:t>
      </w:r>
      <w:r w:rsidRPr="005220E6">
        <w:rPr>
          <w:spacing w:val="-2"/>
          <w:sz w:val="20"/>
          <w:szCs w:val="20"/>
          <w:lang w:val="es-CR"/>
        </w:rPr>
        <w:t xml:space="preserve">l Estado debe iniciar, de manera sistemática, rigurosa y seria, con los recursos humanos y económicos adecuados, </w:t>
      </w:r>
      <w:r w:rsidRPr="005220E6">
        <w:rPr>
          <w:rFonts w:cs="Cambria"/>
          <w:spacing w:val="-2"/>
          <w:sz w:val="20"/>
          <w:szCs w:val="20"/>
          <w:lang w:val="es-CR"/>
        </w:rPr>
        <w:t>las</w:t>
      </w:r>
      <w:r w:rsidRPr="005220E6">
        <w:rPr>
          <w:spacing w:val="-2"/>
          <w:sz w:val="20"/>
          <w:szCs w:val="20"/>
          <w:lang w:val="es-CR"/>
        </w:rPr>
        <w:t xml:space="preserve"> acciones que resulten necesarias tanto</w:t>
      </w:r>
      <w:r w:rsidRPr="005220E6">
        <w:rPr>
          <w:rFonts w:eastAsia="MS Mincho"/>
          <w:spacing w:val="-2"/>
          <w:sz w:val="20"/>
          <w:szCs w:val="20"/>
          <w:lang w:val="es-CR"/>
        </w:rPr>
        <w:t xml:space="preserve"> para la</w:t>
      </w:r>
      <w:r w:rsidRPr="005220E6">
        <w:rPr>
          <w:spacing w:val="-2"/>
          <w:sz w:val="20"/>
          <w:szCs w:val="20"/>
          <w:lang w:val="es-CR"/>
        </w:rPr>
        <w:t xml:space="preserve"> </w:t>
      </w:r>
      <w:r w:rsidRPr="005220E6">
        <w:rPr>
          <w:spacing w:val="-2"/>
          <w:sz w:val="20"/>
          <w:szCs w:val="20"/>
          <w:lang w:val="es-CR"/>
        </w:rPr>
        <w:lastRenderedPageBreak/>
        <w:t>exhumación como la identificación de los restos humanos localizados en la mina “Misteriosa”, o “Va</w:t>
      </w:r>
      <w:r w:rsidR="006A27C5">
        <w:rPr>
          <w:spacing w:val="-2"/>
          <w:sz w:val="20"/>
          <w:szCs w:val="20"/>
          <w:lang w:val="es-CR"/>
        </w:rPr>
        <w:t>ll</w:t>
      </w:r>
      <w:r w:rsidRPr="005220E6">
        <w:rPr>
          <w:spacing w:val="-2"/>
          <w:sz w:val="20"/>
          <w:szCs w:val="20"/>
          <w:lang w:val="es-CR"/>
        </w:rPr>
        <w:t>a</w:t>
      </w:r>
      <w:r w:rsidR="006A27C5">
        <w:rPr>
          <w:spacing w:val="-2"/>
          <w:sz w:val="20"/>
          <w:szCs w:val="20"/>
          <w:lang w:val="es-CR"/>
        </w:rPr>
        <w:t>r</w:t>
      </w:r>
      <w:r w:rsidRPr="005220E6">
        <w:rPr>
          <w:spacing w:val="-2"/>
          <w:sz w:val="20"/>
          <w:szCs w:val="20"/>
          <w:lang w:val="es-CR"/>
        </w:rPr>
        <w:t>ón”, sitio que deberá proteger para su preservación</w:t>
      </w:r>
      <w:r>
        <w:rPr>
          <w:spacing w:val="-2"/>
          <w:sz w:val="20"/>
          <w:szCs w:val="20"/>
          <w:lang w:val="es-PR" w:eastAsia="es-CR"/>
        </w:rPr>
        <w:t xml:space="preserve">, </w:t>
      </w:r>
      <w:r w:rsidRPr="00897B83">
        <w:rPr>
          <w:spacing w:val="-2"/>
          <w:sz w:val="20"/>
          <w:szCs w:val="20"/>
          <w:lang w:val="es-PR" w:eastAsia="es-CR"/>
        </w:rPr>
        <w:t xml:space="preserve">en los términos de los párrafos </w:t>
      </w:r>
      <w:r>
        <w:rPr>
          <w:spacing w:val="-2"/>
          <w:sz w:val="20"/>
          <w:szCs w:val="20"/>
          <w:lang w:val="es-PR" w:eastAsia="es-CR"/>
        </w:rPr>
        <w:t>294 a 299</w:t>
      </w:r>
      <w:r w:rsidRPr="00897B83">
        <w:rPr>
          <w:spacing w:val="-2"/>
          <w:sz w:val="20"/>
          <w:szCs w:val="20"/>
          <w:lang w:val="es-PR" w:eastAsia="es-CR"/>
        </w:rPr>
        <w:t xml:space="preserve"> de </w:t>
      </w:r>
      <w:r w:rsidR="009F4566">
        <w:rPr>
          <w:spacing w:val="-2"/>
          <w:sz w:val="20"/>
          <w:szCs w:val="20"/>
          <w:lang w:val="es-PR" w:eastAsia="es-CR"/>
        </w:rPr>
        <w:t>esta</w:t>
      </w:r>
      <w:r w:rsidRPr="00897B83">
        <w:rPr>
          <w:spacing w:val="-2"/>
          <w:sz w:val="20"/>
          <w:szCs w:val="20"/>
          <w:lang w:val="es-PR" w:eastAsia="es-CR"/>
        </w:rPr>
        <w:t xml:space="preserve"> Sentencia.</w:t>
      </w:r>
    </w:p>
    <w:p w:rsidR="00897439" w:rsidRDefault="00897439" w:rsidP="00897439">
      <w:pPr>
        <w:tabs>
          <w:tab w:val="left" w:pos="720"/>
        </w:tabs>
        <w:spacing w:after="0" w:line="240" w:lineRule="auto"/>
        <w:jc w:val="both"/>
        <w:rPr>
          <w:rFonts w:ascii="Verdana" w:hAnsi="Verdana" w:cs="Verdana"/>
          <w:color w:val="000000" w:themeColor="text1"/>
          <w:spacing w:val="-2"/>
          <w:sz w:val="20"/>
          <w:szCs w:val="20"/>
          <w:lang w:val="es-EC"/>
        </w:rPr>
      </w:pPr>
    </w:p>
    <w:p w:rsidR="00897439" w:rsidRDefault="00897439" w:rsidP="00897439">
      <w:pPr>
        <w:tabs>
          <w:tab w:val="left" w:pos="720"/>
        </w:tabs>
        <w:spacing w:after="0" w:line="240" w:lineRule="auto"/>
        <w:jc w:val="both"/>
        <w:rPr>
          <w:rFonts w:ascii="Verdana" w:hAnsi="Verdana" w:cs="Verdana"/>
          <w:color w:val="000000" w:themeColor="text1"/>
          <w:spacing w:val="-2"/>
          <w:sz w:val="20"/>
          <w:szCs w:val="20"/>
          <w:lang w:val="es-EC"/>
        </w:rPr>
      </w:pPr>
      <w:r w:rsidRPr="00323EE5">
        <w:rPr>
          <w:rFonts w:ascii="Verdana" w:hAnsi="Verdana" w:cs="Verdana"/>
          <w:color w:val="000000" w:themeColor="text1"/>
          <w:spacing w:val="-2"/>
          <w:sz w:val="20"/>
          <w:szCs w:val="20"/>
          <w:lang w:val="es-EC"/>
        </w:rPr>
        <w:t>Disiente el Juez Vio Grossi.</w:t>
      </w:r>
    </w:p>
    <w:p w:rsidR="00897439" w:rsidRDefault="00897439" w:rsidP="00897439">
      <w:pPr>
        <w:tabs>
          <w:tab w:val="left" w:pos="720"/>
        </w:tabs>
        <w:spacing w:after="0" w:line="240" w:lineRule="auto"/>
        <w:jc w:val="both"/>
        <w:rPr>
          <w:rFonts w:ascii="Verdana" w:hAnsi="Verdana" w:cs="Verdana"/>
          <w:color w:val="000000" w:themeColor="text1"/>
          <w:spacing w:val="-2"/>
          <w:sz w:val="20"/>
          <w:szCs w:val="20"/>
          <w:lang w:val="es-EC"/>
        </w:rPr>
      </w:pPr>
    </w:p>
    <w:p w:rsidR="0089743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 xml:space="preserve">por cinco votos a favor y uno en contra, que: </w:t>
      </w:r>
    </w:p>
    <w:p w:rsidR="00897439" w:rsidRPr="00701D7E" w:rsidRDefault="00897439" w:rsidP="00897439">
      <w:pPr>
        <w:spacing w:after="0"/>
        <w:rPr>
          <w:color w:val="000000" w:themeColor="text1"/>
          <w:spacing w:val="-2"/>
          <w:sz w:val="20"/>
          <w:szCs w:val="20"/>
          <w:lang w:val="es-PR"/>
        </w:rPr>
      </w:pPr>
    </w:p>
    <w:p w:rsidR="00897439" w:rsidRPr="00FB2EFD" w:rsidRDefault="00897439" w:rsidP="001154F9">
      <w:pPr>
        <w:pStyle w:val="Default"/>
        <w:numPr>
          <w:ilvl w:val="0"/>
          <w:numId w:val="17"/>
        </w:numPr>
        <w:ind w:left="0" w:firstLine="0"/>
        <w:jc w:val="both"/>
        <w:rPr>
          <w:rFonts w:cs="Arial"/>
          <w:spacing w:val="-2"/>
          <w:sz w:val="20"/>
          <w:szCs w:val="20"/>
          <w:lang w:val="es-GT"/>
        </w:rPr>
      </w:pPr>
      <w:r w:rsidRPr="002F67A9">
        <w:rPr>
          <w:spacing w:val="-2"/>
          <w:sz w:val="20"/>
          <w:szCs w:val="20"/>
          <w:lang w:val="es-GT" w:eastAsia="es-CR"/>
        </w:rPr>
        <w:t xml:space="preserve"> </w:t>
      </w:r>
      <w:r w:rsidRPr="00897B83">
        <w:rPr>
          <w:spacing w:val="-2"/>
          <w:sz w:val="20"/>
          <w:szCs w:val="20"/>
          <w:lang w:val="es-GT" w:eastAsia="es-CR"/>
        </w:rPr>
        <w:t xml:space="preserve">El Estado debe </w:t>
      </w:r>
      <w:r>
        <w:rPr>
          <w:rFonts w:cs="Arial"/>
          <w:spacing w:val="-2"/>
          <w:sz w:val="20"/>
          <w:szCs w:val="20"/>
          <w:lang w:val="es-CR"/>
        </w:rPr>
        <w:t>entregar</w:t>
      </w:r>
      <w:r w:rsidRPr="004C3CEA">
        <w:rPr>
          <w:rFonts w:cs="Arial"/>
          <w:spacing w:val="-2"/>
          <w:sz w:val="20"/>
          <w:szCs w:val="20"/>
          <w:lang w:val="es-CR"/>
        </w:rPr>
        <w:t xml:space="preserve"> a los señores </w:t>
      </w:r>
      <w:r w:rsidRPr="002964A7">
        <w:rPr>
          <w:rFonts w:cs="Arial"/>
          <w:spacing w:val="-2"/>
          <w:sz w:val="20"/>
          <w:szCs w:val="20"/>
          <w:lang w:val="es-GT"/>
        </w:rPr>
        <w:t>Zenón Cirilo Osnayo Tunque y Marcelo Hilario Quispe</w:t>
      </w:r>
      <w:r>
        <w:rPr>
          <w:rFonts w:cs="Arial"/>
          <w:spacing w:val="-2"/>
          <w:sz w:val="20"/>
          <w:szCs w:val="20"/>
          <w:lang w:val="es-GT"/>
        </w:rPr>
        <w:t xml:space="preserve">, </w:t>
      </w:r>
      <w:r w:rsidRPr="004C3CEA">
        <w:rPr>
          <w:rFonts w:cs="Arial"/>
          <w:spacing w:val="-2"/>
          <w:sz w:val="20"/>
          <w:szCs w:val="20"/>
          <w:lang w:val="es-CR"/>
        </w:rPr>
        <w:t xml:space="preserve">en el plazo de un año, </w:t>
      </w:r>
      <w:r w:rsidRPr="004C3CEA">
        <w:rPr>
          <w:spacing w:val="-2"/>
          <w:sz w:val="20"/>
          <w:szCs w:val="20"/>
          <w:lang w:val="es-CR"/>
        </w:rPr>
        <w:t xml:space="preserve">contado a partir de la notificación de </w:t>
      </w:r>
      <w:r>
        <w:rPr>
          <w:spacing w:val="-2"/>
          <w:sz w:val="20"/>
          <w:szCs w:val="20"/>
          <w:lang w:val="es-CR"/>
        </w:rPr>
        <w:t>esta</w:t>
      </w:r>
      <w:r w:rsidRPr="004C3CEA">
        <w:rPr>
          <w:spacing w:val="-2"/>
          <w:sz w:val="20"/>
          <w:szCs w:val="20"/>
          <w:lang w:val="es-CR"/>
        </w:rPr>
        <w:t xml:space="preserve"> Sentencia</w:t>
      </w:r>
      <w:r>
        <w:rPr>
          <w:spacing w:val="-2"/>
          <w:sz w:val="20"/>
          <w:szCs w:val="20"/>
          <w:lang w:val="es-CR"/>
        </w:rPr>
        <w:t>,</w:t>
      </w:r>
      <w:r w:rsidRPr="004C3CEA">
        <w:rPr>
          <w:rFonts w:cs="Arial"/>
          <w:spacing w:val="-2"/>
          <w:sz w:val="20"/>
          <w:szCs w:val="20"/>
          <w:lang w:val="es-CR"/>
        </w:rPr>
        <w:t xml:space="preserve"> la cantidad de diez alpacas a cada uno, o su valor equivalente en </w:t>
      </w:r>
      <w:r>
        <w:rPr>
          <w:rFonts w:cs="Arial"/>
          <w:spacing w:val="-2"/>
          <w:sz w:val="20"/>
          <w:szCs w:val="20"/>
          <w:lang w:val="es-CR"/>
        </w:rPr>
        <w:t xml:space="preserve">el mercado. Además, </w:t>
      </w:r>
      <w:r w:rsidRPr="00FB2EFD">
        <w:rPr>
          <w:rFonts w:cs="Arial"/>
          <w:spacing w:val="-2"/>
          <w:sz w:val="20"/>
          <w:szCs w:val="20"/>
          <w:lang w:val="es-GT"/>
        </w:rPr>
        <w:t xml:space="preserve">el Estado debe, a través de sus programas habitacionales existentes, proveer </w:t>
      </w:r>
      <w:r>
        <w:rPr>
          <w:rFonts w:cs="Arial"/>
          <w:spacing w:val="-2"/>
          <w:sz w:val="20"/>
          <w:szCs w:val="20"/>
          <w:lang w:val="es-GT"/>
        </w:rPr>
        <w:t xml:space="preserve">a cada uno </w:t>
      </w:r>
      <w:r w:rsidRPr="00FB2EFD">
        <w:rPr>
          <w:rFonts w:cs="Arial"/>
          <w:spacing w:val="-2"/>
          <w:sz w:val="20"/>
          <w:szCs w:val="20"/>
          <w:lang w:val="es-GT"/>
        </w:rPr>
        <w:t>de una vivienda adecuada, dentro del plazo de un año.</w:t>
      </w:r>
      <w:r>
        <w:rPr>
          <w:rFonts w:cs="Arial"/>
          <w:spacing w:val="-2"/>
          <w:sz w:val="20"/>
          <w:szCs w:val="20"/>
          <w:lang w:val="es-GT"/>
        </w:rPr>
        <w:t xml:space="preserve"> </w:t>
      </w:r>
      <w:r w:rsidRPr="00FB2EFD">
        <w:rPr>
          <w:rFonts w:cs="Arial"/>
          <w:spacing w:val="-2"/>
          <w:sz w:val="20"/>
          <w:szCs w:val="20"/>
          <w:lang w:val="es-GT"/>
        </w:rPr>
        <w:t xml:space="preserve">Si concluido este plazo el Estado no ha entregado las viviendas referidas, el Perú deberá proporcionar, en equidad, un monto de </w:t>
      </w:r>
      <w:r w:rsidRPr="00FB2EFD">
        <w:rPr>
          <w:rFonts w:cs="Arial"/>
          <w:spacing w:val="-2"/>
          <w:sz w:val="20"/>
          <w:szCs w:val="20"/>
          <w:lang w:val="es-ES"/>
        </w:rPr>
        <w:t>US</w:t>
      </w:r>
      <w:r w:rsidR="00A3580C">
        <w:rPr>
          <w:rFonts w:cs="Arial"/>
          <w:spacing w:val="-2"/>
          <w:sz w:val="20"/>
          <w:szCs w:val="20"/>
          <w:lang w:val="es-ES"/>
        </w:rPr>
        <w:t xml:space="preserve">D </w:t>
      </w:r>
      <w:r w:rsidRPr="00FB2EFD">
        <w:rPr>
          <w:rFonts w:cs="Arial"/>
          <w:spacing w:val="-2"/>
          <w:sz w:val="20"/>
          <w:szCs w:val="20"/>
          <w:lang w:val="es-ES"/>
        </w:rPr>
        <w:t>$25,000.00 (veinticinco mil dólares de los Estados Unidos de América)</w:t>
      </w:r>
      <w:r w:rsidRPr="00FB2EFD">
        <w:rPr>
          <w:rFonts w:cs="Arial"/>
          <w:spacing w:val="-2"/>
          <w:sz w:val="20"/>
          <w:szCs w:val="20"/>
          <w:lang w:val="es-GT"/>
        </w:rPr>
        <w:t xml:space="preserve"> a cada uno de ellos.</w:t>
      </w:r>
      <w:r w:rsidRPr="00DD4E72">
        <w:rPr>
          <w:rFonts w:cs="Arial"/>
          <w:spacing w:val="-2"/>
          <w:sz w:val="20"/>
          <w:szCs w:val="20"/>
          <w:lang w:val="es-GT"/>
        </w:rPr>
        <w:t xml:space="preserve"> </w:t>
      </w:r>
      <w:r w:rsidRPr="00064584">
        <w:rPr>
          <w:rFonts w:cs="Arial"/>
          <w:spacing w:val="-2"/>
          <w:sz w:val="20"/>
          <w:szCs w:val="20"/>
          <w:lang w:val="es-PR"/>
        </w:rPr>
        <w:t xml:space="preserve">Esta medida de reparación debe ser implementada con la participación de las víctimas y de común acuerdo con </w:t>
      </w:r>
      <w:r w:rsidR="00A3580C" w:rsidRPr="00064584">
        <w:rPr>
          <w:rFonts w:cs="Arial"/>
          <w:spacing w:val="-2"/>
          <w:sz w:val="20"/>
          <w:szCs w:val="20"/>
          <w:lang w:val="es-PR"/>
        </w:rPr>
        <w:t>est</w:t>
      </w:r>
      <w:r w:rsidR="00A3580C">
        <w:rPr>
          <w:rFonts w:cs="Arial"/>
          <w:spacing w:val="-2"/>
          <w:sz w:val="20"/>
          <w:szCs w:val="20"/>
          <w:lang w:val="es-PR"/>
        </w:rPr>
        <w:t>a</w:t>
      </w:r>
      <w:r w:rsidR="00A3580C" w:rsidRPr="00064584">
        <w:rPr>
          <w:rFonts w:cs="Arial"/>
          <w:spacing w:val="-2"/>
          <w:sz w:val="20"/>
          <w:szCs w:val="20"/>
          <w:lang w:val="es-PR"/>
        </w:rPr>
        <w:t>s</w:t>
      </w:r>
      <w:r w:rsidRPr="00064584">
        <w:rPr>
          <w:rFonts w:cs="Arial"/>
          <w:spacing w:val="-2"/>
          <w:sz w:val="20"/>
          <w:szCs w:val="20"/>
          <w:lang w:val="es-PR"/>
        </w:rPr>
        <w:t>.</w:t>
      </w:r>
      <w:r w:rsidRPr="00FB2EFD">
        <w:rPr>
          <w:rFonts w:cs="Arial"/>
          <w:spacing w:val="-2"/>
          <w:sz w:val="20"/>
          <w:szCs w:val="20"/>
          <w:lang w:val="es-GT"/>
        </w:rPr>
        <w:t xml:space="preserve"> </w:t>
      </w:r>
      <w:r w:rsidRPr="00DD4E72">
        <w:rPr>
          <w:rFonts w:cs="Arial"/>
          <w:spacing w:val="-2"/>
          <w:sz w:val="20"/>
          <w:szCs w:val="20"/>
          <w:lang w:val="es-GT"/>
        </w:rPr>
        <w:t xml:space="preserve">Todo ello, en los términos de los párrafos </w:t>
      </w:r>
      <w:r>
        <w:rPr>
          <w:rFonts w:cs="Arial"/>
          <w:spacing w:val="-2"/>
          <w:sz w:val="20"/>
          <w:szCs w:val="20"/>
          <w:lang w:val="es-GT"/>
        </w:rPr>
        <w:t>302 a 304</w:t>
      </w:r>
      <w:r w:rsidRPr="00DD4E72">
        <w:rPr>
          <w:rFonts w:cs="Arial"/>
          <w:spacing w:val="-2"/>
          <w:sz w:val="20"/>
          <w:szCs w:val="20"/>
          <w:lang w:val="es-GT"/>
        </w:rPr>
        <w:t xml:space="preserve"> de esta Sentencia. </w:t>
      </w:r>
    </w:p>
    <w:p w:rsidR="00897439" w:rsidRDefault="00897439" w:rsidP="00897439">
      <w:pPr>
        <w:pStyle w:val="Default"/>
        <w:jc w:val="both"/>
        <w:rPr>
          <w:color w:val="000000" w:themeColor="text1"/>
          <w:spacing w:val="-2"/>
          <w:sz w:val="20"/>
          <w:szCs w:val="20"/>
          <w:lang w:val="es-PR"/>
        </w:rPr>
      </w:pPr>
    </w:p>
    <w:p w:rsidR="00897439" w:rsidRDefault="00897439" w:rsidP="00897439">
      <w:pPr>
        <w:pStyle w:val="Default"/>
        <w:jc w:val="both"/>
        <w:rPr>
          <w:color w:val="000000" w:themeColor="text1"/>
          <w:spacing w:val="-2"/>
          <w:sz w:val="20"/>
          <w:szCs w:val="20"/>
          <w:lang w:val="es-PR"/>
        </w:rPr>
      </w:pPr>
      <w:r w:rsidRPr="00323EE5">
        <w:rPr>
          <w:color w:val="000000" w:themeColor="text1"/>
          <w:spacing w:val="-2"/>
          <w:sz w:val="20"/>
          <w:szCs w:val="20"/>
          <w:lang w:val="es-PR"/>
        </w:rPr>
        <w:t>Disiente el Juez Vio Grossi.</w:t>
      </w:r>
    </w:p>
    <w:p w:rsidR="00897439" w:rsidRDefault="00897439" w:rsidP="00897439">
      <w:pPr>
        <w:pStyle w:val="Default"/>
        <w:jc w:val="both"/>
        <w:rPr>
          <w:color w:val="000000" w:themeColor="text1"/>
          <w:spacing w:val="-2"/>
          <w:sz w:val="20"/>
          <w:szCs w:val="20"/>
          <w:lang w:val="es-PR"/>
        </w:rPr>
      </w:pPr>
    </w:p>
    <w:p w:rsidR="0089743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 xml:space="preserve">por cinco votos a favor y uno en contra, que: </w:t>
      </w:r>
    </w:p>
    <w:p w:rsidR="00897439" w:rsidRPr="00FB2EFD" w:rsidRDefault="00897439" w:rsidP="00897439">
      <w:pPr>
        <w:pStyle w:val="Default"/>
        <w:jc w:val="both"/>
        <w:rPr>
          <w:color w:val="000000" w:themeColor="text1"/>
          <w:spacing w:val="-2"/>
          <w:sz w:val="20"/>
          <w:szCs w:val="20"/>
          <w:lang w:val="es-PR"/>
        </w:rPr>
      </w:pPr>
    </w:p>
    <w:p w:rsidR="00897439" w:rsidRDefault="00897439" w:rsidP="001154F9">
      <w:pPr>
        <w:pStyle w:val="Default"/>
        <w:numPr>
          <w:ilvl w:val="0"/>
          <w:numId w:val="17"/>
        </w:numPr>
        <w:ind w:left="0" w:firstLine="0"/>
        <w:jc w:val="both"/>
        <w:rPr>
          <w:color w:val="000000" w:themeColor="text1"/>
          <w:spacing w:val="-2"/>
          <w:sz w:val="20"/>
          <w:szCs w:val="20"/>
          <w:lang w:val="es-PR"/>
        </w:rPr>
      </w:pPr>
      <w:r w:rsidRPr="002F67A9">
        <w:rPr>
          <w:spacing w:val="-2"/>
          <w:sz w:val="20"/>
          <w:szCs w:val="20"/>
          <w:lang w:val="es-ES_tradnl"/>
        </w:rPr>
        <w:t xml:space="preserve"> </w:t>
      </w:r>
      <w:r>
        <w:rPr>
          <w:spacing w:val="-2"/>
          <w:sz w:val="20"/>
          <w:szCs w:val="20"/>
          <w:lang w:val="es-ES_tradnl"/>
        </w:rPr>
        <w:t xml:space="preserve">El Estado </w:t>
      </w:r>
      <w:r w:rsidRPr="002964A7">
        <w:rPr>
          <w:spacing w:val="-2"/>
          <w:sz w:val="20"/>
          <w:szCs w:val="20"/>
          <w:lang w:val="es-ES_tradnl"/>
        </w:rPr>
        <w:t>de</w:t>
      </w:r>
      <w:r>
        <w:rPr>
          <w:spacing w:val="-2"/>
          <w:sz w:val="20"/>
          <w:szCs w:val="20"/>
          <w:lang w:val="es-ES_tradnl"/>
        </w:rPr>
        <w:t>be</w:t>
      </w:r>
      <w:r w:rsidRPr="002964A7">
        <w:rPr>
          <w:spacing w:val="-2"/>
          <w:sz w:val="20"/>
          <w:szCs w:val="20"/>
          <w:lang w:val="es-ES_tradnl"/>
        </w:rPr>
        <w:t xml:space="preserve"> brindar gratuitamente, a través de sus instituciones de salud especializadas, y de forma inmediata</w:t>
      </w:r>
      <w:r w:rsidRPr="00231C45">
        <w:rPr>
          <w:spacing w:val="-2"/>
          <w:sz w:val="20"/>
          <w:szCs w:val="20"/>
          <w:lang w:val="es-CR"/>
        </w:rPr>
        <w:t>, adecuada, integral y efectiva</w:t>
      </w:r>
      <w:r w:rsidRPr="002964A7">
        <w:rPr>
          <w:spacing w:val="-2"/>
          <w:sz w:val="20"/>
          <w:szCs w:val="20"/>
          <w:lang w:val="es-ES_tradnl"/>
        </w:rPr>
        <w:t>, tratamiento médico y psicológico o psiquiátrico</w:t>
      </w:r>
      <w:r w:rsidRPr="00231C45">
        <w:rPr>
          <w:spacing w:val="-2"/>
          <w:sz w:val="20"/>
          <w:szCs w:val="20"/>
          <w:lang w:val="es-CR"/>
        </w:rPr>
        <w:t>, a las víctimas que así lo soliciten</w:t>
      </w:r>
      <w:r w:rsidRPr="002964A7">
        <w:rPr>
          <w:spacing w:val="-2"/>
          <w:sz w:val="20"/>
          <w:szCs w:val="20"/>
          <w:lang w:val="es-ES_tradnl"/>
        </w:rPr>
        <w:t xml:space="preserve">, </w:t>
      </w:r>
      <w:r w:rsidRPr="00231C45">
        <w:rPr>
          <w:rFonts w:cs="Verdana-Italic"/>
          <w:spacing w:val="-2"/>
          <w:sz w:val="20"/>
          <w:szCs w:val="20"/>
          <w:lang w:val="es-CR" w:bidi="en-US"/>
        </w:rPr>
        <w:t>previo consentimiento informado,</w:t>
      </w:r>
      <w:r w:rsidRPr="002964A7">
        <w:rPr>
          <w:spacing w:val="-2"/>
          <w:sz w:val="20"/>
          <w:szCs w:val="20"/>
          <w:lang w:val="es-ES_tradnl"/>
        </w:rPr>
        <w:t xml:space="preserve"> incluyendo </w:t>
      </w:r>
      <w:r w:rsidRPr="00231C45">
        <w:rPr>
          <w:spacing w:val="-2"/>
          <w:sz w:val="20"/>
          <w:szCs w:val="20"/>
          <w:lang w:val="es-CR"/>
        </w:rPr>
        <w:t>el suministro gratuito de los medicamentos que eventualmente se requieran</w:t>
      </w:r>
      <w:r w:rsidRPr="002964A7">
        <w:rPr>
          <w:spacing w:val="-2"/>
          <w:sz w:val="20"/>
          <w:szCs w:val="20"/>
          <w:lang w:val="es-ES_tradnl"/>
        </w:rPr>
        <w:t>, tomando en consideración los padecimientos de cada uno de ellos</w:t>
      </w:r>
      <w:r>
        <w:rPr>
          <w:spacing w:val="-2"/>
          <w:sz w:val="20"/>
          <w:szCs w:val="20"/>
          <w:lang w:val="es-CR"/>
        </w:rPr>
        <w:t xml:space="preserve">, </w:t>
      </w:r>
      <w:r w:rsidRPr="00897B83">
        <w:rPr>
          <w:spacing w:val="-2"/>
          <w:sz w:val="20"/>
          <w:szCs w:val="20"/>
          <w:lang w:val="es-PR" w:eastAsia="es-CR"/>
        </w:rPr>
        <w:t xml:space="preserve">en los términos de los párrafos </w:t>
      </w:r>
      <w:r>
        <w:rPr>
          <w:spacing w:val="-2"/>
          <w:sz w:val="20"/>
          <w:szCs w:val="20"/>
          <w:lang w:val="es-PR" w:eastAsia="es-CR"/>
        </w:rPr>
        <w:t>307 a 308</w:t>
      </w:r>
      <w:r w:rsidRPr="00897B83">
        <w:rPr>
          <w:spacing w:val="-2"/>
          <w:sz w:val="20"/>
          <w:szCs w:val="20"/>
          <w:lang w:val="es-PR" w:eastAsia="es-CR"/>
        </w:rPr>
        <w:t xml:space="preserve"> de </w:t>
      </w:r>
      <w:r w:rsidR="00DF015D">
        <w:rPr>
          <w:spacing w:val="-2"/>
          <w:sz w:val="20"/>
          <w:szCs w:val="20"/>
          <w:lang w:val="es-PR" w:eastAsia="es-CR"/>
        </w:rPr>
        <w:t>esta</w:t>
      </w:r>
      <w:r w:rsidRPr="00897B83">
        <w:rPr>
          <w:spacing w:val="-2"/>
          <w:sz w:val="20"/>
          <w:szCs w:val="20"/>
          <w:lang w:val="es-PR" w:eastAsia="es-CR"/>
        </w:rPr>
        <w:t xml:space="preserve"> Sentencia.</w:t>
      </w:r>
    </w:p>
    <w:p w:rsidR="00897439" w:rsidRPr="002A76B3" w:rsidRDefault="00897439" w:rsidP="00897439">
      <w:pPr>
        <w:pStyle w:val="Default"/>
        <w:jc w:val="both"/>
        <w:rPr>
          <w:color w:val="000000" w:themeColor="text1"/>
          <w:spacing w:val="-2"/>
          <w:sz w:val="20"/>
          <w:szCs w:val="20"/>
          <w:lang w:val="es-PR"/>
        </w:rPr>
      </w:pPr>
    </w:p>
    <w:p w:rsidR="00897439" w:rsidRDefault="00897439" w:rsidP="00897439">
      <w:pPr>
        <w:autoSpaceDE w:val="0"/>
        <w:autoSpaceDN w:val="0"/>
        <w:adjustRightInd w:val="0"/>
        <w:spacing w:after="0" w:line="240" w:lineRule="auto"/>
        <w:jc w:val="both"/>
        <w:rPr>
          <w:rFonts w:ascii="Verdana" w:hAnsi="Verdana" w:cs="Verdana"/>
          <w:color w:val="000000"/>
          <w:spacing w:val="-2"/>
          <w:sz w:val="20"/>
          <w:szCs w:val="20"/>
          <w:lang w:val="es-PR"/>
        </w:rPr>
      </w:pPr>
      <w:r w:rsidRPr="00323EE5">
        <w:rPr>
          <w:rFonts w:ascii="Verdana" w:hAnsi="Verdana" w:cs="Verdana"/>
          <w:color w:val="000000"/>
          <w:spacing w:val="-2"/>
          <w:sz w:val="20"/>
          <w:szCs w:val="20"/>
          <w:lang w:val="es-PR"/>
        </w:rPr>
        <w:t>Disiente el Juez Vio Grossi.</w:t>
      </w:r>
    </w:p>
    <w:p w:rsidR="00897439" w:rsidRDefault="00897439" w:rsidP="00897439">
      <w:pPr>
        <w:autoSpaceDE w:val="0"/>
        <w:autoSpaceDN w:val="0"/>
        <w:adjustRightInd w:val="0"/>
        <w:spacing w:after="0" w:line="240" w:lineRule="auto"/>
        <w:jc w:val="both"/>
        <w:rPr>
          <w:rFonts w:ascii="Verdana" w:hAnsi="Verdana" w:cs="Verdana"/>
          <w:color w:val="000000"/>
          <w:spacing w:val="-2"/>
          <w:sz w:val="20"/>
          <w:szCs w:val="20"/>
          <w:lang w:val="es-PR"/>
        </w:rPr>
      </w:pPr>
    </w:p>
    <w:p w:rsidR="0089743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 xml:space="preserve">por cinco votos a favor y uno en contra, que: </w:t>
      </w:r>
    </w:p>
    <w:p w:rsidR="00DF015D" w:rsidRDefault="00DF015D" w:rsidP="00DF015D">
      <w:pPr>
        <w:autoSpaceDE w:val="0"/>
        <w:autoSpaceDN w:val="0"/>
        <w:adjustRightInd w:val="0"/>
        <w:spacing w:after="0" w:line="240" w:lineRule="auto"/>
        <w:jc w:val="both"/>
        <w:rPr>
          <w:rFonts w:ascii="Verdana" w:hAnsi="Verdana" w:cs="Verdana"/>
          <w:color w:val="000000"/>
          <w:spacing w:val="-2"/>
          <w:sz w:val="20"/>
          <w:szCs w:val="20"/>
          <w:lang w:val="es-PR"/>
        </w:rPr>
      </w:pPr>
    </w:p>
    <w:p w:rsidR="00897439" w:rsidRPr="002F67A9" w:rsidRDefault="00897439" w:rsidP="001154F9">
      <w:pPr>
        <w:numPr>
          <w:ilvl w:val="0"/>
          <w:numId w:val="17"/>
        </w:numPr>
        <w:autoSpaceDE w:val="0"/>
        <w:autoSpaceDN w:val="0"/>
        <w:adjustRightInd w:val="0"/>
        <w:spacing w:after="0" w:line="240" w:lineRule="auto"/>
        <w:ind w:left="0" w:firstLine="0"/>
        <w:jc w:val="both"/>
        <w:rPr>
          <w:rFonts w:ascii="Verdana" w:hAnsi="Verdana" w:cs="Verdana"/>
          <w:color w:val="000000"/>
          <w:spacing w:val="-2"/>
          <w:sz w:val="20"/>
          <w:szCs w:val="20"/>
          <w:lang w:val="es-PR"/>
        </w:rPr>
      </w:pPr>
      <w:r w:rsidRPr="002F67A9">
        <w:rPr>
          <w:rFonts w:ascii="Verdana" w:hAnsi="Verdana" w:cs="Verdana"/>
          <w:color w:val="000000"/>
          <w:spacing w:val="-2"/>
          <w:sz w:val="20"/>
          <w:szCs w:val="20"/>
          <w:lang w:val="es-PR"/>
        </w:rPr>
        <w:t>E</w:t>
      </w:r>
      <w:r w:rsidRPr="002F67A9">
        <w:rPr>
          <w:rFonts w:ascii="Verdana" w:hAnsi="Verdana" w:cs="Verdana"/>
          <w:color w:val="000000"/>
          <w:spacing w:val="-2"/>
          <w:sz w:val="20"/>
          <w:szCs w:val="20"/>
        </w:rPr>
        <w:t>l Estado debe realizar</w:t>
      </w:r>
      <w:r w:rsidR="00E6234E">
        <w:rPr>
          <w:rFonts w:ascii="Verdana" w:hAnsi="Verdana" w:cs="Verdana"/>
          <w:color w:val="000000"/>
          <w:spacing w:val="-2"/>
          <w:sz w:val="20"/>
          <w:szCs w:val="20"/>
        </w:rPr>
        <w:t>,</w:t>
      </w:r>
      <w:r w:rsidRPr="002F67A9">
        <w:rPr>
          <w:rFonts w:ascii="Verdana" w:hAnsi="Verdana" w:cs="Verdana"/>
          <w:color w:val="000000"/>
          <w:spacing w:val="-2"/>
          <w:sz w:val="20"/>
          <w:szCs w:val="20"/>
        </w:rPr>
        <w:t xml:space="preserve"> en el plazo de seis meses </w:t>
      </w:r>
      <w:r w:rsidR="00E6234E">
        <w:rPr>
          <w:rFonts w:ascii="Verdana" w:hAnsi="Verdana" w:cs="Verdana"/>
          <w:color w:val="000000"/>
          <w:spacing w:val="-2"/>
          <w:sz w:val="20"/>
          <w:szCs w:val="20"/>
        </w:rPr>
        <w:t xml:space="preserve">contado </w:t>
      </w:r>
      <w:r w:rsidRPr="002F67A9">
        <w:rPr>
          <w:rFonts w:ascii="Verdana" w:hAnsi="Verdana" w:cs="Verdana"/>
          <w:color w:val="000000"/>
          <w:spacing w:val="-2"/>
          <w:sz w:val="20"/>
          <w:szCs w:val="20"/>
        </w:rPr>
        <w:t xml:space="preserve">a partir de la </w:t>
      </w:r>
      <w:r w:rsidRPr="002F67A9">
        <w:rPr>
          <w:rFonts w:ascii="Verdana" w:hAnsi="Verdana" w:cs="Arial"/>
          <w:color w:val="000000"/>
          <w:spacing w:val="-2"/>
          <w:sz w:val="20"/>
          <w:szCs w:val="20"/>
        </w:rPr>
        <w:t>notificación</w:t>
      </w:r>
      <w:r w:rsidRPr="002F67A9">
        <w:rPr>
          <w:rFonts w:ascii="Verdana" w:hAnsi="Verdana" w:cs="Verdana"/>
          <w:color w:val="000000"/>
          <w:spacing w:val="-2"/>
          <w:sz w:val="20"/>
          <w:szCs w:val="20"/>
        </w:rPr>
        <w:t xml:space="preserve"> de la presente Sentencia</w:t>
      </w:r>
      <w:r w:rsidRPr="002F67A9">
        <w:rPr>
          <w:rFonts w:ascii="Verdana" w:hAnsi="Verdana" w:cs="Verdana"/>
          <w:color w:val="000000"/>
          <w:spacing w:val="-2"/>
          <w:sz w:val="20"/>
          <w:szCs w:val="20"/>
          <w:lang w:val="es-PR"/>
        </w:rPr>
        <w:t xml:space="preserve">, las publicaciones indicadas en el párrafo </w:t>
      </w:r>
      <w:r>
        <w:rPr>
          <w:rFonts w:ascii="Verdana" w:hAnsi="Verdana" w:cs="Verdana"/>
          <w:color w:val="000000"/>
          <w:spacing w:val="-2"/>
          <w:sz w:val="20"/>
          <w:szCs w:val="20"/>
          <w:lang w:val="es-PR"/>
        </w:rPr>
        <w:t>309</w:t>
      </w:r>
      <w:r w:rsidRPr="002F67A9">
        <w:rPr>
          <w:rFonts w:ascii="Verdana" w:hAnsi="Verdana" w:cs="Verdana"/>
          <w:color w:val="000000"/>
          <w:spacing w:val="-2"/>
          <w:sz w:val="20"/>
          <w:szCs w:val="20"/>
          <w:lang w:val="es-PR"/>
        </w:rPr>
        <w:t xml:space="preserve"> de la </w:t>
      </w:r>
      <w:r w:rsidRPr="00DF015D">
        <w:rPr>
          <w:rFonts w:ascii="Verdana" w:hAnsi="Verdana" w:cs="Verdana"/>
          <w:color w:val="000000"/>
          <w:spacing w:val="-2"/>
          <w:sz w:val="20"/>
          <w:szCs w:val="20"/>
          <w:lang w:val="es-PR"/>
        </w:rPr>
        <w:t>misma</w:t>
      </w:r>
      <w:r w:rsidRPr="002F67A9">
        <w:rPr>
          <w:rFonts w:ascii="Verdana" w:hAnsi="Verdana" w:cs="Verdana"/>
          <w:color w:val="000000"/>
          <w:spacing w:val="-2"/>
          <w:sz w:val="20"/>
          <w:szCs w:val="20"/>
          <w:lang w:val="es-PR"/>
        </w:rPr>
        <w:t xml:space="preserve">, en los términos dispuestos en </w:t>
      </w:r>
      <w:r w:rsidR="00DF015D">
        <w:rPr>
          <w:rFonts w:ascii="Verdana" w:hAnsi="Verdana" w:cs="Verdana"/>
          <w:color w:val="000000"/>
          <w:spacing w:val="-2"/>
          <w:sz w:val="20"/>
          <w:szCs w:val="20"/>
          <w:lang w:val="es-PR"/>
        </w:rPr>
        <w:t>dicho párrafo</w:t>
      </w:r>
      <w:r w:rsidRPr="002F67A9">
        <w:rPr>
          <w:rFonts w:ascii="Verdana" w:hAnsi="Verdana" w:cs="Verdana"/>
          <w:color w:val="000000"/>
          <w:spacing w:val="-2"/>
          <w:sz w:val="20"/>
          <w:szCs w:val="20"/>
          <w:lang w:val="es-PR"/>
        </w:rPr>
        <w:t xml:space="preserve">. </w:t>
      </w:r>
    </w:p>
    <w:p w:rsidR="00897439" w:rsidRDefault="00897439" w:rsidP="00897439">
      <w:pPr>
        <w:pStyle w:val="ListParagraph"/>
        <w:autoSpaceDE w:val="0"/>
        <w:autoSpaceDN w:val="0"/>
        <w:adjustRightInd w:val="0"/>
        <w:spacing w:after="0" w:line="240" w:lineRule="auto"/>
        <w:ind w:left="0"/>
        <w:jc w:val="both"/>
        <w:rPr>
          <w:rFonts w:ascii="Verdana" w:eastAsia="Calibri" w:hAnsi="Verdana"/>
          <w:spacing w:val="-2"/>
          <w:sz w:val="20"/>
          <w:szCs w:val="20"/>
          <w:lang w:val="es-ES"/>
        </w:rPr>
      </w:pPr>
    </w:p>
    <w:p w:rsidR="00897439" w:rsidRDefault="00897439" w:rsidP="00897439">
      <w:pPr>
        <w:pStyle w:val="ListParagraph"/>
        <w:autoSpaceDE w:val="0"/>
        <w:autoSpaceDN w:val="0"/>
        <w:adjustRightInd w:val="0"/>
        <w:spacing w:after="0" w:line="240" w:lineRule="auto"/>
        <w:ind w:left="0"/>
        <w:jc w:val="both"/>
        <w:rPr>
          <w:rFonts w:ascii="Verdana" w:eastAsia="Calibri" w:hAnsi="Verdana"/>
          <w:spacing w:val="-2"/>
          <w:sz w:val="20"/>
          <w:szCs w:val="20"/>
          <w:lang w:val="es-ES"/>
        </w:rPr>
      </w:pPr>
      <w:r w:rsidRPr="00323EE5">
        <w:rPr>
          <w:rFonts w:ascii="Verdana" w:eastAsia="Calibri" w:hAnsi="Verdana"/>
          <w:spacing w:val="-2"/>
          <w:sz w:val="20"/>
          <w:szCs w:val="20"/>
          <w:lang w:val="es-ES"/>
        </w:rPr>
        <w:t>Disiente el Juez Vio Grossi.</w:t>
      </w:r>
    </w:p>
    <w:p w:rsidR="00897439" w:rsidRDefault="00897439" w:rsidP="00897439">
      <w:pPr>
        <w:pStyle w:val="ListParagraph"/>
        <w:autoSpaceDE w:val="0"/>
        <w:autoSpaceDN w:val="0"/>
        <w:adjustRightInd w:val="0"/>
        <w:spacing w:after="0" w:line="240" w:lineRule="auto"/>
        <w:ind w:left="0"/>
        <w:jc w:val="both"/>
        <w:rPr>
          <w:rFonts w:ascii="Verdana" w:eastAsia="Calibri" w:hAnsi="Verdana"/>
          <w:spacing w:val="-2"/>
          <w:sz w:val="20"/>
          <w:szCs w:val="20"/>
          <w:lang w:val="es-ES"/>
        </w:rPr>
      </w:pPr>
    </w:p>
    <w:p w:rsidR="00897439" w:rsidRDefault="00897439" w:rsidP="00897439">
      <w:pPr>
        <w:pStyle w:val="Default"/>
        <w:jc w:val="both"/>
        <w:rPr>
          <w:rFonts w:eastAsia="Batang" w:cs="Times"/>
          <w:color w:val="000000" w:themeColor="text1"/>
          <w:spacing w:val="-2"/>
          <w:sz w:val="20"/>
          <w:szCs w:val="20"/>
          <w:lang w:val="es-AR"/>
        </w:rPr>
      </w:pPr>
      <w:r>
        <w:rPr>
          <w:rFonts w:eastAsia="Batang" w:cs="Times"/>
          <w:color w:val="000000" w:themeColor="text1"/>
          <w:spacing w:val="-2"/>
          <w:sz w:val="20"/>
          <w:szCs w:val="20"/>
          <w:lang w:val="es-AR"/>
        </w:rPr>
        <w:t xml:space="preserve">por cinco votos a favor y uno en contra, que: </w:t>
      </w:r>
    </w:p>
    <w:p w:rsidR="00897439" w:rsidRPr="002964A7" w:rsidRDefault="00897439" w:rsidP="00897439">
      <w:pPr>
        <w:pStyle w:val="ListParagraph"/>
        <w:autoSpaceDE w:val="0"/>
        <w:autoSpaceDN w:val="0"/>
        <w:adjustRightInd w:val="0"/>
        <w:spacing w:after="0" w:line="240" w:lineRule="auto"/>
        <w:ind w:left="0"/>
        <w:jc w:val="both"/>
        <w:rPr>
          <w:rFonts w:ascii="Verdana" w:eastAsia="Calibri" w:hAnsi="Verdana"/>
          <w:spacing w:val="-2"/>
          <w:sz w:val="20"/>
          <w:szCs w:val="20"/>
          <w:lang w:val="es-ES"/>
        </w:rPr>
      </w:pPr>
    </w:p>
    <w:p w:rsidR="00897439" w:rsidRPr="00897B83" w:rsidRDefault="00897439" w:rsidP="001154F9">
      <w:pPr>
        <w:pStyle w:val="Default"/>
        <w:numPr>
          <w:ilvl w:val="0"/>
          <w:numId w:val="17"/>
        </w:numPr>
        <w:ind w:left="0" w:firstLine="0"/>
        <w:jc w:val="both"/>
        <w:rPr>
          <w:spacing w:val="-2"/>
          <w:sz w:val="20"/>
          <w:szCs w:val="20"/>
          <w:lang w:val="es-GT" w:eastAsia="es-CR"/>
        </w:rPr>
      </w:pPr>
      <w:r w:rsidRPr="00897B83">
        <w:rPr>
          <w:spacing w:val="-2"/>
          <w:sz w:val="20"/>
          <w:szCs w:val="20"/>
          <w:lang w:val="es-GT" w:eastAsia="es-CR"/>
        </w:rPr>
        <w:t xml:space="preserve">El Estado </w:t>
      </w:r>
      <w:r w:rsidRPr="00897B83">
        <w:rPr>
          <w:spacing w:val="-2"/>
          <w:sz w:val="20"/>
          <w:szCs w:val="20"/>
          <w:lang w:val="es-GT" w:eastAsia="es-ES"/>
        </w:rPr>
        <w:t>debe pagar</w:t>
      </w:r>
      <w:r w:rsidRPr="00897B83">
        <w:rPr>
          <w:spacing w:val="-2"/>
          <w:sz w:val="20"/>
          <w:szCs w:val="20"/>
          <w:lang w:val="es-GT" w:eastAsia="es-CR"/>
        </w:rPr>
        <w:t xml:space="preserve">, dentro del plazo de un año a partir de la notificación de esta Sentencia, las cantidades fijadas por concepto de indemnizaciones por daños </w:t>
      </w:r>
      <w:r>
        <w:rPr>
          <w:spacing w:val="-2"/>
          <w:sz w:val="20"/>
          <w:szCs w:val="20"/>
          <w:lang w:val="es-GT" w:eastAsia="es-CR"/>
        </w:rPr>
        <w:t xml:space="preserve">materiales e </w:t>
      </w:r>
      <w:r w:rsidRPr="00897B83">
        <w:rPr>
          <w:spacing w:val="-2"/>
          <w:sz w:val="20"/>
          <w:szCs w:val="20"/>
          <w:lang w:val="es-GT" w:eastAsia="es-CR"/>
        </w:rPr>
        <w:t>inmateriales,</w:t>
      </w:r>
      <w:r>
        <w:rPr>
          <w:spacing w:val="-2"/>
          <w:sz w:val="20"/>
          <w:szCs w:val="20"/>
          <w:lang w:val="es-GT" w:eastAsia="es-CR"/>
        </w:rPr>
        <w:t xml:space="preserve"> así como el reintegro de cos</w:t>
      </w:r>
      <w:r w:rsidR="00F577FC">
        <w:rPr>
          <w:spacing w:val="-2"/>
          <w:sz w:val="20"/>
          <w:szCs w:val="20"/>
          <w:lang w:val="es-GT" w:eastAsia="es-CR"/>
        </w:rPr>
        <w:t>t</w:t>
      </w:r>
      <w:r>
        <w:rPr>
          <w:spacing w:val="-2"/>
          <w:sz w:val="20"/>
          <w:szCs w:val="20"/>
          <w:lang w:val="es-GT" w:eastAsia="es-CR"/>
        </w:rPr>
        <w:t>as y gastos,</w:t>
      </w:r>
      <w:r w:rsidRPr="00897B83">
        <w:rPr>
          <w:spacing w:val="-2"/>
          <w:sz w:val="20"/>
          <w:szCs w:val="20"/>
          <w:lang w:val="es-GT" w:eastAsia="es-CR"/>
        </w:rPr>
        <w:t xml:space="preserve"> en los términos de los párrafos </w:t>
      </w:r>
      <w:r>
        <w:rPr>
          <w:spacing w:val="-2"/>
          <w:sz w:val="20"/>
          <w:szCs w:val="20"/>
          <w:lang w:val="es-GT" w:eastAsia="es-CR"/>
        </w:rPr>
        <w:t>333 a 344</w:t>
      </w:r>
      <w:r w:rsidR="003F6A37">
        <w:rPr>
          <w:spacing w:val="-2"/>
          <w:sz w:val="20"/>
          <w:szCs w:val="20"/>
          <w:lang w:val="es-GT" w:eastAsia="es-CR"/>
        </w:rPr>
        <w:t>,</w:t>
      </w:r>
      <w:r>
        <w:rPr>
          <w:spacing w:val="-2"/>
          <w:sz w:val="20"/>
          <w:szCs w:val="20"/>
          <w:lang w:val="es-GT" w:eastAsia="es-CR"/>
        </w:rPr>
        <w:t xml:space="preserve"> 347 a 350</w:t>
      </w:r>
      <w:r w:rsidR="003F6A37">
        <w:rPr>
          <w:spacing w:val="-2"/>
          <w:sz w:val="20"/>
          <w:szCs w:val="20"/>
          <w:lang w:val="es-GT" w:eastAsia="es-CR"/>
        </w:rPr>
        <w:t>, y 357 a 362</w:t>
      </w:r>
      <w:r w:rsidRPr="00897B83">
        <w:rPr>
          <w:spacing w:val="-2"/>
          <w:sz w:val="20"/>
          <w:szCs w:val="20"/>
          <w:lang w:val="es-GT" w:eastAsia="es-CR"/>
        </w:rPr>
        <w:t xml:space="preserve"> de esta Sentencia.</w:t>
      </w:r>
    </w:p>
    <w:p w:rsidR="00897439" w:rsidRDefault="00897439" w:rsidP="00897439">
      <w:pPr>
        <w:pStyle w:val="Default"/>
        <w:jc w:val="both"/>
        <w:rPr>
          <w:color w:val="000000" w:themeColor="text1"/>
          <w:spacing w:val="-2"/>
          <w:sz w:val="20"/>
          <w:szCs w:val="20"/>
          <w:lang w:val="es-GT" w:eastAsia="es-CR"/>
        </w:rPr>
      </w:pPr>
    </w:p>
    <w:p w:rsidR="00897439" w:rsidRDefault="00897439" w:rsidP="00897439">
      <w:pPr>
        <w:pStyle w:val="Default"/>
        <w:jc w:val="both"/>
        <w:rPr>
          <w:color w:val="000000" w:themeColor="text1"/>
          <w:spacing w:val="-2"/>
          <w:sz w:val="20"/>
          <w:szCs w:val="20"/>
          <w:lang w:val="es-GT" w:eastAsia="es-CR"/>
        </w:rPr>
      </w:pPr>
      <w:r w:rsidRPr="00323EE5">
        <w:rPr>
          <w:color w:val="000000" w:themeColor="text1"/>
          <w:spacing w:val="-2"/>
          <w:sz w:val="20"/>
          <w:szCs w:val="20"/>
          <w:lang w:val="es-GT" w:eastAsia="es-CR"/>
        </w:rPr>
        <w:t>Disiente el Juez Vio Grossi.</w:t>
      </w:r>
    </w:p>
    <w:p w:rsidR="00897439" w:rsidRDefault="00897439" w:rsidP="00897439">
      <w:pPr>
        <w:pStyle w:val="Default"/>
        <w:jc w:val="both"/>
        <w:rPr>
          <w:color w:val="000000" w:themeColor="text1"/>
          <w:spacing w:val="-2"/>
          <w:sz w:val="20"/>
          <w:szCs w:val="20"/>
          <w:lang w:val="es-GT" w:eastAsia="es-CR"/>
        </w:rPr>
      </w:pPr>
    </w:p>
    <w:p w:rsidR="00897439" w:rsidRPr="00D80454" w:rsidRDefault="00897439" w:rsidP="00897439">
      <w:pPr>
        <w:pStyle w:val="Default"/>
        <w:jc w:val="both"/>
        <w:rPr>
          <w:color w:val="000000" w:themeColor="text1"/>
          <w:spacing w:val="-2"/>
          <w:sz w:val="20"/>
          <w:szCs w:val="20"/>
          <w:lang w:val="es-GT" w:eastAsia="es-CR"/>
        </w:rPr>
      </w:pPr>
      <w:r w:rsidRPr="00D80454">
        <w:rPr>
          <w:color w:val="000000" w:themeColor="text1"/>
          <w:spacing w:val="-2"/>
          <w:sz w:val="20"/>
          <w:szCs w:val="20"/>
          <w:lang w:val="es-GT" w:eastAsia="es-CR"/>
        </w:rPr>
        <w:t>por unanimidad:</w:t>
      </w:r>
    </w:p>
    <w:p w:rsidR="00897439" w:rsidRPr="00AB2670" w:rsidRDefault="00897439" w:rsidP="00897439">
      <w:pPr>
        <w:pStyle w:val="Default"/>
        <w:jc w:val="both"/>
        <w:rPr>
          <w:b/>
          <w:color w:val="000000" w:themeColor="text1"/>
          <w:spacing w:val="-2"/>
          <w:sz w:val="20"/>
          <w:szCs w:val="20"/>
          <w:lang w:val="es-GT" w:eastAsia="es-CR"/>
        </w:rPr>
      </w:pPr>
    </w:p>
    <w:p w:rsidR="00897439" w:rsidRDefault="00897439" w:rsidP="001154F9">
      <w:pPr>
        <w:pStyle w:val="Default"/>
        <w:numPr>
          <w:ilvl w:val="0"/>
          <w:numId w:val="17"/>
        </w:numPr>
        <w:ind w:left="0" w:firstLine="0"/>
        <w:jc w:val="both"/>
        <w:rPr>
          <w:color w:val="000000" w:themeColor="text1"/>
          <w:spacing w:val="-2"/>
          <w:sz w:val="20"/>
          <w:szCs w:val="20"/>
          <w:lang w:val="es-GT" w:eastAsia="es-CR"/>
        </w:rPr>
      </w:pPr>
      <w:r>
        <w:rPr>
          <w:color w:val="000000" w:themeColor="text1"/>
          <w:spacing w:val="-2"/>
          <w:sz w:val="20"/>
          <w:szCs w:val="20"/>
          <w:lang w:val="es-GT" w:eastAsia="es-CR"/>
        </w:rPr>
        <w:lastRenderedPageBreak/>
        <w:t>El Estado debe reintegrar al Fondo de Asistencia Legal de Víctimas de la Corte Interamericana de Derechos Humanos la cantidad erogada durante la tramitación del presente caso, en los términos de</w:t>
      </w:r>
      <w:r w:rsidR="00DF015D">
        <w:rPr>
          <w:color w:val="000000" w:themeColor="text1"/>
          <w:spacing w:val="-2"/>
          <w:sz w:val="20"/>
          <w:szCs w:val="20"/>
          <w:lang w:val="es-GT" w:eastAsia="es-CR"/>
        </w:rPr>
        <w:t xml:space="preserve"> los </w:t>
      </w:r>
      <w:r>
        <w:rPr>
          <w:color w:val="000000" w:themeColor="text1"/>
          <w:spacing w:val="-2"/>
          <w:sz w:val="20"/>
          <w:szCs w:val="20"/>
          <w:lang w:val="es-GT" w:eastAsia="es-CR"/>
        </w:rPr>
        <w:t>párrafo</w:t>
      </w:r>
      <w:r w:rsidR="00DF015D">
        <w:rPr>
          <w:color w:val="000000" w:themeColor="text1"/>
          <w:spacing w:val="-2"/>
          <w:sz w:val="20"/>
          <w:szCs w:val="20"/>
          <w:lang w:val="es-GT" w:eastAsia="es-CR"/>
        </w:rPr>
        <w:t>s 351 a</w:t>
      </w:r>
      <w:r>
        <w:rPr>
          <w:color w:val="000000" w:themeColor="text1"/>
          <w:spacing w:val="-2"/>
          <w:sz w:val="20"/>
          <w:szCs w:val="20"/>
          <w:lang w:val="es-GT" w:eastAsia="es-CR"/>
        </w:rPr>
        <w:t xml:space="preserve"> 356</w:t>
      </w:r>
      <w:r w:rsidR="003F6A37">
        <w:rPr>
          <w:color w:val="000000" w:themeColor="text1"/>
          <w:spacing w:val="-2"/>
          <w:sz w:val="20"/>
          <w:szCs w:val="20"/>
          <w:lang w:val="es-GT" w:eastAsia="es-CR"/>
        </w:rPr>
        <w:t xml:space="preserve"> y 362</w:t>
      </w:r>
      <w:r>
        <w:rPr>
          <w:color w:val="000000" w:themeColor="text1"/>
          <w:spacing w:val="-2"/>
          <w:sz w:val="20"/>
          <w:szCs w:val="20"/>
          <w:lang w:val="es-GT" w:eastAsia="es-CR"/>
        </w:rPr>
        <w:t xml:space="preserve"> de esta Sentencia.</w:t>
      </w:r>
    </w:p>
    <w:p w:rsidR="00897439" w:rsidRDefault="00897439" w:rsidP="00897439">
      <w:pPr>
        <w:tabs>
          <w:tab w:val="left" w:pos="567"/>
        </w:tabs>
        <w:spacing w:after="0" w:line="240" w:lineRule="auto"/>
        <w:jc w:val="both"/>
        <w:rPr>
          <w:rFonts w:ascii="Verdana" w:hAnsi="Verdana" w:cs="Verdana"/>
          <w:color w:val="000000" w:themeColor="text1"/>
          <w:spacing w:val="-2"/>
          <w:sz w:val="20"/>
          <w:szCs w:val="20"/>
          <w:lang w:val="es-GT" w:eastAsia="es-CR"/>
        </w:rPr>
      </w:pPr>
    </w:p>
    <w:p w:rsidR="00897439" w:rsidRDefault="00897439" w:rsidP="00897439">
      <w:pPr>
        <w:tabs>
          <w:tab w:val="left" w:pos="567"/>
        </w:tabs>
        <w:spacing w:after="0" w:line="240" w:lineRule="auto"/>
        <w:jc w:val="both"/>
        <w:rPr>
          <w:rFonts w:ascii="Verdana" w:hAnsi="Verdana" w:cs="Verdana"/>
          <w:color w:val="000000" w:themeColor="text1"/>
          <w:spacing w:val="-2"/>
          <w:sz w:val="20"/>
          <w:szCs w:val="20"/>
          <w:lang w:val="es-GT" w:eastAsia="es-CR"/>
        </w:rPr>
      </w:pPr>
      <w:r>
        <w:rPr>
          <w:rFonts w:ascii="Verdana" w:hAnsi="Verdana" w:cs="Verdana"/>
          <w:color w:val="000000" w:themeColor="text1"/>
          <w:spacing w:val="-2"/>
          <w:sz w:val="20"/>
          <w:szCs w:val="20"/>
          <w:lang w:val="es-GT" w:eastAsia="es-CR"/>
        </w:rPr>
        <w:t>por unanimidad:</w:t>
      </w:r>
    </w:p>
    <w:p w:rsidR="00897439" w:rsidRPr="00B544CE" w:rsidRDefault="00897439" w:rsidP="00897439">
      <w:pPr>
        <w:tabs>
          <w:tab w:val="left" w:pos="567"/>
        </w:tabs>
        <w:spacing w:after="0" w:line="240" w:lineRule="auto"/>
        <w:jc w:val="both"/>
        <w:rPr>
          <w:rFonts w:ascii="Verdana" w:hAnsi="Verdana" w:cs="Verdana"/>
          <w:color w:val="000000" w:themeColor="text1"/>
          <w:spacing w:val="-2"/>
          <w:sz w:val="20"/>
          <w:szCs w:val="20"/>
          <w:lang w:val="es-GT" w:eastAsia="es-CR"/>
        </w:rPr>
      </w:pPr>
    </w:p>
    <w:p w:rsidR="00897439" w:rsidRDefault="00897439" w:rsidP="001154F9">
      <w:pPr>
        <w:pStyle w:val="Default"/>
        <w:numPr>
          <w:ilvl w:val="0"/>
          <w:numId w:val="17"/>
        </w:numPr>
        <w:ind w:left="0" w:firstLine="0"/>
        <w:jc w:val="both"/>
        <w:rPr>
          <w:color w:val="000000" w:themeColor="text1"/>
          <w:spacing w:val="-2"/>
          <w:sz w:val="20"/>
          <w:szCs w:val="20"/>
          <w:lang w:val="es-ES" w:eastAsia="es-CR"/>
        </w:rPr>
      </w:pPr>
      <w:r>
        <w:rPr>
          <w:color w:val="000000" w:themeColor="text1"/>
          <w:spacing w:val="-2"/>
          <w:sz w:val="20"/>
          <w:szCs w:val="20"/>
          <w:lang w:val="es-ES" w:eastAsia="es-CR"/>
        </w:rPr>
        <w:t xml:space="preserve">El Estado debe rendir al Tribunal un informe, dentro del plazo de un año contado a partir de la </w:t>
      </w:r>
      <w:r>
        <w:rPr>
          <w:color w:val="000000" w:themeColor="text1"/>
          <w:spacing w:val="-2"/>
          <w:sz w:val="20"/>
          <w:szCs w:val="20"/>
          <w:lang w:val="es-ES_tradnl"/>
        </w:rPr>
        <w:t>notificación</w:t>
      </w:r>
      <w:r>
        <w:rPr>
          <w:color w:val="000000" w:themeColor="text1"/>
          <w:spacing w:val="-2"/>
          <w:sz w:val="20"/>
          <w:szCs w:val="20"/>
          <w:lang w:val="es-ES" w:eastAsia="es-CR"/>
        </w:rPr>
        <w:t xml:space="preserve"> de esta Sentencia, sobre las medidas adoptadas para cumplir con la misma. </w:t>
      </w:r>
    </w:p>
    <w:p w:rsidR="00897439" w:rsidRDefault="00897439" w:rsidP="00897439">
      <w:pPr>
        <w:tabs>
          <w:tab w:val="left" w:pos="567"/>
        </w:tabs>
        <w:spacing w:after="0" w:line="240" w:lineRule="auto"/>
        <w:jc w:val="both"/>
        <w:rPr>
          <w:rFonts w:ascii="Verdana" w:hAnsi="Verdana" w:cs="Verdana"/>
          <w:color w:val="000000" w:themeColor="text1"/>
          <w:spacing w:val="-2"/>
          <w:sz w:val="20"/>
          <w:szCs w:val="20"/>
          <w:lang w:val="es-ES" w:eastAsia="es-CR"/>
        </w:rPr>
      </w:pPr>
    </w:p>
    <w:p w:rsidR="00897439" w:rsidRDefault="00897439" w:rsidP="00897439">
      <w:pPr>
        <w:tabs>
          <w:tab w:val="left" w:pos="567"/>
        </w:tabs>
        <w:spacing w:after="0" w:line="240" w:lineRule="auto"/>
        <w:jc w:val="both"/>
        <w:rPr>
          <w:rFonts w:ascii="Verdana" w:hAnsi="Verdana" w:cs="Verdana"/>
          <w:color w:val="000000" w:themeColor="text1"/>
          <w:spacing w:val="-2"/>
          <w:sz w:val="20"/>
          <w:szCs w:val="20"/>
          <w:lang w:val="es-ES" w:eastAsia="es-CR"/>
        </w:rPr>
      </w:pPr>
      <w:r>
        <w:rPr>
          <w:rFonts w:ascii="Verdana" w:hAnsi="Verdana" w:cs="Verdana"/>
          <w:color w:val="000000" w:themeColor="text1"/>
          <w:spacing w:val="-2"/>
          <w:sz w:val="20"/>
          <w:szCs w:val="20"/>
          <w:lang w:val="es-ES" w:eastAsia="es-CR"/>
        </w:rPr>
        <w:t xml:space="preserve">por unanimidad: </w:t>
      </w:r>
    </w:p>
    <w:p w:rsidR="00897439" w:rsidRDefault="00897439" w:rsidP="00897439">
      <w:pPr>
        <w:tabs>
          <w:tab w:val="left" w:pos="567"/>
        </w:tabs>
        <w:spacing w:after="0" w:line="240" w:lineRule="auto"/>
        <w:jc w:val="both"/>
        <w:rPr>
          <w:rFonts w:ascii="Verdana" w:hAnsi="Verdana" w:cs="Verdana"/>
          <w:color w:val="000000" w:themeColor="text1"/>
          <w:spacing w:val="-2"/>
          <w:sz w:val="20"/>
          <w:szCs w:val="20"/>
          <w:lang w:val="es-ES" w:eastAsia="es-CR"/>
        </w:rPr>
      </w:pPr>
    </w:p>
    <w:p w:rsidR="00897439" w:rsidRDefault="00897439" w:rsidP="001154F9">
      <w:pPr>
        <w:pStyle w:val="Default"/>
        <w:numPr>
          <w:ilvl w:val="0"/>
          <w:numId w:val="17"/>
        </w:numPr>
        <w:ind w:left="0" w:firstLine="0"/>
        <w:jc w:val="both"/>
        <w:rPr>
          <w:color w:val="000000" w:themeColor="text1"/>
          <w:spacing w:val="-2"/>
          <w:sz w:val="20"/>
          <w:szCs w:val="20"/>
          <w:lang w:val="es-ES" w:eastAsia="es-CR"/>
        </w:rPr>
      </w:pPr>
      <w:r>
        <w:rPr>
          <w:color w:val="000000" w:themeColor="text1"/>
          <w:spacing w:val="-2"/>
          <w:sz w:val="20"/>
          <w:szCs w:val="20"/>
          <w:lang w:val="es-ES" w:eastAsia="es-CR"/>
        </w:rPr>
        <w:t xml:space="preserve">La Corte supervisará el cumplimiento íntegro de esta Sentencia, en ejercicio de sus </w:t>
      </w:r>
      <w:r>
        <w:rPr>
          <w:color w:val="000000" w:themeColor="text1"/>
          <w:spacing w:val="-2"/>
          <w:sz w:val="20"/>
          <w:szCs w:val="20"/>
          <w:lang w:val="es-ES_tradnl"/>
        </w:rPr>
        <w:t>atribuciones</w:t>
      </w:r>
      <w:r>
        <w:rPr>
          <w:color w:val="000000" w:themeColor="text1"/>
          <w:spacing w:val="-2"/>
          <w:sz w:val="20"/>
          <w:szCs w:val="20"/>
          <w:lang w:val="es-ES" w:eastAsia="es-CR"/>
        </w:rPr>
        <w:t xml:space="preserve"> y en cumplimiento de sus deberes conforme a la Convención Americana sobre Derechos Humanos, y dará por concluido el presente caso una vez que el Estado haya dado cabal cumplimiento a lo dispuesto en la misma. </w:t>
      </w:r>
    </w:p>
    <w:p w:rsidR="00897439" w:rsidRDefault="00897439" w:rsidP="00897439">
      <w:pPr>
        <w:pStyle w:val="Heading1"/>
        <w:jc w:val="left"/>
        <w:rPr>
          <w:rFonts w:eastAsia="Calibri" w:cs="Arial"/>
          <w:szCs w:val="20"/>
        </w:rPr>
      </w:pPr>
    </w:p>
    <w:p w:rsidR="00897439" w:rsidRDefault="00897439" w:rsidP="00897439">
      <w:pPr>
        <w:pStyle w:val="ListParagraph"/>
        <w:autoSpaceDE w:val="0"/>
        <w:autoSpaceDN w:val="0"/>
        <w:adjustRightInd w:val="0"/>
        <w:spacing w:after="0" w:line="240" w:lineRule="auto"/>
        <w:ind w:left="0"/>
        <w:jc w:val="both"/>
        <w:rPr>
          <w:rFonts w:ascii="Verdana" w:eastAsia="Calibri" w:hAnsi="Verdana"/>
          <w:sz w:val="20"/>
          <w:lang w:val="es-ES_tradnl"/>
        </w:rPr>
      </w:pPr>
      <w:r w:rsidRPr="00897439">
        <w:rPr>
          <w:rFonts w:ascii="Verdana" w:eastAsia="Calibri" w:hAnsi="Verdana"/>
          <w:sz w:val="20"/>
          <w:lang w:val="es-ES_tradnl"/>
        </w:rPr>
        <w:t xml:space="preserve">Los Jueces Alberto Pérez Pérez y Eduardo Vio Grossi hicieron conocer sus votos disidentes. </w:t>
      </w:r>
    </w:p>
    <w:p w:rsidR="003445C5" w:rsidRDefault="003445C5" w:rsidP="00897439">
      <w:pPr>
        <w:pStyle w:val="ListParagraph"/>
        <w:autoSpaceDE w:val="0"/>
        <w:autoSpaceDN w:val="0"/>
        <w:adjustRightInd w:val="0"/>
        <w:spacing w:after="0" w:line="240" w:lineRule="auto"/>
        <w:ind w:left="0"/>
        <w:jc w:val="both"/>
        <w:rPr>
          <w:rFonts w:ascii="Verdana" w:eastAsia="Calibri" w:hAnsi="Verdana"/>
          <w:sz w:val="20"/>
          <w:lang w:val="es-ES_tradnl"/>
        </w:rPr>
      </w:pPr>
    </w:p>
    <w:p w:rsidR="003445C5" w:rsidRDefault="003445C5" w:rsidP="00897439">
      <w:pPr>
        <w:pStyle w:val="ListParagraph"/>
        <w:autoSpaceDE w:val="0"/>
        <w:autoSpaceDN w:val="0"/>
        <w:adjustRightInd w:val="0"/>
        <w:spacing w:after="0" w:line="240" w:lineRule="auto"/>
        <w:ind w:left="0"/>
        <w:jc w:val="both"/>
        <w:rPr>
          <w:rFonts w:ascii="Verdana" w:eastAsia="Calibri" w:hAnsi="Verdana"/>
          <w:sz w:val="20"/>
          <w:lang w:val="es-ES_tradnl"/>
        </w:rPr>
      </w:pPr>
    </w:p>
    <w:p w:rsidR="00250316" w:rsidRDefault="003445C5" w:rsidP="00897439">
      <w:pPr>
        <w:pStyle w:val="ListParagraph"/>
        <w:autoSpaceDE w:val="0"/>
        <w:autoSpaceDN w:val="0"/>
        <w:adjustRightInd w:val="0"/>
        <w:spacing w:after="0" w:line="240" w:lineRule="auto"/>
        <w:ind w:left="0"/>
        <w:jc w:val="both"/>
        <w:rPr>
          <w:rFonts w:ascii="Verdana" w:eastAsia="Calibri" w:hAnsi="Verdana"/>
          <w:sz w:val="20"/>
          <w:lang w:val="es-ES_tradnl"/>
        </w:rPr>
        <w:sectPr w:rsidR="00250316" w:rsidSect="00882D17">
          <w:headerReference w:type="default" r:id="rId19"/>
          <w:pgSz w:w="12240" w:h="15840"/>
          <w:pgMar w:top="1417" w:right="1608" w:bottom="1417" w:left="1418" w:header="708" w:footer="708" w:gutter="0"/>
          <w:cols w:space="708"/>
          <w:titlePg/>
          <w:docGrid w:linePitch="360"/>
        </w:sectPr>
      </w:pPr>
      <w:r>
        <w:rPr>
          <w:rFonts w:ascii="Verdana" w:eastAsia="Calibri" w:hAnsi="Verdana"/>
          <w:sz w:val="20"/>
          <w:lang w:val="es-ES_tradnl"/>
        </w:rPr>
        <w:t xml:space="preserve">Redactada en español en San José, Costa Rica, y emitida el 1 de septiembre de 2015. </w:t>
      </w:r>
    </w:p>
    <w:p w:rsidR="00250316" w:rsidRDefault="00250316" w:rsidP="00250316">
      <w:pPr>
        <w:spacing w:line="240" w:lineRule="auto"/>
        <w:jc w:val="center"/>
        <w:rPr>
          <w:rFonts w:ascii="Verdana" w:hAnsi="Verdana"/>
          <w:b/>
          <w:sz w:val="20"/>
          <w:szCs w:val="20"/>
          <w:lang w:val="es-ES_tradnl"/>
        </w:rPr>
      </w:pPr>
    </w:p>
    <w:p w:rsidR="00250316" w:rsidRDefault="00250316" w:rsidP="00250316">
      <w:pPr>
        <w:spacing w:line="240" w:lineRule="auto"/>
        <w:jc w:val="center"/>
        <w:rPr>
          <w:rFonts w:ascii="Verdana" w:hAnsi="Verdana"/>
          <w:b/>
          <w:sz w:val="20"/>
          <w:szCs w:val="20"/>
          <w:lang w:val="es-ES_tradnl"/>
        </w:rPr>
      </w:pPr>
    </w:p>
    <w:p w:rsidR="00250316" w:rsidRDefault="00250316" w:rsidP="00250316">
      <w:pPr>
        <w:spacing w:line="240" w:lineRule="auto"/>
        <w:jc w:val="center"/>
        <w:rPr>
          <w:rFonts w:ascii="Verdana" w:hAnsi="Verdana"/>
          <w:b/>
          <w:sz w:val="20"/>
          <w:szCs w:val="20"/>
          <w:lang w:val="es-ES_tradnl"/>
        </w:rPr>
      </w:pPr>
    </w:p>
    <w:p w:rsidR="00250316" w:rsidRDefault="00250316" w:rsidP="00250316">
      <w:pPr>
        <w:spacing w:line="240" w:lineRule="auto"/>
        <w:jc w:val="center"/>
        <w:rPr>
          <w:rFonts w:ascii="Verdana" w:hAnsi="Verdana"/>
          <w:b/>
          <w:sz w:val="20"/>
          <w:szCs w:val="20"/>
          <w:lang w:val="es-ES_tradnl"/>
        </w:rPr>
      </w:pPr>
    </w:p>
    <w:p w:rsidR="00250316" w:rsidRDefault="00250316" w:rsidP="00250316">
      <w:pPr>
        <w:spacing w:line="240" w:lineRule="auto"/>
        <w:jc w:val="center"/>
        <w:rPr>
          <w:rFonts w:ascii="Verdana" w:hAnsi="Verdana"/>
          <w:b/>
          <w:sz w:val="20"/>
          <w:szCs w:val="20"/>
          <w:lang w:val="es-ES_tradnl"/>
        </w:rPr>
      </w:pPr>
    </w:p>
    <w:p w:rsidR="00250316" w:rsidRPr="00D57A30" w:rsidRDefault="00250316" w:rsidP="00250316">
      <w:pPr>
        <w:spacing w:line="240" w:lineRule="auto"/>
        <w:jc w:val="center"/>
        <w:rPr>
          <w:rFonts w:ascii="Verdana" w:hAnsi="Verdana"/>
          <w:b/>
          <w:sz w:val="20"/>
          <w:szCs w:val="20"/>
          <w:lang w:val="es-ES_tradnl"/>
        </w:rPr>
      </w:pPr>
      <w:r w:rsidRPr="00D57A30">
        <w:rPr>
          <w:rFonts w:ascii="Verdana" w:hAnsi="Verdana"/>
          <w:b/>
          <w:sz w:val="20"/>
          <w:szCs w:val="20"/>
          <w:lang w:val="es-ES_tradnl"/>
        </w:rPr>
        <w:t xml:space="preserve">VOTO DISIDENTE DEL JUEZ ALBERTO PÉREZ </w:t>
      </w:r>
      <w:proofErr w:type="spellStart"/>
      <w:r w:rsidRPr="00D57A30">
        <w:rPr>
          <w:rFonts w:ascii="Verdana" w:hAnsi="Verdana"/>
          <w:b/>
          <w:sz w:val="20"/>
          <w:szCs w:val="20"/>
          <w:lang w:val="es-ES_tradnl"/>
        </w:rPr>
        <w:t>PÉREZ</w:t>
      </w:r>
      <w:proofErr w:type="spellEnd"/>
      <w:r w:rsidRPr="00D57A30">
        <w:rPr>
          <w:rFonts w:ascii="Verdana" w:hAnsi="Verdana"/>
          <w:b/>
          <w:sz w:val="20"/>
          <w:szCs w:val="20"/>
          <w:lang w:val="es-ES_tradnl"/>
        </w:rPr>
        <w:t xml:space="preserve"> EN EL CASO</w:t>
      </w:r>
      <w:r w:rsidRPr="00D57A30">
        <w:rPr>
          <w:rFonts w:ascii="Verdana" w:hAnsi="Verdana"/>
          <w:b/>
          <w:sz w:val="20"/>
          <w:szCs w:val="20"/>
          <w:lang w:val="es-ES_tradnl"/>
        </w:rPr>
        <w:br/>
        <w:t>DE LA COMUNIDAD CAMPESINA DE SANTA BÁRBARA VS. PERÚ</w:t>
      </w:r>
    </w:p>
    <w:p w:rsidR="00250316"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D57A30">
        <w:rPr>
          <w:rFonts w:ascii="Verdana" w:hAnsi="Verdana"/>
          <w:sz w:val="20"/>
          <w:szCs w:val="20"/>
          <w:lang w:val="es-ES_tradnl"/>
        </w:rPr>
        <w:t xml:space="preserve">He votado negativamente la parte de la sentencia en la que se califica a los brutales actos a que ella se refiere como “desaparición forzada” y no como ejecución </w:t>
      </w:r>
      <w:r w:rsidRPr="00B01B6B">
        <w:rPr>
          <w:rFonts w:ascii="Verdana" w:hAnsi="Verdana" w:cs="Times New Roman"/>
          <w:sz w:val="20"/>
          <w:szCs w:val="20"/>
          <w:lang w:val="es-ES_tradnl"/>
        </w:rPr>
        <w:t>extrajudicial</w:t>
      </w:r>
      <w:r w:rsidRPr="00D57A30">
        <w:rPr>
          <w:rFonts w:ascii="Verdana" w:hAnsi="Verdana"/>
          <w:sz w:val="20"/>
          <w:szCs w:val="20"/>
          <w:lang w:val="es-ES_tradnl"/>
        </w:rPr>
        <w:t xml:space="preserve"> o masacre con carácter de crimen de lesa humanidad. Las razones para mi voto, que se exponen a continuación, comprenden tanto la descripción de los hechos como su calificación jurídica desde el punto de vista del derecho internacional de los derechos humanos.</w:t>
      </w:r>
    </w:p>
    <w:p w:rsidR="00250316" w:rsidRPr="00D57A30" w:rsidRDefault="00250316" w:rsidP="00250316">
      <w:pPr>
        <w:pStyle w:val="Estilo1"/>
        <w:jc w:val="both"/>
        <w:rPr>
          <w:szCs w:val="20"/>
          <w:lang w:val="es-ES_tradnl"/>
        </w:rPr>
      </w:pPr>
    </w:p>
    <w:p w:rsidR="00250316" w:rsidRPr="00D57A30" w:rsidRDefault="00250316" w:rsidP="00250316">
      <w:pPr>
        <w:pStyle w:val="Estilo2"/>
        <w:numPr>
          <w:ilvl w:val="0"/>
          <w:numId w:val="24"/>
        </w:numPr>
        <w:tabs>
          <w:tab w:val="clear" w:pos="567"/>
          <w:tab w:val="clear" w:pos="1134"/>
        </w:tabs>
        <w:spacing w:after="160"/>
        <w:ind w:left="0" w:firstLine="0"/>
        <w:contextualSpacing/>
        <w:jc w:val="both"/>
        <w:rPr>
          <w:b w:val="0"/>
          <w:szCs w:val="20"/>
          <w:lang w:val="es-ES_tradnl"/>
        </w:rPr>
      </w:pPr>
      <w:r w:rsidRPr="00D57A30">
        <w:rPr>
          <w:szCs w:val="20"/>
          <w:lang w:val="es-ES_tradnl"/>
        </w:rPr>
        <w:t>DESCRIPCIÓN DE LOS HECHOS</w:t>
      </w:r>
    </w:p>
    <w:p w:rsidR="00250316" w:rsidRPr="00D57A30" w:rsidRDefault="00250316" w:rsidP="00250316">
      <w:pPr>
        <w:pStyle w:val="ListParagraph"/>
        <w:spacing w:line="240" w:lineRule="auto"/>
        <w:contextualSpacing w:val="0"/>
        <w:jc w:val="both"/>
        <w:rPr>
          <w:rFonts w:ascii="Verdana" w:hAnsi="Verdana" w:cs="Times New Roman"/>
          <w:i/>
          <w:sz w:val="20"/>
          <w:szCs w:val="20"/>
          <w:lang w:val="es-ES_tradnl"/>
        </w:rPr>
      </w:pPr>
      <w:r w:rsidRPr="00D57A30">
        <w:rPr>
          <w:rFonts w:ascii="Verdana" w:hAnsi="Verdana" w:cs="Times New Roman"/>
          <w:i/>
          <w:sz w:val="20"/>
          <w:szCs w:val="20"/>
          <w:lang w:val="es-ES_tradnl"/>
        </w:rPr>
        <w:t>Contexto y antecedentes</w:t>
      </w:r>
    </w:p>
    <w:p w:rsidR="00250316" w:rsidRPr="00D57A30" w:rsidRDefault="00250316" w:rsidP="00250316">
      <w:pPr>
        <w:pStyle w:val="ListParagraph"/>
        <w:numPr>
          <w:ilvl w:val="0"/>
          <w:numId w:val="23"/>
        </w:numPr>
        <w:spacing w:after="160" w:line="240" w:lineRule="auto"/>
        <w:ind w:left="0" w:firstLine="0"/>
        <w:jc w:val="both"/>
        <w:rPr>
          <w:rFonts w:ascii="Verdana" w:hAnsi="Verdana" w:cs="Times New Roman"/>
          <w:sz w:val="20"/>
          <w:szCs w:val="20"/>
          <w:lang w:val="es-ES_tradnl"/>
        </w:rPr>
      </w:pPr>
      <w:r w:rsidRPr="00D57A30">
        <w:rPr>
          <w:rFonts w:ascii="Verdana" w:hAnsi="Verdana" w:cs="Times New Roman"/>
          <w:sz w:val="20"/>
          <w:szCs w:val="20"/>
          <w:lang w:val="es-ES_tradnl"/>
        </w:rPr>
        <w:t>La situación existente en el período en que ocurrieron los hechos del caso está descrita con toda claridad y concisión en el Informe de la Comisión de la Verdad y Reconciliación (en adelante, “CVR”), bajo el subtítulo “Contexto” (pág. 531)</w:t>
      </w:r>
      <w:r w:rsidRPr="00D57A30">
        <w:rPr>
          <w:rStyle w:val="FootnoteReference"/>
          <w:rFonts w:eastAsiaTheme="minorHAnsi" w:cs="Times New Roman"/>
          <w:szCs w:val="20"/>
          <w:lang w:val="es-ES_tradnl"/>
        </w:rPr>
        <w:footnoteReference w:id="388"/>
      </w:r>
      <w:r w:rsidRPr="00D57A30">
        <w:rPr>
          <w:rFonts w:ascii="Verdana" w:hAnsi="Verdana" w:cs="Times New Roman"/>
          <w:sz w:val="20"/>
          <w:szCs w:val="20"/>
          <w:lang w:val="es-ES_tradnl"/>
        </w:rPr>
        <w:t>:</w:t>
      </w:r>
    </w:p>
    <w:p w:rsidR="00250316" w:rsidRPr="00D57A30" w:rsidRDefault="00250316" w:rsidP="00250316">
      <w:pPr>
        <w:pStyle w:val="Estilo3"/>
        <w:spacing w:line="240" w:lineRule="auto"/>
        <w:rPr>
          <w:sz w:val="20"/>
          <w:szCs w:val="20"/>
          <w:lang w:val="es-ES_tradnl"/>
        </w:rPr>
      </w:pPr>
      <w:r w:rsidRPr="00D57A30">
        <w:rPr>
          <w:sz w:val="20"/>
          <w:szCs w:val="20"/>
          <w:lang w:val="es-ES_tradnl"/>
        </w:rPr>
        <w:t>“En junio de 1991 se decretó la prórroga del Estado de Emergencia en el Departamento de Huancavelica, quedando suspendido el ejercicio de los derechos de inviolabilidad del domicilio, libre tránsito, reunión y de no ser detenido salvo por mandato judicial o flagrante delito. Inclusive se estableció el toque de queda en la ciudad de Huancavelica desde las 7 de la noche hasta las 6 de la mañana. Durante ese horario, los pobladores estaban prohibidos de salir de sus casas o movilizarse por la ciudad. Sin embargo, con el pretexto de mantener el orden en las noches, miembros del Ejército o patrullas militares ingresaban a las casas de los pobladores, robaban sus pertenencias y ganado llegando en algunos casos a cometer asesinatos y violaciones sexuales. Además, en la zona de Santa Bárbara, continuamente se producían incursiones de Sendero Luminoso que cometían asesinatos, robos de alimentos, artefactos y ganado, violaciones y numerosos destrozos, de tal modo que los pobladores se encontraban entre dos frentes, provocando que muchos de ellos se desplazaran a las ciudades abandonando sus casas y campos de cultivo</w:t>
      </w:r>
      <w:r w:rsidRPr="00D57A30">
        <w:rPr>
          <w:rStyle w:val="FootnoteReference"/>
          <w:rFonts w:eastAsia="Calibri"/>
          <w:szCs w:val="20"/>
          <w:lang w:val="es-ES_tradnl"/>
        </w:rPr>
        <w:footnoteReference w:id="389"/>
      </w:r>
      <w:r w:rsidRPr="00D57A30">
        <w:rPr>
          <w:sz w:val="20"/>
          <w:szCs w:val="20"/>
          <w:lang w:val="es-ES_tradnl"/>
        </w:rPr>
        <w:t>.”</w:t>
      </w:r>
    </w:p>
    <w:p w:rsidR="00250316" w:rsidRPr="00D57A3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D57A30">
        <w:rPr>
          <w:rFonts w:ascii="Verdana" w:hAnsi="Verdana"/>
          <w:sz w:val="20"/>
          <w:szCs w:val="20"/>
          <w:lang w:val="es-ES_tradnl"/>
        </w:rPr>
        <w:t xml:space="preserve">El día 2 de julio de 1991 partieron dos patrullas militares desde la base de </w:t>
      </w:r>
      <w:proofErr w:type="spellStart"/>
      <w:r w:rsidRPr="00D57A30">
        <w:rPr>
          <w:rFonts w:ascii="Verdana" w:hAnsi="Verdana"/>
          <w:sz w:val="20"/>
          <w:szCs w:val="20"/>
          <w:lang w:val="es-ES_tradnl"/>
        </w:rPr>
        <w:t>Lircay</w:t>
      </w:r>
      <w:proofErr w:type="spellEnd"/>
      <w:r w:rsidRPr="00D57A30">
        <w:rPr>
          <w:rFonts w:ascii="Verdana" w:hAnsi="Verdana"/>
          <w:sz w:val="20"/>
          <w:szCs w:val="20"/>
          <w:lang w:val="es-ES_tradnl"/>
        </w:rPr>
        <w:t xml:space="preserve">. Una de ellas era la patrulla “Escorpio”, al mando del Teniente de Infantería Javier </w:t>
      </w:r>
      <w:proofErr w:type="spellStart"/>
      <w:r w:rsidRPr="00B01B6B">
        <w:rPr>
          <w:rFonts w:ascii="Verdana" w:hAnsi="Verdana" w:cs="Times New Roman"/>
          <w:sz w:val="20"/>
          <w:szCs w:val="20"/>
          <w:lang w:val="es-ES_tradnl"/>
        </w:rPr>
        <w:t>Bendezú</w:t>
      </w:r>
      <w:proofErr w:type="spellEnd"/>
      <w:r w:rsidRPr="00D57A30">
        <w:rPr>
          <w:rFonts w:ascii="Verdana" w:hAnsi="Verdana"/>
          <w:sz w:val="20"/>
          <w:szCs w:val="20"/>
          <w:lang w:val="es-ES_tradnl"/>
        </w:rPr>
        <w:t xml:space="preserve"> Vargas. Dicha patrulla llegó al anexo de Rodeo Pampa, en la comunidad campesina </w:t>
      </w:r>
      <w:r>
        <w:rPr>
          <w:rFonts w:ascii="Verdana" w:hAnsi="Verdana"/>
          <w:sz w:val="20"/>
          <w:szCs w:val="20"/>
          <w:lang w:val="es-ES_tradnl"/>
        </w:rPr>
        <w:t xml:space="preserve">de </w:t>
      </w:r>
      <w:r w:rsidRPr="00D57A30">
        <w:rPr>
          <w:rFonts w:ascii="Verdana" w:hAnsi="Verdana"/>
          <w:sz w:val="20"/>
          <w:szCs w:val="20"/>
          <w:lang w:val="es-ES_tradnl"/>
        </w:rPr>
        <w:t>Santa Bárbara. En ese lugar, según relataron familiares de dos de las víctimas, la patrulla,</w:t>
      </w:r>
    </w:p>
    <w:p w:rsidR="00250316" w:rsidRPr="00D57A30" w:rsidRDefault="00250316" w:rsidP="00250316">
      <w:pPr>
        <w:pStyle w:val="Estilo3"/>
        <w:spacing w:line="240" w:lineRule="auto"/>
        <w:rPr>
          <w:sz w:val="20"/>
          <w:szCs w:val="20"/>
          <w:lang w:val="es-ES_tradnl"/>
        </w:rPr>
      </w:pPr>
      <w:r w:rsidRPr="00D57A30">
        <w:rPr>
          <w:sz w:val="20"/>
          <w:szCs w:val="20"/>
          <w:lang w:val="es-ES_tradnl"/>
        </w:rPr>
        <w:lastRenderedPageBreak/>
        <w:t>“[t]ras detener a los miembros de la familia Hilario, acusándolos de pertenecer a la subversión, prendió fuego a sus viviendas para obligarlos a salir, luego de lo cual los mantuvieron detenidos el resto de la noche totalmente desnudos pese a la inclemencia del clima.”</w:t>
      </w:r>
    </w:p>
    <w:p w:rsidR="00250316" w:rsidRPr="00250316" w:rsidRDefault="00250316" w:rsidP="00250316">
      <w:pPr>
        <w:pStyle w:val="Estilo1"/>
        <w:keepNext/>
        <w:tabs>
          <w:tab w:val="clear" w:pos="567"/>
          <w:tab w:val="clear" w:pos="1134"/>
        </w:tabs>
        <w:spacing w:after="160"/>
        <w:jc w:val="both"/>
        <w:rPr>
          <w:rFonts w:cs="Times New Roman"/>
          <w:b w:val="0"/>
          <w:i/>
          <w:szCs w:val="20"/>
          <w:lang w:val="es-ES_tradnl"/>
        </w:rPr>
      </w:pPr>
      <w:r w:rsidRPr="00250316">
        <w:rPr>
          <w:rFonts w:cs="Times New Roman"/>
          <w:b w:val="0"/>
          <w:i/>
          <w:szCs w:val="20"/>
          <w:lang w:val="es-ES_tradnl"/>
        </w:rPr>
        <w:tab/>
        <w:t>Detenciones y traslado</w:t>
      </w:r>
    </w:p>
    <w:p w:rsidR="00250316" w:rsidRPr="00D57A3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D57A30">
        <w:rPr>
          <w:rFonts w:ascii="Verdana" w:hAnsi="Verdana"/>
          <w:sz w:val="20"/>
          <w:szCs w:val="20"/>
          <w:lang w:val="es-ES_tradnl"/>
        </w:rPr>
        <w:t>Según narró el sargento Pacheco Zambrano, en un momento se escucharon disparos, y, según indicó</w:t>
      </w:r>
    </w:p>
    <w:p w:rsidR="00250316" w:rsidRPr="00D57A30" w:rsidRDefault="00250316" w:rsidP="00250316">
      <w:pPr>
        <w:pStyle w:val="Estilo3"/>
        <w:spacing w:line="240" w:lineRule="auto"/>
        <w:rPr>
          <w:sz w:val="20"/>
          <w:szCs w:val="20"/>
          <w:lang w:val="es-ES_tradnl"/>
        </w:rPr>
      </w:pPr>
      <w:r w:rsidRPr="00D57A30">
        <w:rPr>
          <w:sz w:val="20"/>
          <w:szCs w:val="20"/>
          <w:lang w:val="es-ES_tradnl"/>
        </w:rPr>
        <w:t>“tales disparos habrían alertado a los subversivos que se encontraban en las partes más altas del lugar provocando que fugasen pero que él logró detener a un varón, a una mujer adulta y una niña de aproximadamente 3 años de edad. Refirió que otro soldado detuvo a un sujeto que viajaba en dirección al poblado y que por su parte el sargento Carrera Gonzáles consiguió detener a siete personas, bajando luego hacia el centro del caserío donde encontró que el resto de la tropa había maltratado a los pobladores después de sacarlos de sus casas.</w:t>
      </w:r>
    </w:p>
    <w:p w:rsidR="00250316" w:rsidRPr="00D57A30" w:rsidRDefault="00250316" w:rsidP="00250316">
      <w:pPr>
        <w:pStyle w:val="Estilo3"/>
        <w:spacing w:line="240" w:lineRule="auto"/>
        <w:rPr>
          <w:sz w:val="20"/>
          <w:szCs w:val="20"/>
          <w:lang w:val="es-ES_tradnl"/>
        </w:rPr>
      </w:pPr>
      <w:r w:rsidRPr="00D57A30">
        <w:rPr>
          <w:sz w:val="20"/>
          <w:szCs w:val="20"/>
          <w:lang w:val="es-ES_tradnl"/>
        </w:rPr>
        <w:tab/>
        <w:t>“Los militares permanecieron en el poblado hasta pasado el mediodía, hora en que se dispusieron a preparar el rancho degollando algunos carneros y matando varias gallinas de propiedad de la familia Hilario</w:t>
      </w:r>
      <w:r w:rsidRPr="00D57A30">
        <w:rPr>
          <w:rStyle w:val="FootnoteReference"/>
          <w:rFonts w:eastAsia="Calibri"/>
          <w:szCs w:val="20"/>
          <w:lang w:val="es-ES_tradnl"/>
        </w:rPr>
        <w:footnoteReference w:id="390"/>
      </w:r>
      <w:r w:rsidRPr="00D57A30">
        <w:rPr>
          <w:sz w:val="20"/>
          <w:szCs w:val="20"/>
          <w:lang w:val="es-ES_tradnl"/>
        </w:rPr>
        <w:t>.”</w:t>
      </w:r>
    </w:p>
    <w:p w:rsidR="00250316" w:rsidRPr="00D57A3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D57A30">
        <w:rPr>
          <w:rFonts w:ascii="Verdana" w:hAnsi="Verdana"/>
          <w:sz w:val="20"/>
          <w:szCs w:val="20"/>
          <w:lang w:val="es-ES_tradnl"/>
        </w:rPr>
        <w:t xml:space="preserve">De allí </w:t>
      </w:r>
      <w:r w:rsidRPr="00B01B6B">
        <w:rPr>
          <w:rFonts w:ascii="Verdana" w:hAnsi="Verdana" w:cs="Times New Roman"/>
          <w:sz w:val="20"/>
          <w:szCs w:val="20"/>
          <w:lang w:val="es-ES_tradnl"/>
        </w:rPr>
        <w:t>emprendieron</w:t>
      </w:r>
      <w:r w:rsidRPr="00D57A30">
        <w:rPr>
          <w:rFonts w:ascii="Verdana" w:hAnsi="Verdana"/>
          <w:sz w:val="20"/>
          <w:szCs w:val="20"/>
          <w:lang w:val="es-ES_tradnl"/>
        </w:rPr>
        <w:t xml:space="preserve"> la marcha hacia la mina “Misteriosa”, y en camino hacia ella</w:t>
      </w:r>
    </w:p>
    <w:p w:rsidR="00250316" w:rsidRPr="00D57A30" w:rsidRDefault="00250316" w:rsidP="00250316">
      <w:pPr>
        <w:pStyle w:val="Estilo3"/>
        <w:spacing w:line="240" w:lineRule="auto"/>
        <w:rPr>
          <w:sz w:val="20"/>
          <w:szCs w:val="20"/>
          <w:lang w:val="es-ES_tradnl"/>
        </w:rPr>
      </w:pPr>
      <w:r w:rsidRPr="00D57A30">
        <w:rPr>
          <w:sz w:val="20"/>
          <w:szCs w:val="20"/>
          <w:lang w:val="es-ES_tradnl"/>
        </w:rPr>
        <w:t xml:space="preserve">“la patrulla encontró a </w:t>
      </w:r>
      <w:proofErr w:type="spellStart"/>
      <w:r w:rsidRPr="00D57A30">
        <w:rPr>
          <w:sz w:val="20"/>
          <w:szCs w:val="20"/>
          <w:lang w:val="es-ES_tradnl"/>
        </w:rPr>
        <w:t>Elihoref</w:t>
      </w:r>
      <w:proofErr w:type="spellEnd"/>
      <w:r w:rsidRPr="00D57A30">
        <w:rPr>
          <w:sz w:val="20"/>
          <w:szCs w:val="20"/>
          <w:lang w:val="es-ES_tradnl"/>
        </w:rPr>
        <w:t xml:space="preserve"> </w:t>
      </w:r>
      <w:proofErr w:type="spellStart"/>
      <w:r w:rsidRPr="00D57A30">
        <w:rPr>
          <w:sz w:val="20"/>
          <w:szCs w:val="20"/>
          <w:lang w:val="es-ES_tradnl"/>
        </w:rPr>
        <w:t>Huamaní</w:t>
      </w:r>
      <w:proofErr w:type="spellEnd"/>
      <w:r w:rsidRPr="00D57A30">
        <w:rPr>
          <w:sz w:val="20"/>
          <w:szCs w:val="20"/>
          <w:lang w:val="es-ES_tradnl"/>
        </w:rPr>
        <w:t xml:space="preserve"> Vergara a quien sumaron al grupo de detenidos. Un testigo ha manifestado a la Comisión de la Verdad y Reconciliación, que el padre de </w:t>
      </w:r>
      <w:proofErr w:type="spellStart"/>
      <w:r w:rsidRPr="00D57A30">
        <w:rPr>
          <w:sz w:val="20"/>
          <w:szCs w:val="20"/>
          <w:lang w:val="es-ES_tradnl"/>
        </w:rPr>
        <w:t>Elihoref</w:t>
      </w:r>
      <w:proofErr w:type="spellEnd"/>
      <w:r w:rsidRPr="00D57A30">
        <w:rPr>
          <w:rStyle w:val="FootnoteReference"/>
          <w:rFonts w:eastAsia="Calibri"/>
          <w:szCs w:val="20"/>
          <w:lang w:val="es-ES_tradnl"/>
        </w:rPr>
        <w:footnoteReference w:id="391"/>
      </w:r>
      <w:r w:rsidRPr="00D57A30">
        <w:rPr>
          <w:sz w:val="20"/>
          <w:szCs w:val="20"/>
          <w:lang w:val="es-ES_tradnl"/>
        </w:rPr>
        <w:t xml:space="preserve"> no se mostró preocupado por la detención de su hijo, puesto que como licenciado del Ejército suponía que no le harían daño alguno. Sin embargo, </w:t>
      </w:r>
      <w:proofErr w:type="spellStart"/>
      <w:r w:rsidRPr="00D57A30">
        <w:rPr>
          <w:sz w:val="20"/>
          <w:szCs w:val="20"/>
          <w:lang w:val="es-ES_tradnl"/>
        </w:rPr>
        <w:t>Elihoref</w:t>
      </w:r>
      <w:proofErr w:type="spellEnd"/>
      <w:r w:rsidRPr="00D57A30">
        <w:rPr>
          <w:sz w:val="20"/>
          <w:szCs w:val="20"/>
          <w:lang w:val="es-ES_tradnl"/>
        </w:rPr>
        <w:t xml:space="preserve"> </w:t>
      </w:r>
      <w:proofErr w:type="spellStart"/>
      <w:r w:rsidRPr="00D57A30">
        <w:rPr>
          <w:sz w:val="20"/>
          <w:szCs w:val="20"/>
          <w:lang w:val="es-ES_tradnl"/>
        </w:rPr>
        <w:t>Huamaní</w:t>
      </w:r>
      <w:proofErr w:type="spellEnd"/>
      <w:r w:rsidRPr="00D57A30">
        <w:rPr>
          <w:sz w:val="20"/>
          <w:szCs w:val="20"/>
          <w:lang w:val="es-ES_tradnl"/>
        </w:rPr>
        <w:t xml:space="preserve"> desapareció sin dejar rastro presumiéndose razonablemente que fue asesinado con los demás campesinos</w:t>
      </w:r>
      <w:r w:rsidRPr="00D57A30">
        <w:rPr>
          <w:rStyle w:val="FootnoteReference"/>
          <w:rFonts w:eastAsia="Calibri"/>
          <w:szCs w:val="20"/>
          <w:lang w:val="es-ES_tradnl"/>
        </w:rPr>
        <w:footnoteReference w:id="392"/>
      </w:r>
      <w:r w:rsidRPr="00D57A30">
        <w:rPr>
          <w:sz w:val="20"/>
          <w:szCs w:val="20"/>
          <w:lang w:val="es-ES_tradnl"/>
        </w:rPr>
        <w:t>.”</w:t>
      </w:r>
    </w:p>
    <w:p w:rsidR="00250316" w:rsidRPr="00D57A3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D57A30">
        <w:rPr>
          <w:rFonts w:ascii="Verdana" w:hAnsi="Verdana"/>
          <w:sz w:val="20"/>
          <w:szCs w:val="20"/>
          <w:lang w:val="es-ES_tradnl"/>
        </w:rPr>
        <w:t>Asimismo está probado por declaraciones de los propios militares intervinientes que cometieron malos tratos y actos de sustracción de ganado y dinero a los pobladores:</w:t>
      </w:r>
    </w:p>
    <w:p w:rsidR="00250316" w:rsidRPr="00D57A30" w:rsidRDefault="00250316" w:rsidP="00250316">
      <w:pPr>
        <w:pStyle w:val="Estilo3"/>
        <w:spacing w:line="240" w:lineRule="auto"/>
        <w:ind w:firstLine="720"/>
        <w:rPr>
          <w:sz w:val="20"/>
          <w:szCs w:val="20"/>
          <w:lang w:val="es-ES_tradnl"/>
        </w:rPr>
      </w:pPr>
      <w:r w:rsidRPr="00D57A30">
        <w:rPr>
          <w:sz w:val="20"/>
          <w:szCs w:val="20"/>
          <w:lang w:val="es-ES_tradnl"/>
        </w:rPr>
        <w:t xml:space="preserve">“El sargento 3° </w:t>
      </w:r>
      <w:proofErr w:type="spellStart"/>
      <w:r w:rsidRPr="00D57A30">
        <w:rPr>
          <w:sz w:val="20"/>
          <w:szCs w:val="20"/>
          <w:lang w:val="es-ES_tradnl"/>
        </w:rPr>
        <w:t>Duilio</w:t>
      </w:r>
      <w:proofErr w:type="spellEnd"/>
      <w:r w:rsidRPr="00D57A30">
        <w:rPr>
          <w:sz w:val="20"/>
          <w:szCs w:val="20"/>
          <w:lang w:val="es-ES_tradnl"/>
        </w:rPr>
        <w:t xml:space="preserve"> </w:t>
      </w:r>
      <w:proofErr w:type="spellStart"/>
      <w:r w:rsidRPr="00D57A30">
        <w:rPr>
          <w:sz w:val="20"/>
          <w:szCs w:val="20"/>
          <w:lang w:val="es-ES_tradnl"/>
        </w:rPr>
        <w:t>Chipana</w:t>
      </w:r>
      <w:proofErr w:type="spellEnd"/>
      <w:r w:rsidRPr="00D57A30">
        <w:rPr>
          <w:sz w:val="20"/>
          <w:szCs w:val="20"/>
          <w:lang w:val="es-ES_tradnl"/>
        </w:rPr>
        <w:t xml:space="preserve"> </w:t>
      </w:r>
      <w:proofErr w:type="spellStart"/>
      <w:r w:rsidRPr="00D57A30">
        <w:rPr>
          <w:sz w:val="20"/>
          <w:szCs w:val="20"/>
          <w:lang w:val="es-ES_tradnl"/>
        </w:rPr>
        <w:t>Tarqui</w:t>
      </w:r>
      <w:proofErr w:type="spellEnd"/>
      <w:r w:rsidRPr="00D57A30">
        <w:rPr>
          <w:sz w:val="20"/>
          <w:szCs w:val="20"/>
          <w:lang w:val="es-ES_tradnl"/>
        </w:rPr>
        <w:t xml:space="preserve"> admitió que durante el operativo los militares maltrataron a los pobladores de Rodeo Pampa y que para ser conducidos hacia la mina abandonada todos los detenidos fueron previamente atados del cuello. </w:t>
      </w:r>
    </w:p>
    <w:p w:rsidR="00250316" w:rsidRPr="00D57A30" w:rsidRDefault="00250316" w:rsidP="00250316">
      <w:pPr>
        <w:pStyle w:val="Estilo3"/>
        <w:spacing w:line="240" w:lineRule="auto"/>
        <w:rPr>
          <w:sz w:val="20"/>
          <w:szCs w:val="20"/>
          <w:lang w:val="es-ES_tradnl"/>
        </w:rPr>
      </w:pPr>
      <w:r w:rsidRPr="00D57A30">
        <w:rPr>
          <w:sz w:val="20"/>
          <w:szCs w:val="20"/>
          <w:lang w:val="es-ES_tradnl"/>
        </w:rPr>
        <w:tab/>
        <w:t xml:space="preserve">“Los militares procesados también admitieron haberse apoderado de dinero que pertenecía a las víctimas, que se incendiaron algunas estancias, que condujeron decenas de cabezas de ganado y recibieron S/. 20.00 nuevos soles cada uno de parte del Teniente </w:t>
      </w:r>
      <w:proofErr w:type="spellStart"/>
      <w:r w:rsidRPr="00D57A30">
        <w:rPr>
          <w:sz w:val="20"/>
          <w:szCs w:val="20"/>
          <w:lang w:val="es-ES_tradnl"/>
        </w:rPr>
        <w:t>Bendezú</w:t>
      </w:r>
      <w:proofErr w:type="spellEnd"/>
      <w:r w:rsidRPr="00D57A30">
        <w:rPr>
          <w:sz w:val="20"/>
          <w:szCs w:val="20"/>
          <w:lang w:val="es-ES_tradnl"/>
        </w:rPr>
        <w:t xml:space="preserve">, presuntamente como producto de la venta de los animales. Los militares que declararon en el proceso seguido en el Fuero Militar, sostuvieron que el ganado del cual se apropiaron en el caserío de Rodeo Pampa fue llevado finalmente a la Base Militar de </w:t>
      </w:r>
      <w:proofErr w:type="spellStart"/>
      <w:r w:rsidRPr="00D57A30">
        <w:rPr>
          <w:sz w:val="20"/>
          <w:szCs w:val="20"/>
          <w:lang w:val="es-ES_tradnl"/>
        </w:rPr>
        <w:t>Lircay</w:t>
      </w:r>
      <w:proofErr w:type="spellEnd"/>
      <w:r w:rsidRPr="00D57A30">
        <w:rPr>
          <w:sz w:val="20"/>
          <w:szCs w:val="20"/>
          <w:lang w:val="es-ES_tradnl"/>
        </w:rPr>
        <w:t xml:space="preserve">, presumiéndose que fue vendido por el Teniente </w:t>
      </w:r>
      <w:proofErr w:type="spellStart"/>
      <w:r w:rsidRPr="00D57A30">
        <w:rPr>
          <w:sz w:val="20"/>
          <w:szCs w:val="20"/>
          <w:lang w:val="es-ES_tradnl"/>
        </w:rPr>
        <w:t>Bendezú</w:t>
      </w:r>
      <w:proofErr w:type="spellEnd"/>
      <w:r w:rsidRPr="00D57A30">
        <w:rPr>
          <w:sz w:val="20"/>
          <w:szCs w:val="20"/>
          <w:lang w:val="es-ES_tradnl"/>
        </w:rPr>
        <w:t xml:space="preserve"> para poder distribuir entre sus hombres los S/. 20 antes referidos</w:t>
      </w:r>
      <w:r w:rsidRPr="00D57A30">
        <w:rPr>
          <w:rStyle w:val="FootnoteReference"/>
          <w:rFonts w:eastAsia="Calibri"/>
          <w:szCs w:val="20"/>
          <w:lang w:val="es-ES_tradnl"/>
        </w:rPr>
        <w:footnoteReference w:id="393"/>
      </w:r>
      <w:r w:rsidRPr="00D57A30">
        <w:rPr>
          <w:sz w:val="20"/>
          <w:szCs w:val="20"/>
          <w:lang w:val="es-ES_tradnl"/>
        </w:rPr>
        <w:t>.”</w:t>
      </w:r>
    </w:p>
    <w:p w:rsidR="00250316" w:rsidRPr="00D57A30" w:rsidRDefault="00250316" w:rsidP="00250316">
      <w:pPr>
        <w:pStyle w:val="Estilo3"/>
        <w:spacing w:line="240" w:lineRule="auto"/>
        <w:rPr>
          <w:sz w:val="20"/>
          <w:szCs w:val="20"/>
          <w:lang w:val="es-ES_tradnl"/>
        </w:rPr>
      </w:pPr>
      <w:r w:rsidRPr="00D57A30">
        <w:rPr>
          <w:i/>
          <w:sz w:val="20"/>
          <w:szCs w:val="20"/>
          <w:lang w:val="es-ES_tradnl"/>
        </w:rPr>
        <w:t>Ejecuciones extrajudiciales</w:t>
      </w:r>
    </w:p>
    <w:p w:rsidR="00250316" w:rsidRPr="00D57A3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D57A30">
        <w:rPr>
          <w:rFonts w:ascii="Verdana" w:hAnsi="Verdana"/>
          <w:sz w:val="20"/>
          <w:szCs w:val="20"/>
          <w:lang w:val="es-ES_tradnl"/>
        </w:rPr>
        <w:t xml:space="preserve">Todas las versiones coinciden en que el 4 de julio de 1991 murieron las 15 personas </w:t>
      </w:r>
      <w:r w:rsidRPr="00B01B6B">
        <w:rPr>
          <w:rFonts w:ascii="Verdana" w:hAnsi="Verdana" w:cs="Times New Roman"/>
          <w:sz w:val="20"/>
          <w:szCs w:val="20"/>
          <w:lang w:val="es-ES_tradnl"/>
        </w:rPr>
        <w:t>detenidas</w:t>
      </w:r>
      <w:r w:rsidRPr="00D57A30">
        <w:rPr>
          <w:rFonts w:ascii="Verdana" w:hAnsi="Verdana"/>
          <w:sz w:val="20"/>
          <w:szCs w:val="20"/>
          <w:lang w:val="es-ES_tradnl"/>
        </w:rPr>
        <w:t xml:space="preserve"> y trasladadas en las inhumanas condiciones indicadas. Dichas </w:t>
      </w:r>
      <w:r w:rsidRPr="00D57A30">
        <w:rPr>
          <w:rFonts w:ascii="Verdana" w:hAnsi="Verdana"/>
          <w:sz w:val="20"/>
          <w:szCs w:val="20"/>
          <w:lang w:val="es-ES_tradnl"/>
        </w:rPr>
        <w:lastRenderedPageBreak/>
        <w:t>versiones (con una sola excepción que se indica en el párrafo siguiente) coinciden en señalar que todas esas personas fueron asesinadas mediante disparo de ráfagas de FAL, y que posteriormente se hicieron explotar cargas de dinamita que esparcieron los restos de los asesinados:</w:t>
      </w:r>
    </w:p>
    <w:p w:rsidR="00250316" w:rsidRPr="00250316" w:rsidRDefault="00250316" w:rsidP="00250316">
      <w:pPr>
        <w:pStyle w:val="Estilo3"/>
        <w:spacing w:after="160" w:line="240" w:lineRule="auto"/>
        <w:ind w:left="720" w:right="0" w:firstLine="720"/>
        <w:rPr>
          <w:rFonts w:eastAsiaTheme="minorHAnsi" w:cs="Times New Roman"/>
          <w:spacing w:val="0"/>
          <w:sz w:val="20"/>
          <w:szCs w:val="20"/>
          <w:lang w:val="es-ES_tradnl"/>
        </w:rPr>
      </w:pPr>
      <w:r w:rsidRPr="00250316">
        <w:rPr>
          <w:rFonts w:eastAsiaTheme="minorHAnsi" w:cs="Times New Roman"/>
          <w:spacing w:val="0"/>
          <w:sz w:val="20"/>
          <w:szCs w:val="20"/>
          <w:lang w:val="es-ES_tradnl"/>
        </w:rPr>
        <w:t xml:space="preserve">“Cuando llegaron a su destino, las 15 personas fueron introducidas al interior del socavón; posteriormente los soldados les dispararon ráfagas de FAL y procedieron a instalar cargas explosivas (dinamita) provocando una deflagración que terminó por esparcir los restos de los cuerpos acribillados. Según la versión dada por un poblador de Santa Bárbara, cuyo hijo habría estado muy cerca al lugar donde acontecieron los hechos, se produjeron dos explosiones sucesivas. </w:t>
      </w:r>
    </w:p>
    <w:p w:rsidR="00250316" w:rsidRPr="00250316" w:rsidRDefault="00250316" w:rsidP="00250316">
      <w:pPr>
        <w:pStyle w:val="Estilo3"/>
        <w:spacing w:after="160" w:line="240" w:lineRule="auto"/>
        <w:ind w:left="720" w:right="0" w:firstLine="720"/>
        <w:rPr>
          <w:rFonts w:eastAsiaTheme="minorHAnsi" w:cs="Times New Roman"/>
          <w:spacing w:val="0"/>
          <w:sz w:val="20"/>
          <w:szCs w:val="20"/>
          <w:lang w:val="es-ES_tradnl"/>
        </w:rPr>
      </w:pPr>
      <w:r w:rsidRPr="00250316">
        <w:rPr>
          <w:rFonts w:eastAsiaTheme="minorHAnsi" w:cs="Times New Roman"/>
          <w:spacing w:val="0"/>
          <w:sz w:val="20"/>
          <w:szCs w:val="20"/>
          <w:lang w:val="es-ES_tradnl"/>
        </w:rPr>
        <w:t xml:space="preserve">“Estos hechos han sido confirmados por las declaraciones brindadas en el proceso seguido en el Fuero Militar. El sargento 2° Carlos Prado </w:t>
      </w:r>
      <w:proofErr w:type="spellStart"/>
      <w:r w:rsidRPr="00250316">
        <w:rPr>
          <w:rFonts w:eastAsiaTheme="minorHAnsi" w:cs="Times New Roman"/>
          <w:spacing w:val="0"/>
          <w:sz w:val="20"/>
          <w:szCs w:val="20"/>
          <w:lang w:val="es-ES_tradnl"/>
        </w:rPr>
        <w:t>Chinchay</w:t>
      </w:r>
      <w:proofErr w:type="spellEnd"/>
      <w:r w:rsidRPr="00250316">
        <w:rPr>
          <w:rFonts w:eastAsiaTheme="minorHAnsi" w:cs="Times New Roman"/>
          <w:spacing w:val="0"/>
          <w:sz w:val="20"/>
          <w:szCs w:val="20"/>
          <w:lang w:val="es-ES_tradnl"/>
        </w:rPr>
        <w:t xml:space="preserve"> declaró que los detenidos fueron eliminados por el cabo Simón Breña </w:t>
      </w:r>
      <w:proofErr w:type="spellStart"/>
      <w:r w:rsidRPr="00250316">
        <w:rPr>
          <w:rFonts w:eastAsiaTheme="minorHAnsi" w:cs="Times New Roman"/>
          <w:spacing w:val="0"/>
          <w:sz w:val="20"/>
          <w:szCs w:val="20"/>
          <w:lang w:val="es-ES_tradnl"/>
        </w:rPr>
        <w:t>Palante</w:t>
      </w:r>
      <w:proofErr w:type="spellEnd"/>
      <w:r w:rsidRPr="00250316">
        <w:rPr>
          <w:rFonts w:eastAsiaTheme="minorHAnsi" w:cs="Times New Roman"/>
          <w:spacing w:val="0"/>
          <w:sz w:val="20"/>
          <w:szCs w:val="20"/>
          <w:lang w:val="es-ES_tradnl"/>
        </w:rPr>
        <w:t xml:space="preserve">, presuntamente por orden del Teniente </w:t>
      </w:r>
      <w:proofErr w:type="spellStart"/>
      <w:r w:rsidRPr="00250316">
        <w:rPr>
          <w:rFonts w:eastAsiaTheme="minorHAnsi" w:cs="Times New Roman"/>
          <w:spacing w:val="0"/>
          <w:sz w:val="20"/>
          <w:szCs w:val="20"/>
          <w:lang w:val="es-ES_tradnl"/>
        </w:rPr>
        <w:t>Bendezú</w:t>
      </w:r>
      <w:proofErr w:type="spellEnd"/>
      <w:r w:rsidRPr="00250316">
        <w:rPr>
          <w:rFonts w:eastAsiaTheme="minorHAnsi" w:cs="Times New Roman"/>
          <w:spacing w:val="0"/>
          <w:sz w:val="20"/>
          <w:szCs w:val="20"/>
          <w:lang w:val="es-ES_tradnl"/>
        </w:rPr>
        <w:t xml:space="preserve">, Jefe de la patrulla, toda vez que el declarante no alcanzó a escuchar directamente la orden de matarlos. Por su parte, el Auditor General del Ejército sostiene en su dictamen N° 2820-91 que el encargado de matar a las víctimas habría sido el sargento Carlos Prado </w:t>
      </w:r>
      <w:proofErr w:type="spellStart"/>
      <w:r w:rsidRPr="00250316">
        <w:rPr>
          <w:rFonts w:eastAsiaTheme="minorHAnsi" w:cs="Times New Roman"/>
          <w:spacing w:val="0"/>
          <w:sz w:val="20"/>
          <w:szCs w:val="20"/>
          <w:lang w:val="es-ES_tradnl"/>
        </w:rPr>
        <w:t>Chinchay</w:t>
      </w:r>
      <w:proofErr w:type="spellEnd"/>
      <w:r w:rsidRPr="00250316">
        <w:rPr>
          <w:rFonts w:eastAsiaTheme="minorHAnsi" w:cs="Times New Roman"/>
          <w:spacing w:val="0"/>
          <w:sz w:val="20"/>
          <w:szCs w:val="20"/>
          <w:lang w:val="es-ES_tradnl"/>
        </w:rPr>
        <w:t xml:space="preserve">. </w:t>
      </w:r>
    </w:p>
    <w:p w:rsidR="00250316" w:rsidRPr="00250316" w:rsidRDefault="00250316" w:rsidP="00250316">
      <w:pPr>
        <w:pStyle w:val="Estilo3"/>
        <w:spacing w:after="160" w:line="240" w:lineRule="auto"/>
        <w:ind w:left="720" w:right="0" w:firstLine="720"/>
        <w:rPr>
          <w:rFonts w:eastAsiaTheme="minorHAnsi" w:cs="Times New Roman"/>
          <w:spacing w:val="0"/>
          <w:sz w:val="20"/>
          <w:szCs w:val="20"/>
          <w:lang w:val="es-ES_tradnl"/>
        </w:rPr>
      </w:pPr>
      <w:r w:rsidRPr="00250316">
        <w:rPr>
          <w:rFonts w:eastAsiaTheme="minorHAnsi" w:cs="Times New Roman"/>
          <w:spacing w:val="0"/>
          <w:sz w:val="20"/>
          <w:szCs w:val="20"/>
          <w:lang w:val="es-ES_tradnl"/>
        </w:rPr>
        <w:t xml:space="preserve">“Debe mencionase que todos los militares declarantes coinciden en señalar que efectivamente los comuneros de Santa Bárbara fueron eliminados con ráfagas de FAL dentro de una mina abandonada y luego dinamitados utilizando cargas explosivas encontradas en su interior. </w:t>
      </w:r>
    </w:p>
    <w:p w:rsidR="00250316" w:rsidRPr="00250316" w:rsidRDefault="00250316" w:rsidP="00250316">
      <w:pPr>
        <w:pStyle w:val="Estilo3"/>
        <w:spacing w:after="160" w:line="240" w:lineRule="auto"/>
        <w:ind w:left="720" w:right="0" w:firstLine="720"/>
        <w:rPr>
          <w:rFonts w:eastAsiaTheme="minorHAnsi" w:cs="Times New Roman"/>
          <w:spacing w:val="0"/>
          <w:sz w:val="20"/>
          <w:szCs w:val="20"/>
          <w:lang w:val="es-ES_tradnl"/>
        </w:rPr>
      </w:pPr>
      <w:r w:rsidRPr="00250316">
        <w:rPr>
          <w:rFonts w:eastAsiaTheme="minorHAnsi" w:cs="Times New Roman"/>
          <w:spacing w:val="0"/>
          <w:sz w:val="20"/>
          <w:szCs w:val="20"/>
          <w:lang w:val="es-ES_tradnl"/>
        </w:rPr>
        <w:t xml:space="preserve">“Los sargentos Oscar Carrera Gonzáles y </w:t>
      </w:r>
      <w:proofErr w:type="spellStart"/>
      <w:r w:rsidRPr="00250316">
        <w:rPr>
          <w:rFonts w:eastAsiaTheme="minorHAnsi" w:cs="Times New Roman"/>
          <w:spacing w:val="0"/>
          <w:sz w:val="20"/>
          <w:szCs w:val="20"/>
          <w:lang w:val="es-ES_tradnl"/>
        </w:rPr>
        <w:t>Duilio</w:t>
      </w:r>
      <w:proofErr w:type="spellEnd"/>
      <w:r w:rsidRPr="00250316">
        <w:rPr>
          <w:rFonts w:eastAsiaTheme="minorHAnsi" w:cs="Times New Roman"/>
          <w:spacing w:val="0"/>
          <w:sz w:val="20"/>
          <w:szCs w:val="20"/>
          <w:lang w:val="es-ES_tradnl"/>
        </w:rPr>
        <w:t xml:space="preserve"> </w:t>
      </w:r>
      <w:proofErr w:type="spellStart"/>
      <w:r w:rsidRPr="00250316">
        <w:rPr>
          <w:rFonts w:eastAsiaTheme="minorHAnsi" w:cs="Times New Roman"/>
          <w:spacing w:val="0"/>
          <w:sz w:val="20"/>
          <w:szCs w:val="20"/>
          <w:lang w:val="es-ES_tradnl"/>
        </w:rPr>
        <w:t>Chipana</w:t>
      </w:r>
      <w:proofErr w:type="spellEnd"/>
      <w:r w:rsidRPr="00250316">
        <w:rPr>
          <w:rFonts w:eastAsiaTheme="minorHAnsi" w:cs="Times New Roman"/>
          <w:spacing w:val="0"/>
          <w:sz w:val="20"/>
          <w:szCs w:val="20"/>
          <w:lang w:val="es-ES_tradnl"/>
        </w:rPr>
        <w:t xml:space="preserve"> </w:t>
      </w:r>
      <w:proofErr w:type="spellStart"/>
      <w:r w:rsidRPr="00250316">
        <w:rPr>
          <w:rFonts w:eastAsiaTheme="minorHAnsi" w:cs="Times New Roman"/>
          <w:spacing w:val="0"/>
          <w:sz w:val="20"/>
          <w:szCs w:val="20"/>
          <w:lang w:val="es-ES_tradnl"/>
        </w:rPr>
        <w:t>Tarqui</w:t>
      </w:r>
      <w:proofErr w:type="spellEnd"/>
      <w:r w:rsidRPr="00250316">
        <w:rPr>
          <w:rFonts w:eastAsiaTheme="minorHAnsi" w:cs="Times New Roman"/>
          <w:spacing w:val="0"/>
          <w:sz w:val="20"/>
          <w:szCs w:val="20"/>
          <w:lang w:val="es-ES_tradnl"/>
        </w:rPr>
        <w:t xml:space="preserve"> sostienen que fue el Teniente </w:t>
      </w:r>
      <w:proofErr w:type="spellStart"/>
      <w:r w:rsidRPr="00250316">
        <w:rPr>
          <w:rFonts w:eastAsiaTheme="minorHAnsi" w:cs="Times New Roman"/>
          <w:spacing w:val="0"/>
          <w:sz w:val="20"/>
          <w:szCs w:val="20"/>
          <w:lang w:val="es-ES_tradnl"/>
        </w:rPr>
        <w:t>Bendezú</w:t>
      </w:r>
      <w:proofErr w:type="spellEnd"/>
      <w:r w:rsidRPr="00250316">
        <w:rPr>
          <w:rFonts w:eastAsiaTheme="minorHAnsi" w:cs="Times New Roman"/>
          <w:spacing w:val="0"/>
          <w:sz w:val="20"/>
          <w:szCs w:val="20"/>
          <w:lang w:val="es-ES_tradnl"/>
        </w:rPr>
        <w:t xml:space="preserve"> Vargas quien ordenó matar a los detenidos y luego dinamitar la entrada de la mina abandonada. Por su parte, los sargentos Dennis Pacheco Zambrano y Carlos Prado </w:t>
      </w:r>
      <w:proofErr w:type="spellStart"/>
      <w:r w:rsidRPr="00250316">
        <w:rPr>
          <w:rFonts w:eastAsiaTheme="minorHAnsi" w:cs="Times New Roman"/>
          <w:spacing w:val="0"/>
          <w:sz w:val="20"/>
          <w:szCs w:val="20"/>
          <w:lang w:val="es-ES_tradnl"/>
        </w:rPr>
        <w:t>Chinchay</w:t>
      </w:r>
      <w:proofErr w:type="spellEnd"/>
      <w:r w:rsidRPr="00250316">
        <w:rPr>
          <w:rFonts w:eastAsiaTheme="minorHAnsi" w:cs="Times New Roman"/>
          <w:spacing w:val="0"/>
          <w:sz w:val="20"/>
          <w:szCs w:val="20"/>
          <w:lang w:val="es-ES_tradnl"/>
        </w:rPr>
        <w:t xml:space="preserve">, así como el Sub Oficial Fidel Eusebio </w:t>
      </w:r>
      <w:proofErr w:type="spellStart"/>
      <w:r w:rsidRPr="00250316">
        <w:rPr>
          <w:rFonts w:eastAsiaTheme="minorHAnsi" w:cs="Times New Roman"/>
          <w:spacing w:val="0"/>
          <w:sz w:val="20"/>
          <w:szCs w:val="20"/>
          <w:lang w:val="es-ES_tradnl"/>
        </w:rPr>
        <w:t>Huaytalla</w:t>
      </w:r>
      <w:proofErr w:type="spellEnd"/>
      <w:r w:rsidRPr="00250316">
        <w:rPr>
          <w:rFonts w:eastAsiaTheme="minorHAnsi" w:cs="Times New Roman"/>
          <w:spacing w:val="0"/>
          <w:sz w:val="20"/>
          <w:szCs w:val="20"/>
          <w:lang w:val="es-ES_tradnl"/>
        </w:rPr>
        <w:t xml:space="preserve">, sostuvieron que se enteraron de la muerte de los detenidos por comentarios posteriores de otros miembros de la patrulla quienes mencionaban que la eliminación fue ordenada directamente por el Teniente </w:t>
      </w:r>
      <w:proofErr w:type="spellStart"/>
      <w:r w:rsidRPr="00250316">
        <w:rPr>
          <w:rFonts w:eastAsiaTheme="minorHAnsi" w:cs="Times New Roman"/>
          <w:spacing w:val="0"/>
          <w:sz w:val="20"/>
          <w:szCs w:val="20"/>
          <w:lang w:val="es-ES_tradnl"/>
        </w:rPr>
        <w:t>Bendezú</w:t>
      </w:r>
      <w:proofErr w:type="spellEnd"/>
      <w:r w:rsidRPr="00250316">
        <w:rPr>
          <w:rFonts w:eastAsiaTheme="minorHAnsi" w:cs="Times New Roman"/>
          <w:spacing w:val="0"/>
          <w:sz w:val="20"/>
          <w:szCs w:val="20"/>
          <w:lang w:val="es-ES_tradnl"/>
        </w:rPr>
        <w:t xml:space="preserve"> Vargas</w:t>
      </w:r>
      <w:r w:rsidRPr="00250316">
        <w:rPr>
          <w:rStyle w:val="FootnoteReference"/>
          <w:rFonts w:eastAsia="Calibri"/>
          <w:szCs w:val="20"/>
          <w:lang w:val="es-ES_tradnl"/>
        </w:rPr>
        <w:footnoteReference w:id="394"/>
      </w:r>
      <w:r w:rsidRPr="00250316">
        <w:rPr>
          <w:rFonts w:eastAsiaTheme="minorHAnsi" w:cs="Times New Roman"/>
          <w:spacing w:val="0"/>
          <w:sz w:val="20"/>
          <w:szCs w:val="20"/>
          <w:lang w:val="es-ES_tradnl"/>
        </w:rPr>
        <w:t>.”</w:t>
      </w:r>
    </w:p>
    <w:p w:rsidR="00250316" w:rsidRPr="00D57A3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D57A30">
        <w:rPr>
          <w:rFonts w:ascii="Verdana" w:hAnsi="Verdana"/>
          <w:sz w:val="20"/>
          <w:szCs w:val="20"/>
          <w:lang w:val="es-ES_tradnl"/>
        </w:rPr>
        <w:t xml:space="preserve">Frente a ese unánime señalamiento de que la orden de matar a los detenidos y hacer explotar la dinamita fue impartida por el Teniente </w:t>
      </w:r>
      <w:proofErr w:type="spellStart"/>
      <w:r w:rsidRPr="00D57A30">
        <w:rPr>
          <w:rFonts w:ascii="Verdana" w:hAnsi="Verdana"/>
          <w:sz w:val="20"/>
          <w:szCs w:val="20"/>
          <w:lang w:val="es-ES_tradnl"/>
        </w:rPr>
        <w:t>Bendezú</w:t>
      </w:r>
      <w:proofErr w:type="spellEnd"/>
      <w:r w:rsidRPr="00D57A30">
        <w:rPr>
          <w:rFonts w:ascii="Verdana" w:hAnsi="Verdana"/>
          <w:sz w:val="20"/>
          <w:szCs w:val="20"/>
          <w:lang w:val="es-ES_tradnl"/>
        </w:rPr>
        <w:t xml:space="preserve"> Vargas, éste quiso </w:t>
      </w:r>
      <w:r w:rsidRPr="00B01B6B">
        <w:rPr>
          <w:rFonts w:ascii="Verdana" w:hAnsi="Verdana" w:cs="Times New Roman"/>
          <w:sz w:val="20"/>
          <w:szCs w:val="20"/>
          <w:lang w:val="es-ES_tradnl"/>
        </w:rPr>
        <w:t>desligarse</w:t>
      </w:r>
      <w:r w:rsidRPr="00D57A30">
        <w:rPr>
          <w:rFonts w:ascii="Verdana" w:hAnsi="Verdana"/>
          <w:sz w:val="20"/>
          <w:szCs w:val="20"/>
          <w:lang w:val="es-ES_tradnl"/>
        </w:rPr>
        <w:t xml:space="preserve"> de responsabilidad mediante una explicación totalmente descabellada (que no se menciona en la sentencia):</w:t>
      </w:r>
    </w:p>
    <w:p w:rsidR="00250316" w:rsidRPr="00D57A30" w:rsidRDefault="00250316" w:rsidP="00250316">
      <w:pPr>
        <w:pStyle w:val="Estilo3"/>
        <w:spacing w:line="240" w:lineRule="auto"/>
        <w:ind w:left="709"/>
        <w:rPr>
          <w:sz w:val="20"/>
          <w:szCs w:val="20"/>
          <w:lang w:val="es-ES_tradnl"/>
        </w:rPr>
      </w:pPr>
      <w:r w:rsidRPr="00D57A30">
        <w:rPr>
          <w:sz w:val="20"/>
          <w:szCs w:val="20"/>
          <w:lang w:val="es-ES_tradnl"/>
        </w:rPr>
        <w:t xml:space="preserve">“el </w:t>
      </w:r>
      <w:proofErr w:type="spellStart"/>
      <w:r w:rsidRPr="00D57A30">
        <w:rPr>
          <w:sz w:val="20"/>
          <w:szCs w:val="20"/>
          <w:lang w:val="es-ES_tradnl"/>
        </w:rPr>
        <w:t>Tnte</w:t>
      </w:r>
      <w:proofErr w:type="spellEnd"/>
      <w:r w:rsidRPr="00D57A30">
        <w:rPr>
          <w:sz w:val="20"/>
          <w:szCs w:val="20"/>
          <w:lang w:val="es-ES_tradnl"/>
        </w:rPr>
        <w:t xml:space="preserve">. Javier </w:t>
      </w:r>
      <w:proofErr w:type="spellStart"/>
      <w:r w:rsidRPr="00D57A30">
        <w:rPr>
          <w:sz w:val="20"/>
          <w:szCs w:val="20"/>
          <w:lang w:val="es-ES_tradnl"/>
        </w:rPr>
        <w:t>Bendezú</w:t>
      </w:r>
      <w:proofErr w:type="spellEnd"/>
      <w:r w:rsidRPr="00D57A30">
        <w:rPr>
          <w:sz w:val="20"/>
          <w:szCs w:val="20"/>
          <w:lang w:val="es-ES_tradnl"/>
        </w:rPr>
        <w:t xml:space="preserve"> Vargas, al rendir su declaración instructiva, dijo que no ordenó matar a los comuneros en el modo y circunstancias narradas por sus coinculpados y los numerosos soldados que prestaron su declaración testimonial, sosteniendo que fueron los propios detenidos quienes se suicidaron masivamente y en un solo acto, arrojándose a un barranco muy profundo mientras caminaban en el trayecto hacia la base militar de </w:t>
      </w:r>
      <w:proofErr w:type="spellStart"/>
      <w:r w:rsidRPr="00D57A30">
        <w:rPr>
          <w:sz w:val="20"/>
          <w:szCs w:val="20"/>
          <w:lang w:val="es-ES_tradnl"/>
        </w:rPr>
        <w:t>Lircay</w:t>
      </w:r>
      <w:proofErr w:type="spellEnd"/>
      <w:r w:rsidRPr="00D57A30">
        <w:rPr>
          <w:sz w:val="20"/>
          <w:szCs w:val="20"/>
          <w:lang w:val="es-ES_tradnl"/>
        </w:rPr>
        <w:t>. El Juez militar a cargo de la instrucción y a su turno la Sala de Guerra, desestimaron esta versión por ser poco creíble e insostenible</w:t>
      </w:r>
      <w:r w:rsidRPr="00D57A30">
        <w:rPr>
          <w:rStyle w:val="FootnoteReference"/>
          <w:rFonts w:eastAsia="Calibri"/>
          <w:szCs w:val="20"/>
          <w:lang w:val="es-ES_tradnl"/>
        </w:rPr>
        <w:footnoteReference w:id="395"/>
      </w:r>
      <w:r w:rsidRPr="00D57A30">
        <w:rPr>
          <w:sz w:val="20"/>
          <w:szCs w:val="20"/>
          <w:lang w:val="es-ES_tradnl"/>
        </w:rPr>
        <w:t>.</w:t>
      </w:r>
    </w:p>
    <w:p w:rsidR="00250316" w:rsidRDefault="00250316" w:rsidP="00250316">
      <w:pPr>
        <w:pStyle w:val="Estilo3"/>
        <w:spacing w:line="240" w:lineRule="auto"/>
        <w:rPr>
          <w:sz w:val="20"/>
          <w:szCs w:val="20"/>
          <w:lang w:val="es-ES_tradnl"/>
        </w:rPr>
      </w:pPr>
      <w:r w:rsidRPr="00D57A30">
        <w:rPr>
          <w:sz w:val="20"/>
          <w:szCs w:val="20"/>
          <w:lang w:val="es-ES_tradnl"/>
        </w:rPr>
        <w:t xml:space="preserve">De todos modos, </w:t>
      </w:r>
      <w:r w:rsidRPr="00507740">
        <w:rPr>
          <w:sz w:val="20"/>
          <w:szCs w:val="20"/>
          <w:lang w:val="es-ES_tradnl"/>
        </w:rPr>
        <w:t xml:space="preserve">aún esta descabellada versión confirma la muerte de los 15 detenidos </w:t>
      </w:r>
      <w:r w:rsidRPr="00B01B6B">
        <w:rPr>
          <w:sz w:val="20"/>
          <w:szCs w:val="20"/>
          <w:lang w:val="es-ES_tradnl"/>
        </w:rPr>
        <w:t>el mismo día 4 de julio de 1991.</w:t>
      </w:r>
    </w:p>
    <w:p w:rsidR="00250316" w:rsidRPr="00B01B6B" w:rsidRDefault="00250316" w:rsidP="00250316">
      <w:pPr>
        <w:spacing w:line="240" w:lineRule="auto"/>
        <w:ind w:left="720"/>
        <w:jc w:val="both"/>
        <w:rPr>
          <w:rFonts w:ascii="Verdana" w:eastAsia="Calibri" w:hAnsi="Verdana"/>
          <w:sz w:val="20"/>
          <w:szCs w:val="20"/>
          <w:lang w:val="es-ES_tradnl"/>
        </w:rPr>
      </w:pPr>
      <w:r w:rsidRPr="00B01B6B">
        <w:rPr>
          <w:rFonts w:ascii="Verdana" w:eastAsia="Calibri" w:hAnsi="Verdana"/>
          <w:i/>
          <w:sz w:val="20"/>
          <w:szCs w:val="20"/>
          <w:lang w:val="es-ES_tradnl"/>
        </w:rPr>
        <w:lastRenderedPageBreak/>
        <w:t>Hallazgo de algunos de los cuerpos</w:t>
      </w:r>
    </w:p>
    <w:p w:rsidR="00250316" w:rsidRPr="00250316" w:rsidRDefault="00250316" w:rsidP="00250316">
      <w:pPr>
        <w:pStyle w:val="Estilo1"/>
        <w:numPr>
          <w:ilvl w:val="0"/>
          <w:numId w:val="23"/>
        </w:numPr>
        <w:tabs>
          <w:tab w:val="clear" w:pos="567"/>
          <w:tab w:val="clear" w:pos="1134"/>
        </w:tabs>
        <w:spacing w:after="160"/>
        <w:ind w:left="0" w:firstLine="0"/>
        <w:jc w:val="both"/>
        <w:rPr>
          <w:rFonts w:eastAsia="Calibri" w:cs="Times New Roman"/>
          <w:b w:val="0"/>
          <w:szCs w:val="20"/>
          <w:lang w:val="es-ES_tradnl"/>
        </w:rPr>
      </w:pPr>
      <w:r w:rsidRPr="00250316">
        <w:rPr>
          <w:rFonts w:eastAsia="Calibri" w:cs="Times New Roman"/>
          <w:b w:val="0"/>
          <w:szCs w:val="20"/>
          <w:lang w:val="es-ES_tradnl"/>
        </w:rPr>
        <w:t>A pesar de la explosión (o las explosiones) de dinamita y sus devastadores efectos, familiares de las víctimas, y en alguna medida autoridades judiciales o del Ministerio  Público, lograron identificar algunos de los restos:</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t xml:space="preserve">“Estando de viaje de negocios en Huancavelica, Zósimo Hilario Quispe se enteró el 6 de julio que sus familiares habían desaparecido y que su vivienda había sido quemada. Al día siguiente, Hilario se trasladó de Huancavelica hacia la estancia de Rodeo Pampa en compañía de algunos comisionados de la Comunidad Campesina de Santa Bárbara y al llegar se encontraron con un cuadro desolador: casas quemadas, alimentos, ropa y otros enseres regados en el piso, incluso hallaron mucha sangre por los alrededores de los caserones. </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t xml:space="preserve">“Posteriormente, Hilario Quispe se dirigió hacia la mina “Misteriosa” donde arribó el 18 de julio con autoridades del Ministerio Público y algunos periodistas. Narró que al llegar al lugar encontraron trenzas, partes de cuero cabelludo, llaves, un trozo de lengua y un talón. Otro de los </w:t>
      </w:r>
      <w:proofErr w:type="spellStart"/>
      <w:r w:rsidRPr="00B01B6B">
        <w:rPr>
          <w:rFonts w:ascii="Verdana" w:eastAsia="Calibri" w:hAnsi="Verdana"/>
          <w:sz w:val="20"/>
          <w:szCs w:val="20"/>
          <w:lang w:val="es-ES_tradnl"/>
        </w:rPr>
        <w:t>testimoniantes</w:t>
      </w:r>
      <w:proofErr w:type="spellEnd"/>
      <w:r w:rsidRPr="00B01B6B">
        <w:rPr>
          <w:rFonts w:ascii="Verdana" w:eastAsia="Calibri" w:hAnsi="Verdana"/>
          <w:sz w:val="20"/>
          <w:szCs w:val="20"/>
          <w:lang w:val="es-ES_tradnl"/>
        </w:rPr>
        <w:t xml:space="preserve">, Zenón Cirilo </w:t>
      </w:r>
      <w:proofErr w:type="spellStart"/>
      <w:r w:rsidRPr="00B01B6B">
        <w:rPr>
          <w:rFonts w:ascii="Verdana" w:eastAsia="Calibri" w:hAnsi="Verdana"/>
          <w:sz w:val="20"/>
          <w:szCs w:val="20"/>
          <w:lang w:val="es-ES_tradnl"/>
        </w:rPr>
        <w:t>Osnayo</w:t>
      </w:r>
      <w:proofErr w:type="spellEnd"/>
      <w:r w:rsidRPr="00B01B6B">
        <w:rPr>
          <w:rFonts w:ascii="Verdana" w:eastAsia="Calibri" w:hAnsi="Verdana"/>
          <w:sz w:val="20"/>
          <w:szCs w:val="20"/>
          <w:lang w:val="es-ES_tradnl"/>
        </w:rPr>
        <w:t xml:space="preserve"> </w:t>
      </w:r>
      <w:proofErr w:type="spellStart"/>
      <w:r w:rsidRPr="00B01B6B">
        <w:rPr>
          <w:rFonts w:ascii="Verdana" w:eastAsia="Calibri" w:hAnsi="Verdana"/>
          <w:sz w:val="20"/>
          <w:szCs w:val="20"/>
          <w:lang w:val="es-ES_tradnl"/>
        </w:rPr>
        <w:t>Tunque</w:t>
      </w:r>
      <w:proofErr w:type="spellEnd"/>
      <w:r w:rsidRPr="00B01B6B">
        <w:rPr>
          <w:rFonts w:ascii="Verdana" w:eastAsia="Calibri" w:hAnsi="Verdana"/>
          <w:sz w:val="20"/>
          <w:szCs w:val="20"/>
          <w:lang w:val="es-ES_tradnl"/>
        </w:rPr>
        <w:t xml:space="preserve">, dijo haberse desesperado al encontrar un cuadro macabro en el lugar de la masacre: “Encontré a mi esposa muerta, amarrada con mi propia soga, de una de mis hijas vi la mitad de su cabecita, la reconocí por su trencita, y por el </w:t>
      </w:r>
      <w:proofErr w:type="spellStart"/>
      <w:r w:rsidRPr="00B01B6B">
        <w:rPr>
          <w:rFonts w:ascii="Verdana" w:eastAsia="Calibri" w:hAnsi="Verdana"/>
          <w:sz w:val="20"/>
          <w:szCs w:val="20"/>
          <w:lang w:val="es-ES_tradnl"/>
        </w:rPr>
        <w:t>pili</w:t>
      </w:r>
      <w:proofErr w:type="spellEnd"/>
      <w:r w:rsidRPr="00B01B6B">
        <w:rPr>
          <w:rFonts w:ascii="Verdana" w:eastAsia="Calibri" w:hAnsi="Verdana"/>
          <w:sz w:val="20"/>
          <w:szCs w:val="20"/>
          <w:lang w:val="es-ES_tradnl"/>
        </w:rPr>
        <w:t xml:space="preserve"> mili que llevaba”. </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t xml:space="preserve">“Dicho testigo refirió que el 4 de julio los campesinos vecinos al lugar donde estaba la mina “Misteriosa” vieron a un grupo de soldados tratando de borrar las pruebas y que 23 comuneros fueron detenidos por los militares tratando de impedir que ingresaran al interior de la mina. Señaló que gracias a la intervención del Sub Prefecto de </w:t>
      </w:r>
      <w:proofErr w:type="spellStart"/>
      <w:r w:rsidRPr="00B01B6B">
        <w:rPr>
          <w:rFonts w:ascii="Verdana" w:eastAsia="Calibri" w:hAnsi="Verdana"/>
          <w:sz w:val="20"/>
          <w:szCs w:val="20"/>
          <w:lang w:val="es-ES_tradnl"/>
        </w:rPr>
        <w:t>Angaraes</w:t>
      </w:r>
      <w:proofErr w:type="spellEnd"/>
      <w:r w:rsidRPr="00B01B6B">
        <w:rPr>
          <w:rFonts w:ascii="Verdana" w:eastAsia="Calibri" w:hAnsi="Verdana"/>
          <w:sz w:val="20"/>
          <w:szCs w:val="20"/>
          <w:lang w:val="es-ES_tradnl"/>
        </w:rPr>
        <w:t xml:space="preserve"> el Ejército los liberó. </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t>“Poco después, el 11 de julio de 1991, Viviano Hilario Mancha, padre y abuelo de los desaparecidos Ramón Hilario Morán y Héctor Hilario Guillén, respectivamente, encontró en la entrada de la mina “Misteriosa” el cadáver semienterrado de su nieto Héctor Hilario, junto con otros cuerpos que no pudo reconocer, denunciando el hallazgo al día siguiente ante la Fiscalía Provincial de Huancavelica y al Juzgado de Instrucción de esa provincia</w:t>
      </w:r>
      <w:r w:rsidRPr="00B01B6B">
        <w:rPr>
          <w:rFonts w:ascii="Verdana" w:eastAsia="Calibri" w:hAnsi="Verdana"/>
          <w:sz w:val="20"/>
          <w:szCs w:val="20"/>
          <w:vertAlign w:val="superscript"/>
          <w:lang w:val="es-ES_tradnl"/>
        </w:rPr>
        <w:footnoteReference w:id="396"/>
      </w:r>
      <w:r w:rsidRPr="00B01B6B">
        <w:rPr>
          <w:rFonts w:ascii="Verdana" w:eastAsia="Calibri" w:hAnsi="Verdana"/>
          <w:sz w:val="20"/>
          <w:szCs w:val="20"/>
          <w:lang w:val="es-ES_tradnl"/>
        </w:rPr>
        <w:t>.”</w:t>
      </w:r>
    </w:p>
    <w:p w:rsidR="00250316" w:rsidRPr="00B01B6B" w:rsidRDefault="00250316" w:rsidP="00250316">
      <w:pPr>
        <w:spacing w:line="240" w:lineRule="auto"/>
        <w:ind w:left="720" w:firstLine="720"/>
        <w:jc w:val="both"/>
        <w:rPr>
          <w:rFonts w:ascii="Verdana" w:eastAsia="Calibri" w:hAnsi="Verdana"/>
          <w:i/>
          <w:sz w:val="20"/>
          <w:szCs w:val="20"/>
          <w:lang w:val="es-ES_tradnl"/>
        </w:rPr>
      </w:pPr>
      <w:r w:rsidRPr="00B01B6B">
        <w:rPr>
          <w:rFonts w:ascii="Verdana" w:eastAsia="Calibri" w:hAnsi="Verdana"/>
          <w:i/>
          <w:sz w:val="20"/>
          <w:szCs w:val="20"/>
          <w:lang w:val="es-ES_tradnl"/>
        </w:rPr>
        <w:t>Intentos de borrar las huellas de la masacre</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t xml:space="preserve">“La diligencia de levantamiento de cadáveres se frustró en un inicio porque el grupo de comuneros que acudió en auxilio del Juzgado fue detenido e impedido de llegar a la mina, por miembros del Ejército que inicialmente no vestían sus atuendos militares. Los testigos Marcelino </w:t>
      </w:r>
      <w:proofErr w:type="spellStart"/>
      <w:r w:rsidRPr="00B01B6B">
        <w:rPr>
          <w:rFonts w:ascii="Verdana" w:eastAsia="Calibri" w:hAnsi="Verdana"/>
          <w:sz w:val="20"/>
          <w:szCs w:val="20"/>
          <w:lang w:val="es-ES_tradnl"/>
        </w:rPr>
        <w:t>Chahuayo</w:t>
      </w:r>
      <w:proofErr w:type="spellEnd"/>
      <w:r w:rsidRPr="00B01B6B">
        <w:rPr>
          <w:rFonts w:ascii="Verdana" w:eastAsia="Calibri" w:hAnsi="Verdana"/>
          <w:sz w:val="20"/>
          <w:szCs w:val="20"/>
          <w:lang w:val="es-ES_tradnl"/>
        </w:rPr>
        <w:t xml:space="preserve"> Arroyo y Zenón Cirilo </w:t>
      </w:r>
      <w:proofErr w:type="spellStart"/>
      <w:r w:rsidRPr="00B01B6B">
        <w:rPr>
          <w:rFonts w:ascii="Verdana" w:eastAsia="Calibri" w:hAnsi="Verdana"/>
          <w:sz w:val="20"/>
          <w:szCs w:val="20"/>
          <w:lang w:val="es-ES_tradnl"/>
        </w:rPr>
        <w:t>Osnayo</w:t>
      </w:r>
      <w:proofErr w:type="spellEnd"/>
      <w:r w:rsidRPr="00B01B6B">
        <w:rPr>
          <w:rFonts w:ascii="Verdana" w:eastAsia="Calibri" w:hAnsi="Verdana"/>
          <w:sz w:val="20"/>
          <w:szCs w:val="20"/>
          <w:lang w:val="es-ES_tradnl"/>
        </w:rPr>
        <w:t xml:space="preserve"> </w:t>
      </w:r>
      <w:proofErr w:type="spellStart"/>
      <w:r w:rsidRPr="00B01B6B">
        <w:rPr>
          <w:rFonts w:ascii="Verdana" w:eastAsia="Calibri" w:hAnsi="Verdana"/>
          <w:sz w:val="20"/>
          <w:szCs w:val="20"/>
          <w:lang w:val="es-ES_tradnl"/>
        </w:rPr>
        <w:t>Tunque</w:t>
      </w:r>
      <w:proofErr w:type="spellEnd"/>
      <w:r w:rsidRPr="00B01B6B">
        <w:rPr>
          <w:rFonts w:ascii="Verdana" w:eastAsia="Calibri" w:hAnsi="Verdana"/>
          <w:sz w:val="20"/>
          <w:szCs w:val="20"/>
          <w:lang w:val="es-ES_tradnl"/>
        </w:rPr>
        <w:t xml:space="preserve"> han sostenido de manera consensual que los elementos castrenses los retuvieron en una casa abandonada muy cercana a la mina desde las 10 de la mañana hasta las 5:30 de la tarde, pero que aproximadamente a las 3:30 sintieron una explosión, debido - según ellos- a que los soldados estaban dinamitando la entrada del socavón para borrar las huellas de la masacre, habiendo luego arrojado los restos humanos que quedaron a un barranco muy profundo. </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lastRenderedPageBreak/>
        <w:t xml:space="preserve">“Cabe indicar que dicho grupo de personas se dirigía a la mina a pie y por otra vía distinta a la utilizada por las autoridades que iban en camionetas y acompañadas de periodistas. </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t xml:space="preserve">“Según testimonios de los familiares de las víctimas, a los vehículos de la comitiva oficial extrañamente se les agotó el combustible por lo que no pudieron llegar al lugar de los sucesos en la fecha inicialmente prevista. Esta circunstancia habría permitido que elementos del Ejército aprovechasen el inconveniente de las autoridades ganando tiempo para tratar de borrar las huellas de la masacre cometida. </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t xml:space="preserve">“Según la versión del sargento </w:t>
      </w:r>
      <w:proofErr w:type="spellStart"/>
      <w:r w:rsidRPr="00B01B6B">
        <w:rPr>
          <w:rFonts w:ascii="Verdana" w:eastAsia="Calibri" w:hAnsi="Verdana"/>
          <w:sz w:val="20"/>
          <w:szCs w:val="20"/>
          <w:lang w:val="es-ES_tradnl"/>
        </w:rPr>
        <w:t>Duilio</w:t>
      </w:r>
      <w:proofErr w:type="spellEnd"/>
      <w:r w:rsidRPr="00B01B6B">
        <w:rPr>
          <w:rFonts w:ascii="Verdana" w:eastAsia="Calibri" w:hAnsi="Verdana"/>
          <w:sz w:val="20"/>
          <w:szCs w:val="20"/>
          <w:lang w:val="es-ES_tradnl"/>
        </w:rPr>
        <w:t xml:space="preserve"> </w:t>
      </w:r>
      <w:proofErr w:type="spellStart"/>
      <w:r w:rsidRPr="00B01B6B">
        <w:rPr>
          <w:rFonts w:ascii="Verdana" w:eastAsia="Calibri" w:hAnsi="Verdana"/>
          <w:sz w:val="20"/>
          <w:szCs w:val="20"/>
          <w:lang w:val="es-ES_tradnl"/>
        </w:rPr>
        <w:t>Chipana</w:t>
      </w:r>
      <w:proofErr w:type="spellEnd"/>
      <w:r w:rsidRPr="00B01B6B">
        <w:rPr>
          <w:rFonts w:ascii="Verdana" w:eastAsia="Calibri" w:hAnsi="Verdana"/>
          <w:sz w:val="20"/>
          <w:szCs w:val="20"/>
          <w:lang w:val="es-ES_tradnl"/>
        </w:rPr>
        <w:t xml:space="preserve"> </w:t>
      </w:r>
      <w:proofErr w:type="spellStart"/>
      <w:r w:rsidRPr="00B01B6B">
        <w:rPr>
          <w:rFonts w:ascii="Verdana" w:eastAsia="Calibri" w:hAnsi="Verdana"/>
          <w:sz w:val="20"/>
          <w:szCs w:val="20"/>
          <w:lang w:val="es-ES_tradnl"/>
        </w:rPr>
        <w:t>Tarqui</w:t>
      </w:r>
      <w:proofErr w:type="spellEnd"/>
      <w:r w:rsidRPr="00B01B6B">
        <w:rPr>
          <w:rFonts w:ascii="Verdana" w:eastAsia="Calibri" w:hAnsi="Verdana"/>
          <w:sz w:val="20"/>
          <w:szCs w:val="20"/>
          <w:lang w:val="es-ES_tradnl"/>
        </w:rPr>
        <w:t xml:space="preserve"> brindada durante su declaración instructiva ante el Fuero Militar, el Teniente </w:t>
      </w:r>
      <w:proofErr w:type="spellStart"/>
      <w:r w:rsidRPr="00B01B6B">
        <w:rPr>
          <w:rFonts w:ascii="Verdana" w:eastAsia="Calibri" w:hAnsi="Verdana"/>
          <w:sz w:val="20"/>
          <w:szCs w:val="20"/>
          <w:lang w:val="es-ES_tradnl"/>
        </w:rPr>
        <w:t>Bendezú</w:t>
      </w:r>
      <w:proofErr w:type="spellEnd"/>
      <w:r w:rsidRPr="00B01B6B">
        <w:rPr>
          <w:rFonts w:ascii="Verdana" w:eastAsia="Calibri" w:hAnsi="Verdana"/>
          <w:sz w:val="20"/>
          <w:szCs w:val="20"/>
          <w:lang w:val="es-ES_tradnl"/>
        </w:rPr>
        <w:t xml:space="preserve"> Vargas le ordenó que en compañía de tres soldados regresara a la mina abandonada y procediera a cerrar la entrada, llegando a dicho lugar la madrugada del seis de julio, es decir dos días después de cometida la masacre de los comuneros.</w:t>
      </w:r>
    </w:p>
    <w:p w:rsidR="00250316" w:rsidRPr="00B01B6B" w:rsidRDefault="00250316" w:rsidP="00250316">
      <w:pPr>
        <w:spacing w:line="240" w:lineRule="auto"/>
        <w:ind w:left="720" w:firstLine="720"/>
        <w:jc w:val="both"/>
        <w:rPr>
          <w:rFonts w:ascii="Verdana" w:eastAsia="Calibri" w:hAnsi="Verdana"/>
          <w:sz w:val="20"/>
          <w:szCs w:val="20"/>
          <w:lang w:val="es-ES_tradnl"/>
        </w:rPr>
      </w:pPr>
      <w:r w:rsidRPr="00B01B6B">
        <w:rPr>
          <w:rFonts w:ascii="Verdana" w:eastAsia="Calibri" w:hAnsi="Verdana"/>
          <w:sz w:val="20"/>
          <w:szCs w:val="20"/>
          <w:lang w:val="es-ES_tradnl"/>
        </w:rPr>
        <w:t>“Recién el día 18 de julio de 1991, las autoridades del Ministerio Público y del Poder Judicial pudieron llegar hasta la mina “Misteriosa”, practicándose la diligencia de levantamiento de cadáveres, aunque sólo encontraron una trenza de cabello con partículas de cuero cabelludo, una trenza de cabello mediana, una porción de cabello, un segmento de región terminal, un segmento de vulva, una partícula de hueso de cráneo, un segmento amplio de lengua, un segmento de hueso, dos superficies articulares de hueso, un segmento de antebrazo distal y mano humana, un segmento de parénquima pulmonar, tres segmentos de tejido óseo, un segmento de tejido adherido a tejido óseo no identificado, una porción de tejido blando no identificable y una porción de cabello adherido a segmento del cuero cabelludo que, según el acta, se trataba de “restos de cuerpos al parecer humanos”. En el informe preliminar del médico legista de Huancavelica se refiere que los restos son de cuerpos humanos</w:t>
      </w:r>
      <w:r w:rsidRPr="00B01B6B">
        <w:rPr>
          <w:rFonts w:ascii="Verdana" w:eastAsia="Calibri" w:hAnsi="Verdana"/>
          <w:sz w:val="20"/>
          <w:szCs w:val="20"/>
          <w:vertAlign w:val="superscript"/>
          <w:lang w:val="es-ES_tradnl"/>
        </w:rPr>
        <w:footnoteReference w:id="397"/>
      </w:r>
      <w:r w:rsidRPr="00B01B6B">
        <w:rPr>
          <w:rFonts w:ascii="Verdana" w:eastAsia="Calibri" w:hAnsi="Verdana"/>
          <w:sz w:val="20"/>
          <w:szCs w:val="20"/>
          <w:lang w:val="es-ES_tradnl"/>
        </w:rPr>
        <w:t>.”</w:t>
      </w:r>
    </w:p>
    <w:p w:rsidR="00250316" w:rsidRPr="00B01B6B" w:rsidRDefault="00250316" w:rsidP="00250316">
      <w:pPr>
        <w:spacing w:line="240" w:lineRule="auto"/>
        <w:ind w:left="720"/>
        <w:jc w:val="both"/>
        <w:rPr>
          <w:rFonts w:ascii="Verdana" w:eastAsia="Calibri" w:hAnsi="Verdana"/>
          <w:i/>
          <w:sz w:val="20"/>
          <w:szCs w:val="20"/>
          <w:lang w:val="es-ES_tradnl"/>
        </w:rPr>
      </w:pPr>
      <w:r w:rsidRPr="00B01B6B">
        <w:rPr>
          <w:rFonts w:ascii="Verdana" w:eastAsia="Calibri" w:hAnsi="Verdana"/>
          <w:i/>
          <w:sz w:val="20"/>
          <w:szCs w:val="20"/>
          <w:lang w:val="es-ES_tradnl"/>
        </w:rPr>
        <w:t>Identificación de las víctimas</w:t>
      </w:r>
    </w:p>
    <w:p w:rsidR="00250316" w:rsidRPr="00250316" w:rsidRDefault="00250316" w:rsidP="00250316">
      <w:pPr>
        <w:pStyle w:val="Estilo1"/>
        <w:numPr>
          <w:ilvl w:val="0"/>
          <w:numId w:val="23"/>
        </w:numPr>
        <w:tabs>
          <w:tab w:val="clear" w:pos="567"/>
          <w:tab w:val="clear" w:pos="1134"/>
        </w:tabs>
        <w:spacing w:after="160"/>
        <w:ind w:left="0" w:firstLine="0"/>
        <w:jc w:val="both"/>
        <w:rPr>
          <w:rFonts w:eastAsia="Calibri" w:cs="Times New Roman"/>
          <w:b w:val="0"/>
          <w:szCs w:val="20"/>
          <w:lang w:val="es-ES_tradnl"/>
        </w:rPr>
      </w:pPr>
      <w:r w:rsidRPr="00250316">
        <w:rPr>
          <w:rFonts w:eastAsia="Calibri" w:cs="Times New Roman"/>
          <w:b w:val="0"/>
          <w:szCs w:val="20"/>
          <w:lang w:val="es-ES_tradnl"/>
        </w:rPr>
        <w:t xml:space="preserve">Según la Comisión de la Verdad y Reconciliación, </w:t>
      </w:r>
    </w:p>
    <w:p w:rsidR="00250316" w:rsidRPr="00B01B6B" w:rsidRDefault="00250316" w:rsidP="00250316">
      <w:pPr>
        <w:spacing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“Se ha logrado identificar como víctimas de la masacre a las siguientes personas:</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Francisco Hilario Torres, campesino de 60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Dionisia Quispe </w:t>
      </w:r>
      <w:proofErr w:type="spellStart"/>
      <w:r w:rsidRPr="00B01B6B">
        <w:rPr>
          <w:rFonts w:ascii="Verdana" w:eastAsia="Calibri" w:hAnsi="Verdana"/>
          <w:sz w:val="20"/>
          <w:szCs w:val="20"/>
          <w:lang w:val="es-ES_tradnl"/>
        </w:rPr>
        <w:t>Mallqui</w:t>
      </w:r>
      <w:proofErr w:type="spellEnd"/>
      <w:r w:rsidRPr="00B01B6B">
        <w:rPr>
          <w:rFonts w:ascii="Verdana" w:eastAsia="Calibri" w:hAnsi="Verdana"/>
          <w:sz w:val="20"/>
          <w:szCs w:val="20"/>
          <w:lang w:val="es-ES_tradnl"/>
        </w:rPr>
        <w:t xml:space="preserve">, campesina de 57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Antonia Hilario Quispe, Campesina y agricultora de 31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Magdalena Hilario Quispe, campesina de 26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Mercedes </w:t>
      </w:r>
      <w:proofErr w:type="spellStart"/>
      <w:r w:rsidRPr="00B01B6B">
        <w:rPr>
          <w:rFonts w:ascii="Verdana" w:eastAsia="Calibri" w:hAnsi="Verdana"/>
          <w:sz w:val="20"/>
          <w:szCs w:val="20"/>
          <w:lang w:val="es-ES_tradnl"/>
        </w:rPr>
        <w:t>Carhuapoma</w:t>
      </w:r>
      <w:proofErr w:type="spellEnd"/>
      <w:r w:rsidRPr="00B01B6B">
        <w:rPr>
          <w:rFonts w:ascii="Verdana" w:eastAsia="Calibri" w:hAnsi="Verdana"/>
          <w:sz w:val="20"/>
          <w:szCs w:val="20"/>
          <w:lang w:val="es-ES_tradnl"/>
        </w:rPr>
        <w:t xml:space="preserve"> de la Cruz, campesina y agricultora de 20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Ramón Hilario Morán, ganadero de 26 años. Era el líder de su comunidad.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Dionisia Guillén de Morán, campesina de 24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Alex Jorge Hilario, menor de 6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lastRenderedPageBreak/>
        <w:t xml:space="preserve">• Yesenia </w:t>
      </w:r>
      <w:proofErr w:type="spellStart"/>
      <w:r w:rsidRPr="00B01B6B">
        <w:rPr>
          <w:rFonts w:ascii="Verdana" w:eastAsia="Calibri" w:hAnsi="Verdana"/>
          <w:sz w:val="20"/>
          <w:szCs w:val="20"/>
          <w:lang w:val="es-ES_tradnl"/>
        </w:rPr>
        <w:t>Osnayo</w:t>
      </w:r>
      <w:proofErr w:type="spellEnd"/>
      <w:r w:rsidRPr="00B01B6B">
        <w:rPr>
          <w:rFonts w:ascii="Verdana" w:eastAsia="Calibri" w:hAnsi="Verdana"/>
          <w:sz w:val="20"/>
          <w:szCs w:val="20"/>
          <w:lang w:val="es-ES_tradnl"/>
        </w:rPr>
        <w:t xml:space="preserve"> Hilario, niña de 6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Héctor Hilario Guillén, niño de 6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Miriam </w:t>
      </w:r>
      <w:proofErr w:type="spellStart"/>
      <w:r w:rsidRPr="00B01B6B">
        <w:rPr>
          <w:rFonts w:ascii="Verdana" w:eastAsia="Calibri" w:hAnsi="Verdana"/>
          <w:sz w:val="20"/>
          <w:szCs w:val="20"/>
          <w:lang w:val="es-ES_tradnl"/>
        </w:rPr>
        <w:t>Osnayo</w:t>
      </w:r>
      <w:proofErr w:type="spellEnd"/>
      <w:r w:rsidRPr="00B01B6B">
        <w:rPr>
          <w:rFonts w:ascii="Verdana" w:eastAsia="Calibri" w:hAnsi="Verdana"/>
          <w:sz w:val="20"/>
          <w:szCs w:val="20"/>
          <w:lang w:val="es-ES_tradnl"/>
        </w:rPr>
        <w:t xml:space="preserve"> Hilario, niña de 3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Wilmer Hilario Guillén (</w:t>
      </w:r>
      <w:proofErr w:type="spellStart"/>
      <w:r w:rsidRPr="00B01B6B">
        <w:rPr>
          <w:rFonts w:ascii="Verdana" w:eastAsia="Calibri" w:hAnsi="Verdana"/>
          <w:sz w:val="20"/>
          <w:szCs w:val="20"/>
          <w:lang w:val="es-ES_tradnl"/>
        </w:rPr>
        <w:t>ó</w:t>
      </w:r>
      <w:proofErr w:type="spellEnd"/>
      <w:r w:rsidRPr="00B01B6B">
        <w:rPr>
          <w:rFonts w:ascii="Verdana" w:eastAsia="Calibri" w:hAnsi="Verdana"/>
          <w:sz w:val="20"/>
          <w:szCs w:val="20"/>
          <w:lang w:val="es-ES_tradnl"/>
        </w:rPr>
        <w:t xml:space="preserve"> </w:t>
      </w:r>
      <w:proofErr w:type="spellStart"/>
      <w:r w:rsidRPr="00B01B6B">
        <w:rPr>
          <w:rFonts w:ascii="Verdana" w:eastAsia="Calibri" w:hAnsi="Verdana"/>
          <w:sz w:val="20"/>
          <w:szCs w:val="20"/>
          <w:lang w:val="es-ES_tradnl"/>
        </w:rPr>
        <w:t>Carhuapoma</w:t>
      </w:r>
      <w:proofErr w:type="spellEnd"/>
      <w:r w:rsidRPr="00B01B6B">
        <w:rPr>
          <w:rFonts w:ascii="Verdana" w:eastAsia="Calibri" w:hAnsi="Verdana"/>
          <w:sz w:val="20"/>
          <w:szCs w:val="20"/>
          <w:lang w:val="es-ES_tradnl"/>
        </w:rPr>
        <w:t xml:space="preserve">), niño de 3 años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Raúl Hilario Guillén, niño de 8 meses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Roxana </w:t>
      </w:r>
      <w:proofErr w:type="spellStart"/>
      <w:r w:rsidRPr="00B01B6B">
        <w:rPr>
          <w:rFonts w:ascii="Verdana" w:eastAsia="Calibri" w:hAnsi="Verdana"/>
          <w:sz w:val="20"/>
          <w:szCs w:val="20"/>
          <w:lang w:val="es-ES_tradnl"/>
        </w:rPr>
        <w:t>Osnayo</w:t>
      </w:r>
      <w:proofErr w:type="spellEnd"/>
      <w:r w:rsidRPr="00B01B6B">
        <w:rPr>
          <w:rFonts w:ascii="Verdana" w:eastAsia="Calibri" w:hAnsi="Verdana"/>
          <w:sz w:val="20"/>
          <w:szCs w:val="20"/>
          <w:lang w:val="es-ES_tradnl"/>
        </w:rPr>
        <w:t xml:space="preserve"> Hilario, niña de apenas 8 meses de edad. </w:t>
      </w:r>
    </w:p>
    <w:p w:rsidR="00250316" w:rsidRPr="00B01B6B" w:rsidRDefault="00250316" w:rsidP="00384C35">
      <w:pPr>
        <w:spacing w:after="160" w:line="240" w:lineRule="auto"/>
        <w:ind w:left="1440"/>
        <w:jc w:val="both"/>
        <w:rPr>
          <w:rFonts w:ascii="Verdana" w:eastAsia="Calibri" w:hAnsi="Verdana"/>
          <w:sz w:val="20"/>
          <w:szCs w:val="20"/>
          <w:lang w:val="es-ES_tradnl"/>
        </w:rPr>
      </w:pPr>
      <w:r w:rsidRPr="00B01B6B">
        <w:rPr>
          <w:rFonts w:ascii="Verdana" w:eastAsia="Calibri" w:hAnsi="Verdana"/>
          <w:sz w:val="20"/>
          <w:szCs w:val="20"/>
          <w:lang w:val="es-ES_tradnl"/>
        </w:rPr>
        <w:t xml:space="preserve">• </w:t>
      </w:r>
      <w:proofErr w:type="spellStart"/>
      <w:r w:rsidRPr="00B01B6B">
        <w:rPr>
          <w:rFonts w:ascii="Verdana" w:eastAsia="Calibri" w:hAnsi="Verdana"/>
          <w:sz w:val="20"/>
          <w:szCs w:val="20"/>
          <w:lang w:val="es-ES_tradnl"/>
        </w:rPr>
        <w:t>Helihoref</w:t>
      </w:r>
      <w:proofErr w:type="spellEnd"/>
      <w:r w:rsidRPr="00B01B6B">
        <w:rPr>
          <w:rFonts w:ascii="Verdana" w:eastAsia="Calibri" w:hAnsi="Verdana"/>
          <w:sz w:val="20"/>
          <w:szCs w:val="20"/>
          <w:lang w:val="es-ES_tradnl"/>
        </w:rPr>
        <w:t xml:space="preserve"> </w:t>
      </w:r>
      <w:proofErr w:type="spellStart"/>
      <w:r w:rsidRPr="00B01B6B">
        <w:rPr>
          <w:rFonts w:ascii="Verdana" w:eastAsia="Calibri" w:hAnsi="Verdana"/>
          <w:sz w:val="20"/>
          <w:szCs w:val="20"/>
          <w:lang w:val="es-ES_tradnl"/>
        </w:rPr>
        <w:t>Huamaní</w:t>
      </w:r>
      <w:proofErr w:type="spellEnd"/>
      <w:r w:rsidRPr="00B01B6B">
        <w:rPr>
          <w:rFonts w:ascii="Verdana" w:eastAsia="Calibri" w:hAnsi="Verdana"/>
          <w:sz w:val="20"/>
          <w:szCs w:val="20"/>
          <w:lang w:val="es-ES_tradnl"/>
        </w:rPr>
        <w:t xml:space="preserve"> Vergara. Pastor de 21 años de edad, ex recluta del Ejército</w:t>
      </w:r>
      <w:r w:rsidRPr="00384C35">
        <w:rPr>
          <w:rFonts w:ascii="Verdana" w:eastAsia="Calibri" w:hAnsi="Verdana"/>
          <w:sz w:val="20"/>
          <w:szCs w:val="20"/>
          <w:lang w:val="es-ES_tradnl"/>
        </w:rPr>
        <w:footnoteReference w:id="398"/>
      </w:r>
      <w:r w:rsidRPr="00B01B6B">
        <w:rPr>
          <w:rFonts w:ascii="Verdana" w:eastAsia="Calibri" w:hAnsi="Verdana"/>
          <w:sz w:val="20"/>
          <w:szCs w:val="20"/>
          <w:lang w:val="es-ES_tradnl"/>
        </w:rPr>
        <w:t>.”</w:t>
      </w:r>
    </w:p>
    <w:p w:rsidR="00250316" w:rsidRPr="00250316" w:rsidRDefault="00250316" w:rsidP="00250316">
      <w:pPr>
        <w:pStyle w:val="Estilo1"/>
        <w:numPr>
          <w:ilvl w:val="0"/>
          <w:numId w:val="23"/>
        </w:numPr>
        <w:tabs>
          <w:tab w:val="clear" w:pos="567"/>
          <w:tab w:val="clear" w:pos="1134"/>
        </w:tabs>
        <w:spacing w:after="160"/>
        <w:ind w:left="0" w:firstLine="0"/>
        <w:jc w:val="both"/>
        <w:rPr>
          <w:rFonts w:eastAsia="Calibri" w:cs="Times New Roman"/>
          <w:b w:val="0"/>
          <w:szCs w:val="20"/>
          <w:lang w:val="es-ES_tradnl"/>
        </w:rPr>
      </w:pPr>
      <w:r w:rsidRPr="00250316">
        <w:rPr>
          <w:rFonts w:eastAsia="Calibri" w:cs="Times New Roman"/>
          <w:b w:val="0"/>
          <w:szCs w:val="20"/>
          <w:lang w:val="es-ES_tradnl"/>
        </w:rPr>
        <w:t>Si bien no se logró identificar los restos de todas las personas ejecutadas en la mina “Misteriosa”, es razonable concluir que se trataba de las 15 personas detenidas (14 en el pueblo y una en el camino) a las que se obligó a entrar en la mina y que a continuación fueron masacradas por ráfagas de FAL. Las explosiones de dinamita que siguieron fueron los primeros intentos de borrar las huellas de la masacre. Todo ello es, sin duda, macabro, como declaró uno de los familiares, pero es la triste realidad.</w:t>
      </w:r>
    </w:p>
    <w:p w:rsidR="00250316" w:rsidRPr="00250316" w:rsidRDefault="00250316" w:rsidP="00250316">
      <w:pPr>
        <w:pStyle w:val="Estilo1"/>
        <w:numPr>
          <w:ilvl w:val="0"/>
          <w:numId w:val="23"/>
        </w:numPr>
        <w:tabs>
          <w:tab w:val="clear" w:pos="567"/>
          <w:tab w:val="clear" w:pos="1134"/>
        </w:tabs>
        <w:spacing w:after="160"/>
        <w:ind w:left="0" w:firstLine="0"/>
        <w:jc w:val="both"/>
        <w:rPr>
          <w:rFonts w:eastAsia="Calibri" w:cs="Times New Roman"/>
          <w:b w:val="0"/>
          <w:i/>
          <w:szCs w:val="20"/>
          <w:lang w:val="es-ES_tradnl"/>
        </w:rPr>
      </w:pPr>
      <w:r w:rsidRPr="00250316">
        <w:rPr>
          <w:rFonts w:eastAsia="Calibri" w:cs="Times New Roman"/>
          <w:b w:val="0"/>
          <w:i/>
          <w:szCs w:val="20"/>
          <w:lang w:val="es-ES_tradnl"/>
        </w:rPr>
        <w:t xml:space="preserve">Conclusión.- La principal conclusión de hecho pertinente para el presente voto es que el día 4 de julio de 1991 fallecieron las 15 personas detenidas. En la sentencia se analizan las fallas y demoras de los procedimientos encaminados a identificar los restos mediante examen de ADN y otras técnicas contemporáneas, pero – aparte de que el estado y la dispersión de dichos restos tornan sumamente difícil la identificación – este factor no altera la situación real y jurídica de esas 15 personas, que perdieron su vida el 4 de julio de 1991. </w:t>
      </w:r>
    </w:p>
    <w:p w:rsidR="00250316" w:rsidRPr="00B01B6B" w:rsidRDefault="00250316" w:rsidP="00250316">
      <w:pPr>
        <w:spacing w:after="0" w:line="240" w:lineRule="auto"/>
        <w:jc w:val="both"/>
        <w:rPr>
          <w:rFonts w:ascii="Verdana" w:eastAsia="Calibri" w:hAnsi="Verdana"/>
          <w:sz w:val="20"/>
          <w:szCs w:val="20"/>
          <w:lang w:val="es-ES_tradnl"/>
        </w:rPr>
      </w:pPr>
    </w:p>
    <w:p w:rsidR="00250316" w:rsidRPr="00250316" w:rsidRDefault="00250316" w:rsidP="00250316">
      <w:pPr>
        <w:pStyle w:val="Estilo2"/>
        <w:numPr>
          <w:ilvl w:val="0"/>
          <w:numId w:val="24"/>
        </w:numPr>
        <w:tabs>
          <w:tab w:val="clear" w:pos="567"/>
          <w:tab w:val="clear" w:pos="1134"/>
        </w:tabs>
        <w:spacing w:after="160" w:line="259" w:lineRule="auto"/>
        <w:ind w:left="0" w:firstLine="0"/>
        <w:contextualSpacing/>
        <w:rPr>
          <w:rFonts w:eastAsiaTheme="minorHAnsi" w:cs="Times New Roman"/>
          <w:b w:val="0"/>
          <w:szCs w:val="24"/>
          <w:lang w:val="es-ES_tradnl"/>
        </w:rPr>
      </w:pPr>
      <w:r w:rsidRPr="00250316">
        <w:rPr>
          <w:rFonts w:eastAsiaTheme="minorHAnsi" w:cs="Times New Roman"/>
          <w:b w:val="0"/>
          <w:szCs w:val="24"/>
          <w:lang w:val="es-ES_tradnl"/>
        </w:rPr>
        <w:t>CALIFICACIÓN JURÍDICA: EJECUCIÓN EXTRAJUDICIAL MASIVA (MASACRE), Y NO DESAPARICIÓN FORZADA</w:t>
      </w:r>
    </w:p>
    <w:p w:rsidR="00250316" w:rsidRPr="00B01B6B" w:rsidRDefault="00250316" w:rsidP="00250316">
      <w:pPr>
        <w:pStyle w:val="ListParagraph"/>
        <w:numPr>
          <w:ilvl w:val="0"/>
          <w:numId w:val="23"/>
        </w:numPr>
        <w:spacing w:after="160" w:line="240" w:lineRule="auto"/>
        <w:ind w:left="0" w:firstLine="0"/>
        <w:jc w:val="both"/>
        <w:rPr>
          <w:rFonts w:ascii="Verdana" w:eastAsia="Calibri" w:hAnsi="Verdana" w:cs="Times New Roman"/>
          <w:sz w:val="20"/>
          <w:szCs w:val="20"/>
          <w:lang w:val="es-ES_tradnl"/>
        </w:rPr>
      </w:pPr>
      <w:r w:rsidRPr="00B01B6B">
        <w:rPr>
          <w:rFonts w:ascii="Verdana" w:eastAsia="Calibri" w:hAnsi="Verdana" w:cs="Times New Roman"/>
          <w:sz w:val="20"/>
          <w:szCs w:val="20"/>
          <w:lang w:val="es-ES_tradnl"/>
        </w:rPr>
        <w:t xml:space="preserve">La sentencia, coincidiendo con la Comisión Interamericana de Derechos Humanos y con la posición </w:t>
      </w:r>
      <w:r w:rsidRPr="00B01B6B">
        <w:rPr>
          <w:rFonts w:ascii="Verdana" w:hAnsi="Verdana" w:cs="Times New Roman"/>
          <w:sz w:val="20"/>
          <w:szCs w:val="20"/>
          <w:lang w:val="es-ES_tradnl"/>
        </w:rPr>
        <w:t>de</w:t>
      </w:r>
      <w:r w:rsidRPr="00B01B6B">
        <w:rPr>
          <w:rFonts w:ascii="Verdana" w:eastAsia="Calibri" w:hAnsi="Verdana" w:cs="Times New Roman"/>
          <w:sz w:val="20"/>
          <w:szCs w:val="20"/>
          <w:lang w:val="es-ES_tradnl"/>
        </w:rPr>
        <w:t xml:space="preserve"> los representantes de las víctimas, ha calificado a los hechos del caso como desaparición forzada de personas, y consiguientemente ha entendido que es aplicable al caso la Convención Interamericana en la materia, que ni siquiera existía en la fecha en que los 14 detenidos de la Comunidad Campesina Santa Bárbara fueron matados. En efecto, dicha Convención fue adoptada en Belém do Pará el 9 de junio de 1994, y fue ratificada por el Perú el 8 de febrero de 2002 (instrumento de ratificación depositado el 13 de febrero de 2002).</w:t>
      </w:r>
    </w:p>
    <w:p w:rsidR="00250316" w:rsidRDefault="00250316" w:rsidP="00250316">
      <w:pPr>
        <w:pStyle w:val="ListParagraph"/>
        <w:spacing w:line="240" w:lineRule="auto"/>
        <w:ind w:left="0"/>
        <w:jc w:val="both"/>
        <w:rPr>
          <w:rFonts w:ascii="Verdana" w:eastAsia="Calibri" w:hAnsi="Verdana" w:cs="Times New Roman"/>
          <w:sz w:val="20"/>
          <w:szCs w:val="20"/>
          <w:lang w:val="es-ES_tradnl"/>
        </w:rPr>
      </w:pPr>
    </w:p>
    <w:p w:rsidR="00250316" w:rsidRPr="00B01B6B" w:rsidRDefault="00250316" w:rsidP="00250316">
      <w:pPr>
        <w:pStyle w:val="ListParagraph"/>
        <w:numPr>
          <w:ilvl w:val="0"/>
          <w:numId w:val="23"/>
        </w:numPr>
        <w:spacing w:after="160" w:line="240" w:lineRule="auto"/>
        <w:ind w:left="0" w:firstLine="0"/>
        <w:jc w:val="both"/>
        <w:rPr>
          <w:rFonts w:ascii="Verdana" w:eastAsia="Calibri" w:hAnsi="Verdana" w:cs="Times New Roman"/>
          <w:sz w:val="20"/>
          <w:szCs w:val="20"/>
          <w:lang w:val="es-ES_tradnl"/>
        </w:rPr>
      </w:pPr>
      <w:r w:rsidRPr="00B01B6B">
        <w:rPr>
          <w:rFonts w:ascii="Verdana" w:eastAsia="Calibri" w:hAnsi="Verdana" w:cs="Times New Roman"/>
          <w:sz w:val="20"/>
          <w:szCs w:val="20"/>
          <w:lang w:val="es-ES_tradnl"/>
        </w:rPr>
        <w:t>En cambio, la calificación hecha en la sentencia es distinta de la que han hecho los propios familiares de los ejecutados</w:t>
      </w:r>
      <w:r w:rsidRPr="00B01B6B">
        <w:rPr>
          <w:rFonts w:ascii="Verdana" w:eastAsia="Calibri" w:hAnsi="Verdana" w:cs="Times New Roman"/>
          <w:sz w:val="20"/>
          <w:szCs w:val="20"/>
          <w:vertAlign w:val="superscript"/>
          <w:lang w:val="es-ES_tradnl"/>
        </w:rPr>
        <w:footnoteReference w:id="399"/>
      </w:r>
      <w:r w:rsidRPr="00B01B6B">
        <w:rPr>
          <w:rFonts w:ascii="Verdana" w:eastAsia="Calibri" w:hAnsi="Verdana" w:cs="Times New Roman"/>
          <w:sz w:val="20"/>
          <w:szCs w:val="20"/>
          <w:lang w:val="es-ES_tradnl"/>
        </w:rPr>
        <w:t xml:space="preserve">, luego de los primeros días (sentencia, </w:t>
      </w:r>
      <w:proofErr w:type="spellStart"/>
      <w:r w:rsidRPr="00B01B6B">
        <w:rPr>
          <w:rFonts w:ascii="Verdana" w:eastAsia="Calibri" w:hAnsi="Verdana" w:cs="Times New Roman"/>
          <w:sz w:val="20"/>
          <w:szCs w:val="20"/>
          <w:lang w:val="es-ES_tradnl"/>
        </w:rPr>
        <w:t>párrs</w:t>
      </w:r>
      <w:proofErr w:type="spellEnd"/>
      <w:r w:rsidRPr="00B01B6B">
        <w:rPr>
          <w:rFonts w:ascii="Verdana" w:eastAsia="Calibri" w:hAnsi="Verdana" w:cs="Times New Roman"/>
          <w:sz w:val="20"/>
          <w:szCs w:val="20"/>
          <w:lang w:val="es-ES_tradnl"/>
        </w:rPr>
        <w:t xml:space="preserve">. 95 y 96) en que aún no habían </w:t>
      </w:r>
      <w:r w:rsidRPr="00B01B6B">
        <w:rPr>
          <w:rFonts w:ascii="Verdana" w:hAnsi="Verdana" w:cs="Times New Roman"/>
          <w:sz w:val="20"/>
          <w:szCs w:val="20"/>
          <w:lang w:val="es-ES_tradnl"/>
        </w:rPr>
        <w:t>recibido</w:t>
      </w:r>
      <w:r w:rsidRPr="00B01B6B">
        <w:rPr>
          <w:rFonts w:ascii="Verdana" w:eastAsia="Calibri" w:hAnsi="Verdana" w:cs="Times New Roman"/>
          <w:sz w:val="20"/>
          <w:szCs w:val="20"/>
          <w:lang w:val="es-ES_tradnl"/>
        </w:rPr>
        <w:t xml:space="preserve"> la información completa sobre la masacre (palabra que el Informe de la CVR incluye en el título del capítulo correspondiente y reitera otras nueve veces en su texto), así como las autoridades peruanas, tanto en la </w:t>
      </w:r>
      <w:r w:rsidRPr="00B01B6B">
        <w:rPr>
          <w:rFonts w:ascii="Verdana" w:eastAsia="Calibri" w:hAnsi="Verdana" w:cs="Times New Roman"/>
          <w:sz w:val="20"/>
          <w:szCs w:val="20"/>
          <w:lang w:val="es-ES_tradnl"/>
        </w:rPr>
        <w:lastRenderedPageBreak/>
        <w:t>jurisdicción penal</w:t>
      </w:r>
      <w:r w:rsidRPr="00B01B6B">
        <w:rPr>
          <w:rFonts w:ascii="Verdana" w:eastAsia="Calibri" w:hAnsi="Verdana" w:cs="Times New Roman"/>
          <w:sz w:val="20"/>
          <w:szCs w:val="20"/>
          <w:vertAlign w:val="superscript"/>
          <w:lang w:val="es-ES_tradnl"/>
        </w:rPr>
        <w:footnoteReference w:id="400"/>
      </w:r>
      <w:r w:rsidRPr="00B01B6B">
        <w:rPr>
          <w:rFonts w:ascii="Verdana" w:eastAsia="Calibri" w:hAnsi="Verdana" w:cs="Times New Roman"/>
          <w:sz w:val="20"/>
          <w:szCs w:val="20"/>
          <w:lang w:val="es-ES_tradnl"/>
        </w:rPr>
        <w:t xml:space="preserve"> como en la justicia ordinaria</w:t>
      </w:r>
      <w:r w:rsidRPr="00B01B6B">
        <w:rPr>
          <w:rFonts w:ascii="Verdana" w:eastAsia="Calibri" w:hAnsi="Verdana" w:cs="Times New Roman"/>
          <w:sz w:val="20"/>
          <w:szCs w:val="20"/>
          <w:vertAlign w:val="superscript"/>
          <w:lang w:val="es-ES_tradnl"/>
        </w:rPr>
        <w:footnoteReference w:id="401"/>
      </w:r>
      <w:r w:rsidRPr="00B01B6B">
        <w:rPr>
          <w:rFonts w:ascii="Verdana" w:eastAsia="Calibri" w:hAnsi="Verdana" w:cs="Times New Roman"/>
          <w:sz w:val="20"/>
          <w:szCs w:val="20"/>
          <w:lang w:val="es-ES_tradnl"/>
        </w:rPr>
        <w:t>. También es distinta de la hecha por el Relator Especial sobre las ejecuciones extrajudiciales, sumarias o arbitrarias de la Organización de las Naciones Unidas, “en cuyo informe sobre dos casos referidos a sentencias impuestas por los tribunales militares (uno de ellos es de Santa Bárbara) [se] sostiene que ha quedado ‘patente la desproporción existente entre la gravedad de los delitos y las sentencias impuestas’</w:t>
      </w:r>
      <w:r w:rsidRPr="00B01B6B">
        <w:rPr>
          <w:rFonts w:ascii="Verdana" w:eastAsia="Calibri" w:hAnsi="Verdana" w:cs="Times New Roman"/>
          <w:sz w:val="20"/>
          <w:szCs w:val="20"/>
          <w:vertAlign w:val="superscript"/>
          <w:lang w:val="es-ES_tradnl"/>
        </w:rPr>
        <w:footnoteReference w:id="402"/>
      </w:r>
      <w:r w:rsidRPr="00B01B6B">
        <w:rPr>
          <w:rFonts w:ascii="Verdana" w:eastAsia="Calibri" w:hAnsi="Verdana" w:cs="Times New Roman"/>
          <w:sz w:val="20"/>
          <w:szCs w:val="20"/>
          <w:lang w:val="es-ES_tradnl"/>
        </w:rPr>
        <w:t>”.</w:t>
      </w:r>
    </w:p>
    <w:p w:rsidR="00250316" w:rsidRDefault="00250316" w:rsidP="00250316">
      <w:pPr>
        <w:pStyle w:val="ListParagraph"/>
        <w:spacing w:line="240" w:lineRule="auto"/>
        <w:ind w:left="0"/>
        <w:jc w:val="both"/>
        <w:rPr>
          <w:rFonts w:ascii="Verdana" w:eastAsia="Calibri" w:hAnsi="Verdana" w:cs="Times New Roman"/>
          <w:sz w:val="20"/>
          <w:szCs w:val="20"/>
          <w:lang w:val="es-ES_tradnl"/>
        </w:rPr>
      </w:pPr>
    </w:p>
    <w:p w:rsidR="00250316" w:rsidRPr="00B01B6B" w:rsidRDefault="00250316" w:rsidP="00250316">
      <w:pPr>
        <w:pStyle w:val="ListParagraph"/>
        <w:numPr>
          <w:ilvl w:val="0"/>
          <w:numId w:val="23"/>
        </w:numPr>
        <w:spacing w:after="160" w:line="240" w:lineRule="auto"/>
        <w:ind w:left="0" w:firstLine="0"/>
        <w:jc w:val="both"/>
        <w:rPr>
          <w:rFonts w:ascii="Verdana" w:eastAsia="Calibri" w:hAnsi="Verdana" w:cs="Times New Roman"/>
          <w:sz w:val="20"/>
          <w:szCs w:val="20"/>
          <w:lang w:val="es-ES_tradnl"/>
        </w:rPr>
      </w:pPr>
      <w:r w:rsidRPr="00B01B6B">
        <w:rPr>
          <w:rFonts w:ascii="Verdana" w:eastAsia="Calibri" w:hAnsi="Verdana" w:cs="Times New Roman"/>
          <w:sz w:val="20"/>
          <w:szCs w:val="20"/>
          <w:lang w:val="es-ES_tradnl"/>
        </w:rPr>
        <w:t>La calificación como desaparición forzada de la situación de personas que ya se sabe que han fallecido es incompatible con la aceptación del reconocimiento parcial de responsabilidad del Estado y manifiestamente infundada y resulta innecesaria para la debida consideración jurídica de hechos tan terribles y macabros como los de este caso.</w:t>
      </w:r>
    </w:p>
    <w:p w:rsidR="00250316" w:rsidRPr="00B01B6B" w:rsidRDefault="00250316" w:rsidP="00250316">
      <w:pPr>
        <w:spacing w:line="240" w:lineRule="auto"/>
        <w:ind w:left="720"/>
        <w:jc w:val="both"/>
        <w:rPr>
          <w:rFonts w:ascii="Verdana" w:eastAsia="Calibri" w:hAnsi="Verdana"/>
          <w:i/>
          <w:sz w:val="20"/>
          <w:szCs w:val="20"/>
          <w:lang w:val="es-ES_tradnl"/>
        </w:rPr>
      </w:pPr>
      <w:r w:rsidRPr="00B01B6B">
        <w:rPr>
          <w:rFonts w:ascii="Verdana" w:eastAsia="Calibri" w:hAnsi="Verdana"/>
          <w:i/>
          <w:sz w:val="20"/>
          <w:szCs w:val="20"/>
          <w:lang w:val="es-ES_tradnl"/>
        </w:rPr>
        <w:t>Calificación incompatible con la aceptación del reconocimiento parcial de responsabilidad del Estado</w:t>
      </w:r>
    </w:p>
    <w:p w:rsidR="00250316" w:rsidRPr="00B01B6B" w:rsidRDefault="00250316" w:rsidP="00250316">
      <w:pPr>
        <w:pStyle w:val="ListParagraph"/>
        <w:numPr>
          <w:ilvl w:val="0"/>
          <w:numId w:val="23"/>
        </w:numPr>
        <w:spacing w:after="160" w:line="240" w:lineRule="auto"/>
        <w:ind w:left="0" w:firstLine="0"/>
        <w:jc w:val="both"/>
        <w:rPr>
          <w:rFonts w:ascii="Verdana" w:eastAsia="Calibri" w:hAnsi="Verdana" w:cs="Times New Roman"/>
          <w:sz w:val="20"/>
          <w:szCs w:val="20"/>
          <w:lang w:val="es-ES_tradnl"/>
        </w:rPr>
      </w:pPr>
      <w:r w:rsidRPr="00B01B6B">
        <w:rPr>
          <w:rFonts w:ascii="Verdana" w:eastAsia="Calibri" w:hAnsi="Verdana" w:cs="Times New Roman"/>
          <w:sz w:val="20"/>
          <w:szCs w:val="20"/>
          <w:lang w:val="es-ES_tradnl"/>
        </w:rPr>
        <w:t>En los párrafos 24 y 25 de la sentencia, la Corte dijo:</w:t>
      </w:r>
    </w:p>
    <w:p w:rsidR="00250316" w:rsidRPr="00B01B6B" w:rsidRDefault="00250316" w:rsidP="00250316">
      <w:pPr>
        <w:spacing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w:t>
      </w:r>
      <w:r w:rsidRPr="00B01B6B">
        <w:rPr>
          <w:rFonts w:ascii="Verdana" w:eastAsia="Calibri" w:hAnsi="Verdana"/>
          <w:i/>
          <w:sz w:val="20"/>
          <w:szCs w:val="20"/>
          <w:lang w:val="es-ES_tradnl"/>
        </w:rPr>
        <w:t>este Tribunal entiende que el Perú admitió los siguientes hechos</w:t>
      </w:r>
      <w:r w:rsidRPr="00B01B6B">
        <w:rPr>
          <w:rFonts w:ascii="Verdana" w:eastAsia="Calibri" w:hAnsi="Verdana"/>
          <w:sz w:val="20"/>
          <w:szCs w:val="20"/>
          <w:lang w:val="es-ES_tradnl"/>
        </w:rPr>
        <w:t xml:space="preserve">: </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i.</w:t>
      </w:r>
      <w:r w:rsidRPr="00B01B6B">
        <w:rPr>
          <w:rFonts w:ascii="Verdana" w:eastAsia="Calibri" w:hAnsi="Verdana"/>
          <w:sz w:val="20"/>
          <w:szCs w:val="20"/>
          <w:lang w:val="es-ES_tradnl"/>
        </w:rPr>
        <w:tab/>
        <w:t xml:space="preserve">el Plan Operativo denominado “Apolonia", fue diseñado como parte de la política estatal de combatir la subversión en la Provincia y Departamento de Huancavelica, siendo elaborado por la Jefatura Político Militar de Huancavelica, con el fin específico de incursionar en la localidad de </w:t>
      </w:r>
      <w:proofErr w:type="spellStart"/>
      <w:r w:rsidRPr="00B01B6B">
        <w:rPr>
          <w:rFonts w:ascii="Verdana" w:eastAsia="Calibri" w:hAnsi="Verdana"/>
          <w:sz w:val="20"/>
          <w:szCs w:val="20"/>
          <w:lang w:val="es-ES_tradnl"/>
        </w:rPr>
        <w:t>Rodeopampa</w:t>
      </w:r>
      <w:proofErr w:type="spellEnd"/>
      <w:r w:rsidRPr="00B01B6B">
        <w:rPr>
          <w:rFonts w:ascii="Verdana" w:eastAsia="Calibri" w:hAnsi="Verdana"/>
          <w:sz w:val="20"/>
          <w:szCs w:val="20"/>
          <w:lang w:val="es-ES_tradnl"/>
        </w:rPr>
        <w:t>, comunidad de Santa Bárbara;</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ii.</w:t>
      </w:r>
      <w:r w:rsidRPr="00B01B6B">
        <w:rPr>
          <w:rFonts w:ascii="Verdana" w:eastAsia="Calibri" w:hAnsi="Verdana"/>
          <w:sz w:val="20"/>
          <w:szCs w:val="20"/>
          <w:lang w:val="es-ES_tradnl"/>
        </w:rPr>
        <w:tab/>
        <w:t>la misión del Plan Operativo “Apolonia” era capturar y/o destruir “delincuentes terroristas”;</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iii.</w:t>
      </w:r>
      <w:r w:rsidRPr="00B01B6B">
        <w:rPr>
          <w:rFonts w:ascii="Verdana" w:eastAsia="Calibri" w:hAnsi="Verdana"/>
          <w:sz w:val="20"/>
          <w:szCs w:val="20"/>
          <w:lang w:val="es-ES_tradnl"/>
        </w:rPr>
        <w:tab/>
        <w:t xml:space="preserve">en la ejecución del Plan Apolonia, se ordenó la participación de dos patrullas militares, una perteneciente a la base contrasubversiva de </w:t>
      </w:r>
      <w:proofErr w:type="spellStart"/>
      <w:r w:rsidRPr="00B01B6B">
        <w:rPr>
          <w:rFonts w:ascii="Verdana" w:eastAsia="Calibri" w:hAnsi="Verdana"/>
          <w:sz w:val="20"/>
          <w:szCs w:val="20"/>
          <w:lang w:val="es-ES_tradnl"/>
        </w:rPr>
        <w:t>Lircay</w:t>
      </w:r>
      <w:proofErr w:type="spellEnd"/>
      <w:r w:rsidRPr="00B01B6B">
        <w:rPr>
          <w:rFonts w:ascii="Verdana" w:eastAsia="Calibri" w:hAnsi="Verdana"/>
          <w:sz w:val="20"/>
          <w:szCs w:val="20"/>
          <w:lang w:val="es-ES_tradnl"/>
        </w:rPr>
        <w:t xml:space="preserve"> y, la otra, a la base contrasubversiva de Huancavelica;</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lastRenderedPageBreak/>
        <w:t>iv.</w:t>
      </w:r>
      <w:r w:rsidRPr="00B01B6B">
        <w:rPr>
          <w:rFonts w:ascii="Verdana" w:eastAsia="Calibri" w:hAnsi="Verdana"/>
          <w:sz w:val="20"/>
          <w:szCs w:val="20"/>
          <w:lang w:val="es-ES_tradnl"/>
        </w:rPr>
        <w:tab/>
        <w:t xml:space="preserve">las únicas personas que se encontraron en </w:t>
      </w:r>
      <w:proofErr w:type="spellStart"/>
      <w:r w:rsidRPr="00B01B6B">
        <w:rPr>
          <w:rFonts w:ascii="Verdana" w:eastAsia="Calibri" w:hAnsi="Verdana"/>
          <w:sz w:val="20"/>
          <w:szCs w:val="20"/>
          <w:lang w:val="es-ES_tradnl"/>
        </w:rPr>
        <w:t>Rodeopampa</w:t>
      </w:r>
      <w:proofErr w:type="spellEnd"/>
      <w:r w:rsidRPr="00B01B6B">
        <w:rPr>
          <w:rFonts w:ascii="Verdana" w:eastAsia="Calibri" w:hAnsi="Verdana"/>
          <w:sz w:val="20"/>
          <w:szCs w:val="20"/>
          <w:lang w:val="es-ES_tradnl"/>
        </w:rPr>
        <w:t xml:space="preserve"> eran pobladores desarmados que conformaban grupos familiares, y la mayoría de ellos eran mujeres y niños;</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v.</w:t>
      </w:r>
      <w:r w:rsidRPr="00B01B6B">
        <w:rPr>
          <w:rFonts w:ascii="Verdana" w:eastAsia="Calibri" w:hAnsi="Verdana"/>
          <w:sz w:val="20"/>
          <w:szCs w:val="20"/>
          <w:lang w:val="es-ES_tradnl"/>
        </w:rPr>
        <w:tab/>
        <w:t>la ruta que tomó la patrulla Escorpio con 14 detenidos es la que conduce a la mina “Misteriosa” o “</w:t>
      </w:r>
      <w:proofErr w:type="spellStart"/>
      <w:r w:rsidRPr="00B01B6B">
        <w:rPr>
          <w:rFonts w:ascii="Verdana" w:eastAsia="Calibri" w:hAnsi="Verdana"/>
          <w:sz w:val="20"/>
          <w:szCs w:val="20"/>
          <w:lang w:val="es-ES_tradnl"/>
        </w:rPr>
        <w:t>Vallarón</w:t>
      </w:r>
      <w:proofErr w:type="spellEnd"/>
      <w:r w:rsidRPr="00B01B6B">
        <w:rPr>
          <w:rFonts w:ascii="Verdana" w:eastAsia="Calibri" w:hAnsi="Verdana"/>
          <w:sz w:val="20"/>
          <w:szCs w:val="20"/>
          <w:lang w:val="es-ES_tradnl"/>
        </w:rPr>
        <w:t xml:space="preserve">”, la misma que se encuentra en el camino de </w:t>
      </w:r>
      <w:proofErr w:type="spellStart"/>
      <w:r w:rsidRPr="00B01B6B">
        <w:rPr>
          <w:rFonts w:ascii="Verdana" w:eastAsia="Calibri" w:hAnsi="Verdana"/>
          <w:sz w:val="20"/>
          <w:szCs w:val="20"/>
          <w:lang w:val="es-ES_tradnl"/>
        </w:rPr>
        <w:t>Rodeopampa</w:t>
      </w:r>
      <w:proofErr w:type="spellEnd"/>
      <w:r w:rsidRPr="00B01B6B">
        <w:rPr>
          <w:rFonts w:ascii="Verdana" w:eastAsia="Calibri" w:hAnsi="Verdana"/>
          <w:sz w:val="20"/>
          <w:szCs w:val="20"/>
          <w:lang w:val="es-ES_tradnl"/>
        </w:rPr>
        <w:t xml:space="preserve"> a la base de </w:t>
      </w:r>
      <w:proofErr w:type="spellStart"/>
      <w:r w:rsidRPr="00B01B6B">
        <w:rPr>
          <w:rFonts w:ascii="Verdana" w:eastAsia="Calibri" w:hAnsi="Verdana"/>
          <w:sz w:val="20"/>
          <w:szCs w:val="20"/>
          <w:lang w:val="es-ES_tradnl"/>
        </w:rPr>
        <w:t>Lircay</w:t>
      </w:r>
      <w:proofErr w:type="spellEnd"/>
      <w:r w:rsidRPr="00B01B6B">
        <w:rPr>
          <w:rFonts w:ascii="Verdana" w:eastAsia="Calibri" w:hAnsi="Verdana"/>
          <w:sz w:val="20"/>
          <w:szCs w:val="20"/>
          <w:lang w:val="es-ES_tradnl"/>
        </w:rPr>
        <w:t>;</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vi.</w:t>
      </w:r>
      <w:r w:rsidRPr="00B01B6B">
        <w:rPr>
          <w:rFonts w:ascii="Verdana" w:eastAsia="Calibri" w:hAnsi="Verdana"/>
          <w:sz w:val="20"/>
          <w:szCs w:val="20"/>
          <w:lang w:val="es-ES_tradnl"/>
        </w:rPr>
        <w:tab/>
        <w:t>“</w:t>
      </w:r>
      <w:r w:rsidRPr="00384C35">
        <w:rPr>
          <w:rFonts w:ascii="Verdana" w:eastAsia="Calibri" w:hAnsi="Verdana"/>
          <w:sz w:val="20"/>
          <w:szCs w:val="20"/>
          <w:lang w:val="es-ES_tradnl"/>
        </w:rPr>
        <w:t xml:space="preserve">el jefe de la patrulla ‘Escorpio’, </w:t>
      </w:r>
      <w:proofErr w:type="spellStart"/>
      <w:r w:rsidRPr="00384C35">
        <w:rPr>
          <w:rFonts w:ascii="Verdana" w:eastAsia="Calibri" w:hAnsi="Verdana"/>
          <w:sz w:val="20"/>
          <w:szCs w:val="20"/>
          <w:lang w:val="es-ES_tradnl"/>
        </w:rPr>
        <w:t>Bendezú</w:t>
      </w:r>
      <w:proofErr w:type="spellEnd"/>
      <w:r w:rsidRPr="00384C35">
        <w:rPr>
          <w:rFonts w:ascii="Verdana" w:eastAsia="Calibri" w:hAnsi="Verdana"/>
          <w:sz w:val="20"/>
          <w:szCs w:val="20"/>
          <w:lang w:val="es-ES_tradnl"/>
        </w:rPr>
        <w:t xml:space="preserve"> Vargas, al recibir la información del hallazgo de dinamita, dio la orden de subir a todos los detenidos</w:t>
      </w:r>
      <w:r w:rsidRPr="00B01B6B">
        <w:rPr>
          <w:rFonts w:ascii="Verdana" w:eastAsia="Calibri" w:hAnsi="Verdana"/>
          <w:sz w:val="20"/>
          <w:szCs w:val="20"/>
          <w:lang w:val="es-ES_tradnl"/>
        </w:rPr>
        <w:t xml:space="preserve"> sin excepción hasta la bocamina, entre los que se encontraban un anciano de 65 años, mujeres, y niños”;</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vii.</w:t>
      </w:r>
      <w:r w:rsidRPr="00B01B6B">
        <w:rPr>
          <w:rFonts w:ascii="Verdana" w:eastAsia="Calibri" w:hAnsi="Verdana"/>
          <w:sz w:val="20"/>
          <w:szCs w:val="20"/>
          <w:lang w:val="es-ES_tradnl"/>
        </w:rPr>
        <w:tab/>
        <w:t>“</w:t>
      </w:r>
      <w:r w:rsidRPr="00384C35">
        <w:rPr>
          <w:rFonts w:ascii="Verdana" w:eastAsia="Calibri" w:hAnsi="Verdana"/>
          <w:sz w:val="20"/>
          <w:szCs w:val="20"/>
          <w:lang w:val="es-ES_tradnl"/>
        </w:rPr>
        <w:t>el trato y eliminación de las víctimas en las circunstancias en que tuvo lugar, amarradas y previamente introducidas en el socavón de la mina, constituye [una] grave afectación a su condición humana, y por ende a su dignidad</w:t>
      </w:r>
      <w:r w:rsidRPr="00B01B6B">
        <w:rPr>
          <w:rFonts w:ascii="Verdana" w:eastAsia="Calibri" w:hAnsi="Verdana"/>
          <w:sz w:val="20"/>
          <w:szCs w:val="20"/>
          <w:lang w:val="es-ES_tradnl"/>
        </w:rPr>
        <w:t>”;</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viii.</w:t>
      </w:r>
      <w:r w:rsidRPr="00B01B6B">
        <w:rPr>
          <w:rFonts w:ascii="Verdana" w:eastAsia="Calibri" w:hAnsi="Verdana"/>
          <w:sz w:val="20"/>
          <w:szCs w:val="20"/>
          <w:lang w:val="es-ES_tradnl"/>
        </w:rPr>
        <w:tab/>
        <w:t>“la detención y eliminación de las víctimas, fue indiscriminada, ya que no se consideró que se trataba de miembros de la población civil, los mismos que se encontraban desarmados, e indefensos ante la superioridad de la patrulla militar armada. Y […] siete de las víctimas eran niños muy pequeños, los que gozan de especial protección legal”;</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ix.</w:t>
      </w:r>
      <w:r w:rsidRPr="00B01B6B">
        <w:rPr>
          <w:rFonts w:ascii="Verdana" w:eastAsia="Calibri" w:hAnsi="Verdana"/>
          <w:sz w:val="20"/>
          <w:szCs w:val="20"/>
          <w:lang w:val="es-ES_tradnl"/>
        </w:rPr>
        <w:tab/>
        <w:t xml:space="preserve"> </w:t>
      </w:r>
      <w:r w:rsidRPr="00384C35">
        <w:rPr>
          <w:rFonts w:ascii="Verdana" w:eastAsia="Calibri" w:hAnsi="Verdana"/>
          <w:sz w:val="20"/>
          <w:szCs w:val="20"/>
          <w:lang w:val="es-ES_tradnl"/>
        </w:rPr>
        <w:t>los nombres y edades de las 14 víctimas mencionadas</w:t>
      </w:r>
      <w:r w:rsidRPr="00B01B6B">
        <w:rPr>
          <w:rFonts w:ascii="Verdana" w:eastAsia="Calibri" w:hAnsi="Verdana"/>
          <w:sz w:val="20"/>
          <w:szCs w:val="20"/>
          <w:lang w:val="es-ES_tradnl"/>
        </w:rPr>
        <w:t>;</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x.</w:t>
      </w:r>
      <w:r w:rsidRPr="00B01B6B">
        <w:rPr>
          <w:rFonts w:ascii="Verdana" w:eastAsia="Calibri" w:hAnsi="Verdana"/>
          <w:sz w:val="20"/>
          <w:szCs w:val="20"/>
          <w:lang w:val="es-ES_tradnl"/>
        </w:rPr>
        <w:tab/>
        <w:t xml:space="preserve"> “</w:t>
      </w:r>
      <w:r w:rsidRPr="00384C35">
        <w:rPr>
          <w:rFonts w:ascii="Verdana" w:eastAsia="Calibri" w:hAnsi="Verdana"/>
          <w:sz w:val="20"/>
          <w:szCs w:val="20"/>
          <w:lang w:val="es-ES_tradnl"/>
        </w:rPr>
        <w:t xml:space="preserve">el ex soldado </w:t>
      </w:r>
      <w:proofErr w:type="spellStart"/>
      <w:r w:rsidRPr="00384C35">
        <w:rPr>
          <w:rFonts w:ascii="Verdana" w:eastAsia="Calibri" w:hAnsi="Verdana"/>
          <w:sz w:val="20"/>
          <w:szCs w:val="20"/>
          <w:lang w:val="es-ES_tradnl"/>
        </w:rPr>
        <w:t>Elihoref</w:t>
      </w:r>
      <w:proofErr w:type="spellEnd"/>
      <w:r w:rsidRPr="00384C35">
        <w:rPr>
          <w:rFonts w:ascii="Verdana" w:eastAsia="Calibri" w:hAnsi="Verdana"/>
          <w:sz w:val="20"/>
          <w:szCs w:val="20"/>
          <w:lang w:val="es-ES_tradnl"/>
        </w:rPr>
        <w:t xml:space="preserve"> </w:t>
      </w:r>
      <w:proofErr w:type="spellStart"/>
      <w:r w:rsidRPr="00384C35">
        <w:rPr>
          <w:rFonts w:ascii="Verdana" w:eastAsia="Calibri" w:hAnsi="Verdana"/>
          <w:sz w:val="20"/>
          <w:szCs w:val="20"/>
          <w:lang w:val="es-ES_tradnl"/>
        </w:rPr>
        <w:t>Huamaní</w:t>
      </w:r>
      <w:proofErr w:type="spellEnd"/>
      <w:r w:rsidRPr="00384C35">
        <w:rPr>
          <w:rFonts w:ascii="Verdana" w:eastAsia="Calibri" w:hAnsi="Verdana"/>
          <w:sz w:val="20"/>
          <w:szCs w:val="20"/>
          <w:lang w:val="es-ES_tradnl"/>
        </w:rPr>
        <w:t xml:space="preserve"> Vergara, también fue eliminado con las víctimas antes mencionadas</w:t>
      </w:r>
      <w:r w:rsidRPr="00B01B6B">
        <w:rPr>
          <w:rFonts w:ascii="Verdana" w:eastAsia="Calibri" w:hAnsi="Verdana"/>
          <w:sz w:val="20"/>
          <w:szCs w:val="20"/>
          <w:lang w:val="es-ES_tradnl"/>
        </w:rPr>
        <w:t>”;</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xi.</w:t>
      </w:r>
      <w:r w:rsidRPr="00B01B6B">
        <w:rPr>
          <w:rFonts w:ascii="Verdana" w:eastAsia="Calibri" w:hAnsi="Verdana"/>
          <w:sz w:val="20"/>
          <w:szCs w:val="20"/>
          <w:lang w:val="es-ES_tradnl"/>
        </w:rPr>
        <w:tab/>
      </w:r>
      <w:r>
        <w:rPr>
          <w:rFonts w:ascii="Verdana" w:eastAsia="Calibri" w:hAnsi="Verdana"/>
          <w:sz w:val="20"/>
          <w:szCs w:val="20"/>
          <w:lang w:val="es-ES_tradnl"/>
        </w:rPr>
        <w:t>“</w:t>
      </w:r>
      <w:r w:rsidRPr="00B01B6B">
        <w:rPr>
          <w:rFonts w:ascii="Verdana" w:eastAsia="Calibri" w:hAnsi="Verdana"/>
          <w:sz w:val="20"/>
          <w:szCs w:val="20"/>
          <w:lang w:val="es-ES_tradnl"/>
        </w:rPr>
        <w:t>el propósito de subir a los detenidos a la mina, amarrados, evidenciaba claramente que era para asesinarlos”;</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xii.</w:t>
      </w:r>
      <w:r w:rsidRPr="00B01B6B">
        <w:rPr>
          <w:rFonts w:ascii="Verdana" w:eastAsia="Calibri" w:hAnsi="Verdana"/>
          <w:sz w:val="20"/>
          <w:szCs w:val="20"/>
          <w:lang w:val="es-ES_tradnl"/>
        </w:rPr>
        <w:tab/>
      </w:r>
      <w:r w:rsidRPr="00384C35">
        <w:rPr>
          <w:rFonts w:ascii="Verdana" w:eastAsia="Calibri" w:hAnsi="Verdana"/>
          <w:sz w:val="20"/>
          <w:szCs w:val="20"/>
          <w:lang w:val="es-ES_tradnl"/>
        </w:rPr>
        <w:t>los detenidos “fueron asesinad[o]s por disparos de fusil FAL, armamento utilizado por el Ejército</w:t>
      </w:r>
      <w:r w:rsidRPr="00B01B6B">
        <w:rPr>
          <w:rFonts w:ascii="Verdana" w:eastAsia="Calibri" w:hAnsi="Verdana"/>
          <w:sz w:val="20"/>
          <w:szCs w:val="20"/>
          <w:lang w:val="es-ES_tradnl"/>
        </w:rPr>
        <w:t>. […C</w:t>
      </w:r>
      <w:proofErr w:type="gramStart"/>
      <w:r w:rsidRPr="00B01B6B">
        <w:rPr>
          <w:rFonts w:ascii="Verdana" w:eastAsia="Calibri" w:hAnsi="Verdana"/>
          <w:sz w:val="20"/>
          <w:szCs w:val="20"/>
          <w:lang w:val="es-ES_tradnl"/>
        </w:rPr>
        <w:t>]</w:t>
      </w:r>
      <w:proofErr w:type="spellStart"/>
      <w:r w:rsidRPr="00B01B6B">
        <w:rPr>
          <w:rFonts w:ascii="Verdana" w:eastAsia="Calibri" w:hAnsi="Verdana"/>
          <w:sz w:val="20"/>
          <w:szCs w:val="20"/>
          <w:lang w:val="es-ES_tradnl"/>
        </w:rPr>
        <w:t>asi</w:t>
      </w:r>
      <w:proofErr w:type="spellEnd"/>
      <w:proofErr w:type="gramEnd"/>
      <w:r w:rsidRPr="00B01B6B">
        <w:rPr>
          <w:rFonts w:ascii="Verdana" w:eastAsia="Calibri" w:hAnsi="Verdana"/>
          <w:sz w:val="20"/>
          <w:szCs w:val="20"/>
          <w:lang w:val="es-ES_tradnl"/>
        </w:rPr>
        <w:t xml:space="preserve"> de inmediato </w:t>
      </w:r>
      <w:r w:rsidRPr="00384C35">
        <w:rPr>
          <w:rFonts w:ascii="Verdana" w:eastAsia="Calibri" w:hAnsi="Verdana"/>
          <w:sz w:val="20"/>
          <w:szCs w:val="20"/>
          <w:lang w:val="es-ES_tradnl"/>
        </w:rPr>
        <w:t>se hizo detonar en la mina donde habían sido ultimados los agraviados, de una carga a dos cargas de dinamita con el propósito de eliminar las evidencias</w:t>
      </w:r>
      <w:r w:rsidRPr="00B01B6B">
        <w:rPr>
          <w:rFonts w:ascii="Verdana" w:eastAsia="Calibri" w:hAnsi="Verdana"/>
          <w:sz w:val="20"/>
          <w:szCs w:val="20"/>
          <w:lang w:val="es-ES_tradnl"/>
        </w:rPr>
        <w:t xml:space="preserve">. </w:t>
      </w:r>
      <w:r w:rsidRPr="00384C35">
        <w:rPr>
          <w:rFonts w:ascii="Verdana" w:eastAsia="Calibri" w:hAnsi="Verdana"/>
          <w:sz w:val="20"/>
          <w:szCs w:val="20"/>
          <w:lang w:val="es-ES_tradnl"/>
        </w:rPr>
        <w:t>Se destruyó gran parte de los cuerpos de las víctimas, y se encontró en la diligencia de inspección judicial, únicamente restos humanos</w:t>
      </w:r>
      <w:r w:rsidRPr="00B01B6B">
        <w:rPr>
          <w:rFonts w:ascii="Verdana" w:eastAsia="Calibri" w:hAnsi="Verdana"/>
          <w:sz w:val="20"/>
          <w:szCs w:val="20"/>
          <w:lang w:val="es-ES_tradnl"/>
        </w:rPr>
        <w:t>, y</w:t>
      </w:r>
    </w:p>
    <w:p w:rsidR="00250316" w:rsidRPr="00B01B6B" w:rsidRDefault="00250316" w:rsidP="00384C35">
      <w:pPr>
        <w:spacing w:after="160" w:line="240" w:lineRule="auto"/>
        <w:ind w:left="720"/>
        <w:jc w:val="both"/>
        <w:rPr>
          <w:rFonts w:ascii="Verdana" w:eastAsia="Calibri" w:hAnsi="Verdana"/>
          <w:sz w:val="20"/>
          <w:szCs w:val="20"/>
          <w:lang w:val="es-ES_tradnl"/>
        </w:rPr>
      </w:pPr>
      <w:r w:rsidRPr="00B01B6B">
        <w:rPr>
          <w:rFonts w:ascii="Verdana" w:eastAsia="Calibri" w:hAnsi="Verdana"/>
          <w:sz w:val="20"/>
          <w:szCs w:val="20"/>
          <w:lang w:val="es-ES_tradnl"/>
        </w:rPr>
        <w:t>xiii.</w:t>
      </w:r>
      <w:r w:rsidRPr="00B01B6B">
        <w:rPr>
          <w:rFonts w:ascii="Verdana" w:eastAsia="Calibri" w:hAnsi="Verdana"/>
          <w:sz w:val="20"/>
          <w:szCs w:val="20"/>
          <w:lang w:val="es-ES_tradnl"/>
        </w:rPr>
        <w:tab/>
        <w:t>los detenidos “fueron dinamitados con la finalidad de ocultar las huellas del crimen perpetrado”.</w:t>
      </w:r>
    </w:p>
    <w:p w:rsidR="00250316" w:rsidRPr="00B01B6B" w:rsidRDefault="00250316" w:rsidP="00250316">
      <w:pPr>
        <w:spacing w:line="240" w:lineRule="auto"/>
        <w:ind w:left="720"/>
        <w:jc w:val="both"/>
        <w:rPr>
          <w:rFonts w:ascii="Verdana" w:eastAsia="Calibri" w:hAnsi="Verdana"/>
          <w:sz w:val="20"/>
          <w:szCs w:val="20"/>
          <w:lang w:val="es-ES_tradnl"/>
        </w:rPr>
      </w:pPr>
      <w:r w:rsidRPr="00B01B6B">
        <w:rPr>
          <w:rFonts w:ascii="Verdana" w:eastAsia="Calibri" w:hAnsi="Verdana"/>
          <w:i/>
          <w:sz w:val="20"/>
          <w:szCs w:val="20"/>
          <w:lang w:val="es-ES_tradnl"/>
        </w:rPr>
        <w:t>Por tanto, ha cesado la controversia respecto a esos hechos</w:t>
      </w:r>
      <w:r w:rsidRPr="00B01B6B">
        <w:rPr>
          <w:rFonts w:ascii="Verdana" w:eastAsia="Calibri" w:hAnsi="Verdana"/>
          <w:sz w:val="20"/>
          <w:szCs w:val="20"/>
          <w:lang w:val="es-ES_tradnl"/>
        </w:rPr>
        <w:t>.” (Cursiva añadida)</w:t>
      </w: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E52E04">
        <w:rPr>
          <w:rFonts w:ascii="Verdana" w:hAnsi="Verdana"/>
          <w:sz w:val="20"/>
          <w:szCs w:val="20"/>
          <w:lang w:val="es-ES_tradnl"/>
        </w:rPr>
        <w:t>En el párrafo 25, la Corte enumeró los puntos sobre los cuales “se mantiene la controversia”. Ninguno de ellos se refiere a la calificación jurídica de los hechos</w:t>
      </w:r>
      <w:r w:rsidRPr="00E52E04">
        <w:rPr>
          <w:rStyle w:val="FootnoteReference"/>
          <w:rFonts w:eastAsiaTheme="minorHAnsi"/>
          <w:szCs w:val="20"/>
          <w:lang w:val="es-ES_tradnl"/>
        </w:rPr>
        <w:footnoteReference w:id="403"/>
      </w:r>
      <w:r w:rsidRPr="00E52E04">
        <w:rPr>
          <w:rFonts w:ascii="Verdana" w:hAnsi="Verdana"/>
          <w:sz w:val="20"/>
          <w:szCs w:val="20"/>
          <w:lang w:val="es-ES_tradnl"/>
        </w:rPr>
        <w:t xml:space="preserve">, </w:t>
      </w:r>
      <w:r w:rsidRPr="00E52E04">
        <w:rPr>
          <w:rFonts w:ascii="Verdana" w:hAnsi="Verdana"/>
          <w:sz w:val="20"/>
          <w:szCs w:val="20"/>
          <w:lang w:val="es-ES_tradnl"/>
        </w:rPr>
        <w:lastRenderedPageBreak/>
        <w:t>entre los que se destacan los de que “</w:t>
      </w:r>
      <w:r w:rsidRPr="00E52E04">
        <w:rPr>
          <w:rFonts w:ascii="Verdana" w:hAnsi="Verdana"/>
          <w:b/>
          <w:i/>
          <w:sz w:val="20"/>
          <w:szCs w:val="20"/>
          <w:lang w:val="es-ES_tradnl"/>
        </w:rPr>
        <w:t>los detenidos “fueron asesinados</w:t>
      </w:r>
      <w:r w:rsidRPr="00E52E04">
        <w:rPr>
          <w:rFonts w:ascii="Verdana" w:hAnsi="Verdana"/>
          <w:i/>
          <w:sz w:val="20"/>
          <w:szCs w:val="20"/>
          <w:lang w:val="es-ES_tradnl"/>
        </w:rPr>
        <w:t xml:space="preserve"> por disparos de fusil FAL, armamento utilizado por el Ejército</w:t>
      </w:r>
      <w:r>
        <w:rPr>
          <w:rFonts w:ascii="Verdana" w:hAnsi="Verdana"/>
          <w:i/>
          <w:sz w:val="20"/>
          <w:szCs w:val="20"/>
          <w:lang w:val="es-ES_tradnl"/>
        </w:rPr>
        <w:t>”</w:t>
      </w:r>
      <w:r w:rsidRPr="00661880">
        <w:rPr>
          <w:rFonts w:ascii="Verdana" w:hAnsi="Verdana"/>
          <w:i/>
          <w:sz w:val="20"/>
          <w:szCs w:val="20"/>
          <w:lang w:val="es-ES_tradnl"/>
        </w:rPr>
        <w:t xml:space="preserve">” </w:t>
      </w:r>
      <w:r w:rsidRPr="00661880">
        <w:rPr>
          <w:rFonts w:ascii="Verdana" w:hAnsi="Verdana"/>
          <w:sz w:val="20"/>
          <w:szCs w:val="20"/>
          <w:lang w:val="es-ES_tradnl"/>
        </w:rPr>
        <w:t>y de que “</w:t>
      </w:r>
      <w:r w:rsidRPr="00661880">
        <w:rPr>
          <w:rFonts w:ascii="Verdana" w:hAnsi="Verdana"/>
          <w:i/>
          <w:sz w:val="20"/>
          <w:szCs w:val="20"/>
          <w:lang w:val="es-ES_tradnl"/>
        </w:rPr>
        <w:t xml:space="preserve">se hizo detonar en la mina donde habían sido ultimados los agraviados, de una carga a dos cargas de dinamita con el propósito de eliminar las evidencias”, </w:t>
      </w:r>
      <w:r w:rsidRPr="00661880">
        <w:rPr>
          <w:rFonts w:ascii="Verdana" w:hAnsi="Verdana"/>
          <w:sz w:val="20"/>
          <w:szCs w:val="20"/>
          <w:lang w:val="es-ES_tradnl"/>
        </w:rPr>
        <w:t>de modo que “</w:t>
      </w:r>
      <w:r w:rsidRPr="00661880">
        <w:rPr>
          <w:rFonts w:ascii="Verdana" w:hAnsi="Verdana"/>
          <w:i/>
          <w:sz w:val="20"/>
          <w:szCs w:val="20"/>
          <w:lang w:val="es-ES_tradnl"/>
        </w:rPr>
        <w:t>[s]e destruyó gran parte de los cuerpos de las víctimas, y se encontró en la diligencia de inspección judicial, únicamente restos humanos.”</w:t>
      </w:r>
    </w:p>
    <w:p w:rsidR="00250316" w:rsidRDefault="00250316" w:rsidP="00250316">
      <w:pPr>
        <w:pStyle w:val="ListParagraph"/>
        <w:spacing w:line="240" w:lineRule="auto"/>
        <w:ind w:left="0"/>
        <w:jc w:val="both"/>
        <w:rPr>
          <w:rFonts w:ascii="Verdana" w:hAnsi="Verdana"/>
          <w:sz w:val="20"/>
          <w:szCs w:val="20"/>
          <w:lang w:val="es-ES_tradnl"/>
        </w:rPr>
      </w:pP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 xml:space="preserve">En el párrafo 32, luego de expresar que el Estado ha reconocido su responsabilidad por “la violación de los derechos a la vida, integridad personal y libertad personal, establecidos en los artículos 4, 5 y 7 de la Convención” y del art. 19 en relación con los menores, la Corte afirma terminantemente: “El Tribunal decide aceptar el reconocimiento parcial de responsabilidad formulado por el Estado.” No obstante, contradictoriamente, en el párrafo siguiente (33) dice: “Sin perjuicio de ello, la Corte nota que subsiste la controversia en cuanto a la calificación jurídica de los hechos del caso como ejecución </w:t>
      </w:r>
      <w:r>
        <w:rPr>
          <w:rFonts w:ascii="Verdana" w:hAnsi="Verdana"/>
          <w:sz w:val="20"/>
          <w:szCs w:val="20"/>
          <w:lang w:val="es-ES_tradnl"/>
        </w:rPr>
        <w:t>extra</w:t>
      </w:r>
      <w:r w:rsidRPr="00661880">
        <w:rPr>
          <w:rFonts w:ascii="Verdana" w:hAnsi="Verdana"/>
          <w:sz w:val="20"/>
          <w:szCs w:val="20"/>
          <w:lang w:val="es-ES_tradnl"/>
        </w:rPr>
        <w:t>judicial o desaparición forzada</w:t>
      </w:r>
      <w:r>
        <w:rPr>
          <w:rFonts w:ascii="Verdana" w:hAnsi="Verdana"/>
          <w:sz w:val="20"/>
          <w:szCs w:val="20"/>
          <w:lang w:val="es-ES_tradnl"/>
        </w:rPr>
        <w:t xml:space="preserve"> […]</w:t>
      </w:r>
      <w:r w:rsidRPr="00661880">
        <w:rPr>
          <w:rFonts w:ascii="Verdana" w:hAnsi="Verdana"/>
          <w:sz w:val="20"/>
          <w:szCs w:val="20"/>
          <w:lang w:val="es-ES_tradnl"/>
        </w:rPr>
        <w:t>.”</w:t>
      </w:r>
    </w:p>
    <w:p w:rsidR="00250316" w:rsidRPr="00384C35" w:rsidRDefault="00250316" w:rsidP="00384C35">
      <w:pPr>
        <w:pStyle w:val="Estilo1"/>
        <w:tabs>
          <w:tab w:val="clear" w:pos="567"/>
          <w:tab w:val="clear" w:pos="1134"/>
        </w:tabs>
        <w:spacing w:after="160"/>
        <w:ind w:left="720"/>
        <w:jc w:val="left"/>
        <w:rPr>
          <w:rFonts w:cs="Times New Roman"/>
          <w:b w:val="0"/>
          <w:i/>
          <w:szCs w:val="20"/>
          <w:lang w:val="es-ES_tradnl"/>
        </w:rPr>
      </w:pPr>
      <w:r w:rsidRPr="00384C35">
        <w:rPr>
          <w:rFonts w:cs="Times New Roman"/>
          <w:b w:val="0"/>
          <w:i/>
          <w:szCs w:val="20"/>
          <w:lang w:val="es-ES_tradnl"/>
        </w:rPr>
        <w:t>Calificación infundada</w:t>
      </w:r>
    </w:p>
    <w:p w:rsidR="00250316"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La calificación jurídica por la que ha optado la mayoría de la Corte es manifiestamente infundada. Evidentemente no se puede afirmar que el asesinato de 15 personas mediante ráfagas de FAL y la posterior destrucción de los cuerpos mediante la explosión de dinamita no es una ejecución extrajudicial. Asimismo, no se puede afirmar que esos restos humanos constituyen personas desaparecidas.</w:t>
      </w:r>
    </w:p>
    <w:p w:rsidR="00250316" w:rsidRPr="00661880" w:rsidRDefault="00250316" w:rsidP="00250316">
      <w:pPr>
        <w:pStyle w:val="ListParagraph"/>
        <w:spacing w:line="240" w:lineRule="auto"/>
        <w:ind w:left="0"/>
        <w:jc w:val="both"/>
        <w:rPr>
          <w:rFonts w:ascii="Verdana" w:hAnsi="Verdana"/>
          <w:sz w:val="20"/>
          <w:szCs w:val="20"/>
          <w:lang w:val="es-ES_tradnl"/>
        </w:rPr>
      </w:pP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 xml:space="preserve">De los elementos constitutivos de la desaparición forzada sin duda se han configurado los dos primeros, pues existieron la privación de la libertad y la intervención directa de agentes estatales o la aquiescencia de éstos. Pero la existencia de esos dos elementos fue pública y notoria desde su inicio, cuando la patrulla, </w:t>
      </w:r>
      <w:r w:rsidRPr="00661880">
        <w:rPr>
          <w:rFonts w:ascii="Verdana" w:hAnsi="Verdana"/>
          <w:i/>
          <w:sz w:val="20"/>
          <w:szCs w:val="20"/>
          <w:lang w:val="es-ES_tradnl"/>
        </w:rPr>
        <w:t>“[t]ras detener a los miembros de la familia Hilario, acusándolos de pertenecer a la subversión, prendió fuego a sus viviendas para obligarlos a salir, luego de lo cual los mantuvieron detenidos el resto de la noche totalmente desnudos pese a la inclemencia del clima</w:t>
      </w:r>
      <w:r>
        <w:rPr>
          <w:rStyle w:val="FootnoteReference"/>
          <w:rFonts w:eastAsiaTheme="minorHAnsi"/>
          <w:lang w:val="es-ES_tradnl"/>
        </w:rPr>
        <w:footnoteReference w:id="404"/>
      </w:r>
      <w:r w:rsidRPr="00661880">
        <w:rPr>
          <w:rFonts w:ascii="Verdana" w:hAnsi="Verdana"/>
          <w:sz w:val="20"/>
          <w:szCs w:val="20"/>
          <w:lang w:val="es-ES_tradnl"/>
        </w:rPr>
        <w:t>.”</w:t>
      </w:r>
      <w:r w:rsidRPr="00606FCC">
        <w:rPr>
          <w:rStyle w:val="FootnoteReference"/>
          <w:rFonts w:eastAsiaTheme="minorHAnsi"/>
          <w:lang w:val="es-ES_tradnl"/>
        </w:rPr>
        <w:t xml:space="preserve"> </w:t>
      </w:r>
      <w:r w:rsidRPr="00661880">
        <w:rPr>
          <w:rFonts w:ascii="Verdana" w:hAnsi="Verdana"/>
          <w:sz w:val="20"/>
          <w:szCs w:val="20"/>
          <w:lang w:val="es-ES_tradnl"/>
        </w:rPr>
        <w:t>Y siguió siendo pública y notoria durante todo el trayecto hasta la mina y hasta la entrada en ella, donde fueron asesinados.</w:t>
      </w:r>
    </w:p>
    <w:p w:rsidR="00250316" w:rsidRDefault="00250316" w:rsidP="00250316">
      <w:pPr>
        <w:pStyle w:val="ListParagraph"/>
        <w:spacing w:line="240" w:lineRule="auto"/>
        <w:ind w:left="0"/>
        <w:jc w:val="both"/>
        <w:rPr>
          <w:rFonts w:ascii="Verdana" w:hAnsi="Verdana"/>
          <w:sz w:val="20"/>
          <w:szCs w:val="20"/>
          <w:lang w:val="es-ES_tradnl"/>
        </w:rPr>
      </w:pP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No se puede decir, entonces, que haya habido “negativa de reconocer la detención y de revelar la suerte o el paradero de la persona interesada”. La “suerte” y el “paradero” de las 15 personas detenidas fueron también públicos y notorios. Todos saben que fueron maltratados y llevados en condiciones inhumanas hasta la mina (sentencia, párr. 24, vi y vii), y que allí fueron asesinados en masa (sentencia, párr. 24, xii). Todos saben quiénes eran (sentencia, párr. 24, ix y x). Entonces, no se puede decir que haya habido ocultamiento de la privación de libertad, desde que comenzó hasta que culminó con la masacre, o negativa a informar sobre la suerte o el paradero. Lo que sí hubo fueron algunos intentos, burdos y fallidos, de ocultar los crímenes cometidos.</w:t>
      </w:r>
    </w:p>
    <w:p w:rsidR="00250316" w:rsidRDefault="00250316" w:rsidP="00250316">
      <w:pPr>
        <w:pStyle w:val="ListParagraph"/>
        <w:spacing w:line="240" w:lineRule="auto"/>
        <w:ind w:left="0"/>
        <w:jc w:val="both"/>
        <w:rPr>
          <w:rFonts w:ascii="Verdana" w:hAnsi="Verdana"/>
          <w:sz w:val="20"/>
          <w:szCs w:val="20"/>
          <w:lang w:val="es-ES_tradnl"/>
        </w:rPr>
      </w:pP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Faltó, entonces, por lo menos apenas se comenzó a difundir información sobre los macabros hechos ocurridos, la típica incertidumbre acerca de si las personas están vivas o muertas, que caracteriza perdurablemente a la desaparición forzada.</w:t>
      </w:r>
    </w:p>
    <w:p w:rsidR="00250316" w:rsidRDefault="00250316" w:rsidP="00250316">
      <w:pPr>
        <w:pStyle w:val="ListParagraph"/>
        <w:spacing w:line="240" w:lineRule="auto"/>
        <w:ind w:left="0"/>
        <w:jc w:val="both"/>
        <w:rPr>
          <w:rFonts w:ascii="Verdana" w:hAnsi="Verdana"/>
          <w:sz w:val="20"/>
          <w:szCs w:val="20"/>
          <w:lang w:val="es-ES_tradnl"/>
        </w:rPr>
      </w:pP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También estuvo ausente el elemento de detención clandestina y negación del hecho mismo de la detención, que según la CVR fue esencial en el modus operandi de las desapariciones forzadas:</w:t>
      </w:r>
    </w:p>
    <w:p w:rsidR="00250316" w:rsidRPr="00661880" w:rsidRDefault="00250316" w:rsidP="00250316">
      <w:pPr>
        <w:pStyle w:val="Estilo3"/>
        <w:spacing w:line="240" w:lineRule="auto"/>
        <w:rPr>
          <w:sz w:val="20"/>
          <w:szCs w:val="20"/>
          <w:lang w:val="es-ES_tradnl"/>
        </w:rPr>
      </w:pPr>
      <w:r w:rsidRPr="00661880">
        <w:rPr>
          <w:sz w:val="20"/>
          <w:szCs w:val="20"/>
          <w:lang w:val="es-ES_tradnl"/>
        </w:rPr>
        <w:lastRenderedPageBreak/>
        <w:t xml:space="preserve">“1.2.6. Modus operandi de los autores de la desaparición forzada </w:t>
      </w:r>
    </w:p>
    <w:p w:rsidR="00250316" w:rsidRPr="00384C35" w:rsidRDefault="00250316" w:rsidP="00384C35">
      <w:pPr>
        <w:pStyle w:val="Estilo3"/>
        <w:spacing w:after="160" w:line="240" w:lineRule="auto"/>
        <w:ind w:left="720" w:right="0" w:firstLine="0"/>
        <w:jc w:val="left"/>
        <w:rPr>
          <w:rFonts w:eastAsiaTheme="minorHAnsi" w:cs="Times New Roman"/>
          <w:spacing w:val="0"/>
          <w:sz w:val="20"/>
          <w:szCs w:val="20"/>
          <w:lang w:val="es-ES_tradnl"/>
        </w:rPr>
      </w:pPr>
      <w:r w:rsidRPr="00384C35">
        <w:rPr>
          <w:rFonts w:eastAsiaTheme="minorHAnsi" w:cs="Times New Roman"/>
          <w:spacing w:val="0"/>
          <w:sz w:val="20"/>
          <w:szCs w:val="20"/>
          <w:lang w:val="es-ES_tradnl"/>
        </w:rPr>
        <w:t>La desaparición forzada era una práctica compleja que generalmente, suponía un conjunto de actos o etapas llevados a cabo por distintos grupos de personas. La desaparición forzada concluía generalmente con la ejecución de la víctima y desaparición de sus restos. Pueden distinguirse las etapas siguientes, no necesariamente consecutivas: selección de la víctima, detención de la persona, depósito en un lugar de reclusión, eventual traslado a otro centro de reclusión, el interrogatorio, la tortura; el procesamiento de la información obtenida, la decisión de eliminación, la eliminación física, la desaparición de los restos de la víctima, el uso de los recursos del Estado. En todo el proceso, el común denominador fue la negación del hecho mismo de la detención y el no brindar información alguna de lo que sucedía con el detenido. Es decir, la persona ingresaba a un circuito establecido de detención clandestina, del cual con mucha suerte salía con vida</w:t>
      </w:r>
      <w:r w:rsidRPr="00384C35">
        <w:rPr>
          <w:rFonts w:eastAsiaTheme="minorHAnsi" w:cs="Times New Roman"/>
          <w:spacing w:val="0"/>
          <w:vertAlign w:val="superscript"/>
        </w:rPr>
        <w:footnoteReference w:id="405"/>
      </w:r>
      <w:r w:rsidRPr="00384C35">
        <w:rPr>
          <w:rFonts w:eastAsiaTheme="minorHAnsi" w:cs="Times New Roman"/>
          <w:spacing w:val="0"/>
          <w:sz w:val="20"/>
          <w:szCs w:val="20"/>
          <w:lang w:val="es-ES_tradnl"/>
        </w:rPr>
        <w:t>.”</w:t>
      </w: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Resta, desde luego – y dadas las características de los hechos quizás quede para siempre pendiente – la clara y completa identificación por ADN de restos dispersos. Pero existe la certeza de que esos restos corresponden por lo menos a quince personas determinadas que fueron asesinadas en ese lugar. No es lo que ocurre en los casos de desaparición forzada de personas que aún no se sabe si están vivas o muertas, de modo que sólo esa identificación por ADN permite decir que se ha determinado el paradero del desaparecido. En el caso de Santa Bárbara, el paradero y el triste destino de las quince víctimas es conocido.</w:t>
      </w:r>
    </w:p>
    <w:p w:rsidR="00250316" w:rsidRPr="00384C35" w:rsidRDefault="00250316" w:rsidP="00384C35">
      <w:pPr>
        <w:pStyle w:val="Estilo1"/>
        <w:tabs>
          <w:tab w:val="clear" w:pos="567"/>
          <w:tab w:val="clear" w:pos="1134"/>
        </w:tabs>
        <w:spacing w:after="160"/>
        <w:ind w:firstLine="720"/>
        <w:jc w:val="left"/>
        <w:rPr>
          <w:rFonts w:cs="Times New Roman"/>
          <w:b w:val="0"/>
          <w:i/>
          <w:szCs w:val="20"/>
          <w:lang w:val="es-ES_tradnl"/>
        </w:rPr>
      </w:pPr>
      <w:r w:rsidRPr="00384C35">
        <w:rPr>
          <w:rFonts w:cs="Times New Roman"/>
          <w:b w:val="0"/>
          <w:i/>
          <w:szCs w:val="20"/>
          <w:lang w:val="es-ES_tradnl"/>
        </w:rPr>
        <w:t>Calificación innecesaria</w:t>
      </w: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Por último, la calificación como desaparición forzada es innecesaria. Tal vez se haya hecho pensando en que era la única manera de conseguir determinados resultados vinculados al carácter permanente de la desaparición, en particular en materia de prescripción y de continuidad del deber de seguir realizando todos los esfuerzos posibles por identificar los restos hallados. En realidad, no es así.</w:t>
      </w:r>
    </w:p>
    <w:p w:rsidR="00250316" w:rsidRDefault="00250316" w:rsidP="00250316">
      <w:pPr>
        <w:pStyle w:val="ListParagraph"/>
        <w:spacing w:line="240" w:lineRule="auto"/>
        <w:ind w:left="0"/>
        <w:jc w:val="both"/>
        <w:rPr>
          <w:rFonts w:ascii="Verdana" w:hAnsi="Verdana"/>
          <w:sz w:val="20"/>
          <w:szCs w:val="20"/>
          <w:lang w:val="es-ES_tradnl"/>
        </w:rPr>
      </w:pPr>
    </w:p>
    <w:p w:rsidR="00250316" w:rsidRPr="00661880"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En primer lugar, los hechos ocurridos en la mina “Misteriosa” ya han sido calificados en el plano interno como crimen de lesa humanidad y consiguientemente se ha determinado su imprescriptibilidad.</w:t>
      </w:r>
    </w:p>
    <w:p w:rsidR="00250316" w:rsidRDefault="00250316" w:rsidP="00250316">
      <w:pPr>
        <w:pStyle w:val="ListParagraph"/>
        <w:spacing w:line="240" w:lineRule="auto"/>
        <w:ind w:left="0"/>
        <w:jc w:val="both"/>
        <w:rPr>
          <w:rFonts w:ascii="Verdana" w:hAnsi="Verdana"/>
          <w:sz w:val="20"/>
          <w:szCs w:val="20"/>
          <w:lang w:val="es-ES_tradnl"/>
        </w:rPr>
      </w:pPr>
    </w:p>
    <w:p w:rsidR="00250316"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En segundo lugar, subsiste el deber de realizar con la debida diligencia y con los mejores medios técnicos el esfuerzo por identificar a los restos hallados.</w:t>
      </w:r>
    </w:p>
    <w:p w:rsidR="00250316" w:rsidRPr="00656549" w:rsidRDefault="00250316" w:rsidP="00250316">
      <w:pPr>
        <w:spacing w:line="240" w:lineRule="auto"/>
        <w:jc w:val="both"/>
        <w:rPr>
          <w:rFonts w:ascii="Verdana" w:hAnsi="Verdana"/>
          <w:sz w:val="20"/>
          <w:szCs w:val="20"/>
          <w:lang w:val="es-ES_tradnl"/>
        </w:rPr>
      </w:pPr>
    </w:p>
    <w:p w:rsidR="00250316" w:rsidRPr="00F07E4F" w:rsidRDefault="00250316" w:rsidP="00250316">
      <w:pPr>
        <w:pStyle w:val="Estilo2"/>
        <w:numPr>
          <w:ilvl w:val="0"/>
          <w:numId w:val="24"/>
        </w:numPr>
        <w:tabs>
          <w:tab w:val="clear" w:pos="567"/>
          <w:tab w:val="clear" w:pos="1134"/>
        </w:tabs>
        <w:spacing w:after="160"/>
        <w:ind w:left="0" w:firstLine="0"/>
        <w:contextualSpacing/>
        <w:rPr>
          <w:rFonts w:eastAsiaTheme="minorHAnsi" w:cs="Times New Roman"/>
          <w:b w:val="0"/>
          <w:szCs w:val="20"/>
          <w:lang w:val="es-ES_tradnl"/>
        </w:rPr>
      </w:pPr>
      <w:r w:rsidRPr="00F07E4F">
        <w:rPr>
          <w:rFonts w:eastAsiaTheme="minorHAnsi" w:cs="Times New Roman"/>
          <w:b w:val="0"/>
          <w:szCs w:val="20"/>
          <w:lang w:val="es-ES_tradnl"/>
        </w:rPr>
        <w:t>CONCLUSIÓN</w:t>
      </w:r>
    </w:p>
    <w:p w:rsidR="00250316" w:rsidRDefault="00250316" w:rsidP="00250316">
      <w:pPr>
        <w:pStyle w:val="ListParagraph"/>
        <w:numPr>
          <w:ilvl w:val="0"/>
          <w:numId w:val="23"/>
        </w:numPr>
        <w:spacing w:after="160" w:line="240" w:lineRule="auto"/>
        <w:ind w:left="0" w:firstLine="0"/>
        <w:jc w:val="both"/>
        <w:rPr>
          <w:rFonts w:ascii="Verdana" w:hAnsi="Verdana"/>
          <w:sz w:val="20"/>
          <w:szCs w:val="20"/>
          <w:lang w:val="es-ES_tradnl"/>
        </w:rPr>
      </w:pPr>
      <w:r w:rsidRPr="00661880">
        <w:rPr>
          <w:rFonts w:ascii="Verdana" w:hAnsi="Verdana"/>
          <w:sz w:val="20"/>
          <w:szCs w:val="20"/>
          <w:lang w:val="es-ES_tradnl"/>
        </w:rPr>
        <w:t>De todo lo expuesto cabe concluir que la descripción de los hechos del caso lleva naturalmente a calificarlos como masacre o ejecución extrajudicial masiva, y no permite en modo alguno calificarlos como desaparición forzada. La calificación hecha por la Corte es incompatible con la aceptación del reconocimiento parcial de responsabilidad del Estado y manifiestamente infundada y resulta innecesaria para la debida consideración jurídica de hechos tan terribles y macabros como los de este caso.</w:t>
      </w:r>
    </w:p>
    <w:p w:rsidR="00250316" w:rsidRPr="00656549" w:rsidRDefault="00250316" w:rsidP="00250316">
      <w:pPr>
        <w:spacing w:line="240" w:lineRule="auto"/>
        <w:jc w:val="both"/>
        <w:rPr>
          <w:rFonts w:ascii="Verdana" w:hAnsi="Verdana"/>
          <w:sz w:val="20"/>
          <w:szCs w:val="20"/>
          <w:lang w:val="es-ES_tradnl"/>
        </w:rPr>
      </w:pPr>
    </w:p>
    <w:p w:rsidR="00250316" w:rsidRDefault="00250316" w:rsidP="00250316">
      <w:pPr>
        <w:pStyle w:val="Estilo1"/>
        <w:rPr>
          <w:lang w:val="es-ES_tradnl"/>
        </w:rPr>
      </w:pPr>
    </w:p>
    <w:p w:rsidR="00250316" w:rsidRDefault="00250316" w:rsidP="00250316">
      <w:pPr>
        <w:pStyle w:val="Estilo1"/>
        <w:rPr>
          <w:lang w:val="es-ES_tradnl"/>
        </w:rPr>
      </w:pPr>
    </w:p>
    <w:p w:rsidR="00250316" w:rsidRDefault="00250316" w:rsidP="00250316">
      <w:pPr>
        <w:pStyle w:val="Estilo1"/>
        <w:rPr>
          <w:lang w:val="es-ES_tradnl"/>
        </w:rPr>
      </w:pPr>
    </w:p>
    <w:p w:rsidR="00250316" w:rsidRDefault="00250316" w:rsidP="00250316">
      <w:pPr>
        <w:pStyle w:val="Estilo1"/>
        <w:rPr>
          <w:lang w:val="es-ES_tradnl"/>
        </w:rPr>
      </w:pPr>
    </w:p>
    <w:p w:rsidR="00250316" w:rsidRPr="00F07E4F" w:rsidRDefault="00250316" w:rsidP="00F07E4F">
      <w:pPr>
        <w:pStyle w:val="Estilo1"/>
        <w:tabs>
          <w:tab w:val="clear" w:pos="567"/>
          <w:tab w:val="clear" w:pos="1134"/>
        </w:tabs>
        <w:spacing w:after="160"/>
        <w:jc w:val="right"/>
        <w:rPr>
          <w:rFonts w:cs="Times New Roman"/>
          <w:b w:val="0"/>
          <w:szCs w:val="24"/>
          <w:lang w:val="es-ES_tradnl"/>
        </w:rPr>
      </w:pPr>
      <w:r w:rsidRPr="00F07E4F">
        <w:rPr>
          <w:rFonts w:cs="Times New Roman"/>
          <w:b w:val="0"/>
          <w:szCs w:val="24"/>
          <w:lang w:val="es-ES_tradnl"/>
        </w:rPr>
        <w:t xml:space="preserve">Alberto Pérez </w:t>
      </w:r>
      <w:proofErr w:type="spellStart"/>
      <w:r w:rsidRPr="00F07E4F">
        <w:rPr>
          <w:rFonts w:cs="Times New Roman"/>
          <w:b w:val="0"/>
          <w:szCs w:val="24"/>
          <w:lang w:val="es-ES_tradnl"/>
        </w:rPr>
        <w:t>Pérez</w:t>
      </w:r>
      <w:proofErr w:type="spellEnd"/>
    </w:p>
    <w:p w:rsidR="00250316" w:rsidRDefault="00250316" w:rsidP="00250316">
      <w:pPr>
        <w:pStyle w:val="Estilo1"/>
        <w:jc w:val="right"/>
        <w:rPr>
          <w:lang w:val="es-ES_tradnl"/>
        </w:rPr>
      </w:pPr>
    </w:p>
    <w:p w:rsidR="00250316" w:rsidRDefault="00250316" w:rsidP="00250316">
      <w:pPr>
        <w:pStyle w:val="Estilo1"/>
        <w:jc w:val="right"/>
        <w:rPr>
          <w:lang w:val="es-ES_tradnl"/>
        </w:rPr>
      </w:pPr>
    </w:p>
    <w:p w:rsidR="00250316" w:rsidRDefault="00250316" w:rsidP="00250316">
      <w:pPr>
        <w:pStyle w:val="Estilo1"/>
        <w:jc w:val="right"/>
        <w:rPr>
          <w:lang w:val="es-ES_tradnl"/>
        </w:rPr>
      </w:pPr>
    </w:p>
    <w:p w:rsidR="00250316" w:rsidRDefault="00250316" w:rsidP="00250316">
      <w:pPr>
        <w:pStyle w:val="Estilo1"/>
        <w:jc w:val="right"/>
        <w:rPr>
          <w:lang w:val="es-ES_tradnl"/>
        </w:rPr>
      </w:pPr>
    </w:p>
    <w:p w:rsidR="00250316" w:rsidRPr="004D05D8" w:rsidRDefault="00250316" w:rsidP="00250316">
      <w:pPr>
        <w:widowControl w:val="0"/>
        <w:adjustRightInd w:val="0"/>
        <w:spacing w:after="0" w:line="240" w:lineRule="auto"/>
        <w:jc w:val="both"/>
        <w:rPr>
          <w:rFonts w:ascii="Verdana" w:hAnsi="Verdana" w:cs="Verdana"/>
          <w:spacing w:val="-4"/>
          <w:sz w:val="20"/>
          <w:szCs w:val="20"/>
          <w:lang w:eastAsia="es-CR"/>
        </w:rPr>
      </w:pPr>
      <w:r w:rsidRPr="004D05D8">
        <w:rPr>
          <w:rFonts w:ascii="Verdana" w:hAnsi="Verdana" w:cs="Verdana"/>
          <w:spacing w:val="-4"/>
          <w:sz w:val="20"/>
          <w:szCs w:val="20"/>
          <w:lang w:eastAsia="es-CR"/>
        </w:rPr>
        <w:t>Pablo Saavedra Alessandri</w:t>
      </w:r>
    </w:p>
    <w:p w:rsidR="00250316" w:rsidRPr="004D05D8" w:rsidRDefault="00250316" w:rsidP="00250316">
      <w:pPr>
        <w:widowControl w:val="0"/>
        <w:adjustRightInd w:val="0"/>
        <w:spacing w:after="0" w:line="240" w:lineRule="auto"/>
        <w:jc w:val="both"/>
        <w:rPr>
          <w:rFonts w:ascii="Verdana" w:hAnsi="Verdana" w:cs="Verdana"/>
          <w:spacing w:val="-4"/>
          <w:sz w:val="20"/>
          <w:szCs w:val="20"/>
          <w:lang w:eastAsia="es-CR"/>
        </w:rPr>
      </w:pPr>
      <w:r w:rsidRPr="004D05D8">
        <w:rPr>
          <w:rFonts w:ascii="Verdana" w:hAnsi="Verdana" w:cs="Verdana"/>
          <w:spacing w:val="-4"/>
          <w:sz w:val="20"/>
          <w:szCs w:val="20"/>
          <w:lang w:eastAsia="es-CR"/>
        </w:rPr>
        <w:tab/>
        <w:t>Secretario</w:t>
      </w:r>
    </w:p>
    <w:p w:rsidR="00250316" w:rsidRPr="00893C97" w:rsidRDefault="00250316" w:rsidP="00893C97">
      <w:pPr>
        <w:spacing w:after="0" w:line="240" w:lineRule="auto"/>
        <w:ind w:left="-142" w:right="-799"/>
        <w:jc w:val="center"/>
        <w:rPr>
          <w:rFonts w:ascii="Verdana" w:eastAsia="Calibri" w:hAnsi="Verdana"/>
          <w:b/>
          <w:spacing w:val="-2"/>
          <w:sz w:val="20"/>
          <w:szCs w:val="20"/>
          <w:lang w:val="es-CL"/>
        </w:rPr>
      </w:pPr>
    </w:p>
    <w:p w:rsidR="000A3300" w:rsidRPr="00893C97" w:rsidRDefault="000A3300" w:rsidP="00893C97">
      <w:pPr>
        <w:spacing w:after="0" w:line="240" w:lineRule="auto"/>
        <w:ind w:left="-142" w:right="-799"/>
        <w:jc w:val="center"/>
        <w:rPr>
          <w:rFonts w:ascii="Verdana" w:eastAsia="Calibri" w:hAnsi="Verdana"/>
          <w:b/>
          <w:spacing w:val="-2"/>
          <w:sz w:val="20"/>
          <w:szCs w:val="20"/>
          <w:lang w:val="es-CL"/>
        </w:rPr>
        <w:sectPr w:rsidR="000A3300" w:rsidRPr="00893C97" w:rsidSect="00250316">
          <w:headerReference w:type="default" r:id="rId20"/>
          <w:footerReference w:type="default" r:id="rId21"/>
          <w:footnotePr>
            <w:numRestart w:val="eachSect"/>
          </w:footnotePr>
          <w:pgSz w:w="12240" w:h="15840"/>
          <w:pgMar w:top="1417" w:right="1701" w:bottom="1417" w:left="1701" w:header="708" w:footer="708" w:gutter="0"/>
          <w:pgNumType w:start="1"/>
          <w:cols w:space="708"/>
          <w:titlePg/>
          <w:docGrid w:linePitch="360"/>
        </w:sectPr>
      </w:pP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r w:rsidRPr="00D57F75">
        <w:rPr>
          <w:rFonts w:ascii="Verdana" w:eastAsia="Calibri" w:hAnsi="Verdana"/>
          <w:b/>
          <w:spacing w:val="-2"/>
          <w:sz w:val="20"/>
          <w:szCs w:val="20"/>
          <w:lang w:val="es-CL"/>
        </w:rPr>
        <w:t xml:space="preserve">VOTO DISIDENTE DEL JUEZ EDUARDO VIO GROSSI, </w:t>
      </w: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r w:rsidRPr="00D57F75">
        <w:rPr>
          <w:rFonts w:ascii="Verdana" w:eastAsia="Calibri" w:hAnsi="Verdana"/>
          <w:b/>
          <w:spacing w:val="-2"/>
          <w:sz w:val="20"/>
          <w:szCs w:val="20"/>
          <w:lang w:val="es-CL"/>
        </w:rPr>
        <w:t>SENTENCIA DE LA CORTE INTERAMERICANA DE DERECHOS HUMANOS,</w:t>
      </w:r>
    </w:p>
    <w:p w:rsidR="00D57F75" w:rsidRPr="00D57F75" w:rsidRDefault="00D57F75" w:rsidP="00D57F75">
      <w:pPr>
        <w:spacing w:after="0" w:line="240" w:lineRule="auto"/>
        <w:ind w:left="-142" w:right="-799"/>
        <w:jc w:val="center"/>
        <w:rPr>
          <w:rFonts w:ascii="Verdana" w:eastAsia="Calibri" w:hAnsi="Verdana"/>
          <w:b/>
          <w:spacing w:val="-2"/>
          <w:sz w:val="20"/>
          <w:szCs w:val="20"/>
          <w:lang w:val="es-CL"/>
        </w:rPr>
      </w:pPr>
      <w:r w:rsidRPr="00D57F75">
        <w:rPr>
          <w:rFonts w:ascii="Verdana" w:eastAsia="Calibri" w:hAnsi="Verdana"/>
          <w:b/>
          <w:spacing w:val="-2"/>
          <w:sz w:val="20"/>
          <w:szCs w:val="20"/>
          <w:lang w:val="es-CL"/>
        </w:rPr>
        <w:t xml:space="preserve">CASO </w:t>
      </w:r>
      <w:r w:rsidRPr="00D57F75">
        <w:rPr>
          <w:rFonts w:ascii="Verdana" w:eastAsia="Calibri" w:hAnsi="Verdana" w:cs="Verdana"/>
          <w:b/>
          <w:bCs/>
          <w:sz w:val="20"/>
          <w:szCs w:val="20"/>
          <w:lang w:val="es-CL"/>
        </w:rPr>
        <w:t>COMUNIDAD CAMPESINA DE SANTA B</w:t>
      </w:r>
      <w:r w:rsidRPr="00D57F75">
        <w:rPr>
          <w:rFonts w:ascii="Verdana" w:eastAsia="Calibri" w:hAnsi="Verdana" w:cs="Verdana"/>
          <w:b/>
          <w:bCs/>
          <w:sz w:val="20"/>
          <w:szCs w:val="20"/>
          <w:lang w:val="pt-BR"/>
        </w:rPr>
        <w:t xml:space="preserve">ÁRBARA </w:t>
      </w:r>
      <w:r w:rsidRPr="00D57F75">
        <w:rPr>
          <w:rFonts w:ascii="Verdana" w:eastAsia="Calibri" w:hAnsi="Verdana" w:cs="Verdana"/>
          <w:b/>
          <w:bCs/>
          <w:i/>
          <w:iCs/>
          <w:sz w:val="20"/>
          <w:szCs w:val="20"/>
          <w:lang w:val="es-CL"/>
        </w:rPr>
        <w:t xml:space="preserve">VS. </w:t>
      </w:r>
      <w:r w:rsidRPr="00D57F75">
        <w:rPr>
          <w:rFonts w:ascii="Verdana" w:eastAsia="Calibri" w:hAnsi="Verdana" w:cs="Verdana"/>
          <w:b/>
          <w:bCs/>
          <w:sz w:val="20"/>
          <w:szCs w:val="20"/>
          <w:lang w:val="es-CL"/>
        </w:rPr>
        <w:t>PERÚ</w:t>
      </w:r>
    </w:p>
    <w:p w:rsidR="00D57F75" w:rsidRPr="00D57F75" w:rsidRDefault="00D57F75" w:rsidP="00D57F75">
      <w:pPr>
        <w:spacing w:after="0" w:line="240" w:lineRule="auto"/>
        <w:ind w:right="-799"/>
        <w:jc w:val="center"/>
        <w:rPr>
          <w:rFonts w:ascii="Verdana" w:eastAsia="Calibri" w:hAnsi="Verdana"/>
          <w:b/>
          <w:spacing w:val="-2"/>
          <w:sz w:val="20"/>
          <w:szCs w:val="20"/>
          <w:lang w:val="es-CL"/>
        </w:rPr>
      </w:pPr>
      <w:r w:rsidRPr="00D57F75">
        <w:rPr>
          <w:rFonts w:ascii="Verdana" w:eastAsia="Calibri" w:hAnsi="Verdana"/>
          <w:b/>
          <w:spacing w:val="-2"/>
          <w:sz w:val="20"/>
          <w:szCs w:val="20"/>
          <w:lang w:val="es-CL"/>
        </w:rPr>
        <w:t>SENTENCIA DE 1 DE SEPTIEMBRE DE 2015</w:t>
      </w:r>
    </w:p>
    <w:p w:rsidR="00D57F75" w:rsidRPr="00D57F75" w:rsidRDefault="00D57F75" w:rsidP="00D57F75">
      <w:pPr>
        <w:spacing w:after="0" w:line="240" w:lineRule="auto"/>
        <w:ind w:right="-799"/>
        <w:jc w:val="center"/>
        <w:rPr>
          <w:rFonts w:ascii="Verdana" w:eastAsia="Calibri" w:hAnsi="Verdana"/>
          <w:b/>
          <w:spacing w:val="-2"/>
          <w:sz w:val="20"/>
          <w:szCs w:val="20"/>
          <w:lang w:val="es-CL"/>
        </w:rPr>
      </w:pPr>
      <w:r w:rsidRPr="00D57F75">
        <w:rPr>
          <w:rFonts w:ascii="Verdana" w:eastAsia="Calibri" w:hAnsi="Verdana"/>
          <w:b/>
          <w:i/>
          <w:spacing w:val="-2"/>
          <w:sz w:val="20"/>
          <w:szCs w:val="20"/>
          <w:lang w:val="es-CL"/>
        </w:rPr>
        <w:t>(Excepciones Preliminares, Fondo, Reparaciones y Costas</w:t>
      </w:r>
      <w:r w:rsidRPr="00D57F75">
        <w:rPr>
          <w:rFonts w:ascii="Verdana" w:eastAsia="Calibri" w:hAnsi="Verdana"/>
          <w:b/>
          <w:spacing w:val="-2"/>
          <w:sz w:val="20"/>
          <w:szCs w:val="20"/>
          <w:lang w:val="es-CL"/>
        </w:rPr>
        <w:t>)</w:t>
      </w:r>
    </w:p>
    <w:p w:rsidR="00D57F75" w:rsidRPr="00D57F75" w:rsidRDefault="00D57F75" w:rsidP="00D57F75">
      <w:pPr>
        <w:spacing w:after="240" w:line="240" w:lineRule="auto"/>
        <w:jc w:val="both"/>
        <w:rPr>
          <w:rFonts w:ascii="Verdana" w:eastAsia="Calibri" w:hAnsi="Verdana" w:cs="Calibri"/>
          <w:sz w:val="20"/>
          <w:szCs w:val="20"/>
          <w:lang w:val="es-CL"/>
        </w:rPr>
      </w:pPr>
    </w:p>
    <w:p w:rsidR="00D57F75" w:rsidRPr="00D57F75" w:rsidRDefault="00D57F75" w:rsidP="00D57F75">
      <w:pPr>
        <w:spacing w:after="240" w:line="240" w:lineRule="auto"/>
        <w:jc w:val="both"/>
        <w:rPr>
          <w:rFonts w:ascii="Verdana" w:eastAsia="Calibri" w:hAnsi="Verdana" w:cs="Calibri"/>
          <w:b/>
          <w:sz w:val="20"/>
          <w:szCs w:val="20"/>
        </w:rPr>
      </w:pPr>
      <w:r w:rsidRPr="00D57F75">
        <w:rPr>
          <w:rFonts w:ascii="Verdana" w:eastAsia="Calibri" w:hAnsi="Verdana" w:cs="Calibri"/>
          <w:b/>
          <w:sz w:val="20"/>
          <w:szCs w:val="20"/>
        </w:rPr>
        <w:t>INTRODUCCIÓN.</w:t>
      </w:r>
    </w:p>
    <w:p w:rsidR="00D57F75" w:rsidRPr="00D57F75" w:rsidRDefault="00D57F75" w:rsidP="00D57F75">
      <w:pPr>
        <w:spacing w:after="240" w:line="240" w:lineRule="auto"/>
        <w:jc w:val="both"/>
        <w:rPr>
          <w:rFonts w:ascii="Verdana" w:eastAsia="Calibri" w:hAnsi="Verdana" w:cs="Calibri"/>
          <w:sz w:val="20"/>
          <w:szCs w:val="20"/>
        </w:rPr>
      </w:pPr>
      <w:r w:rsidRPr="00D57F75">
        <w:rPr>
          <w:rFonts w:ascii="Verdana" w:eastAsia="Calibri" w:hAnsi="Verdana" w:cs="Calibri"/>
          <w:sz w:val="20"/>
          <w:szCs w:val="20"/>
        </w:rPr>
        <w:t>Se emite el presente voto individual disidente</w:t>
      </w:r>
      <w:r w:rsidRPr="00D57F75">
        <w:rPr>
          <w:rFonts w:ascii="Verdana" w:eastAsia="Calibri" w:hAnsi="Verdana" w:cs="Calibri"/>
          <w:sz w:val="20"/>
          <w:szCs w:val="20"/>
          <w:vertAlign w:val="superscript"/>
        </w:rPr>
        <w:footnoteReference w:id="406"/>
      </w:r>
      <w:r w:rsidRPr="00D57F75">
        <w:rPr>
          <w:rFonts w:ascii="Verdana" w:eastAsia="Calibri" w:hAnsi="Verdana" w:cs="Calibri"/>
          <w:sz w:val="20"/>
          <w:szCs w:val="20"/>
        </w:rPr>
        <w:t xml:space="preserve"> a la Sentencia indicada en el título</w:t>
      </w:r>
      <w:r w:rsidRPr="00D57F75">
        <w:rPr>
          <w:rFonts w:ascii="Verdana" w:eastAsia="Calibri" w:hAnsi="Verdana" w:cs="Calibri"/>
          <w:sz w:val="20"/>
          <w:szCs w:val="20"/>
          <w:vertAlign w:val="superscript"/>
        </w:rPr>
        <w:footnoteReference w:id="407"/>
      </w:r>
      <w:r w:rsidRPr="00D57F75">
        <w:rPr>
          <w:rFonts w:ascii="Verdana" w:eastAsia="Calibri" w:hAnsi="Verdana" w:cs="Calibri"/>
          <w:sz w:val="20"/>
          <w:szCs w:val="20"/>
        </w:rPr>
        <w:t>, en razón de que ésta desestimó la excepción preliminar relativa al incumplimiento de la regla del previo agotamiento de los recursos internos, prevista en el artículo 46 de la Convención Americana sobre Derechos Humanos</w:t>
      </w:r>
      <w:r w:rsidRPr="00D57F75">
        <w:rPr>
          <w:rFonts w:ascii="Verdana" w:eastAsia="Calibri" w:hAnsi="Verdana" w:cs="Calibri"/>
          <w:sz w:val="20"/>
          <w:szCs w:val="20"/>
          <w:vertAlign w:val="superscript"/>
        </w:rPr>
        <w:footnoteReference w:id="408"/>
      </w:r>
      <w:r w:rsidRPr="00D57F75">
        <w:rPr>
          <w:rFonts w:ascii="Verdana" w:eastAsia="Calibri" w:hAnsi="Verdana" w:cs="Calibri"/>
          <w:sz w:val="20"/>
          <w:szCs w:val="20"/>
        </w:rPr>
        <w:t xml:space="preserve"> e interpuesta por la República del Perú</w:t>
      </w:r>
      <w:r w:rsidRPr="00D57F75">
        <w:rPr>
          <w:rFonts w:ascii="Verdana" w:eastAsia="Calibri" w:hAnsi="Verdana" w:cs="Calibri"/>
          <w:sz w:val="20"/>
          <w:szCs w:val="20"/>
          <w:vertAlign w:val="superscript"/>
        </w:rPr>
        <w:footnoteReference w:id="409"/>
      </w:r>
      <w:r w:rsidRPr="00D57F75">
        <w:rPr>
          <w:rFonts w:ascii="Verdana" w:eastAsia="Calibri" w:hAnsi="Verdana" w:cs="Calibri"/>
          <w:sz w:val="20"/>
          <w:szCs w:val="20"/>
        </w:rPr>
        <w:t>. Los fundamentos de esta disidencia son que, mientras la Sentencia es del parecer que corresponde rechazar la referida excepción hecha valer por el Estado en mérito de que, por una parte, ella “</w:t>
      </w:r>
      <w:r w:rsidRPr="00D57F75">
        <w:rPr>
          <w:rFonts w:ascii="Verdana" w:eastAsia="Calibri" w:hAnsi="Verdana" w:cs="Calibri"/>
          <w:i/>
          <w:sz w:val="20"/>
          <w:szCs w:val="20"/>
        </w:rPr>
        <w:t>no resultaría compatible con el reconocimiento parcial de responsabilidad efectuado en el presente caso</w:t>
      </w:r>
      <w:r w:rsidRPr="00D57F75">
        <w:rPr>
          <w:rFonts w:ascii="Verdana" w:eastAsia="Calibri" w:hAnsi="Verdana" w:cs="Calibri"/>
          <w:sz w:val="20"/>
          <w:szCs w:val="20"/>
        </w:rPr>
        <w:t>”</w:t>
      </w:r>
      <w:r w:rsidRPr="00D57F75">
        <w:rPr>
          <w:rFonts w:ascii="Verdana" w:eastAsia="Calibri" w:hAnsi="Verdana" w:cs="Calibri"/>
          <w:sz w:val="20"/>
          <w:szCs w:val="20"/>
          <w:vertAlign w:val="superscript"/>
        </w:rPr>
        <w:footnoteReference w:id="410"/>
      </w:r>
      <w:r w:rsidRPr="00D57F75">
        <w:rPr>
          <w:rFonts w:ascii="Verdana" w:eastAsia="Calibri" w:hAnsi="Verdana" w:cs="Calibri"/>
          <w:sz w:val="20"/>
          <w:szCs w:val="20"/>
        </w:rPr>
        <w:t xml:space="preserve"> </w:t>
      </w:r>
      <w:r w:rsidRPr="00D57F75">
        <w:rPr>
          <w:rFonts w:ascii="Verdana" w:eastAsia="Calibri" w:hAnsi="Verdana" w:cs="Calibri"/>
          <w:color w:val="000000"/>
          <w:sz w:val="20"/>
          <w:szCs w:val="20"/>
        </w:rPr>
        <w:t xml:space="preserve">y, </w:t>
      </w:r>
      <w:r w:rsidRPr="00D57F75">
        <w:rPr>
          <w:rFonts w:ascii="Verdana" w:eastAsia="Calibri" w:hAnsi="Verdana" w:cs="Calibri"/>
          <w:sz w:val="20"/>
          <w:szCs w:val="20"/>
        </w:rPr>
        <w:t>por la otra parte, en los recursos que el Estado mencionó en sus escritos, “</w:t>
      </w:r>
      <w:r w:rsidRPr="00D57F75">
        <w:rPr>
          <w:rFonts w:ascii="Verdana" w:eastAsia="Calibri" w:hAnsi="Verdana" w:cs="Calibri"/>
          <w:i/>
          <w:sz w:val="20"/>
          <w:szCs w:val="20"/>
        </w:rPr>
        <w:t>no específico por qué […] serían, a su juicio, adecuados, idóneos y efectivos”</w:t>
      </w:r>
      <w:r w:rsidRPr="00D57F75">
        <w:rPr>
          <w:rFonts w:ascii="Verdana" w:eastAsia="Calibri" w:hAnsi="Verdana" w:cs="Calibri"/>
          <w:i/>
          <w:sz w:val="20"/>
          <w:szCs w:val="20"/>
          <w:vertAlign w:val="superscript"/>
        </w:rPr>
        <w:footnoteReference w:id="411"/>
      </w:r>
      <w:r w:rsidRPr="00D57F75">
        <w:rPr>
          <w:rFonts w:ascii="Verdana" w:eastAsia="Calibri" w:hAnsi="Verdana" w:cs="Calibri"/>
          <w:sz w:val="20"/>
          <w:szCs w:val="20"/>
        </w:rPr>
        <w:t>, en el presente documento se estima que el peticionario no cumplió con el requisito de agotar los recursos internos en forma previa a la presentación de su petición y que la Sentencia, avalando lo obrado por la Comisión Interamericana de Derechos Humanos</w:t>
      </w:r>
      <w:r w:rsidRPr="00D57F75">
        <w:rPr>
          <w:rFonts w:ascii="Verdana" w:eastAsia="Calibri" w:hAnsi="Verdana" w:cs="Calibri"/>
          <w:sz w:val="20"/>
          <w:szCs w:val="20"/>
          <w:vertAlign w:val="superscript"/>
        </w:rPr>
        <w:footnoteReference w:id="412"/>
      </w:r>
      <w:r w:rsidRPr="00D57F75">
        <w:rPr>
          <w:rFonts w:ascii="Verdana" w:eastAsia="Calibri" w:hAnsi="Verdana" w:cs="Calibri"/>
          <w:sz w:val="20"/>
          <w:szCs w:val="20"/>
        </w:rPr>
        <w:t>, fundamenta su decisión en hechos posteriores a esa presentación y de la correspondiente contestación del Estado a la misma.</w:t>
      </w:r>
    </w:p>
    <w:p w:rsidR="00D57F75" w:rsidRPr="00D57F75" w:rsidRDefault="00D57F75" w:rsidP="00D57F75">
      <w:pPr>
        <w:spacing w:after="240" w:line="240" w:lineRule="auto"/>
        <w:jc w:val="both"/>
        <w:rPr>
          <w:rFonts w:ascii="Verdana" w:eastAsia="Calibri" w:hAnsi="Verdana" w:cs="Calibri"/>
          <w:sz w:val="20"/>
          <w:szCs w:val="20"/>
        </w:rPr>
      </w:pPr>
      <w:r w:rsidRPr="00D57F75">
        <w:rPr>
          <w:rFonts w:ascii="Verdana" w:eastAsia="Calibri" w:hAnsi="Verdana" w:cs="Calibri"/>
          <w:sz w:val="20"/>
          <w:szCs w:val="20"/>
        </w:rPr>
        <w:t>Las razones de la referida discrepancia con la Sentencia se explican seguidamente en lo que atañe a las consideraciones preliminares sobre la base de las cuales se formulan tales razones, a la norma convencional aplicable, a los hechos del caso relativos a la citada regla y, finalmente, a la Sentencia, en lo que se refiere a dicha excepción.</w:t>
      </w:r>
    </w:p>
    <w:p w:rsidR="00D57F75" w:rsidRPr="00D57F75" w:rsidRDefault="00D57F75" w:rsidP="00D57F75">
      <w:pPr>
        <w:numPr>
          <w:ilvl w:val="0"/>
          <w:numId w:val="25"/>
        </w:numPr>
        <w:spacing w:line="240" w:lineRule="auto"/>
        <w:ind w:left="1077"/>
        <w:jc w:val="both"/>
        <w:rPr>
          <w:rFonts w:ascii="Verdana" w:eastAsia="Calibri" w:hAnsi="Verdana"/>
          <w:b/>
          <w:sz w:val="20"/>
          <w:szCs w:val="20"/>
          <w:lang w:val="es-ES"/>
        </w:rPr>
      </w:pPr>
      <w:r w:rsidRPr="00D57F75">
        <w:rPr>
          <w:rFonts w:ascii="Verdana" w:eastAsia="Calibri" w:hAnsi="Verdana"/>
          <w:b/>
          <w:sz w:val="20"/>
          <w:szCs w:val="20"/>
          <w:lang w:val="es-ES"/>
        </w:rPr>
        <w:t>CONSIDERACIONES PRELIMINARES.</w:t>
      </w:r>
    </w:p>
    <w:p w:rsidR="00D57F75" w:rsidRDefault="00D57F75" w:rsidP="00D57F75">
      <w:pPr>
        <w:spacing w:line="240" w:lineRule="auto"/>
        <w:jc w:val="both"/>
        <w:rPr>
          <w:rFonts w:ascii="Verdana" w:eastAsia="Calibri" w:hAnsi="Verdana"/>
          <w:sz w:val="20"/>
          <w:szCs w:val="20"/>
          <w:lang w:val="es-ES"/>
        </w:rPr>
      </w:pPr>
      <w:r w:rsidRPr="00D57F75">
        <w:rPr>
          <w:rFonts w:ascii="Verdana" w:eastAsia="Calibri" w:hAnsi="Verdana"/>
          <w:sz w:val="20"/>
          <w:szCs w:val="20"/>
          <w:lang w:val="es-CL"/>
        </w:rPr>
        <w:t>Las consideraciones</w:t>
      </w:r>
      <w:r w:rsidRPr="00D57F75">
        <w:rPr>
          <w:rFonts w:ascii="Verdana" w:eastAsia="Calibri" w:hAnsi="Verdana"/>
          <w:sz w:val="20"/>
          <w:szCs w:val="20"/>
          <w:lang w:val="es-ES"/>
        </w:rPr>
        <w:t xml:space="preserve"> preliminares tienen relación, por una parte, con el sentido y alcance de este voto y, por la otra, con aspectos procesales en el marco en que se formula. </w:t>
      </w:r>
    </w:p>
    <w:p w:rsidR="00D57F75" w:rsidRPr="00D57F75" w:rsidRDefault="00D57F75" w:rsidP="00D57F75">
      <w:pPr>
        <w:spacing w:line="240" w:lineRule="auto"/>
        <w:jc w:val="both"/>
        <w:rPr>
          <w:rFonts w:ascii="Verdana" w:eastAsia="Calibri" w:hAnsi="Verdana"/>
          <w:sz w:val="20"/>
          <w:szCs w:val="20"/>
          <w:lang w:val="es-ES"/>
        </w:rPr>
      </w:pPr>
    </w:p>
    <w:p w:rsidR="00D57F75" w:rsidRPr="00D57F75" w:rsidRDefault="00D57F75" w:rsidP="00D57F75">
      <w:pPr>
        <w:numPr>
          <w:ilvl w:val="0"/>
          <w:numId w:val="26"/>
        </w:numPr>
        <w:spacing w:line="240" w:lineRule="auto"/>
        <w:jc w:val="both"/>
        <w:rPr>
          <w:rFonts w:ascii="Verdana" w:eastAsia="Calibri" w:hAnsi="Verdana"/>
          <w:sz w:val="20"/>
          <w:szCs w:val="20"/>
          <w:lang w:val="es-ES"/>
        </w:rPr>
      </w:pPr>
      <w:r w:rsidRPr="00D57F75">
        <w:rPr>
          <w:rFonts w:ascii="Verdana" w:eastAsia="Calibri" w:hAnsi="Verdana"/>
          <w:b/>
          <w:sz w:val="20"/>
          <w:szCs w:val="20"/>
          <w:lang w:val="es-ES"/>
        </w:rPr>
        <w:t>Sentido y alcance del voto individual</w:t>
      </w:r>
      <w:r w:rsidRPr="00D57F75">
        <w:rPr>
          <w:rFonts w:ascii="Verdana" w:eastAsia="Calibri" w:hAnsi="Verdana"/>
          <w:sz w:val="20"/>
          <w:szCs w:val="20"/>
          <w:lang w:val="es-ES"/>
        </w:rPr>
        <w:t xml:space="preserve">. </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sz w:val="20"/>
          <w:szCs w:val="20"/>
          <w:lang w:val="es-ES"/>
        </w:rPr>
        <w:t>En lo que atañe al primer aspecto, procede indicar que, habida</w:t>
      </w:r>
      <w:r w:rsidRPr="00D57F75">
        <w:rPr>
          <w:rFonts w:ascii="Verdana" w:eastAsia="Calibri" w:hAnsi="Verdana" w:cs="Calibri"/>
          <w:sz w:val="20"/>
          <w:szCs w:val="20"/>
          <w:lang w:val="es-CL"/>
        </w:rPr>
        <w:t xml:space="preserve"> cuenta a lo dispuesto en el artículo 65.2 del Reglamento de la Corte</w:t>
      </w:r>
      <w:r w:rsidRPr="00D57F75">
        <w:rPr>
          <w:rFonts w:ascii="Verdana" w:eastAsia="Calibri" w:hAnsi="Verdana" w:cs="Calibri"/>
          <w:sz w:val="20"/>
          <w:szCs w:val="20"/>
          <w:vertAlign w:val="superscript"/>
          <w:lang w:val="es-CL"/>
        </w:rPr>
        <w:footnoteReference w:id="413"/>
      </w:r>
      <w:r w:rsidRPr="00D57F75">
        <w:rPr>
          <w:rFonts w:ascii="Verdana" w:eastAsia="Calibri" w:hAnsi="Verdana" w:cs="Calibri"/>
          <w:sz w:val="20"/>
          <w:szCs w:val="20"/>
          <w:lang w:val="es-CL"/>
        </w:rPr>
        <w:t>, en el presente voto se da cuenta única y exclusivamente de las razones por las que el suscrito considera que en la Sentencia se debía acoger la excepción preliminar sobre la falta del previo agotamiento de los recursos internos formulada por el Estado y, por ende, que debía abstenerse de pronunciarse sobre el fondo de la causa. Por tanto, el presente voto se refiere, en lo fundamental, al punto resolutivo Nº 2 de la Sentencia.</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Obviamente y por la misma razón antes referida, no corresponde ponderar, en el presente voto, los actos posteriores a la petición y a la contestación de la misma por parte del Estado, es decir, lo que se alega durante la admisibilidad y más aún, ante la Corte. Y ello en mérito de que de lo que se trata en este documento es señalar las razones jurídicas por las que se discrepa de la Sentencia en lo referente a la obligación de cumplir con la regla del previo agotamiento de los recursos internos y el momento en que ello debe acaecer. De modo que toda referencia en este voto a los referidos actos posteriores lo es únicamente a los efectos de precisar mejor la tesis que se sustenta y en modo alguno importa entrar en el fondo del caso o una valorización de aquellos.</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Sin perjuicio de lo anterior, se deja constancia que el suscrito, tal como lo ha hecho en otros casos</w:t>
      </w:r>
      <w:r w:rsidRPr="00D57F75">
        <w:rPr>
          <w:rFonts w:ascii="Verdana" w:eastAsia="Calibri" w:hAnsi="Verdana" w:cs="Calibri"/>
          <w:sz w:val="20"/>
          <w:szCs w:val="20"/>
          <w:vertAlign w:val="superscript"/>
        </w:rPr>
        <w:footnoteReference w:id="414"/>
      </w:r>
      <w:r w:rsidRPr="00D57F75">
        <w:rPr>
          <w:rFonts w:ascii="Verdana" w:eastAsia="Calibri" w:hAnsi="Verdana" w:cs="Calibri"/>
          <w:sz w:val="20"/>
          <w:szCs w:val="20"/>
          <w:lang w:val="es-CL"/>
        </w:rPr>
        <w:t xml:space="preserve">, ha participado tanto en el debate como en la votación que han tenido lugar respecto de cada uno de los puntos resolutivos de la Sentencia, pero </w:t>
      </w:r>
      <w:r w:rsidRPr="00D57F75">
        <w:rPr>
          <w:rFonts w:ascii="Verdana" w:eastAsia="Calibri" w:hAnsi="Verdana" w:cs="Calibri"/>
          <w:sz w:val="20"/>
          <w:szCs w:val="20"/>
        </w:rPr>
        <w:t>sin emitir, empero, voto razonado en relación a cada uno de ellos.</w:t>
      </w:r>
    </w:p>
    <w:p w:rsidR="00D57F75" w:rsidRPr="00D57F75" w:rsidRDefault="00D57F75" w:rsidP="00D57F75">
      <w:pPr>
        <w:spacing w:after="240" w:line="240" w:lineRule="auto"/>
        <w:jc w:val="both"/>
        <w:rPr>
          <w:rFonts w:ascii="Verdana" w:eastAsia="Calibri" w:hAnsi="Verdana" w:cs="Calibri"/>
          <w:sz w:val="20"/>
          <w:szCs w:val="20"/>
        </w:rPr>
      </w:pPr>
      <w:r w:rsidRPr="00D57F75">
        <w:rPr>
          <w:rFonts w:ascii="Verdana" w:eastAsia="Calibri" w:hAnsi="Verdana" w:cs="Calibri"/>
          <w:sz w:val="20"/>
          <w:szCs w:val="20"/>
        </w:rPr>
        <w:t xml:space="preserve">Y es que, a la luz de lo dispuesto en el Reglamento de la Corte, la obligación de razonar el voto lo es exclusivamente para el evento de que el juez ejerza su derecho a unir tal voto a la sentencia. Por ende, esa obligación no abarca el evento de que el juez resuelva no unir su voto disidente al de la sentencia. En el caso de autos, por ende, el suscrito ejerce su derecho de unir su voto disidente al de la Sentencia, exclusivamente respecto del aludido punto Nº 2 de la misma. </w:t>
      </w:r>
    </w:p>
    <w:p w:rsidR="00D57F75" w:rsidRPr="00D57F75" w:rsidRDefault="00D57F75" w:rsidP="00D57F75">
      <w:pPr>
        <w:spacing w:after="240" w:line="240" w:lineRule="auto"/>
        <w:jc w:val="both"/>
        <w:rPr>
          <w:rFonts w:ascii="Verdana" w:eastAsia="Calibri" w:hAnsi="Verdana" w:cs="Calibri"/>
          <w:sz w:val="20"/>
          <w:szCs w:val="20"/>
        </w:rPr>
      </w:pPr>
      <w:r w:rsidRPr="00D57F75">
        <w:rPr>
          <w:rFonts w:ascii="Verdana" w:eastAsia="Calibri" w:hAnsi="Verdana" w:cs="Calibri"/>
          <w:sz w:val="20"/>
          <w:szCs w:val="20"/>
        </w:rPr>
        <w:t>Ahora bien, sin perjuicio de lo señalado, se deja constancia que ha votado negativamente todos los demás puntos resolutivos de la Sentencia, salvo tres, en atención, por una parte, a que el suscrito respetuosamente considera que la negativa de la Corte a acoger la excepción interpuesta por el Estado configura, en sí y desde ya, un pronunciamiento acerca del fondo del caso y por la otra parte, a que estima, en consecuencia, que, de haberlos votado afirmativamente los aludidos puntos resolutivos, habría sido una inconsecuencia con su posición adoptada en cuanto a aceptar la excepción preliminar concerniente al incumplimiento de la regla del previo agotamiento de los recursos internos y que, por ende, no procedía pronunciarse sobre el fondo de la causa.</w:t>
      </w:r>
    </w:p>
    <w:p w:rsidR="00D57F75" w:rsidRPr="00D57F75" w:rsidRDefault="00D57F75" w:rsidP="00D57F75">
      <w:pPr>
        <w:spacing w:after="240" w:line="240" w:lineRule="auto"/>
        <w:jc w:val="both"/>
        <w:rPr>
          <w:rFonts w:ascii="Verdana" w:eastAsia="Calibri" w:hAnsi="Verdana" w:cs="Calibri"/>
          <w:sz w:val="20"/>
          <w:szCs w:val="20"/>
        </w:rPr>
      </w:pPr>
      <w:r w:rsidRPr="00D57F75">
        <w:rPr>
          <w:rFonts w:ascii="Verdana" w:eastAsia="Calibri" w:hAnsi="Verdana" w:cs="Calibri"/>
          <w:sz w:val="20"/>
          <w:szCs w:val="20"/>
        </w:rPr>
        <w:lastRenderedPageBreak/>
        <w:t>En lo que se refiere a los tres últimos puntos resolutivos de la Sentencia, esto es, los puntos Nos. 16, 17 y 18, que el infrascrito ha votado afirmativamente, ha procedido así en mérito de que ellos dicen relación con aspectos procesales relativos al cumplimiento de la Sentencia, a saber, el reintegro de una cantidad de dinero al Fondo de Asistencia Legal de Víctimas, al informe del Estado sobre el cumplimiento del fallo y a la supervisión correspondiente.</w:t>
      </w:r>
    </w:p>
    <w:p w:rsidR="00D57F75" w:rsidRPr="00D57F75" w:rsidRDefault="00D57F75" w:rsidP="00D57F75">
      <w:pPr>
        <w:spacing w:after="240" w:line="240" w:lineRule="auto"/>
        <w:jc w:val="both"/>
        <w:rPr>
          <w:rFonts w:ascii="Verdana" w:eastAsia="Calibri" w:hAnsi="Verdana" w:cs="Calibri"/>
          <w:sz w:val="20"/>
          <w:szCs w:val="20"/>
        </w:rPr>
      </w:pPr>
      <w:r w:rsidRPr="00D57F75">
        <w:rPr>
          <w:rFonts w:ascii="Verdana" w:eastAsia="Calibri" w:hAnsi="Verdana" w:cs="Calibri"/>
          <w:sz w:val="20"/>
          <w:szCs w:val="20"/>
        </w:rPr>
        <w:t>Evidentemente, quién suscribe ha obrado en autos de conformidad con los principios de libertad y de independencia que deben imperar en el actuar de un juez, garantizados por la Convención, el Estatuto de la Corte y el Reglamento de la misma, los que no le imponen restricción alguna en cuanto a la razón que estime procedente para votar en conciencia, ni menos aún, al no prohibirle explicitar, si así lo desea, el espíritu que lo anima a proceder como al respecto lo hace</w:t>
      </w:r>
      <w:r w:rsidRPr="00D57F75">
        <w:rPr>
          <w:rFonts w:ascii="Verdana" w:eastAsia="Calibri" w:hAnsi="Verdana" w:cs="Calibri"/>
          <w:sz w:val="20"/>
          <w:szCs w:val="20"/>
          <w:vertAlign w:val="superscript"/>
        </w:rPr>
        <w:footnoteReference w:id="415"/>
      </w:r>
      <w:r w:rsidRPr="00D57F75">
        <w:rPr>
          <w:rFonts w:ascii="Verdana" w:eastAsia="Calibri" w:hAnsi="Verdana" w:cs="Calibri"/>
          <w:sz w:val="20"/>
          <w:szCs w:val="20"/>
        </w:rPr>
        <w:t xml:space="preserve">. </w:t>
      </w:r>
    </w:p>
    <w:p w:rsidR="00D57F75" w:rsidRPr="00D57F75" w:rsidRDefault="00D57F75" w:rsidP="00D57F75">
      <w:pPr>
        <w:numPr>
          <w:ilvl w:val="0"/>
          <w:numId w:val="26"/>
        </w:numPr>
        <w:spacing w:after="240" w:line="240" w:lineRule="auto"/>
        <w:jc w:val="both"/>
        <w:rPr>
          <w:rFonts w:ascii="Verdana" w:eastAsia="Calibri" w:hAnsi="Verdana" w:cs="Calibri"/>
          <w:b/>
          <w:sz w:val="20"/>
          <w:szCs w:val="20"/>
        </w:rPr>
      </w:pPr>
      <w:r w:rsidRPr="00D57F75">
        <w:rPr>
          <w:rFonts w:ascii="Verdana" w:eastAsia="Calibri" w:hAnsi="Verdana" w:cs="Calibri"/>
          <w:b/>
          <w:sz w:val="20"/>
          <w:szCs w:val="20"/>
        </w:rPr>
        <w:t>Aspectos procesales generales en los que se inserta el voto.</w:t>
      </w:r>
    </w:p>
    <w:p w:rsidR="00D57F75" w:rsidRPr="00D57F75" w:rsidRDefault="00D57F75" w:rsidP="00D57F75">
      <w:pPr>
        <w:spacing w:line="240" w:lineRule="auto"/>
        <w:jc w:val="both"/>
        <w:rPr>
          <w:rFonts w:ascii="Verdana" w:eastAsia="Calibri" w:hAnsi="Verdana"/>
          <w:sz w:val="20"/>
          <w:szCs w:val="20"/>
          <w:lang w:val="es-ES"/>
        </w:rPr>
      </w:pPr>
      <w:r w:rsidRPr="00D57F75">
        <w:rPr>
          <w:rFonts w:ascii="Verdana" w:eastAsia="Calibri" w:hAnsi="Verdana"/>
          <w:sz w:val="20"/>
          <w:szCs w:val="20"/>
        </w:rPr>
        <w:t>En lo que respecta a los a</w:t>
      </w:r>
      <w:r w:rsidRPr="00D57F75">
        <w:rPr>
          <w:rFonts w:ascii="Verdana" w:eastAsia="Calibri" w:hAnsi="Verdana" w:cs="Calibri"/>
          <w:sz w:val="20"/>
          <w:szCs w:val="20"/>
        </w:rPr>
        <w:t>spectos procesales generales en los que se formula el voto, ellos son fundamentalmente dos.</w:t>
      </w:r>
      <w:r w:rsidRPr="00D57F75">
        <w:rPr>
          <w:rFonts w:ascii="Verdana" w:eastAsia="Calibri" w:hAnsi="Verdana"/>
          <w:sz w:val="20"/>
          <w:szCs w:val="20"/>
        </w:rPr>
        <w:t xml:space="preserve"> </w:t>
      </w:r>
      <w:r w:rsidRPr="00D57F75">
        <w:rPr>
          <w:rFonts w:ascii="Verdana" w:eastAsia="Calibri" w:hAnsi="Verdana"/>
          <w:sz w:val="20"/>
          <w:szCs w:val="20"/>
          <w:lang w:val="es-ES"/>
        </w:rPr>
        <w:t>Uno, relativo al rol de la Corte y el otro, acerca de la naturaleza de su propia jurisprudencia.</w:t>
      </w:r>
    </w:p>
    <w:p w:rsidR="00D57F75" w:rsidRPr="00D57F75" w:rsidRDefault="00D57F75" w:rsidP="00D57F75">
      <w:pPr>
        <w:numPr>
          <w:ilvl w:val="0"/>
          <w:numId w:val="27"/>
        </w:numPr>
        <w:spacing w:line="240" w:lineRule="auto"/>
        <w:jc w:val="both"/>
        <w:rPr>
          <w:rFonts w:ascii="Verdana" w:eastAsia="Calibri" w:hAnsi="Verdana"/>
          <w:b/>
          <w:sz w:val="20"/>
          <w:szCs w:val="20"/>
          <w:lang w:val="es-ES"/>
        </w:rPr>
      </w:pPr>
      <w:r w:rsidRPr="00D57F75">
        <w:rPr>
          <w:rFonts w:ascii="Verdana" w:eastAsia="Calibri" w:hAnsi="Verdana"/>
          <w:b/>
          <w:sz w:val="20"/>
          <w:szCs w:val="20"/>
          <w:lang w:val="es-ES"/>
        </w:rPr>
        <w:t>Rol de la Corte.</w:t>
      </w:r>
    </w:p>
    <w:p w:rsidR="00D57F75" w:rsidRPr="00D57F75" w:rsidRDefault="00D57F75" w:rsidP="00D57F75">
      <w:pPr>
        <w:spacing w:after="240" w:line="240" w:lineRule="auto"/>
        <w:jc w:val="both"/>
        <w:rPr>
          <w:rFonts w:ascii="Verdana" w:eastAsia="Calibri" w:hAnsi="Verdana" w:cs="Tahoma"/>
          <w:sz w:val="20"/>
          <w:szCs w:val="20"/>
          <w:lang w:val="es-CL"/>
        </w:rPr>
      </w:pPr>
      <w:r w:rsidRPr="00D57F75">
        <w:rPr>
          <w:rFonts w:ascii="Verdana" w:eastAsia="Calibri" w:hAnsi="Verdana" w:cs="Calibri"/>
          <w:sz w:val="20"/>
          <w:szCs w:val="20"/>
          <w:lang w:val="es-ES"/>
        </w:rPr>
        <w:t>Con respecto al rol de la Corte, cabe recordar que la Convención dispone, luego de señalar las entidades competentes para conocer los asuntos relativos al cumplimiento de los compromisos en ella establecidos</w:t>
      </w:r>
      <w:r w:rsidRPr="00D57F75">
        <w:rPr>
          <w:rFonts w:ascii="Verdana" w:eastAsia="Calibri" w:hAnsi="Verdana" w:cs="Calibri"/>
          <w:sz w:val="20"/>
          <w:szCs w:val="20"/>
          <w:vertAlign w:val="superscript"/>
          <w:lang w:val="es-ES"/>
        </w:rPr>
        <w:footnoteReference w:id="416"/>
      </w:r>
      <w:r w:rsidRPr="00D57F75">
        <w:rPr>
          <w:rFonts w:ascii="Verdana" w:eastAsia="Calibri" w:hAnsi="Verdana" w:cs="Calibri"/>
          <w:sz w:val="20"/>
          <w:szCs w:val="20"/>
          <w:lang w:val="es-ES"/>
        </w:rPr>
        <w:t>, que</w:t>
      </w:r>
      <w:r w:rsidRPr="00D57F75">
        <w:rPr>
          <w:rFonts w:ascii="Verdana" w:eastAsia="Calibri" w:hAnsi="Verdana" w:cs="Calibri"/>
          <w:sz w:val="20"/>
          <w:szCs w:val="20"/>
        </w:rPr>
        <w:t xml:space="preserve"> a la Corte le compete aplicar e interpretar la Convención en los casos que le son sometidos</w:t>
      </w:r>
      <w:r w:rsidRPr="00D57F75">
        <w:rPr>
          <w:rFonts w:ascii="Verdana" w:eastAsia="Calibri" w:hAnsi="Verdana" w:cs="Calibri"/>
          <w:sz w:val="20"/>
          <w:szCs w:val="20"/>
          <w:vertAlign w:val="superscript"/>
        </w:rPr>
        <w:footnoteReference w:id="417"/>
      </w:r>
      <w:r w:rsidRPr="00D57F75">
        <w:rPr>
          <w:rFonts w:ascii="Verdana" w:eastAsia="Calibri" w:hAnsi="Verdana" w:cs="Calibri"/>
          <w:sz w:val="20"/>
          <w:szCs w:val="20"/>
        </w:rPr>
        <w:t>, función distinta a la de la Comisión, a la que le corresponde la promoción y defensa de los derechos humanos</w:t>
      </w:r>
      <w:r w:rsidRPr="00D57F75">
        <w:rPr>
          <w:rFonts w:ascii="Verdana" w:eastAsia="Calibri" w:hAnsi="Verdana" w:cs="Calibri"/>
          <w:sz w:val="20"/>
          <w:szCs w:val="20"/>
          <w:vertAlign w:val="superscript"/>
        </w:rPr>
        <w:footnoteReference w:id="418"/>
      </w:r>
      <w:r w:rsidRPr="00D57F75">
        <w:rPr>
          <w:rFonts w:ascii="Verdana" w:eastAsia="Calibri" w:hAnsi="Verdana" w:cs="Calibri"/>
          <w:sz w:val="20"/>
          <w:szCs w:val="20"/>
        </w:rPr>
        <w:t>. Así, entonces, mientras el rol</w:t>
      </w:r>
      <w:r w:rsidRPr="00D57F75">
        <w:rPr>
          <w:rFonts w:ascii="Verdana" w:eastAsia="Calibri" w:hAnsi="Verdana" w:cs="Tahoma"/>
          <w:sz w:val="20"/>
          <w:szCs w:val="20"/>
          <w:lang w:val="es-CL"/>
        </w:rPr>
        <w:t xml:space="preserve"> de la Comisión es más bien diplomático o político, el de la Corte es netamente judicial.</w:t>
      </w:r>
    </w:p>
    <w:p w:rsidR="00D57F75" w:rsidRPr="00D57F75" w:rsidRDefault="00D57F75" w:rsidP="00D57F75">
      <w:pPr>
        <w:spacing w:after="240" w:line="240" w:lineRule="auto"/>
        <w:jc w:val="both"/>
        <w:rPr>
          <w:rFonts w:ascii="Verdana" w:eastAsia="Calibri" w:hAnsi="Verdana" w:cs="Tahoma"/>
          <w:sz w:val="20"/>
          <w:szCs w:val="20"/>
          <w:lang w:val="es-CL"/>
        </w:rPr>
      </w:pPr>
      <w:r w:rsidRPr="00D57F75">
        <w:rPr>
          <w:rFonts w:ascii="Verdana" w:eastAsia="Calibri" w:hAnsi="Verdana" w:cs="Tahoma"/>
          <w:sz w:val="20"/>
          <w:szCs w:val="20"/>
          <w:lang w:val="es-CL"/>
        </w:rPr>
        <w:lastRenderedPageBreak/>
        <w:t>Por lo mismo, procede advertir que la Corte, al ejercer su función, lo debe hacer considerando que debe aplicar e interpretar un tratado, es decir, de acuerdo a las normas de interpretación correspondientes, lo que implica determinar la voluntad de los Estados partes del mismo, empleando simultáneamente y con la misma significación, la buena fe, el sentido corriente de sus términos, el contexto de éstos y el objeto y fin del tratado</w:t>
      </w:r>
      <w:r w:rsidRPr="00D57F75">
        <w:rPr>
          <w:rFonts w:ascii="Verdana" w:eastAsia="Calibri" w:hAnsi="Verdana" w:cs="Tahoma"/>
          <w:sz w:val="20"/>
          <w:szCs w:val="20"/>
          <w:vertAlign w:val="superscript"/>
          <w:lang w:val="es-CL"/>
        </w:rPr>
        <w:footnoteReference w:id="419"/>
      </w:r>
      <w:r w:rsidRPr="00D57F75">
        <w:rPr>
          <w:rFonts w:ascii="Verdana" w:eastAsia="Calibri" w:hAnsi="Verdana" w:cs="Tahoma"/>
          <w:sz w:val="20"/>
          <w:szCs w:val="20"/>
          <w:lang w:val="es-CL"/>
        </w:rPr>
        <w:t>, todo ello a los efectos de efectivamente solucionar el conflicto de que se trate, esto es, según las características o circunstancias que él presente al momento en que es sometido a la Corte. En ese sentido, de lo que se trata no es de lo que el intérprete desee, sino de precisar cuál es la voluntad de los Estados Partes de la Convención frente a una situación determinada o cuál sería si ésta no ha sido del todo prevista en la norma, considerada como algo vivo, realmente útil, adaptable a las siempre cambiantes y nuevas circunstancias sociales, interpretación evolutiva o desarrollo progresivo del Derecho Internacional que se logra aplicando lo previsto en el numeral 3 del artículo 31 de la Convención de Viena sobre el Derecho de los Tratados</w:t>
      </w:r>
      <w:r w:rsidRPr="00D57F75">
        <w:rPr>
          <w:rFonts w:ascii="Verdana" w:eastAsia="Calibri" w:hAnsi="Verdana" w:cs="Tahoma"/>
          <w:sz w:val="20"/>
          <w:szCs w:val="20"/>
          <w:vertAlign w:val="superscript"/>
          <w:lang w:val="es-CL"/>
        </w:rPr>
        <w:footnoteReference w:id="420"/>
      </w:r>
      <w:r w:rsidRPr="00D57F75">
        <w:rPr>
          <w:rFonts w:ascii="Verdana" w:eastAsia="Calibri" w:hAnsi="Verdana" w:cs="Tahoma"/>
          <w:sz w:val="20"/>
          <w:szCs w:val="20"/>
          <w:lang w:val="es-CL"/>
        </w:rPr>
        <w:t>.</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Tahoma"/>
          <w:sz w:val="20"/>
          <w:szCs w:val="20"/>
          <w:lang w:val="es-CL"/>
        </w:rPr>
        <w:t>Indudablemente que, en tanto institución judicial, la Corte, al cumplir tal misión, “</w:t>
      </w:r>
      <w:r w:rsidRPr="00D57F75">
        <w:rPr>
          <w:rFonts w:ascii="Verdana" w:eastAsia="Calibri" w:hAnsi="Verdana" w:cs="Calibri"/>
          <w:i/>
          <w:sz w:val="20"/>
          <w:szCs w:val="20"/>
          <w:lang w:val="es-CL"/>
        </w:rPr>
        <w:t>debe guardar un justo equilibrio entre la protección de los derechos humanos, fin último del Sistema, y la seguridad jurídica y equidad procesal que aseguran la estabilidad y confiabilidad de la tutela internacional”</w:t>
      </w:r>
      <w:r w:rsidRPr="00D57F75">
        <w:rPr>
          <w:rFonts w:ascii="Verdana" w:eastAsia="Calibri" w:hAnsi="Verdana" w:cs="Calibri"/>
          <w:sz w:val="20"/>
          <w:szCs w:val="20"/>
          <w:vertAlign w:val="superscript"/>
          <w:lang w:val="es-CL"/>
        </w:rPr>
        <w:footnoteReference w:id="421"/>
      </w:r>
      <w:r w:rsidRPr="00D57F75">
        <w:rPr>
          <w:rFonts w:ascii="Verdana" w:eastAsia="Calibri" w:hAnsi="Verdana" w:cs="Calibri"/>
          <w:i/>
          <w:sz w:val="20"/>
          <w:szCs w:val="20"/>
          <w:lang w:val="es-CL"/>
        </w:rPr>
        <w:t>.</w:t>
      </w:r>
      <w:r w:rsidRPr="00D57F75">
        <w:rPr>
          <w:rFonts w:ascii="Verdana" w:eastAsia="Calibri" w:hAnsi="Verdana" w:cs="Calibri"/>
          <w:sz w:val="20"/>
          <w:szCs w:val="20"/>
        </w:rPr>
        <w:t xml:space="preserve"> Y es por el mismo motivo que </w:t>
      </w:r>
      <w:r w:rsidRPr="00D57F75">
        <w:rPr>
          <w:rFonts w:ascii="Verdana" w:eastAsia="Calibri" w:hAnsi="Verdana" w:cs="Calibri"/>
          <w:sz w:val="20"/>
          <w:szCs w:val="20"/>
          <w:lang w:val="es-ES"/>
        </w:rPr>
        <w:t>“</w:t>
      </w:r>
      <w:r w:rsidRPr="00D57F75">
        <w:rPr>
          <w:rFonts w:ascii="Verdana" w:eastAsia="Calibri" w:hAnsi="Verdana" w:cs="Calibri"/>
          <w:i/>
          <w:sz w:val="20"/>
          <w:szCs w:val="20"/>
          <w:lang w:val="es-ES"/>
        </w:rPr>
        <w:t>la tolerancia de</w:t>
      </w:r>
      <w:r w:rsidRPr="00D57F75">
        <w:rPr>
          <w:rFonts w:ascii="Verdana" w:eastAsia="Calibri" w:hAnsi="Verdana" w:cs="Calibri"/>
          <w:sz w:val="20"/>
          <w:szCs w:val="20"/>
          <w:lang w:val="es-ES"/>
        </w:rPr>
        <w:t xml:space="preserve"> ‘</w:t>
      </w:r>
      <w:r w:rsidRPr="00D57F75">
        <w:rPr>
          <w:rFonts w:ascii="Verdana" w:eastAsia="Calibri" w:hAnsi="Verdana" w:cs="Calibri"/>
          <w:i/>
          <w:sz w:val="20"/>
          <w:szCs w:val="20"/>
          <w:lang w:val="es-ES"/>
        </w:rPr>
        <w:t>infracciones manifiestas a las reglas procedimentales establecidas en la propia Convención (</w:t>
      </w:r>
      <w:r w:rsidRPr="00D57F75">
        <w:rPr>
          <w:rFonts w:ascii="Verdana" w:eastAsia="Calibri" w:hAnsi="Verdana" w:cs="Calibri"/>
          <w:sz w:val="20"/>
          <w:szCs w:val="20"/>
          <w:lang w:val="es-ES"/>
        </w:rPr>
        <w:t>y se debe agregar, en los Reglamentos de la Corte y de la Comisión</w:t>
      </w:r>
      <w:r w:rsidRPr="00D57F75">
        <w:rPr>
          <w:rFonts w:ascii="Verdana" w:eastAsia="Calibri" w:hAnsi="Verdana" w:cs="Calibri"/>
          <w:i/>
          <w:sz w:val="20"/>
          <w:szCs w:val="20"/>
          <w:lang w:val="es-ES"/>
        </w:rPr>
        <w:t>), acarrearía la pérdida de la autoridad y credibilidad indispensables en los órganos encargados de administrar el sistema de protección de derechos humanos</w:t>
      </w:r>
      <w:r w:rsidRPr="00D57F75">
        <w:rPr>
          <w:rFonts w:ascii="Verdana" w:eastAsia="Calibri" w:hAnsi="Verdana" w:cs="Calibri"/>
          <w:sz w:val="20"/>
          <w:szCs w:val="20"/>
          <w:lang w:val="es-ES"/>
        </w:rPr>
        <w:t>”</w:t>
      </w:r>
      <w:r w:rsidRPr="00D57F75">
        <w:rPr>
          <w:rFonts w:ascii="Verdana" w:eastAsia="Calibri" w:hAnsi="Verdana" w:cs="Calibri"/>
          <w:sz w:val="20"/>
          <w:szCs w:val="20"/>
          <w:vertAlign w:val="superscript"/>
          <w:lang w:val="es-ES"/>
        </w:rPr>
        <w:footnoteReference w:id="422"/>
      </w:r>
      <w:r w:rsidRPr="00D57F75">
        <w:rPr>
          <w:rFonts w:ascii="Verdana" w:eastAsia="Calibri" w:hAnsi="Verdana" w:cs="Calibri"/>
          <w:sz w:val="20"/>
          <w:szCs w:val="20"/>
          <w:lang w:val="es-ES"/>
        </w:rPr>
        <w:t>.</w:t>
      </w:r>
    </w:p>
    <w:p w:rsidR="00D57F75" w:rsidRPr="00D57F75" w:rsidRDefault="00D57F75" w:rsidP="00D57F75">
      <w:pPr>
        <w:spacing w:after="240" w:line="240" w:lineRule="auto"/>
        <w:jc w:val="both"/>
        <w:rPr>
          <w:rFonts w:ascii="Verdana" w:eastAsia="Calibri" w:hAnsi="Verdana" w:cs="Calibri"/>
          <w:sz w:val="20"/>
          <w:szCs w:val="20"/>
          <w:lang w:val="es-ES"/>
        </w:rPr>
      </w:pPr>
      <w:r w:rsidRPr="00D57F75">
        <w:rPr>
          <w:rFonts w:ascii="Verdana" w:eastAsia="Calibri" w:hAnsi="Verdana" w:cs="Tahoma"/>
          <w:sz w:val="20"/>
          <w:szCs w:val="20"/>
          <w:lang w:val="es-CL"/>
        </w:rPr>
        <w:t>Por otra parte, no debe omitirse tampoco que la Corte, en ejercicio de su función judicial, no debe invadir ni la función ejecutiva</w:t>
      </w:r>
      <w:r w:rsidRPr="00D57F75">
        <w:rPr>
          <w:rFonts w:ascii="Verdana" w:eastAsia="Calibri" w:hAnsi="Verdana" w:cs="Tahoma"/>
          <w:sz w:val="20"/>
          <w:szCs w:val="20"/>
          <w:vertAlign w:val="superscript"/>
          <w:lang w:val="es-CL"/>
        </w:rPr>
        <w:footnoteReference w:id="423"/>
      </w:r>
      <w:r w:rsidRPr="00D57F75">
        <w:rPr>
          <w:rFonts w:ascii="Verdana" w:eastAsia="Calibri" w:hAnsi="Verdana" w:cs="Tahoma"/>
          <w:sz w:val="20"/>
          <w:szCs w:val="20"/>
          <w:lang w:val="es-CL"/>
        </w:rPr>
        <w:t xml:space="preserve"> ni la normativa</w:t>
      </w:r>
      <w:r w:rsidRPr="00D57F75">
        <w:rPr>
          <w:rFonts w:ascii="Verdana" w:eastAsia="Calibri" w:hAnsi="Verdana" w:cs="Tahoma"/>
          <w:sz w:val="20"/>
          <w:szCs w:val="20"/>
          <w:vertAlign w:val="superscript"/>
          <w:lang w:val="es-CL"/>
        </w:rPr>
        <w:footnoteReference w:id="424"/>
      </w:r>
      <w:r w:rsidRPr="00D57F75">
        <w:rPr>
          <w:rFonts w:ascii="Verdana" w:eastAsia="Calibri" w:hAnsi="Verdana" w:cs="Tahoma"/>
          <w:sz w:val="20"/>
          <w:szCs w:val="20"/>
          <w:lang w:val="es-CL"/>
        </w:rPr>
        <w:t>, ambas reservadas a los Estados</w:t>
      </w:r>
      <w:r w:rsidRPr="00D57F75">
        <w:rPr>
          <w:rFonts w:ascii="Verdana" w:eastAsia="Calibri" w:hAnsi="Verdana" w:cs="Tahoma"/>
          <w:sz w:val="20"/>
          <w:szCs w:val="20"/>
          <w:vertAlign w:val="superscript"/>
          <w:lang w:val="es-CL"/>
        </w:rPr>
        <w:footnoteReference w:id="425"/>
      </w:r>
      <w:r w:rsidRPr="00D57F75">
        <w:rPr>
          <w:rFonts w:ascii="Verdana" w:eastAsia="Calibri" w:hAnsi="Verdana" w:cs="Tahoma"/>
          <w:sz w:val="20"/>
          <w:szCs w:val="20"/>
          <w:lang w:val="es-CL"/>
        </w:rPr>
        <w:t xml:space="preserve">. En </w:t>
      </w:r>
      <w:r w:rsidRPr="00D57F75">
        <w:rPr>
          <w:rFonts w:ascii="Verdana" w:eastAsia="Calibri" w:hAnsi="Verdana" w:cs="Tahoma"/>
          <w:sz w:val="20"/>
          <w:szCs w:val="20"/>
          <w:lang w:val="es-CL"/>
        </w:rPr>
        <w:lastRenderedPageBreak/>
        <w:t>tal perspectiva, la Corte, en tanto institución de derecho público, solo puede hacer lo que la norma le permite.</w:t>
      </w:r>
    </w:p>
    <w:p w:rsidR="00D57F75" w:rsidRPr="00D57F75" w:rsidRDefault="00D57F75" w:rsidP="00D57F75">
      <w:pPr>
        <w:spacing w:after="240" w:line="240" w:lineRule="auto"/>
        <w:jc w:val="both"/>
        <w:rPr>
          <w:rFonts w:ascii="Verdana" w:eastAsia="Calibri" w:hAnsi="Verdana" w:cs="Calibri"/>
          <w:sz w:val="20"/>
          <w:szCs w:val="20"/>
        </w:rPr>
      </w:pPr>
      <w:r w:rsidRPr="00D57F75">
        <w:rPr>
          <w:rFonts w:ascii="Verdana" w:eastAsia="Calibri" w:hAnsi="Verdana" w:cs="Calibri"/>
          <w:sz w:val="20"/>
          <w:szCs w:val="20"/>
          <w:lang w:val="es-ES"/>
        </w:rPr>
        <w:t xml:space="preserve">Finalmente, es pertinente resaltar que </w:t>
      </w:r>
      <w:r w:rsidRPr="00D57F75">
        <w:rPr>
          <w:rFonts w:ascii="Verdana" w:eastAsia="Calibri" w:hAnsi="Verdana" w:cs="Tahoma"/>
          <w:sz w:val="20"/>
          <w:szCs w:val="20"/>
          <w:lang w:val="es-CL"/>
        </w:rPr>
        <w:t>el desempeño de la Corte está, por ende, condicionado, no solo por los principios que deben inspirar a todo tribunal, tales como el de imparcialidad, independencia, objetividad e igualdad procesal de las partes, sino también y fundamentalmente por el imperativo de</w:t>
      </w:r>
      <w:r w:rsidRPr="00D57F75">
        <w:rPr>
          <w:rFonts w:ascii="Verdana" w:eastAsia="Calibri" w:hAnsi="Verdana" w:cs="Calibri"/>
          <w:sz w:val="20"/>
          <w:szCs w:val="20"/>
          <w:lang w:val="es-ES"/>
        </w:rPr>
        <w:t xml:space="preserve"> </w:t>
      </w:r>
      <w:r w:rsidRPr="00D57F75">
        <w:rPr>
          <w:rFonts w:ascii="Verdana" w:eastAsia="Calibri" w:hAnsi="Verdana" w:cs="Calibri"/>
          <w:sz w:val="20"/>
          <w:szCs w:val="20"/>
        </w:rPr>
        <w:t xml:space="preserve">proceder con plena conciencia de que, en tanto entidad autónoma e independiente, no tiene autoridad superior que la controle, lo que supone que, haciendo honor a la alta función que se le ha asignado, respete estrictamente los límites de esta última y permanezca y se desarrolle en el ámbito propio de una entidad jurisdiccional. </w:t>
      </w:r>
    </w:p>
    <w:p w:rsidR="00D57F75" w:rsidRPr="00D57F75" w:rsidRDefault="00D57F75" w:rsidP="00D57F75">
      <w:pPr>
        <w:numPr>
          <w:ilvl w:val="0"/>
          <w:numId w:val="27"/>
        </w:numPr>
        <w:spacing w:after="240" w:line="240" w:lineRule="auto"/>
        <w:ind w:right="75"/>
        <w:jc w:val="both"/>
        <w:rPr>
          <w:rFonts w:ascii="Verdana" w:hAnsi="Verdana" w:cs="Tahoma"/>
          <w:b/>
          <w:sz w:val="20"/>
          <w:szCs w:val="20"/>
          <w:lang w:val="es-CL" w:eastAsia="es-CL"/>
        </w:rPr>
      </w:pPr>
      <w:r w:rsidRPr="00D57F75">
        <w:rPr>
          <w:rFonts w:ascii="Verdana" w:hAnsi="Verdana"/>
          <w:b/>
          <w:sz w:val="20"/>
          <w:szCs w:val="20"/>
          <w:lang w:val="es-ES" w:eastAsia="es-CL"/>
        </w:rPr>
        <w:t>Naturaleza de la jurisprudencia de la Corte.</w:t>
      </w:r>
    </w:p>
    <w:p w:rsidR="00D57F75" w:rsidRPr="00D57F75" w:rsidRDefault="00D57F75" w:rsidP="00D57F75">
      <w:pPr>
        <w:spacing w:after="240" w:line="240" w:lineRule="auto"/>
        <w:jc w:val="both"/>
        <w:rPr>
          <w:rFonts w:ascii="Verdana" w:hAnsi="Verdana"/>
          <w:color w:val="000000"/>
          <w:sz w:val="20"/>
          <w:szCs w:val="20"/>
          <w:lang w:val="es-ES" w:eastAsia="es-CL"/>
        </w:rPr>
      </w:pPr>
      <w:r w:rsidRPr="00D57F75">
        <w:rPr>
          <w:rFonts w:ascii="Verdana" w:hAnsi="Verdana"/>
          <w:sz w:val="20"/>
          <w:szCs w:val="20"/>
          <w:lang w:val="es-ES" w:eastAsia="es-CL"/>
        </w:rPr>
        <w:t xml:space="preserve">Siendo la Corte, entonces, una entidad judicial creada por la Convención para, precisamente, aplicarla e interpretarla en los casos que le sean sometidos a su conocimiento, la fuerza vinculante de sus sentencias está determinada por lo dispuesto en </w:t>
      </w:r>
      <w:r w:rsidRPr="00D57F75">
        <w:rPr>
          <w:rFonts w:ascii="Verdana" w:hAnsi="Verdana"/>
          <w:color w:val="000000"/>
          <w:sz w:val="20"/>
          <w:szCs w:val="20"/>
          <w:lang w:val="es-ES" w:eastAsia="es-CL"/>
        </w:rPr>
        <w:t>dicho tratado.</w:t>
      </w:r>
    </w:p>
    <w:p w:rsidR="00D57F75" w:rsidRPr="00D57F75" w:rsidRDefault="00D57F75" w:rsidP="00D57F75">
      <w:pPr>
        <w:spacing w:after="240" w:line="240" w:lineRule="auto"/>
        <w:ind w:right="75"/>
        <w:jc w:val="both"/>
        <w:rPr>
          <w:rFonts w:ascii="Verdana" w:hAnsi="Verdana"/>
          <w:sz w:val="20"/>
          <w:szCs w:val="20"/>
          <w:lang w:val="es-ES" w:eastAsia="es-CL"/>
        </w:rPr>
      </w:pPr>
      <w:r w:rsidRPr="00D57F75">
        <w:rPr>
          <w:rFonts w:ascii="Verdana" w:hAnsi="Verdana"/>
          <w:color w:val="000000"/>
          <w:sz w:val="20"/>
          <w:szCs w:val="20"/>
          <w:lang w:val="es-ES" w:eastAsia="es-CL"/>
        </w:rPr>
        <w:t>Y al efecto</w:t>
      </w:r>
      <w:r w:rsidRPr="00D57F75">
        <w:rPr>
          <w:rFonts w:ascii="Verdana" w:hAnsi="Verdana"/>
          <w:sz w:val="20"/>
          <w:szCs w:val="20"/>
          <w:lang w:val="es-ES" w:eastAsia="es-CL"/>
        </w:rPr>
        <w:t>, lo único que al respecto dispone la Convención es el compromiso de los Estados a cumplir las sentencias que emita la Corte en los casos en que son partes</w:t>
      </w:r>
      <w:r w:rsidRPr="00D57F75">
        <w:rPr>
          <w:rFonts w:ascii="Verdana" w:hAnsi="Verdana"/>
          <w:sz w:val="20"/>
          <w:szCs w:val="20"/>
          <w:vertAlign w:val="superscript"/>
          <w:lang w:val="es-ES" w:eastAsia="es-CL"/>
        </w:rPr>
        <w:footnoteReference w:id="426"/>
      </w:r>
      <w:r w:rsidRPr="00D57F75">
        <w:rPr>
          <w:rFonts w:ascii="Verdana" w:hAnsi="Verdana"/>
          <w:sz w:val="20"/>
          <w:szCs w:val="20"/>
          <w:lang w:val="es-ES" w:eastAsia="es-CL"/>
        </w:rPr>
        <w:t xml:space="preserve">. </w:t>
      </w:r>
    </w:p>
    <w:p w:rsidR="00D57F75" w:rsidRPr="00D57F75" w:rsidRDefault="00D57F75" w:rsidP="00D57F75">
      <w:pPr>
        <w:spacing w:after="120" w:line="240" w:lineRule="auto"/>
        <w:jc w:val="both"/>
        <w:rPr>
          <w:rFonts w:ascii="Verdana" w:hAnsi="Verdana" w:cs="Calibri"/>
          <w:sz w:val="20"/>
          <w:szCs w:val="20"/>
          <w:lang w:val="es-ES" w:eastAsia="es-CL"/>
        </w:rPr>
      </w:pPr>
      <w:r w:rsidRPr="00D57F75">
        <w:rPr>
          <w:rFonts w:ascii="Verdana" w:hAnsi="Verdana"/>
          <w:sz w:val="20"/>
          <w:szCs w:val="20"/>
          <w:lang w:val="es-ES" w:eastAsia="es-CL"/>
        </w:rPr>
        <w:t xml:space="preserve">Se debe concluir, por tanto, </w:t>
      </w:r>
      <w:r w:rsidRPr="00D57F75">
        <w:rPr>
          <w:rFonts w:ascii="Verdana" w:hAnsi="Verdana" w:cs="Calibri"/>
          <w:sz w:val="20"/>
          <w:szCs w:val="20"/>
          <w:lang w:val="es-ES" w:eastAsia="es-CL"/>
        </w:rPr>
        <w:t xml:space="preserve">que la Convención no ha variado en relación a la regla general del Derecho Internacional en cuanto a que las sentencias de la Corte son obligatorias únicamente </w:t>
      </w:r>
      <w:r w:rsidRPr="00D57F75">
        <w:rPr>
          <w:rFonts w:ascii="Verdana" w:hAnsi="Verdana" w:cs="Calibri"/>
          <w:sz w:val="20"/>
          <w:szCs w:val="20"/>
          <w:lang w:val="es-ES" w:eastAsia="es-CL"/>
        </w:rPr>
        <w:lastRenderedPageBreak/>
        <w:t>para tales Estados</w:t>
      </w:r>
      <w:r w:rsidRPr="00D57F75">
        <w:rPr>
          <w:rFonts w:ascii="Verdana" w:hAnsi="Verdana" w:cs="Calibri"/>
          <w:sz w:val="20"/>
          <w:szCs w:val="20"/>
          <w:vertAlign w:val="superscript"/>
          <w:lang w:val="es-ES" w:eastAsia="es-CL"/>
        </w:rPr>
        <w:footnoteReference w:id="427"/>
      </w:r>
      <w:r w:rsidRPr="00D57F75">
        <w:rPr>
          <w:rFonts w:ascii="Verdana" w:hAnsi="Verdana" w:cs="Calibri"/>
          <w:sz w:val="20"/>
          <w:szCs w:val="20"/>
          <w:lang w:val="es-ES" w:eastAsia="es-CL"/>
        </w:rPr>
        <w:t xml:space="preserve"> y que es fuente auxiliar del derecho internacional público, es decir, un “</w:t>
      </w:r>
      <w:r w:rsidRPr="00D57F75">
        <w:rPr>
          <w:rFonts w:ascii="Verdana" w:hAnsi="Verdana" w:cs="Calibri"/>
          <w:i/>
          <w:sz w:val="20"/>
          <w:szCs w:val="20"/>
          <w:lang w:val="es-ES" w:eastAsia="es-CL"/>
        </w:rPr>
        <w:t>medio auxiliar para la determinación de las reglas de derecho</w:t>
      </w:r>
      <w:r w:rsidRPr="00D57F75">
        <w:rPr>
          <w:rFonts w:ascii="Verdana" w:hAnsi="Verdana" w:cs="Calibri"/>
          <w:sz w:val="20"/>
          <w:szCs w:val="20"/>
          <w:lang w:val="es-ES" w:eastAsia="es-CL"/>
        </w:rPr>
        <w:t>”</w:t>
      </w:r>
      <w:r w:rsidRPr="00D57F75">
        <w:rPr>
          <w:rFonts w:ascii="Verdana" w:hAnsi="Verdana" w:cs="Calibri"/>
          <w:sz w:val="20"/>
          <w:szCs w:val="20"/>
          <w:vertAlign w:val="superscript"/>
          <w:lang w:val="es-ES" w:eastAsia="es-CL"/>
        </w:rPr>
        <w:footnoteReference w:id="428"/>
      </w:r>
      <w:r w:rsidRPr="00D57F75">
        <w:rPr>
          <w:rFonts w:ascii="Verdana" w:hAnsi="Verdana" w:cs="Calibri"/>
          <w:sz w:val="20"/>
          <w:szCs w:val="20"/>
          <w:lang w:val="es-ES" w:eastAsia="es-CL"/>
        </w:rPr>
        <w:t>.</w:t>
      </w:r>
    </w:p>
    <w:p w:rsidR="00D57F75" w:rsidRPr="00D57F75" w:rsidRDefault="00D57F75" w:rsidP="00D57F75">
      <w:pPr>
        <w:spacing w:after="0" w:line="240" w:lineRule="auto"/>
        <w:ind w:right="75"/>
        <w:jc w:val="both"/>
        <w:rPr>
          <w:rFonts w:ascii="Verdana" w:hAnsi="Verdana"/>
          <w:sz w:val="20"/>
          <w:szCs w:val="20"/>
          <w:lang w:val="es-ES" w:eastAsia="es-CL"/>
        </w:rPr>
      </w:pPr>
      <w:r w:rsidRPr="00D57F75">
        <w:rPr>
          <w:rFonts w:ascii="Verdana" w:hAnsi="Verdana" w:cs="Calibri"/>
          <w:sz w:val="20"/>
          <w:szCs w:val="20"/>
          <w:lang w:val="es-ES" w:eastAsia="es-CL"/>
        </w:rPr>
        <w:t xml:space="preserve">Lo anterior importa, por tanto, por una parte, que la jurisprudencia de la Corte no es una fuente autónoma del Derecho Internacional, es decir, debe necesariamente referirse a la </w:t>
      </w:r>
      <w:r w:rsidRPr="00D57F75">
        <w:rPr>
          <w:rFonts w:ascii="Verdana" w:hAnsi="Verdana" w:cs="Calibri"/>
          <w:color w:val="000000"/>
          <w:sz w:val="20"/>
          <w:szCs w:val="20"/>
          <w:lang w:val="es-ES" w:eastAsia="es-CL"/>
        </w:rPr>
        <w:t>norma</w:t>
      </w:r>
      <w:r w:rsidRPr="00D57F75">
        <w:rPr>
          <w:rFonts w:ascii="Verdana" w:hAnsi="Verdana" w:cs="Calibri"/>
          <w:sz w:val="20"/>
          <w:szCs w:val="20"/>
          <w:lang w:val="es-ES" w:eastAsia="es-CL"/>
        </w:rPr>
        <w:t xml:space="preserve"> convencional pertinente, para aplicarla e interpretarla y, por ende, no basta por sí sola para resolver una controversia y, por la otra parte, que ella obviamente no es inmutable, es decir, puede ser cambiada por la propia Corte, </w:t>
      </w:r>
      <w:proofErr w:type="spellStart"/>
      <w:r w:rsidRPr="00D57F75">
        <w:rPr>
          <w:rFonts w:ascii="Verdana" w:hAnsi="Verdana" w:cs="Calibri"/>
          <w:sz w:val="20"/>
          <w:szCs w:val="20"/>
          <w:lang w:val="es-ES" w:eastAsia="es-CL"/>
        </w:rPr>
        <w:t>aún</w:t>
      </w:r>
      <w:proofErr w:type="spellEnd"/>
      <w:r w:rsidRPr="00D57F75">
        <w:rPr>
          <w:rFonts w:ascii="Verdana" w:hAnsi="Verdana" w:cs="Calibri"/>
          <w:sz w:val="20"/>
          <w:szCs w:val="20"/>
          <w:lang w:val="es-ES" w:eastAsia="es-CL"/>
        </w:rPr>
        <w:t xml:space="preserve"> cuando sea constante o se encuentre suficientemente consolidada y ello especialmente en consideración a las peculiaridades del caso de que se trate y al desarrollo progresivo del Derecho Internacional.</w:t>
      </w:r>
    </w:p>
    <w:p w:rsidR="00D57F75" w:rsidRPr="00D57F75" w:rsidRDefault="00D57F75" w:rsidP="00D57F75">
      <w:pPr>
        <w:spacing w:after="0" w:line="240" w:lineRule="auto"/>
        <w:ind w:left="1080"/>
        <w:jc w:val="both"/>
        <w:rPr>
          <w:rFonts w:ascii="Verdana" w:eastAsia="Calibri" w:hAnsi="Verdana" w:cs="Calibri"/>
          <w:b/>
          <w:sz w:val="20"/>
          <w:szCs w:val="20"/>
        </w:rPr>
      </w:pPr>
    </w:p>
    <w:p w:rsidR="00D57F75" w:rsidRPr="00D57F75" w:rsidRDefault="00D57F75" w:rsidP="00D57F75">
      <w:pPr>
        <w:numPr>
          <w:ilvl w:val="0"/>
          <w:numId w:val="25"/>
        </w:numPr>
        <w:spacing w:after="240" w:line="240" w:lineRule="auto"/>
        <w:jc w:val="both"/>
        <w:rPr>
          <w:rFonts w:ascii="Verdana" w:eastAsia="Calibri" w:hAnsi="Verdana" w:cs="Calibri"/>
          <w:b/>
          <w:sz w:val="20"/>
          <w:szCs w:val="20"/>
        </w:rPr>
      </w:pPr>
      <w:r w:rsidRPr="00D57F75">
        <w:rPr>
          <w:rFonts w:ascii="Verdana" w:eastAsia="Calibri" w:hAnsi="Verdana" w:cs="Calibri"/>
          <w:b/>
          <w:sz w:val="20"/>
          <w:szCs w:val="20"/>
        </w:rPr>
        <w:t>NORMA CONVENCIONAL CONCERNIENTE A LA REGLA DEL PREVIO AGOTAMIENTO DE LOS RECURSOS INTERNOS.</w:t>
      </w:r>
    </w:p>
    <w:p w:rsidR="00D57F75" w:rsidRPr="00D57F75" w:rsidRDefault="00D57F75" w:rsidP="00D57F75">
      <w:pPr>
        <w:spacing w:after="240" w:line="240" w:lineRule="auto"/>
        <w:jc w:val="both"/>
        <w:rPr>
          <w:rFonts w:ascii="Verdana" w:eastAsia="Calibri" w:hAnsi="Verdana" w:cs="Calibri"/>
          <w:sz w:val="20"/>
          <w:szCs w:val="20"/>
        </w:rPr>
      </w:pPr>
      <w:r w:rsidRPr="00D57F75">
        <w:rPr>
          <w:rFonts w:ascii="Verdana" w:eastAsia="Calibri" w:hAnsi="Verdana" w:cs="Calibri"/>
          <w:sz w:val="20"/>
          <w:szCs w:val="20"/>
        </w:rPr>
        <w:t>En esta parte del presente escrito, se reiterarán y complementarán, con ciertas modificaciones, algunas observaciones generales antes realizadas</w:t>
      </w:r>
      <w:r w:rsidRPr="00D57F75">
        <w:rPr>
          <w:rFonts w:ascii="Verdana" w:eastAsia="Calibri" w:hAnsi="Verdana" w:cs="Calibri"/>
          <w:sz w:val="20"/>
          <w:szCs w:val="20"/>
          <w:vertAlign w:val="superscript"/>
        </w:rPr>
        <w:footnoteReference w:id="429"/>
      </w:r>
      <w:r w:rsidRPr="00D57F75">
        <w:rPr>
          <w:rFonts w:ascii="Verdana" w:eastAsia="Calibri" w:hAnsi="Verdana" w:cs="Calibri"/>
          <w:sz w:val="20"/>
          <w:szCs w:val="20"/>
        </w:rPr>
        <w:t xml:space="preserve"> sobre la regla en comento y el procedimiento que se debe seguir al respecto, esto es, en cuanto a la petición, su estudio y trámite inicial por parte de la Comisión, la respuesta del Estado a ella, su admisibilidad y el pronunciamiento que le corresponde a la Corte, para concluir con las consecuencias que se derivarían de considerar a la regla del previo agotamiento de los recursos internos como requisito de la admisibilidad y no de la petición, todo lo cual conduce a estimar que la citada regla debe ser cumplida por el peticionario en forma previa a la petición o bien ésta debe señalar su improcedencia.</w:t>
      </w:r>
    </w:p>
    <w:p w:rsidR="00D57F75" w:rsidRPr="00D57F75" w:rsidRDefault="00D57F75" w:rsidP="00D57F75">
      <w:pPr>
        <w:numPr>
          <w:ilvl w:val="0"/>
          <w:numId w:val="28"/>
        </w:numPr>
        <w:spacing w:after="240" w:line="240" w:lineRule="auto"/>
        <w:jc w:val="both"/>
        <w:rPr>
          <w:rFonts w:ascii="Verdana" w:eastAsia="Calibri" w:hAnsi="Verdana" w:cs="Calibri"/>
          <w:b/>
          <w:sz w:val="20"/>
          <w:szCs w:val="20"/>
        </w:rPr>
      </w:pPr>
      <w:r w:rsidRPr="00D57F75">
        <w:rPr>
          <w:rFonts w:ascii="Verdana" w:eastAsia="Calibri" w:hAnsi="Verdana" w:cs="Calibri"/>
          <w:b/>
          <w:sz w:val="20"/>
          <w:szCs w:val="20"/>
          <w:lang w:val="es-CL"/>
        </w:rPr>
        <w:t>Observaciones generales.</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 xml:space="preserve">El artículo 46 de la Convención consagra la regla del previo agotamiento de los recursos internos al disponer que: </w:t>
      </w:r>
    </w:p>
    <w:p w:rsidR="00D57F75" w:rsidRPr="00D57F75" w:rsidRDefault="00D57F75" w:rsidP="00D57F75">
      <w:pPr>
        <w:spacing w:after="12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t xml:space="preserve">“1. Para que una petición o comunicación presentada conforme a los artículos 44 </w:t>
      </w:r>
      <w:proofErr w:type="spellStart"/>
      <w:r w:rsidRPr="00D57F75">
        <w:rPr>
          <w:rFonts w:ascii="Verdana" w:hAnsi="Verdana" w:cs="Calibri"/>
          <w:i/>
          <w:sz w:val="20"/>
          <w:szCs w:val="20"/>
          <w:lang w:val="es-CL" w:eastAsia="es-CL"/>
        </w:rPr>
        <w:t>ó</w:t>
      </w:r>
      <w:proofErr w:type="spellEnd"/>
      <w:r w:rsidRPr="00D57F75">
        <w:rPr>
          <w:rFonts w:ascii="Verdana" w:hAnsi="Verdana" w:cs="Calibri"/>
          <w:i/>
          <w:sz w:val="20"/>
          <w:szCs w:val="20"/>
          <w:lang w:val="es-CL" w:eastAsia="es-CL"/>
        </w:rPr>
        <w:t xml:space="preserve"> 45 sea admitida por la Comisión, se requerirá:</w:t>
      </w:r>
    </w:p>
    <w:p w:rsidR="00D57F75" w:rsidRPr="00D57F75" w:rsidRDefault="00D57F75" w:rsidP="00D57F75">
      <w:pPr>
        <w:spacing w:after="12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t>a) que se hayan interpuesto y agotado los recursos de jurisdicción interna, conforme a los principios del Derecho Internacional generalmente reconocidos;</w:t>
      </w:r>
    </w:p>
    <w:p w:rsidR="00D57F75" w:rsidRPr="00D57F75" w:rsidRDefault="00D57F75" w:rsidP="00D57F75">
      <w:pPr>
        <w:spacing w:after="12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t>b) que sea presentada dentro del plazo de seis meses, a partir de la fecha en que el presunto lesionado en sus derechos haya sido notificado de la decisión definitiva;</w:t>
      </w:r>
    </w:p>
    <w:p w:rsidR="00D57F75" w:rsidRPr="00D57F75" w:rsidRDefault="00D57F75" w:rsidP="00D57F75">
      <w:pPr>
        <w:spacing w:after="12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t xml:space="preserve">c) que la materia de la petición o comunicación no esté pendiente de otro procedimiento de arreglo internacional, y </w:t>
      </w:r>
    </w:p>
    <w:p w:rsidR="00D57F75" w:rsidRPr="00D57F75" w:rsidRDefault="00D57F75" w:rsidP="00D57F75">
      <w:pPr>
        <w:spacing w:after="12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t>d) que en el caso del artículo 44 la petición contenga el nombre, la nacionalidad, la profesión, el domicilio y la firma de la persona o personas o del representante legal de la entidad que somete la petición.</w:t>
      </w:r>
    </w:p>
    <w:p w:rsidR="00D57F75" w:rsidRPr="00D57F75" w:rsidRDefault="00D57F75" w:rsidP="00D57F75">
      <w:pPr>
        <w:spacing w:after="12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lastRenderedPageBreak/>
        <w:t xml:space="preserve">2. Las disposiciones de los incisos 1.a. y 1.b. del presente artículo no se aplicarán cuando: </w:t>
      </w:r>
    </w:p>
    <w:p w:rsidR="00D57F75" w:rsidRPr="00D57F75" w:rsidRDefault="00D57F75" w:rsidP="00D57F75">
      <w:pPr>
        <w:spacing w:after="12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t xml:space="preserve">a) no exista en la legislación interna del Estado de que se trata el debido proceso legal para la protección del derecho o derechos que se alega han sido violados; </w:t>
      </w:r>
    </w:p>
    <w:p w:rsidR="00D57F75" w:rsidRPr="00D57F75" w:rsidRDefault="00D57F75" w:rsidP="00D57F75">
      <w:pPr>
        <w:spacing w:after="12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t>b) no se haya permitido al presunto lesionado en sus derechos el acceso a los recursos de la jurisdicción interna, o haya sido impedido de agotarlos, y</w:t>
      </w:r>
    </w:p>
    <w:p w:rsidR="00D57F75" w:rsidRPr="00D57F75" w:rsidRDefault="00D57F75" w:rsidP="00D57F75">
      <w:pPr>
        <w:spacing w:after="240" w:line="240" w:lineRule="auto"/>
        <w:ind w:left="567"/>
        <w:jc w:val="both"/>
        <w:rPr>
          <w:rFonts w:ascii="Verdana" w:hAnsi="Verdana" w:cs="Calibri"/>
          <w:i/>
          <w:sz w:val="20"/>
          <w:szCs w:val="20"/>
          <w:lang w:val="es-CL" w:eastAsia="es-CL"/>
        </w:rPr>
      </w:pPr>
      <w:r w:rsidRPr="00D57F75">
        <w:rPr>
          <w:rFonts w:ascii="Verdana" w:hAnsi="Verdana" w:cs="Calibri"/>
          <w:i/>
          <w:sz w:val="20"/>
          <w:szCs w:val="20"/>
          <w:lang w:val="es-CL" w:eastAsia="es-CL"/>
        </w:rPr>
        <w:t xml:space="preserve">c) </w:t>
      </w:r>
      <w:proofErr w:type="gramStart"/>
      <w:r w:rsidRPr="00D57F75">
        <w:rPr>
          <w:rFonts w:ascii="Verdana" w:hAnsi="Verdana" w:cs="Calibri"/>
          <w:i/>
          <w:sz w:val="20"/>
          <w:szCs w:val="20"/>
          <w:lang w:val="es-CL" w:eastAsia="es-CL"/>
        </w:rPr>
        <w:t>haya</w:t>
      </w:r>
      <w:proofErr w:type="gramEnd"/>
      <w:r w:rsidRPr="00D57F75">
        <w:rPr>
          <w:rFonts w:ascii="Verdana" w:hAnsi="Verdana" w:cs="Calibri"/>
          <w:i/>
          <w:sz w:val="20"/>
          <w:szCs w:val="20"/>
          <w:lang w:val="es-CL" w:eastAsia="es-CL"/>
        </w:rPr>
        <w:t xml:space="preserve"> retardo injustificado en la decisión sobre los mencionados recursos.”</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 xml:space="preserve">Como primera observación, procede llamar la atención respecto de que esta norma es </w:t>
      </w:r>
      <w:hyperlink r:id="rId22" w:history="1">
        <w:r w:rsidRPr="00D57F75">
          <w:rPr>
            <w:rFonts w:ascii="Verdana" w:hAnsi="Verdana" w:cs="Calibri"/>
            <w:i/>
            <w:sz w:val="20"/>
            <w:szCs w:val="20"/>
            <w:shd w:val="clear" w:color="auto" w:fill="FFFFFF"/>
            <w:lang w:val="es-CL" w:eastAsia="es-CL"/>
          </w:rPr>
          <w:t xml:space="preserve">sui </w:t>
        </w:r>
        <w:r w:rsidRPr="00D57F75">
          <w:rPr>
            <w:rFonts w:ascii="Verdana" w:hAnsi="Verdana" w:cs="Calibri"/>
            <w:bCs/>
            <w:i/>
            <w:iCs/>
            <w:sz w:val="20"/>
            <w:szCs w:val="20"/>
            <w:shd w:val="clear" w:color="auto" w:fill="FFFFFF"/>
            <w:lang w:val="es-CL" w:eastAsia="es-CL"/>
          </w:rPr>
          <w:t>generis</w:t>
        </w:r>
      </w:hyperlink>
      <w:r w:rsidRPr="00D57F75">
        <w:rPr>
          <w:rFonts w:ascii="Verdana" w:hAnsi="Verdana" w:cs="Calibri"/>
          <w:i/>
          <w:sz w:val="20"/>
          <w:szCs w:val="20"/>
          <w:lang w:val="es-CL" w:eastAsia="es-CL"/>
        </w:rPr>
        <w:t xml:space="preserve">, </w:t>
      </w:r>
      <w:r w:rsidRPr="00D57F75">
        <w:rPr>
          <w:rFonts w:ascii="Verdana" w:hAnsi="Verdana" w:cs="Calibri"/>
          <w:sz w:val="20"/>
          <w:szCs w:val="20"/>
          <w:lang w:val="es-CL" w:eastAsia="es-CL"/>
        </w:rPr>
        <w:t>propia o exclusiva de la Convención. Efectivamente, ella no figura, por ejemplo, en los mismos términos en el Convenio para la Protección de los Derechos Humanos y de las Libertades Fundamentales o Convenio Europeo de Derechos Humanos</w:t>
      </w:r>
      <w:r w:rsidRPr="00D57F75">
        <w:rPr>
          <w:rFonts w:ascii="Verdana" w:hAnsi="Verdana" w:cs="Calibri"/>
          <w:sz w:val="20"/>
          <w:szCs w:val="20"/>
          <w:vertAlign w:val="superscript"/>
          <w:lang w:val="es-CL" w:eastAsia="es-CL"/>
        </w:rPr>
        <w:footnoteReference w:id="430"/>
      </w:r>
      <w:r w:rsidRPr="00D57F75">
        <w:rPr>
          <w:rFonts w:ascii="Verdana" w:hAnsi="Verdana" w:cs="Calibri"/>
          <w:sz w:val="20"/>
          <w:szCs w:val="20"/>
          <w:lang w:val="es-CL" w:eastAsia="es-CL"/>
        </w:rPr>
        <w:t>, cuyo artículo 35 aborda el requisito del previo agotamiento de los recursos internos en forma más general y, además, no contempla las taxativas excepciones previstas en el artículo 46.2 de la Convención</w:t>
      </w:r>
      <w:r w:rsidRPr="00D57F75">
        <w:rPr>
          <w:rFonts w:ascii="Verdana" w:hAnsi="Verdana" w:cs="Calibri"/>
          <w:sz w:val="20"/>
          <w:szCs w:val="20"/>
          <w:vertAlign w:val="superscript"/>
          <w:lang w:val="es-CL" w:eastAsia="es-CL"/>
        </w:rPr>
        <w:footnoteReference w:id="431"/>
      </w:r>
      <w:r w:rsidRPr="00D57F75">
        <w:rPr>
          <w:rFonts w:ascii="Verdana" w:hAnsi="Verdana" w:cs="Calibri"/>
          <w:sz w:val="20"/>
          <w:szCs w:val="20"/>
          <w:lang w:val="es-CL" w:eastAsia="es-CL"/>
        </w:rPr>
        <w:t>.</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Por otra parte, procede igualmente recalcar que el citado requisito está previsto en el mencionado Convenio para ser cumplido previamente al accionar ante el Tribunal Europeo de Derechos Humanos, es decir, un ente judicial, mientras que en el caso de la Convención está concebido para serlo antes de presentar la petición a la Comisión, vale decir, una entidad no judicial. Y ello es relevante en la medida en que esta última tiene la facultad de presentar casos ante la Corte</w:t>
      </w:r>
      <w:r w:rsidRPr="00D57F75">
        <w:rPr>
          <w:rFonts w:ascii="Verdana" w:hAnsi="Verdana" w:cs="Calibri"/>
          <w:sz w:val="20"/>
          <w:szCs w:val="20"/>
          <w:vertAlign w:val="superscript"/>
          <w:lang w:val="es-CL" w:eastAsia="es-CL"/>
        </w:rPr>
        <w:footnoteReference w:id="432"/>
      </w:r>
      <w:r w:rsidRPr="00D57F75">
        <w:rPr>
          <w:rFonts w:ascii="Verdana" w:hAnsi="Verdana" w:cs="Calibri"/>
          <w:sz w:val="20"/>
          <w:szCs w:val="20"/>
          <w:lang w:val="es-CL" w:eastAsia="es-CL"/>
        </w:rPr>
        <w:t xml:space="preserve">. Esto es, la Comisión puede llegar a constituirse ante la Corte en parte acusadora y en esa medida no comparte necesariamente la calidad de imparcialidad que debe caracterizar a una instancia judicial. </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Ahora bien, como segundo comentario general, cabe llamar la atención sobre la referencia que el artículo 46.1.a) de la Convención hace a la circunstancia de “</w:t>
      </w:r>
      <w:r w:rsidRPr="00D57F75">
        <w:rPr>
          <w:rFonts w:ascii="Verdana" w:hAnsi="Verdana" w:cs="Calibri"/>
          <w:i/>
          <w:sz w:val="20"/>
          <w:szCs w:val="20"/>
          <w:lang w:val="es-CL" w:eastAsia="es-CL"/>
        </w:rPr>
        <w:t xml:space="preserve">que se hayan interpuesto y agotado los recursos de jurisdicción interna, conforme a los principios del Derecho Internacional generalmente reconocidos”. </w:t>
      </w:r>
      <w:r w:rsidRPr="00D57F75">
        <w:rPr>
          <w:rFonts w:ascii="Verdana" w:hAnsi="Verdana" w:cs="Calibri"/>
          <w:sz w:val="20"/>
          <w:szCs w:val="20"/>
          <w:lang w:val="es-CL" w:eastAsia="es-CL"/>
        </w:rPr>
        <w:t xml:space="preserve">La alusión a éstos se hace, entonces, para recordar que la regla del previo agotamiento de los recursos internos está establecida por aquellos con anterioridad o, al menos, no solo por tratados, en este caso, la Convención y es por eso que en </w:t>
      </w:r>
      <w:r w:rsidRPr="00D57F75">
        <w:rPr>
          <w:rFonts w:ascii="Verdana" w:hAnsi="Verdana" w:cs="Calibri"/>
          <w:sz w:val="20"/>
          <w:szCs w:val="20"/>
          <w:lang w:val="es-CL" w:eastAsia="es-CL"/>
        </w:rPr>
        <w:lastRenderedPageBreak/>
        <w:t>el tercer preámbulo de ésta se califica como “</w:t>
      </w:r>
      <w:r w:rsidRPr="00D57F75">
        <w:rPr>
          <w:rFonts w:ascii="Verdana" w:hAnsi="Verdana" w:cs="Calibri"/>
          <w:i/>
          <w:sz w:val="20"/>
          <w:szCs w:val="20"/>
          <w:lang w:val="es-CL" w:eastAsia="es-CL"/>
        </w:rPr>
        <w:t>principios</w:t>
      </w:r>
      <w:r w:rsidRPr="00D57F75">
        <w:rPr>
          <w:rFonts w:ascii="Verdana" w:hAnsi="Verdana" w:cs="Calibri"/>
          <w:sz w:val="20"/>
          <w:szCs w:val="20"/>
          <w:lang w:val="es-CL" w:eastAsia="es-CL"/>
        </w:rPr>
        <w:t>” lo concerniente al “</w:t>
      </w:r>
      <w:r w:rsidRPr="00D57F75">
        <w:rPr>
          <w:rFonts w:ascii="Verdana" w:hAnsi="Verdana" w:cs="Calibri"/>
          <w:i/>
          <w:sz w:val="20"/>
          <w:szCs w:val="20"/>
          <w:lang w:val="es-CL" w:eastAsia="es-CL"/>
        </w:rPr>
        <w:t>respeto de los derechos humanos</w:t>
      </w:r>
      <w:r w:rsidRPr="00D57F75">
        <w:rPr>
          <w:rFonts w:ascii="Verdana" w:hAnsi="Verdana" w:cs="Calibri"/>
          <w:sz w:val="20"/>
          <w:szCs w:val="20"/>
          <w:lang w:val="es-CL" w:eastAsia="es-CL"/>
        </w:rPr>
        <w:t xml:space="preserve"> y a su fundamento en </w:t>
      </w:r>
      <w:r w:rsidRPr="00D57F75">
        <w:rPr>
          <w:rFonts w:ascii="Verdana" w:hAnsi="Verdana" w:cs="Calibri"/>
          <w:color w:val="000000"/>
          <w:sz w:val="20"/>
          <w:szCs w:val="20"/>
          <w:lang w:val="es-CL" w:eastAsia="es-CL"/>
        </w:rPr>
        <w:t>“</w:t>
      </w:r>
      <w:r w:rsidRPr="00D57F75">
        <w:rPr>
          <w:rFonts w:ascii="Verdana" w:hAnsi="Verdana" w:cs="Calibri"/>
          <w:i/>
          <w:color w:val="000000"/>
          <w:sz w:val="20"/>
          <w:szCs w:val="20"/>
          <w:lang w:val="es-CL" w:eastAsia="es-CL"/>
        </w:rPr>
        <w:t xml:space="preserve">los </w:t>
      </w:r>
      <w:r w:rsidRPr="00D57F75">
        <w:rPr>
          <w:rFonts w:ascii="Verdana" w:hAnsi="Verdana" w:cs="Tahoma"/>
          <w:i/>
          <w:color w:val="000000"/>
          <w:sz w:val="20"/>
          <w:szCs w:val="20"/>
          <w:lang w:val="es-CL" w:eastAsia="es-CL"/>
        </w:rPr>
        <w:t>atributos de la persona humana</w:t>
      </w:r>
      <w:r w:rsidRPr="00D57F75">
        <w:rPr>
          <w:rFonts w:ascii="Verdana" w:hAnsi="Verdana" w:cs="Tahoma"/>
          <w:sz w:val="20"/>
          <w:szCs w:val="20"/>
          <w:lang w:val="es-CL" w:eastAsia="es-CL"/>
        </w:rPr>
        <w:t>”</w:t>
      </w:r>
      <w:r w:rsidRPr="00D57F75">
        <w:rPr>
          <w:rFonts w:ascii="Verdana" w:hAnsi="Verdana" w:cs="Tahoma"/>
          <w:sz w:val="20"/>
          <w:szCs w:val="20"/>
          <w:vertAlign w:val="superscript"/>
          <w:lang w:val="es-CL" w:eastAsia="es-CL"/>
        </w:rPr>
        <w:footnoteReference w:id="433"/>
      </w:r>
      <w:r w:rsidRPr="00D57F75">
        <w:rPr>
          <w:rFonts w:ascii="Verdana" w:hAnsi="Verdana" w:cs="Tahoma"/>
          <w:sz w:val="20"/>
          <w:szCs w:val="20"/>
          <w:lang w:val="es-CL" w:eastAsia="es-CL"/>
        </w:rPr>
        <w:t>.</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sz w:val="20"/>
          <w:szCs w:val="20"/>
          <w:lang w:val="es-CL"/>
        </w:rPr>
        <w:t xml:space="preserve">Como tercera observación, es procedente subrayar </w:t>
      </w:r>
      <w:r w:rsidRPr="00D57F75">
        <w:rPr>
          <w:rFonts w:ascii="Verdana" w:eastAsia="Calibri" w:hAnsi="Verdana" w:cs="Calibri"/>
          <w:sz w:val="20"/>
          <w:szCs w:val="20"/>
          <w:lang w:val="es-CL"/>
        </w:rPr>
        <w:t xml:space="preserve">que el citado artículo 46.2 de la Convención prevé en forma taxativa los casos en que no se aplica la regla del previo agotamiento de los recursos internos, es decir, las excepciones a la misma, a saber, la inexistencia del debido proceso legal para hacer valer los recursos internos, la imposibilidad de ejercerlos y el retardo en resolverlos. Dichas excepciones deben ser aplicadas e interpretadas, en consecuencia, restrictivamente. La referida norma no contempla, pues, otras excepciones que las señaladas, por lo que no es procedente invocar o aún acoger una excepción a la regla en cuestión no prevista en el mencionado artículo, pues si así lo fuese, ello podría conducir a despojarla de todo sentido o </w:t>
      </w:r>
      <w:r w:rsidRPr="00D57F75">
        <w:rPr>
          <w:rFonts w:ascii="Verdana" w:eastAsia="Calibri" w:hAnsi="Verdana" w:cs="Calibri"/>
          <w:i/>
          <w:sz w:val="20"/>
          <w:szCs w:val="20"/>
          <w:lang w:val="es-CL"/>
        </w:rPr>
        <w:t>efecto útil</w:t>
      </w:r>
      <w:r w:rsidRPr="00D57F75">
        <w:rPr>
          <w:rFonts w:ascii="Verdana" w:eastAsia="Calibri" w:hAnsi="Verdana" w:cs="Calibri"/>
          <w:sz w:val="20"/>
          <w:szCs w:val="20"/>
          <w:lang w:val="es-CL"/>
        </w:rPr>
        <w:t xml:space="preserve"> y, más aún, dejaría su aplicación a la discreción y tal vez a la arbitrariedad. Todo lo cual no significa que no puedan interponerse otras excepciones preliminares, como por ejemplo, la incompetencia de la Corte.</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Finalmente, no está de más reiterar que la citada regla ha sido prevista en la Convención como pieza esencial de todo el Sistema Interamericano de Promoción y Protección de los Derechos Humanos, al dar debida cuenta de que, como lo indica en el segundo párrafo del Preámbulo de aquella, la “</w:t>
      </w:r>
      <w:r w:rsidRPr="00D57F75">
        <w:rPr>
          <w:rFonts w:ascii="Verdana" w:eastAsia="Calibri" w:hAnsi="Verdana" w:cs="Calibri"/>
          <w:i/>
          <w:sz w:val="20"/>
          <w:szCs w:val="20"/>
          <w:lang w:val="es-CL"/>
        </w:rPr>
        <w:t xml:space="preserve">protección </w:t>
      </w:r>
      <w:proofErr w:type="gramStart"/>
      <w:r w:rsidRPr="00D57F75">
        <w:rPr>
          <w:rFonts w:ascii="Verdana" w:eastAsia="Calibri" w:hAnsi="Verdana" w:cs="Calibri"/>
          <w:i/>
          <w:sz w:val="20"/>
          <w:szCs w:val="20"/>
          <w:lang w:val="es-CL"/>
        </w:rPr>
        <w:t>internacional …</w:t>
      </w:r>
      <w:proofErr w:type="gramEnd"/>
      <w:r w:rsidRPr="00D57F75">
        <w:rPr>
          <w:rFonts w:ascii="Verdana" w:eastAsia="Calibri" w:hAnsi="Verdana" w:cs="Calibri"/>
          <w:sz w:val="20"/>
          <w:szCs w:val="20"/>
          <w:lang w:val="es-CL"/>
        </w:rPr>
        <w:t>(es)</w:t>
      </w:r>
      <w:r w:rsidRPr="00D57F75">
        <w:rPr>
          <w:rFonts w:ascii="Verdana" w:eastAsia="Calibri" w:hAnsi="Verdana" w:cs="Calibri"/>
          <w:i/>
          <w:sz w:val="20"/>
          <w:szCs w:val="20"/>
          <w:lang w:val="es-CL"/>
        </w:rPr>
        <w:t xml:space="preserve"> de naturaleza convencional coadyuvante o complementaria de la que ofrece el derecho interno de los Estados americanos”</w:t>
      </w:r>
      <w:r w:rsidRPr="00D57F75">
        <w:rPr>
          <w:rFonts w:ascii="Verdana" w:eastAsia="Calibri" w:hAnsi="Verdana" w:cs="Calibri"/>
          <w:i/>
          <w:sz w:val="20"/>
          <w:szCs w:val="20"/>
          <w:vertAlign w:val="superscript"/>
          <w:lang w:val="es-CL"/>
        </w:rPr>
        <w:footnoteReference w:id="434"/>
      </w:r>
      <w:r w:rsidRPr="00D57F75">
        <w:rPr>
          <w:rFonts w:ascii="Verdana" w:eastAsia="Calibri" w:hAnsi="Verdana" w:cs="Calibri"/>
          <w:i/>
          <w:sz w:val="20"/>
          <w:szCs w:val="20"/>
          <w:lang w:val="es-CL"/>
        </w:rPr>
        <w:t>.</w:t>
      </w:r>
      <w:r w:rsidRPr="00D57F75">
        <w:rPr>
          <w:rFonts w:ascii="Verdana" w:eastAsia="Calibri" w:hAnsi="Verdana" w:cs="Calibri"/>
          <w:sz w:val="20"/>
          <w:szCs w:val="20"/>
          <w:lang w:val="es-CL"/>
        </w:rPr>
        <w:t xml:space="preserve"> </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ES" w:eastAsia="es-CL"/>
        </w:rPr>
        <w:t>El estricto apego a la regla del previo agotamiento de los recursos internos no es, por lo tanto, un mero formalismo o tecnicismo jurídico, sino que su respeto consolida y fortalece el sistema interamericano de derechos humanos, puesto que de esa forma se garantizan los principios de seguridad jurídica, equilibrio procesal y complementariedad que lo sustentan, no dejando margen alguno o, en todo caso, el menor posible, para que, más allá de la explicables discrepancias que los fallos de la Corte pueden provocar, particularmente por parte de quienes los estiman adversos, se puedan percibir que ellos no responden estricta y exclusivamente a consideraciones de Justicia.</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Y ello tiene que ver con la estructura jurídica internacional, que aún se sustenta, en lo fundamental, en el principio de la soberanía, el que, en el caso del Sistema Interamericano, se encuentra consagrado en los artículos 1</w:t>
      </w:r>
      <w:r w:rsidRPr="00D57F75">
        <w:rPr>
          <w:rFonts w:ascii="Verdana" w:eastAsia="Calibri" w:hAnsi="Verdana" w:cs="Calibri"/>
          <w:sz w:val="20"/>
          <w:szCs w:val="20"/>
          <w:vertAlign w:val="superscript"/>
          <w:lang w:val="es-CL"/>
        </w:rPr>
        <w:footnoteReference w:id="435"/>
      </w:r>
      <w:r w:rsidRPr="00D57F75">
        <w:rPr>
          <w:rFonts w:ascii="Verdana" w:eastAsia="Calibri" w:hAnsi="Verdana" w:cs="Calibri"/>
          <w:sz w:val="20"/>
          <w:szCs w:val="20"/>
          <w:lang w:val="es-CL"/>
        </w:rPr>
        <w:t xml:space="preserve"> y 3.b)</w:t>
      </w:r>
      <w:r w:rsidRPr="00D57F75">
        <w:rPr>
          <w:rFonts w:ascii="Verdana" w:eastAsia="Calibri" w:hAnsi="Verdana" w:cs="Calibri"/>
          <w:sz w:val="20"/>
          <w:szCs w:val="20"/>
          <w:vertAlign w:val="superscript"/>
          <w:lang w:val="es-CL"/>
        </w:rPr>
        <w:footnoteReference w:id="436"/>
      </w:r>
      <w:r w:rsidRPr="00D57F75">
        <w:rPr>
          <w:rFonts w:ascii="Verdana" w:eastAsia="Calibri" w:hAnsi="Verdana" w:cs="Calibri"/>
          <w:sz w:val="20"/>
          <w:szCs w:val="20"/>
          <w:lang w:val="es-CL"/>
        </w:rPr>
        <w:t xml:space="preserve"> de la Carta de la Organización de los Estados Americanos, por lo que las disposiciones convencionales que contemplen restricciones a la soberanía estatal deben ser interpretadas y aplicadas teniendo en cuenta dicha realidad. </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lastRenderedPageBreak/>
        <w:t>En tal sentido, la regla del previo agotamiento de los recursos internos es igualmente expresión de la vigencia de la soberanía del Estado y de la necesidad de darle a éste la oportunidad preferente de operar en lo atingente a las presuntas violaciones de los derechos humanos. Y ello adquiere mayor relevancia en la época actual, en que todos los Estados partes de la Convención se rigen por el régimen de Estado Democrático de Derecho, es decir, se adhieren a la democracia</w:t>
      </w:r>
      <w:r w:rsidRPr="00D57F75">
        <w:rPr>
          <w:rFonts w:ascii="Verdana" w:eastAsia="Calibri" w:hAnsi="Verdana" w:cs="Calibri"/>
          <w:sz w:val="20"/>
          <w:szCs w:val="20"/>
          <w:vertAlign w:val="superscript"/>
          <w:lang w:val="es-CL"/>
        </w:rPr>
        <w:footnoteReference w:id="437"/>
      </w:r>
      <w:r w:rsidRPr="00D57F75">
        <w:rPr>
          <w:rFonts w:ascii="Verdana" w:eastAsia="Calibri" w:hAnsi="Verdana" w:cs="Calibri"/>
          <w:sz w:val="20"/>
          <w:szCs w:val="20"/>
          <w:lang w:val="es-CL"/>
        </w:rPr>
        <w:t xml:space="preserve">. </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De lo afirmado se puede deducir desde ya, en consecuencia, que el cumplimiento del requisito previsto en el antes transcrito artículo 46.1.a) de la Convención debe tener lugar antes de que se eleve la petición ante la Comisión.</w:t>
      </w:r>
    </w:p>
    <w:p w:rsidR="00D57F75" w:rsidRPr="00D57F75" w:rsidRDefault="00D57F75" w:rsidP="00D57F75">
      <w:pPr>
        <w:numPr>
          <w:ilvl w:val="0"/>
          <w:numId w:val="28"/>
        </w:numPr>
        <w:spacing w:after="240" w:line="240" w:lineRule="auto"/>
        <w:jc w:val="both"/>
        <w:rPr>
          <w:rFonts w:ascii="Verdana" w:eastAsia="Calibri" w:hAnsi="Verdana" w:cs="Calibri"/>
          <w:b/>
          <w:sz w:val="20"/>
          <w:szCs w:val="20"/>
          <w:lang w:val="es-CL"/>
        </w:rPr>
      </w:pPr>
      <w:r w:rsidRPr="00D57F75">
        <w:rPr>
          <w:rFonts w:ascii="Verdana" w:eastAsia="Calibri" w:hAnsi="Verdana" w:cs="Calibri"/>
          <w:b/>
          <w:sz w:val="20"/>
          <w:szCs w:val="20"/>
          <w:lang w:val="es-CL"/>
        </w:rPr>
        <w:t>La petición.</w:t>
      </w:r>
    </w:p>
    <w:p w:rsidR="00D57F75" w:rsidRPr="00D57F75" w:rsidRDefault="00D57F75" w:rsidP="00D57F75">
      <w:pPr>
        <w:spacing w:after="240" w:line="240" w:lineRule="auto"/>
        <w:jc w:val="both"/>
        <w:rPr>
          <w:rFonts w:ascii="Verdana" w:eastAsia="Batang" w:hAnsi="Verdana" w:cs="Calibri"/>
          <w:sz w:val="20"/>
          <w:szCs w:val="20"/>
          <w:lang w:val="es-CL"/>
        </w:rPr>
      </w:pPr>
      <w:r w:rsidRPr="00D57F75">
        <w:rPr>
          <w:rFonts w:ascii="Verdana" w:eastAsia="Batang" w:hAnsi="Verdana" w:cs="Calibri"/>
          <w:sz w:val="20"/>
          <w:szCs w:val="20"/>
          <w:lang w:val="es-CL"/>
        </w:rPr>
        <w:t>La primera observación que se debe hacer respecto de la petición por la que se da comienzo al procedimiento ante la Comisión y que puede concluir en la Corte, es que</w:t>
      </w:r>
      <w:r w:rsidRPr="00D57F75">
        <w:rPr>
          <w:rFonts w:ascii="Verdana" w:eastAsia="Calibri" w:hAnsi="Verdana" w:cs="Calibri"/>
          <w:sz w:val="20"/>
          <w:szCs w:val="20"/>
          <w:lang w:val="es-CL"/>
        </w:rPr>
        <w:t xml:space="preserve"> el cumplimiento de la regla del previo agotamiento de los recursos internos constituye fundamentalmente una obligación de la víctima o del peticionario. Es ella o él quién debe cumplir con el requisito del previo agotamiento de los recursos internos, esto es, para que pueda alegar tal infracción ante la instancia jurisdiccional interamericana</w:t>
      </w:r>
      <w:r w:rsidRPr="00D57F75">
        <w:rPr>
          <w:rFonts w:ascii="Verdana" w:eastAsia="Calibri" w:hAnsi="Verdana" w:cs="Calibri"/>
          <w:sz w:val="20"/>
          <w:szCs w:val="20"/>
          <w:vertAlign w:val="superscript"/>
          <w:lang w:val="es-CL"/>
        </w:rPr>
        <w:footnoteReference w:id="438"/>
      </w:r>
      <w:r w:rsidRPr="00D57F75">
        <w:rPr>
          <w:rFonts w:ascii="Verdana" w:eastAsia="Calibri" w:hAnsi="Verdana" w:cs="Calibri"/>
          <w:sz w:val="20"/>
          <w:szCs w:val="20"/>
          <w:lang w:val="es-CL"/>
        </w:rPr>
        <w:t xml:space="preserve">, debe hacerlo previamente ante las instancias jurisdiccionales nacionales correspondientes. Ciertamente, que de no procederse así, impediría que se alcance oportuna o prontamente el antes señalado </w:t>
      </w:r>
      <w:r w:rsidRPr="00D57F75">
        <w:rPr>
          <w:rFonts w:ascii="Verdana" w:eastAsia="Calibri" w:hAnsi="Verdana" w:cs="Calibri"/>
          <w:i/>
          <w:sz w:val="20"/>
          <w:szCs w:val="20"/>
          <w:lang w:val="es-CL"/>
        </w:rPr>
        <w:t>efecto útil</w:t>
      </w:r>
      <w:r w:rsidRPr="00D57F75">
        <w:rPr>
          <w:rFonts w:ascii="Verdana" w:eastAsia="Calibri" w:hAnsi="Verdana" w:cs="Calibri"/>
          <w:sz w:val="20"/>
          <w:szCs w:val="20"/>
          <w:lang w:val="es-CL"/>
        </w:rPr>
        <w:t>. En esto sentido, se reitera, la citada regla es un requisito que debe cumplir la presunta víctima o el peticionario.</w:t>
      </w:r>
    </w:p>
    <w:p w:rsidR="00D57F75" w:rsidRPr="00D57F75" w:rsidRDefault="00D57F75" w:rsidP="00D57F75">
      <w:pPr>
        <w:spacing w:after="120" w:line="240" w:lineRule="auto"/>
        <w:jc w:val="both"/>
        <w:rPr>
          <w:rFonts w:ascii="Verdana" w:eastAsia="Batang" w:hAnsi="Verdana" w:cs="Calibri"/>
          <w:sz w:val="20"/>
          <w:szCs w:val="20"/>
          <w:lang w:val="es-CL"/>
        </w:rPr>
      </w:pPr>
      <w:r w:rsidRPr="00D57F75">
        <w:rPr>
          <w:rFonts w:ascii="Verdana" w:eastAsia="Batang" w:hAnsi="Verdana" w:cs="Calibri"/>
          <w:sz w:val="20"/>
          <w:szCs w:val="20"/>
          <w:lang w:val="es-CL"/>
        </w:rPr>
        <w:t>Tanto es así que en el Reglamento de la Comisión vigente al momento de los hechos de la causa y la presentación de la petición</w:t>
      </w:r>
      <w:r w:rsidRPr="00D57F75">
        <w:rPr>
          <w:rFonts w:ascii="Verdana" w:eastAsia="Batang" w:hAnsi="Verdana" w:cs="Calibri"/>
          <w:sz w:val="20"/>
          <w:szCs w:val="20"/>
          <w:vertAlign w:val="superscript"/>
          <w:lang w:val="es-CL"/>
        </w:rPr>
        <w:footnoteReference w:id="439"/>
      </w:r>
      <w:r w:rsidRPr="00D57F75">
        <w:rPr>
          <w:rFonts w:ascii="Verdana" w:eastAsia="Batang" w:hAnsi="Verdana" w:cs="Calibri"/>
          <w:sz w:val="20"/>
          <w:szCs w:val="20"/>
          <w:lang w:val="es-CL"/>
        </w:rPr>
        <w:t>, aprobado por ella misma</w:t>
      </w:r>
      <w:r w:rsidRPr="00D57F75">
        <w:rPr>
          <w:rFonts w:ascii="Verdana" w:eastAsia="Batang" w:hAnsi="Verdana" w:cs="Calibri"/>
          <w:sz w:val="20"/>
          <w:szCs w:val="20"/>
          <w:vertAlign w:val="superscript"/>
          <w:lang w:val="es-CL"/>
        </w:rPr>
        <w:footnoteReference w:id="440"/>
      </w:r>
      <w:r w:rsidRPr="00D57F75">
        <w:rPr>
          <w:rFonts w:ascii="Verdana" w:eastAsia="Batang" w:hAnsi="Verdana" w:cs="Calibri"/>
          <w:sz w:val="20"/>
          <w:szCs w:val="20"/>
          <w:lang w:val="es-CL"/>
        </w:rPr>
        <w:t xml:space="preserve"> y, por tanto, que refleja la interpretación que ella le ha dado al artículo 46 de la Convención, </w:t>
      </w:r>
      <w:r w:rsidRPr="00D57F75">
        <w:rPr>
          <w:rFonts w:ascii="Verdana" w:eastAsia="Batang" w:hAnsi="Verdana" w:cs="Calibri"/>
          <w:color w:val="000000"/>
          <w:sz w:val="20"/>
          <w:szCs w:val="20"/>
          <w:lang w:val="es-CL"/>
        </w:rPr>
        <w:t>se</w:t>
      </w:r>
      <w:r w:rsidRPr="00D57F75">
        <w:rPr>
          <w:rFonts w:ascii="Verdana" w:eastAsia="Batang" w:hAnsi="Verdana" w:cs="Calibri"/>
          <w:sz w:val="20"/>
          <w:szCs w:val="20"/>
          <w:lang w:val="es-CL"/>
        </w:rPr>
        <w:t xml:space="preserve"> establece, </w:t>
      </w:r>
      <w:r w:rsidRPr="00D57F75">
        <w:rPr>
          <w:rFonts w:ascii="Verdana" w:eastAsia="Batang" w:hAnsi="Verdana" w:cs="Calibri"/>
          <w:color w:val="000000"/>
          <w:sz w:val="20"/>
          <w:szCs w:val="20"/>
          <w:lang w:val="es-CL"/>
        </w:rPr>
        <w:t>en</w:t>
      </w:r>
      <w:r w:rsidRPr="00D57F75">
        <w:rPr>
          <w:rFonts w:ascii="Verdana" w:eastAsia="Batang" w:hAnsi="Verdana" w:cs="Calibri"/>
          <w:sz w:val="20"/>
          <w:szCs w:val="20"/>
          <w:lang w:val="es-CL"/>
        </w:rPr>
        <w:t xml:space="preserve"> su artículo 29.d</w:t>
      </w:r>
      <w:r w:rsidRPr="00D57F75">
        <w:rPr>
          <w:rFonts w:ascii="Verdana" w:eastAsia="Batang" w:hAnsi="Verdana" w:cs="Calibri"/>
          <w:color w:val="000000"/>
          <w:sz w:val="20"/>
          <w:szCs w:val="20"/>
          <w:lang w:val="es-CL"/>
        </w:rPr>
        <w:t>,</w:t>
      </w:r>
      <w:r w:rsidRPr="00D57F75">
        <w:rPr>
          <w:rFonts w:ascii="Verdana" w:eastAsia="Batang" w:hAnsi="Verdana" w:cs="Calibri"/>
          <w:color w:val="FF0000"/>
          <w:sz w:val="20"/>
          <w:szCs w:val="20"/>
          <w:lang w:val="es-CL"/>
        </w:rPr>
        <w:t xml:space="preserve"> </w:t>
      </w:r>
      <w:r w:rsidRPr="00D57F75">
        <w:rPr>
          <w:rFonts w:ascii="Verdana" w:eastAsia="Batang" w:hAnsi="Verdana" w:cs="Calibri"/>
          <w:sz w:val="20"/>
          <w:szCs w:val="20"/>
          <w:lang w:val="es-CL"/>
        </w:rPr>
        <w:t xml:space="preserve">que la petición debe contener </w:t>
      </w:r>
      <w:r w:rsidRPr="00D57F75">
        <w:rPr>
          <w:rFonts w:ascii="Verdana" w:eastAsia="Calibri" w:hAnsi="Verdana"/>
          <w:i/>
          <w:sz w:val="20"/>
          <w:szCs w:val="20"/>
          <w:lang w:val="es-CL"/>
        </w:rPr>
        <w:t>“(u</w:t>
      </w:r>
      <w:proofErr w:type="gramStart"/>
      <w:r w:rsidRPr="00D57F75">
        <w:rPr>
          <w:rFonts w:ascii="Verdana" w:eastAsia="Calibri" w:hAnsi="Verdana"/>
          <w:i/>
          <w:sz w:val="20"/>
          <w:szCs w:val="20"/>
          <w:lang w:val="es-CL"/>
        </w:rPr>
        <w:t>)na</w:t>
      </w:r>
      <w:proofErr w:type="gramEnd"/>
      <w:r w:rsidRPr="00D57F75">
        <w:rPr>
          <w:rFonts w:ascii="Verdana" w:eastAsia="Calibri" w:hAnsi="Verdana"/>
          <w:i/>
          <w:sz w:val="20"/>
          <w:szCs w:val="20"/>
          <w:lang w:val="es-CL"/>
        </w:rPr>
        <w:t xml:space="preserve"> información sobre la circunstancia de haber hecho uso o no de los recursos de jurisdicción interna o sobre la imposibilidad de hacerlo</w:t>
      </w:r>
      <w:r w:rsidRPr="00D57F75">
        <w:rPr>
          <w:rFonts w:ascii="Verdana" w:eastAsia="Calibri" w:hAnsi="Verdana"/>
          <w:sz w:val="20"/>
          <w:szCs w:val="20"/>
          <w:lang w:val="es-CL"/>
        </w:rPr>
        <w:t>.” Entonces, es en la petición misma que se debe indicar que se ha dado cumplimiento a la regla en comento o que ha operado una de las excepciones a la misma.</w:t>
      </w:r>
    </w:p>
    <w:p w:rsidR="00D57F75" w:rsidRPr="00D57F75" w:rsidRDefault="00D57F75" w:rsidP="00D57F75">
      <w:pPr>
        <w:spacing w:line="240" w:lineRule="auto"/>
        <w:jc w:val="both"/>
        <w:rPr>
          <w:rFonts w:ascii="Verdana" w:eastAsia="Calibri" w:hAnsi="Verdana"/>
          <w:sz w:val="20"/>
          <w:szCs w:val="20"/>
          <w:lang w:val="es-CL"/>
        </w:rPr>
      </w:pPr>
      <w:r w:rsidRPr="00D57F75">
        <w:rPr>
          <w:rFonts w:ascii="Verdana" w:eastAsia="Calibri" w:hAnsi="Verdana" w:cs="Calibri"/>
          <w:sz w:val="20"/>
          <w:szCs w:val="20"/>
          <w:lang w:val="es-CL"/>
        </w:rPr>
        <w:t xml:space="preserve">Obviamente, es por la misma razón que el artículo 34.3 del mismo Reglamento dispone que </w:t>
      </w:r>
      <w:r w:rsidRPr="00D57F75">
        <w:rPr>
          <w:rFonts w:ascii="Verdana" w:eastAsia="Calibri" w:hAnsi="Verdana"/>
          <w:i/>
          <w:sz w:val="20"/>
          <w:szCs w:val="20"/>
          <w:lang w:val="es-CL"/>
        </w:rPr>
        <w:t>“(c</w:t>
      </w:r>
      <w:proofErr w:type="gramStart"/>
      <w:r w:rsidRPr="00D57F75">
        <w:rPr>
          <w:rFonts w:ascii="Verdana" w:eastAsia="Calibri" w:hAnsi="Verdana"/>
          <w:i/>
          <w:sz w:val="20"/>
          <w:szCs w:val="20"/>
          <w:lang w:val="es-CL"/>
        </w:rPr>
        <w:t>)</w:t>
      </w:r>
      <w:proofErr w:type="spellStart"/>
      <w:r w:rsidRPr="00D57F75">
        <w:rPr>
          <w:rFonts w:ascii="Verdana" w:eastAsia="Calibri" w:hAnsi="Verdana"/>
          <w:i/>
          <w:sz w:val="20"/>
          <w:szCs w:val="20"/>
          <w:lang w:val="es-CL"/>
        </w:rPr>
        <w:t>uando</w:t>
      </w:r>
      <w:proofErr w:type="spellEnd"/>
      <w:proofErr w:type="gramEnd"/>
      <w:r w:rsidRPr="00D57F75">
        <w:rPr>
          <w:rFonts w:ascii="Verdana" w:eastAsia="Calibri" w:hAnsi="Verdana"/>
          <w:i/>
          <w:sz w:val="20"/>
          <w:szCs w:val="20"/>
          <w:lang w:val="es-CL"/>
        </w:rPr>
        <w:t xml:space="preserve"> el peticionario afirme la imposibilidad de comprobar el requisito señalado de este articulo corresponderá al Gobierno en contra del cual se dirige la petición demostrar a la Comisión que los recursos internos no han sido previamente agotados, a menos que ello se deduzca claramente de los antecedentes contenidos en la petición</w:t>
      </w:r>
      <w:r w:rsidRPr="00D57F75">
        <w:rPr>
          <w:rFonts w:ascii="Verdana" w:eastAsia="Calibri" w:hAnsi="Verdana"/>
          <w:sz w:val="20"/>
          <w:szCs w:val="20"/>
          <w:lang w:val="es-CL"/>
        </w:rPr>
        <w:t xml:space="preserve">.” </w:t>
      </w:r>
    </w:p>
    <w:p w:rsidR="00D57F75" w:rsidRPr="00D57F75" w:rsidRDefault="00D57F75" w:rsidP="00D57F75">
      <w:pPr>
        <w:spacing w:after="120" w:line="240" w:lineRule="auto"/>
        <w:jc w:val="both"/>
        <w:rPr>
          <w:rFonts w:ascii="Verdana" w:eastAsia="Batang" w:hAnsi="Verdana" w:cs="Calibri"/>
          <w:sz w:val="20"/>
          <w:szCs w:val="20"/>
          <w:lang w:val="es-CL"/>
        </w:rPr>
      </w:pPr>
      <w:r w:rsidRPr="00D57F75">
        <w:rPr>
          <w:rFonts w:ascii="Verdana" w:eastAsia="Calibri" w:hAnsi="Verdana" w:cs="Calibri"/>
          <w:sz w:val="20"/>
          <w:szCs w:val="20"/>
          <w:lang w:val="es-CL"/>
        </w:rPr>
        <w:t xml:space="preserve">Es decir, lo que se está indicando con esa disposición es que las taxativas excepciones a la regla del previo agotamiento de los recursos internos están establecidas en favor de la víctima o del peticionario. Es, por ende, ella o él quién puede alegar o hacer valer algunas de las excepciones a la citada regla, nadie más, tampoco la Comisión y, evidentemente, por lo tanto, eso solo lo puede hacer en la petición misma. </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eastAsia="Batang" w:hAnsi="Verdana" w:cs="Calibri"/>
          <w:sz w:val="20"/>
          <w:szCs w:val="20"/>
          <w:lang w:val="es-CL" w:eastAsia="es-CL"/>
        </w:rPr>
        <w:t xml:space="preserve">La segunda observación concerniente a la petición es en relación con la circunstancia de que el </w:t>
      </w:r>
      <w:r w:rsidRPr="00D57F75">
        <w:rPr>
          <w:rFonts w:ascii="Verdana" w:eastAsia="Batang" w:hAnsi="Verdana" w:cs="Calibri"/>
          <w:sz w:val="20"/>
          <w:szCs w:val="20"/>
          <w:lang w:val="es-ES_tradnl" w:eastAsia="es-CL"/>
        </w:rPr>
        <w:t>aludido artículo 46.1 de la Convención se refiere a ella en tanto</w:t>
      </w:r>
      <w:r w:rsidRPr="00D57F75">
        <w:rPr>
          <w:rFonts w:ascii="Verdana" w:hAnsi="Verdana" w:cs="Calibri"/>
          <w:i/>
          <w:sz w:val="20"/>
          <w:szCs w:val="20"/>
          <w:lang w:val="es-CL" w:eastAsia="es-CL"/>
        </w:rPr>
        <w:t xml:space="preserve"> “presentada”</w:t>
      </w:r>
      <w:r w:rsidRPr="00D57F75">
        <w:rPr>
          <w:rFonts w:ascii="Verdana" w:hAnsi="Verdana" w:cs="Calibri"/>
          <w:sz w:val="20"/>
          <w:szCs w:val="20"/>
          <w:lang w:val="es-CL" w:eastAsia="es-CL"/>
        </w:rPr>
        <w:t xml:space="preserve">, lo que implica, por cierto, que debe ser considerada tal cual fue elevada, y que, si en esa condición cumple </w:t>
      </w:r>
      <w:r w:rsidRPr="00D57F75">
        <w:rPr>
          <w:rFonts w:ascii="Verdana" w:hAnsi="Verdana" w:cs="Calibri"/>
          <w:sz w:val="20"/>
          <w:szCs w:val="20"/>
          <w:lang w:val="es-CL" w:eastAsia="es-CL"/>
        </w:rPr>
        <w:lastRenderedPageBreak/>
        <w:t>con los requisitos que indica dicha disposición, debe ser “</w:t>
      </w:r>
      <w:r w:rsidRPr="00D57F75">
        <w:rPr>
          <w:rFonts w:ascii="Verdana" w:hAnsi="Verdana" w:cs="Calibri"/>
          <w:i/>
          <w:sz w:val="20"/>
          <w:szCs w:val="20"/>
          <w:lang w:val="es-CL" w:eastAsia="es-CL"/>
        </w:rPr>
        <w:t>admitida</w:t>
      </w:r>
      <w:r w:rsidRPr="00D57F75">
        <w:rPr>
          <w:rFonts w:ascii="Verdana" w:hAnsi="Verdana" w:cs="Calibri"/>
          <w:sz w:val="20"/>
          <w:szCs w:val="20"/>
          <w:lang w:val="es-CL" w:eastAsia="es-CL"/>
        </w:rPr>
        <w:t>”. Es, por ende, en ese momento, el de su presentación, en el que debe haberse cumplido el requisito concerniente al previo agotamiento de los recursos internos previsto en el artículo 46.1.a) de la Convención y solo si eso acontece, la petición “</w:t>
      </w:r>
      <w:r w:rsidRPr="00D57F75">
        <w:rPr>
          <w:rFonts w:ascii="Verdana" w:hAnsi="Verdana" w:cs="Calibri"/>
          <w:i/>
          <w:sz w:val="20"/>
          <w:szCs w:val="20"/>
          <w:lang w:val="es-CL" w:eastAsia="es-CL"/>
        </w:rPr>
        <w:t>presentada</w:t>
      </w:r>
      <w:r w:rsidRPr="00D57F75">
        <w:rPr>
          <w:rFonts w:ascii="Verdana" w:hAnsi="Verdana" w:cs="Calibri"/>
          <w:sz w:val="20"/>
          <w:szCs w:val="20"/>
          <w:lang w:val="es-CL" w:eastAsia="es-CL"/>
        </w:rPr>
        <w:t>” puede ser “</w:t>
      </w:r>
      <w:r w:rsidRPr="00D57F75">
        <w:rPr>
          <w:rFonts w:ascii="Verdana" w:hAnsi="Verdana" w:cs="Calibri"/>
          <w:i/>
          <w:sz w:val="20"/>
          <w:szCs w:val="20"/>
          <w:lang w:val="es-CL" w:eastAsia="es-CL"/>
        </w:rPr>
        <w:t>admitida</w:t>
      </w:r>
      <w:r w:rsidRPr="00D57F75">
        <w:rPr>
          <w:rFonts w:ascii="Verdana" w:hAnsi="Verdana" w:cs="Calibri"/>
          <w:sz w:val="20"/>
          <w:szCs w:val="20"/>
          <w:lang w:val="es-CL" w:eastAsia="es-CL"/>
        </w:rPr>
        <w:t>” por la Comisión.</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 xml:space="preserve">Igualmente, lo estipulado en el artículo 46.1.b) del texto convencional se fundamenta en el mismo predicamento en tanto dispone que, para que la petición pueda ser admitida, debe haber sido </w:t>
      </w:r>
      <w:r w:rsidRPr="00D57F75">
        <w:rPr>
          <w:rFonts w:ascii="Verdana" w:hAnsi="Verdana" w:cs="Calibri"/>
          <w:i/>
          <w:sz w:val="20"/>
          <w:szCs w:val="20"/>
          <w:lang w:val="es-CL" w:eastAsia="es-CL"/>
        </w:rPr>
        <w:t>“presentada dentro del plazo de seis meses, a partir de la fecha en que el presunto lesionado en sus derechos haya sido notificado de la decisión definitiva”</w:t>
      </w:r>
      <w:r w:rsidRPr="00D57F75">
        <w:rPr>
          <w:rFonts w:ascii="Verdana" w:hAnsi="Verdana" w:cs="Calibri"/>
          <w:sz w:val="20"/>
          <w:szCs w:val="20"/>
          <w:lang w:val="es-CL" w:eastAsia="es-CL"/>
        </w:rPr>
        <w:t>, la que, sin duda, se entiende que debe ser la recaída en el último recurso interpuesto, sin que hayan otros susceptibles de ser accionados. Es decir, el plazo indicado para presentar la solicitud se cuenta desde el momento de la notificación de la resolución definitiva de las autoridades o los tribunales nacionales sobre los recursos que se hayan interpuestos ante ellos y que son, por ende, los que pueden haber generado la responsabilidad internacional del Estado, lo que obviamente implica que, al momento de ser aquella “</w:t>
      </w:r>
      <w:r w:rsidRPr="00D57F75">
        <w:rPr>
          <w:rFonts w:ascii="Verdana" w:hAnsi="Verdana" w:cs="Calibri"/>
          <w:i/>
          <w:sz w:val="20"/>
          <w:szCs w:val="20"/>
          <w:lang w:val="es-CL" w:eastAsia="es-CL"/>
        </w:rPr>
        <w:t>presentada</w:t>
      </w:r>
      <w:r w:rsidRPr="00D57F75">
        <w:rPr>
          <w:rFonts w:ascii="Verdana" w:hAnsi="Verdana" w:cs="Calibri"/>
          <w:sz w:val="20"/>
          <w:szCs w:val="20"/>
          <w:lang w:val="es-CL" w:eastAsia="es-CL"/>
        </w:rPr>
        <w:t>”, éstos deben haber estado agotados.</w:t>
      </w:r>
    </w:p>
    <w:p w:rsidR="00D57F75" w:rsidRPr="00D57F75" w:rsidRDefault="00D57F75" w:rsidP="00D57F75">
      <w:pPr>
        <w:autoSpaceDE w:val="0"/>
        <w:autoSpaceDN w:val="0"/>
        <w:adjustRightInd w:val="0"/>
        <w:spacing w:after="240" w:line="240" w:lineRule="auto"/>
        <w:jc w:val="both"/>
        <w:rPr>
          <w:rFonts w:ascii="Verdana" w:eastAsia="Calibri" w:hAnsi="Verdana" w:cs="Calibri"/>
          <w:b/>
          <w:bCs/>
          <w:sz w:val="20"/>
          <w:szCs w:val="20"/>
          <w:lang w:val="es-CL"/>
        </w:rPr>
      </w:pPr>
      <w:r w:rsidRPr="00D57F75">
        <w:rPr>
          <w:rFonts w:ascii="Verdana" w:eastAsia="Calibri" w:hAnsi="Verdana" w:cs="Calibri"/>
          <w:sz w:val="20"/>
          <w:szCs w:val="20"/>
          <w:shd w:val="clear" w:color="auto" w:fill="FFFFFF"/>
          <w:lang w:val="es-CL"/>
        </w:rPr>
        <w:t xml:space="preserve">Por su parte, el artículo 27.1 del Reglamento de la Comisión dispone que se da trámite inicial a las peticiones </w:t>
      </w:r>
      <w:r w:rsidRPr="00D57F75">
        <w:rPr>
          <w:rFonts w:ascii="Verdana" w:eastAsia="Calibri" w:hAnsi="Verdana" w:cs="Calibri"/>
          <w:sz w:val="20"/>
          <w:szCs w:val="20"/>
          <w:lang w:val="es-CL"/>
        </w:rPr>
        <w:t>“</w:t>
      </w:r>
      <w:r w:rsidRPr="00D57F75">
        <w:rPr>
          <w:rFonts w:ascii="Verdana" w:eastAsia="Calibri" w:hAnsi="Verdana" w:cs="Calibri"/>
          <w:i/>
          <w:sz w:val="20"/>
          <w:szCs w:val="20"/>
          <w:lang w:val="es-CL"/>
        </w:rPr>
        <w:t>que llenen todos los requisitos establecidos</w:t>
      </w:r>
      <w:r w:rsidRPr="00D57F75">
        <w:rPr>
          <w:rFonts w:ascii="Verdana" w:eastAsia="Calibri" w:hAnsi="Verdana" w:cs="Calibri"/>
          <w:sz w:val="20"/>
          <w:szCs w:val="20"/>
          <w:lang w:val="es-CL"/>
        </w:rPr>
        <w:t xml:space="preserve">”, las que deben indicar, conforme lo prevé el ya mencionado artículo 20.d, </w:t>
      </w:r>
      <w:r w:rsidRPr="00D57F75">
        <w:rPr>
          <w:rFonts w:ascii="Verdana" w:eastAsia="Calibri" w:hAnsi="Verdana"/>
          <w:i/>
          <w:sz w:val="20"/>
          <w:szCs w:val="20"/>
          <w:lang w:val="es-CL"/>
        </w:rPr>
        <w:t>“(u)na información sobre la circunstancia de haber hecho uso o no de los recursos de jurisdicción interna o sobre la imposibilidad de hacerlo</w:t>
      </w:r>
      <w:r w:rsidRPr="00D57F75">
        <w:rPr>
          <w:rFonts w:ascii="Verdana" w:eastAsia="Calibri" w:hAnsi="Verdana"/>
          <w:sz w:val="20"/>
          <w:szCs w:val="20"/>
          <w:lang w:val="es-CL"/>
        </w:rPr>
        <w:t>”</w:t>
      </w:r>
      <w:r w:rsidRPr="00D57F75">
        <w:rPr>
          <w:rFonts w:ascii="Verdana" w:eastAsia="Calibri" w:hAnsi="Verdana" w:cs="Calibri"/>
          <w:sz w:val="20"/>
          <w:szCs w:val="20"/>
          <w:shd w:val="clear" w:color="auto" w:fill="FFFFFF"/>
          <w:lang w:val="es-CL"/>
        </w:rPr>
        <w:t xml:space="preserve"> y si no reúnen tales requisitos y conforme lo establece el artículo 27.2 del mismo texto reglamentario, “</w:t>
      </w:r>
      <w:r w:rsidRPr="00D57F75">
        <w:rPr>
          <w:rFonts w:ascii="Verdana" w:eastAsia="Calibri" w:hAnsi="Verdana"/>
          <w:i/>
          <w:sz w:val="20"/>
          <w:szCs w:val="20"/>
          <w:lang w:val="es-CL"/>
        </w:rPr>
        <w:t>la Secretaria de la Comisión podrá solicitar al peticionario o a su representante que los complete”.</w:t>
      </w:r>
    </w:p>
    <w:p w:rsidR="00D57F75" w:rsidRPr="00D57F75" w:rsidRDefault="00D57F75" w:rsidP="00D57F75">
      <w:pPr>
        <w:autoSpaceDE w:val="0"/>
        <w:autoSpaceDN w:val="0"/>
        <w:adjustRightInd w:val="0"/>
        <w:spacing w:after="240" w:line="240" w:lineRule="auto"/>
        <w:jc w:val="both"/>
        <w:rPr>
          <w:rFonts w:ascii="Verdana" w:eastAsia="Calibri" w:hAnsi="Verdana" w:cs="Calibri"/>
          <w:b/>
          <w:bCs/>
          <w:sz w:val="20"/>
          <w:szCs w:val="20"/>
          <w:lang w:val="es-CL"/>
        </w:rPr>
      </w:pPr>
      <w:r w:rsidRPr="00D57F75">
        <w:rPr>
          <w:rFonts w:ascii="Verdana" w:eastAsia="Calibri" w:hAnsi="Verdana" w:cs="Calibri"/>
          <w:sz w:val="20"/>
          <w:szCs w:val="20"/>
          <w:lang w:val="es-CL"/>
        </w:rPr>
        <w:t>De todo lo indicado se infiere, entonces, que el cumplimiento de la referida regla del previo agotamiento de los recursos internos constituye, en definitiva, un requisito que debe cumplir la petición al momento de ser “</w:t>
      </w:r>
      <w:r w:rsidRPr="00D57F75">
        <w:rPr>
          <w:rFonts w:ascii="Verdana" w:eastAsia="Calibri" w:hAnsi="Verdana" w:cs="Calibri"/>
          <w:i/>
          <w:sz w:val="20"/>
          <w:szCs w:val="20"/>
          <w:lang w:val="es-CL"/>
        </w:rPr>
        <w:t>presentada</w:t>
      </w:r>
      <w:r w:rsidRPr="00D57F75">
        <w:rPr>
          <w:rFonts w:ascii="Verdana" w:eastAsia="Calibri" w:hAnsi="Verdana" w:cs="Calibri"/>
          <w:sz w:val="20"/>
          <w:szCs w:val="20"/>
          <w:lang w:val="es-CL"/>
        </w:rPr>
        <w:t xml:space="preserve">”. </w:t>
      </w:r>
    </w:p>
    <w:p w:rsidR="00D57F75" w:rsidRPr="00D57F75" w:rsidRDefault="00D57F75" w:rsidP="00D57F75">
      <w:pPr>
        <w:numPr>
          <w:ilvl w:val="0"/>
          <w:numId w:val="28"/>
        </w:numPr>
        <w:spacing w:after="240" w:line="240" w:lineRule="auto"/>
        <w:jc w:val="both"/>
        <w:rPr>
          <w:rFonts w:ascii="Verdana" w:eastAsia="Calibri" w:hAnsi="Verdana" w:cs="Calibri"/>
          <w:sz w:val="20"/>
          <w:szCs w:val="20"/>
          <w:lang w:val="es-CL"/>
        </w:rPr>
      </w:pPr>
      <w:r w:rsidRPr="00D57F75">
        <w:rPr>
          <w:rFonts w:ascii="Verdana" w:eastAsia="Calibri" w:hAnsi="Verdana" w:cs="Calibri"/>
          <w:b/>
          <w:sz w:val="20"/>
          <w:szCs w:val="20"/>
          <w:lang w:val="es-CL"/>
        </w:rPr>
        <w:t>Estudio y trámite inicial por parte de la Comisión.</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 xml:space="preserve">Ahora bien, lo previsto en el artículo 46.1.a) de la Convención está también concebido como un límite a la actuación de la Comisión y que puede llegar a ser parte en el consecuente litigio ante la Corte. Esto es, lo que se pretende con dicha norma es evitar que la Comisión actúe antes de que se haya dado debido y oportuno cumplimiento al requisito o regla que establece, esto es, que proceda no obstante que no se hayan agotado previamente los recursos internos, afectando o pudiendo afectar así la igualdad </w:t>
      </w:r>
      <w:r w:rsidRPr="00D57F75">
        <w:rPr>
          <w:rFonts w:ascii="Verdana" w:hAnsi="Verdana" w:cs="Calibri"/>
          <w:color w:val="000000"/>
          <w:sz w:val="20"/>
          <w:szCs w:val="20"/>
          <w:lang w:val="es-CL" w:eastAsia="es-CL"/>
        </w:rPr>
        <w:t xml:space="preserve">procesal de las partes en el evento </w:t>
      </w:r>
      <w:r w:rsidRPr="00D57F75">
        <w:rPr>
          <w:rFonts w:ascii="Verdana" w:hAnsi="Verdana" w:cs="Calibri"/>
          <w:sz w:val="20"/>
          <w:szCs w:val="20"/>
          <w:lang w:val="es-CL" w:eastAsia="es-CL"/>
        </w:rPr>
        <w:t>de que el caso llegue a ser conocido por la Corte.</w:t>
      </w:r>
    </w:p>
    <w:p w:rsidR="00D57F75" w:rsidRPr="00D57F75" w:rsidRDefault="00D57F75" w:rsidP="00D57F75">
      <w:pPr>
        <w:autoSpaceDE w:val="0"/>
        <w:autoSpaceDN w:val="0"/>
        <w:adjustRightInd w:val="0"/>
        <w:spacing w:after="240" w:line="240" w:lineRule="auto"/>
        <w:jc w:val="both"/>
        <w:rPr>
          <w:rFonts w:ascii="Verdana" w:eastAsia="Calibri" w:hAnsi="Verdana" w:cs="Calibri"/>
          <w:i/>
          <w:sz w:val="20"/>
          <w:szCs w:val="20"/>
          <w:lang w:val="es-CL"/>
        </w:rPr>
      </w:pPr>
      <w:r w:rsidRPr="00D57F75">
        <w:rPr>
          <w:rFonts w:ascii="Verdana" w:eastAsia="Calibri" w:hAnsi="Verdana" w:cs="Calibri"/>
          <w:sz w:val="20"/>
          <w:szCs w:val="20"/>
          <w:lang w:val="es-CL"/>
        </w:rPr>
        <w:t>Por lo mismo, la regla del previo agotamiento de los recursos conlleva una obligación también para la Comisión. Efectivamente, según lo dispone el artículo</w:t>
      </w:r>
      <w:r w:rsidRPr="00D57F75">
        <w:rPr>
          <w:rFonts w:ascii="Verdana" w:eastAsia="Calibri" w:hAnsi="Verdana" w:cs="Calibri"/>
          <w:i/>
          <w:sz w:val="20"/>
          <w:szCs w:val="20"/>
          <w:lang w:val="es-CL"/>
        </w:rPr>
        <w:t xml:space="preserve"> </w:t>
      </w:r>
      <w:r w:rsidRPr="00D57F75">
        <w:rPr>
          <w:rFonts w:ascii="Verdana" w:eastAsia="Calibri" w:hAnsi="Verdana" w:cs="Calibri"/>
          <w:sz w:val="20"/>
          <w:szCs w:val="20"/>
          <w:lang w:val="es-CL"/>
        </w:rPr>
        <w:t>27.1 de su Reglamento, “(</w:t>
      </w:r>
      <w:r w:rsidRPr="00D57F75">
        <w:rPr>
          <w:rFonts w:ascii="Verdana" w:eastAsia="Calibri" w:hAnsi="Verdana" w:cs="Calibri"/>
          <w:i/>
          <w:sz w:val="20"/>
          <w:szCs w:val="20"/>
          <w:lang w:val="es-CL"/>
        </w:rPr>
        <w:t>l</w:t>
      </w:r>
      <w:proofErr w:type="gramStart"/>
      <w:r w:rsidRPr="00D57F75">
        <w:rPr>
          <w:rFonts w:ascii="Verdana" w:eastAsia="Calibri" w:hAnsi="Verdana" w:cs="Calibri"/>
          <w:i/>
          <w:sz w:val="20"/>
          <w:szCs w:val="20"/>
          <w:lang w:val="es-CL"/>
        </w:rPr>
        <w:t>)a</w:t>
      </w:r>
      <w:proofErr w:type="gramEnd"/>
      <w:r w:rsidRPr="00D57F75">
        <w:rPr>
          <w:rFonts w:ascii="Verdana" w:eastAsia="Calibri" w:hAnsi="Verdana" w:cs="Calibri"/>
          <w:i/>
          <w:sz w:val="20"/>
          <w:szCs w:val="20"/>
          <w:lang w:val="es-CL"/>
        </w:rPr>
        <w:t xml:space="preserve"> Secretaría Ejecutiva de la Comisión tendrá la responsabilidad del estudio y tramitación inicial de las peticiones presentadas a la Comisión que llenen todos los requisitos establecidos en el Estatuto y en el presente Reglamento”. </w:t>
      </w:r>
    </w:p>
    <w:p w:rsidR="00D57F75" w:rsidRPr="00D57F75" w:rsidRDefault="00D57F75" w:rsidP="00D57F75">
      <w:pPr>
        <w:autoSpaceDE w:val="0"/>
        <w:autoSpaceDN w:val="0"/>
        <w:adjustRightInd w:val="0"/>
        <w:spacing w:after="240" w:line="240" w:lineRule="auto"/>
        <w:jc w:val="both"/>
        <w:rPr>
          <w:rFonts w:ascii="Verdana" w:eastAsia="Calibri" w:hAnsi="Verdana" w:cs="Calibri"/>
          <w:i/>
          <w:sz w:val="20"/>
          <w:szCs w:val="20"/>
          <w:lang w:val="es-CL"/>
        </w:rPr>
      </w:pPr>
      <w:r w:rsidRPr="00D57F75">
        <w:rPr>
          <w:rFonts w:ascii="Verdana" w:eastAsia="Calibri" w:hAnsi="Verdana" w:cs="Calibri"/>
          <w:sz w:val="20"/>
          <w:szCs w:val="20"/>
          <w:lang w:val="es-CL"/>
        </w:rPr>
        <w:t>E incluso, la Secretaría Ejecutiva tiene la facultad prevista en el artículo 27.2 del Reglamento, en razón del que “(</w:t>
      </w:r>
      <w:r w:rsidRPr="00D57F75">
        <w:rPr>
          <w:rFonts w:ascii="Verdana" w:eastAsia="Calibri" w:hAnsi="Verdana" w:cs="Calibri"/>
          <w:i/>
          <w:sz w:val="20"/>
          <w:szCs w:val="20"/>
          <w:lang w:val="es-CL"/>
        </w:rPr>
        <w:t>s</w:t>
      </w:r>
      <w:proofErr w:type="gramStart"/>
      <w:r w:rsidRPr="00D57F75">
        <w:rPr>
          <w:rFonts w:ascii="Verdana" w:eastAsia="Calibri" w:hAnsi="Verdana" w:cs="Calibri"/>
          <w:i/>
          <w:sz w:val="20"/>
          <w:szCs w:val="20"/>
          <w:lang w:val="es-CL"/>
        </w:rPr>
        <w:t>)i</w:t>
      </w:r>
      <w:proofErr w:type="gramEnd"/>
      <w:r w:rsidRPr="00D57F75">
        <w:rPr>
          <w:rFonts w:ascii="Verdana" w:eastAsia="Calibri" w:hAnsi="Verdana" w:cs="Calibri"/>
          <w:i/>
          <w:sz w:val="20"/>
          <w:szCs w:val="20"/>
          <w:lang w:val="es-CL"/>
        </w:rPr>
        <w:t xml:space="preserve"> una petición no reúne los requisitos exigidos, (…) podrá solicitar al peticionario o su representante que la complete”</w:t>
      </w:r>
      <w:r w:rsidRPr="00D57F75">
        <w:rPr>
          <w:rFonts w:ascii="Verdana" w:eastAsia="Calibri" w:hAnsi="Verdana" w:cs="Calibri"/>
          <w:sz w:val="20"/>
          <w:szCs w:val="20"/>
          <w:lang w:val="es-CL"/>
        </w:rPr>
        <w:t>.</w:t>
      </w:r>
      <w:r w:rsidRPr="00D57F75">
        <w:rPr>
          <w:rFonts w:ascii="Verdana" w:eastAsia="Calibri" w:hAnsi="Verdana" w:cs="Calibri"/>
          <w:i/>
          <w:sz w:val="20"/>
          <w:szCs w:val="20"/>
          <w:lang w:val="es-CL"/>
        </w:rPr>
        <w:t xml:space="preserve"> </w:t>
      </w:r>
    </w:p>
    <w:p w:rsidR="00D57F75" w:rsidRPr="00D57F75" w:rsidRDefault="00D57F75" w:rsidP="00D57F75">
      <w:pPr>
        <w:autoSpaceDE w:val="0"/>
        <w:autoSpaceDN w:val="0"/>
        <w:adjustRightInd w:val="0"/>
        <w:spacing w:after="240" w:line="240" w:lineRule="auto"/>
        <w:jc w:val="both"/>
        <w:rPr>
          <w:rFonts w:ascii="Verdana" w:eastAsia="Calibri" w:hAnsi="Verdana" w:cs="Calibri"/>
          <w:bCs/>
          <w:sz w:val="20"/>
          <w:szCs w:val="20"/>
          <w:lang w:val="es-CL"/>
        </w:rPr>
      </w:pPr>
      <w:r w:rsidRPr="00D57F75">
        <w:rPr>
          <w:rFonts w:ascii="Verdana" w:eastAsia="Calibri" w:hAnsi="Verdana" w:cs="Calibri"/>
          <w:sz w:val="20"/>
          <w:szCs w:val="20"/>
          <w:lang w:val="es-CL"/>
        </w:rPr>
        <w:t>A su vez</w:t>
      </w:r>
      <w:r w:rsidRPr="00D57F75">
        <w:rPr>
          <w:rFonts w:ascii="Verdana" w:eastAsia="Calibri" w:hAnsi="Verdana" w:cs="Calibri"/>
          <w:i/>
          <w:sz w:val="20"/>
          <w:szCs w:val="20"/>
          <w:lang w:val="es-CL"/>
        </w:rPr>
        <w:t xml:space="preserve">, </w:t>
      </w:r>
      <w:r w:rsidRPr="00D57F75">
        <w:rPr>
          <w:rFonts w:ascii="Verdana" w:eastAsia="Calibri" w:hAnsi="Verdana" w:cs="Calibri"/>
          <w:sz w:val="20"/>
          <w:szCs w:val="20"/>
          <w:lang w:val="es-CL"/>
        </w:rPr>
        <w:t>el artículo 31.1.c del mencionado Reglamento establece que “</w:t>
      </w:r>
      <w:r w:rsidRPr="00D57F75">
        <w:rPr>
          <w:rFonts w:ascii="Verdana" w:eastAsia="Calibri" w:hAnsi="Verdana" w:cs="Calibri"/>
          <w:i/>
          <w:sz w:val="20"/>
          <w:szCs w:val="20"/>
          <w:lang w:val="es-CL"/>
        </w:rPr>
        <w:t>(l</w:t>
      </w:r>
      <w:proofErr w:type="gramStart"/>
      <w:r w:rsidRPr="00D57F75">
        <w:rPr>
          <w:rFonts w:ascii="Verdana" w:eastAsia="Calibri" w:hAnsi="Verdana" w:cs="Calibri"/>
          <w:i/>
          <w:sz w:val="20"/>
          <w:szCs w:val="20"/>
          <w:lang w:val="es-CL"/>
        </w:rPr>
        <w:t>)a</w:t>
      </w:r>
      <w:proofErr w:type="gramEnd"/>
      <w:r w:rsidRPr="00D57F75">
        <w:rPr>
          <w:rFonts w:ascii="Verdana" w:eastAsia="Calibri" w:hAnsi="Verdana" w:cs="Calibri"/>
          <w:i/>
          <w:sz w:val="20"/>
          <w:szCs w:val="20"/>
          <w:lang w:val="es-CL"/>
        </w:rPr>
        <w:t xml:space="preserve"> Comisión</w:t>
      </w:r>
      <w:r w:rsidRPr="00D57F75">
        <w:rPr>
          <w:rFonts w:ascii="Verdana" w:eastAsia="Calibri" w:hAnsi="Verdana" w:cs="Calibri"/>
          <w:sz w:val="20"/>
          <w:szCs w:val="20"/>
          <w:lang w:val="es-CL"/>
        </w:rPr>
        <w:t xml:space="preserve">, </w:t>
      </w:r>
      <w:r w:rsidRPr="00D57F75">
        <w:rPr>
          <w:rFonts w:ascii="Verdana" w:eastAsia="Calibri" w:hAnsi="Verdana" w:cs="Calibri"/>
          <w:i/>
          <w:sz w:val="20"/>
          <w:szCs w:val="20"/>
          <w:lang w:val="es-CL"/>
        </w:rPr>
        <w:t>actuando inicialmente por intermedio de su Secretaría Ejecutiva, recibirá y tramitará las peticiones presentadas a la misma, de conformidad con las normas que se señalan a continuación: si acepta, en principio, la admisibilidad, solicitará informaciones al gobierno del Estado aludido, transcribiendo las partes pertinentes de la petición”.</w:t>
      </w:r>
    </w:p>
    <w:p w:rsidR="00D57F75" w:rsidRPr="00D57F75" w:rsidRDefault="00D57F75" w:rsidP="00D57F75">
      <w:pPr>
        <w:autoSpaceDE w:val="0"/>
        <w:autoSpaceDN w:val="0"/>
        <w:adjustRightInd w:val="0"/>
        <w:spacing w:after="240" w:line="240" w:lineRule="auto"/>
        <w:jc w:val="both"/>
        <w:rPr>
          <w:rFonts w:ascii="Verdana" w:eastAsia="Calibri" w:hAnsi="Verdana" w:cs="Calibri"/>
          <w:i/>
          <w:sz w:val="20"/>
          <w:szCs w:val="20"/>
          <w:lang w:val="es-CL"/>
        </w:rPr>
      </w:pPr>
      <w:r w:rsidRPr="00D57F75">
        <w:rPr>
          <w:rFonts w:ascii="Verdana" w:eastAsia="Calibri" w:hAnsi="Verdana" w:cs="Calibri"/>
          <w:bCs/>
          <w:sz w:val="20"/>
          <w:szCs w:val="20"/>
          <w:lang w:val="es-CL"/>
        </w:rPr>
        <w:lastRenderedPageBreak/>
        <w:t>Las actuación de la Secretaría Ejecutiva de la Comisión a nombre de ésta, no se limita, en consecuencia y en lo relativo a la petición “</w:t>
      </w:r>
      <w:r w:rsidRPr="00D57F75">
        <w:rPr>
          <w:rFonts w:ascii="Verdana" w:eastAsia="Calibri" w:hAnsi="Verdana" w:cs="Calibri"/>
          <w:bCs/>
          <w:i/>
          <w:sz w:val="20"/>
          <w:szCs w:val="20"/>
          <w:lang w:val="es-CL"/>
        </w:rPr>
        <w:t>presentada</w:t>
      </w:r>
      <w:r w:rsidRPr="00D57F75">
        <w:rPr>
          <w:rFonts w:ascii="Verdana" w:eastAsia="Calibri" w:hAnsi="Verdana" w:cs="Calibri"/>
          <w:bCs/>
          <w:sz w:val="20"/>
          <w:szCs w:val="20"/>
          <w:lang w:val="es-CL"/>
        </w:rPr>
        <w:t>”, solo a comprobar</w:t>
      </w:r>
      <w:r w:rsidRPr="00D57F75">
        <w:rPr>
          <w:rFonts w:ascii="Verdana" w:eastAsia="Calibri" w:hAnsi="Verdana"/>
          <w:sz w:val="20"/>
          <w:szCs w:val="20"/>
          <w:lang w:val="es-CL"/>
        </w:rPr>
        <w:t xml:space="preserve"> si formalmente ésta incluye o no la información requerida sino que debe efectuar el “</w:t>
      </w:r>
      <w:r w:rsidRPr="00D57F75">
        <w:rPr>
          <w:rFonts w:ascii="Verdana" w:eastAsia="Calibri" w:hAnsi="Verdana"/>
          <w:i/>
          <w:sz w:val="20"/>
          <w:szCs w:val="20"/>
          <w:lang w:val="es-CL"/>
        </w:rPr>
        <w:t xml:space="preserve">estudio </w:t>
      </w:r>
      <w:r w:rsidRPr="00D57F75">
        <w:rPr>
          <w:rFonts w:ascii="Verdana" w:eastAsia="Calibri" w:hAnsi="Verdana"/>
          <w:sz w:val="20"/>
          <w:szCs w:val="20"/>
          <w:lang w:val="es-CL"/>
        </w:rPr>
        <w:t xml:space="preserve">y </w:t>
      </w:r>
      <w:r w:rsidRPr="00D57F75">
        <w:rPr>
          <w:rFonts w:ascii="Verdana" w:eastAsia="Calibri" w:hAnsi="Verdana"/>
          <w:i/>
          <w:sz w:val="20"/>
          <w:szCs w:val="20"/>
          <w:lang w:val="es-CL"/>
        </w:rPr>
        <w:t>tramitación inicial</w:t>
      </w:r>
      <w:r w:rsidRPr="00D57F75">
        <w:rPr>
          <w:rFonts w:ascii="Verdana" w:eastAsia="Calibri" w:hAnsi="Verdana"/>
          <w:sz w:val="20"/>
          <w:szCs w:val="20"/>
          <w:lang w:val="es-CL"/>
        </w:rPr>
        <w:t>” de la misma siempre y cuando “</w:t>
      </w:r>
      <w:r w:rsidRPr="00D57F75">
        <w:rPr>
          <w:rFonts w:ascii="Verdana" w:eastAsia="Calibri" w:hAnsi="Verdana"/>
          <w:i/>
          <w:sz w:val="20"/>
          <w:szCs w:val="20"/>
          <w:lang w:val="es-CL"/>
        </w:rPr>
        <w:t>llene todos los requisitos establecidos</w:t>
      </w:r>
      <w:r w:rsidRPr="00D57F75">
        <w:rPr>
          <w:rFonts w:ascii="Verdana" w:eastAsia="Calibri" w:hAnsi="Verdana"/>
          <w:sz w:val="20"/>
          <w:szCs w:val="20"/>
          <w:lang w:val="es-CL"/>
        </w:rPr>
        <w:t>”, incluyendo, por cierto, el primero de ellos, a saber, “</w:t>
      </w:r>
      <w:r w:rsidRPr="00D57F75">
        <w:rPr>
          <w:rFonts w:ascii="Verdana" w:eastAsia="Calibri" w:hAnsi="Verdana" w:cs="Calibri"/>
          <w:i/>
          <w:sz w:val="20"/>
          <w:szCs w:val="20"/>
          <w:lang w:val="es-CL"/>
        </w:rPr>
        <w:t xml:space="preserve">que se hayan interpuesto y agotado los recursos de jurisdicción interna, conforme a los principios del Derecho Internacional generalmente reconocidos”. </w:t>
      </w:r>
    </w:p>
    <w:p w:rsidR="00D57F75" w:rsidRPr="00D57F75" w:rsidRDefault="00D57F75" w:rsidP="00D57F75">
      <w:pPr>
        <w:autoSpaceDE w:val="0"/>
        <w:autoSpaceDN w:val="0"/>
        <w:adjustRightInd w:val="0"/>
        <w:spacing w:after="240" w:line="240" w:lineRule="auto"/>
        <w:jc w:val="both"/>
        <w:rPr>
          <w:rFonts w:ascii="Verdana" w:eastAsia="Calibri" w:hAnsi="Verdana" w:cs="Calibri"/>
          <w:bCs/>
          <w:sz w:val="20"/>
          <w:szCs w:val="20"/>
          <w:lang w:val="es-CL"/>
        </w:rPr>
      </w:pPr>
      <w:r w:rsidRPr="00D57F75">
        <w:rPr>
          <w:rFonts w:ascii="Verdana" w:eastAsia="Calibri" w:hAnsi="Verdana" w:cs="Calibri"/>
          <w:sz w:val="20"/>
          <w:szCs w:val="20"/>
          <w:lang w:val="es-CL"/>
        </w:rPr>
        <w:t xml:space="preserve">En el sentido indicado, la Comisión, actuando a través de su Secretaría Ejecutiva, </w:t>
      </w:r>
      <w:r w:rsidRPr="00D57F75">
        <w:rPr>
          <w:rFonts w:ascii="Verdana" w:eastAsia="Calibri" w:hAnsi="Verdana" w:cs="Calibri"/>
          <w:bCs/>
          <w:sz w:val="20"/>
          <w:szCs w:val="20"/>
          <w:lang w:val="es-CL"/>
        </w:rPr>
        <w:t>debe realizar un primer control de convencionalidad de la petición, contrastándola con lo dispuesto por la Convención respecto de los requisitos que debe cumplir para ser “</w:t>
      </w:r>
      <w:r w:rsidRPr="00D57F75">
        <w:rPr>
          <w:rFonts w:ascii="Verdana" w:eastAsia="Calibri" w:hAnsi="Verdana" w:cs="Calibri"/>
          <w:bCs/>
          <w:i/>
          <w:sz w:val="20"/>
          <w:szCs w:val="20"/>
          <w:lang w:val="es-CL"/>
        </w:rPr>
        <w:t>presentada</w:t>
      </w:r>
      <w:r w:rsidRPr="00D57F75">
        <w:rPr>
          <w:rFonts w:ascii="Verdana" w:eastAsia="Calibri" w:hAnsi="Verdana" w:cs="Calibri"/>
          <w:bCs/>
          <w:sz w:val="20"/>
          <w:szCs w:val="20"/>
          <w:lang w:val="es-CL"/>
        </w:rPr>
        <w:t>”.</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 xml:space="preserve">De todo lo anterior, </w:t>
      </w:r>
      <w:r w:rsidRPr="00D57F75">
        <w:rPr>
          <w:rFonts w:ascii="Verdana" w:eastAsia="Calibri" w:hAnsi="Verdana" w:cs="Calibri"/>
          <w:sz w:val="20"/>
          <w:szCs w:val="20"/>
          <w:shd w:val="clear" w:color="auto" w:fill="FFFFFF"/>
          <w:lang w:val="es-CL"/>
        </w:rPr>
        <w:t>razonablemente se colige que los recursos internos deben haberse agotado antes de la presentación de la petición ante la Comisión, pues de otra manera no se entendería la lógica y necesidad del “</w:t>
      </w:r>
      <w:r w:rsidRPr="00D57F75">
        <w:rPr>
          <w:rFonts w:ascii="Verdana" w:eastAsia="Calibri" w:hAnsi="Verdana" w:cs="Calibri"/>
          <w:i/>
          <w:sz w:val="20"/>
          <w:szCs w:val="20"/>
          <w:shd w:val="clear" w:color="auto" w:fill="FFFFFF"/>
          <w:lang w:val="es-CL"/>
        </w:rPr>
        <w:t>estudio y tramitación inicial</w:t>
      </w:r>
      <w:r w:rsidRPr="00D57F75">
        <w:rPr>
          <w:rFonts w:ascii="Verdana" w:eastAsia="Calibri" w:hAnsi="Verdana" w:cs="Calibri"/>
          <w:sz w:val="20"/>
          <w:szCs w:val="20"/>
          <w:shd w:val="clear" w:color="auto" w:fill="FFFFFF"/>
          <w:lang w:val="es-CL"/>
        </w:rPr>
        <w:t xml:space="preserve">” de aquella por parte de la Secretaría Ejecutiva de ésta </w:t>
      </w:r>
      <w:r w:rsidRPr="00D57F75">
        <w:rPr>
          <w:rFonts w:ascii="Verdana" w:eastAsia="Calibri" w:hAnsi="Verdana" w:cs="Calibri"/>
          <w:sz w:val="20"/>
          <w:szCs w:val="20"/>
          <w:lang w:val="es-CL"/>
        </w:rPr>
        <w:t>ni tampoco</w:t>
      </w:r>
      <w:r w:rsidRPr="00D57F75">
        <w:rPr>
          <w:rFonts w:ascii="Verdana" w:eastAsia="Calibri" w:hAnsi="Verdana" w:cs="Calibri"/>
          <w:sz w:val="20"/>
          <w:szCs w:val="20"/>
          <w:shd w:val="clear" w:color="auto" w:fill="FFFFFF"/>
          <w:lang w:val="es-CL"/>
        </w:rPr>
        <w:t xml:space="preserve"> la razón por la que se le puede requerir al peticionario que la complete o que señale en ella las gestiones emprendidas para agotar los recursos internos, además de que no tendría sentido el plazo fijado para presentarla.</w:t>
      </w:r>
    </w:p>
    <w:p w:rsidR="00D57F75" w:rsidRPr="00D57F75" w:rsidRDefault="00D57F75" w:rsidP="00D57F75">
      <w:pPr>
        <w:autoSpaceDE w:val="0"/>
        <w:autoSpaceDN w:val="0"/>
        <w:adjustRightInd w:val="0"/>
        <w:spacing w:after="240" w:line="240" w:lineRule="auto"/>
        <w:jc w:val="both"/>
        <w:rPr>
          <w:rFonts w:ascii="Verdana" w:eastAsia="Calibri" w:hAnsi="Verdana" w:cs="Calibri"/>
          <w:i/>
          <w:sz w:val="20"/>
          <w:szCs w:val="20"/>
          <w:lang w:val="es-CL"/>
        </w:rPr>
      </w:pPr>
      <w:r w:rsidRPr="00D57F75">
        <w:rPr>
          <w:rFonts w:ascii="Verdana" w:eastAsia="Calibri" w:hAnsi="Verdana" w:cs="Calibri"/>
          <w:sz w:val="20"/>
          <w:szCs w:val="20"/>
          <w:lang w:val="es-CL"/>
        </w:rPr>
        <w:t>Por último, teniendo presente que la función de la Comisión consiste en estudiar, requerir que se complete y tramitar la petición, se debe concluir que todo ello debe hacerlo conforme a los términos que esta última ha sido “</w:t>
      </w:r>
      <w:r w:rsidRPr="00D57F75">
        <w:rPr>
          <w:rFonts w:ascii="Verdana" w:eastAsia="Calibri" w:hAnsi="Verdana" w:cs="Calibri"/>
          <w:i/>
          <w:sz w:val="20"/>
          <w:szCs w:val="20"/>
          <w:lang w:val="es-CL"/>
        </w:rPr>
        <w:t>presentada</w:t>
      </w:r>
      <w:r w:rsidRPr="00D57F75">
        <w:rPr>
          <w:rFonts w:ascii="Verdana" w:eastAsia="Calibri" w:hAnsi="Verdana" w:cs="Calibri"/>
          <w:sz w:val="20"/>
          <w:szCs w:val="20"/>
          <w:lang w:val="es-CL"/>
        </w:rPr>
        <w:t>”. En ese orden de ideas se puede sostener que, así como</w:t>
      </w:r>
      <w:r w:rsidRPr="00D57F75">
        <w:rPr>
          <w:rFonts w:ascii="Verdana" w:eastAsia="Calibri" w:hAnsi="Verdana" w:cs="Calibri"/>
          <w:i/>
          <w:sz w:val="20"/>
          <w:szCs w:val="20"/>
          <w:lang w:val="es-CO"/>
        </w:rPr>
        <w:t xml:space="preserve"> “</w:t>
      </w:r>
      <w:r w:rsidRPr="00D57F75">
        <w:rPr>
          <w:rFonts w:ascii="Verdana" w:eastAsia="Calibri" w:hAnsi="Verdana"/>
          <w:i/>
          <w:sz w:val="20"/>
          <w:szCs w:val="20"/>
          <w:lang w:val="es-CL"/>
        </w:rPr>
        <w:t xml:space="preserve">no es tarea de la Corte, ni de la Comisión, identificar </w:t>
      </w:r>
      <w:r w:rsidRPr="00D57F75">
        <w:rPr>
          <w:rFonts w:ascii="Verdana" w:eastAsia="Calibri" w:hAnsi="Verdana"/>
          <w:i/>
          <w:iCs/>
          <w:sz w:val="20"/>
          <w:szCs w:val="20"/>
          <w:lang w:val="es-CL"/>
        </w:rPr>
        <w:t xml:space="preserve">ex </w:t>
      </w:r>
      <w:proofErr w:type="spellStart"/>
      <w:r w:rsidRPr="00D57F75">
        <w:rPr>
          <w:rFonts w:ascii="Verdana" w:eastAsia="Calibri" w:hAnsi="Verdana"/>
          <w:i/>
          <w:iCs/>
          <w:sz w:val="20"/>
          <w:szCs w:val="20"/>
          <w:lang w:val="es-CL"/>
        </w:rPr>
        <w:t>officio</w:t>
      </w:r>
      <w:proofErr w:type="spellEnd"/>
      <w:r w:rsidRPr="00D57F75">
        <w:rPr>
          <w:rFonts w:ascii="Verdana" w:eastAsia="Calibri" w:hAnsi="Verdana"/>
          <w:i/>
          <w:iCs/>
          <w:sz w:val="20"/>
          <w:szCs w:val="20"/>
          <w:lang w:val="es-CL"/>
        </w:rPr>
        <w:t xml:space="preserve"> </w:t>
      </w:r>
      <w:r w:rsidRPr="00D57F75">
        <w:rPr>
          <w:rFonts w:ascii="Verdana" w:eastAsia="Calibri" w:hAnsi="Verdana"/>
          <w:i/>
          <w:sz w:val="20"/>
          <w:szCs w:val="20"/>
          <w:lang w:val="es-CL"/>
        </w:rPr>
        <w:t>cuáles son los recursos internos pendientes de agotamiento</w:t>
      </w:r>
      <w:r w:rsidRPr="00D57F75">
        <w:rPr>
          <w:rFonts w:ascii="Verdana" w:eastAsia="Calibri" w:hAnsi="Verdana"/>
          <w:sz w:val="20"/>
          <w:szCs w:val="20"/>
          <w:lang w:val="es-CL"/>
        </w:rPr>
        <w:t>” y “</w:t>
      </w:r>
      <w:r w:rsidRPr="00D57F75">
        <w:rPr>
          <w:rFonts w:ascii="Verdana" w:eastAsia="Calibri" w:hAnsi="Verdana"/>
          <w:i/>
          <w:sz w:val="20"/>
          <w:szCs w:val="20"/>
          <w:lang w:val="es-CL"/>
        </w:rPr>
        <w:t>que no compete a los órganos internacionales subsanar la falta de precisión de los alegatos del Estado</w:t>
      </w:r>
      <w:r w:rsidRPr="00D57F75">
        <w:rPr>
          <w:rFonts w:ascii="Verdana" w:eastAsia="Calibri" w:hAnsi="Verdana" w:cs="Calibri"/>
          <w:i/>
          <w:sz w:val="20"/>
          <w:szCs w:val="20"/>
          <w:lang w:val="es-CO"/>
        </w:rPr>
        <w:t>”</w:t>
      </w:r>
      <w:r w:rsidRPr="00D57F75">
        <w:rPr>
          <w:rFonts w:ascii="Verdana" w:eastAsia="Calibri" w:hAnsi="Verdana" w:cs="Calibri"/>
          <w:i/>
          <w:sz w:val="20"/>
          <w:szCs w:val="20"/>
          <w:vertAlign w:val="superscript"/>
          <w:lang w:val="es-CO"/>
        </w:rPr>
        <w:footnoteReference w:id="441"/>
      </w:r>
      <w:r w:rsidRPr="00D57F75">
        <w:rPr>
          <w:rFonts w:ascii="Verdana" w:eastAsia="Calibri" w:hAnsi="Verdana" w:cs="Calibri"/>
          <w:sz w:val="20"/>
          <w:szCs w:val="20"/>
          <w:lang w:val="es-CO"/>
        </w:rPr>
        <w:t xml:space="preserve">, tampoco le corresponde subsanar la petición ni darle un alcance más allá de lo que en ella se expresa y requiere. La Comisión debe atenerse, pues, a lo que se le solicita. Lo más que puede hacer al respecto </w:t>
      </w:r>
      <w:r w:rsidRPr="00D57F75">
        <w:rPr>
          <w:rFonts w:ascii="Verdana" w:eastAsia="Calibri" w:hAnsi="Verdana" w:cs="Calibri"/>
          <w:i/>
          <w:sz w:val="20"/>
          <w:szCs w:val="20"/>
          <w:lang w:val="es-CL"/>
        </w:rPr>
        <w:t>“(s</w:t>
      </w:r>
      <w:proofErr w:type="gramStart"/>
      <w:r w:rsidRPr="00D57F75">
        <w:rPr>
          <w:rFonts w:ascii="Verdana" w:eastAsia="Calibri" w:hAnsi="Verdana" w:cs="Calibri"/>
          <w:i/>
          <w:sz w:val="20"/>
          <w:szCs w:val="20"/>
          <w:lang w:val="es-CL"/>
        </w:rPr>
        <w:t>)i</w:t>
      </w:r>
      <w:proofErr w:type="gramEnd"/>
      <w:r w:rsidRPr="00D57F75">
        <w:rPr>
          <w:rFonts w:ascii="Verdana" w:eastAsia="Calibri" w:hAnsi="Verdana" w:cs="Calibri"/>
          <w:i/>
          <w:sz w:val="20"/>
          <w:szCs w:val="20"/>
          <w:lang w:val="es-CL"/>
        </w:rPr>
        <w:t xml:space="preserve"> una petición no reúne los requisitos exigidos en el presente Reglamento”, </w:t>
      </w:r>
      <w:r w:rsidRPr="00D57F75">
        <w:rPr>
          <w:rFonts w:ascii="Verdana" w:eastAsia="Calibri" w:hAnsi="Verdana" w:cs="Calibri"/>
          <w:sz w:val="20"/>
          <w:szCs w:val="20"/>
          <w:lang w:val="es-CL"/>
        </w:rPr>
        <w:t>es “</w:t>
      </w:r>
      <w:r w:rsidRPr="00D57F75">
        <w:rPr>
          <w:rFonts w:ascii="Verdana" w:eastAsia="Calibri" w:hAnsi="Verdana" w:cs="Calibri"/>
          <w:i/>
          <w:sz w:val="20"/>
          <w:szCs w:val="20"/>
          <w:lang w:val="es-CL"/>
        </w:rPr>
        <w:t>solicitar al peticionario o a su representante que los complete”.</w:t>
      </w:r>
    </w:p>
    <w:p w:rsidR="00D57F75" w:rsidRPr="00D57F75" w:rsidRDefault="00D57F75" w:rsidP="00D57F75">
      <w:pPr>
        <w:spacing w:after="240" w:line="240" w:lineRule="auto"/>
        <w:jc w:val="both"/>
        <w:rPr>
          <w:rFonts w:ascii="Verdana" w:hAnsi="Verdana" w:cs="Calibri"/>
          <w:sz w:val="20"/>
          <w:szCs w:val="20"/>
          <w:shd w:val="clear" w:color="auto" w:fill="FFFFFF"/>
          <w:lang w:val="es-CL" w:eastAsia="es-CL"/>
        </w:rPr>
      </w:pPr>
      <w:r w:rsidRPr="00D57F75">
        <w:rPr>
          <w:rFonts w:ascii="Verdana" w:hAnsi="Verdana" w:cs="Calibri"/>
          <w:sz w:val="20"/>
          <w:szCs w:val="20"/>
          <w:lang w:val="es-CO" w:eastAsia="es-CL"/>
        </w:rPr>
        <w:t xml:space="preserve">Abona la tesis que se sostiene lo establecido por </w:t>
      </w:r>
      <w:r w:rsidRPr="00D57F75">
        <w:rPr>
          <w:rFonts w:ascii="Verdana" w:hAnsi="Verdana" w:cs="Calibri"/>
          <w:sz w:val="20"/>
          <w:szCs w:val="20"/>
          <w:shd w:val="clear" w:color="auto" w:fill="FFFFFF"/>
          <w:lang w:val="es-CL" w:eastAsia="es-CL"/>
        </w:rPr>
        <w:t>el artículo 35.1 del Reglamento de la Comisión en orden a que ella “</w:t>
      </w:r>
      <w:r w:rsidRPr="00D57F75">
        <w:rPr>
          <w:rFonts w:ascii="Verdana" w:hAnsi="Verdana" w:cs="Calibri"/>
          <w:i/>
          <w:sz w:val="20"/>
          <w:szCs w:val="20"/>
          <w:shd w:val="clear" w:color="auto" w:fill="FFFFFF"/>
          <w:lang w:val="es-CL" w:eastAsia="es-CL"/>
        </w:rPr>
        <w:t xml:space="preserve">se abstendrá de conocer aquellas peticiones que se presenten después del plazo de seis meses a partir de la fecha en que el presunto lesionado en sus derechos ha sido notificado de la decisión definitiva, en caso de agotamiento de los recursos internos”. </w:t>
      </w:r>
      <w:r w:rsidRPr="00D57F75">
        <w:rPr>
          <w:rFonts w:ascii="Verdana" w:hAnsi="Verdana" w:cs="Calibri"/>
          <w:sz w:val="20"/>
          <w:szCs w:val="20"/>
          <w:lang w:val="es-CL" w:eastAsia="es-CL"/>
        </w:rPr>
        <w:t xml:space="preserve">Es decir, en dicha alternativa, también la Comisión debe considerar el momento en que tuvo lugar la violación que se alegue, lo que obviamente debe haber acontecido antes de la presentación de la petición. </w:t>
      </w:r>
    </w:p>
    <w:p w:rsidR="00D57F75" w:rsidRPr="00D57F75" w:rsidRDefault="00D57F75" w:rsidP="00D57F75">
      <w:pPr>
        <w:autoSpaceDE w:val="0"/>
        <w:autoSpaceDN w:val="0"/>
        <w:adjustRightInd w:val="0"/>
        <w:spacing w:after="240" w:line="240" w:lineRule="auto"/>
        <w:jc w:val="both"/>
        <w:rPr>
          <w:rFonts w:ascii="Verdana" w:eastAsia="Calibri" w:hAnsi="Verdana" w:cs="Calibri"/>
          <w:i/>
          <w:sz w:val="20"/>
          <w:szCs w:val="20"/>
          <w:lang w:val="es-CL"/>
        </w:rPr>
      </w:pPr>
      <w:r w:rsidRPr="00D57F75">
        <w:rPr>
          <w:rFonts w:ascii="Verdana" w:eastAsia="Calibri" w:hAnsi="Verdana" w:cs="Calibri"/>
          <w:sz w:val="20"/>
          <w:szCs w:val="20"/>
          <w:lang w:val="es-CO"/>
        </w:rPr>
        <w:t>En suma, por ende, también la función de la Comisión frente a la presentación de la petición confirma que el requisito del previo agotamiento de los recursos internos debe cumplirse antes de dicho acto.</w:t>
      </w:r>
    </w:p>
    <w:p w:rsidR="00D57F75" w:rsidRPr="00D57F75" w:rsidRDefault="00D57F75" w:rsidP="00D57F75">
      <w:pPr>
        <w:numPr>
          <w:ilvl w:val="0"/>
          <w:numId w:val="28"/>
        </w:numPr>
        <w:spacing w:after="240" w:line="240" w:lineRule="auto"/>
        <w:jc w:val="both"/>
        <w:rPr>
          <w:rFonts w:ascii="Verdana" w:eastAsia="Calibri" w:hAnsi="Verdana" w:cs="Calibri"/>
          <w:b/>
          <w:sz w:val="20"/>
          <w:szCs w:val="20"/>
          <w:lang w:val="es-CL"/>
        </w:rPr>
      </w:pPr>
      <w:r w:rsidRPr="00D57F75">
        <w:rPr>
          <w:rFonts w:ascii="Verdana" w:eastAsia="Calibri" w:hAnsi="Verdana" w:cs="Calibri"/>
          <w:b/>
          <w:sz w:val="20"/>
          <w:szCs w:val="20"/>
          <w:lang w:val="es-CL"/>
        </w:rPr>
        <w:t>Respuesta u observaciones del Estado.</w:t>
      </w:r>
    </w:p>
    <w:p w:rsidR="00D57F75" w:rsidRPr="00D57F75" w:rsidRDefault="00D57F75" w:rsidP="00D57F75">
      <w:pPr>
        <w:spacing w:after="120" w:line="240" w:lineRule="auto"/>
        <w:jc w:val="both"/>
        <w:rPr>
          <w:rFonts w:ascii="Verdana" w:eastAsia="Calibri" w:hAnsi="Verdana" w:cs="Calibri"/>
          <w:i/>
          <w:sz w:val="20"/>
          <w:szCs w:val="20"/>
          <w:shd w:val="clear" w:color="auto" w:fill="FFFFFF"/>
          <w:lang w:val="es-CL"/>
        </w:rPr>
      </w:pPr>
      <w:r w:rsidRPr="00D57F75">
        <w:rPr>
          <w:rFonts w:ascii="Verdana" w:eastAsia="Calibri" w:hAnsi="Verdana" w:cs="Calibri"/>
          <w:bCs/>
          <w:sz w:val="20"/>
          <w:szCs w:val="20"/>
          <w:lang w:val="es-CL"/>
        </w:rPr>
        <w:t>Lo ordenado en el artículo 31.1.c del Reglamento de la Comisión, que indica que</w:t>
      </w:r>
      <w:r w:rsidRPr="00D57F75">
        <w:rPr>
          <w:rFonts w:ascii="Verdana" w:eastAsia="Calibri" w:hAnsi="Verdana" w:cs="Calibri"/>
          <w:i/>
          <w:sz w:val="20"/>
          <w:szCs w:val="20"/>
          <w:lang w:val="es-CL"/>
        </w:rPr>
        <w:t xml:space="preserve"> “si </w:t>
      </w:r>
      <w:r w:rsidRPr="00D57F75">
        <w:rPr>
          <w:rFonts w:ascii="Verdana" w:eastAsia="Calibri" w:hAnsi="Verdana" w:cs="Calibri"/>
          <w:sz w:val="20"/>
          <w:szCs w:val="20"/>
          <w:lang w:val="es-CL"/>
        </w:rPr>
        <w:t>(la Secretaría Ejecutiva, actuando a nombre de la Comisión)</w:t>
      </w:r>
      <w:r w:rsidRPr="00D57F75">
        <w:rPr>
          <w:rFonts w:ascii="Verdana" w:eastAsia="Calibri" w:hAnsi="Verdana" w:cs="Calibri"/>
          <w:i/>
          <w:sz w:val="20"/>
          <w:szCs w:val="20"/>
          <w:lang w:val="es-CL"/>
        </w:rPr>
        <w:t xml:space="preserve"> acepta, en principio, la admisibilidad, solicitará informaciones al gobierno del Estado aludido, transcribiendo las partes pertinentes de la petición”, </w:t>
      </w:r>
      <w:r w:rsidRPr="00D57F75">
        <w:rPr>
          <w:rFonts w:ascii="Verdana" w:eastAsia="Calibri" w:hAnsi="Verdana" w:cs="Calibri"/>
          <w:sz w:val="20"/>
          <w:szCs w:val="20"/>
          <w:lang w:val="es-CL"/>
        </w:rPr>
        <w:t>las que indudablemente deben incluir, conforme a lo señalado en el artículo 29.d del señalado Reglamento,</w:t>
      </w:r>
      <w:r w:rsidRPr="00D57F75">
        <w:rPr>
          <w:rFonts w:ascii="Verdana" w:eastAsia="Calibri" w:hAnsi="Verdana"/>
          <w:i/>
          <w:sz w:val="20"/>
          <w:szCs w:val="20"/>
          <w:lang w:val="es-CL"/>
        </w:rPr>
        <w:t xml:space="preserve"> “(u)na información sobre la circunstancia de haber hecho uso o no de los recursos de jurisdicción interna o sobre la imposibilidad de hacerlo</w:t>
      </w:r>
      <w:r w:rsidRPr="00D57F75">
        <w:rPr>
          <w:rFonts w:ascii="Verdana" w:eastAsia="Calibri" w:hAnsi="Verdana"/>
          <w:sz w:val="20"/>
          <w:szCs w:val="20"/>
          <w:lang w:val="es-CL"/>
        </w:rPr>
        <w:t>”</w:t>
      </w:r>
      <w:r w:rsidRPr="00D57F75">
        <w:rPr>
          <w:rFonts w:ascii="Verdana" w:eastAsia="Calibri" w:hAnsi="Verdana" w:cs="Calibri"/>
          <w:i/>
          <w:sz w:val="20"/>
          <w:szCs w:val="20"/>
          <w:lang w:val="es-CL"/>
        </w:rPr>
        <w:t>.</w:t>
      </w:r>
    </w:p>
    <w:p w:rsidR="00D57F75" w:rsidRPr="00D57F75" w:rsidRDefault="00D57F75" w:rsidP="00D57F75">
      <w:pPr>
        <w:spacing w:after="120" w:line="240" w:lineRule="auto"/>
        <w:jc w:val="both"/>
        <w:rPr>
          <w:rFonts w:ascii="Verdana" w:eastAsia="Calibri" w:hAnsi="Verdana" w:cs="Calibri"/>
          <w:sz w:val="20"/>
          <w:szCs w:val="20"/>
          <w:lang w:val="es-CL"/>
        </w:rPr>
      </w:pPr>
      <w:r w:rsidRPr="00D57F75">
        <w:rPr>
          <w:rFonts w:ascii="Verdana" w:eastAsia="Calibri" w:hAnsi="Verdana" w:cs="Calibri"/>
          <w:spacing w:val="-3"/>
          <w:sz w:val="20"/>
          <w:szCs w:val="20"/>
          <w:lang w:val="es-CL"/>
        </w:rPr>
        <w:t xml:space="preserve">Y el artículo 31.5 del Reglamento dispone que </w:t>
      </w:r>
      <w:r w:rsidRPr="00D57F75">
        <w:rPr>
          <w:rFonts w:ascii="Verdana" w:eastAsia="Calibri" w:hAnsi="Verdana" w:cs="Calibri"/>
          <w:i/>
          <w:spacing w:val="-3"/>
          <w:sz w:val="20"/>
          <w:szCs w:val="20"/>
          <w:lang w:val="es-CL"/>
        </w:rPr>
        <w:t>“(l</w:t>
      </w:r>
      <w:proofErr w:type="gramStart"/>
      <w:r w:rsidRPr="00D57F75">
        <w:rPr>
          <w:rFonts w:ascii="Verdana" w:eastAsia="Calibri" w:hAnsi="Verdana" w:cs="Calibri"/>
          <w:i/>
          <w:spacing w:val="-3"/>
          <w:sz w:val="20"/>
          <w:szCs w:val="20"/>
          <w:lang w:val="es-CL"/>
        </w:rPr>
        <w:t>)a</w:t>
      </w:r>
      <w:proofErr w:type="gramEnd"/>
      <w:r w:rsidRPr="00D57F75">
        <w:rPr>
          <w:rFonts w:ascii="Verdana" w:eastAsia="Calibri" w:hAnsi="Verdana" w:cs="Calibri"/>
          <w:i/>
          <w:spacing w:val="-3"/>
          <w:sz w:val="20"/>
          <w:szCs w:val="20"/>
          <w:lang w:val="es-CL"/>
        </w:rPr>
        <w:t xml:space="preserve"> información solicitada debe ser suministrada lo más pronto posible, dentro de 120 días a partir de la fecha del envío de la solicitud</w:t>
      </w:r>
      <w:r w:rsidRPr="00D57F75">
        <w:rPr>
          <w:rFonts w:ascii="Verdana" w:eastAsia="Calibri" w:hAnsi="Verdana" w:cs="Calibri"/>
          <w:spacing w:val="-3"/>
          <w:sz w:val="20"/>
          <w:szCs w:val="20"/>
          <w:lang w:val="es-CL"/>
        </w:rPr>
        <w:t>”</w:t>
      </w:r>
      <w:r w:rsidRPr="00D57F75">
        <w:rPr>
          <w:rFonts w:ascii="Verdana" w:eastAsia="Calibri" w:hAnsi="Verdana" w:cs="Calibri"/>
          <w:sz w:val="20"/>
          <w:szCs w:val="20"/>
          <w:lang w:val="es-CL"/>
        </w:rPr>
        <w:t xml:space="preserve">, respuesta </w:t>
      </w:r>
      <w:r w:rsidRPr="00D57F75">
        <w:rPr>
          <w:rFonts w:ascii="Verdana" w:eastAsia="Calibri" w:hAnsi="Verdana" w:cs="Calibri"/>
          <w:sz w:val="20"/>
          <w:szCs w:val="20"/>
          <w:lang w:val="es-CL"/>
        </w:rPr>
        <w:lastRenderedPageBreak/>
        <w:t>que, por cierto, debe contener, si se quiere interponer, la excepción preliminar por el no agotamiento previo de los recursos internos por parte de la presunta víctima o del peticionario.</w:t>
      </w:r>
    </w:p>
    <w:p w:rsidR="00D57F75" w:rsidRPr="00D57F75" w:rsidRDefault="00D57F75" w:rsidP="00D57F75">
      <w:pPr>
        <w:spacing w:after="240" w:line="240" w:lineRule="auto"/>
        <w:jc w:val="both"/>
        <w:rPr>
          <w:rFonts w:ascii="Verdana" w:hAnsi="Verdana" w:cs="Calibri"/>
          <w:sz w:val="20"/>
          <w:szCs w:val="20"/>
          <w:lang w:val="es-CL"/>
        </w:rPr>
      </w:pPr>
      <w:r w:rsidRPr="00D57F75">
        <w:rPr>
          <w:rFonts w:ascii="Verdana" w:hAnsi="Verdana" w:cs="Calibri"/>
          <w:sz w:val="20"/>
          <w:szCs w:val="20"/>
          <w:lang w:val="es-CL"/>
        </w:rPr>
        <w:t xml:space="preserve">Por lo demás, es por la misma razón que el artículo 34.3 del Reglamento de la Comisión estipula que </w:t>
      </w:r>
      <w:r w:rsidRPr="00D57F75">
        <w:rPr>
          <w:rFonts w:ascii="Verdana" w:hAnsi="Verdana" w:cs="Calibri"/>
          <w:i/>
          <w:sz w:val="20"/>
          <w:szCs w:val="20"/>
          <w:lang w:val="es-CL"/>
        </w:rPr>
        <w:t>“(c</w:t>
      </w:r>
      <w:proofErr w:type="gramStart"/>
      <w:r w:rsidRPr="00D57F75">
        <w:rPr>
          <w:rFonts w:ascii="Verdana" w:hAnsi="Verdana" w:cs="Calibri"/>
          <w:i/>
          <w:sz w:val="20"/>
          <w:szCs w:val="20"/>
          <w:lang w:val="es-CL"/>
        </w:rPr>
        <w:t>)</w:t>
      </w:r>
      <w:proofErr w:type="spellStart"/>
      <w:r w:rsidRPr="00D57F75">
        <w:rPr>
          <w:rFonts w:ascii="Verdana" w:hAnsi="Verdana" w:cs="Calibri"/>
          <w:i/>
          <w:sz w:val="20"/>
          <w:szCs w:val="20"/>
          <w:lang w:val="es-CL"/>
        </w:rPr>
        <w:t>uando</w:t>
      </w:r>
      <w:proofErr w:type="spellEnd"/>
      <w:proofErr w:type="gramEnd"/>
      <w:r w:rsidRPr="00D57F75">
        <w:rPr>
          <w:rFonts w:ascii="Verdana" w:hAnsi="Verdana" w:cs="Calibri"/>
          <w:i/>
          <w:sz w:val="20"/>
          <w:szCs w:val="20"/>
          <w:lang w:val="es-CL"/>
        </w:rPr>
        <w:t xml:space="preserve"> el peticionario afirme la imposibilidad de comprobar el requisito señalado en este artículo </w:t>
      </w:r>
      <w:r w:rsidRPr="00D57F75">
        <w:rPr>
          <w:rFonts w:ascii="Verdana" w:hAnsi="Verdana" w:cs="Calibri"/>
          <w:sz w:val="20"/>
          <w:szCs w:val="20"/>
          <w:lang w:val="es-CL"/>
        </w:rPr>
        <w:t>(el previo agotamiento de los recursos internos)</w:t>
      </w:r>
      <w:r w:rsidRPr="00D57F75">
        <w:rPr>
          <w:rFonts w:ascii="Verdana" w:hAnsi="Verdana" w:cs="Calibri"/>
          <w:i/>
          <w:sz w:val="20"/>
          <w:szCs w:val="20"/>
          <w:lang w:val="es-CL"/>
        </w:rPr>
        <w:t xml:space="preserve"> corresponderá al Gobierno en contra del cual se dirige la petición demostrar a la Comisión que los recursos internos no han sido agotados, a menos que ello se deduzca claramente de los antecedentes contenidos en la petición”.</w:t>
      </w:r>
      <w:r w:rsidRPr="00D57F75">
        <w:rPr>
          <w:rFonts w:ascii="Verdana" w:hAnsi="Verdana"/>
          <w:sz w:val="20"/>
          <w:szCs w:val="20"/>
          <w:lang w:val="es-CL"/>
        </w:rPr>
        <w:t xml:space="preserve"> </w:t>
      </w:r>
    </w:p>
    <w:p w:rsidR="00D57F75" w:rsidRPr="00D57F75" w:rsidRDefault="00D57F75" w:rsidP="00D57F75">
      <w:pPr>
        <w:spacing w:after="240" w:line="240" w:lineRule="auto"/>
        <w:jc w:val="both"/>
        <w:rPr>
          <w:rFonts w:ascii="Verdana" w:eastAsia="Calibri" w:hAnsi="Verdana" w:cs="Calibri"/>
          <w:sz w:val="20"/>
          <w:szCs w:val="20"/>
          <w:lang w:val="es-CO"/>
        </w:rPr>
      </w:pPr>
      <w:r w:rsidRPr="00D57F75">
        <w:rPr>
          <w:rFonts w:ascii="Verdana" w:eastAsia="Calibri" w:hAnsi="Verdana" w:cs="Calibri"/>
          <w:sz w:val="20"/>
          <w:szCs w:val="20"/>
          <w:lang w:val="es-CO"/>
        </w:rPr>
        <w:t>En otras palabras, en el evento de que el peticionario alegue, en su petición, estar impedido de acreditar que ha agotado previamente los recursos internos, el Estado puede objetar tal alegación, eventualidad en que debe demostrar que aquellos no se han agotado y siempre y cuando ello no se desprenda nítidamente de “</w:t>
      </w:r>
      <w:r w:rsidRPr="00D57F75">
        <w:rPr>
          <w:rFonts w:ascii="Verdana" w:eastAsia="Calibri" w:hAnsi="Verdana" w:cs="Calibri"/>
          <w:i/>
          <w:sz w:val="20"/>
          <w:szCs w:val="20"/>
          <w:lang w:val="es-CO"/>
        </w:rPr>
        <w:t>los antecedentes contenidos en la petición</w:t>
      </w:r>
      <w:r w:rsidRPr="00D57F75">
        <w:rPr>
          <w:rFonts w:ascii="Verdana" w:eastAsia="Calibri" w:hAnsi="Verdana" w:cs="Calibri"/>
          <w:sz w:val="20"/>
          <w:szCs w:val="20"/>
          <w:lang w:val="es-CO"/>
        </w:rPr>
        <w:t xml:space="preserve">”. </w:t>
      </w:r>
      <w:r w:rsidRPr="00D57F75">
        <w:rPr>
          <w:rFonts w:ascii="Verdana" w:eastAsia="Calibri" w:hAnsi="Verdana" w:cs="Calibri"/>
          <w:sz w:val="20"/>
          <w:szCs w:val="20"/>
          <w:lang w:val="es-CL"/>
        </w:rPr>
        <w:t>Es en relación con esa eventualidad que debe entender lo señalado por la</w:t>
      </w:r>
      <w:r w:rsidRPr="00D57F75">
        <w:rPr>
          <w:rFonts w:ascii="Verdana" w:eastAsia="Calibri" w:hAnsi="Verdana" w:cs="Calibri"/>
          <w:sz w:val="20"/>
          <w:szCs w:val="20"/>
          <w:lang w:eastAsia="es-MX"/>
        </w:rPr>
        <w:t xml:space="preserve"> Corte en orden a que </w:t>
      </w:r>
      <w:r w:rsidRPr="00D57F75">
        <w:rPr>
          <w:rFonts w:ascii="Verdana" w:eastAsia="Calibri" w:hAnsi="Verdana" w:cs="Calibri"/>
          <w:i/>
          <w:sz w:val="20"/>
          <w:szCs w:val="20"/>
          <w:lang w:val="es-CL"/>
        </w:rPr>
        <w:t>“</w:t>
      </w:r>
      <w:r w:rsidRPr="00D57F75">
        <w:rPr>
          <w:rFonts w:ascii="Verdana" w:eastAsia="Calibri" w:hAnsi="Verdana"/>
          <w:i/>
          <w:sz w:val="20"/>
          <w:szCs w:val="20"/>
          <w:lang w:val="es-CO"/>
        </w:rPr>
        <w:t>(a</w:t>
      </w:r>
      <w:proofErr w:type="gramStart"/>
      <w:r w:rsidRPr="00D57F75">
        <w:rPr>
          <w:rFonts w:ascii="Verdana" w:eastAsia="Calibri" w:hAnsi="Verdana"/>
          <w:i/>
          <w:sz w:val="20"/>
          <w:szCs w:val="20"/>
          <w:lang w:val="es-CO"/>
        </w:rPr>
        <w:t>)l</w:t>
      </w:r>
      <w:proofErr w:type="gramEnd"/>
      <w:r w:rsidRPr="00D57F75">
        <w:rPr>
          <w:rFonts w:ascii="Verdana" w:eastAsia="Calibri" w:hAnsi="Verdana"/>
          <w:i/>
          <w:sz w:val="20"/>
          <w:szCs w:val="20"/>
          <w:lang w:val="es-CO"/>
        </w:rPr>
        <w:t xml:space="preserve"> alegar la falta de agotamiento de los recursos internos </w:t>
      </w:r>
      <w:r w:rsidRPr="00D57F75">
        <w:rPr>
          <w:rFonts w:ascii="Verdana" w:eastAsia="Calibri" w:hAnsi="Verdana" w:cs="Arial"/>
          <w:i/>
          <w:sz w:val="20"/>
          <w:szCs w:val="20"/>
          <w:lang w:val="es-CO"/>
        </w:rPr>
        <w:t xml:space="preserve">corresponde al Estado </w:t>
      </w:r>
      <w:r w:rsidRPr="00D57F75">
        <w:rPr>
          <w:rFonts w:ascii="Verdana" w:eastAsia="Calibri" w:hAnsi="Verdana"/>
          <w:i/>
          <w:sz w:val="20"/>
          <w:szCs w:val="20"/>
          <w:lang w:val="es-CL"/>
        </w:rPr>
        <w:t>especificar los recursos internos que aún no se han agotado, y demostrar que estos recursos se encontraban disponibles y eran adecuados, idóneos y efectivos</w:t>
      </w:r>
      <w:r w:rsidRPr="00D57F75">
        <w:rPr>
          <w:rFonts w:ascii="Verdana" w:eastAsia="Calibri" w:hAnsi="Verdana" w:cs="Calibri"/>
          <w:i/>
          <w:sz w:val="20"/>
          <w:szCs w:val="20"/>
          <w:lang w:val="es-CL"/>
        </w:rPr>
        <w:t>”</w:t>
      </w:r>
      <w:r w:rsidRPr="00D57F75">
        <w:rPr>
          <w:rFonts w:ascii="Verdana" w:eastAsia="Calibri" w:hAnsi="Verdana" w:cs="Calibri"/>
          <w:i/>
          <w:sz w:val="20"/>
          <w:szCs w:val="20"/>
          <w:vertAlign w:val="superscript"/>
          <w:lang w:val="es-CO"/>
        </w:rPr>
        <w:footnoteReference w:id="442"/>
      </w:r>
      <w:r w:rsidRPr="00D57F75">
        <w:rPr>
          <w:rFonts w:ascii="Verdana" w:eastAsia="Calibri" w:hAnsi="Verdana" w:cs="Calibri"/>
          <w:i/>
          <w:sz w:val="20"/>
          <w:szCs w:val="20"/>
          <w:lang w:val="es-CL"/>
        </w:rPr>
        <w:t>.</w:t>
      </w:r>
      <w:r w:rsidRPr="00D57F75">
        <w:rPr>
          <w:rFonts w:ascii="Verdana" w:eastAsia="Calibri" w:hAnsi="Verdana" w:cs="Calibri"/>
          <w:sz w:val="20"/>
          <w:szCs w:val="20"/>
          <w:lang w:val="es-CL"/>
        </w:rPr>
        <w:t xml:space="preserve"> </w:t>
      </w:r>
    </w:p>
    <w:p w:rsidR="00D57F75" w:rsidRPr="00D57F75" w:rsidRDefault="00D57F75" w:rsidP="00D57F75">
      <w:pPr>
        <w:spacing w:after="240" w:line="240" w:lineRule="auto"/>
        <w:jc w:val="both"/>
        <w:rPr>
          <w:rFonts w:ascii="Verdana" w:eastAsia="Calibri" w:hAnsi="Verdana" w:cs="Calibri"/>
          <w:sz w:val="20"/>
          <w:szCs w:val="20"/>
          <w:lang w:val="es-CO"/>
        </w:rPr>
      </w:pPr>
      <w:r w:rsidRPr="00D57F75">
        <w:rPr>
          <w:rFonts w:ascii="Verdana" w:eastAsia="Calibri" w:hAnsi="Verdana" w:cs="Calibri"/>
          <w:sz w:val="20"/>
          <w:szCs w:val="20"/>
          <w:lang w:val="es-CO"/>
        </w:rPr>
        <w:t>Pero, cabe hacer presente que lógicamente también en el evento, no expresamente considerado en el Reglamento de la Comisión, de que el peticionario indique, en su petición, que ha agotado previamente los recursos internos, es decir, que ha dado cumplimiento a lo ordenado en el artículo 46.1.a) de la Convención, el Estado puede interponer la excepción u objeción de que ello no ha acontecido.</w:t>
      </w:r>
    </w:p>
    <w:p w:rsidR="00D57F75" w:rsidRPr="00D57F75" w:rsidRDefault="00D57F75" w:rsidP="00D57F75">
      <w:pPr>
        <w:spacing w:after="240" w:line="240" w:lineRule="auto"/>
        <w:jc w:val="both"/>
        <w:rPr>
          <w:rFonts w:ascii="Verdana" w:eastAsia="Calibri" w:hAnsi="Verdana" w:cs="Calibri"/>
          <w:sz w:val="20"/>
          <w:szCs w:val="20"/>
          <w:lang w:val="es-CO"/>
        </w:rPr>
      </w:pPr>
      <w:r w:rsidRPr="00D57F75">
        <w:rPr>
          <w:rFonts w:ascii="Verdana" w:eastAsia="Calibri" w:hAnsi="Verdana" w:cs="Calibri"/>
          <w:sz w:val="20"/>
          <w:szCs w:val="20"/>
          <w:lang w:val="es-CO"/>
        </w:rPr>
        <w:t xml:space="preserve">Así, entonces, resulta evidente que el cumplimiento de la regla del previo agotamiento de los recursos internos o la imposibilidad de cumplirlo, debe señalarse en la petición, puesto que de otra manera, el Estado no podría dar respuesta sobre el particular. Dicho de otra manera, únicamente si en la petición se indica que se ha dado cumplimiento a la regla en comento o que es imposible hacerlo, el Estado puede </w:t>
      </w:r>
      <w:r w:rsidRPr="00D57F75">
        <w:rPr>
          <w:rFonts w:ascii="Verdana" w:eastAsia="Calibri" w:hAnsi="Verdana"/>
          <w:sz w:val="20"/>
          <w:szCs w:val="20"/>
          <w:lang w:val="es-CO"/>
        </w:rPr>
        <w:t xml:space="preserve">alegar su incumplimiento y en tal eventualidad debe demostrar la disponibilidad, adecuación, idoneidad y efectividad de los recursos internos no agotados, todo lo cual </w:t>
      </w:r>
      <w:r w:rsidRPr="00D57F75">
        <w:rPr>
          <w:rFonts w:ascii="Verdana" w:eastAsia="Calibri" w:hAnsi="Verdana" w:cs="Calibri"/>
          <w:sz w:val="20"/>
          <w:szCs w:val="20"/>
          <w:lang w:val="es-CO"/>
        </w:rPr>
        <w:t>demuestra, una vez más, que tal requisito debe haberse cumplido previamente, es decir, antes de formular la petición de cuyas partes pertinentes se da traslado al Estado precisamente para que les dé respuesta.</w:t>
      </w:r>
    </w:p>
    <w:p w:rsidR="00D57F75" w:rsidRPr="00D57F75" w:rsidRDefault="00D57F75" w:rsidP="00D57F75">
      <w:pPr>
        <w:spacing w:after="240" w:line="240" w:lineRule="auto"/>
        <w:jc w:val="both"/>
        <w:rPr>
          <w:rFonts w:ascii="Verdana" w:eastAsia="Calibri" w:hAnsi="Verdana" w:cs="Calibri"/>
          <w:i/>
          <w:sz w:val="20"/>
          <w:szCs w:val="20"/>
          <w:lang w:val="es-CL"/>
        </w:rPr>
      </w:pPr>
      <w:r w:rsidRPr="00D57F75">
        <w:rPr>
          <w:rFonts w:ascii="Verdana" w:eastAsia="Calibri" w:hAnsi="Verdana" w:cs="Calibri"/>
          <w:sz w:val="20"/>
          <w:szCs w:val="20"/>
          <w:lang w:val="es-ES_tradnl"/>
        </w:rPr>
        <w:t xml:space="preserve">A su vez, lo prescrito en el </w:t>
      </w:r>
      <w:r w:rsidRPr="00D57F75">
        <w:rPr>
          <w:rFonts w:ascii="Verdana" w:eastAsia="Calibri" w:hAnsi="Verdana" w:cs="Calibri"/>
          <w:sz w:val="20"/>
          <w:szCs w:val="20"/>
          <w:lang w:val="es-CL"/>
        </w:rPr>
        <w:t xml:space="preserve">artículo 31.7 y 31.8 del Reglamento de la Comisión apunta en la misma dirección. Efectivamente, dichas disposiciones respectivamente establecen que </w:t>
      </w:r>
      <w:r w:rsidRPr="00D57F75">
        <w:rPr>
          <w:rFonts w:ascii="Verdana" w:eastAsia="Calibri" w:hAnsi="Verdana" w:cs="Calibri"/>
          <w:i/>
          <w:sz w:val="20"/>
          <w:szCs w:val="20"/>
          <w:lang w:val="es-CL"/>
        </w:rPr>
        <w:t xml:space="preserve">“(l)as partes pertinentes de la respuesta y los documentos suministrados por el Gobierno serán comunicadas al peticionario o a su representante, invitándole a presentar sus observaciones y las pruebas en contrario de que disponga, en el plazo de 30 días” </w:t>
      </w:r>
      <w:r w:rsidRPr="00D57F75">
        <w:rPr>
          <w:rFonts w:ascii="Verdana" w:eastAsia="Calibri" w:hAnsi="Verdana" w:cs="Calibri"/>
          <w:sz w:val="20"/>
          <w:szCs w:val="20"/>
          <w:lang w:val="es-CL"/>
        </w:rPr>
        <w:t>y que “</w:t>
      </w:r>
      <w:r w:rsidRPr="00D57F75">
        <w:rPr>
          <w:rFonts w:ascii="Verdana" w:eastAsia="Calibri" w:hAnsi="Verdana" w:cs="Calibri"/>
          <w:i/>
          <w:sz w:val="20"/>
          <w:szCs w:val="20"/>
          <w:lang w:val="es-CL"/>
        </w:rPr>
        <w:t>(d)e recibirse la información o los documentos solicitados se transmitirán las partes pertinentes al Gobierno, facultándosele a presentar sus observaciones finales en el plazo de 30 días</w:t>
      </w:r>
      <w:r w:rsidRPr="00D57F75">
        <w:rPr>
          <w:rFonts w:ascii="Verdana" w:eastAsia="Calibri" w:hAnsi="Verdana" w:cs="Calibri"/>
          <w:sz w:val="20"/>
          <w:szCs w:val="20"/>
          <w:lang w:val="es-CL"/>
        </w:rPr>
        <w:t>”.</w:t>
      </w:r>
    </w:p>
    <w:p w:rsidR="00D57F75" w:rsidRPr="00D57F75" w:rsidRDefault="00D57F75" w:rsidP="00D57F75">
      <w:pPr>
        <w:spacing w:after="240" w:line="240" w:lineRule="auto"/>
        <w:jc w:val="both"/>
        <w:rPr>
          <w:rFonts w:ascii="Verdana" w:eastAsia="Calibri" w:hAnsi="Verdana" w:cs="Calibri"/>
          <w:i/>
          <w:sz w:val="20"/>
          <w:szCs w:val="20"/>
          <w:lang w:val="es-CL"/>
        </w:rPr>
      </w:pPr>
      <w:r w:rsidRPr="00D57F75">
        <w:rPr>
          <w:rFonts w:ascii="Verdana" w:eastAsia="Calibri" w:hAnsi="Verdana" w:cs="Calibri"/>
          <w:sz w:val="20"/>
          <w:szCs w:val="20"/>
          <w:lang w:val="es-CL"/>
        </w:rPr>
        <w:t>Es indiscutible, en consecuencia, que la citada respuesta estatal lógica y necesariamente lo debe ser respecto de la petición “</w:t>
      </w:r>
      <w:r w:rsidRPr="00D57F75">
        <w:rPr>
          <w:rFonts w:ascii="Verdana" w:eastAsia="Calibri" w:hAnsi="Verdana" w:cs="Calibri"/>
          <w:i/>
          <w:sz w:val="20"/>
          <w:szCs w:val="20"/>
          <w:lang w:val="es-CL"/>
        </w:rPr>
        <w:t>presentada”</w:t>
      </w:r>
      <w:r w:rsidRPr="00D57F75">
        <w:rPr>
          <w:rFonts w:ascii="Verdana" w:eastAsia="Calibri" w:hAnsi="Verdana" w:cs="Calibri"/>
          <w:sz w:val="20"/>
          <w:szCs w:val="20"/>
          <w:lang w:val="es-CL"/>
        </w:rPr>
        <w:t xml:space="preserve"> ante la Comisión y que es en ese instante y no después, cuando se traba la </w:t>
      </w:r>
      <w:proofErr w:type="spellStart"/>
      <w:r w:rsidRPr="00D57F75">
        <w:rPr>
          <w:rFonts w:ascii="Verdana" w:eastAsia="Calibri" w:hAnsi="Verdana" w:cs="Calibri"/>
          <w:i/>
          <w:sz w:val="20"/>
          <w:szCs w:val="20"/>
          <w:lang w:val="es-CL"/>
        </w:rPr>
        <w:t>litis</w:t>
      </w:r>
      <w:proofErr w:type="spellEnd"/>
      <w:r w:rsidRPr="00D57F75">
        <w:rPr>
          <w:rFonts w:ascii="Verdana" w:eastAsia="Calibri" w:hAnsi="Verdana" w:cs="Calibri"/>
          <w:sz w:val="20"/>
          <w:szCs w:val="20"/>
          <w:lang w:val="es-CL"/>
        </w:rPr>
        <w:t xml:space="preserve"> o el contradictorio en lo atingente al agotamiento de los recursos internos. </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 xml:space="preserve">Y, por lo mismo, es a ese momento en que los recursos internos deben haberse agotados o bien haberse indicado la imposibilidad de que lo sean. </w:t>
      </w:r>
      <w:r w:rsidRPr="00D57F75">
        <w:rPr>
          <w:rFonts w:ascii="Verdana" w:eastAsia="Calibri" w:hAnsi="Verdana" w:cs="Calibri"/>
          <w:sz w:val="20"/>
          <w:szCs w:val="20"/>
          <w:lang w:val="es-ES"/>
        </w:rPr>
        <w:t>Sostener que esos recursos podrían agotarse después de “</w:t>
      </w:r>
      <w:r w:rsidRPr="00D57F75">
        <w:rPr>
          <w:rFonts w:ascii="Verdana" w:eastAsia="Calibri" w:hAnsi="Verdana" w:cs="Calibri"/>
          <w:i/>
          <w:sz w:val="20"/>
          <w:szCs w:val="20"/>
          <w:lang w:val="es-ES"/>
        </w:rPr>
        <w:t>presentada</w:t>
      </w:r>
      <w:r w:rsidRPr="00D57F75">
        <w:rPr>
          <w:rFonts w:ascii="Verdana" w:eastAsia="Calibri" w:hAnsi="Verdana" w:cs="Calibri"/>
          <w:sz w:val="20"/>
          <w:szCs w:val="20"/>
          <w:lang w:val="es-ES"/>
        </w:rPr>
        <w:t>” la petición y, consecuentemente, de su notificación al Estado, afectaría el indispensable equilibrio procesal y dejaría a aquél en la indefensión, ya que no podría interponer en tiempo y forma la pertinente excepción preliminar.</w:t>
      </w:r>
    </w:p>
    <w:p w:rsidR="00D57F75" w:rsidRPr="00D57F75" w:rsidRDefault="00D57F75" w:rsidP="00D57F75">
      <w:pPr>
        <w:spacing w:after="240" w:line="240" w:lineRule="auto"/>
        <w:jc w:val="both"/>
        <w:rPr>
          <w:rFonts w:ascii="Verdana" w:hAnsi="Verdana" w:cs="Calibri"/>
          <w:sz w:val="20"/>
          <w:szCs w:val="20"/>
          <w:lang w:val="es-CL"/>
        </w:rPr>
      </w:pPr>
      <w:r w:rsidRPr="00D57F75">
        <w:rPr>
          <w:rFonts w:ascii="Verdana" w:hAnsi="Verdana" w:cs="Calibri"/>
          <w:sz w:val="20"/>
          <w:szCs w:val="20"/>
          <w:lang w:val="es-CL"/>
        </w:rPr>
        <w:lastRenderedPageBreak/>
        <w:t xml:space="preserve">Es en ese marco que debe entenderse lo </w:t>
      </w:r>
      <w:r w:rsidRPr="00D57F75">
        <w:rPr>
          <w:rFonts w:ascii="Verdana" w:hAnsi="Verdana" w:cs="Calibri"/>
          <w:i/>
          <w:sz w:val="20"/>
          <w:szCs w:val="20"/>
          <w:lang w:val="es-CL"/>
        </w:rPr>
        <w:t xml:space="preserve">“sostenido de manera consistente </w:t>
      </w:r>
      <w:r w:rsidRPr="00D57F75">
        <w:rPr>
          <w:rFonts w:ascii="Verdana" w:hAnsi="Verdana" w:cs="Calibri"/>
          <w:sz w:val="20"/>
          <w:szCs w:val="20"/>
          <w:lang w:val="es-CL"/>
        </w:rPr>
        <w:t>(por la Corte en orden a)</w:t>
      </w:r>
      <w:r w:rsidRPr="00D57F75">
        <w:rPr>
          <w:rFonts w:ascii="Verdana" w:hAnsi="Verdana" w:cs="Calibri"/>
          <w:i/>
          <w:sz w:val="20"/>
          <w:szCs w:val="20"/>
          <w:lang w:val="es-CL"/>
        </w:rPr>
        <w:t xml:space="preserve"> que una objeción al ejercicio de la jurisdicción de la Corte basada en la supuesta falta de agotamiento de los recursos internos debe ser presentada en el momento procesal oportuno</w:t>
      </w:r>
      <w:r w:rsidRPr="00D57F75">
        <w:rPr>
          <w:rFonts w:ascii="Verdana" w:hAnsi="Verdana" w:cs="Calibri"/>
          <w:sz w:val="20"/>
          <w:szCs w:val="20"/>
          <w:lang w:val="es-CL"/>
        </w:rPr>
        <w:t xml:space="preserve">, </w:t>
      </w:r>
      <w:r w:rsidRPr="00D57F75">
        <w:rPr>
          <w:rFonts w:ascii="Verdana" w:hAnsi="Verdana" w:cs="Calibri"/>
          <w:i/>
          <w:sz w:val="20"/>
          <w:szCs w:val="20"/>
          <w:lang w:val="es-CL"/>
        </w:rPr>
        <w:t>esto es, durante la admisibilidad del procedimiento ante la Comisión</w:t>
      </w:r>
      <w:r w:rsidRPr="00D57F75">
        <w:rPr>
          <w:rFonts w:ascii="Verdana" w:hAnsi="Verdana" w:cs="Calibri"/>
          <w:sz w:val="20"/>
          <w:szCs w:val="20"/>
          <w:lang w:val="es-CL"/>
        </w:rPr>
        <w:t>”</w:t>
      </w:r>
      <w:r w:rsidRPr="00D57F75">
        <w:rPr>
          <w:rFonts w:ascii="Verdana" w:hAnsi="Verdana" w:cs="Calibri"/>
          <w:sz w:val="20"/>
          <w:szCs w:val="20"/>
          <w:vertAlign w:val="superscript"/>
          <w:lang w:val="es-CL"/>
        </w:rPr>
        <w:footnoteReference w:id="443"/>
      </w:r>
      <w:r w:rsidRPr="00D57F75">
        <w:rPr>
          <w:rFonts w:ascii="Verdana" w:hAnsi="Verdana" w:cs="Calibri"/>
          <w:sz w:val="20"/>
          <w:szCs w:val="20"/>
          <w:lang w:val="es-CL"/>
        </w:rPr>
        <w:t>.</w:t>
      </w:r>
    </w:p>
    <w:p w:rsidR="00D57F75" w:rsidRPr="00D57F75" w:rsidRDefault="00D57F75" w:rsidP="00D57F75">
      <w:pPr>
        <w:spacing w:after="240" w:line="240" w:lineRule="auto"/>
        <w:jc w:val="both"/>
        <w:rPr>
          <w:rFonts w:ascii="Verdana" w:eastAsia="Batang" w:hAnsi="Verdana"/>
          <w:i/>
          <w:iCs/>
          <w:spacing w:val="-4"/>
          <w:sz w:val="20"/>
          <w:szCs w:val="20"/>
          <w:lang w:val="es-CO" w:eastAsia="es-MX"/>
        </w:rPr>
      </w:pPr>
      <w:r w:rsidRPr="00D57F75">
        <w:rPr>
          <w:rFonts w:ascii="Verdana" w:eastAsia="Batang" w:hAnsi="Verdana"/>
          <w:spacing w:val="-4"/>
          <w:sz w:val="20"/>
          <w:szCs w:val="20"/>
          <w:lang w:val="es-CL" w:eastAsia="es-MX"/>
        </w:rPr>
        <w:t xml:space="preserve">Es, pues, en dicho contexto que se inserta lo expresado </w:t>
      </w:r>
      <w:r w:rsidRPr="00D57F75">
        <w:rPr>
          <w:rFonts w:ascii="Verdana" w:eastAsia="Batang" w:hAnsi="Verdana"/>
          <w:spacing w:val="-4"/>
          <w:sz w:val="20"/>
          <w:szCs w:val="20"/>
          <w:lang w:val="es-MX" w:eastAsia="es-MX"/>
        </w:rPr>
        <w:t xml:space="preserve">en la Sentencia en cuanto a que </w:t>
      </w:r>
      <w:r w:rsidRPr="00D57F75">
        <w:rPr>
          <w:rFonts w:ascii="Verdana" w:eastAsia="Batang" w:hAnsi="Verdana"/>
          <w:i/>
          <w:spacing w:val="-4"/>
          <w:sz w:val="20"/>
          <w:szCs w:val="20"/>
          <w:lang w:val="es-MX" w:eastAsia="es-MX"/>
        </w:rPr>
        <w:t>“(l</w:t>
      </w:r>
      <w:proofErr w:type="gramStart"/>
      <w:r w:rsidRPr="00D57F75">
        <w:rPr>
          <w:rFonts w:ascii="Verdana" w:eastAsia="Batang" w:hAnsi="Verdana"/>
          <w:i/>
          <w:spacing w:val="-4"/>
          <w:sz w:val="20"/>
          <w:szCs w:val="20"/>
          <w:lang w:val="es-MX" w:eastAsia="es-MX"/>
        </w:rPr>
        <w:t>)a</w:t>
      </w:r>
      <w:proofErr w:type="gramEnd"/>
      <w:r w:rsidRPr="00D57F75">
        <w:rPr>
          <w:rFonts w:ascii="Verdana" w:eastAsia="Batang" w:hAnsi="Verdana"/>
          <w:i/>
          <w:spacing w:val="-4"/>
          <w:sz w:val="20"/>
          <w:szCs w:val="20"/>
          <w:lang w:val="es-MX" w:eastAsia="es-MX"/>
        </w:rPr>
        <w:t xml:space="preserve"> Corte recuerda que la regla del previo agotamiento de los recursos internos está concebida en interés del Estado, pues busca dispensarlo de responder ante un órgano internacional por actos que se le imputen, antes de haber tenido la ocasión de remediarlos con sus propios medios</w:t>
      </w:r>
      <w:r w:rsidRPr="00D57F75">
        <w:rPr>
          <w:rFonts w:ascii="Verdana" w:eastAsia="Batang" w:hAnsi="Verdana"/>
          <w:i/>
          <w:iCs/>
          <w:spacing w:val="-4"/>
          <w:sz w:val="20"/>
          <w:szCs w:val="20"/>
          <w:lang w:val="es-CO" w:eastAsia="es-MX"/>
        </w:rPr>
        <w:t>”</w:t>
      </w:r>
      <w:r w:rsidRPr="00D57F75">
        <w:rPr>
          <w:rFonts w:ascii="Verdana" w:eastAsia="Batang" w:hAnsi="Verdana"/>
          <w:i/>
          <w:iCs/>
          <w:spacing w:val="-4"/>
          <w:sz w:val="20"/>
          <w:szCs w:val="20"/>
          <w:vertAlign w:val="superscript"/>
          <w:lang w:val="es-CO" w:eastAsia="es-MX"/>
        </w:rPr>
        <w:footnoteReference w:id="444"/>
      </w:r>
      <w:r w:rsidRPr="00D57F75">
        <w:rPr>
          <w:rFonts w:ascii="Verdana" w:eastAsia="Batang" w:hAnsi="Verdana"/>
          <w:i/>
          <w:iCs/>
          <w:spacing w:val="-4"/>
          <w:sz w:val="20"/>
          <w:szCs w:val="20"/>
          <w:lang w:val="es-CO" w:eastAsia="es-MX"/>
        </w:rPr>
        <w:t>.</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La señalada regla sería, asimismo, por lo tanto, un mecanismo para incentivar al Estado para que cumpla sus obligaciones en materia de derechos humanos sin esperar que el sistema interamericano eventualmente le ordene, luego de un proceso, lo mismo. La aludida regla pretende, en definitiva, que se le proporcione al Estado la posibilidad de disponer cuanto antes la efectiva vigencia y respeto de los derechos humanos violados, que es el objeto y fin de la Convención</w:t>
      </w:r>
      <w:r w:rsidRPr="00D57F75">
        <w:rPr>
          <w:rFonts w:ascii="Verdana" w:eastAsia="Calibri" w:hAnsi="Verdana" w:cs="Calibri"/>
          <w:sz w:val="20"/>
          <w:szCs w:val="20"/>
          <w:vertAlign w:val="superscript"/>
          <w:lang w:val="es-CL"/>
        </w:rPr>
        <w:footnoteReference w:id="445"/>
      </w:r>
      <w:r w:rsidRPr="00D57F75">
        <w:rPr>
          <w:rFonts w:ascii="Verdana" w:eastAsia="Calibri" w:hAnsi="Verdana" w:cs="Calibri"/>
          <w:sz w:val="20"/>
          <w:szCs w:val="20"/>
          <w:lang w:val="es-CL"/>
        </w:rPr>
        <w:t xml:space="preserve"> y, por ende, lo que en definitiva interesa que ocurra lo más pronto posible, haciendo innecesaria la intervención de la jurisdicción interamericana.  </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 xml:space="preserve">El </w:t>
      </w:r>
      <w:r w:rsidRPr="00D57F75">
        <w:rPr>
          <w:rFonts w:ascii="Verdana" w:eastAsia="Calibri" w:hAnsi="Verdana" w:cs="Calibri"/>
          <w:i/>
          <w:sz w:val="20"/>
          <w:szCs w:val="20"/>
          <w:lang w:val="es-CL"/>
        </w:rPr>
        <w:t>efecto útil</w:t>
      </w:r>
      <w:r w:rsidRPr="00D57F75">
        <w:rPr>
          <w:rFonts w:ascii="Verdana" w:eastAsia="Calibri" w:hAnsi="Verdana" w:cs="Calibri"/>
          <w:sz w:val="20"/>
          <w:szCs w:val="20"/>
          <w:lang w:val="es-CL"/>
        </w:rPr>
        <w:t xml:space="preserve"> es, entonces, que el Estado restablezca lo antes posible el respeto de los derechos humanos y, por tal motivo, se podría sostener que dicha regla está establecida también y principalmente en beneficio de la víctima de la violación de derechos humanos</w:t>
      </w:r>
      <w:r w:rsidRPr="00D57F75">
        <w:rPr>
          <w:rFonts w:ascii="Verdana" w:eastAsia="Calibri" w:hAnsi="Verdana" w:cs="Calibri"/>
          <w:sz w:val="20"/>
          <w:szCs w:val="20"/>
          <w:vertAlign w:val="superscript"/>
          <w:lang w:val="es-CL"/>
        </w:rPr>
        <w:footnoteReference w:id="446"/>
      </w:r>
      <w:r w:rsidRPr="00D57F75">
        <w:rPr>
          <w:rFonts w:ascii="Verdana" w:eastAsia="Calibri" w:hAnsi="Verdana" w:cs="Calibri"/>
          <w:sz w:val="20"/>
          <w:szCs w:val="20"/>
          <w:lang w:val="es-CL"/>
        </w:rPr>
        <w:t>.</w:t>
      </w:r>
    </w:p>
    <w:p w:rsidR="00D57F75" w:rsidRDefault="00D57F75" w:rsidP="00D57F75">
      <w:pPr>
        <w:spacing w:after="12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Esto es, en aquellas situaciones en que ya se ha alegado en el respectivo ámbito de la jurisdicción interna que el Estado no ha cumplido con los compromisos que contrajo en cuanto a respetar y garantizar el libre y pleno ejercicio de los derechos humanos, es posible reclamar la intervención de la instancia jurisdiccional internacional y no antes, para que, si procede, le ordene cumplir con las obligaciones internacionales que ha violado, dé garantía de que no volverá a violarlas y repare todas las consecuencias de tales violaciones</w:t>
      </w:r>
      <w:r w:rsidRPr="00D57F75">
        <w:rPr>
          <w:rFonts w:ascii="Verdana" w:eastAsia="Calibri" w:hAnsi="Verdana" w:cs="Calibri"/>
          <w:sz w:val="20"/>
          <w:szCs w:val="20"/>
          <w:vertAlign w:val="superscript"/>
          <w:lang w:val="es-CL"/>
        </w:rPr>
        <w:footnoteReference w:id="447"/>
      </w:r>
      <w:r w:rsidRPr="00D57F75">
        <w:rPr>
          <w:rFonts w:ascii="Verdana" w:eastAsia="Calibri" w:hAnsi="Verdana" w:cs="Calibri"/>
          <w:sz w:val="20"/>
          <w:szCs w:val="20"/>
          <w:lang w:val="es-CL"/>
        </w:rPr>
        <w:t xml:space="preserve">. </w:t>
      </w:r>
    </w:p>
    <w:p w:rsidR="00582586" w:rsidRPr="00D57F75" w:rsidRDefault="00582586" w:rsidP="00D57F75">
      <w:pPr>
        <w:spacing w:after="120" w:line="240" w:lineRule="auto"/>
        <w:jc w:val="both"/>
        <w:rPr>
          <w:rFonts w:ascii="Verdana" w:eastAsia="Calibri" w:hAnsi="Verdana" w:cs="Calibri"/>
          <w:sz w:val="20"/>
          <w:szCs w:val="20"/>
          <w:lang w:val="es-CL"/>
        </w:rPr>
      </w:pPr>
    </w:p>
    <w:p w:rsidR="00D57F75" w:rsidRPr="00D57F75" w:rsidRDefault="00D57F75" w:rsidP="00D57F75">
      <w:pPr>
        <w:numPr>
          <w:ilvl w:val="0"/>
          <w:numId w:val="28"/>
        </w:numPr>
        <w:spacing w:after="240" w:line="240" w:lineRule="auto"/>
        <w:jc w:val="both"/>
        <w:rPr>
          <w:rFonts w:ascii="Verdana" w:hAnsi="Verdana" w:cs="Calibri"/>
          <w:b/>
          <w:sz w:val="20"/>
          <w:szCs w:val="20"/>
        </w:rPr>
      </w:pPr>
      <w:r w:rsidRPr="00D57F75">
        <w:rPr>
          <w:rFonts w:ascii="Verdana" w:hAnsi="Verdana" w:cs="Calibri"/>
          <w:b/>
          <w:sz w:val="20"/>
          <w:szCs w:val="20"/>
        </w:rPr>
        <w:t>Admisibilidad de la petición.</w:t>
      </w:r>
    </w:p>
    <w:p w:rsidR="00D57F75" w:rsidRPr="00D57F75" w:rsidRDefault="00D57F75" w:rsidP="00D57F75">
      <w:pPr>
        <w:spacing w:after="240" w:line="240" w:lineRule="auto"/>
        <w:jc w:val="both"/>
        <w:rPr>
          <w:rFonts w:ascii="Verdana" w:eastAsia="Calibri" w:hAnsi="Verdana"/>
          <w:i/>
          <w:sz w:val="20"/>
          <w:szCs w:val="20"/>
          <w:lang w:val="es-CL"/>
        </w:rPr>
      </w:pPr>
      <w:r w:rsidRPr="00D57F75">
        <w:rPr>
          <w:rFonts w:ascii="Verdana" w:eastAsia="Calibri" w:hAnsi="Verdana" w:cs="Calibri"/>
          <w:sz w:val="20"/>
          <w:szCs w:val="20"/>
        </w:rPr>
        <w:t xml:space="preserve">En lo que atañe a la admisibilidad, el artículo 28 del Reglamento de la Comisión dispone que </w:t>
      </w:r>
      <w:r w:rsidRPr="00D57F75">
        <w:rPr>
          <w:rFonts w:ascii="Verdana" w:eastAsia="Calibri" w:hAnsi="Verdana"/>
          <w:i/>
          <w:sz w:val="20"/>
          <w:szCs w:val="20"/>
          <w:lang w:val="es-CL"/>
        </w:rPr>
        <w:t>“(l</w:t>
      </w:r>
      <w:proofErr w:type="gramStart"/>
      <w:r w:rsidRPr="00D57F75">
        <w:rPr>
          <w:rFonts w:ascii="Verdana" w:eastAsia="Calibri" w:hAnsi="Verdana"/>
          <w:i/>
          <w:sz w:val="20"/>
          <w:szCs w:val="20"/>
          <w:lang w:val="es-CL"/>
        </w:rPr>
        <w:t>)a</w:t>
      </w:r>
      <w:proofErr w:type="gramEnd"/>
      <w:r w:rsidRPr="00D57F75">
        <w:rPr>
          <w:rFonts w:ascii="Verdana" w:eastAsia="Calibri" w:hAnsi="Verdana"/>
          <w:i/>
          <w:sz w:val="20"/>
          <w:szCs w:val="20"/>
          <w:lang w:val="es-CL"/>
        </w:rPr>
        <w:t xml:space="preserve"> Comisión solamente tomará en consideración las peticiones sobre presuntas violaciones de derechos humanos definidas en la Convención Americana sobre Derechos Humanos, en relación con un Estado Parte, cuando llenen los requisitos establecidos en la misma, en el Estatuto y en este Reglamento</w:t>
      </w:r>
      <w:r w:rsidRPr="00D57F75">
        <w:rPr>
          <w:rFonts w:ascii="Verdana" w:eastAsia="Calibri" w:hAnsi="Verdana"/>
          <w:sz w:val="20"/>
          <w:szCs w:val="20"/>
          <w:lang w:val="es-CL"/>
        </w:rPr>
        <w:t xml:space="preserve">.” A su turno, el artículo 30 del mismo cuerpo normativo indica que </w:t>
      </w:r>
      <w:r w:rsidRPr="00D57F75">
        <w:rPr>
          <w:rFonts w:ascii="Verdana" w:eastAsia="Calibri" w:hAnsi="Verdana"/>
          <w:i/>
          <w:sz w:val="20"/>
          <w:szCs w:val="20"/>
          <w:lang w:val="es-CL"/>
        </w:rPr>
        <w:t>“(s</w:t>
      </w:r>
      <w:proofErr w:type="gramStart"/>
      <w:r w:rsidRPr="00D57F75">
        <w:rPr>
          <w:rFonts w:ascii="Verdana" w:eastAsia="Calibri" w:hAnsi="Verdana"/>
          <w:i/>
          <w:sz w:val="20"/>
          <w:szCs w:val="20"/>
          <w:lang w:val="es-CL"/>
        </w:rPr>
        <w:t>)in</w:t>
      </w:r>
      <w:proofErr w:type="gramEnd"/>
      <w:r w:rsidRPr="00D57F75">
        <w:rPr>
          <w:rFonts w:ascii="Verdana" w:eastAsia="Calibri" w:hAnsi="Verdana"/>
          <w:i/>
          <w:sz w:val="20"/>
          <w:szCs w:val="20"/>
          <w:lang w:val="es-CL"/>
        </w:rPr>
        <w:t xml:space="preserve"> perjuicio de lo dispuesto en el Articulo 26 si la Comisión estima que la petición es inadmisible o está incompleta se le notificará al peticionario solicitándole que complete los requisitos omitidos en la petición</w:t>
      </w:r>
      <w:r w:rsidRPr="00D57F75">
        <w:rPr>
          <w:rFonts w:ascii="Verdana" w:eastAsia="Calibri" w:hAnsi="Verdana"/>
          <w:sz w:val="20"/>
          <w:szCs w:val="20"/>
          <w:lang w:val="es-CL"/>
        </w:rPr>
        <w:t xml:space="preserve">.” Finalmente, el artículo 32.a de dicho texto reglamentario señala que </w:t>
      </w:r>
      <w:r w:rsidRPr="00D57F75">
        <w:rPr>
          <w:rFonts w:ascii="Verdana" w:eastAsia="Calibri" w:hAnsi="Verdana" w:cs="Calibri"/>
          <w:i/>
          <w:sz w:val="20"/>
          <w:szCs w:val="20"/>
          <w:lang w:val="es-CL"/>
        </w:rPr>
        <w:t>“(l</w:t>
      </w:r>
      <w:proofErr w:type="gramStart"/>
      <w:r w:rsidRPr="00D57F75">
        <w:rPr>
          <w:rFonts w:ascii="Verdana" w:eastAsia="Calibri" w:hAnsi="Verdana" w:cs="Calibri"/>
          <w:i/>
          <w:sz w:val="20"/>
          <w:szCs w:val="20"/>
          <w:lang w:val="es-CL"/>
        </w:rPr>
        <w:t>)a</w:t>
      </w:r>
      <w:proofErr w:type="gramEnd"/>
      <w:r w:rsidRPr="00D57F75">
        <w:rPr>
          <w:rFonts w:ascii="Verdana" w:eastAsia="Calibri" w:hAnsi="Verdana" w:cs="Calibri"/>
          <w:i/>
          <w:sz w:val="20"/>
          <w:szCs w:val="20"/>
          <w:lang w:val="es-CL"/>
        </w:rPr>
        <w:t xml:space="preserve"> Comisión seguirá con el examen del caso decidiendo las siguientes cuestiones:</w:t>
      </w:r>
      <w:r w:rsidRPr="00D57F75">
        <w:rPr>
          <w:rFonts w:ascii="Verdana" w:eastAsia="Calibri" w:hAnsi="Verdana"/>
          <w:sz w:val="20"/>
          <w:szCs w:val="20"/>
          <w:lang w:val="es-CL"/>
        </w:rPr>
        <w:t xml:space="preserve"> </w:t>
      </w:r>
      <w:r w:rsidRPr="00D57F75">
        <w:rPr>
          <w:rFonts w:ascii="Verdana" w:eastAsia="Calibri" w:hAnsi="Verdana"/>
          <w:i/>
          <w:sz w:val="20"/>
          <w:szCs w:val="20"/>
          <w:lang w:val="es-CL"/>
        </w:rPr>
        <w:t xml:space="preserve">a. El agotamiento de los recursos de la jurisdicción interna, pudiendo determinar las providencias que considere necesarias para aclarar las dudas que subsistan.” </w:t>
      </w:r>
    </w:p>
    <w:p w:rsidR="00D57F75" w:rsidRPr="00D57F75" w:rsidRDefault="00D57F75" w:rsidP="00D57F75">
      <w:pPr>
        <w:spacing w:after="240" w:line="240" w:lineRule="auto"/>
        <w:jc w:val="both"/>
        <w:rPr>
          <w:rFonts w:ascii="Verdana" w:hAnsi="Verdana" w:cs="Calibri"/>
          <w:i/>
          <w:sz w:val="20"/>
          <w:szCs w:val="20"/>
          <w:lang w:val="es-CL" w:eastAsia="es-CL"/>
        </w:rPr>
      </w:pPr>
      <w:r w:rsidRPr="00D57F75">
        <w:rPr>
          <w:rFonts w:ascii="Verdana" w:hAnsi="Verdana" w:cs="Calibri"/>
          <w:sz w:val="20"/>
          <w:szCs w:val="20"/>
          <w:lang w:val="es-CL" w:eastAsia="es-CL"/>
        </w:rPr>
        <w:lastRenderedPageBreak/>
        <w:t>De las transcritas normas se concluye en forma inequívoca que el previo agotamiento de los recursos internos es un requisito indispensable para que la Comisión pueda considerar la petición correspondiente. Y si tal requisito no ha sido cumplido o si no está incluido en forma completa en la petición correspondiente, la Comisión, en el marco de esa consideración, le solicitará al peticionario que complete esta última. Finalmente, luego de ello, decide sobre el cumplimiento de la referida regla del previo agotamiento de los recursos internos, pudiendo dictar providencias para aclarar las dudas que aún subsistan al respecto. Obviamente, esas dudas no pueden tener relación más que con la circunstancia de que si la pertinente petición cumplió o no, al momento en que se eleva, con el requisito en cuestión, vale decir, aquellas se deben referir a la petición “</w:t>
      </w:r>
      <w:r w:rsidRPr="00D57F75">
        <w:rPr>
          <w:rFonts w:ascii="Verdana" w:hAnsi="Verdana" w:cs="Calibri"/>
          <w:i/>
          <w:sz w:val="20"/>
          <w:szCs w:val="20"/>
          <w:lang w:val="es-CL" w:eastAsia="es-CL"/>
        </w:rPr>
        <w:t>presentada</w:t>
      </w:r>
      <w:r w:rsidRPr="00D57F75">
        <w:rPr>
          <w:rFonts w:ascii="Verdana" w:hAnsi="Verdana" w:cs="Calibri"/>
          <w:sz w:val="20"/>
          <w:szCs w:val="20"/>
          <w:lang w:val="es-CL" w:eastAsia="es-CL"/>
        </w:rPr>
        <w:t>”. Tales dudas, por ende, no pueden significar que se cumpla con posterioridad a la petición, con el requisito del previo agotamiento de los recursos internos.</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 xml:space="preserve">Vinculado a lo expuesto, es procedente señalar que las </w:t>
      </w:r>
      <w:r w:rsidRPr="00D57F75">
        <w:rPr>
          <w:rFonts w:ascii="Verdana" w:hAnsi="Verdana" w:cs="Calibri"/>
          <w:color w:val="000000"/>
          <w:sz w:val="20"/>
          <w:szCs w:val="20"/>
          <w:lang w:val="es-CL" w:eastAsia="es-CL"/>
        </w:rPr>
        <w:t>normas</w:t>
      </w:r>
      <w:r w:rsidRPr="00D57F75">
        <w:rPr>
          <w:rFonts w:ascii="Verdana" w:hAnsi="Verdana" w:cs="Calibri"/>
          <w:sz w:val="20"/>
          <w:szCs w:val="20"/>
          <w:lang w:val="es-CL" w:eastAsia="es-CL"/>
        </w:rPr>
        <w:t xml:space="preserve"> recién aludidas no disponen que los recursos de la jurisdicción interna necesariamente se deban haber agotado para poder adoptar la decisión sobre la admisibilidad, puesto que tal decisión puede ser la de no admitir la petición en razón de no haberse agotado tales recursos. </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De ello se colige, entonces, que si bien resulta</w:t>
      </w:r>
      <w:r w:rsidRPr="00D57F75">
        <w:rPr>
          <w:rFonts w:ascii="Verdana" w:hAnsi="Verdana" w:cs="Calibri"/>
          <w:sz w:val="20"/>
          <w:szCs w:val="20"/>
          <w:lang w:val="es-ES" w:eastAsia="es-CL"/>
        </w:rPr>
        <w:t xml:space="preserve"> lógico que la excepción preliminar del no agotamiento previo de los recursos internos deba presentarse por parte del Estado durante el procedimiento de admisibilidad de la petición, que cubre desde el momento en que se recibe la petición y se le da trámite por parte de la Comisión, a través de su Secretaría Ejecutiva, hasta el momento en que aquella se pronuncia sobre su admisibilidad, ello no implica, empero, que deba ser en este último momento, es decir, al término del indicado procedimiento, en el que se deba haber cumplido dicho requisito. </w:t>
      </w:r>
    </w:p>
    <w:p w:rsidR="00D57F75" w:rsidRPr="00D57F75" w:rsidRDefault="00D57F75" w:rsidP="00D57F75">
      <w:pPr>
        <w:spacing w:after="240" w:line="240" w:lineRule="auto"/>
        <w:jc w:val="both"/>
        <w:rPr>
          <w:rFonts w:ascii="Verdana" w:hAnsi="Verdana"/>
          <w:sz w:val="20"/>
          <w:szCs w:val="20"/>
          <w:lang w:val="es-CL" w:eastAsia="es-CL"/>
        </w:rPr>
      </w:pPr>
      <w:r w:rsidRPr="00D57F75">
        <w:rPr>
          <w:rFonts w:ascii="Verdana" w:hAnsi="Verdana" w:cs="Calibri"/>
          <w:sz w:val="20"/>
          <w:szCs w:val="20"/>
          <w:lang w:val="es-ES" w:eastAsia="es-CL"/>
        </w:rPr>
        <w:t xml:space="preserve">Ello resulta evidente si se considera que </w:t>
      </w:r>
      <w:r w:rsidRPr="00D57F75">
        <w:rPr>
          <w:rFonts w:ascii="Verdana" w:hAnsi="Verdana" w:cs="Calibri"/>
          <w:sz w:val="20"/>
          <w:szCs w:val="20"/>
          <w:lang w:val="es-CL" w:eastAsia="es-CL"/>
        </w:rPr>
        <w:t>el artículo</w:t>
      </w:r>
      <w:r w:rsidRPr="00D57F75">
        <w:rPr>
          <w:rFonts w:ascii="Verdana" w:hAnsi="Verdana"/>
          <w:sz w:val="20"/>
          <w:szCs w:val="20"/>
          <w:lang w:val="es-CL" w:eastAsia="es-CL"/>
        </w:rPr>
        <w:t xml:space="preserve"> 38.a del Reglamento de la Comisión establece que  </w:t>
      </w:r>
      <w:r w:rsidRPr="00D57F75">
        <w:rPr>
          <w:rFonts w:ascii="Verdana" w:hAnsi="Verdana"/>
          <w:i/>
          <w:sz w:val="20"/>
          <w:szCs w:val="20"/>
          <w:lang w:val="es-CL" w:eastAsia="es-CL"/>
        </w:rPr>
        <w:t>“(l</w:t>
      </w:r>
      <w:proofErr w:type="gramStart"/>
      <w:r w:rsidRPr="00D57F75">
        <w:rPr>
          <w:rFonts w:ascii="Verdana" w:hAnsi="Verdana"/>
          <w:i/>
          <w:sz w:val="20"/>
          <w:szCs w:val="20"/>
          <w:lang w:val="es-CL" w:eastAsia="es-CL"/>
        </w:rPr>
        <w:t>)a</w:t>
      </w:r>
      <w:proofErr w:type="gramEnd"/>
      <w:r w:rsidRPr="00D57F75">
        <w:rPr>
          <w:rFonts w:ascii="Verdana" w:hAnsi="Verdana"/>
          <w:i/>
          <w:sz w:val="20"/>
          <w:szCs w:val="20"/>
          <w:lang w:val="es-CL" w:eastAsia="es-CL"/>
        </w:rPr>
        <w:t xml:space="preserve"> Comisión declarara inadmisible la petición cuando: Falte alguno de los requisitos establecidos en el artículo 29 de este Reglamento</w:t>
      </w:r>
      <w:r w:rsidRPr="00D57F75">
        <w:rPr>
          <w:rFonts w:ascii="Verdana" w:hAnsi="Verdana"/>
          <w:sz w:val="20"/>
          <w:szCs w:val="20"/>
          <w:lang w:val="es-CL" w:eastAsia="es-CL"/>
        </w:rPr>
        <w:t>” y en este último se incluye la “</w:t>
      </w:r>
      <w:r w:rsidRPr="00D57F75">
        <w:rPr>
          <w:rFonts w:ascii="Verdana" w:hAnsi="Verdana"/>
          <w:i/>
          <w:sz w:val="20"/>
          <w:szCs w:val="20"/>
          <w:lang w:val="es-CL" w:eastAsia="es-CL"/>
        </w:rPr>
        <w:t>información sobre la circunstancia de haber hecho uso o no de los recursos de jurisdicción interna o sobre la imposibilidad de hacerlo</w:t>
      </w:r>
      <w:r w:rsidRPr="00D57F75">
        <w:rPr>
          <w:rFonts w:ascii="Verdana" w:hAnsi="Verdana"/>
          <w:sz w:val="20"/>
          <w:szCs w:val="20"/>
          <w:lang w:val="es-CL" w:eastAsia="es-CL"/>
        </w:rPr>
        <w:t>”.</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Es</w:t>
      </w:r>
      <w:r w:rsidRPr="00D57F75">
        <w:rPr>
          <w:rFonts w:ascii="Verdana" w:hAnsi="Verdana" w:cs="Calibri"/>
          <w:sz w:val="20"/>
          <w:szCs w:val="20"/>
          <w:lang w:eastAsia="es-CL"/>
        </w:rPr>
        <w:t xml:space="preserve">, pues, </w:t>
      </w:r>
      <w:r w:rsidRPr="00D57F75">
        <w:rPr>
          <w:rFonts w:ascii="Verdana" w:hAnsi="Verdana" w:cs="Calibri"/>
          <w:sz w:val="20"/>
          <w:szCs w:val="20"/>
          <w:lang w:val="es-CL" w:eastAsia="es-CL"/>
        </w:rPr>
        <w:t xml:space="preserve">a todas luces indiscutible que el momento en que la Comisión se pronuncia sobre la admisibilidad de la petición es diferente al de la presentación o complementación de esta última. En síntesis, el Reglamento de la Comisión no dispone que es en el momento en que ésta se pronuncia sobre la admisibilidad de la petición en que deben haberse agotado los recursos internos, sino que, por el contrario, señala que es en ese instante que aquella, si comprueba que el requisito del previo agotamiento de los recursos internos no se ha cumplido o se ha omitido, puede solicitarle al peticionario que lo complete y aún adoptar providencias en vista de aclarar dudas que, al respecto, aún subsistan.  </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En suma, para poder decidir si admite o no la petición, la Comisión realiza un segundo control de convencionalidad de la misma, confrontándola con lo dispuesto en la Convención en lo atinente a los requisitos que lógicamente pudo y debe haber cumplido únicamente cuando ella tuvo lugar, vale decir, cuando fue “</w:t>
      </w:r>
      <w:r w:rsidRPr="00D57F75">
        <w:rPr>
          <w:rFonts w:ascii="Verdana" w:hAnsi="Verdana" w:cs="Calibri"/>
          <w:i/>
          <w:sz w:val="20"/>
          <w:szCs w:val="20"/>
          <w:lang w:val="es-CL" w:eastAsia="es-CL"/>
        </w:rPr>
        <w:t>presentada</w:t>
      </w:r>
      <w:r w:rsidRPr="00D57F75">
        <w:rPr>
          <w:rFonts w:ascii="Verdana" w:hAnsi="Verdana" w:cs="Calibri"/>
          <w:sz w:val="20"/>
          <w:szCs w:val="20"/>
          <w:lang w:val="es-CL" w:eastAsia="es-CL"/>
        </w:rPr>
        <w:t xml:space="preserve">”. </w:t>
      </w:r>
    </w:p>
    <w:p w:rsidR="00D57F75" w:rsidRPr="00D57F75" w:rsidRDefault="00D57F75" w:rsidP="00D57F75">
      <w:pPr>
        <w:numPr>
          <w:ilvl w:val="0"/>
          <w:numId w:val="28"/>
        </w:numPr>
        <w:spacing w:after="240" w:line="240" w:lineRule="auto"/>
        <w:jc w:val="both"/>
        <w:rPr>
          <w:rFonts w:ascii="Verdana" w:eastAsia="Calibri" w:hAnsi="Verdana" w:cs="Calibri"/>
          <w:b/>
          <w:sz w:val="20"/>
          <w:szCs w:val="20"/>
          <w:lang w:val="es-CL"/>
        </w:rPr>
      </w:pPr>
      <w:r w:rsidRPr="00D57F75">
        <w:rPr>
          <w:rFonts w:ascii="Verdana" w:eastAsia="Calibri" w:hAnsi="Verdana" w:cs="Calibri"/>
          <w:b/>
          <w:sz w:val="20"/>
          <w:szCs w:val="20"/>
          <w:lang w:val="es-CL"/>
        </w:rPr>
        <w:t>Pronunciamiento de la Corte.</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 xml:space="preserve">Finalmente, sobre la función de la Corte respecto del cumplimiento de los requisitos que debe cumplir la petición, es preciso recordar que, de acuerdo a lo ordenado en el artículo 61.2 de la Convención, </w:t>
      </w:r>
      <w:r w:rsidRPr="00D57F75">
        <w:rPr>
          <w:rFonts w:ascii="Verdana" w:eastAsia="Calibri" w:hAnsi="Verdana" w:cs="Calibri"/>
          <w:i/>
          <w:sz w:val="20"/>
          <w:szCs w:val="20"/>
          <w:lang w:val="es-CL"/>
        </w:rPr>
        <w:t>“(p</w:t>
      </w:r>
      <w:proofErr w:type="gramStart"/>
      <w:r w:rsidRPr="00D57F75">
        <w:rPr>
          <w:rFonts w:ascii="Verdana" w:eastAsia="Calibri" w:hAnsi="Verdana" w:cs="Calibri"/>
          <w:i/>
          <w:sz w:val="20"/>
          <w:szCs w:val="20"/>
          <w:lang w:val="es-CL"/>
        </w:rPr>
        <w:t>)ara</w:t>
      </w:r>
      <w:proofErr w:type="gramEnd"/>
      <w:r w:rsidRPr="00D57F75">
        <w:rPr>
          <w:rFonts w:ascii="Verdana" w:eastAsia="Calibri" w:hAnsi="Verdana" w:cs="Calibri"/>
          <w:i/>
          <w:sz w:val="20"/>
          <w:szCs w:val="20"/>
          <w:lang w:val="es-CL"/>
        </w:rPr>
        <w:t xml:space="preserve"> que la Corte pueda conocer de cualquier caso, es necesario que sean agotados los procedimientos previstos en los artículos 48 a 50</w:t>
      </w:r>
      <w:r w:rsidRPr="00D57F75">
        <w:rPr>
          <w:rFonts w:ascii="Verdana" w:eastAsia="Calibri" w:hAnsi="Verdana" w:cs="Calibri"/>
          <w:sz w:val="20"/>
          <w:szCs w:val="20"/>
          <w:lang w:val="es-CL"/>
        </w:rPr>
        <w:t>”</w:t>
      </w:r>
      <w:r w:rsidRPr="00D57F75">
        <w:rPr>
          <w:rFonts w:ascii="Verdana" w:eastAsia="Calibri" w:hAnsi="Verdana" w:cs="Calibri"/>
          <w:i/>
          <w:sz w:val="20"/>
          <w:szCs w:val="20"/>
          <w:lang w:val="es-CL"/>
        </w:rPr>
        <w:t>.</w:t>
      </w:r>
    </w:p>
    <w:p w:rsidR="00D57F75" w:rsidRPr="00D57F75" w:rsidRDefault="00D57F75" w:rsidP="00D57F75">
      <w:pPr>
        <w:spacing w:after="240" w:line="240" w:lineRule="auto"/>
        <w:jc w:val="both"/>
        <w:rPr>
          <w:rFonts w:ascii="Verdana" w:eastAsia="Calibri" w:hAnsi="Verdana" w:cs="Calibri"/>
          <w:i/>
          <w:sz w:val="20"/>
          <w:szCs w:val="20"/>
          <w:lang w:val="es-ES_tradnl"/>
        </w:rPr>
      </w:pPr>
      <w:r w:rsidRPr="00D57F75">
        <w:rPr>
          <w:rFonts w:ascii="Verdana" w:eastAsia="Calibri" w:hAnsi="Verdana" w:cs="Calibri"/>
          <w:sz w:val="20"/>
          <w:szCs w:val="20"/>
          <w:lang w:val="es-CL"/>
        </w:rPr>
        <w:lastRenderedPageBreak/>
        <w:t xml:space="preserve">De manera, entonces, que compete a la Corte verificar el debido cumplimiento ante la Comisión del requisito del previo agotamiento de los recursos internos. Como se afirma en la Sentencia </w:t>
      </w:r>
      <w:r w:rsidRPr="00D57F75">
        <w:rPr>
          <w:rFonts w:ascii="Verdana" w:eastAsia="Calibri" w:hAnsi="Verdana" w:cs="Calibri"/>
          <w:i/>
          <w:sz w:val="20"/>
          <w:szCs w:val="20"/>
          <w:lang w:val="es-CL"/>
        </w:rPr>
        <w:t>Cruz Sánchez y Otros</w:t>
      </w:r>
      <w:r w:rsidRPr="00D57F75">
        <w:rPr>
          <w:rFonts w:ascii="Verdana" w:eastAsia="Calibri" w:hAnsi="Verdana" w:cs="Calibri"/>
          <w:sz w:val="20"/>
          <w:szCs w:val="20"/>
          <w:lang w:val="es-CL"/>
        </w:rPr>
        <w:t>, “</w:t>
      </w:r>
      <w:r w:rsidRPr="00D57F75">
        <w:rPr>
          <w:rFonts w:ascii="Verdana" w:eastAsia="Calibri" w:hAnsi="Verdana" w:cs="Calibri"/>
          <w:i/>
          <w:sz w:val="20"/>
          <w:szCs w:val="20"/>
          <w:lang w:val="es-CL"/>
        </w:rPr>
        <w:t>en asuntos que estén bajo su conocimiento, la Corte tiene la atribución de efectuar un control de legalidad de las actuaciones de la Comisión”</w:t>
      </w:r>
      <w:r w:rsidRPr="00D57F75">
        <w:rPr>
          <w:rFonts w:ascii="Verdana" w:eastAsia="Calibri" w:hAnsi="Verdana" w:cs="Calibri"/>
          <w:i/>
          <w:sz w:val="20"/>
          <w:szCs w:val="20"/>
          <w:vertAlign w:val="superscript"/>
          <w:lang w:val="es-CL"/>
        </w:rPr>
        <w:footnoteReference w:id="448"/>
      </w:r>
      <w:r w:rsidRPr="00D57F75">
        <w:rPr>
          <w:rFonts w:ascii="Verdana" w:eastAsia="Calibri" w:hAnsi="Verdana" w:cs="Calibri"/>
          <w:sz w:val="20"/>
          <w:szCs w:val="20"/>
          <w:lang w:val="es-ES_tradnl"/>
        </w:rPr>
        <w:t xml:space="preserve"> o que “</w:t>
      </w:r>
      <w:r w:rsidRPr="00D57F75">
        <w:rPr>
          <w:rFonts w:ascii="Verdana" w:eastAsia="Calibri" w:hAnsi="Verdana" w:cs="Calibri"/>
          <w:i/>
          <w:sz w:val="20"/>
          <w:szCs w:val="20"/>
          <w:lang w:val="es-ES_tradnl"/>
        </w:rPr>
        <w:t>tiene la facultad de revisar si se han cumplido, por parte de la Comisión, las disposiciones convencionales, estatutarias y reglamentarias”</w:t>
      </w:r>
      <w:r w:rsidRPr="00D57F75">
        <w:rPr>
          <w:rFonts w:ascii="Verdana" w:eastAsia="Calibri" w:hAnsi="Verdana" w:cs="Calibri"/>
          <w:i/>
          <w:sz w:val="20"/>
          <w:szCs w:val="20"/>
          <w:vertAlign w:val="superscript"/>
          <w:lang w:val="es-CL"/>
        </w:rPr>
        <w:footnoteReference w:id="449"/>
      </w:r>
      <w:r w:rsidRPr="00D57F75">
        <w:rPr>
          <w:rFonts w:ascii="Verdana" w:eastAsia="Calibri" w:hAnsi="Verdana" w:cs="Calibri"/>
          <w:i/>
          <w:sz w:val="20"/>
          <w:szCs w:val="20"/>
          <w:lang w:val="es-ES_tradnl"/>
        </w:rPr>
        <w:t>.</w:t>
      </w:r>
    </w:p>
    <w:p w:rsidR="00D57F75" w:rsidRPr="00D57F75" w:rsidRDefault="00D57F75" w:rsidP="00D57F75">
      <w:pPr>
        <w:spacing w:after="240" w:line="240" w:lineRule="auto"/>
        <w:jc w:val="both"/>
        <w:rPr>
          <w:rFonts w:ascii="Verdana" w:eastAsia="Calibri" w:hAnsi="Verdana" w:cs="Calibri"/>
          <w:sz w:val="20"/>
          <w:szCs w:val="20"/>
          <w:lang w:val="es-ES_tradnl"/>
        </w:rPr>
      </w:pPr>
      <w:r w:rsidRPr="00D57F75">
        <w:rPr>
          <w:rFonts w:ascii="Verdana" w:eastAsia="Calibri" w:hAnsi="Verdana" w:cs="Calibri"/>
          <w:sz w:val="20"/>
          <w:szCs w:val="20"/>
          <w:lang w:val="es-ES_tradnl"/>
        </w:rPr>
        <w:t xml:space="preserve">Y no podría ser de otra manera, dado que si no fuese así, se le reconocería a la Comisión la más amplia facultad para decidir, de manera exclusiva y excluyente, sobre la admisión o rechazo de una petición, lo que, evidentemente, le restaría competencia a la Corte puesto que, en tal hipótesis, no le quedaría, en esta materia, más alternativa que ser solo una instancia de confirmación o constatación, ni siquiera de ratificación, de lo actuado por aquella, lo que, sin duda alguna, no se compadecería con la letra y el espíritu de los dispuesto en el transcrito artículo 61.2 de la Convención. </w:t>
      </w:r>
    </w:p>
    <w:p w:rsidR="00D57F75" w:rsidRPr="00D57F75" w:rsidRDefault="00D57F75" w:rsidP="00D57F75">
      <w:pPr>
        <w:spacing w:after="240" w:line="240" w:lineRule="auto"/>
        <w:jc w:val="both"/>
        <w:rPr>
          <w:rFonts w:ascii="Verdana" w:eastAsia="Calibri" w:hAnsi="Verdana" w:cs="Calibri"/>
          <w:sz w:val="20"/>
          <w:szCs w:val="20"/>
          <w:lang w:val="es-ES_tradnl"/>
        </w:rPr>
      </w:pPr>
      <w:r w:rsidRPr="00D57F75">
        <w:rPr>
          <w:rFonts w:ascii="Verdana" w:eastAsia="Calibri" w:hAnsi="Verdana" w:cs="Calibri"/>
          <w:sz w:val="20"/>
          <w:szCs w:val="20"/>
          <w:lang w:val="es-ES_tradnl"/>
        </w:rPr>
        <w:t>Sobre el particular, no se debe olvidar que la Comisión es la que somete el pertinente caso ante la Corte y, por ende, es parte en el litigio correspondiente, cumpliendo su función de “</w:t>
      </w:r>
      <w:r w:rsidRPr="00D57F75">
        <w:rPr>
          <w:rFonts w:ascii="Verdana" w:eastAsia="Calibri" w:hAnsi="Verdana" w:cs="Calibri"/>
          <w:i/>
          <w:sz w:val="20"/>
          <w:szCs w:val="20"/>
          <w:lang w:val="es-ES_tradnl"/>
        </w:rPr>
        <w:t>defensa de los derechos humanos</w:t>
      </w:r>
      <w:r w:rsidRPr="00D57F75">
        <w:rPr>
          <w:rFonts w:ascii="Verdana" w:eastAsia="Calibri" w:hAnsi="Verdana" w:cs="Calibri"/>
          <w:sz w:val="20"/>
          <w:szCs w:val="20"/>
          <w:lang w:val="es-ES_tradnl"/>
        </w:rPr>
        <w:t>”, para lo cual necesaria y legítimamente debe adoptar una de las posturas en disputa en la correspondiente causa y, consecuentemente, debe parcializarse. De allí se desprende que sus propias actuaciones en la tramitación que ante ella se sigue del caso luego sometido a conocimiento de la Corte, pueden ser impugnadas ante esta última, acorde a los principios del contradictorio y de equilibrio procesal entre las partes que deben imperar en las causas judiciales.</w:t>
      </w:r>
    </w:p>
    <w:p w:rsidR="00D57F75" w:rsidRPr="00D57F75" w:rsidRDefault="00D57F75" w:rsidP="00D57F75">
      <w:pPr>
        <w:numPr>
          <w:ilvl w:val="0"/>
          <w:numId w:val="28"/>
        </w:numPr>
        <w:spacing w:after="240" w:line="240" w:lineRule="auto"/>
        <w:jc w:val="both"/>
        <w:rPr>
          <w:rFonts w:ascii="Verdana" w:hAnsi="Verdana" w:cs="Calibri"/>
          <w:b/>
          <w:sz w:val="20"/>
          <w:szCs w:val="20"/>
          <w:lang w:val="es-CL" w:eastAsia="es-CL"/>
        </w:rPr>
      </w:pPr>
      <w:r w:rsidRPr="00D57F75">
        <w:rPr>
          <w:rFonts w:ascii="Verdana" w:hAnsi="Verdana" w:cs="Calibri"/>
          <w:b/>
          <w:sz w:val="20"/>
          <w:szCs w:val="20"/>
          <w:lang w:val="es-CL" w:eastAsia="es-CL"/>
        </w:rPr>
        <w:t>Consecuencias jurídicas de considerar a la regla del previo agotamiento de los recursos internos como requisito de la admisibilidad de la petición y no de ésta.</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En abono a lo sostenido en orden a que la regla del previo agotamiento de los recursos internos debe cumplirse antes de formular la petición ante la Comisión, se puede añadir que, en caso contrario, es decir, si la norma permitiese que lo fuese después, podría ocurrir que, en el evento en que no se ha invocado una de las excepciones a dicha regla o no se ha resuelto sobre ella y al menos durante un tiempo, vale decir, entre el momento en que se eleva la petición y en el que se adopta la resolución sobre su admisibilidad, que en muchas situaciones podría estimarse que resulta extremadamente extenso, un mismo caso fuese tratado en forma simultánea por la jurisdicción interna y la jurisdicción internacional, lo que evidentemente dejaría sin sentido alguno lo indicado en el citado segundo párrafo del Preámbulo y aún a la referida regla. Vale decir, la jurisdicción interamericana no sería, en tal eventualidad, coadyuvante o complementaria de la nacional, sino más bien la sustituiría o, al menos, podría ser empleada como un elemento de presión a su respecto, lo que, sin duda, no es lo buscado por la Convención.</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 xml:space="preserve">Además, en esa hipótesis, ello podría constituir un incentivo, que podría ser considerado perverso, a que se eleven presentaciones ante la Comisión </w:t>
      </w:r>
      <w:proofErr w:type="spellStart"/>
      <w:r w:rsidRPr="00D57F75">
        <w:rPr>
          <w:rFonts w:ascii="Verdana" w:hAnsi="Verdana" w:cs="Calibri"/>
          <w:sz w:val="20"/>
          <w:szCs w:val="20"/>
          <w:lang w:val="es-CL" w:eastAsia="es-CL"/>
        </w:rPr>
        <w:t>aún</w:t>
      </w:r>
      <w:proofErr w:type="spellEnd"/>
      <w:r w:rsidRPr="00D57F75">
        <w:rPr>
          <w:rFonts w:ascii="Verdana" w:hAnsi="Verdana" w:cs="Calibri"/>
          <w:sz w:val="20"/>
          <w:szCs w:val="20"/>
          <w:lang w:val="es-CL" w:eastAsia="es-CL"/>
        </w:rPr>
        <w:t xml:space="preserve"> cuando no se haya cumplido con el referido requisito, con la esperanza de que ello se pueda lograr en forma previa al pronunciamiento de dicha instancia respecto de su admisibilidad, lo que, por cierto, tampoco pudo haber sido previsto ni perseguido por la Convención. </w:t>
      </w:r>
    </w:p>
    <w:p w:rsidR="00D57F75" w:rsidRPr="00D57F75" w:rsidRDefault="00D57F75" w:rsidP="00D57F75">
      <w:pPr>
        <w:spacing w:after="240" w:line="240" w:lineRule="auto"/>
        <w:jc w:val="both"/>
        <w:rPr>
          <w:rFonts w:ascii="Verdana" w:hAnsi="Verdana" w:cs="Calibri"/>
          <w:sz w:val="20"/>
          <w:szCs w:val="20"/>
          <w:lang w:val="es-CL" w:eastAsia="es-CL"/>
        </w:rPr>
      </w:pPr>
      <w:r w:rsidRPr="00D57F75">
        <w:rPr>
          <w:rFonts w:ascii="Verdana" w:hAnsi="Verdana" w:cs="Calibri"/>
          <w:sz w:val="20"/>
          <w:szCs w:val="20"/>
          <w:lang w:val="es-CL" w:eastAsia="es-CL"/>
        </w:rPr>
        <w:t>Por otra parte, cabe interrogarse si tendría sentido el “</w:t>
      </w:r>
      <w:r w:rsidRPr="00D57F75">
        <w:rPr>
          <w:rFonts w:ascii="Verdana" w:hAnsi="Verdana" w:cs="Calibri"/>
          <w:i/>
          <w:sz w:val="20"/>
          <w:szCs w:val="20"/>
          <w:lang w:val="es-CL" w:eastAsia="es-CL"/>
        </w:rPr>
        <w:t>estudio y tramitación inicial</w:t>
      </w:r>
      <w:r w:rsidRPr="00D57F75">
        <w:rPr>
          <w:rFonts w:ascii="Verdana" w:hAnsi="Verdana" w:cs="Calibri"/>
          <w:sz w:val="20"/>
          <w:szCs w:val="20"/>
          <w:lang w:val="es-CL" w:eastAsia="es-CL"/>
        </w:rPr>
        <w:t xml:space="preserve">” de la petición si no fuese necesario, para presentarla, que se hayan agotado previamente los recursos internos. Efectivamente, si tal requisito fuese exigible solo al momento de decidir sobre la admisibilidad de la petición, procedería preguntarse qué sentido tendría estudiar </w:t>
      </w:r>
      <w:r w:rsidRPr="00D57F75">
        <w:rPr>
          <w:rFonts w:ascii="Verdana" w:hAnsi="Verdana" w:cs="Calibri"/>
          <w:sz w:val="20"/>
          <w:szCs w:val="20"/>
          <w:lang w:val="es-CL" w:eastAsia="es-CL"/>
        </w:rPr>
        <w:lastRenderedPageBreak/>
        <w:t xml:space="preserve">inicialmente esta última. Y aún más, cuál sería el motivo y el efecto práctico por el que la Convención distingue entre el momento de la presentación de la petición y el de su admisibilidad. En otros términos, si se considerara que el referido requisito o regla debe estar cumplido al momento en que se adopta la decisión sobre la admisibilidad de la petición y no al instante en que ésta se presenta, es lógico interrogarse qué sentido tendría la petición misma. </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 xml:space="preserve">También es del caso advertir que de no seguirse el criterio de que el aludido requisito debe cumplirse al momento de la presentación o complemento de la petición y que, en cambio, de adoptarse la tesis de que dicha exigencia está determinada por el instante en que la Comisión se pronuncia sobre la admisibilidad de aquella, se generarían situaciones de abierta injusticia o arbitrariedad en la medida en que la oportunidad para cumplir con el requisito en cuestión en definitiva dependería, no de la víctima o del peticionario, sino de la decisión de la Comisión de resolver sobre la admisibilidad o inadmisibilidad de la petición. </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 xml:space="preserve">Por último, es procedente presumir que, de haber </w:t>
      </w:r>
      <w:r w:rsidRPr="00D57F75">
        <w:rPr>
          <w:rFonts w:ascii="Verdana" w:eastAsia="Calibri" w:hAnsi="Verdana" w:cs="Calibri"/>
          <w:color w:val="000000"/>
          <w:sz w:val="20"/>
          <w:szCs w:val="20"/>
          <w:lang w:val="es-CL"/>
        </w:rPr>
        <w:t>oportunos</w:t>
      </w:r>
      <w:r w:rsidRPr="00D57F75">
        <w:rPr>
          <w:rFonts w:ascii="Verdana" w:eastAsia="Calibri" w:hAnsi="Verdana" w:cs="Calibri"/>
          <w:sz w:val="20"/>
          <w:szCs w:val="20"/>
          <w:lang w:val="es-CL"/>
        </w:rPr>
        <w:t xml:space="preserve"> y, por ende, ágiles pronunciamientos de parte de la Comisión con respecto a la admisibilidad de las peticiones “</w:t>
      </w:r>
      <w:r w:rsidRPr="00D57F75">
        <w:rPr>
          <w:rFonts w:ascii="Verdana" w:eastAsia="Calibri" w:hAnsi="Verdana" w:cs="Calibri"/>
          <w:i/>
          <w:sz w:val="20"/>
          <w:szCs w:val="20"/>
          <w:lang w:val="es-CL"/>
        </w:rPr>
        <w:t>presentadas</w:t>
      </w:r>
      <w:r w:rsidRPr="00D57F75">
        <w:rPr>
          <w:rFonts w:ascii="Verdana" w:eastAsia="Calibri" w:hAnsi="Verdana" w:cs="Calibri"/>
          <w:sz w:val="20"/>
          <w:szCs w:val="20"/>
          <w:lang w:val="es-CL"/>
        </w:rPr>
        <w:t>”, seguramente se evitarían retrasos o demoras en la tramitación de un número considerable de casos.</w:t>
      </w:r>
    </w:p>
    <w:p w:rsidR="00D57F75" w:rsidRPr="00D57F75" w:rsidRDefault="00D57F75" w:rsidP="00D57F75">
      <w:pPr>
        <w:numPr>
          <w:ilvl w:val="0"/>
          <w:numId w:val="25"/>
        </w:numPr>
        <w:spacing w:after="240" w:line="240" w:lineRule="auto"/>
        <w:jc w:val="both"/>
        <w:rPr>
          <w:rFonts w:ascii="Verdana" w:eastAsia="Calibri" w:hAnsi="Verdana" w:cs="Calibri"/>
          <w:b/>
          <w:sz w:val="20"/>
          <w:szCs w:val="20"/>
          <w:lang w:val="es-CL"/>
        </w:rPr>
      </w:pPr>
      <w:r w:rsidRPr="00D57F75">
        <w:rPr>
          <w:rFonts w:ascii="Verdana" w:eastAsia="Calibri" w:hAnsi="Verdana" w:cs="Calibri"/>
          <w:b/>
          <w:sz w:val="20"/>
          <w:szCs w:val="20"/>
          <w:lang w:val="es-CL"/>
        </w:rPr>
        <w:t>LOS HECHOS CONCERNIENTES A LA EXCEPCIÓN DE NO AGOTAMIENTO PREVIO DE LOS RECURSOS INTERNOS.</w:t>
      </w:r>
    </w:p>
    <w:p w:rsidR="00D57F75" w:rsidRPr="00D57F75" w:rsidRDefault="00D57F75" w:rsidP="00D57F75">
      <w:pPr>
        <w:spacing w:after="240" w:line="240" w:lineRule="auto"/>
        <w:jc w:val="both"/>
        <w:rPr>
          <w:rFonts w:ascii="Verdana" w:eastAsia="Calibri" w:hAnsi="Verdana" w:cs="Calibri"/>
          <w:sz w:val="20"/>
          <w:szCs w:val="20"/>
          <w:lang w:val="es-CL"/>
        </w:rPr>
      </w:pPr>
      <w:r w:rsidRPr="00D57F75">
        <w:rPr>
          <w:rFonts w:ascii="Verdana" w:eastAsia="Calibri" w:hAnsi="Verdana" w:cs="Calibri"/>
          <w:sz w:val="20"/>
          <w:szCs w:val="20"/>
          <w:lang w:val="es-CL"/>
        </w:rPr>
        <w:t>Habida cuenta la normativa que se ha hecho mención, se puede señalar que los hechos relevantes relativos a la excepción por incumplimiento de la regla del previo agotamiento de los recursos internos son los que siguen.</w:t>
      </w:r>
    </w:p>
    <w:p w:rsidR="00D57F75" w:rsidRPr="00D57F75" w:rsidRDefault="00D57F75" w:rsidP="00D57F75">
      <w:pPr>
        <w:numPr>
          <w:ilvl w:val="0"/>
          <w:numId w:val="29"/>
        </w:numPr>
        <w:spacing w:after="240" w:line="240" w:lineRule="auto"/>
        <w:jc w:val="both"/>
        <w:rPr>
          <w:rFonts w:ascii="Verdana" w:eastAsia="Calibri" w:hAnsi="Verdana" w:cs="Calibri"/>
          <w:sz w:val="20"/>
          <w:szCs w:val="20"/>
          <w:lang w:val="es-CL"/>
        </w:rPr>
      </w:pPr>
      <w:r w:rsidRPr="00D57F75">
        <w:rPr>
          <w:rFonts w:ascii="Verdana" w:eastAsia="Calibri" w:hAnsi="Verdana" w:cs="Calibri"/>
          <w:b/>
          <w:sz w:val="20"/>
          <w:szCs w:val="20"/>
          <w:lang w:val="es-CL"/>
        </w:rPr>
        <w:t>Los expuestos en la petición.</w:t>
      </w:r>
      <w:r w:rsidRPr="00D57F75">
        <w:rPr>
          <w:rFonts w:ascii="Verdana" w:eastAsia="Calibri" w:hAnsi="Verdana" w:cs="Calibri"/>
          <w:sz w:val="20"/>
          <w:szCs w:val="20"/>
          <w:lang w:val="es-CL"/>
        </w:rPr>
        <w:t xml:space="preserve">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cs="Calibri"/>
          <w:sz w:val="20"/>
          <w:szCs w:val="20"/>
          <w:lang w:val="es-CL"/>
        </w:rPr>
        <w:t xml:space="preserve">La petición, presentada por </w:t>
      </w:r>
      <w:r w:rsidRPr="00D57F75">
        <w:rPr>
          <w:rFonts w:ascii="Verdana" w:eastAsia="Calibri" w:hAnsi="Verdana"/>
          <w:spacing w:val="-2"/>
          <w:sz w:val="20"/>
          <w:szCs w:val="20"/>
          <w:lang w:val="es-CL"/>
        </w:rPr>
        <w:t>del</w:t>
      </w:r>
      <w:r w:rsidRPr="00D57F75">
        <w:rPr>
          <w:rFonts w:ascii="Verdana" w:eastAsia="Calibri" w:hAnsi="Verdana"/>
          <w:sz w:val="20"/>
          <w:szCs w:val="20"/>
          <w:lang w:val="es-CL"/>
        </w:rPr>
        <w:t xml:space="preserve"> Centro de Estudios y Acción para la Paz (CEAPAZ),</w:t>
      </w:r>
      <w:r w:rsidRPr="00D57F75">
        <w:rPr>
          <w:rFonts w:ascii="Verdana" w:eastAsia="Calibri" w:hAnsi="Verdana" w:cs="Calibri"/>
          <w:sz w:val="20"/>
          <w:szCs w:val="20"/>
          <w:lang w:val="es-CL"/>
        </w:rPr>
        <w:t xml:space="preserve"> fue recibida en la Comisión el 26 de julio de 1991</w:t>
      </w:r>
      <w:r w:rsidRPr="00D57F75">
        <w:rPr>
          <w:rFonts w:ascii="Verdana" w:eastAsia="Calibri" w:hAnsi="Verdana" w:cs="Calibri"/>
          <w:sz w:val="20"/>
          <w:szCs w:val="20"/>
          <w:vertAlign w:val="superscript"/>
          <w:lang w:val="es-CL"/>
        </w:rPr>
        <w:footnoteReference w:id="450"/>
      </w:r>
      <w:r w:rsidRPr="00D57F75">
        <w:rPr>
          <w:rFonts w:ascii="Verdana" w:eastAsia="Calibri" w:hAnsi="Verdana" w:cs="Calibri"/>
          <w:sz w:val="20"/>
          <w:szCs w:val="20"/>
          <w:lang w:val="es-CL"/>
        </w:rPr>
        <w:t xml:space="preserve"> y concierne a hechos acaecidos el 4 del mismo mes y año</w:t>
      </w:r>
      <w:r w:rsidRPr="00D57F75">
        <w:rPr>
          <w:rFonts w:ascii="Verdana" w:eastAsia="Calibri" w:hAnsi="Verdana" w:cs="Calibri"/>
          <w:sz w:val="20"/>
          <w:szCs w:val="20"/>
          <w:vertAlign w:val="superscript"/>
          <w:lang w:val="es-CL"/>
        </w:rPr>
        <w:footnoteReference w:id="451"/>
      </w:r>
      <w:r w:rsidRPr="00D57F75">
        <w:rPr>
          <w:rFonts w:ascii="Verdana" w:eastAsia="Calibri" w:hAnsi="Verdana" w:cs="Calibri"/>
          <w:sz w:val="20"/>
          <w:szCs w:val="20"/>
          <w:lang w:val="es-CL"/>
        </w:rPr>
        <w:t>, vale decir,</w:t>
      </w:r>
      <w:r w:rsidRPr="00D57F75">
        <w:rPr>
          <w:rFonts w:ascii="Verdana" w:eastAsia="Calibri" w:hAnsi="Verdana"/>
          <w:sz w:val="20"/>
          <w:szCs w:val="20"/>
          <w:lang w:val="es-CL"/>
        </w:rPr>
        <w:t xml:space="preserve"> a hechos ocurridos 26 días antes. En ella se da cuenta</w:t>
      </w:r>
      <w:r w:rsidRPr="00D57F75">
        <w:rPr>
          <w:rFonts w:ascii="Verdana" w:eastAsia="Calibri" w:hAnsi="Verdana"/>
          <w:sz w:val="20"/>
          <w:szCs w:val="20"/>
          <w:vertAlign w:val="superscript"/>
          <w:lang w:val="es-CL"/>
        </w:rPr>
        <w:footnoteReference w:id="452"/>
      </w:r>
      <w:r w:rsidRPr="00D57F75">
        <w:rPr>
          <w:rFonts w:ascii="Verdana" w:eastAsia="Calibri" w:hAnsi="Verdana"/>
          <w:sz w:val="20"/>
          <w:szCs w:val="20"/>
          <w:lang w:val="es-CL"/>
        </w:rPr>
        <w:t xml:space="preserve"> de que tales hechos han tenido lugar, que se han formulado las denuncias que señala y se solicita que “</w:t>
      </w:r>
      <w:r w:rsidRPr="00D57F75">
        <w:rPr>
          <w:rFonts w:ascii="Verdana" w:eastAsia="Calibri" w:hAnsi="Verdana"/>
          <w:i/>
          <w:sz w:val="20"/>
          <w:szCs w:val="20"/>
          <w:lang w:val="es-CL"/>
        </w:rPr>
        <w:t>se sirva comunicar con las autoridades gubernamentales peruanas, ante la posibilidad de que los menores</w:t>
      </w:r>
      <w:r w:rsidRPr="00D57F75">
        <w:rPr>
          <w:rFonts w:ascii="Verdana" w:eastAsia="Calibri" w:hAnsi="Verdana"/>
          <w:sz w:val="20"/>
          <w:szCs w:val="20"/>
          <w:lang w:val="es-CL"/>
        </w:rPr>
        <w:t>” que identifica, “</w:t>
      </w:r>
      <w:r w:rsidRPr="00D57F75">
        <w:rPr>
          <w:rFonts w:ascii="Verdana" w:eastAsia="Calibri" w:hAnsi="Verdana"/>
          <w:i/>
          <w:sz w:val="20"/>
          <w:szCs w:val="20"/>
          <w:lang w:val="es-CL"/>
        </w:rPr>
        <w:t>se encuentren detenidos-desaparecidos</w:t>
      </w:r>
      <w:r w:rsidRPr="00D57F75">
        <w:rPr>
          <w:rFonts w:ascii="Verdana" w:eastAsia="Calibri" w:hAnsi="Verdana"/>
          <w:sz w:val="20"/>
          <w:szCs w:val="20"/>
          <w:lang w:val="es-CL"/>
        </w:rPr>
        <w:t xml:space="preserve">”.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 xml:space="preserve">Ahora bien, en la aludida comunicación nada se expresa sobre el cumplimiento de la regla del previo agotamiento de los recursos internos, como lo exigen los artículos 46.1.a de la Convención y 29.d del Reglamento de la Comisión, </w:t>
      </w:r>
      <w:proofErr w:type="gramStart"/>
      <w:r w:rsidRPr="00D57F75">
        <w:rPr>
          <w:rFonts w:ascii="Verdana" w:eastAsia="Calibri" w:hAnsi="Verdana"/>
          <w:sz w:val="20"/>
          <w:szCs w:val="20"/>
          <w:lang w:val="es-CL"/>
        </w:rPr>
        <w:t>vigente</w:t>
      </w:r>
      <w:proofErr w:type="gramEnd"/>
      <w:r w:rsidRPr="00D57F75">
        <w:rPr>
          <w:rFonts w:ascii="Verdana" w:eastAsia="Calibri" w:hAnsi="Verdana"/>
          <w:sz w:val="20"/>
          <w:szCs w:val="20"/>
          <w:lang w:val="es-CL"/>
        </w:rPr>
        <w:t xml:space="preserve"> a la época.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Tampoco en dicha comunicación se invoca lo dispuesto en los artículos 46.2 de la Convención y 34.3 del citado Reglamento, es decir, no se alega alguna causal de la imposibilidad de agotar previamente los recursos internos.</w:t>
      </w:r>
    </w:p>
    <w:p w:rsidR="00D57F75" w:rsidRPr="00D57F75" w:rsidRDefault="00D57F75" w:rsidP="00D57F75">
      <w:pPr>
        <w:numPr>
          <w:ilvl w:val="0"/>
          <w:numId w:val="29"/>
        </w:numPr>
        <w:autoSpaceDE w:val="0"/>
        <w:autoSpaceDN w:val="0"/>
        <w:adjustRightInd w:val="0"/>
        <w:spacing w:after="240" w:line="240" w:lineRule="auto"/>
        <w:jc w:val="both"/>
        <w:rPr>
          <w:rFonts w:ascii="Verdana" w:eastAsia="Calibri" w:hAnsi="Verdana"/>
          <w:b/>
          <w:sz w:val="20"/>
          <w:szCs w:val="20"/>
          <w:lang w:val="es-CL"/>
        </w:rPr>
      </w:pPr>
      <w:r w:rsidRPr="00D57F75">
        <w:rPr>
          <w:rFonts w:ascii="Verdana" w:eastAsia="Calibri" w:hAnsi="Verdana"/>
          <w:b/>
          <w:sz w:val="20"/>
          <w:szCs w:val="20"/>
          <w:lang w:val="es-CL"/>
        </w:rPr>
        <w:t>Estudio y trámite inicial.</w:t>
      </w:r>
    </w:p>
    <w:p w:rsidR="00D57F75" w:rsidRPr="00D57F75" w:rsidRDefault="00D57F75" w:rsidP="00D57F75">
      <w:pPr>
        <w:autoSpaceDE w:val="0"/>
        <w:autoSpaceDN w:val="0"/>
        <w:adjustRightInd w:val="0"/>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Por otra parte, no consta en autos que la Secretaría Ejecutiva de la Comisión le haya requerido a CEAPAZ que, conforme lo mandataba el artículo 27.2 del mencionado texto jurídico, completara la petición.</w:t>
      </w:r>
    </w:p>
    <w:p w:rsidR="00D57F75" w:rsidRPr="00D57F75" w:rsidRDefault="00D57F75" w:rsidP="00D57F75">
      <w:pPr>
        <w:autoSpaceDE w:val="0"/>
        <w:autoSpaceDN w:val="0"/>
        <w:adjustRightInd w:val="0"/>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 xml:space="preserve">Ahora bien, asimismo no consta en autos que la Secretaría Ejecutiva de la Comisión haya adoptado, conforme lo dispone el artículo 31.1 del Reglamento de la Comisión, la decisión de </w:t>
      </w:r>
      <w:r w:rsidRPr="00D57F75">
        <w:rPr>
          <w:rFonts w:ascii="Verdana" w:eastAsia="Calibri" w:hAnsi="Verdana"/>
          <w:sz w:val="20"/>
          <w:szCs w:val="20"/>
          <w:lang w:val="es-CL"/>
        </w:rPr>
        <w:lastRenderedPageBreak/>
        <w:t xml:space="preserve">darle trámite a la petición por estimar que reunía los requisitos contemplados en el artículo 46 de la Convención. </w:t>
      </w:r>
    </w:p>
    <w:p w:rsidR="00D57F75" w:rsidRPr="00D57F75" w:rsidRDefault="00D57F75" w:rsidP="00D57F75">
      <w:pPr>
        <w:autoSpaceDE w:val="0"/>
        <w:autoSpaceDN w:val="0"/>
        <w:adjustRightInd w:val="0"/>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En todo caso, de haber adoptado esa decisión, no se desprende de los autos si ella lo fue por haberse dado cumplimiento a lo contemplado en el artículo 46.1 de la Convención, esto es, haberse agotado previamente los recursos internos, o por haberse invocado y probado alguna de las hipótesis prevista en el artículo 46.2 de aquella, es decir, haberse alegado alguna de las causales que permiten eximirse de esa obligación.</w:t>
      </w:r>
    </w:p>
    <w:p w:rsidR="00D57F75" w:rsidRPr="00D57F75" w:rsidRDefault="00D57F75" w:rsidP="00D57F75">
      <w:pPr>
        <w:autoSpaceDE w:val="0"/>
        <w:autoSpaceDN w:val="0"/>
        <w:adjustRightInd w:val="0"/>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Finalmente, se debe consignar que tampoco consta en autos que la Comisión haya solicitado a CEAPAZ, de acuerdo a lo prescrito en el artículo 30 de su Reglamento, que complete la petición o que, conforme lo dispone el artículo 32.a del mismo texto, que aclare las dudas que subsistan.</w:t>
      </w:r>
    </w:p>
    <w:p w:rsidR="00D57F75" w:rsidRPr="00D57F75" w:rsidRDefault="00D57F75" w:rsidP="00D57F75">
      <w:pPr>
        <w:numPr>
          <w:ilvl w:val="0"/>
          <w:numId w:val="29"/>
        </w:numPr>
        <w:spacing w:after="240" w:line="240" w:lineRule="auto"/>
        <w:jc w:val="both"/>
        <w:rPr>
          <w:rFonts w:ascii="Verdana" w:eastAsia="Calibri" w:hAnsi="Verdana" w:cs="Calibri"/>
          <w:b/>
          <w:sz w:val="20"/>
          <w:szCs w:val="20"/>
          <w:lang w:val="es-CL"/>
        </w:rPr>
      </w:pPr>
      <w:r w:rsidRPr="00D57F75">
        <w:rPr>
          <w:rFonts w:ascii="Verdana" w:eastAsia="Calibri" w:hAnsi="Verdana" w:cs="Calibri"/>
          <w:b/>
          <w:sz w:val="20"/>
          <w:szCs w:val="20"/>
          <w:lang w:val="es-CL"/>
        </w:rPr>
        <w:t>Los contenidos en la respuesta u observaciones del Estado.</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En nota del 4 de noviembre de 1991, el Estado dio respuesta al traslado que se le hizo de la petición, señalando que “</w:t>
      </w:r>
      <w:r w:rsidRPr="00D57F75">
        <w:rPr>
          <w:rFonts w:ascii="Verdana" w:eastAsia="Calibri" w:hAnsi="Verdana"/>
          <w:i/>
          <w:sz w:val="20"/>
          <w:szCs w:val="20"/>
          <w:lang w:val="es-ES" w:eastAsia="x-none"/>
        </w:rPr>
        <w:t>el Comando Conjunto de las Fuerzas Armadas, luego de las investigaciones efectuadas, ha informado que se ha comprobado que una patrulla del Batallón Contrasubversivo No. 43-PAMPAS, cometió excesos contra catorce (14) campesinos, presuntos delincuentes subversivos, de la Comunidad Campesina de Rodeo Pampa</w:t>
      </w:r>
      <w:r w:rsidRPr="00D57F75">
        <w:rPr>
          <w:rFonts w:ascii="Verdana" w:eastAsia="Calibri" w:hAnsi="Verdana"/>
          <w:sz w:val="20"/>
          <w:szCs w:val="20"/>
          <w:lang w:val="es-ES" w:eastAsia="x-none"/>
        </w:rPr>
        <w:t>” y que “</w:t>
      </w:r>
      <w:r w:rsidRPr="00D57F75">
        <w:rPr>
          <w:rFonts w:ascii="Verdana" w:eastAsia="Calibri" w:hAnsi="Verdana"/>
          <w:i/>
          <w:sz w:val="20"/>
          <w:szCs w:val="20"/>
          <w:lang w:val="es-ES" w:eastAsia="x-none"/>
        </w:rPr>
        <w:t>el Ministerio de Defensa (…) informa que se ha formulado la denuncia correspondiente ante el Consejo de Guerra Permanente de la Segunda Zona Judicial del Ejército (en) contra</w:t>
      </w:r>
      <w:r w:rsidRPr="00D57F75">
        <w:rPr>
          <w:rFonts w:ascii="Verdana" w:eastAsia="Calibri" w:hAnsi="Verdana"/>
          <w:sz w:val="20"/>
          <w:szCs w:val="20"/>
          <w:lang w:val="es-ES" w:eastAsia="x-none"/>
        </w:rPr>
        <w:t>” de diversas personas.</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 xml:space="preserve">Más tarde, en comunicación del </w:t>
      </w:r>
      <w:r w:rsidRPr="00D57F75">
        <w:rPr>
          <w:rFonts w:ascii="Verdana" w:eastAsia="Calibri" w:hAnsi="Verdana"/>
          <w:sz w:val="20"/>
          <w:szCs w:val="20"/>
          <w:lang w:val="x-none" w:eastAsia="x-none"/>
        </w:rPr>
        <w:t xml:space="preserve">21 de </w:t>
      </w:r>
      <w:r w:rsidRPr="00D57F75">
        <w:rPr>
          <w:rFonts w:ascii="Verdana" w:eastAsia="Calibri" w:hAnsi="Verdana"/>
          <w:sz w:val="20"/>
          <w:szCs w:val="20"/>
          <w:lang w:val="es-PR" w:eastAsia="x-none"/>
        </w:rPr>
        <w:t>septiembre</w:t>
      </w:r>
      <w:r w:rsidRPr="00D57F75">
        <w:rPr>
          <w:rFonts w:ascii="Verdana" w:eastAsia="Calibri" w:hAnsi="Verdana"/>
          <w:sz w:val="20"/>
          <w:szCs w:val="20"/>
          <w:lang w:val="x-none" w:eastAsia="x-none"/>
        </w:rPr>
        <w:t xml:space="preserve"> de 1992</w:t>
      </w:r>
      <w:r w:rsidRPr="00D57F75">
        <w:rPr>
          <w:rFonts w:ascii="Verdana" w:eastAsia="Calibri" w:hAnsi="Verdana"/>
          <w:sz w:val="20"/>
          <w:szCs w:val="20"/>
          <w:lang w:val="es-ES" w:eastAsia="x-none"/>
        </w:rPr>
        <w:t xml:space="preserve"> el Estado hizo saber que “(</w:t>
      </w:r>
      <w:r w:rsidRPr="00D57F75">
        <w:rPr>
          <w:rFonts w:ascii="Verdana" w:eastAsia="Calibri" w:hAnsi="Verdana"/>
          <w:i/>
          <w:sz w:val="20"/>
          <w:szCs w:val="20"/>
          <w:lang w:val="es-ES" w:eastAsia="x-none"/>
        </w:rPr>
        <w:t xml:space="preserve">e)n la actualidad, (…) el proceso penal incoado se encuentra en la segunda instancia jurisdiccional la cual emitirá la sentencia respectiva en fecha próxima” y “que en el presente caso, la jurisdicción interna no se ha agotado” </w:t>
      </w:r>
      <w:r w:rsidRPr="00D57F75">
        <w:rPr>
          <w:rFonts w:ascii="Verdana" w:eastAsia="Calibri" w:hAnsi="Verdana"/>
          <w:sz w:val="20"/>
          <w:szCs w:val="20"/>
          <w:lang w:val="es-ES" w:eastAsia="x-none"/>
        </w:rPr>
        <w:t>y, por tal razón,</w:t>
      </w:r>
      <w:r w:rsidRPr="00D57F75">
        <w:rPr>
          <w:rFonts w:ascii="Verdana" w:eastAsia="Calibri" w:hAnsi="Verdana"/>
          <w:i/>
          <w:sz w:val="20"/>
          <w:szCs w:val="20"/>
          <w:lang w:val="es-ES" w:eastAsia="x-none"/>
        </w:rPr>
        <w:t xml:space="preserve"> “solicita se proceda en consecuencia</w:t>
      </w:r>
      <w:r w:rsidRPr="00D57F75">
        <w:rPr>
          <w:rFonts w:ascii="Verdana" w:eastAsia="Calibri" w:hAnsi="Verdana"/>
          <w:sz w:val="20"/>
          <w:szCs w:val="20"/>
          <w:lang w:val="es-ES" w:eastAsia="x-none"/>
        </w:rPr>
        <w:t>”. De modo, pues, que el Estado interpuso, ya en la petición misma, la excepción concerniente al no agotamiento de los recursos internos respecto de aquella.</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De esa forma, entonces, el Estado dio respuesta, conforme lo indica el artículo 31.1.c del Reglamento de la Comisión, a las partes pertinentes de la petición que le fueron transcritas, tal cual esta última fue “</w:t>
      </w:r>
      <w:r w:rsidRPr="00D57F75">
        <w:rPr>
          <w:rFonts w:ascii="Verdana" w:eastAsia="Calibri" w:hAnsi="Verdana"/>
          <w:i/>
          <w:sz w:val="20"/>
          <w:szCs w:val="20"/>
          <w:lang w:val="es-ES" w:eastAsia="x-none"/>
        </w:rPr>
        <w:t>presentada</w:t>
      </w:r>
      <w:r w:rsidRPr="00D57F75">
        <w:rPr>
          <w:rFonts w:ascii="Verdana" w:eastAsia="Calibri" w:hAnsi="Verdana"/>
          <w:sz w:val="20"/>
          <w:szCs w:val="20"/>
          <w:lang w:val="es-ES" w:eastAsia="x-none"/>
        </w:rPr>
        <w:t>” y, por lo mismo, no tuvo que demostrar los recursos internos que no se habían agotado ni cuales eran adecuados, idóneos y efectivos, dado que en la petición, como se señaló, no se alegó el agotamiento previo de los recursos internos ni la imposibilidad de cumplir con tal requisito. Si en la petición se hubiese invocado el cumplimiento de lo prescrito en el artículo 46 de la Convención, ciertamente el Estado hubiese tenido que demostrar la falta de agotamiento de los recursos internos y la disponibilidad, idoneidad, adecuación y efectividad de éstos, todo ello de acuerdo a lo establecido en el artículo 34.3 del Reglamento en cuestión.</w:t>
      </w:r>
      <w:r w:rsidRPr="00D57F75">
        <w:rPr>
          <w:rFonts w:ascii="Verdana" w:eastAsia="Calibri" w:hAnsi="Verdana"/>
          <w:sz w:val="20"/>
          <w:szCs w:val="20"/>
          <w:lang w:val="x-none" w:eastAsia="x-none"/>
        </w:rPr>
        <w:t xml:space="preserve"> </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numPr>
          <w:ilvl w:val="0"/>
          <w:numId w:val="29"/>
        </w:numPr>
        <w:autoSpaceDE w:val="0"/>
        <w:autoSpaceDN w:val="0"/>
        <w:adjustRightInd w:val="0"/>
        <w:spacing w:after="0" w:line="240" w:lineRule="auto"/>
        <w:contextualSpacing/>
        <w:jc w:val="both"/>
        <w:rPr>
          <w:rFonts w:ascii="Verdana" w:eastAsia="Calibri" w:hAnsi="Verdana" w:cs="Calibri"/>
          <w:b/>
          <w:sz w:val="20"/>
          <w:szCs w:val="20"/>
          <w:lang w:val="es-ES" w:eastAsia="x-none"/>
        </w:rPr>
      </w:pPr>
      <w:r w:rsidRPr="00D57F75">
        <w:rPr>
          <w:rFonts w:ascii="Verdana" w:eastAsia="Calibri" w:hAnsi="Verdana" w:cs="Calibri"/>
          <w:b/>
          <w:sz w:val="20"/>
          <w:szCs w:val="20"/>
          <w:lang w:val="x-none" w:eastAsia="x-none"/>
        </w:rPr>
        <w:t>Los referentes al Informe de Admisibilidad.</w:t>
      </w:r>
    </w:p>
    <w:p w:rsidR="00D57F75" w:rsidRPr="00D57F75" w:rsidRDefault="00D57F75" w:rsidP="00D57F75">
      <w:pPr>
        <w:autoSpaceDE w:val="0"/>
        <w:autoSpaceDN w:val="0"/>
        <w:adjustRightInd w:val="0"/>
        <w:spacing w:after="0" w:line="240" w:lineRule="auto"/>
        <w:contextualSpacing/>
        <w:jc w:val="both"/>
        <w:rPr>
          <w:rFonts w:ascii="Verdana" w:eastAsia="Calibri" w:hAnsi="Verdana" w:cs="Calibri"/>
          <w:b/>
          <w:sz w:val="20"/>
          <w:szCs w:val="20"/>
          <w:lang w:val="es-ES" w:eastAsia="x-none"/>
        </w:rPr>
      </w:pPr>
    </w:p>
    <w:p w:rsidR="00D57F75" w:rsidRPr="00D57F75" w:rsidRDefault="00D57F75" w:rsidP="00D57F75">
      <w:pPr>
        <w:autoSpaceDE w:val="0"/>
        <w:autoSpaceDN w:val="0"/>
        <w:adjustRightInd w:val="0"/>
        <w:spacing w:after="0" w:line="240" w:lineRule="auto"/>
        <w:contextualSpacing/>
        <w:jc w:val="both"/>
        <w:rPr>
          <w:rFonts w:ascii="Verdana" w:eastAsia="Calibri" w:hAnsi="Verdana"/>
          <w:sz w:val="20"/>
          <w:szCs w:val="20"/>
          <w:lang w:val="es-ES" w:eastAsia="x-none"/>
        </w:rPr>
      </w:pPr>
      <w:r w:rsidRPr="00D57F75">
        <w:rPr>
          <w:rFonts w:ascii="Verdana" w:eastAsia="Calibri" w:hAnsi="Verdana" w:cs="Calibri"/>
          <w:sz w:val="20"/>
          <w:szCs w:val="20"/>
          <w:lang w:val="es-ES" w:eastAsia="x-none"/>
        </w:rPr>
        <w:t xml:space="preserve">En lo concerniente al Informe de Admisibilidad y Fondo, es procedente señalar, en primer término, que fue emitido con fecha </w:t>
      </w:r>
      <w:r w:rsidRPr="00D57F75">
        <w:rPr>
          <w:rFonts w:ascii="Verdana" w:eastAsia="Calibri" w:hAnsi="Verdana"/>
          <w:sz w:val="20"/>
          <w:szCs w:val="20"/>
          <w:lang w:val="x-none" w:eastAsia="x-none"/>
        </w:rPr>
        <w:t>21 de julio de 2011</w:t>
      </w:r>
      <w:r w:rsidRPr="00D57F75">
        <w:rPr>
          <w:rFonts w:ascii="Verdana" w:eastAsia="Calibri" w:hAnsi="Verdana"/>
          <w:sz w:val="20"/>
          <w:szCs w:val="20"/>
          <w:lang w:val="es-ES" w:eastAsia="x-none"/>
        </w:rPr>
        <w:t>, esto es, casi veinte años después de la petición, por lo que no se limitó a comprobar el cumplimiento del requisito del previo agotamiento de los recursos internos al momento de presentarse la petición sino que lo hizo con respecto a todo ese lapso.</w:t>
      </w:r>
    </w:p>
    <w:p w:rsidR="00D57F75" w:rsidRPr="00D57F75" w:rsidRDefault="00D57F75" w:rsidP="00D57F75">
      <w:pPr>
        <w:autoSpaceDE w:val="0"/>
        <w:autoSpaceDN w:val="0"/>
        <w:adjustRightInd w:val="0"/>
        <w:spacing w:after="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 xml:space="preserve">Con ello, evidentemente dio lugar a que el presente caso fuese tratado en forma simultánea por la jurisdicción nacional y por la internacional, con las indeseables consecuencias de ello. Incluso, al procederse así, en el Informe de Admisibilidad y Fondo se ponderan actuaciones </w:t>
      </w:r>
      <w:r w:rsidRPr="00D57F75">
        <w:rPr>
          <w:rFonts w:ascii="Verdana" w:eastAsia="Calibri" w:hAnsi="Verdana"/>
          <w:sz w:val="20"/>
          <w:szCs w:val="20"/>
          <w:lang w:val="es-ES" w:eastAsia="x-none"/>
        </w:rPr>
        <w:lastRenderedPageBreak/>
        <w:t xml:space="preserve">posteriores del Estado y en base a ellas, se consideran que los recursos internos no son idóneos, adecuados y efectivos. </w:t>
      </w:r>
    </w:p>
    <w:p w:rsidR="00D57F75" w:rsidRPr="00D57F75" w:rsidRDefault="00D57F75" w:rsidP="00D57F75">
      <w:pPr>
        <w:autoSpaceDE w:val="0"/>
        <w:autoSpaceDN w:val="0"/>
        <w:adjustRightInd w:val="0"/>
        <w:spacing w:after="0" w:line="240" w:lineRule="auto"/>
        <w:contextualSpacing/>
        <w:jc w:val="both"/>
        <w:rPr>
          <w:rFonts w:ascii="Verdana" w:eastAsia="Calibri" w:hAnsi="Verdana"/>
          <w:sz w:val="20"/>
          <w:szCs w:val="20"/>
          <w:lang w:val="es-ES" w:eastAsia="x-none"/>
        </w:rPr>
      </w:pPr>
    </w:p>
    <w:p w:rsid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 xml:space="preserve">Además, subsidiariamente, la Comisión aplicó, </w:t>
      </w:r>
      <w:r w:rsidRPr="00D57F75">
        <w:rPr>
          <w:rFonts w:ascii="Verdana" w:eastAsia="Calibri" w:hAnsi="Verdana"/>
          <w:i/>
          <w:sz w:val="20"/>
          <w:szCs w:val="20"/>
          <w:lang w:val="es-ES" w:eastAsia="x-none"/>
        </w:rPr>
        <w:t>de oficio</w:t>
      </w:r>
      <w:r w:rsidRPr="00D57F75">
        <w:rPr>
          <w:rFonts w:ascii="Verdana" w:eastAsia="Calibri" w:hAnsi="Verdana"/>
          <w:sz w:val="20"/>
          <w:szCs w:val="20"/>
          <w:lang w:val="es-ES" w:eastAsia="x-none"/>
        </w:rPr>
        <w:t>, vale decir, sin que en la petición se solicitara, lo previsto en el artículo 46.2 de la Convención, es decir, alguna de las excepciones al cumplimiento de la regla del previo agotamiento de los recursos internos.</w:t>
      </w:r>
    </w:p>
    <w:p w:rsidR="00582586" w:rsidRPr="00D57F75" w:rsidRDefault="00582586"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numPr>
          <w:ilvl w:val="0"/>
          <w:numId w:val="25"/>
        </w:numPr>
        <w:spacing w:after="240" w:line="240" w:lineRule="auto"/>
        <w:jc w:val="both"/>
        <w:rPr>
          <w:rFonts w:ascii="Verdana" w:eastAsia="Calibri" w:hAnsi="Verdana" w:cs="Calibri"/>
          <w:b/>
          <w:sz w:val="20"/>
          <w:szCs w:val="20"/>
          <w:lang w:val="es-CL"/>
        </w:rPr>
      </w:pPr>
      <w:r w:rsidRPr="00D57F75">
        <w:rPr>
          <w:rFonts w:ascii="Verdana" w:eastAsia="Calibri" w:hAnsi="Verdana" w:cs="Calibri"/>
          <w:b/>
          <w:sz w:val="20"/>
          <w:szCs w:val="20"/>
          <w:lang w:val="es-CL"/>
        </w:rPr>
        <w:t xml:space="preserve"> CONSIDERACIONES SOBRE LA SENTENCIA.</w:t>
      </w:r>
      <w:r w:rsidRPr="00D57F75">
        <w:rPr>
          <w:rFonts w:ascii="Verdana" w:eastAsia="Calibri" w:hAnsi="Verdana"/>
          <w:sz w:val="20"/>
          <w:szCs w:val="20"/>
          <w:lang w:val="es-CL"/>
        </w:rPr>
        <w:t xml:space="preserve">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La Sentencia deja constancia de que la excepción preliminar referente al incumplimiento de la regla del previo agotamiento de los recursos internos fue planteada en el momento procesal oportuno y, al efecto, recuerda que, además de las notas de 1991 y 1992, el Estado la alegó el 25 de enero, 21 de marzo y 17 de mayo de 2011</w:t>
      </w:r>
      <w:r w:rsidRPr="00D57F75">
        <w:rPr>
          <w:rFonts w:ascii="Verdana" w:eastAsia="Calibri" w:hAnsi="Verdana"/>
          <w:sz w:val="20"/>
          <w:szCs w:val="20"/>
          <w:vertAlign w:val="superscript"/>
          <w:lang w:val="es-CL"/>
        </w:rPr>
        <w:footnoteReference w:id="453"/>
      </w:r>
      <w:r w:rsidRPr="00D57F75">
        <w:rPr>
          <w:rFonts w:ascii="Verdana" w:eastAsia="Calibri" w:hAnsi="Verdana"/>
          <w:sz w:val="20"/>
          <w:szCs w:val="20"/>
          <w:lang w:val="es-CL"/>
        </w:rPr>
        <w:t xml:space="preserve">.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 xml:space="preserve">Empero, la Sentencia reitera su jurisprudencia en orden a que la regla del previo agotamiento de los recursos internos debe cumplirse al momento en que la Comisión se pronuncia sobre la admisibilidad de la petición y no al instante en que se presenta la petición, como es la postura que inspira a este voto disidente. Y así fundamenta su decisión de no admitir la excepción planteada por el Estado, en hechos acaecidos muy posteriormente al de la presentación de la petición ante la Comisión. Al respecto, señala que </w:t>
      </w:r>
      <w:r w:rsidRPr="00D57F75">
        <w:rPr>
          <w:rFonts w:ascii="Verdana" w:eastAsia="Calibri" w:hAnsi="Verdana"/>
          <w:i/>
          <w:sz w:val="20"/>
          <w:szCs w:val="20"/>
          <w:lang w:val="es-CL"/>
        </w:rPr>
        <w:t>“(e</w:t>
      </w:r>
      <w:proofErr w:type="gramStart"/>
      <w:r w:rsidRPr="00D57F75">
        <w:rPr>
          <w:rFonts w:ascii="Verdana" w:eastAsia="Calibri" w:hAnsi="Verdana"/>
          <w:i/>
          <w:sz w:val="20"/>
          <w:szCs w:val="20"/>
          <w:lang w:val="es-CL"/>
        </w:rPr>
        <w:t>)l</w:t>
      </w:r>
      <w:proofErr w:type="gramEnd"/>
      <w:r w:rsidRPr="00D57F75">
        <w:rPr>
          <w:rFonts w:ascii="Verdana" w:eastAsia="Calibri" w:hAnsi="Verdana"/>
          <w:i/>
          <w:sz w:val="20"/>
          <w:szCs w:val="20"/>
          <w:lang w:val="es-CL"/>
        </w:rPr>
        <w:t xml:space="preserve"> Informe de Admisibilidad y Fondo de la Comisión fue emitido el 21 de julio de 2011</w:t>
      </w:r>
      <w:r w:rsidRPr="00D57F75">
        <w:rPr>
          <w:rFonts w:ascii="Verdana" w:eastAsia="Calibri" w:hAnsi="Verdana"/>
          <w:sz w:val="20"/>
          <w:szCs w:val="20"/>
          <w:lang w:val="es-CL"/>
        </w:rPr>
        <w:t>”, es decir, después de las notas del Estado antes indicadas, “(</w:t>
      </w:r>
      <w:r w:rsidRPr="00D57F75">
        <w:rPr>
          <w:rFonts w:ascii="Verdana" w:eastAsia="Calibri" w:hAnsi="Verdana"/>
          <w:i/>
          <w:sz w:val="20"/>
          <w:szCs w:val="20"/>
          <w:lang w:val="es-CL"/>
        </w:rPr>
        <w:t>p)</w:t>
      </w:r>
      <w:proofErr w:type="spellStart"/>
      <w:r w:rsidRPr="00D57F75">
        <w:rPr>
          <w:rFonts w:ascii="Verdana" w:eastAsia="Calibri" w:hAnsi="Verdana"/>
          <w:i/>
          <w:sz w:val="20"/>
          <w:szCs w:val="20"/>
          <w:lang w:val="es-CL"/>
        </w:rPr>
        <w:t>or</w:t>
      </w:r>
      <w:proofErr w:type="spellEnd"/>
      <w:r w:rsidRPr="00D57F75">
        <w:rPr>
          <w:rFonts w:ascii="Verdana" w:eastAsia="Calibri" w:hAnsi="Verdana"/>
          <w:i/>
          <w:sz w:val="20"/>
          <w:szCs w:val="20"/>
          <w:lang w:val="es-CL"/>
        </w:rPr>
        <w:t xml:space="preserve"> tanto, la presente excepción preliminar fue planteada en el momento procesal oportuno</w:t>
      </w:r>
      <w:r w:rsidRPr="00D57F75">
        <w:rPr>
          <w:rFonts w:ascii="Verdana" w:eastAsia="Calibri" w:hAnsi="Verdana"/>
          <w:sz w:val="20"/>
          <w:szCs w:val="20"/>
          <w:lang w:val="es-CL"/>
        </w:rPr>
        <w:t>”.</w:t>
      </w:r>
    </w:p>
    <w:p w:rsidR="00D57F75" w:rsidRPr="00D57F75" w:rsidRDefault="00D57F75" w:rsidP="00D57F75">
      <w:pPr>
        <w:spacing w:after="240" w:line="240" w:lineRule="auto"/>
        <w:jc w:val="both"/>
        <w:rPr>
          <w:rFonts w:ascii="Verdana" w:eastAsia="Calibri" w:hAnsi="Verdana"/>
          <w:sz w:val="20"/>
          <w:szCs w:val="20"/>
          <w:lang w:val="es-CL" w:eastAsia="es-CR"/>
        </w:rPr>
      </w:pPr>
      <w:r w:rsidRPr="00D57F75">
        <w:rPr>
          <w:rFonts w:ascii="Verdana" w:eastAsia="Calibri" w:hAnsi="Verdana"/>
          <w:sz w:val="20"/>
          <w:szCs w:val="20"/>
          <w:lang w:val="es-CL"/>
        </w:rPr>
        <w:t xml:space="preserve">Y en esa perspectiva, la Sentencia se centra sustancialmente en el reconocimiento que el Estado efectuó respecto de los hechos de la causa. Y así expresa que </w:t>
      </w:r>
      <w:r w:rsidRPr="00D57F75">
        <w:rPr>
          <w:rFonts w:ascii="Verdana" w:eastAsia="Calibri" w:hAnsi="Verdana"/>
          <w:i/>
          <w:sz w:val="20"/>
          <w:szCs w:val="20"/>
          <w:lang w:val="es-CL"/>
        </w:rPr>
        <w:t xml:space="preserve">“(e)n cuanto a los hechos del presente caso, el </w:t>
      </w:r>
      <w:r w:rsidRPr="00D57F75">
        <w:rPr>
          <w:rFonts w:ascii="Verdana" w:eastAsia="Calibri" w:hAnsi="Verdana"/>
          <w:i/>
          <w:sz w:val="20"/>
          <w:szCs w:val="20"/>
          <w:lang w:val="es-CL" w:eastAsia="es-CR"/>
        </w:rPr>
        <w:t xml:space="preserve">Estado los </w:t>
      </w:r>
      <w:r w:rsidRPr="00D57F75">
        <w:rPr>
          <w:rFonts w:ascii="Verdana" w:eastAsia="Calibri" w:hAnsi="Verdana"/>
          <w:i/>
          <w:spacing w:val="-2"/>
          <w:sz w:val="20"/>
          <w:szCs w:val="20"/>
          <w:lang w:val="es-AR" w:eastAsia="es-CR"/>
        </w:rPr>
        <w:t>reconoció</w:t>
      </w:r>
      <w:r w:rsidRPr="00D57F75">
        <w:rPr>
          <w:rFonts w:ascii="Verdana" w:eastAsia="Calibri" w:hAnsi="Verdana"/>
          <w:i/>
          <w:sz w:val="20"/>
          <w:szCs w:val="20"/>
          <w:lang w:val="es-CL" w:eastAsia="es-CR"/>
        </w:rPr>
        <w:t xml:space="preserve"> en los términos establecidos en la </w:t>
      </w:r>
      <w:r w:rsidRPr="00D57F75">
        <w:rPr>
          <w:rFonts w:ascii="Verdana" w:eastAsia="Calibri" w:hAnsi="Verdana"/>
          <w:i/>
          <w:sz w:val="20"/>
          <w:szCs w:val="20"/>
          <w:lang w:val="es-AR" w:eastAsia="es-CR"/>
        </w:rPr>
        <w:t>sentencia</w:t>
      </w:r>
      <w:r w:rsidRPr="00D57F75">
        <w:rPr>
          <w:rFonts w:ascii="Verdana" w:eastAsia="Calibri" w:hAnsi="Verdana"/>
          <w:i/>
          <w:sz w:val="20"/>
          <w:szCs w:val="20"/>
          <w:lang w:val="es-CL" w:eastAsia="es-CR"/>
        </w:rPr>
        <w:t xml:space="preserve"> de la Sala Penal Nacional de 9 de febrero de 2012 y la Ejecutoria Suprema de 29 de mayo de 2013</w:t>
      </w:r>
      <w:r w:rsidRPr="00D57F75">
        <w:rPr>
          <w:rFonts w:ascii="Verdana" w:eastAsia="Calibri" w:hAnsi="Verdana"/>
          <w:sz w:val="20"/>
          <w:szCs w:val="20"/>
          <w:lang w:val="es-CL" w:eastAsia="es-CR"/>
        </w:rPr>
        <w:t xml:space="preserve">”, añadiendo que </w:t>
      </w:r>
      <w:r w:rsidRPr="00D57F75">
        <w:rPr>
          <w:rFonts w:ascii="Verdana" w:eastAsia="Calibri" w:hAnsi="Verdana"/>
          <w:i/>
          <w:sz w:val="20"/>
          <w:szCs w:val="20"/>
          <w:lang w:val="es-CL" w:eastAsia="es-CR"/>
        </w:rPr>
        <w:t xml:space="preserve">“(e)s decir, no admitió de manera específica todos los hechos </w:t>
      </w:r>
      <w:r w:rsidRPr="00D57F75">
        <w:rPr>
          <w:rFonts w:ascii="Verdana" w:eastAsia="Calibri" w:hAnsi="Verdana"/>
          <w:i/>
          <w:sz w:val="20"/>
          <w:szCs w:val="20"/>
          <w:lang w:val="es-MX" w:eastAsia="es-CR"/>
        </w:rPr>
        <w:t>descritos en el Informe de Admisibilidad y Fondo de la Comisión o en el escrito de solicitudes y argumentos de los representantes</w:t>
      </w:r>
      <w:r w:rsidRPr="00D57F75">
        <w:rPr>
          <w:rFonts w:ascii="Verdana" w:eastAsia="Calibri" w:hAnsi="Verdana"/>
          <w:sz w:val="20"/>
          <w:szCs w:val="20"/>
          <w:lang w:val="es-CL" w:eastAsia="es-CR"/>
        </w:rPr>
        <w:t>”</w:t>
      </w:r>
      <w:r w:rsidRPr="00D57F75">
        <w:rPr>
          <w:rFonts w:ascii="Verdana" w:eastAsia="Calibri" w:hAnsi="Verdana"/>
          <w:sz w:val="20"/>
          <w:szCs w:val="20"/>
          <w:vertAlign w:val="superscript"/>
          <w:lang w:val="es-CL" w:eastAsia="es-CR"/>
        </w:rPr>
        <w:footnoteReference w:id="454"/>
      </w:r>
      <w:r w:rsidRPr="00D57F75">
        <w:rPr>
          <w:rFonts w:ascii="Verdana" w:eastAsia="Calibri" w:hAnsi="Verdana"/>
          <w:sz w:val="20"/>
          <w:szCs w:val="20"/>
          <w:lang w:val="es-CL" w:eastAsia="es-CR"/>
        </w:rPr>
        <w:t xml:space="preserve"> y concluyendo que “</w:t>
      </w:r>
      <w:r w:rsidRPr="00D57F75">
        <w:rPr>
          <w:rFonts w:ascii="Verdana" w:eastAsia="Calibri" w:hAnsi="Verdana"/>
          <w:i/>
          <w:sz w:val="20"/>
          <w:szCs w:val="20"/>
          <w:lang w:val="es-CL" w:eastAsia="es-CR"/>
        </w:rPr>
        <w:t xml:space="preserve">el reconocimiento efectuado por el Estado constituye una aceptación parcial de </w:t>
      </w:r>
      <w:r w:rsidRPr="00D57F75">
        <w:rPr>
          <w:rFonts w:ascii="Verdana" w:hAnsi="Verdana"/>
          <w:i/>
          <w:sz w:val="20"/>
          <w:szCs w:val="20"/>
          <w:lang w:val="es-CL"/>
        </w:rPr>
        <w:t>los</w:t>
      </w:r>
      <w:r w:rsidRPr="00D57F75">
        <w:rPr>
          <w:rFonts w:ascii="Verdana" w:eastAsia="Calibri" w:hAnsi="Verdana"/>
          <w:i/>
          <w:sz w:val="20"/>
          <w:szCs w:val="20"/>
          <w:lang w:val="es-CL" w:eastAsia="es-CR"/>
        </w:rPr>
        <w:t xml:space="preserve"> hechos</w:t>
      </w:r>
      <w:r w:rsidRPr="00D57F75">
        <w:rPr>
          <w:rFonts w:ascii="Verdana" w:eastAsia="Calibri" w:hAnsi="Verdana"/>
          <w:sz w:val="20"/>
          <w:szCs w:val="20"/>
          <w:lang w:val="es-CL" w:eastAsia="es-CR"/>
        </w:rPr>
        <w:t>”</w:t>
      </w:r>
      <w:r w:rsidRPr="00D57F75">
        <w:rPr>
          <w:rFonts w:ascii="Verdana" w:eastAsia="Calibri" w:hAnsi="Verdana"/>
          <w:sz w:val="20"/>
          <w:szCs w:val="20"/>
          <w:vertAlign w:val="superscript"/>
          <w:lang w:val="es-CL" w:eastAsia="es-CR"/>
        </w:rPr>
        <w:footnoteReference w:id="455"/>
      </w:r>
      <w:r w:rsidRPr="00D57F75">
        <w:rPr>
          <w:rFonts w:ascii="Verdana" w:eastAsia="Calibri" w:hAnsi="Verdana"/>
          <w:sz w:val="20"/>
          <w:szCs w:val="20"/>
          <w:lang w:val="es-CL" w:eastAsia="es-CR"/>
        </w:rPr>
        <w:t xml:space="preserve">.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eastAsia="es-CR"/>
        </w:rPr>
        <w:t xml:space="preserve">En base a ello, la Sentencia, habiendo aplicado previamente la regla del </w:t>
      </w:r>
      <w:proofErr w:type="spellStart"/>
      <w:r w:rsidRPr="00D57F75">
        <w:rPr>
          <w:rFonts w:ascii="Verdana" w:eastAsia="Calibri" w:hAnsi="Verdana"/>
          <w:i/>
          <w:sz w:val="20"/>
          <w:szCs w:val="20"/>
          <w:lang w:val="es-CL" w:eastAsia="es-CR"/>
        </w:rPr>
        <w:t>estoppe</w:t>
      </w:r>
      <w:r w:rsidRPr="00D57F75">
        <w:rPr>
          <w:rFonts w:ascii="Verdana" w:eastAsia="Calibri" w:hAnsi="Verdana"/>
          <w:sz w:val="20"/>
          <w:szCs w:val="20"/>
          <w:lang w:val="es-CL" w:eastAsia="es-CR"/>
        </w:rPr>
        <w:t>l</w:t>
      </w:r>
      <w:proofErr w:type="spellEnd"/>
      <w:r w:rsidRPr="00D57F75">
        <w:rPr>
          <w:rFonts w:ascii="Verdana" w:eastAsia="Calibri" w:hAnsi="Verdana"/>
          <w:sz w:val="20"/>
          <w:szCs w:val="20"/>
          <w:lang w:val="es-CL" w:eastAsia="es-CR"/>
        </w:rPr>
        <w:t xml:space="preserve"> a los alegatos de derecho esgrimidos por las partes</w:t>
      </w:r>
      <w:r w:rsidRPr="00D57F75">
        <w:rPr>
          <w:rFonts w:ascii="Verdana" w:eastAsia="Calibri" w:hAnsi="Verdana"/>
          <w:sz w:val="20"/>
          <w:szCs w:val="20"/>
          <w:vertAlign w:val="superscript"/>
          <w:lang w:val="es-CL" w:eastAsia="es-CR"/>
        </w:rPr>
        <w:footnoteReference w:id="456"/>
      </w:r>
      <w:r w:rsidRPr="00D57F75">
        <w:rPr>
          <w:rFonts w:ascii="Verdana" w:eastAsia="Calibri" w:hAnsi="Verdana"/>
          <w:sz w:val="20"/>
          <w:szCs w:val="20"/>
          <w:lang w:val="es-CL" w:eastAsia="es-CR"/>
        </w:rPr>
        <w:t xml:space="preserve">, sostiene </w:t>
      </w:r>
      <w:r w:rsidRPr="00D57F75">
        <w:rPr>
          <w:rFonts w:ascii="Verdana" w:eastAsia="Calibri" w:hAnsi="Verdana"/>
          <w:sz w:val="20"/>
          <w:szCs w:val="20"/>
          <w:lang w:val="es-CL"/>
        </w:rPr>
        <w:t>“</w:t>
      </w:r>
      <w:r w:rsidRPr="00D57F75">
        <w:rPr>
          <w:rFonts w:ascii="Verdana" w:eastAsia="Calibri" w:hAnsi="Verdana"/>
          <w:i/>
          <w:sz w:val="20"/>
          <w:szCs w:val="20"/>
          <w:lang w:val="es-ES"/>
        </w:rPr>
        <w:t xml:space="preserve">que las excepciones preliminares </w:t>
      </w:r>
      <w:r w:rsidRPr="00D57F75">
        <w:rPr>
          <w:rFonts w:ascii="Verdana" w:eastAsia="Calibri" w:hAnsi="Verdana"/>
          <w:bCs/>
          <w:i/>
          <w:sz w:val="20"/>
          <w:szCs w:val="20"/>
          <w:lang w:val="es-ES"/>
        </w:rPr>
        <w:t>no pueden limitar, contradecir o vaciar de contenido el reconocimiento de responsabilidad</w:t>
      </w:r>
      <w:r w:rsidRPr="00D57F75">
        <w:rPr>
          <w:rFonts w:ascii="Verdana" w:eastAsia="Calibri" w:hAnsi="Verdana"/>
          <w:i/>
          <w:sz w:val="20"/>
          <w:szCs w:val="20"/>
          <w:lang w:val="es-ES"/>
        </w:rPr>
        <w:t xml:space="preserve"> de un Estado</w:t>
      </w:r>
      <w:r w:rsidRPr="00D57F75">
        <w:rPr>
          <w:rFonts w:ascii="Verdana" w:eastAsia="Calibri" w:hAnsi="Verdana"/>
          <w:sz w:val="20"/>
          <w:szCs w:val="20"/>
          <w:lang w:val="es-ES"/>
        </w:rPr>
        <w:t>” y “</w:t>
      </w:r>
      <w:r w:rsidRPr="00D57F75">
        <w:rPr>
          <w:rFonts w:ascii="Verdana" w:eastAsia="Calibri" w:hAnsi="Verdana"/>
          <w:i/>
          <w:sz w:val="20"/>
          <w:szCs w:val="20"/>
          <w:lang w:val="es-CL"/>
        </w:rPr>
        <w:t>que la excepción preliminar de falta agotamiento de recursos internos interpuesta por el Perú no resultaría compatible con el reconocimiento parcial de responsabilidad efectuado en el presente caso (…), ya que, de declararse procedente, sustraería todos los hechos y violaciones admitidas por este de la jurisdicción del Tribunal</w:t>
      </w:r>
      <w:r w:rsidRPr="00D57F75">
        <w:rPr>
          <w:rFonts w:ascii="Verdana" w:eastAsia="Calibri" w:hAnsi="Verdana"/>
          <w:sz w:val="20"/>
          <w:szCs w:val="20"/>
          <w:lang w:val="es-CL"/>
        </w:rPr>
        <w:t>”.</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De esa manera, pues, en la Sentencia no se percibe nítidamente la distinción entre el reconocimiento o “</w:t>
      </w:r>
      <w:r w:rsidRPr="00D57F75">
        <w:rPr>
          <w:rFonts w:ascii="Verdana" w:eastAsia="Calibri" w:hAnsi="Verdana"/>
          <w:i/>
          <w:sz w:val="20"/>
          <w:szCs w:val="20"/>
          <w:lang w:val="es-CL"/>
        </w:rPr>
        <w:t>aceptación de los hechos</w:t>
      </w:r>
      <w:r w:rsidRPr="00D57F75">
        <w:rPr>
          <w:rFonts w:ascii="Verdana" w:eastAsia="Calibri" w:hAnsi="Verdana"/>
          <w:sz w:val="20"/>
          <w:szCs w:val="20"/>
          <w:lang w:val="es-CL"/>
        </w:rPr>
        <w:t>” y el reconocimiento o “</w:t>
      </w:r>
      <w:r w:rsidRPr="00D57F75">
        <w:rPr>
          <w:rFonts w:ascii="Verdana" w:eastAsia="Calibri" w:hAnsi="Verdana"/>
          <w:i/>
          <w:sz w:val="20"/>
          <w:szCs w:val="20"/>
          <w:lang w:val="es-CL"/>
        </w:rPr>
        <w:t>allanamiento a las pretensiones</w:t>
      </w:r>
      <w:r w:rsidRPr="00D57F75">
        <w:rPr>
          <w:rFonts w:ascii="Verdana" w:eastAsia="Calibri" w:hAnsi="Verdana"/>
          <w:sz w:val="20"/>
          <w:szCs w:val="20"/>
          <w:lang w:val="es-CL"/>
        </w:rPr>
        <w:t>”, contemplada en el artículo 62 del Reglamento de la Corte</w:t>
      </w:r>
      <w:r w:rsidRPr="00D57F75">
        <w:rPr>
          <w:rFonts w:ascii="Verdana" w:eastAsia="Calibri" w:hAnsi="Verdana"/>
          <w:sz w:val="20"/>
          <w:szCs w:val="20"/>
          <w:vertAlign w:val="superscript"/>
          <w:lang w:val="es-CL"/>
        </w:rPr>
        <w:footnoteReference w:id="457"/>
      </w:r>
      <w:r w:rsidRPr="00D57F75">
        <w:rPr>
          <w:rFonts w:ascii="Verdana" w:eastAsia="Calibri" w:hAnsi="Verdana"/>
          <w:sz w:val="20"/>
          <w:szCs w:val="20"/>
          <w:lang w:val="es-CL"/>
        </w:rPr>
        <w:t>. Y así, solo se refiere al “</w:t>
      </w:r>
      <w:r w:rsidRPr="00D57F75">
        <w:rPr>
          <w:rFonts w:ascii="Verdana" w:eastAsia="Calibri" w:hAnsi="Verdana"/>
          <w:i/>
          <w:sz w:val="20"/>
          <w:szCs w:val="20"/>
          <w:lang w:val="es-CL"/>
        </w:rPr>
        <w:t>reconocimiento de responsabilidad</w:t>
      </w:r>
      <w:r w:rsidRPr="00D57F75">
        <w:rPr>
          <w:rFonts w:ascii="Verdana" w:eastAsia="Calibri" w:hAnsi="Verdana"/>
          <w:sz w:val="20"/>
          <w:szCs w:val="20"/>
          <w:lang w:val="es-CL"/>
        </w:rPr>
        <w:t>” del Estado, en circunstancias de que, en el presente caso, solo se trató de una “</w:t>
      </w:r>
      <w:r w:rsidRPr="00D57F75">
        <w:rPr>
          <w:rFonts w:ascii="Verdana" w:eastAsia="Calibri" w:hAnsi="Verdana"/>
          <w:i/>
          <w:sz w:val="20"/>
          <w:szCs w:val="20"/>
          <w:lang w:val="es-CL"/>
        </w:rPr>
        <w:t>aceptación de hechos</w:t>
      </w:r>
      <w:r w:rsidRPr="00D57F75">
        <w:rPr>
          <w:rFonts w:ascii="Verdana" w:eastAsia="Calibri" w:hAnsi="Verdana"/>
          <w:sz w:val="20"/>
          <w:szCs w:val="20"/>
          <w:lang w:val="es-CL"/>
        </w:rPr>
        <w:t>”, más no de “</w:t>
      </w:r>
      <w:r w:rsidRPr="00D57F75">
        <w:rPr>
          <w:rFonts w:ascii="Verdana" w:eastAsia="Calibri" w:hAnsi="Verdana"/>
          <w:i/>
          <w:sz w:val="20"/>
          <w:szCs w:val="20"/>
          <w:lang w:val="es-CL"/>
        </w:rPr>
        <w:t>pretensiones</w:t>
      </w:r>
      <w:r w:rsidRPr="00D57F75">
        <w:rPr>
          <w:rFonts w:ascii="Verdana" w:eastAsia="Calibri" w:hAnsi="Verdana"/>
          <w:sz w:val="20"/>
          <w:szCs w:val="20"/>
          <w:lang w:val="es-CL"/>
        </w:rPr>
        <w:t xml:space="preserve">”, </w:t>
      </w:r>
      <w:r w:rsidRPr="00D57F75">
        <w:rPr>
          <w:rFonts w:ascii="Verdana" w:eastAsia="Calibri" w:hAnsi="Verdana"/>
          <w:sz w:val="20"/>
          <w:szCs w:val="20"/>
          <w:lang w:val="es-CL"/>
        </w:rPr>
        <w:lastRenderedPageBreak/>
        <w:t>excluyéndose expresamente, en consecuencia, el reconocimiento de responsabilidad por aquellos.</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Por otra parte, la Sentencia parece no ponderar la circunstancia de que el reconocimiento hecho por el Estado lo fue después que alegó en autos que no se habían agotado los recursos internos y antes de que la Comisión se pronunciara sobre el particular, lo que hizo en el Informe de Admisibilidad y Fondo, emitido veinte años después de la presentación de la petición. En otras palabras, el Estado formuló dicho reconocimiento en la etapa de admisión, sin perjuicio de la excepción preliminar que había planteado y cuando aún la Comisión no resolvía sobre el particular. En modo alguno, pues, tal reconocimiento implicó que desconociera o dejara sin efecto esa excepción. Sostener lo contrario conllevaría aceptar como legítimo que el Estado haya quedado en situación de desigualdad procesal al negársele la posibilidad de aportar alegatos y argumentos, entre ellos, el mencionado reconocimiento, hechos valer para el evento de que no se aceptara la excepción preliminar planteada desde el comienzo del caso o al quitarle a esta última todo efecto jurídico en razón de haber planteado subsidiariamente aquellos.</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 xml:space="preserve">Lo señalado es, ciertamente, muy relevante, dado que el criterio seguido por la Sentencia conlleva el otorgarle al reconocimiento realizado por el Estado un fin distinto al por él perseguido y declarado.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Efectivamente, el Estado formuló el reconocimiento en cuestión en la etapa de admisibilidad, no para admitir responsabilidad, sino precisamente para demostrar que existían procesos pendientes sobre hechos de la causa al momento en que la petición fue “</w:t>
      </w:r>
      <w:r w:rsidRPr="00D57F75">
        <w:rPr>
          <w:rFonts w:ascii="Verdana" w:eastAsia="Calibri" w:hAnsi="Verdana"/>
          <w:i/>
          <w:sz w:val="20"/>
          <w:szCs w:val="20"/>
          <w:lang w:val="es-CL"/>
        </w:rPr>
        <w:t>presentada</w:t>
      </w:r>
      <w:r w:rsidRPr="00D57F75">
        <w:rPr>
          <w:rFonts w:ascii="Verdana" w:eastAsia="Calibri" w:hAnsi="Verdana"/>
          <w:sz w:val="20"/>
          <w:szCs w:val="20"/>
          <w:lang w:val="es-CL"/>
        </w:rPr>
        <w:t>” y que, en todo caso, ya se había reparado, al menos en parte, a las víctimas. Ese reconocimiento implicó, entonces, al menos en lo que se refiere a los hechos, una aceptación de los mismos tal cual lo entendía el Estado, como sujeto de aquél y, además, expresamente no incluyó una aceptación de responsabilidad internacional por ellos</w:t>
      </w:r>
      <w:r w:rsidRPr="00D57F75">
        <w:rPr>
          <w:rFonts w:ascii="Verdana" w:eastAsia="Calibri" w:hAnsi="Verdana"/>
          <w:sz w:val="20"/>
          <w:szCs w:val="20"/>
          <w:vertAlign w:val="superscript"/>
          <w:lang w:val="es-CL"/>
        </w:rPr>
        <w:footnoteReference w:id="458"/>
      </w:r>
      <w:r w:rsidRPr="00D57F75">
        <w:rPr>
          <w:rFonts w:ascii="Verdana" w:eastAsia="Calibri" w:hAnsi="Verdana"/>
          <w:sz w:val="20"/>
          <w:szCs w:val="20"/>
          <w:lang w:val="es-CL"/>
        </w:rPr>
        <w:t>.</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 xml:space="preserve">Al respecto, es menester recordar que el reconocimiento es uno de los actos jurídicos unilaterales del Estado, vale decir, un acto que emana únicamente de él, que su eficacia no depende de otro acto jurídico, que no produce obligaciones para terceros, que es formulado con la inequívoca intención de producir efectos jurídicos obligatorios y exigibles para su autor y que no puede retirar o dejar sin efecto si otro sujeto de derecho internacional ha actuado de conformidad a él. Esto último es lo que se conoce como regla del </w:t>
      </w:r>
      <w:proofErr w:type="spellStart"/>
      <w:r w:rsidRPr="00D57F75">
        <w:rPr>
          <w:rFonts w:ascii="Verdana" w:eastAsia="Calibri" w:hAnsi="Verdana"/>
          <w:i/>
          <w:sz w:val="20"/>
          <w:szCs w:val="20"/>
          <w:lang w:val="es-CL"/>
        </w:rPr>
        <w:t>estoppel</w:t>
      </w:r>
      <w:proofErr w:type="spellEnd"/>
      <w:r w:rsidRPr="00D57F75">
        <w:rPr>
          <w:rFonts w:ascii="Verdana" w:eastAsia="Calibri" w:hAnsi="Verdana"/>
          <w:sz w:val="20"/>
          <w:szCs w:val="20"/>
          <w:lang w:val="es-CL"/>
        </w:rPr>
        <w:t xml:space="preserve">. Así, el reconocimiento del Estado es el acto jurídico unilateral por el que acepta como legítimo un hecho, una situación o una pretensión con efectos jurídicos.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En lo que se refiere al reconocimiento previsto en el ya citado artículo 62 del Reglamento de la Corte, se trata de un acto jurídico unilateral del Estado respecto del que a esta última solo compete resolver “</w:t>
      </w:r>
      <w:r w:rsidRPr="00D57F75">
        <w:rPr>
          <w:rFonts w:ascii="Verdana" w:eastAsia="Calibri" w:hAnsi="Verdana"/>
          <w:i/>
          <w:sz w:val="20"/>
          <w:szCs w:val="20"/>
          <w:lang w:val="es-CL"/>
        </w:rPr>
        <w:t>sobre su procedencia y sus efectos jurídicos</w:t>
      </w:r>
      <w:r w:rsidRPr="00D57F75">
        <w:rPr>
          <w:rFonts w:ascii="Verdana" w:eastAsia="Calibri" w:hAnsi="Verdana"/>
          <w:sz w:val="20"/>
          <w:szCs w:val="20"/>
          <w:lang w:val="es-CL"/>
        </w:rPr>
        <w:t xml:space="preserve">” en el proceso que se desarrolla ante ella. Vale decir, la Corte solo puede pronunciarse sobre si dicho acto es </w:t>
      </w:r>
      <w:r w:rsidRPr="00D57F75">
        <w:rPr>
          <w:rFonts w:ascii="Verdana" w:eastAsia="Arial Unicode MS" w:hAnsi="Verdana" w:cs="Arial Unicode MS"/>
          <w:color w:val="000000"/>
          <w:sz w:val="20"/>
          <w:szCs w:val="20"/>
          <w:lang w:val="es-CL"/>
        </w:rPr>
        <w:t>conforme a derecho, es decir, en este caso, sobre si corresponde a lo establecido en su Reglamento, y sobre las obligaciones que se siguen de él, pero para ello debe considerarlo tal cual fue formulado, esto es, sin posibilidad de modificarlo.</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Arial Unicode MS" w:hAnsi="Verdana" w:cs="Arial Unicode MS"/>
          <w:color w:val="000000"/>
          <w:sz w:val="20"/>
          <w:szCs w:val="20"/>
          <w:lang w:val="es-CL"/>
        </w:rPr>
        <w:t>La Sentencia, sin embargo, incluye en el reconocimiento del Estado un hecho que él no había contemplado en el mismo, el cual es y como ya se mencionó, que, con su formulación, renunciaba a la interposición de la excepción que había realizado concerniente al no agotamiento previo de los recursos internos por parte del peticionario. Además, la Sentencia hace caso omiso de un elemento esencial de dicho reconocimiento, a saber, que expresamente excluía de él la responsabilidad internacional “</w:t>
      </w:r>
      <w:r w:rsidRPr="00D57F75">
        <w:rPr>
          <w:rFonts w:ascii="Verdana" w:eastAsia="Calibri" w:hAnsi="Verdana"/>
          <w:i/>
          <w:sz w:val="20"/>
          <w:szCs w:val="20"/>
          <w:lang w:val="es-CL" w:eastAsia="es-CR"/>
        </w:rPr>
        <w:t xml:space="preserve">por hechos acontecidos y sobre los cuales se ha </w:t>
      </w:r>
      <w:r w:rsidRPr="00D57F75">
        <w:rPr>
          <w:rFonts w:ascii="Verdana" w:eastAsia="Calibri" w:hAnsi="Verdana"/>
          <w:i/>
          <w:sz w:val="20"/>
          <w:szCs w:val="20"/>
          <w:lang w:val="es-CL" w:eastAsia="es-CR"/>
        </w:rPr>
        <w:lastRenderedPageBreak/>
        <w:t xml:space="preserve">reconocido las vulneraciones antes señaladas[,] pues para [el Estado] las autoridades competentes de la administración de justicia nacional no omitieron su deber de investigación y procesamiento de los imputados </w:t>
      </w:r>
      <w:r w:rsidRPr="00D57F75">
        <w:rPr>
          <w:rFonts w:ascii="Verdana" w:eastAsia="Calibri" w:hAnsi="Verdana"/>
          <w:i/>
          <w:sz w:val="20"/>
          <w:szCs w:val="20"/>
          <w:lang w:val="es-CL"/>
        </w:rPr>
        <w:t>(más allá de falencias alegadas por la</w:t>
      </w:r>
      <w:r w:rsidRPr="00D57F75">
        <w:rPr>
          <w:rFonts w:ascii="Verdana" w:eastAsia="Calibri" w:hAnsi="Verdana"/>
          <w:i/>
          <w:sz w:val="20"/>
          <w:szCs w:val="20"/>
          <w:lang w:val="es-CL" w:eastAsia="es-CR"/>
        </w:rPr>
        <w:t xml:space="preserve"> </w:t>
      </w:r>
      <w:r w:rsidRPr="00D57F75">
        <w:rPr>
          <w:rFonts w:ascii="Verdana" w:eastAsia="Calibri" w:hAnsi="Verdana"/>
          <w:i/>
          <w:sz w:val="20"/>
          <w:szCs w:val="20"/>
          <w:lang w:val="es-CL"/>
        </w:rPr>
        <w:t xml:space="preserve">[Comisión] </w:t>
      </w:r>
      <w:r w:rsidRPr="00D57F75">
        <w:rPr>
          <w:rFonts w:ascii="Verdana" w:eastAsia="Calibri" w:hAnsi="Verdana" w:cs="Arial"/>
          <w:i/>
          <w:sz w:val="20"/>
          <w:szCs w:val="20"/>
          <w:lang w:val="es-CL"/>
        </w:rPr>
        <w:t xml:space="preserve">y </w:t>
      </w:r>
      <w:r w:rsidRPr="00D57F75">
        <w:rPr>
          <w:rFonts w:ascii="Verdana" w:eastAsia="Calibri" w:hAnsi="Verdana"/>
          <w:i/>
          <w:sz w:val="20"/>
          <w:szCs w:val="20"/>
          <w:lang w:val="es-CL"/>
        </w:rPr>
        <w:t xml:space="preserve">los representantes de las presuntas víctimas) </w:t>
      </w:r>
      <w:r w:rsidRPr="00D57F75">
        <w:rPr>
          <w:rFonts w:ascii="Verdana" w:eastAsia="Calibri" w:hAnsi="Verdana"/>
          <w:i/>
          <w:sz w:val="20"/>
          <w:szCs w:val="20"/>
          <w:lang w:val="es-CL" w:eastAsia="es-CR"/>
        </w:rPr>
        <w:t>relacionado con la obligación de garantía de los derechos mencionados y es consciente del deber de reparación que surge a razón de las violaciones</w:t>
      </w:r>
      <w:r w:rsidRPr="00D57F75">
        <w:rPr>
          <w:rFonts w:ascii="Verdana" w:eastAsia="Calibri" w:hAnsi="Verdana"/>
          <w:sz w:val="20"/>
          <w:szCs w:val="20"/>
          <w:lang w:val="es-CL" w:eastAsia="es-CR"/>
        </w:rPr>
        <w:t>”</w:t>
      </w:r>
      <w:r w:rsidRPr="00D57F75">
        <w:rPr>
          <w:rFonts w:ascii="Verdana" w:eastAsia="Calibri" w:hAnsi="Verdana"/>
          <w:sz w:val="20"/>
          <w:szCs w:val="20"/>
          <w:vertAlign w:val="superscript"/>
          <w:lang w:val="es-CL" w:eastAsia="es-CR"/>
        </w:rPr>
        <w:footnoteReference w:id="459"/>
      </w:r>
      <w:r w:rsidRPr="00D57F75">
        <w:rPr>
          <w:rFonts w:ascii="Verdana" w:eastAsia="Calibri" w:hAnsi="Verdana"/>
          <w:sz w:val="20"/>
          <w:szCs w:val="20"/>
          <w:lang w:val="es-CL" w:eastAsia="es-CR"/>
        </w:rPr>
        <w:t>.</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Dicho en otros términos, el reconocimiento del Estado no abarcó lo referente a su excepción relativa al no agotamiento de los recursos internos por parte del peticionario o a la no invocación por parte de este último, de una de las excepciones previstas en el artículo 46.2 de la Convención a la regla del previo agotamiento de los recursos internos y expresamente dejó fuera de él a una eventual responsabilidad internacional en la medida en que se formuló precisamente para demostrar que ella no se había generado o contraído.</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Adicionalmente, la Sentencia invoca otra razón para justificar su decisión de desestimar la excepción preliminar planteada por el Estado. Y así indica que “</w:t>
      </w:r>
      <w:r w:rsidRPr="00D57F75">
        <w:rPr>
          <w:rFonts w:ascii="Verdana" w:eastAsia="Calibri" w:hAnsi="Verdana"/>
          <w:i/>
          <w:sz w:val="20"/>
          <w:szCs w:val="20"/>
          <w:lang w:val="es-CL"/>
        </w:rPr>
        <w:t>(a</w:t>
      </w:r>
      <w:proofErr w:type="gramStart"/>
      <w:r w:rsidRPr="00D57F75">
        <w:rPr>
          <w:rFonts w:ascii="Verdana" w:eastAsia="Calibri" w:hAnsi="Verdana"/>
          <w:i/>
          <w:sz w:val="20"/>
          <w:szCs w:val="20"/>
          <w:lang w:val="es-CL"/>
        </w:rPr>
        <w:t>)</w:t>
      </w:r>
      <w:proofErr w:type="spellStart"/>
      <w:r w:rsidRPr="00D57F75">
        <w:rPr>
          <w:rFonts w:ascii="Verdana" w:eastAsia="Calibri" w:hAnsi="Verdana"/>
          <w:i/>
          <w:sz w:val="20"/>
          <w:szCs w:val="20"/>
          <w:lang w:val="es-CL"/>
        </w:rPr>
        <w:t>unado</w:t>
      </w:r>
      <w:proofErr w:type="spellEnd"/>
      <w:proofErr w:type="gramEnd"/>
      <w:r w:rsidRPr="00D57F75">
        <w:rPr>
          <w:rFonts w:ascii="Verdana" w:eastAsia="Calibri" w:hAnsi="Verdana"/>
          <w:i/>
          <w:sz w:val="20"/>
          <w:szCs w:val="20"/>
          <w:lang w:val="es-CL"/>
        </w:rPr>
        <w:t xml:space="preserve"> a ello, la Corte recuerda que, para que proceda una excepción preliminar sobre la falta de </w:t>
      </w:r>
      <w:r w:rsidRPr="00D57F75">
        <w:rPr>
          <w:rFonts w:ascii="Verdana" w:eastAsia="Batang" w:hAnsi="Verdana"/>
          <w:i/>
          <w:spacing w:val="-4"/>
          <w:sz w:val="20"/>
          <w:szCs w:val="20"/>
          <w:lang w:val="es-CL" w:eastAsia="es-MX"/>
        </w:rPr>
        <w:t>agotamiento</w:t>
      </w:r>
      <w:r w:rsidRPr="00D57F75">
        <w:rPr>
          <w:rFonts w:ascii="Verdana" w:eastAsia="Calibri" w:hAnsi="Verdana"/>
          <w:i/>
          <w:sz w:val="20"/>
          <w:szCs w:val="20"/>
          <w:lang w:val="es-CL"/>
        </w:rPr>
        <w:t xml:space="preserve"> de los recursos internos, el Estado que presenta esta excepción debe especificar los recursos internos que aún no se han agotado, y demostrar que estos recursos se encontraban disponibles y eran adecuados, idóneos y efectivos</w:t>
      </w:r>
      <w:r w:rsidRPr="00D57F75">
        <w:rPr>
          <w:rFonts w:ascii="Verdana" w:eastAsia="Calibri" w:hAnsi="Verdana"/>
          <w:sz w:val="20"/>
          <w:szCs w:val="20"/>
          <w:lang w:val="es-CL"/>
        </w:rPr>
        <w:t>”</w:t>
      </w:r>
      <w:r w:rsidRPr="00D57F75">
        <w:rPr>
          <w:rFonts w:ascii="Verdana" w:eastAsia="Calibri" w:hAnsi="Verdana"/>
          <w:sz w:val="20"/>
          <w:szCs w:val="20"/>
          <w:vertAlign w:val="superscript"/>
          <w:lang w:val="es-CL"/>
        </w:rPr>
        <w:footnoteReference w:id="460"/>
      </w:r>
      <w:r w:rsidRPr="00D57F75">
        <w:rPr>
          <w:rFonts w:ascii="Verdana" w:eastAsia="Calibri" w:hAnsi="Verdana"/>
          <w:sz w:val="20"/>
          <w:szCs w:val="20"/>
          <w:lang w:val="es-CL"/>
        </w:rPr>
        <w:t>.</w:t>
      </w:r>
    </w:p>
    <w:p w:rsidR="00D57F75" w:rsidRPr="00D57F75" w:rsidRDefault="00D57F75" w:rsidP="00D57F75">
      <w:pPr>
        <w:spacing w:after="240" w:line="240" w:lineRule="auto"/>
        <w:jc w:val="both"/>
        <w:rPr>
          <w:rFonts w:ascii="Verdana" w:eastAsia="Calibri" w:hAnsi="Verdana"/>
          <w:i/>
          <w:sz w:val="20"/>
          <w:szCs w:val="20"/>
          <w:lang w:val="es-CL"/>
        </w:rPr>
      </w:pPr>
      <w:r w:rsidRPr="00D57F75">
        <w:rPr>
          <w:rFonts w:ascii="Verdana" w:eastAsia="Calibri" w:hAnsi="Verdana"/>
          <w:sz w:val="20"/>
          <w:szCs w:val="20"/>
          <w:lang w:val="es-CL"/>
        </w:rPr>
        <w:t>De esa forma, la Sentencia parece omitir que la obligación del Estado de especificar los recursos internos no agotados y demostrar su disponibilidad, adecuación, idoneidad y efectividad solo procede en caso de que en la petición se alegue que ha cumplido con la regla del previo agotamiento de los recursos internos o que procede una de las excepciones a la misma prevista en el numeral 2 del artículo 46 de la Convención, lo que no consta en autos de que haya acontecido en el caso en comento. En el caso en comento, el Estado no tenía, pues, obligación de “</w:t>
      </w:r>
      <w:r w:rsidRPr="00D57F75">
        <w:rPr>
          <w:rFonts w:ascii="Verdana" w:eastAsia="Calibri" w:hAnsi="Verdana"/>
          <w:i/>
          <w:sz w:val="20"/>
          <w:szCs w:val="20"/>
          <w:lang w:val="es-CL"/>
        </w:rPr>
        <w:t>especificar los recursos internos que aún no se (</w:t>
      </w:r>
      <w:r w:rsidRPr="00D57F75">
        <w:rPr>
          <w:rFonts w:ascii="Verdana" w:eastAsia="Calibri" w:hAnsi="Verdana"/>
          <w:sz w:val="20"/>
          <w:szCs w:val="20"/>
          <w:lang w:val="es-CL"/>
        </w:rPr>
        <w:t>habían</w:t>
      </w:r>
      <w:r w:rsidRPr="00D57F75">
        <w:rPr>
          <w:rFonts w:ascii="Verdana" w:eastAsia="Calibri" w:hAnsi="Verdana"/>
          <w:i/>
          <w:sz w:val="20"/>
          <w:szCs w:val="20"/>
          <w:lang w:val="es-CL"/>
        </w:rPr>
        <w:t>) agotado, y demostrar que estos recursos se encontraban disponibles y eran adecuados, idóneos y efectivos”.</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sz w:val="20"/>
          <w:szCs w:val="20"/>
          <w:lang w:val="es-CL"/>
        </w:rPr>
        <w:t>Igualmente, sobre este particular hay que resaltar que la Sentencia señala que “</w:t>
      </w:r>
      <w:r w:rsidRPr="00D57F75">
        <w:rPr>
          <w:rFonts w:ascii="Verdana" w:eastAsia="Calibri" w:hAnsi="Verdana"/>
          <w:i/>
          <w:sz w:val="20"/>
          <w:szCs w:val="20"/>
          <w:lang w:val="es-CL"/>
        </w:rPr>
        <w:t xml:space="preserve">no es tarea de la Corte, ni de la Comisión, identificar </w:t>
      </w:r>
      <w:r w:rsidRPr="00D57F75">
        <w:rPr>
          <w:rFonts w:ascii="Verdana" w:eastAsia="Calibri" w:hAnsi="Verdana"/>
          <w:i/>
          <w:iCs/>
          <w:sz w:val="20"/>
          <w:szCs w:val="20"/>
          <w:lang w:val="es-CL"/>
        </w:rPr>
        <w:t xml:space="preserve">ex </w:t>
      </w:r>
      <w:proofErr w:type="spellStart"/>
      <w:r w:rsidRPr="00D57F75">
        <w:rPr>
          <w:rFonts w:ascii="Verdana" w:eastAsia="Calibri" w:hAnsi="Verdana"/>
          <w:i/>
          <w:iCs/>
          <w:sz w:val="20"/>
          <w:szCs w:val="20"/>
          <w:lang w:val="es-CL"/>
        </w:rPr>
        <w:t>officio</w:t>
      </w:r>
      <w:proofErr w:type="spellEnd"/>
      <w:r w:rsidRPr="00D57F75">
        <w:rPr>
          <w:rFonts w:ascii="Verdana" w:eastAsia="Calibri" w:hAnsi="Verdana"/>
          <w:i/>
          <w:iCs/>
          <w:sz w:val="20"/>
          <w:szCs w:val="20"/>
          <w:lang w:val="es-CL"/>
        </w:rPr>
        <w:t xml:space="preserve"> </w:t>
      </w:r>
      <w:r w:rsidRPr="00D57F75">
        <w:rPr>
          <w:rFonts w:ascii="Verdana" w:eastAsia="Calibri" w:hAnsi="Verdana"/>
          <w:i/>
          <w:sz w:val="20"/>
          <w:szCs w:val="20"/>
          <w:lang w:val="es-CL"/>
        </w:rPr>
        <w:t>cuáles son los recursos internos pendientes de agotamiento”</w:t>
      </w:r>
      <w:r w:rsidRPr="00D57F75">
        <w:rPr>
          <w:rFonts w:ascii="Verdana" w:eastAsia="Calibri" w:hAnsi="Verdana"/>
          <w:sz w:val="20"/>
          <w:szCs w:val="20"/>
          <w:lang w:val="es-CL"/>
        </w:rPr>
        <w:t xml:space="preserve"> y “</w:t>
      </w:r>
      <w:r w:rsidRPr="00D57F75">
        <w:rPr>
          <w:rFonts w:ascii="Verdana" w:eastAsia="Calibri" w:hAnsi="Verdana"/>
          <w:i/>
          <w:sz w:val="20"/>
          <w:szCs w:val="20"/>
          <w:lang w:val="es-CL"/>
        </w:rPr>
        <w:t>resalta que no compete a los órganos internacionales subsanar la falta de precisión de los alegatos del Estado</w:t>
      </w:r>
      <w:r w:rsidRPr="00D57F75">
        <w:rPr>
          <w:rFonts w:ascii="Verdana" w:eastAsia="Calibri" w:hAnsi="Verdana"/>
          <w:sz w:val="20"/>
          <w:szCs w:val="20"/>
          <w:lang w:val="es-CL"/>
        </w:rPr>
        <w:t>”</w:t>
      </w:r>
      <w:r w:rsidRPr="00D57F75">
        <w:rPr>
          <w:rFonts w:ascii="Verdana" w:eastAsia="Calibri" w:hAnsi="Verdana"/>
          <w:sz w:val="20"/>
          <w:szCs w:val="20"/>
          <w:vertAlign w:val="superscript"/>
          <w:lang w:val="es-CL"/>
        </w:rPr>
        <w:footnoteReference w:id="461"/>
      </w:r>
      <w:r w:rsidRPr="00D57F75">
        <w:rPr>
          <w:rFonts w:ascii="Verdana" w:eastAsia="Calibri" w:hAnsi="Verdana"/>
          <w:sz w:val="20"/>
          <w:szCs w:val="20"/>
          <w:lang w:val="es-CL"/>
        </w:rPr>
        <w:t>, no haciendo mención, empero, de que esta regla también se aplica a la petición, la que, en autos y tal como se ha dejado constancia, no aludió a la regla del previo agotamiento de los recursos internos, sea para hacer presente que se había cumplido sea para invocar una de sus excepciones.</w:t>
      </w:r>
    </w:p>
    <w:p w:rsidR="00D57F75" w:rsidRPr="00D57F75" w:rsidRDefault="00D57F75" w:rsidP="00D57F75">
      <w:pPr>
        <w:spacing w:after="240" w:line="240" w:lineRule="auto"/>
        <w:jc w:val="both"/>
        <w:rPr>
          <w:rFonts w:ascii="Verdana" w:eastAsia="Calibri" w:hAnsi="Verdana" w:cs="Calibri"/>
          <w:b/>
          <w:sz w:val="20"/>
          <w:szCs w:val="20"/>
          <w:lang w:val="es-ES"/>
        </w:rPr>
      </w:pPr>
      <w:r w:rsidRPr="00D57F75">
        <w:rPr>
          <w:rFonts w:ascii="Verdana" w:eastAsia="Calibri" w:hAnsi="Verdana" w:cs="Calibri"/>
          <w:b/>
          <w:sz w:val="20"/>
          <w:szCs w:val="20"/>
          <w:lang w:val="es-ES"/>
        </w:rPr>
        <w:t>CONCLUSIÓN.</w:t>
      </w:r>
    </w:p>
    <w:p w:rsidR="00D57F75" w:rsidRPr="00D57F75" w:rsidRDefault="00D57F75" w:rsidP="00D57F75">
      <w:pPr>
        <w:spacing w:after="240" w:line="240" w:lineRule="auto"/>
        <w:jc w:val="both"/>
        <w:rPr>
          <w:rFonts w:ascii="Verdana" w:eastAsia="Calibri" w:hAnsi="Verdana" w:cs="Calibri"/>
          <w:sz w:val="20"/>
          <w:szCs w:val="20"/>
          <w:lang w:val="es-ES"/>
        </w:rPr>
      </w:pPr>
      <w:r w:rsidRPr="00D57F75">
        <w:rPr>
          <w:rFonts w:ascii="Verdana" w:eastAsia="Calibri" w:hAnsi="Verdana" w:cs="Calibri"/>
          <w:sz w:val="20"/>
          <w:szCs w:val="20"/>
          <w:lang w:val="es-ES"/>
        </w:rPr>
        <w:t xml:space="preserve">En razón de todo lo expuesto, resulta de toda evidencia que la Sentencia no consideró que debía ser en la petición donde se debía señalar si había cumplido o no con el requisito del previo agotamiento de los recursos internos. Con ello no se ajustó a lo previsto en el artículo 46 de la Convención, que exige que la admisibilidad sobre la que debe pronunciarse la Comisión </w:t>
      </w:r>
      <w:proofErr w:type="gramStart"/>
      <w:r w:rsidRPr="00D57F75">
        <w:rPr>
          <w:rFonts w:ascii="Verdana" w:eastAsia="Calibri" w:hAnsi="Verdana" w:cs="Calibri"/>
          <w:sz w:val="20"/>
          <w:szCs w:val="20"/>
          <w:lang w:val="es-ES"/>
        </w:rPr>
        <w:t>es</w:t>
      </w:r>
      <w:proofErr w:type="gramEnd"/>
      <w:r w:rsidRPr="00D57F75">
        <w:rPr>
          <w:rFonts w:ascii="Verdana" w:eastAsia="Calibri" w:hAnsi="Verdana" w:cs="Calibri"/>
          <w:sz w:val="20"/>
          <w:szCs w:val="20"/>
          <w:lang w:val="es-ES"/>
        </w:rPr>
        <w:t xml:space="preserve"> sobre la petición “</w:t>
      </w:r>
      <w:r w:rsidRPr="00D57F75">
        <w:rPr>
          <w:rFonts w:ascii="Verdana" w:eastAsia="Calibri" w:hAnsi="Verdana" w:cs="Calibri"/>
          <w:i/>
          <w:sz w:val="20"/>
          <w:szCs w:val="20"/>
          <w:lang w:val="es-ES"/>
        </w:rPr>
        <w:t>presentada</w:t>
      </w:r>
      <w:r w:rsidRPr="00D57F75">
        <w:rPr>
          <w:rFonts w:ascii="Verdana" w:eastAsia="Calibri" w:hAnsi="Verdana" w:cs="Calibri"/>
          <w:sz w:val="20"/>
          <w:szCs w:val="20"/>
          <w:lang w:val="es-ES"/>
        </w:rPr>
        <w:t xml:space="preserve">”. De esa forma, la Sentencia convalidó lo obrado por la Comisión, que, a su turno, lo hizo en contravención de lo previsto en el artículo 29.d de su propio Reglamento. </w:t>
      </w:r>
    </w:p>
    <w:p w:rsidR="00D57F75" w:rsidRPr="00D57F75" w:rsidRDefault="00D57F75" w:rsidP="00D57F75">
      <w:pPr>
        <w:spacing w:after="240" w:line="240" w:lineRule="auto"/>
        <w:jc w:val="both"/>
        <w:rPr>
          <w:rFonts w:ascii="Verdana" w:eastAsia="Calibri" w:hAnsi="Verdana"/>
          <w:sz w:val="20"/>
          <w:szCs w:val="20"/>
          <w:lang w:val="es-CL"/>
        </w:rPr>
      </w:pPr>
      <w:r w:rsidRPr="00D57F75">
        <w:rPr>
          <w:rFonts w:ascii="Verdana" w:eastAsia="Calibri" w:hAnsi="Verdana" w:cs="Calibri"/>
          <w:sz w:val="20"/>
          <w:szCs w:val="20"/>
          <w:lang w:val="es-ES"/>
        </w:rPr>
        <w:t>Además, la Sentencia igualmente no consideró que en la petición no se invocó lo prescrito en el artículo 46.2 de la Convención</w:t>
      </w:r>
      <w:r w:rsidRPr="00D57F75">
        <w:rPr>
          <w:rFonts w:ascii="Verdana" w:eastAsia="Calibri" w:hAnsi="Verdana"/>
          <w:sz w:val="20"/>
          <w:szCs w:val="20"/>
          <w:lang w:val="es-CL"/>
        </w:rPr>
        <w:t xml:space="preserve"> y 34.3 del citado Reglamento, es decir, no se alegó alguna causal de la imposibilidad de agotar previamente los recursos internos.</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CL" w:eastAsia="x-none"/>
        </w:rPr>
        <w:lastRenderedPageBreak/>
        <w:t xml:space="preserve">Por otra parte y pese a lo señalado, la Comisión </w:t>
      </w:r>
      <w:r w:rsidRPr="00D57F75">
        <w:rPr>
          <w:rFonts w:ascii="Verdana" w:eastAsia="Calibri" w:hAnsi="Verdana"/>
          <w:sz w:val="20"/>
          <w:szCs w:val="20"/>
          <w:lang w:val="es-ES" w:eastAsia="x-none"/>
        </w:rPr>
        <w:t xml:space="preserve">aplicó, </w:t>
      </w:r>
      <w:r w:rsidRPr="00D57F75">
        <w:rPr>
          <w:rFonts w:ascii="Verdana" w:eastAsia="Calibri" w:hAnsi="Verdana"/>
          <w:i/>
          <w:sz w:val="20"/>
          <w:szCs w:val="20"/>
          <w:lang w:val="es-ES" w:eastAsia="x-none"/>
        </w:rPr>
        <w:t>de oficio</w:t>
      </w:r>
      <w:r w:rsidRPr="00D57F75">
        <w:rPr>
          <w:rFonts w:ascii="Verdana" w:eastAsia="Calibri" w:hAnsi="Verdana"/>
          <w:sz w:val="20"/>
          <w:szCs w:val="20"/>
          <w:lang w:val="es-ES" w:eastAsia="x-none"/>
        </w:rPr>
        <w:t xml:space="preserve">, vale decir, sin que en la petición se solicitara, lo previsto en el artículo 46.2 de la Convención, es decir, </w:t>
      </w:r>
      <w:r w:rsidRPr="00D57F75">
        <w:rPr>
          <w:rFonts w:ascii="Verdana" w:eastAsia="Calibri" w:hAnsi="Verdana"/>
          <w:color w:val="000000"/>
          <w:sz w:val="20"/>
          <w:szCs w:val="20"/>
          <w:lang w:val="es-ES" w:eastAsia="x-none"/>
        </w:rPr>
        <w:t>alg</w:t>
      </w:r>
      <w:r w:rsidRPr="00D57F75">
        <w:rPr>
          <w:rFonts w:ascii="Verdana" w:eastAsia="Calibri" w:hAnsi="Verdana"/>
          <w:sz w:val="20"/>
          <w:szCs w:val="20"/>
          <w:lang w:val="es-ES" w:eastAsia="x-none"/>
        </w:rPr>
        <w:t>una de las excepciones al cumplimiento de la regla del previo agotamiento de los recursos internos, lo que fue respaldado por la Sentencia.</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Evidentemente, todo ello trajo consigo que la Sentencia sustentara la decisión de desestimar la excepción preliminar sobre el no agotamiento previo de los recursos internos en hechos muy posteriores a la petición y a su complementación.</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Igualmente, es procedente indicar que la Sentencia no se refiere a la falta de información y, por ende, eventualmente al incumplimiento por parte de la Comisión, de su obligación de solicitar al peticionario que complemente su petición si ella no incluye una información sobre el previo agotamiento de los recursos internos, como lo mandata el artículo 27.2 de su Reglamento.</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Y es evidente que todas esas carencias afectaron la capacidad de defensa del Estado y al principio de la igualdad procesal entre las partes en la presente causa.</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Pero, también hay que añadir que la Sentencia, al invocar al reconocimiento del Estado de ciertos hechos, le concede a tal acto jurídico unilateral un alcance que en modo alguno tuvo, habida cuenta, en especial, que no consideró que el mismo expresamente excluyó de su ámbito todo lo atingente a un eventual reconocimiento de responsabilidad internacional y que más bien fue formulado para demostrar que, respecto de ésta y en todo caso, ya se había reparado en el ámbito interno.</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Asimismo, la Sentencia le hace exigible al Estado la obligación de señalar los recursos internos que no se habrían agotado y la de indicar su disponibilidad,</w:t>
      </w:r>
      <w:r w:rsidRPr="00D57F75">
        <w:rPr>
          <w:rFonts w:ascii="Verdana" w:eastAsia="Calibri" w:hAnsi="Verdana"/>
          <w:sz w:val="20"/>
          <w:szCs w:val="20"/>
          <w:lang w:val="x-none" w:eastAsia="x-none"/>
        </w:rPr>
        <w:t xml:space="preserve"> </w:t>
      </w:r>
      <w:r w:rsidRPr="00D57F75">
        <w:rPr>
          <w:rFonts w:ascii="Verdana" w:eastAsia="Calibri" w:hAnsi="Verdana"/>
          <w:sz w:val="20"/>
          <w:szCs w:val="20"/>
          <w:lang w:val="es-ES" w:eastAsia="x-none"/>
        </w:rPr>
        <w:t>adecuación, idoneidad y efectividad, en circunstancia que tal obligación está prevista única y exclusivamente en el evento de que en la petición se señale que se han agotado tales recursos o que no procede que ellos lo sean.</w:t>
      </w:r>
      <w:r w:rsidRPr="00D57F75">
        <w:rPr>
          <w:rFonts w:ascii="Verdana" w:eastAsia="Calibri" w:hAnsi="Verdana"/>
          <w:sz w:val="20"/>
          <w:szCs w:val="20"/>
          <w:lang w:val="x-none" w:eastAsia="x-none"/>
        </w:rPr>
        <w:t xml:space="preserve"> </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r w:rsidRPr="00D57F75">
        <w:rPr>
          <w:rFonts w:ascii="Verdana" w:eastAsia="Calibri" w:hAnsi="Verdana"/>
          <w:sz w:val="20"/>
          <w:szCs w:val="20"/>
          <w:lang w:val="es-ES" w:eastAsia="x-none"/>
        </w:rPr>
        <w:t xml:space="preserve">Con lo obrado en autos y expresado en la Sentencia, queda en evidencia, una vez más, la duda sobre el valor, utilidad y eficacia de la petición y de la respuesta u observaciones del Estado a la misma, ya que todo lo que en tales escritos se exponga y solicita puede ser desechado sin más por la Comisión al considerar únicamente lo acontecido con posterioridad de esos actos, lo que, al ser posteriormente respaldado por la Corte, agrava la situación de indefensión de una de las partes en el litigio ante esta última, todo lo cual puede provocar una distorsión del sistema interamericano de derechos humanos. </w:t>
      </w: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autoSpaceDE w:val="0"/>
        <w:autoSpaceDN w:val="0"/>
        <w:adjustRightInd w:val="0"/>
        <w:spacing w:after="240" w:line="240" w:lineRule="auto"/>
        <w:contextualSpacing/>
        <w:jc w:val="both"/>
        <w:rPr>
          <w:rFonts w:ascii="Verdana" w:eastAsia="Calibri" w:hAnsi="Verdana"/>
          <w:sz w:val="20"/>
          <w:szCs w:val="20"/>
          <w:lang w:val="es-ES" w:eastAsia="x-none"/>
        </w:rPr>
      </w:pPr>
    </w:p>
    <w:p w:rsidR="00D57F75" w:rsidRPr="00D57F75" w:rsidRDefault="00D57F75" w:rsidP="00D57F75">
      <w:pPr>
        <w:spacing w:after="0" w:line="240" w:lineRule="auto"/>
        <w:jc w:val="both"/>
        <w:rPr>
          <w:rFonts w:ascii="Verdana" w:eastAsia="Calibri" w:hAnsi="Verdana" w:cs="Calibri"/>
          <w:sz w:val="20"/>
          <w:szCs w:val="20"/>
          <w:lang w:val="es-ES"/>
        </w:rPr>
      </w:pPr>
    </w:p>
    <w:p w:rsidR="00D57F75" w:rsidRPr="00D57F75" w:rsidRDefault="00D57F75" w:rsidP="00D57F75">
      <w:pPr>
        <w:spacing w:after="0" w:line="240" w:lineRule="auto"/>
        <w:jc w:val="both"/>
        <w:rPr>
          <w:rFonts w:ascii="Verdana" w:eastAsia="Calibri" w:hAnsi="Verdana" w:cs="Calibri"/>
          <w:sz w:val="20"/>
          <w:szCs w:val="20"/>
          <w:lang w:val="es-ES"/>
        </w:rPr>
      </w:pPr>
    </w:p>
    <w:p w:rsidR="00D57F75" w:rsidRPr="00D57F75" w:rsidRDefault="00D57F75" w:rsidP="00D57F75">
      <w:pPr>
        <w:spacing w:after="0" w:line="240" w:lineRule="auto"/>
        <w:jc w:val="both"/>
        <w:rPr>
          <w:rFonts w:ascii="Verdana" w:eastAsia="Calibri" w:hAnsi="Verdana" w:cs="Calibri"/>
          <w:sz w:val="20"/>
          <w:szCs w:val="20"/>
          <w:lang w:val="es-ES"/>
        </w:rPr>
      </w:pPr>
    </w:p>
    <w:p w:rsidR="00D57F75" w:rsidRPr="00D57F75" w:rsidRDefault="00D57F75" w:rsidP="00D57F75">
      <w:pPr>
        <w:spacing w:after="0" w:line="240" w:lineRule="auto"/>
        <w:jc w:val="both"/>
        <w:rPr>
          <w:rFonts w:ascii="Verdana" w:eastAsia="Calibri" w:hAnsi="Verdana" w:cs="Calibri"/>
          <w:sz w:val="20"/>
          <w:szCs w:val="20"/>
          <w:lang w:val="es-ES"/>
        </w:rPr>
      </w:pPr>
    </w:p>
    <w:p w:rsidR="00D57F75" w:rsidRPr="00D57F75" w:rsidRDefault="00D57F75" w:rsidP="00D57F75">
      <w:pPr>
        <w:spacing w:after="0" w:line="240" w:lineRule="auto"/>
        <w:jc w:val="both"/>
        <w:rPr>
          <w:rFonts w:ascii="Verdana" w:eastAsia="Calibri" w:hAnsi="Verdana" w:cs="Calibri"/>
          <w:sz w:val="20"/>
          <w:szCs w:val="20"/>
          <w:lang w:val="es-CL"/>
        </w:rPr>
      </w:pPr>
    </w:p>
    <w:p w:rsidR="00D57F75" w:rsidRPr="00D57F75" w:rsidRDefault="00D57F75" w:rsidP="00D57F75">
      <w:pPr>
        <w:spacing w:after="0" w:line="240" w:lineRule="auto"/>
        <w:jc w:val="right"/>
        <w:rPr>
          <w:rFonts w:ascii="Verdana" w:eastAsia="Calibri" w:hAnsi="Verdana"/>
          <w:sz w:val="20"/>
          <w:szCs w:val="20"/>
          <w:lang w:val="es-CL"/>
        </w:rPr>
      </w:pPr>
      <w:r w:rsidRPr="00D57F75">
        <w:rPr>
          <w:rFonts w:ascii="Verdana" w:eastAsia="Calibri" w:hAnsi="Verdana" w:cs="Calibri"/>
          <w:sz w:val="20"/>
          <w:szCs w:val="20"/>
          <w:lang w:val="es-CL"/>
        </w:rPr>
        <w:t>Eduardo Vio Grossi</w:t>
      </w:r>
      <w:r w:rsidRPr="00D57F75">
        <w:rPr>
          <w:rFonts w:ascii="Verdana" w:eastAsia="Calibri" w:hAnsi="Verdana"/>
          <w:sz w:val="20"/>
          <w:szCs w:val="20"/>
          <w:lang w:val="es-CL"/>
        </w:rPr>
        <w:t xml:space="preserve"> </w:t>
      </w:r>
    </w:p>
    <w:p w:rsidR="00D57F75" w:rsidRPr="00D57F75" w:rsidRDefault="00D57F75" w:rsidP="00D57F75">
      <w:pPr>
        <w:spacing w:line="240" w:lineRule="auto"/>
        <w:jc w:val="both"/>
        <w:rPr>
          <w:rFonts w:ascii="Verdana" w:eastAsia="Calibri" w:hAnsi="Verdana"/>
          <w:sz w:val="20"/>
          <w:szCs w:val="20"/>
          <w:lang w:val="es-ES"/>
        </w:rPr>
      </w:pPr>
    </w:p>
    <w:p w:rsidR="00D57F75" w:rsidRPr="00D57F75" w:rsidRDefault="00D57F75" w:rsidP="00D57F75">
      <w:pPr>
        <w:spacing w:line="240" w:lineRule="auto"/>
        <w:jc w:val="both"/>
        <w:rPr>
          <w:rFonts w:ascii="Verdana" w:eastAsia="Calibri" w:hAnsi="Verdana"/>
          <w:sz w:val="20"/>
          <w:szCs w:val="20"/>
          <w:lang w:val="es-ES"/>
        </w:rPr>
      </w:pPr>
    </w:p>
    <w:p w:rsidR="00D57F75" w:rsidRPr="00D57F75" w:rsidRDefault="00D57F75" w:rsidP="00D57F75">
      <w:pPr>
        <w:spacing w:line="240" w:lineRule="auto"/>
        <w:jc w:val="both"/>
        <w:rPr>
          <w:rFonts w:ascii="Verdana" w:eastAsia="Calibri" w:hAnsi="Verdana"/>
          <w:sz w:val="20"/>
          <w:szCs w:val="20"/>
          <w:lang w:val="es-ES"/>
        </w:rPr>
      </w:pPr>
    </w:p>
    <w:p w:rsidR="00D57F75" w:rsidRPr="00D57F75" w:rsidRDefault="00D57F75" w:rsidP="00D57F75">
      <w:pPr>
        <w:widowControl w:val="0"/>
        <w:adjustRightInd w:val="0"/>
        <w:spacing w:after="0" w:line="240" w:lineRule="auto"/>
        <w:jc w:val="both"/>
        <w:rPr>
          <w:rFonts w:ascii="Verdana" w:hAnsi="Verdana" w:cs="Verdana"/>
          <w:spacing w:val="-4"/>
          <w:sz w:val="20"/>
          <w:szCs w:val="20"/>
          <w:lang w:eastAsia="es-CR"/>
        </w:rPr>
      </w:pPr>
      <w:r w:rsidRPr="00D57F75">
        <w:rPr>
          <w:rFonts w:ascii="Verdana" w:hAnsi="Verdana" w:cs="Verdana"/>
          <w:spacing w:val="-4"/>
          <w:sz w:val="20"/>
          <w:szCs w:val="20"/>
          <w:lang w:eastAsia="es-CR"/>
        </w:rPr>
        <w:t>Pablo Saavedra Alessandri</w:t>
      </w:r>
    </w:p>
    <w:p w:rsidR="00D57F75" w:rsidRPr="00D57F75" w:rsidRDefault="00D57F75" w:rsidP="00D57F75">
      <w:pPr>
        <w:widowControl w:val="0"/>
        <w:adjustRightInd w:val="0"/>
        <w:spacing w:after="0" w:line="240" w:lineRule="auto"/>
        <w:jc w:val="both"/>
        <w:rPr>
          <w:rFonts w:ascii="Verdana" w:hAnsi="Verdana" w:cs="Verdana"/>
          <w:spacing w:val="-4"/>
          <w:sz w:val="20"/>
          <w:szCs w:val="20"/>
          <w:lang w:eastAsia="es-CR"/>
        </w:rPr>
      </w:pPr>
      <w:r w:rsidRPr="00D57F75">
        <w:rPr>
          <w:rFonts w:ascii="Verdana" w:hAnsi="Verdana" w:cs="Verdana"/>
          <w:spacing w:val="-4"/>
          <w:sz w:val="20"/>
          <w:szCs w:val="20"/>
          <w:lang w:eastAsia="es-CR"/>
        </w:rPr>
        <w:tab/>
        <w:t>Secretario</w:t>
      </w:r>
    </w:p>
    <w:p w:rsidR="003445C5" w:rsidRPr="00897439" w:rsidRDefault="003445C5" w:rsidP="00897439">
      <w:pPr>
        <w:pStyle w:val="ListParagraph"/>
        <w:autoSpaceDE w:val="0"/>
        <w:autoSpaceDN w:val="0"/>
        <w:adjustRightInd w:val="0"/>
        <w:spacing w:after="0" w:line="240" w:lineRule="auto"/>
        <w:ind w:left="0"/>
        <w:jc w:val="both"/>
        <w:rPr>
          <w:rFonts w:ascii="Verdana" w:eastAsia="Calibri" w:hAnsi="Verdana"/>
          <w:b/>
          <w:sz w:val="20"/>
          <w:lang w:val="es-ES_tradnl"/>
        </w:rPr>
      </w:pPr>
    </w:p>
    <w:sectPr w:rsidR="003445C5" w:rsidRPr="00897439" w:rsidSect="00D57F75">
      <w:headerReference w:type="default" r:id="rId23"/>
      <w:footerReference w:type="default" r:id="rId24"/>
      <w:footnotePr>
        <w:numRestart w:val="eachSect"/>
      </w:footnotePr>
      <w:pgSz w:w="12240" w:h="15840"/>
      <w:pgMar w:top="1296" w:right="1296" w:bottom="1296" w:left="1296"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62" w:rsidRDefault="006D5A62" w:rsidP="00502AB6">
      <w:pPr>
        <w:spacing w:after="0" w:line="240" w:lineRule="auto"/>
      </w:pPr>
      <w:r>
        <w:separator/>
      </w:r>
    </w:p>
  </w:endnote>
  <w:endnote w:type="continuationSeparator" w:id="0">
    <w:p w:rsidR="006D5A62" w:rsidRDefault="006D5A62" w:rsidP="0050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Palatino-Italic">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Verdana-Italic">
    <w:altName w:val="Verdana"/>
    <w:panose1 w:val="00000000000000000000"/>
    <w:charset w:val="00"/>
    <w:family w:val="swiss"/>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4D"/>
    <w:family w:val="roman"/>
    <w:notTrueType/>
    <w:pitch w:val="default"/>
    <w:sig w:usb0="03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MinionPro-BoldIt">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Fd2599-Identity-H">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75" w:rsidRDefault="00D57F75">
    <w:pPr>
      <w:pStyle w:val="Footer"/>
      <w:jc w:val="center"/>
    </w:pPr>
  </w:p>
  <w:p w:rsidR="00D57F75" w:rsidRDefault="00D57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75" w:rsidRDefault="00D57F75" w:rsidP="00D57F75">
    <w:pPr>
      <w:pStyle w:val="Footer"/>
    </w:pPr>
  </w:p>
  <w:p w:rsidR="00D57F75" w:rsidRDefault="00D57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62" w:rsidRDefault="006D5A62" w:rsidP="00502AB6">
      <w:pPr>
        <w:spacing w:after="0" w:line="240" w:lineRule="auto"/>
      </w:pPr>
      <w:r>
        <w:separator/>
      </w:r>
    </w:p>
  </w:footnote>
  <w:footnote w:type="continuationSeparator" w:id="0">
    <w:p w:rsidR="006D5A62" w:rsidRDefault="006D5A62" w:rsidP="00502AB6">
      <w:pPr>
        <w:spacing w:after="0" w:line="240" w:lineRule="auto"/>
      </w:pPr>
      <w:r>
        <w:continuationSeparator/>
      </w:r>
    </w:p>
  </w:footnote>
  <w:footnote w:id="1">
    <w:p w:rsidR="00D57F75" w:rsidRPr="007E666D" w:rsidRDefault="00D57F75" w:rsidP="007C6BB7">
      <w:pPr>
        <w:pStyle w:val="FootnoteText"/>
        <w:tabs>
          <w:tab w:val="left" w:pos="450"/>
        </w:tabs>
        <w:contextualSpacing/>
        <w:jc w:val="both"/>
        <w:rPr>
          <w:rFonts w:ascii="Verdana" w:eastAsia="Times New Roman" w:hAnsi="Verdana" w:cs="Microsoft Sans Serif"/>
          <w:spacing w:val="-4"/>
          <w:sz w:val="16"/>
          <w:szCs w:val="16"/>
          <w:lang w:val="es-PR"/>
        </w:rPr>
      </w:pPr>
      <w:r w:rsidRPr="007E666D">
        <w:rPr>
          <w:rStyle w:val="FootnoteReference"/>
          <w:rFonts w:eastAsia="Calibri" w:cs="Microsoft Sans Serif"/>
          <w:sz w:val="16"/>
          <w:lang w:val="es-PR"/>
        </w:rPr>
        <w:t>*</w:t>
      </w:r>
      <w:r w:rsidRPr="007E666D">
        <w:rPr>
          <w:rFonts w:ascii="Verdana" w:hAnsi="Verdana" w:cs="Microsoft Sans Serif"/>
          <w:spacing w:val="-4"/>
          <w:sz w:val="16"/>
          <w:szCs w:val="16"/>
          <w:lang w:val="es-PR"/>
        </w:rPr>
        <w:t xml:space="preserve"> </w:t>
      </w:r>
      <w:r w:rsidRPr="007E666D">
        <w:rPr>
          <w:rFonts w:ascii="Verdana" w:hAnsi="Verdana" w:cs="Microsoft Sans Serif"/>
          <w:spacing w:val="-4"/>
          <w:sz w:val="16"/>
          <w:szCs w:val="16"/>
          <w:lang w:val="es-PR"/>
        </w:rPr>
        <w:tab/>
        <w:t>De conformidad con el artículo 19.1 del Reglamento de la Corte Interamericana aplicable al presente caso, el Juez Diego García-Sayán, de nacionalidad peruana, no participó en la deliberación de esta Sentencia.</w:t>
      </w:r>
    </w:p>
  </w:footnote>
  <w:footnote w:id="2">
    <w:p w:rsidR="00D57F75" w:rsidRPr="007E666D" w:rsidRDefault="00D57F75" w:rsidP="007C6BB7">
      <w:pPr>
        <w:pStyle w:val="FootnoteText"/>
        <w:tabs>
          <w:tab w:val="left" w:pos="450"/>
        </w:tabs>
        <w:contextualSpacing/>
        <w:jc w:val="both"/>
        <w:rPr>
          <w:rFonts w:ascii="Verdana" w:hAnsi="Verdana" w:cs="Microsoft Sans Serif"/>
          <w:spacing w:val="-4"/>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Microsoft Sans Serif"/>
          <w:i/>
          <w:iCs/>
          <w:spacing w:val="-4"/>
          <w:sz w:val="16"/>
          <w:szCs w:val="16"/>
          <w:lang w:val="es-PR"/>
        </w:rPr>
        <w:t xml:space="preserve">Cfr. </w:t>
      </w:r>
      <w:r w:rsidRPr="007E666D">
        <w:rPr>
          <w:rFonts w:ascii="Verdana" w:hAnsi="Verdana" w:cs="Microsoft Sans Serif"/>
          <w:i/>
          <w:spacing w:val="-4"/>
          <w:sz w:val="16"/>
          <w:szCs w:val="16"/>
          <w:lang w:val="es-PR"/>
        </w:rPr>
        <w:t xml:space="preserve">Caso Comunidad Campesina de Santa Bárbara Vs. Perú. </w:t>
      </w:r>
      <w:r w:rsidRPr="007E666D">
        <w:rPr>
          <w:rFonts w:ascii="Verdana" w:hAnsi="Verdana" w:cs="Microsoft Sans Serif"/>
          <w:spacing w:val="-4"/>
          <w:sz w:val="16"/>
          <w:szCs w:val="16"/>
          <w:lang w:val="es-PR"/>
        </w:rPr>
        <w:t xml:space="preserve">Resolución del Presidente de 4 de diciembre de 2014. Disponible en: </w:t>
      </w:r>
      <w:r w:rsidRPr="007E666D">
        <w:rPr>
          <w:rFonts w:ascii="Verdana" w:hAnsi="Verdana"/>
          <w:sz w:val="16"/>
          <w:szCs w:val="16"/>
          <w:lang w:val="es-PR"/>
        </w:rPr>
        <w:t>http://www.corteidh.or.cr/docs/asuntos/comunidadcampesina_04_12_14.pdf</w:t>
      </w:r>
    </w:p>
  </w:footnote>
  <w:footnote w:id="3">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Microsoft Sans Serif"/>
          <w:spacing w:val="-4"/>
          <w:sz w:val="16"/>
          <w:szCs w:val="16"/>
          <w:lang w:val="es-PR"/>
        </w:rPr>
        <w:t xml:space="preserve">A esta audiencia comparecieron: a) por la Comisión Interamericana: </w:t>
      </w:r>
      <w:r w:rsidRPr="007E666D">
        <w:rPr>
          <w:rFonts w:ascii="Verdana" w:hAnsi="Verdana"/>
          <w:sz w:val="16"/>
          <w:szCs w:val="16"/>
          <w:lang w:val="es-PR"/>
        </w:rPr>
        <w:t xml:space="preserve">Silvia Serrano Guzmán, </w:t>
      </w:r>
      <w:r w:rsidRPr="007E666D">
        <w:rPr>
          <w:rFonts w:ascii="Verdana" w:hAnsi="Verdana" w:cs="Microsoft Sans Serif"/>
          <w:spacing w:val="-4"/>
          <w:sz w:val="16"/>
          <w:szCs w:val="16"/>
          <w:lang w:val="es-PR"/>
        </w:rPr>
        <w:t>Abogada de la Secretaría Ejecutiva de la Comisión</w:t>
      </w:r>
      <w:r w:rsidRPr="007E666D">
        <w:rPr>
          <w:rFonts w:ascii="Verdana" w:hAnsi="Verdana"/>
          <w:sz w:val="16"/>
          <w:szCs w:val="16"/>
          <w:lang w:val="es-PR"/>
        </w:rPr>
        <w:t xml:space="preserve">; b) por los representación de las presuntas víctimas: </w:t>
      </w:r>
      <w:r w:rsidRPr="007E666D">
        <w:rPr>
          <w:rFonts w:ascii="Verdana" w:hAnsi="Verdana"/>
          <w:color w:val="000000"/>
          <w:sz w:val="16"/>
          <w:szCs w:val="16"/>
          <w:lang w:val="es-PR"/>
        </w:rPr>
        <w:t>F</w:t>
      </w:r>
      <w:r w:rsidRPr="007E666D">
        <w:rPr>
          <w:rFonts w:ascii="Verdana" w:hAnsi="Verdana"/>
          <w:sz w:val="16"/>
          <w:szCs w:val="16"/>
          <w:lang w:val="es-PR"/>
        </w:rPr>
        <w:t>rancisco Quintana y</w:t>
      </w:r>
      <w:r w:rsidRPr="007E666D">
        <w:rPr>
          <w:rFonts w:ascii="Verdana" w:hAnsi="Verdana"/>
          <w:caps/>
          <w:sz w:val="16"/>
          <w:szCs w:val="16"/>
          <w:lang w:val="es-PR"/>
        </w:rPr>
        <w:t xml:space="preserve"> </w:t>
      </w:r>
      <w:r w:rsidRPr="007E666D">
        <w:rPr>
          <w:rFonts w:ascii="Verdana" w:hAnsi="Verdana"/>
          <w:sz w:val="16"/>
          <w:szCs w:val="16"/>
          <w:lang w:val="es-PR"/>
        </w:rPr>
        <w:t xml:space="preserve">Charles Abbott, del </w:t>
      </w:r>
      <w:r w:rsidRPr="007E666D">
        <w:rPr>
          <w:rFonts w:ascii="Verdana" w:hAnsi="Verdana"/>
          <w:sz w:val="16"/>
          <w:szCs w:val="16"/>
          <w:lang w:val="es-PR" w:eastAsia="es-ES"/>
        </w:rPr>
        <w:t>Centro por la Justicia y el Derecho Internacional (CEJIL)</w:t>
      </w:r>
      <w:r w:rsidRPr="007E666D">
        <w:rPr>
          <w:rFonts w:ascii="Verdana" w:hAnsi="Verdana"/>
          <w:color w:val="000000"/>
          <w:sz w:val="16"/>
          <w:szCs w:val="16"/>
          <w:lang w:val="es-PR"/>
        </w:rPr>
        <w:t xml:space="preserve">, y Milton Gens Campos Castillo, de la </w:t>
      </w:r>
      <w:r w:rsidRPr="007E666D">
        <w:rPr>
          <w:rFonts w:ascii="Verdana" w:hAnsi="Verdana"/>
          <w:sz w:val="16"/>
          <w:szCs w:val="16"/>
          <w:lang w:val="es-PR"/>
        </w:rPr>
        <w:t>Asociación Paz y Esperanza, y c) por el Estado: Luis Alberto Huerta Guerrero, Procurador Público Especializado Supranacional y Agente Titular; Sofía Janett Donaires Vega y Doris Margarita Yalle Jorges, Abogadas de la Procuraduría Pública Especializada Supranacional y Agentes Alternas.</w:t>
      </w:r>
    </w:p>
  </w:footnote>
  <w:footnote w:id="4">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Dicho escrito fue presentado por Steven D. Schwinn</w:t>
      </w:r>
      <w:r w:rsidRPr="007E666D">
        <w:rPr>
          <w:rFonts w:ascii="Verdana" w:eastAsia="Calibri" w:hAnsi="Verdana"/>
          <w:sz w:val="16"/>
          <w:szCs w:val="16"/>
          <w:lang w:val="es-PR"/>
        </w:rPr>
        <w:t>, Codirector de la referida Clínica.</w:t>
      </w:r>
    </w:p>
  </w:footnote>
  <w:footnote w:id="5">
    <w:p w:rsidR="00D57F75" w:rsidRPr="007E666D" w:rsidRDefault="00D57F75" w:rsidP="007C6BB7">
      <w:pPr>
        <w:pStyle w:val="ListParagraph"/>
        <w:tabs>
          <w:tab w:val="left" w:pos="450"/>
        </w:tabs>
        <w:autoSpaceDE w:val="0"/>
        <w:autoSpaceDN w:val="0"/>
        <w:adjustRightInd w:val="0"/>
        <w:spacing w:after="0" w:line="240" w:lineRule="auto"/>
        <w:ind w:left="0"/>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eastAsia="Calibri" w:hAnsi="Verdana"/>
          <w:sz w:val="16"/>
          <w:szCs w:val="16"/>
          <w:lang w:val="es-PR"/>
        </w:rPr>
        <w:t>Además, el Perú señaló que dentro de las consideraciones de derechos en el Informe de Admisibilidad y Fondo de la Comisión, se hace alusión al artículo 13 del Protocolo Adicional II a los Convenios de Ginebra sobre el principio de inmunidad civil, y que “no es aceptable que la [Comisión] pretenda aplicar dicho instrumento de manera inmediata”.</w:t>
      </w:r>
    </w:p>
  </w:footnote>
  <w:footnote w:id="6">
    <w:p w:rsidR="00D57F75" w:rsidRPr="007E666D" w:rsidRDefault="00D57F75" w:rsidP="007C6BB7">
      <w:pPr>
        <w:pStyle w:val="ListParagraph"/>
        <w:tabs>
          <w:tab w:val="left" w:pos="450"/>
        </w:tabs>
        <w:autoSpaceDE w:val="0"/>
        <w:autoSpaceDN w:val="0"/>
        <w:adjustRightInd w:val="0"/>
        <w:spacing w:after="0" w:line="240" w:lineRule="auto"/>
        <w:ind w:left="0"/>
        <w:jc w:val="both"/>
        <w:rPr>
          <w:rFonts w:ascii="Verdana" w:eastAsia="Calibri"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Además, indicó que </w:t>
      </w:r>
      <w:r w:rsidRPr="007E666D">
        <w:rPr>
          <w:rFonts w:ascii="Verdana" w:eastAsia="Calibri" w:hAnsi="Verdana"/>
          <w:sz w:val="16"/>
          <w:szCs w:val="16"/>
          <w:lang w:val="es-PR"/>
        </w:rPr>
        <w:t xml:space="preserve">el precedente citado por los representantes se refiere a un caso de desaparición forzada de menores de edad, configuración que “no es de aplicación en el caso concreto”. </w:t>
      </w:r>
      <w:r w:rsidRPr="007E666D">
        <w:rPr>
          <w:rFonts w:ascii="Verdana" w:hAnsi="Verdana"/>
          <w:sz w:val="16"/>
          <w:szCs w:val="16"/>
          <w:lang w:val="es-PR"/>
        </w:rPr>
        <w:t xml:space="preserve">En cuanto a la </w:t>
      </w:r>
      <w:r w:rsidRPr="007E666D">
        <w:rPr>
          <w:rFonts w:ascii="Verdana" w:eastAsia="Calibri" w:hAnsi="Verdana"/>
          <w:sz w:val="16"/>
          <w:szCs w:val="16"/>
          <w:lang w:val="es-PR"/>
        </w:rPr>
        <w:t>“responsabilidad agravada” alegada por los representantes, el Estado se opuso a tal pretensión.</w:t>
      </w:r>
    </w:p>
    <w:p w:rsidR="00D57F75" w:rsidRPr="007E666D" w:rsidRDefault="00D57F75" w:rsidP="007C6BB7">
      <w:pPr>
        <w:pStyle w:val="FootnoteText"/>
        <w:tabs>
          <w:tab w:val="left" w:pos="450"/>
        </w:tabs>
        <w:contextualSpacing/>
        <w:jc w:val="both"/>
        <w:rPr>
          <w:rFonts w:ascii="Verdana" w:hAnsi="Verdana"/>
          <w:sz w:val="16"/>
          <w:szCs w:val="16"/>
          <w:lang w:val="es-PR"/>
        </w:rPr>
      </w:pPr>
    </w:p>
  </w:footnote>
  <w:footnote w:id="7">
    <w:p w:rsidR="00D57F75" w:rsidRPr="007E666D" w:rsidRDefault="00D57F75" w:rsidP="007C6BB7">
      <w:pPr>
        <w:pStyle w:val="Footnotes"/>
        <w:tabs>
          <w:tab w:val="clear" w:pos="567"/>
          <w:tab w:val="left" w:pos="450"/>
        </w:tabs>
        <w:contextualSpacing/>
        <w:rPr>
          <w:rFonts w:cs="Times New Roman"/>
          <w:lang w:val="es-PR"/>
        </w:rPr>
      </w:pPr>
      <w:r w:rsidRPr="007E666D">
        <w:rPr>
          <w:rStyle w:val="FootnoteReference"/>
          <w:rFonts w:eastAsiaTheme="majorEastAsia"/>
          <w:lang w:val="es-PR"/>
        </w:rPr>
        <w:footnoteRef/>
      </w:r>
      <w:r w:rsidRPr="007E666D">
        <w:rPr>
          <w:vertAlign w:val="superscript"/>
          <w:lang w:val="es-PR"/>
        </w:rPr>
        <w:t xml:space="preserve"> </w:t>
      </w:r>
      <w:r w:rsidRPr="007E666D">
        <w:rPr>
          <w:lang w:val="es-PR"/>
        </w:rPr>
        <w:tab/>
        <w:t>Los artículos 62 y 64 del Reglamento de la Corte establecen: “Artículo 62. Reconocimiento: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“Artículo 64. Prosecución del examen del caso: La Corte, teniendo en cuenta las responsabilidades que le incumben de proteger los derechos humanos, podrá decidir que prosiga el examen del caso, aun en presencia de los supuestos señalados en los artículos precedentes”.</w:t>
      </w:r>
    </w:p>
  </w:footnote>
  <w:footnote w:id="8">
    <w:p w:rsidR="00D57F75" w:rsidRPr="007E666D" w:rsidRDefault="00D57F75" w:rsidP="007C6BB7">
      <w:pPr>
        <w:pStyle w:val="Footnotes"/>
        <w:tabs>
          <w:tab w:val="clear" w:pos="567"/>
          <w:tab w:val="left" w:pos="450"/>
        </w:tabs>
        <w:contextualSpacing/>
        <w:rPr>
          <w:rFonts w:cs="Times New Roman"/>
          <w:lang w:val="es-PR"/>
        </w:rPr>
      </w:pPr>
      <w:r w:rsidRPr="007E666D">
        <w:rPr>
          <w:rStyle w:val="FootnoteReference"/>
          <w:rFonts w:eastAsiaTheme="majorEastAsia"/>
          <w:lang w:val="es-PR"/>
        </w:rPr>
        <w:footnoteRef/>
      </w:r>
      <w:r w:rsidRPr="007E666D">
        <w:rPr>
          <w:rFonts w:cs="Times New Roman"/>
          <w:lang w:val="es-PR"/>
        </w:rPr>
        <w:tab/>
      </w:r>
      <w:r w:rsidRPr="007E666D">
        <w:rPr>
          <w:i/>
          <w:lang w:val="es-PR"/>
        </w:rPr>
        <w:t>Cfr.</w:t>
      </w:r>
      <w:r w:rsidRPr="007E666D">
        <w:rPr>
          <w:bCs/>
          <w:i/>
          <w:lang w:val="es-PR"/>
        </w:rPr>
        <w:t xml:space="preserve"> </w:t>
      </w:r>
      <w:r w:rsidRPr="007E666D">
        <w:rPr>
          <w:i/>
          <w:lang w:val="es-PR"/>
        </w:rPr>
        <w:t xml:space="preserve">Caso Kimel Vs. Argentina. Fondo, Reparaciones y Costas. </w:t>
      </w:r>
      <w:r w:rsidRPr="007E666D">
        <w:rPr>
          <w:lang w:val="es-PR"/>
        </w:rPr>
        <w:t xml:space="preserve">Sentencia de 2 de mayo de 2008. Serie C No. 177, párr. 24, y </w:t>
      </w:r>
      <w:r w:rsidRPr="007E666D">
        <w:rPr>
          <w:i/>
          <w:lang w:val="es-PR"/>
        </w:rPr>
        <w:t>Caso Rodríguez Vera y otros (Desaparecidos del Palacio de Justicia) Vs. Colombia. Excepciones Preliminares, Fondo, Reparaciones y Costas.</w:t>
      </w:r>
      <w:r w:rsidRPr="007E666D">
        <w:rPr>
          <w:lang w:val="es-PR"/>
        </w:rPr>
        <w:t xml:space="preserve"> Sentencia de 14 de noviembre de 2014. Serie C No. 287</w:t>
      </w:r>
      <w:r w:rsidRPr="007E666D">
        <w:rPr>
          <w:i/>
          <w:lang w:val="es-PR"/>
        </w:rPr>
        <w:t xml:space="preserve">, </w:t>
      </w:r>
      <w:r w:rsidRPr="007E666D">
        <w:rPr>
          <w:lang w:val="es-PR"/>
        </w:rPr>
        <w:t xml:space="preserve">párr. 27. </w:t>
      </w:r>
    </w:p>
  </w:footnote>
  <w:footnote w:id="9">
    <w:p w:rsidR="00D57F75" w:rsidRPr="007E666D" w:rsidRDefault="00D57F75" w:rsidP="007C6BB7">
      <w:pPr>
        <w:pStyle w:val="Footnotes"/>
        <w:tabs>
          <w:tab w:val="clear" w:pos="567"/>
          <w:tab w:val="left" w:pos="450"/>
        </w:tabs>
        <w:contextualSpacing/>
        <w:rPr>
          <w:rFonts w:cs="Times New Roman"/>
          <w:lang w:val="es-PR"/>
        </w:rPr>
      </w:pPr>
      <w:r w:rsidRPr="007E666D">
        <w:rPr>
          <w:rStyle w:val="FootnoteReference"/>
          <w:rFonts w:eastAsiaTheme="majorEastAsia"/>
          <w:lang w:val="es-PR"/>
        </w:rPr>
        <w:footnoteRef/>
      </w:r>
      <w:r w:rsidRPr="007E666D">
        <w:rPr>
          <w:vertAlign w:val="superscript"/>
          <w:lang w:val="es-PR"/>
        </w:rPr>
        <w:t xml:space="preserve"> </w:t>
      </w:r>
      <w:r w:rsidRPr="007E666D">
        <w:rPr>
          <w:lang w:val="es-PR"/>
        </w:rPr>
        <w:tab/>
      </w:r>
      <w:r w:rsidRPr="007E666D">
        <w:rPr>
          <w:i/>
          <w:lang w:val="es-PR"/>
        </w:rPr>
        <w:t>Cfr. Caso Manuel Cepeda Vargas Vs. Colombia. Excepciones Preliminares, Fondo, Reparaciones y Costas.</w:t>
      </w:r>
      <w:r w:rsidRPr="007E666D">
        <w:rPr>
          <w:lang w:val="es-PR"/>
        </w:rPr>
        <w:t xml:space="preserve"> Sentencia de 26 de mayo de 2010. Serie C No. 213, párr. 17, y </w:t>
      </w:r>
      <w:r w:rsidRPr="007E666D">
        <w:rPr>
          <w:i/>
          <w:lang w:val="es-PR"/>
        </w:rPr>
        <w:t xml:space="preserve">Caso Rodríguez Vera y otros (Desaparecidos del Palacio de Justicia) Vs. Colombia, supra, </w:t>
      </w:r>
      <w:r w:rsidRPr="007E666D">
        <w:rPr>
          <w:lang w:val="es-PR"/>
        </w:rPr>
        <w:t>párr. 27.</w:t>
      </w:r>
    </w:p>
  </w:footnote>
  <w:footnote w:id="10">
    <w:p w:rsidR="00D57F75" w:rsidRPr="007E666D" w:rsidRDefault="00D57F75" w:rsidP="007C6BB7">
      <w:pPr>
        <w:pStyle w:val="Footnotes"/>
        <w:tabs>
          <w:tab w:val="clear" w:pos="567"/>
          <w:tab w:val="left" w:pos="450"/>
        </w:tabs>
        <w:contextualSpacing/>
        <w:rPr>
          <w:lang w:val="es-PR"/>
        </w:rPr>
      </w:pPr>
      <w:r w:rsidRPr="007E666D">
        <w:rPr>
          <w:rStyle w:val="FootnoteReference"/>
          <w:rFonts w:eastAsiaTheme="majorEastAsia"/>
          <w:lang w:val="es-PR"/>
        </w:rPr>
        <w:footnoteRef/>
      </w:r>
      <w:r w:rsidRPr="007E666D">
        <w:rPr>
          <w:vertAlign w:val="superscript"/>
          <w:lang w:val="es-PR"/>
        </w:rPr>
        <w:t xml:space="preserve"> </w:t>
      </w:r>
      <w:r w:rsidRPr="007E666D">
        <w:rPr>
          <w:vertAlign w:val="superscript"/>
          <w:lang w:val="es-PR"/>
        </w:rPr>
        <w:tab/>
      </w:r>
      <w:r w:rsidRPr="007E666D">
        <w:rPr>
          <w:i/>
          <w:lang w:val="es-PR"/>
        </w:rPr>
        <w:t>Cfr. Caso Kawas Fernández Vs. Honduras. Fondo, Reparaciones y Costas.</w:t>
      </w:r>
      <w:r w:rsidRPr="007E666D">
        <w:rPr>
          <w:lang w:val="es-PR"/>
        </w:rPr>
        <w:t xml:space="preserve"> Sentencia de 3 de abril de 2009. Serie C No. 196, párr. 25, y</w:t>
      </w:r>
      <w:r w:rsidRPr="007E666D">
        <w:rPr>
          <w:i/>
          <w:lang w:val="es-PR"/>
        </w:rPr>
        <w:t xml:space="preserve"> Caso Rodríguez Vera y otros (Desaparecidos del Palacio de Justicia) Vs. Colombia, supra, </w:t>
      </w:r>
      <w:r w:rsidRPr="007E666D">
        <w:rPr>
          <w:lang w:val="es-PR"/>
        </w:rPr>
        <w:t>párr. 27.</w:t>
      </w:r>
    </w:p>
  </w:footnote>
  <w:footnote w:id="11">
    <w:p w:rsidR="00D57F75" w:rsidRPr="007E666D" w:rsidRDefault="00D57F75" w:rsidP="007C6BB7">
      <w:pPr>
        <w:tabs>
          <w:tab w:val="left" w:pos="450"/>
          <w:tab w:val="left" w:pos="567"/>
        </w:tabs>
        <w:spacing w:after="0" w:line="240" w:lineRule="auto"/>
        <w:contextualSpacing/>
        <w:jc w:val="both"/>
        <w:rPr>
          <w:rFonts w:ascii="Verdana" w:hAnsi="Verdana"/>
          <w:i/>
          <w:sz w:val="16"/>
          <w:szCs w:val="16"/>
          <w:lang w:val="es-PR"/>
        </w:rPr>
      </w:pPr>
      <w:r w:rsidRPr="007E666D">
        <w:rPr>
          <w:rStyle w:val="FootnoteReference"/>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bCs/>
          <w:i/>
          <w:color w:val="000000"/>
          <w:sz w:val="16"/>
          <w:szCs w:val="16"/>
          <w:lang w:val="es-PR"/>
        </w:rPr>
        <w:t>Caso</w:t>
      </w:r>
      <w:r w:rsidRPr="007E666D">
        <w:rPr>
          <w:rFonts w:ascii="Verdana" w:hAnsi="Verdana"/>
          <w:bCs/>
          <w:color w:val="000000"/>
          <w:sz w:val="16"/>
          <w:szCs w:val="16"/>
          <w:lang w:val="es-PR"/>
        </w:rPr>
        <w:t xml:space="preserve"> </w:t>
      </w:r>
      <w:r w:rsidRPr="007E666D">
        <w:rPr>
          <w:rFonts w:ascii="Verdana" w:hAnsi="Verdana"/>
          <w:bCs/>
          <w:i/>
          <w:color w:val="000000"/>
          <w:sz w:val="16"/>
          <w:szCs w:val="16"/>
          <w:lang w:val="es-PR"/>
        </w:rPr>
        <w:t xml:space="preserve">Tiu Tojín Vs. Guatemala. </w:t>
      </w:r>
      <w:r w:rsidRPr="007E666D">
        <w:rPr>
          <w:rFonts w:ascii="Verdana" w:hAnsi="Verdana"/>
          <w:i/>
          <w:color w:val="000000"/>
          <w:sz w:val="16"/>
          <w:szCs w:val="16"/>
          <w:lang w:val="es-PR"/>
        </w:rPr>
        <w:t>Fondo, Reparaciones y Costas</w:t>
      </w:r>
      <w:r w:rsidRPr="007E666D">
        <w:rPr>
          <w:rFonts w:ascii="Verdana" w:hAnsi="Verdana"/>
          <w:color w:val="000000"/>
          <w:sz w:val="16"/>
          <w:szCs w:val="16"/>
          <w:lang w:val="es-PR"/>
        </w:rPr>
        <w:t xml:space="preserve">. Sentencia de 26 de noviembre de 2008. Serie C No. 190, párr. 26, y </w:t>
      </w:r>
      <w:r w:rsidRPr="007E666D">
        <w:rPr>
          <w:rFonts w:ascii="Verdana" w:hAnsi="Verdana"/>
          <w:i/>
          <w:color w:val="000000"/>
          <w:sz w:val="16"/>
          <w:szCs w:val="16"/>
          <w:lang w:val="es-PR"/>
        </w:rPr>
        <w:t>Caso Rodríguez Vera y otros (Desaparecidos del Palacio de Justicia) Vs. Colombia</w:t>
      </w:r>
      <w:r w:rsidRPr="007E666D">
        <w:rPr>
          <w:rFonts w:ascii="Verdana" w:hAnsi="Verdana"/>
          <w:i/>
          <w:sz w:val="16"/>
          <w:szCs w:val="16"/>
          <w:lang w:val="es-PR"/>
        </w:rPr>
        <w:t>, supra,</w:t>
      </w:r>
      <w:r w:rsidRPr="007E666D">
        <w:rPr>
          <w:rFonts w:ascii="Verdana" w:hAnsi="Verdana"/>
          <w:color w:val="000000"/>
          <w:sz w:val="16"/>
          <w:szCs w:val="16"/>
          <w:lang w:val="es-PR"/>
        </w:rPr>
        <w:t xml:space="preserve"> párr</w:t>
      </w:r>
      <w:r w:rsidRPr="007E666D">
        <w:rPr>
          <w:rFonts w:ascii="Verdana" w:eastAsia="Batang" w:hAnsi="Verdana"/>
          <w:sz w:val="16"/>
          <w:szCs w:val="16"/>
          <w:lang w:val="es-PR"/>
        </w:rPr>
        <w:t xml:space="preserve">. 33. </w:t>
      </w:r>
    </w:p>
  </w:footnote>
  <w:footnote w:id="12">
    <w:p w:rsidR="00D57F75" w:rsidRPr="007E666D" w:rsidRDefault="00D57F75" w:rsidP="007C6BB7">
      <w:pPr>
        <w:pStyle w:val="FootnoteText"/>
        <w:tabs>
          <w:tab w:val="left" w:pos="450"/>
        </w:tabs>
        <w:contextualSpacing/>
        <w:jc w:val="both"/>
        <w:rPr>
          <w:rFonts w:ascii="Verdana" w:hAnsi="Verdana"/>
          <w:strike/>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a</w:t>
      </w:r>
      <w:r w:rsidRPr="007E666D">
        <w:rPr>
          <w:rFonts w:ascii="Verdana" w:eastAsia="Verdana" w:hAnsi="Verdana" w:cs="Verdana"/>
          <w:i/>
          <w:spacing w:val="-2"/>
          <w:sz w:val="16"/>
          <w:szCs w:val="16"/>
          <w:lang w:val="es-PR"/>
        </w:rPr>
        <w:t>s</w:t>
      </w:r>
      <w:r w:rsidRPr="007E666D">
        <w:rPr>
          <w:rFonts w:ascii="Verdana" w:eastAsia="Verdana" w:hAnsi="Verdana" w:cs="Verdana"/>
          <w:i/>
          <w:sz w:val="16"/>
          <w:szCs w:val="16"/>
          <w:lang w:val="es-PR"/>
        </w:rPr>
        <w:t>o</w:t>
      </w:r>
      <w:r w:rsidRPr="007E666D">
        <w:rPr>
          <w:rFonts w:ascii="Verdana" w:eastAsia="Verdana" w:hAnsi="Verdana" w:cs="Verdana"/>
          <w:i/>
          <w:spacing w:val="3"/>
          <w:sz w:val="16"/>
          <w:szCs w:val="16"/>
          <w:lang w:val="es-PR"/>
        </w:rPr>
        <w:t xml:space="preserve"> </w:t>
      </w:r>
      <w:r w:rsidRPr="007E666D">
        <w:rPr>
          <w:rFonts w:ascii="Verdana" w:eastAsia="Verdana" w:hAnsi="Verdana" w:cs="Verdana"/>
          <w:i/>
          <w:sz w:val="16"/>
          <w:szCs w:val="16"/>
          <w:lang w:val="es-PR"/>
        </w:rPr>
        <w:t>Ne</w:t>
      </w:r>
      <w:r w:rsidRPr="007E666D">
        <w:rPr>
          <w:rFonts w:ascii="Verdana" w:eastAsia="Verdana" w:hAnsi="Verdana" w:cs="Verdana"/>
          <w:i/>
          <w:spacing w:val="-1"/>
          <w:sz w:val="16"/>
          <w:szCs w:val="16"/>
          <w:lang w:val="es-PR"/>
        </w:rPr>
        <w:t>i</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 xml:space="preserve">a </w:t>
      </w:r>
      <w:r w:rsidRPr="007E666D">
        <w:rPr>
          <w:rFonts w:ascii="Verdana" w:eastAsia="Verdana" w:hAnsi="Verdana" w:cs="Verdana"/>
          <w:i/>
          <w:spacing w:val="1"/>
          <w:sz w:val="16"/>
          <w:szCs w:val="16"/>
          <w:lang w:val="es-PR"/>
        </w:rPr>
        <w:t>A</w:t>
      </w:r>
      <w:r w:rsidRPr="007E666D">
        <w:rPr>
          <w:rFonts w:ascii="Verdana" w:eastAsia="Verdana" w:hAnsi="Verdana" w:cs="Verdana"/>
          <w:i/>
          <w:spacing w:val="-1"/>
          <w:sz w:val="16"/>
          <w:szCs w:val="16"/>
          <w:lang w:val="es-PR"/>
        </w:rPr>
        <w:t>l</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g</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í</w:t>
      </w:r>
      <w:r w:rsidRPr="007E666D">
        <w:rPr>
          <w:rFonts w:ascii="Verdana" w:eastAsia="Verdana" w:hAnsi="Verdana" w:cs="Verdana"/>
          <w:i/>
          <w:sz w:val="16"/>
          <w:szCs w:val="16"/>
          <w:lang w:val="es-PR"/>
        </w:rPr>
        <w:t>a</w:t>
      </w:r>
      <w:r w:rsidRPr="007E666D">
        <w:rPr>
          <w:rFonts w:ascii="Verdana" w:eastAsia="Verdana" w:hAnsi="Verdana" w:cs="Verdana"/>
          <w:i/>
          <w:spacing w:val="2"/>
          <w:sz w:val="16"/>
          <w:szCs w:val="16"/>
          <w:lang w:val="es-PR"/>
        </w:rPr>
        <w:t xml:space="preserve"> </w:t>
      </w:r>
      <w:r w:rsidRPr="007E666D">
        <w:rPr>
          <w:rFonts w:ascii="Verdana" w:eastAsia="Verdana" w:hAnsi="Verdana" w:cs="Verdana"/>
          <w:i/>
          <w:sz w:val="16"/>
          <w:szCs w:val="16"/>
          <w:lang w:val="es-PR"/>
        </w:rPr>
        <w:t>y</w:t>
      </w:r>
      <w:r w:rsidRPr="007E666D">
        <w:rPr>
          <w:rFonts w:ascii="Verdana" w:eastAsia="Verdana" w:hAnsi="Verdana" w:cs="Verdana"/>
          <w:i/>
          <w:spacing w:val="1"/>
          <w:sz w:val="16"/>
          <w:szCs w:val="16"/>
          <w:lang w:val="es-PR"/>
        </w:rPr>
        <w:t xml:space="preserve"> o</w:t>
      </w:r>
      <w:r w:rsidRPr="007E666D">
        <w:rPr>
          <w:rFonts w:ascii="Verdana" w:eastAsia="Verdana" w:hAnsi="Verdana" w:cs="Verdana"/>
          <w:i/>
          <w:spacing w:val="-1"/>
          <w:sz w:val="16"/>
          <w:szCs w:val="16"/>
          <w:lang w:val="es-PR"/>
        </w:rPr>
        <w:t>tr</w:t>
      </w:r>
      <w:r w:rsidRPr="007E666D">
        <w:rPr>
          <w:rFonts w:ascii="Verdana" w:eastAsia="Verdana" w:hAnsi="Verdana" w:cs="Verdana"/>
          <w:i/>
          <w:spacing w:val="1"/>
          <w:sz w:val="16"/>
          <w:szCs w:val="16"/>
          <w:lang w:val="es-PR"/>
        </w:rPr>
        <w:t>o</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 xml:space="preserve"> V</w:t>
      </w:r>
      <w:r w:rsidRPr="007E666D">
        <w:rPr>
          <w:rFonts w:ascii="Verdana" w:eastAsia="Verdana" w:hAnsi="Verdana" w:cs="Verdana"/>
          <w:i/>
          <w:sz w:val="16"/>
          <w:szCs w:val="16"/>
          <w:lang w:val="es-PR"/>
        </w:rPr>
        <w:t>s.</w:t>
      </w:r>
      <w:r w:rsidRPr="007E666D">
        <w:rPr>
          <w:rFonts w:ascii="Verdana" w:eastAsia="Verdana" w:hAnsi="Verdana" w:cs="Verdana"/>
          <w:i/>
          <w:spacing w:val="2"/>
          <w:sz w:val="16"/>
          <w:szCs w:val="16"/>
          <w:lang w:val="es-PR"/>
        </w:rPr>
        <w:t xml:space="preserve"> </w:t>
      </w:r>
      <w:r w:rsidRPr="007E666D">
        <w:rPr>
          <w:rFonts w:ascii="Verdana" w:eastAsia="Verdana" w:hAnsi="Verdana" w:cs="Verdana"/>
          <w:i/>
          <w:spacing w:val="-1"/>
          <w:sz w:val="16"/>
          <w:szCs w:val="16"/>
          <w:lang w:val="es-PR"/>
        </w:rPr>
        <w:t>P</w:t>
      </w:r>
      <w:r w:rsidRPr="007E666D">
        <w:rPr>
          <w:rFonts w:ascii="Verdana" w:eastAsia="Verdana" w:hAnsi="Verdana" w:cs="Verdana"/>
          <w:i/>
          <w:spacing w:val="-2"/>
          <w:sz w:val="16"/>
          <w:szCs w:val="16"/>
          <w:lang w:val="es-PR"/>
        </w:rPr>
        <w:t>e</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ú</w:t>
      </w:r>
      <w:r w:rsidRPr="007E666D">
        <w:rPr>
          <w:rFonts w:ascii="Verdana" w:eastAsia="Verdana" w:hAnsi="Verdana" w:cs="Verdana"/>
          <w:i/>
          <w:sz w:val="16"/>
          <w:szCs w:val="16"/>
          <w:lang w:val="es-PR"/>
        </w:rPr>
        <w:t>.</w:t>
      </w:r>
      <w:r w:rsidRPr="007E666D">
        <w:rPr>
          <w:rFonts w:ascii="Verdana" w:eastAsia="Verdana" w:hAnsi="Verdana" w:cs="Verdana"/>
          <w:i/>
          <w:spacing w:val="2"/>
          <w:sz w:val="16"/>
          <w:szCs w:val="16"/>
          <w:lang w:val="es-PR"/>
        </w:rPr>
        <w:t xml:space="preserve"> </w:t>
      </w:r>
      <w:r w:rsidRPr="007E666D">
        <w:rPr>
          <w:rFonts w:ascii="Verdana" w:eastAsia="Verdana" w:hAnsi="Verdana" w:cs="Verdana"/>
          <w:i/>
          <w:spacing w:val="-1"/>
          <w:sz w:val="16"/>
          <w:szCs w:val="16"/>
          <w:lang w:val="es-PR"/>
        </w:rPr>
        <w:t>E</w:t>
      </w:r>
      <w:r w:rsidRPr="007E666D">
        <w:rPr>
          <w:rFonts w:ascii="Verdana" w:eastAsia="Verdana" w:hAnsi="Verdana" w:cs="Verdana"/>
          <w:i/>
          <w:spacing w:val="1"/>
          <w:sz w:val="16"/>
          <w:szCs w:val="16"/>
          <w:lang w:val="es-PR"/>
        </w:rPr>
        <w:t>x</w:t>
      </w:r>
      <w:r w:rsidRPr="007E666D">
        <w:rPr>
          <w:rFonts w:ascii="Verdana" w:eastAsia="Verdana" w:hAnsi="Verdana" w:cs="Verdana"/>
          <w:i/>
          <w:sz w:val="16"/>
          <w:szCs w:val="16"/>
          <w:lang w:val="es-PR"/>
        </w:rPr>
        <w:t>c</w:t>
      </w:r>
      <w:r w:rsidRPr="007E666D">
        <w:rPr>
          <w:rFonts w:ascii="Verdana" w:eastAsia="Verdana" w:hAnsi="Verdana" w:cs="Verdana"/>
          <w:i/>
          <w:spacing w:val="-2"/>
          <w:sz w:val="16"/>
          <w:szCs w:val="16"/>
          <w:lang w:val="es-PR"/>
        </w:rPr>
        <w:t>e</w:t>
      </w:r>
      <w:r w:rsidRPr="007E666D">
        <w:rPr>
          <w:rFonts w:ascii="Verdana" w:eastAsia="Verdana" w:hAnsi="Verdana" w:cs="Verdana"/>
          <w:i/>
          <w:sz w:val="16"/>
          <w:szCs w:val="16"/>
          <w:lang w:val="es-PR"/>
        </w:rPr>
        <w:t>pc</w:t>
      </w:r>
      <w:r w:rsidRPr="007E666D">
        <w:rPr>
          <w:rFonts w:ascii="Verdana" w:eastAsia="Verdana" w:hAnsi="Verdana" w:cs="Verdana"/>
          <w:i/>
          <w:spacing w:val="-1"/>
          <w:sz w:val="16"/>
          <w:szCs w:val="16"/>
          <w:lang w:val="es-PR"/>
        </w:rPr>
        <w:t>i</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n</w:t>
      </w:r>
      <w:r w:rsidRPr="007E666D">
        <w:rPr>
          <w:rFonts w:ascii="Verdana" w:eastAsia="Verdana" w:hAnsi="Verdana" w:cs="Verdana"/>
          <w:i/>
          <w:sz w:val="16"/>
          <w:szCs w:val="16"/>
          <w:lang w:val="es-PR"/>
        </w:rPr>
        <w:t>es</w:t>
      </w:r>
      <w:r w:rsidRPr="007E666D">
        <w:rPr>
          <w:rFonts w:ascii="Verdana" w:eastAsia="Verdana" w:hAnsi="Verdana" w:cs="Verdana"/>
          <w:i/>
          <w:spacing w:val="1"/>
          <w:sz w:val="16"/>
          <w:szCs w:val="16"/>
          <w:lang w:val="es-PR"/>
        </w:rPr>
        <w:t xml:space="preserve"> </w:t>
      </w:r>
      <w:r w:rsidRPr="007E666D">
        <w:rPr>
          <w:rFonts w:ascii="Verdana" w:eastAsia="Verdana" w:hAnsi="Verdana" w:cs="Verdana"/>
          <w:i/>
          <w:spacing w:val="-1"/>
          <w:sz w:val="16"/>
          <w:szCs w:val="16"/>
          <w:lang w:val="es-PR"/>
        </w:rPr>
        <w:t>P</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li</w:t>
      </w:r>
      <w:r w:rsidRPr="007E666D">
        <w:rPr>
          <w:rFonts w:ascii="Verdana" w:eastAsia="Verdana" w:hAnsi="Verdana" w:cs="Verdana"/>
          <w:i/>
          <w:sz w:val="16"/>
          <w:szCs w:val="16"/>
          <w:lang w:val="es-PR"/>
        </w:rPr>
        <w:t>m</w:t>
      </w:r>
      <w:r w:rsidRPr="007E666D">
        <w:rPr>
          <w:rFonts w:ascii="Verdana" w:eastAsia="Verdana" w:hAnsi="Verdana" w:cs="Verdana"/>
          <w:i/>
          <w:spacing w:val="-1"/>
          <w:sz w:val="16"/>
          <w:szCs w:val="16"/>
          <w:lang w:val="es-PR"/>
        </w:rPr>
        <w:t>ina</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e</w:t>
      </w:r>
      <w:r w:rsidRPr="007E666D">
        <w:rPr>
          <w:rFonts w:ascii="Verdana" w:eastAsia="Verdana" w:hAnsi="Verdana" w:cs="Verdana"/>
          <w:i/>
          <w:spacing w:val="4"/>
          <w:sz w:val="16"/>
          <w:szCs w:val="16"/>
          <w:lang w:val="es-PR"/>
        </w:rPr>
        <w:t>s</w:t>
      </w:r>
      <w:r w:rsidRPr="007E666D">
        <w:rPr>
          <w:rFonts w:ascii="Verdana" w:eastAsia="Verdana" w:hAnsi="Verdana" w:cs="Verdana"/>
          <w:sz w:val="16"/>
          <w:szCs w:val="16"/>
          <w:lang w:val="es-PR"/>
        </w:rPr>
        <w:t>. S</w:t>
      </w:r>
      <w:r w:rsidRPr="007E666D">
        <w:rPr>
          <w:rFonts w:ascii="Verdana" w:eastAsia="Verdana" w:hAnsi="Verdana" w:cs="Verdana"/>
          <w:spacing w:val="1"/>
          <w:sz w:val="16"/>
          <w:szCs w:val="16"/>
          <w:lang w:val="es-PR"/>
        </w:rPr>
        <w:t>e</w:t>
      </w:r>
      <w:r w:rsidRPr="007E666D">
        <w:rPr>
          <w:rFonts w:ascii="Verdana" w:eastAsia="Verdana" w:hAnsi="Verdana" w:cs="Verdana"/>
          <w:spacing w:val="-1"/>
          <w:sz w:val="16"/>
          <w:szCs w:val="16"/>
          <w:lang w:val="es-PR"/>
        </w:rPr>
        <w:t>nt</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n</w:t>
      </w:r>
      <w:r w:rsidRPr="007E666D">
        <w:rPr>
          <w:rFonts w:ascii="Verdana" w:eastAsia="Verdana" w:hAnsi="Verdana" w:cs="Verdana"/>
          <w:spacing w:val="-2"/>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a</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3"/>
          <w:sz w:val="16"/>
          <w:szCs w:val="16"/>
          <w:lang w:val="es-PR"/>
        </w:rPr>
        <w:t xml:space="preserve"> </w:t>
      </w:r>
      <w:r w:rsidRPr="007E666D">
        <w:rPr>
          <w:rFonts w:ascii="Verdana" w:eastAsia="Verdana" w:hAnsi="Verdana" w:cs="Verdana"/>
          <w:spacing w:val="-1"/>
          <w:sz w:val="16"/>
          <w:szCs w:val="16"/>
          <w:lang w:val="es-PR"/>
        </w:rPr>
        <w:t>1</w:t>
      </w:r>
      <w:r w:rsidRPr="007E666D">
        <w:rPr>
          <w:rFonts w:ascii="Verdana" w:eastAsia="Verdana" w:hAnsi="Verdana" w:cs="Verdana"/>
          <w:sz w:val="16"/>
          <w:szCs w:val="16"/>
          <w:lang w:val="es-PR"/>
        </w:rPr>
        <w:t>1</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d</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em</w:t>
      </w:r>
      <w:r w:rsidRPr="007E666D">
        <w:rPr>
          <w:rFonts w:ascii="Verdana" w:eastAsia="Verdana" w:hAnsi="Verdana" w:cs="Verdana"/>
          <w:spacing w:val="-2"/>
          <w:sz w:val="16"/>
          <w:szCs w:val="16"/>
          <w:lang w:val="es-PR"/>
        </w:rPr>
        <w:t>b</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
          <w:sz w:val="16"/>
          <w:szCs w:val="16"/>
          <w:lang w:val="es-PR"/>
        </w:rPr>
        <w:t xml:space="preserve"> </w:t>
      </w:r>
      <w:r w:rsidRPr="007E666D">
        <w:rPr>
          <w:rFonts w:ascii="Verdana" w:eastAsia="Verdana" w:hAnsi="Verdana" w:cs="Verdana"/>
          <w:spacing w:val="-1"/>
          <w:sz w:val="16"/>
          <w:szCs w:val="16"/>
          <w:lang w:val="es-PR"/>
        </w:rPr>
        <w:t>1</w:t>
      </w:r>
      <w:r w:rsidRPr="007E666D">
        <w:rPr>
          <w:rFonts w:ascii="Verdana" w:eastAsia="Verdana" w:hAnsi="Verdana" w:cs="Verdana"/>
          <w:spacing w:val="1"/>
          <w:sz w:val="16"/>
          <w:szCs w:val="16"/>
          <w:lang w:val="es-PR"/>
        </w:rPr>
        <w:t>9</w:t>
      </w:r>
      <w:r w:rsidRPr="007E666D">
        <w:rPr>
          <w:rFonts w:ascii="Verdana" w:eastAsia="Verdana" w:hAnsi="Verdana" w:cs="Verdana"/>
          <w:spacing w:val="-1"/>
          <w:sz w:val="16"/>
          <w:szCs w:val="16"/>
          <w:lang w:val="es-PR"/>
        </w:rPr>
        <w:t>9</w:t>
      </w:r>
      <w:r w:rsidRPr="007E666D">
        <w:rPr>
          <w:rFonts w:ascii="Verdana" w:eastAsia="Verdana" w:hAnsi="Verdana" w:cs="Verdana"/>
          <w:spacing w:val="1"/>
          <w:sz w:val="16"/>
          <w:szCs w:val="16"/>
          <w:lang w:val="es-PR"/>
        </w:rPr>
        <w:t>1</w:t>
      </w:r>
      <w:r w:rsidRPr="007E666D">
        <w:rPr>
          <w:rFonts w:ascii="Verdana" w:eastAsia="Verdana" w:hAnsi="Verdana" w:cs="Verdana"/>
          <w:sz w:val="16"/>
          <w:szCs w:val="16"/>
          <w:lang w:val="es-PR"/>
        </w:rPr>
        <w:t>.</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S</w:t>
      </w:r>
      <w:r w:rsidRPr="007E666D">
        <w:rPr>
          <w:rFonts w:ascii="Verdana" w:eastAsia="Verdana" w:hAnsi="Verdana" w:cs="Verdana"/>
          <w:spacing w:val="-2"/>
          <w:sz w:val="16"/>
          <w:szCs w:val="16"/>
          <w:lang w:val="es-PR"/>
        </w:rPr>
        <w:t>e</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C</w:t>
      </w:r>
      <w:r w:rsidRPr="007E666D">
        <w:rPr>
          <w:rFonts w:ascii="Verdana" w:eastAsia="Verdana" w:hAnsi="Verdana" w:cs="Verdana"/>
          <w:spacing w:val="3"/>
          <w:sz w:val="16"/>
          <w:szCs w:val="16"/>
          <w:lang w:val="es-PR"/>
        </w:rPr>
        <w:t xml:space="preserve"> </w:t>
      </w:r>
      <w:r w:rsidRPr="007E666D">
        <w:rPr>
          <w:rFonts w:ascii="Verdana" w:eastAsia="Verdana" w:hAnsi="Verdana" w:cs="Verdana"/>
          <w:sz w:val="16"/>
          <w:szCs w:val="16"/>
          <w:lang w:val="es-PR"/>
        </w:rPr>
        <w:t xml:space="preserve">No. </w:t>
      </w:r>
      <w:r w:rsidRPr="007E666D">
        <w:rPr>
          <w:rFonts w:ascii="Verdana" w:eastAsia="Verdana" w:hAnsi="Verdana" w:cs="Verdana"/>
          <w:spacing w:val="-1"/>
          <w:sz w:val="16"/>
          <w:szCs w:val="16"/>
          <w:lang w:val="es-PR"/>
        </w:rPr>
        <w:t>1</w:t>
      </w:r>
      <w:r w:rsidRPr="007E666D">
        <w:rPr>
          <w:rFonts w:ascii="Verdana" w:eastAsia="Verdana" w:hAnsi="Verdana" w:cs="Verdana"/>
          <w:spacing w:val="1"/>
          <w:sz w:val="16"/>
          <w:szCs w:val="16"/>
          <w:lang w:val="es-PR"/>
        </w:rPr>
        <w:t>3</w:t>
      </w:r>
      <w:r w:rsidRPr="007E666D">
        <w:rPr>
          <w:rFonts w:ascii="Verdana" w:eastAsia="Verdana" w:hAnsi="Verdana" w:cs="Verdana"/>
          <w:sz w:val="16"/>
          <w:szCs w:val="16"/>
          <w:lang w:val="es-PR"/>
        </w:rPr>
        <w:t>,</w:t>
      </w:r>
      <w:r w:rsidRPr="007E666D">
        <w:rPr>
          <w:rFonts w:ascii="Verdana" w:eastAsia="Verdana" w:hAnsi="Verdana" w:cs="Verdana"/>
          <w:spacing w:val="7"/>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3"/>
          <w:sz w:val="16"/>
          <w:szCs w:val="16"/>
          <w:lang w:val="es-PR"/>
        </w:rPr>
        <w:t>á</w:t>
      </w:r>
      <w:r w:rsidRPr="007E666D">
        <w:rPr>
          <w:rFonts w:ascii="Verdana" w:eastAsia="Verdana" w:hAnsi="Verdana" w:cs="Verdana"/>
          <w:spacing w:val="1"/>
          <w:sz w:val="16"/>
          <w:szCs w:val="16"/>
          <w:lang w:val="es-PR"/>
        </w:rPr>
        <w:t>rr</w:t>
      </w:r>
      <w:r w:rsidRPr="007E666D">
        <w:rPr>
          <w:rFonts w:ascii="Verdana" w:eastAsia="Verdana" w:hAnsi="Verdana" w:cs="Verdana"/>
          <w:sz w:val="16"/>
          <w:szCs w:val="16"/>
          <w:lang w:val="es-PR"/>
        </w:rPr>
        <w:t xml:space="preserve">. </w:t>
      </w:r>
      <w:r w:rsidRPr="007E666D">
        <w:rPr>
          <w:rFonts w:ascii="Verdana" w:eastAsia="Verdana" w:hAnsi="Verdana" w:cs="Verdana"/>
          <w:spacing w:val="1"/>
          <w:sz w:val="16"/>
          <w:szCs w:val="16"/>
          <w:lang w:val="es-PR"/>
        </w:rPr>
        <w:t>29</w:t>
      </w:r>
      <w:r w:rsidRPr="007E666D">
        <w:rPr>
          <w:rFonts w:ascii="Verdana" w:eastAsia="Verdana" w:hAnsi="Verdana" w:cs="Verdana"/>
          <w:sz w:val="16"/>
          <w:szCs w:val="16"/>
          <w:lang w:val="es-PR"/>
        </w:rPr>
        <w:t>, y</w:t>
      </w:r>
      <w:r w:rsidRPr="007E666D">
        <w:rPr>
          <w:rFonts w:ascii="Verdana" w:eastAsia="Verdana" w:hAnsi="Verdana" w:cs="Verdana"/>
          <w:spacing w:val="3"/>
          <w:sz w:val="16"/>
          <w:szCs w:val="16"/>
          <w:lang w:val="es-PR"/>
        </w:rPr>
        <w:t xml:space="preserve"> </w:t>
      </w:r>
      <w:r w:rsidRPr="007E666D">
        <w:rPr>
          <w:rFonts w:ascii="Verdana" w:eastAsia="Verdana" w:hAnsi="Verdana" w:cs="Verdana"/>
          <w:i/>
          <w:spacing w:val="1"/>
          <w:sz w:val="16"/>
          <w:szCs w:val="16"/>
          <w:lang w:val="es-PR"/>
        </w:rPr>
        <w:t>Caso Cruz Sánchez y otros Vs. Perú. Excepciones Preliminares, Fondo, Reparaciones y Costas</w:t>
      </w:r>
      <w:r w:rsidRPr="007E666D">
        <w:rPr>
          <w:rFonts w:ascii="Verdana" w:eastAsia="Verdana" w:hAnsi="Verdana" w:cs="Verdana"/>
          <w:spacing w:val="1"/>
          <w:sz w:val="16"/>
          <w:szCs w:val="16"/>
          <w:lang w:val="es-PR"/>
        </w:rPr>
        <w:t>. Sentencia de 17 de abril de 2015. Serie C No. 292, párr. 53.</w:t>
      </w:r>
      <w:r w:rsidRPr="007E666D">
        <w:rPr>
          <w:rFonts w:ascii="Verdana" w:hAnsi="Verdana"/>
          <w:i/>
          <w:sz w:val="16"/>
          <w:szCs w:val="16"/>
          <w:lang w:val="es-PR"/>
        </w:rPr>
        <w:t xml:space="preserve"> </w:t>
      </w:r>
    </w:p>
  </w:footnote>
  <w:footnote w:id="13">
    <w:p w:rsidR="00D57F75" w:rsidRPr="007E666D" w:rsidRDefault="00D57F75" w:rsidP="007C6BB7">
      <w:pPr>
        <w:pStyle w:val="FootnoteText"/>
        <w:tabs>
          <w:tab w:val="left" w:pos="450"/>
        </w:tabs>
        <w:contextualSpacing/>
        <w:jc w:val="both"/>
        <w:rPr>
          <w:rFonts w:ascii="Verdana" w:eastAsia="Batang" w:hAnsi="Verdana" w:cs="Times"/>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eastAsia="Calibri" w:hAnsi="Verdana" w:cs="Verdana"/>
          <w:i/>
          <w:iCs/>
          <w:sz w:val="16"/>
          <w:szCs w:val="16"/>
          <w:lang w:val="es-PR"/>
        </w:rPr>
        <w:t xml:space="preserve">Cfr. Caso Neira Alegría y otros Vs. Perú. Excepciones Preliminares, supra, </w:t>
      </w:r>
      <w:r w:rsidRPr="007E666D">
        <w:rPr>
          <w:rFonts w:ascii="Verdana" w:eastAsia="Calibri" w:hAnsi="Verdana" w:cs="Verdana"/>
          <w:sz w:val="16"/>
          <w:szCs w:val="16"/>
          <w:lang w:val="es-PR"/>
        </w:rPr>
        <w:t xml:space="preserve">párr. 29, y </w:t>
      </w:r>
      <w:r w:rsidRPr="007E666D">
        <w:rPr>
          <w:rFonts w:ascii="Verdana" w:eastAsia="Verdana" w:hAnsi="Verdana" w:cs="Verdana"/>
          <w:i/>
          <w:spacing w:val="1"/>
          <w:sz w:val="16"/>
          <w:szCs w:val="16"/>
          <w:lang w:val="es-PR"/>
        </w:rPr>
        <w:t>Caso Cruz Sánchez y otros Vs. Perú, supra,</w:t>
      </w:r>
      <w:r w:rsidRPr="007E666D">
        <w:rPr>
          <w:rFonts w:ascii="Verdana" w:eastAsia="Verdana" w:hAnsi="Verdana" w:cs="Verdana"/>
          <w:spacing w:val="1"/>
          <w:sz w:val="16"/>
          <w:szCs w:val="16"/>
          <w:lang w:val="es-PR"/>
        </w:rPr>
        <w:t xml:space="preserve"> párr. 53.</w:t>
      </w:r>
    </w:p>
  </w:footnote>
  <w:footnote w:id="14">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Mediante dicho escrito el Estado indicó, en el acápite “Antecedentes”, que “[e]l presente caso está relacionado con la desaparición forzada-ejecución extrajudicial de 15 personas […]”; sin embargo, ni en el acápite de “Consideraciones – Síntesis Procesal” ni en el acápite de “Conclusiones”, donde realiza el reconocimiento de responsabilidad, califica los hechos del caso como desaparición forzada. </w:t>
      </w:r>
      <w:r w:rsidRPr="007E666D">
        <w:rPr>
          <w:rFonts w:ascii="Verdana" w:hAnsi="Verdana"/>
          <w:i/>
          <w:sz w:val="16"/>
          <w:szCs w:val="16"/>
          <w:lang w:val="es-PR"/>
        </w:rPr>
        <w:t xml:space="preserve">Cfr. </w:t>
      </w:r>
      <w:r w:rsidRPr="007E666D">
        <w:rPr>
          <w:rFonts w:ascii="Verdana" w:hAnsi="Verdana"/>
          <w:sz w:val="16"/>
          <w:szCs w:val="16"/>
          <w:lang w:val="es-PR"/>
        </w:rPr>
        <w:t>Escrito del Estado de 17 de enero de 2005 (expediente de prueba, folio 970). Por otra parte, mediante escrito de 23 de septiembre de 1991, el Estado únicamente se refirió a la “</w:t>
      </w:r>
      <w:r w:rsidRPr="007E666D">
        <w:rPr>
          <w:rFonts w:ascii="Verdana" w:hAnsi="Verdana"/>
          <w:sz w:val="16"/>
          <w:szCs w:val="16"/>
          <w:u w:val="single"/>
          <w:lang w:val="es-PR"/>
        </w:rPr>
        <w:t>presunta</w:t>
      </w:r>
      <w:r w:rsidRPr="007E666D">
        <w:rPr>
          <w:rFonts w:ascii="Verdana" w:hAnsi="Verdana"/>
          <w:sz w:val="16"/>
          <w:szCs w:val="16"/>
          <w:lang w:val="es-PR"/>
        </w:rPr>
        <w:t xml:space="preserve"> detención-desaparición de los ciudadanos” (subrayado agregado) y trascribió un Informe Preliminar de la Fiscalía de la Nación, elaborado por el Fiscal Adjunto Provincial de Huancavelica, el cual indicaba que “[s]e ha podido determinar que catorce miembros de la Comunidad Campesina de Santa Bárbara materia de investigación en esta Fiscalía Especial, fueron detenidos el 4 de julio del presente y hasta la fecha se encuentran en situación de desaparecidos, encontrándose entre ellos siete menores de edad. No se ha demostrado en forma fehaciente que los restos hallados en la mina del sector R[odeo]pampa, pertenezcan a las personas desaparecidas”. Escrito de 23 de septiembre de 1991 (expediente de prueba, folios 551 a 553). Para la Corte, las manifestaciones contenidas en los referidos escritos de enero de 2005 y septiembre de 1991 no constituyen un reconocimiento claro por parte del Perú de que los hechos del caso debían ser calificados jurídicamente como desaparición forzada. </w:t>
      </w:r>
    </w:p>
  </w:footnote>
  <w:footnote w:id="15">
    <w:p w:rsidR="00D57F75" w:rsidRPr="007E666D" w:rsidRDefault="00D57F75" w:rsidP="007C6BB7">
      <w:pPr>
        <w:pStyle w:val="FootnoteText"/>
        <w:tabs>
          <w:tab w:val="left" w:pos="450"/>
        </w:tabs>
        <w:contextualSpacing/>
        <w:jc w:val="both"/>
        <w:rPr>
          <w:rFonts w:ascii="Verdana" w:hAnsi="Verdana"/>
          <w:color w:val="000000"/>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color w:val="000000"/>
          <w:sz w:val="16"/>
          <w:szCs w:val="16"/>
          <w:lang w:val="es-PR"/>
        </w:rPr>
        <w:tab/>
      </w:r>
      <w:r w:rsidRPr="007E666D">
        <w:rPr>
          <w:rFonts w:ascii="Verdana" w:hAnsi="Verdana"/>
          <w:i/>
          <w:iCs/>
          <w:color w:val="000000"/>
          <w:sz w:val="16"/>
          <w:szCs w:val="16"/>
          <w:lang w:val="es-PR"/>
        </w:rPr>
        <w:t>Cfr</w:t>
      </w:r>
      <w:r w:rsidRPr="007E666D">
        <w:rPr>
          <w:rFonts w:ascii="Verdana" w:hAnsi="Verdana"/>
          <w:color w:val="000000"/>
          <w:sz w:val="16"/>
          <w:szCs w:val="16"/>
          <w:lang w:val="es-PR"/>
        </w:rPr>
        <w:t xml:space="preserve">. </w:t>
      </w:r>
      <w:r w:rsidRPr="007E666D">
        <w:rPr>
          <w:rFonts w:ascii="Verdana" w:hAnsi="Verdana"/>
          <w:i/>
          <w:iCs/>
          <w:color w:val="000000"/>
          <w:sz w:val="16"/>
          <w:szCs w:val="16"/>
          <w:lang w:val="es-PR"/>
        </w:rPr>
        <w:t>Caso Pacheco Teruel y otros Vs. Honduras.</w:t>
      </w:r>
      <w:r w:rsidRPr="007E666D">
        <w:rPr>
          <w:rFonts w:ascii="Verdana" w:hAnsi="Verdana"/>
          <w:bCs/>
          <w:color w:val="000000"/>
          <w:sz w:val="16"/>
          <w:szCs w:val="16"/>
          <w:lang w:val="es-PR"/>
        </w:rPr>
        <w:t xml:space="preserve"> </w:t>
      </w:r>
      <w:r w:rsidRPr="007E666D">
        <w:rPr>
          <w:rFonts w:ascii="Verdana" w:hAnsi="Verdana"/>
          <w:color w:val="000000"/>
          <w:sz w:val="16"/>
          <w:szCs w:val="16"/>
          <w:lang w:val="es-PR"/>
        </w:rPr>
        <w:t xml:space="preserve">Fondo, Reparaciones y Costas. Sentencia de 27 de abril de 2012 Serie C No. 241, párr. 19, y </w:t>
      </w:r>
      <w:r w:rsidRPr="007E666D">
        <w:rPr>
          <w:rFonts w:ascii="Verdana" w:hAnsi="Verdana"/>
          <w:i/>
          <w:color w:val="000000"/>
          <w:sz w:val="16"/>
          <w:szCs w:val="16"/>
          <w:lang w:val="es-PR"/>
        </w:rPr>
        <w:t>Caso García y familiares Vs. Guatemala. Fondo, Reparaciones y Costas</w:t>
      </w:r>
      <w:r w:rsidRPr="007E666D">
        <w:rPr>
          <w:rFonts w:ascii="Verdana" w:hAnsi="Verdana"/>
          <w:color w:val="000000"/>
          <w:sz w:val="16"/>
          <w:szCs w:val="16"/>
          <w:lang w:val="es-PR"/>
        </w:rPr>
        <w:t>. Sentencia de 29 noviembre de 2012. Serie C No. 258, párr. 23.</w:t>
      </w:r>
    </w:p>
  </w:footnote>
  <w:footnote w:id="16">
    <w:p w:rsidR="00D57F75" w:rsidRPr="007E666D" w:rsidRDefault="00D57F75" w:rsidP="007C6BB7">
      <w:pPr>
        <w:tabs>
          <w:tab w:val="left" w:pos="45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i/>
          <w:iCs/>
          <w:spacing w:val="-4"/>
          <w:sz w:val="16"/>
          <w:szCs w:val="16"/>
          <w:lang w:val="es-PR" w:eastAsia="es-ES_tradnl"/>
        </w:rPr>
        <w:t>Caso Las Palmeras Vs. Colombia. Excepciones Preliminares.</w:t>
      </w:r>
      <w:r w:rsidRPr="007E666D">
        <w:rPr>
          <w:rFonts w:ascii="Verdana" w:hAnsi="Verdana"/>
          <w:iCs/>
          <w:spacing w:val="-4"/>
          <w:sz w:val="16"/>
          <w:szCs w:val="16"/>
          <w:lang w:val="es-PR" w:eastAsia="es-ES_tradnl"/>
        </w:rPr>
        <w:t xml:space="preserve"> </w:t>
      </w:r>
      <w:r w:rsidRPr="007E666D">
        <w:rPr>
          <w:rFonts w:ascii="Verdana" w:hAnsi="Verdana"/>
          <w:spacing w:val="-4"/>
          <w:sz w:val="16"/>
          <w:szCs w:val="16"/>
          <w:lang w:val="es-PR" w:eastAsia="es-ES_tradnl"/>
        </w:rPr>
        <w:t xml:space="preserve">Sentencia de 4 de febrero de 2000. Serie C No. 67, párr. 34, </w:t>
      </w:r>
      <w:r w:rsidRPr="007E666D">
        <w:rPr>
          <w:rFonts w:ascii="Verdana" w:hAnsi="Verdana"/>
          <w:spacing w:val="-4"/>
          <w:sz w:val="16"/>
          <w:szCs w:val="16"/>
          <w:lang w:val="es-PR"/>
        </w:rPr>
        <w:t xml:space="preserve">y </w:t>
      </w:r>
      <w:r w:rsidRPr="007E666D">
        <w:rPr>
          <w:rFonts w:ascii="Verdana" w:hAnsi="Verdana"/>
          <w:i/>
          <w:spacing w:val="-4"/>
          <w:sz w:val="16"/>
          <w:szCs w:val="16"/>
          <w:lang w:val="es-PR"/>
        </w:rPr>
        <w:t>Caso Defensor de Derechos Humanos y otros Vs. Guatemala. Excepciones Preliminares, Fondo, Reparaciones y Costas</w:t>
      </w:r>
      <w:r w:rsidRPr="007E666D">
        <w:rPr>
          <w:rFonts w:ascii="Verdana" w:hAnsi="Verdana"/>
          <w:spacing w:val="-4"/>
          <w:sz w:val="16"/>
          <w:szCs w:val="16"/>
          <w:lang w:val="es-PR"/>
        </w:rPr>
        <w:t>. Sentencia de 28 de agosto de 2014. Serie C No. 283</w:t>
      </w:r>
      <w:r w:rsidRPr="007E666D">
        <w:rPr>
          <w:rFonts w:ascii="Verdana" w:hAnsi="Verdana"/>
          <w:i/>
          <w:spacing w:val="-4"/>
          <w:sz w:val="16"/>
          <w:szCs w:val="16"/>
          <w:lang w:val="es-PR"/>
        </w:rPr>
        <w:t xml:space="preserve">, </w:t>
      </w:r>
      <w:r w:rsidRPr="007E666D">
        <w:rPr>
          <w:rFonts w:ascii="Verdana" w:hAnsi="Verdana"/>
          <w:spacing w:val="-4"/>
          <w:sz w:val="16"/>
          <w:szCs w:val="16"/>
          <w:lang w:val="es-PR"/>
        </w:rPr>
        <w:t>párr. 15.</w:t>
      </w:r>
    </w:p>
  </w:footnote>
  <w:footnote w:id="17">
    <w:p w:rsidR="00D57F75" w:rsidRPr="007E666D" w:rsidRDefault="00D57F75" w:rsidP="007C6BB7">
      <w:pPr>
        <w:tabs>
          <w:tab w:val="left" w:pos="45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Caso Castañeda Gutman Vs. México. Excepciones Preliminares, Fondo, Reparaciones y Costas. </w:t>
      </w:r>
      <w:r w:rsidRPr="007E666D">
        <w:rPr>
          <w:rFonts w:ascii="Verdana" w:hAnsi="Verdana"/>
          <w:spacing w:val="-4"/>
          <w:sz w:val="16"/>
          <w:szCs w:val="16"/>
          <w:lang w:val="es-PR"/>
        </w:rPr>
        <w:t xml:space="preserve">Sentencia de 6 de agosto de 2008. Serie C No. 184, párr. 39, y </w:t>
      </w:r>
      <w:r w:rsidRPr="007E666D">
        <w:rPr>
          <w:rFonts w:ascii="Verdana" w:hAnsi="Verdana"/>
          <w:i/>
          <w:spacing w:val="-4"/>
          <w:sz w:val="16"/>
          <w:szCs w:val="16"/>
          <w:lang w:val="es-PR"/>
        </w:rPr>
        <w:t xml:space="preserve">Caso Defensor de Derechos Humanos y otros Vs. Guatemala, supra, </w:t>
      </w:r>
      <w:r w:rsidRPr="007E666D">
        <w:rPr>
          <w:rFonts w:ascii="Verdana" w:hAnsi="Verdana"/>
          <w:spacing w:val="-4"/>
          <w:sz w:val="16"/>
          <w:szCs w:val="16"/>
          <w:lang w:val="es-PR"/>
        </w:rPr>
        <w:t>párr. 15.</w:t>
      </w:r>
    </w:p>
  </w:footnote>
  <w:footnote w:id="18">
    <w:p w:rsidR="00D57F75" w:rsidRPr="007E666D" w:rsidRDefault="00D57F75" w:rsidP="007C6BB7">
      <w:pPr>
        <w:pStyle w:val="FootnoteText"/>
        <w:tabs>
          <w:tab w:val="left" w:pos="45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Velásquez Rodríguez Vs. Honduras. Excepciones Preliminares.</w:t>
      </w:r>
      <w:r w:rsidRPr="007E666D">
        <w:rPr>
          <w:rFonts w:ascii="Verdana" w:hAnsi="Verdana"/>
          <w:spacing w:val="-4"/>
          <w:sz w:val="16"/>
          <w:szCs w:val="16"/>
          <w:lang w:val="es-PR"/>
        </w:rPr>
        <w:t xml:space="preserve"> Sentencia de 26 de junio de 1987. Serie C No. 1, párr. 85, y </w:t>
      </w:r>
      <w:r w:rsidRPr="007E666D">
        <w:rPr>
          <w:rFonts w:ascii="Verdana" w:hAnsi="Verdana"/>
          <w:i/>
          <w:spacing w:val="-4"/>
          <w:sz w:val="16"/>
          <w:szCs w:val="16"/>
          <w:lang w:val="es-PR"/>
        </w:rPr>
        <w:t>Caso Argüelles y otros Vs. Argentina. Excepciones Preliminares, Fondo, Reparaciones y Costas.</w:t>
      </w:r>
      <w:r w:rsidRPr="007E666D">
        <w:rPr>
          <w:rFonts w:ascii="Verdana" w:hAnsi="Verdana"/>
          <w:spacing w:val="-4"/>
          <w:sz w:val="16"/>
          <w:szCs w:val="16"/>
          <w:lang w:val="es-PR"/>
        </w:rPr>
        <w:t xml:space="preserve"> Sentencia de 20 de noviembre de 2014. Serie C No. 288, párr. 42.</w:t>
      </w:r>
    </w:p>
  </w:footnote>
  <w:footnote w:id="19">
    <w:p w:rsidR="00D57F75" w:rsidRPr="007E666D" w:rsidRDefault="00D57F75" w:rsidP="007C6BB7">
      <w:pPr>
        <w:pStyle w:val="FootnoteText"/>
        <w:tabs>
          <w:tab w:val="left" w:pos="45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Velásquez Rodríguez Vs. Honduras. Excepciones Preliminares, supra,</w:t>
      </w:r>
      <w:r w:rsidRPr="007E666D">
        <w:rPr>
          <w:rFonts w:ascii="Verdana" w:hAnsi="Verdana"/>
          <w:spacing w:val="-4"/>
          <w:sz w:val="16"/>
          <w:szCs w:val="16"/>
          <w:lang w:val="es-PR"/>
        </w:rPr>
        <w:t xml:space="preserve"> párr. 85, </w:t>
      </w:r>
      <w:r w:rsidRPr="007E666D">
        <w:rPr>
          <w:rFonts w:ascii="Verdana" w:hAnsi="Verdana"/>
          <w:i/>
          <w:spacing w:val="-4"/>
          <w:sz w:val="16"/>
          <w:szCs w:val="16"/>
          <w:lang w:val="es-PR"/>
        </w:rPr>
        <w:t>y Caso Granier y otros (Radio Caracas Televisión) Vs. Venezuela. Excepciones Preliminares, Fondo, Reparaciones y Costas</w:t>
      </w:r>
      <w:r w:rsidRPr="007E666D">
        <w:rPr>
          <w:rFonts w:ascii="Verdana" w:hAnsi="Verdana"/>
          <w:spacing w:val="-4"/>
          <w:sz w:val="16"/>
          <w:szCs w:val="16"/>
          <w:lang w:val="es-PR"/>
        </w:rPr>
        <w:t>. Sentencia de 22 de junio de 2015. Serie C No. 293, párr. 28.</w:t>
      </w:r>
    </w:p>
  </w:footnote>
  <w:footnote w:id="20">
    <w:p w:rsidR="00D57F75" w:rsidRPr="007E666D" w:rsidRDefault="00D57F75" w:rsidP="007C6BB7">
      <w:pPr>
        <w:tabs>
          <w:tab w:val="left" w:pos="450"/>
        </w:tabs>
        <w:spacing w:after="0" w:line="240" w:lineRule="auto"/>
        <w:contextualSpacing/>
        <w:jc w:val="both"/>
        <w:rPr>
          <w:rFonts w:ascii="Verdana" w:hAnsi="Verdana"/>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z w:val="16"/>
          <w:szCs w:val="16"/>
          <w:lang w:val="es-PR"/>
        </w:rPr>
        <w:t xml:space="preserve"> Escrito del Estado de 21 de septiembre de 1992</w:t>
      </w:r>
      <w:r w:rsidRPr="007E666D">
        <w:rPr>
          <w:rFonts w:ascii="Verdana" w:hAnsi="Verdana"/>
          <w:i/>
          <w:spacing w:val="-4"/>
          <w:sz w:val="16"/>
          <w:szCs w:val="16"/>
          <w:lang w:val="es-PR"/>
        </w:rPr>
        <w:t xml:space="preserve">, </w:t>
      </w:r>
      <w:r w:rsidRPr="007E666D">
        <w:rPr>
          <w:rFonts w:ascii="Verdana" w:hAnsi="Verdana"/>
          <w:sz w:val="16"/>
          <w:szCs w:val="16"/>
          <w:lang w:val="es-PR"/>
        </w:rPr>
        <w:t>recibido por la Comisión el 23 de septiembre de 1992 (expediente de prueba, folio 400); Escrito del Estado de 7 de diciembre de 2010 recibido por la Comisión el 25 de enero de 2011 (expediente de prueba, folios 673 a 681); Escrito del Estado de</w:t>
      </w:r>
      <w:r w:rsidRPr="007E666D">
        <w:rPr>
          <w:rFonts w:ascii="Verdana" w:hAnsi="Verdana"/>
          <w:i/>
          <w:spacing w:val="-4"/>
          <w:sz w:val="16"/>
          <w:szCs w:val="16"/>
          <w:lang w:val="es-PR"/>
        </w:rPr>
        <w:t xml:space="preserve"> </w:t>
      </w:r>
      <w:r w:rsidRPr="007E666D">
        <w:rPr>
          <w:rFonts w:ascii="Verdana" w:hAnsi="Verdana"/>
          <w:sz w:val="16"/>
          <w:szCs w:val="16"/>
          <w:lang w:val="es-PR"/>
        </w:rPr>
        <w:t>21 de marzo de 2011 (expediente de prueba, folios 737 a 746), y Escrito del Estado de</w:t>
      </w:r>
      <w:r w:rsidRPr="007E666D">
        <w:rPr>
          <w:rFonts w:ascii="Verdana" w:hAnsi="Verdana"/>
          <w:i/>
          <w:spacing w:val="-4"/>
          <w:sz w:val="16"/>
          <w:szCs w:val="16"/>
          <w:lang w:val="es-PR"/>
        </w:rPr>
        <w:t xml:space="preserve"> </w:t>
      </w:r>
      <w:r w:rsidRPr="007E666D">
        <w:rPr>
          <w:rFonts w:ascii="Verdana" w:hAnsi="Verdana"/>
          <w:sz w:val="16"/>
          <w:szCs w:val="16"/>
          <w:lang w:val="es-PR"/>
        </w:rPr>
        <w:t>17 de mayo de 2011 (expediente de prueba, folios 690 a 694).</w:t>
      </w:r>
    </w:p>
  </w:footnote>
  <w:footnote w:id="21">
    <w:p w:rsidR="00D57F75" w:rsidRPr="007E666D" w:rsidRDefault="00D57F75" w:rsidP="007C6BB7">
      <w:pPr>
        <w:pStyle w:val="FootnoteText"/>
        <w:tabs>
          <w:tab w:val="left" w:pos="450"/>
          <w:tab w:val="left" w:pos="54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iCs/>
          <w:color w:val="000000"/>
          <w:sz w:val="16"/>
          <w:szCs w:val="16"/>
          <w:lang w:val="es-PR"/>
        </w:rPr>
        <w:t xml:space="preserve">Cfr. Caso Manuel Cepeda Vargas Vs. Colombia, supra, </w:t>
      </w:r>
      <w:r w:rsidRPr="007E666D">
        <w:rPr>
          <w:rFonts w:ascii="Verdana" w:hAnsi="Verdana"/>
          <w:iCs/>
          <w:color w:val="000000"/>
          <w:sz w:val="16"/>
          <w:szCs w:val="16"/>
          <w:lang w:val="es-PR"/>
        </w:rPr>
        <w:t>párr. 26</w:t>
      </w:r>
      <w:r w:rsidRPr="007E666D">
        <w:rPr>
          <w:rFonts w:ascii="Verdana" w:hAnsi="Verdana"/>
          <w:i/>
          <w:iCs/>
          <w:color w:val="000000"/>
          <w:sz w:val="16"/>
          <w:szCs w:val="16"/>
          <w:lang w:val="es-PR"/>
        </w:rPr>
        <w:t>, y Caso Rodríguez Vera y otros (Desaparecidos del Palacio de Justicia) Vs. Colombia</w:t>
      </w:r>
      <w:r w:rsidRPr="007E666D">
        <w:rPr>
          <w:rFonts w:ascii="Verdana" w:hAnsi="Verdana"/>
          <w:iCs/>
          <w:color w:val="000000"/>
          <w:sz w:val="16"/>
          <w:szCs w:val="16"/>
          <w:lang w:val="es-PR"/>
        </w:rPr>
        <w:t xml:space="preserve">, </w:t>
      </w:r>
      <w:r w:rsidRPr="007E666D">
        <w:rPr>
          <w:rFonts w:ascii="Verdana" w:hAnsi="Verdana"/>
          <w:i/>
          <w:iCs/>
          <w:color w:val="000000"/>
          <w:sz w:val="16"/>
          <w:szCs w:val="16"/>
          <w:lang w:val="es-PR"/>
        </w:rPr>
        <w:t xml:space="preserve">supra, </w:t>
      </w:r>
      <w:r w:rsidRPr="007E666D">
        <w:rPr>
          <w:rFonts w:ascii="Verdana" w:hAnsi="Verdana"/>
          <w:iCs/>
          <w:color w:val="000000"/>
          <w:sz w:val="16"/>
          <w:szCs w:val="16"/>
          <w:lang w:val="es-PR"/>
        </w:rPr>
        <w:t>párr. 37.</w:t>
      </w:r>
    </w:p>
  </w:footnote>
  <w:footnote w:id="22">
    <w:p w:rsidR="00D57F75" w:rsidRPr="007E666D" w:rsidRDefault="00D57F75" w:rsidP="007C6BB7">
      <w:pPr>
        <w:pStyle w:val="FootnoteText"/>
        <w:tabs>
          <w:tab w:val="left" w:pos="450"/>
          <w:tab w:val="left" w:pos="54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 Caso Velásquez Rodríguez Vs. Honduras. Excepciones Preliminares, supra</w:t>
      </w:r>
      <w:r w:rsidRPr="007E666D">
        <w:rPr>
          <w:rFonts w:ascii="Verdana" w:hAnsi="Verdana"/>
          <w:sz w:val="16"/>
          <w:szCs w:val="16"/>
          <w:lang w:val="es-PR"/>
        </w:rPr>
        <w:t xml:space="preserve">, párrs. 88 y 91, y </w:t>
      </w:r>
      <w:r w:rsidRPr="007E666D">
        <w:rPr>
          <w:rFonts w:ascii="Verdana" w:hAnsi="Verdana"/>
          <w:i/>
          <w:sz w:val="16"/>
          <w:szCs w:val="16"/>
          <w:lang w:val="es-PR"/>
        </w:rPr>
        <w:t>Caso Cruz Sánchez y otros Vs. Perú, supra,</w:t>
      </w:r>
      <w:r w:rsidRPr="007E666D">
        <w:rPr>
          <w:rFonts w:ascii="Verdana" w:hAnsi="Verdana"/>
          <w:sz w:val="16"/>
          <w:szCs w:val="16"/>
          <w:lang w:val="es-PR"/>
        </w:rPr>
        <w:t xml:space="preserve"> párr. 49.</w:t>
      </w:r>
    </w:p>
  </w:footnote>
  <w:footnote w:id="23">
    <w:p w:rsidR="00D57F75" w:rsidRPr="007E666D" w:rsidRDefault="00D57F75" w:rsidP="007C6BB7">
      <w:pPr>
        <w:pStyle w:val="FootnoteText"/>
        <w:tabs>
          <w:tab w:val="left" w:pos="450"/>
          <w:tab w:val="left" w:pos="54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 Caso Reverón Trujillo Vs. Venezuela. Excepción Preliminar, Fondo, Reparaciones y Costas</w:t>
      </w:r>
      <w:r w:rsidRPr="007E666D">
        <w:rPr>
          <w:rFonts w:ascii="Verdana" w:hAnsi="Verdana"/>
          <w:sz w:val="16"/>
          <w:szCs w:val="16"/>
          <w:lang w:val="es-PR"/>
        </w:rPr>
        <w:t xml:space="preserve">. Sentencia de 30 de junio de 2009. Serie C No. 197, párr. 23, y </w:t>
      </w:r>
      <w:r w:rsidRPr="007E666D">
        <w:rPr>
          <w:rFonts w:ascii="Verdana" w:hAnsi="Verdana"/>
          <w:i/>
          <w:sz w:val="16"/>
          <w:szCs w:val="16"/>
          <w:lang w:val="es-PR"/>
        </w:rPr>
        <w:t xml:space="preserve">Caso Cruz Sánchez y otros Vs. Perú, supra, </w:t>
      </w:r>
      <w:r w:rsidRPr="007E666D">
        <w:rPr>
          <w:rFonts w:ascii="Verdana" w:hAnsi="Verdana"/>
          <w:sz w:val="16"/>
          <w:szCs w:val="16"/>
          <w:lang w:val="es-PR"/>
        </w:rPr>
        <w:t>párr. 49.</w:t>
      </w:r>
    </w:p>
  </w:footnote>
  <w:footnote w:id="24">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En su comunicación de 21 de septiembre de 1992, el Estado únicamente señaló respecto a la alegada falta de agotamiento de los recursos internos que, tal como había manifestado a través de una nota de 4 de noviembre de 1991, “la denuncia correspondiente ante el Consejo de Guerra Permanente se había formalizado” y, según “inform[ó] el Ministerio de Defensa, el proceso penal incoado se en[contraba] en la segunda instancia jurisdiccional, la cual emitir[ía] la sentencia respectiva en fecha próxima”.</w:t>
      </w:r>
      <w:r w:rsidRPr="007E666D">
        <w:rPr>
          <w:rFonts w:ascii="Verdana" w:hAnsi="Verdana"/>
          <w:i/>
          <w:spacing w:val="-4"/>
          <w:sz w:val="16"/>
          <w:szCs w:val="16"/>
          <w:lang w:val="es-PR"/>
        </w:rPr>
        <w:t xml:space="preserve"> Cfr.</w:t>
      </w:r>
      <w:r w:rsidRPr="007E666D">
        <w:rPr>
          <w:rFonts w:ascii="Verdana" w:hAnsi="Verdana"/>
          <w:sz w:val="16"/>
          <w:szCs w:val="16"/>
          <w:lang w:val="es-PR"/>
        </w:rPr>
        <w:t xml:space="preserve"> Escrito del Estado de 21 de septiembre de 1992, recibido por la Comisión el 23 de septiembre de 1992 (expediente de prueba, folio 400).</w:t>
      </w:r>
    </w:p>
  </w:footnote>
  <w:footnote w:id="25">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El Perú señaló mediante escritos de 25 de enero, 21 de marzo y 17 de mayo de 2011 que, “si bien en un primer momento los miembros del ejército que participaron [en los hechos del caso] se beneficiaron de los efectos de la Ley de Amnistía No. 26179” </w:t>
      </w:r>
      <w:r w:rsidRPr="007E666D">
        <w:rPr>
          <w:rFonts w:ascii="Verdana" w:hAnsi="Verdana"/>
          <w:i/>
          <w:iCs/>
          <w:sz w:val="16"/>
          <w:szCs w:val="16"/>
          <w:lang w:val="es-PR"/>
        </w:rPr>
        <w:t>(sic)</w:t>
      </w:r>
      <w:r w:rsidRPr="007E666D">
        <w:rPr>
          <w:rFonts w:ascii="Verdana" w:hAnsi="Verdana"/>
          <w:sz w:val="16"/>
          <w:szCs w:val="16"/>
          <w:lang w:val="es-PR"/>
        </w:rPr>
        <w:t xml:space="preserve"> y quedaron en libertad, el propio Estado dispuso la reapertura de los procesos penales y, a la fecha, existían dos procesos en trámite contra los presuntos responsables. </w:t>
      </w:r>
      <w:r w:rsidRPr="007E666D">
        <w:rPr>
          <w:rFonts w:ascii="Verdana" w:hAnsi="Verdana"/>
          <w:i/>
          <w:sz w:val="16"/>
          <w:szCs w:val="16"/>
          <w:lang w:val="es-PR"/>
        </w:rPr>
        <w:t>Cfr</w:t>
      </w:r>
      <w:r w:rsidRPr="007E666D">
        <w:rPr>
          <w:rFonts w:ascii="Verdana" w:hAnsi="Verdana"/>
          <w:sz w:val="16"/>
          <w:szCs w:val="16"/>
          <w:lang w:val="es-PR"/>
        </w:rPr>
        <w:t>. Escrito del Estado de 7 de diciembre de 2010 recibido por la Comisión el 25 de enero de 2011 (expediente de prueba, folio 675); Escrito del Estado de</w:t>
      </w:r>
      <w:r w:rsidRPr="007E666D">
        <w:rPr>
          <w:rFonts w:ascii="Verdana" w:hAnsi="Verdana"/>
          <w:i/>
          <w:spacing w:val="-4"/>
          <w:sz w:val="16"/>
          <w:szCs w:val="16"/>
          <w:lang w:val="es-PR"/>
        </w:rPr>
        <w:t xml:space="preserve"> </w:t>
      </w:r>
      <w:r w:rsidRPr="007E666D">
        <w:rPr>
          <w:rFonts w:ascii="Verdana" w:hAnsi="Verdana"/>
          <w:sz w:val="16"/>
          <w:szCs w:val="16"/>
          <w:lang w:val="es-PR"/>
        </w:rPr>
        <w:t>21 de marzo de 2011 (expediente de prueba, folio 737), y Escrito del Estado de</w:t>
      </w:r>
      <w:r w:rsidRPr="007E666D">
        <w:rPr>
          <w:rFonts w:ascii="Verdana" w:hAnsi="Verdana"/>
          <w:i/>
          <w:spacing w:val="-4"/>
          <w:sz w:val="16"/>
          <w:szCs w:val="16"/>
          <w:lang w:val="es-PR"/>
        </w:rPr>
        <w:t xml:space="preserve"> </w:t>
      </w:r>
      <w:r w:rsidRPr="007E666D">
        <w:rPr>
          <w:rFonts w:ascii="Verdana" w:hAnsi="Verdana"/>
          <w:sz w:val="16"/>
          <w:szCs w:val="16"/>
          <w:lang w:val="es-PR"/>
        </w:rPr>
        <w:t>17 de mayo de 2011 (expediente de prueba, folio 692).</w:t>
      </w:r>
    </w:p>
  </w:footnote>
  <w:footnote w:id="26">
    <w:p w:rsidR="00D57F75" w:rsidRPr="007E666D" w:rsidRDefault="00D57F75" w:rsidP="007C6BB7">
      <w:pPr>
        <w:pStyle w:val="Footnotes"/>
        <w:tabs>
          <w:tab w:val="clear" w:pos="567"/>
          <w:tab w:val="left" w:pos="450"/>
        </w:tabs>
        <w:contextualSpacing/>
        <w:rPr>
          <w:lang w:val="es-PR"/>
        </w:rPr>
      </w:pPr>
      <w:r w:rsidRPr="007E666D">
        <w:rPr>
          <w:rStyle w:val="FootnoteReference"/>
          <w:lang w:val="es-PR"/>
        </w:rPr>
        <w:footnoteRef/>
      </w:r>
      <w:r w:rsidRPr="007E666D">
        <w:rPr>
          <w:lang w:val="es-PR"/>
        </w:rPr>
        <w:t xml:space="preserve"> </w:t>
      </w:r>
      <w:r w:rsidRPr="007E666D">
        <w:rPr>
          <w:lang w:val="es-PR"/>
        </w:rPr>
        <w:tab/>
      </w:r>
      <w:r w:rsidRPr="007E666D">
        <w:rPr>
          <w:i/>
          <w:lang w:val="es-PR"/>
        </w:rPr>
        <w:t xml:space="preserve">Cfr. </w:t>
      </w:r>
      <w:r w:rsidRPr="007E666D">
        <w:rPr>
          <w:i/>
          <w:iCs w:val="0"/>
          <w:lang w:val="es-PR"/>
        </w:rPr>
        <w:t>Caso Gómez Palomino Vs. Perú. Fondo, Reparaciones y Costas.</w:t>
      </w:r>
      <w:r w:rsidRPr="007E666D">
        <w:rPr>
          <w:lang w:val="es-PR"/>
        </w:rPr>
        <w:t xml:space="preserve"> Sentencia de 22 de noviembre de 2005. Serie C No. 136, párr. 110, y </w:t>
      </w:r>
      <w:r w:rsidRPr="007E666D">
        <w:rPr>
          <w:i/>
          <w:lang w:val="es-PR"/>
        </w:rPr>
        <w:t>Caso Rodríguez Vera y otros (Desaparecidos del Palacio de Justicia) Vs. Colombia,</w:t>
      </w:r>
      <w:r w:rsidRPr="007E666D">
        <w:rPr>
          <w:lang w:val="es-PR"/>
        </w:rPr>
        <w:t xml:space="preserve"> </w:t>
      </w:r>
      <w:r w:rsidRPr="007E666D">
        <w:rPr>
          <w:i/>
          <w:lang w:val="es-PR"/>
        </w:rPr>
        <w:t xml:space="preserve">supra, </w:t>
      </w:r>
      <w:r w:rsidRPr="007E666D">
        <w:rPr>
          <w:lang w:val="es-PR"/>
        </w:rPr>
        <w:t>párr. 43.</w:t>
      </w:r>
    </w:p>
  </w:footnote>
  <w:footnote w:id="27">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Gómez Palomino Vs. Perú, supra, </w:t>
      </w:r>
      <w:r w:rsidRPr="007E666D">
        <w:rPr>
          <w:rFonts w:ascii="Verdana" w:hAnsi="Verdana"/>
          <w:sz w:val="16"/>
          <w:szCs w:val="16"/>
          <w:lang w:val="es-PR"/>
        </w:rPr>
        <w:t xml:space="preserve">párr. 110, y </w:t>
      </w:r>
      <w:r w:rsidRPr="007E666D">
        <w:rPr>
          <w:rFonts w:ascii="Verdana" w:hAnsi="Verdana"/>
          <w:i/>
          <w:sz w:val="16"/>
          <w:szCs w:val="16"/>
          <w:lang w:val="es-PR"/>
        </w:rPr>
        <w:t xml:space="preserve">Caso Rodríguez Vera y otros (Desaparecidos del Palacio de Justicia) Vs. Colombia, supra, </w:t>
      </w:r>
      <w:r w:rsidRPr="007E666D">
        <w:rPr>
          <w:rFonts w:ascii="Verdana" w:hAnsi="Verdana"/>
          <w:sz w:val="16"/>
          <w:szCs w:val="16"/>
          <w:lang w:val="es-PR"/>
        </w:rPr>
        <w:t>párr. 44.</w:t>
      </w:r>
    </w:p>
  </w:footnote>
  <w:footnote w:id="28">
    <w:p w:rsidR="00D57F75" w:rsidRPr="007E666D" w:rsidRDefault="00D57F75" w:rsidP="007C6BB7">
      <w:pPr>
        <w:tabs>
          <w:tab w:val="left" w:pos="450"/>
        </w:tabs>
        <w:spacing w:after="0" w:line="240" w:lineRule="auto"/>
        <w:contextualSpacing/>
        <w:jc w:val="both"/>
        <w:rPr>
          <w:rFonts w:ascii="Verdana" w:hAnsi="Verdana" w:cs="Arial"/>
          <w:sz w:val="16"/>
          <w:szCs w:val="16"/>
          <w:lang w:val="es-PR"/>
        </w:rPr>
      </w:pPr>
      <w:r w:rsidRPr="007E666D">
        <w:rPr>
          <w:rStyle w:val="FootnoteReference"/>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i/>
          <w:sz w:val="16"/>
          <w:szCs w:val="16"/>
          <w:lang w:val="es-PR"/>
        </w:rPr>
        <w:t>Cfr. Caso Castañeda Gutman Vs. México, supra,</w:t>
      </w:r>
      <w:r w:rsidRPr="007E666D">
        <w:rPr>
          <w:rFonts w:ascii="Verdana" w:hAnsi="Verdana" w:cs="Arial"/>
          <w:sz w:val="16"/>
          <w:szCs w:val="16"/>
          <w:lang w:val="es-PR"/>
        </w:rPr>
        <w:t xml:space="preserve"> párr. 39, y </w:t>
      </w:r>
      <w:r w:rsidRPr="007E666D">
        <w:rPr>
          <w:rFonts w:ascii="Verdana" w:hAnsi="Verdana" w:cs="Arial"/>
          <w:i/>
          <w:sz w:val="16"/>
          <w:szCs w:val="16"/>
          <w:lang w:val="es-PR"/>
        </w:rPr>
        <w:t>Artavia Murillo y otros (Fecundación in vitro) Vs. Costa Rica. Excepciones Preliminares, Fondo, Reparaciones y Costas.</w:t>
      </w:r>
      <w:r w:rsidRPr="007E666D">
        <w:rPr>
          <w:rFonts w:ascii="Verdana" w:hAnsi="Verdana" w:cs="Arial"/>
          <w:sz w:val="16"/>
          <w:szCs w:val="16"/>
          <w:lang w:val="es-PR"/>
        </w:rPr>
        <w:t xml:space="preserve"> Sentencia de 28 noviembre de 2012 Serie C No. 257, párr. 40.</w:t>
      </w:r>
      <w:r w:rsidRPr="007E666D" w:rsidDel="00AD1A2A">
        <w:rPr>
          <w:rFonts w:ascii="Verdana" w:hAnsi="Verdana" w:cs="Arial"/>
          <w:sz w:val="16"/>
          <w:szCs w:val="16"/>
          <w:lang w:val="es-PR"/>
        </w:rPr>
        <w:t xml:space="preserve"> </w:t>
      </w:r>
      <w:r w:rsidRPr="007E666D">
        <w:rPr>
          <w:rFonts w:ascii="Verdana" w:hAnsi="Verdana" w:cs="Arial"/>
          <w:sz w:val="16"/>
          <w:szCs w:val="16"/>
          <w:lang w:val="es-PR"/>
        </w:rPr>
        <w:t xml:space="preserve"> </w:t>
      </w:r>
    </w:p>
  </w:footnote>
  <w:footnote w:id="29">
    <w:p w:rsidR="00D57F75" w:rsidRPr="007E666D" w:rsidRDefault="00D57F75" w:rsidP="007C6BB7">
      <w:pPr>
        <w:pStyle w:val="ListParagraph"/>
        <w:tabs>
          <w:tab w:val="left" w:pos="450"/>
        </w:tabs>
        <w:autoSpaceDE w:val="0"/>
        <w:autoSpaceDN w:val="0"/>
        <w:adjustRightInd w:val="0"/>
        <w:spacing w:after="0" w:line="240" w:lineRule="auto"/>
        <w:ind w:left="0"/>
        <w:jc w:val="both"/>
        <w:rPr>
          <w:rFonts w:ascii="Verdana" w:hAnsi="Verdana"/>
          <w:sz w:val="16"/>
          <w:szCs w:val="16"/>
          <w:u w:val="single"/>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En este sentido, </w:t>
      </w:r>
      <w:r w:rsidRPr="007E666D">
        <w:rPr>
          <w:rFonts w:ascii="Verdana" w:hAnsi="Verdana"/>
          <w:i/>
          <w:sz w:val="16"/>
          <w:szCs w:val="16"/>
          <w:lang w:val="es-PR"/>
        </w:rPr>
        <w:t xml:space="preserve">véase, </w:t>
      </w:r>
      <w:r w:rsidRPr="007E666D">
        <w:rPr>
          <w:rFonts w:ascii="Verdana" w:eastAsia="Times New Roman" w:hAnsi="Verdana"/>
          <w:i/>
          <w:sz w:val="16"/>
          <w:szCs w:val="16"/>
          <w:lang w:val="es-PR" w:eastAsia="es-CR"/>
        </w:rPr>
        <w:t>Cfr</w:t>
      </w:r>
      <w:r w:rsidRPr="007E666D">
        <w:rPr>
          <w:rFonts w:ascii="Verdana" w:eastAsia="Times New Roman" w:hAnsi="Verdana"/>
          <w:sz w:val="16"/>
          <w:szCs w:val="16"/>
          <w:lang w:val="es-PR" w:eastAsia="es-CR"/>
        </w:rPr>
        <w:t xml:space="preserve">. </w:t>
      </w:r>
      <w:r w:rsidRPr="007E666D">
        <w:rPr>
          <w:rFonts w:ascii="Verdana" w:hAnsi="Verdana"/>
          <w:i/>
          <w:sz w:val="16"/>
          <w:szCs w:val="16"/>
          <w:lang w:val="es-PR"/>
        </w:rPr>
        <w:t>Caso Cantoral Huamaní y García Santa Cruz Vs. Perú. Excepción Preliminar, Fondo, Reparaciones y Costas</w:t>
      </w:r>
      <w:r w:rsidRPr="007E666D">
        <w:rPr>
          <w:rFonts w:ascii="Verdana" w:hAnsi="Verdana"/>
          <w:sz w:val="16"/>
          <w:szCs w:val="16"/>
          <w:lang w:val="es-PR"/>
        </w:rPr>
        <w:t>. Sentencia de 10 de julio de 2007. Serie C No. 167</w:t>
      </w:r>
      <w:r w:rsidRPr="007E666D">
        <w:rPr>
          <w:rFonts w:ascii="Verdana" w:eastAsia="Times New Roman" w:hAnsi="Verdana"/>
          <w:sz w:val="16"/>
          <w:szCs w:val="16"/>
          <w:lang w:val="es-PR" w:eastAsia="es-CR"/>
        </w:rPr>
        <w:t xml:space="preserve">, párr. 87, y </w:t>
      </w:r>
      <w:r w:rsidRPr="007E666D">
        <w:rPr>
          <w:rFonts w:ascii="Verdana" w:eastAsia="Times New Roman" w:hAnsi="Verdana"/>
          <w:i/>
          <w:sz w:val="16"/>
          <w:szCs w:val="16"/>
          <w:lang w:val="es-PR" w:eastAsia="es-CR"/>
        </w:rPr>
        <w:t xml:space="preserve">Caso Cruz Sánchez y otros Vs. Perú, supra, </w:t>
      </w:r>
      <w:r w:rsidRPr="007E666D">
        <w:rPr>
          <w:rFonts w:ascii="Verdana" w:eastAsia="Times New Roman" w:hAnsi="Verdana"/>
          <w:sz w:val="16"/>
          <w:szCs w:val="16"/>
          <w:lang w:val="es-PR" w:eastAsia="es-CR"/>
        </w:rPr>
        <w:t>párr. 329.</w:t>
      </w:r>
    </w:p>
  </w:footnote>
  <w:footnote w:id="30">
    <w:p w:rsidR="00D57F75" w:rsidRPr="007E666D" w:rsidRDefault="00D57F75" w:rsidP="007C6BB7">
      <w:pPr>
        <w:pStyle w:val="FootnoteText"/>
        <w:tabs>
          <w:tab w:val="left" w:pos="450"/>
        </w:tabs>
        <w:ind w:right="6"/>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z w:val="16"/>
          <w:szCs w:val="16"/>
          <w:lang w:val="es-PR"/>
        </w:rPr>
        <w:t xml:space="preserve"> </w:t>
      </w:r>
      <w:r w:rsidRPr="007E666D">
        <w:rPr>
          <w:rFonts w:ascii="Verdana" w:hAnsi="Verdana"/>
          <w:i/>
          <w:sz w:val="16"/>
          <w:szCs w:val="16"/>
          <w:lang w:val="es-PR"/>
        </w:rPr>
        <w:t xml:space="preserve">Caso Cantoral Huamaní y García Santa Cruz Vs. Perú, supra, </w:t>
      </w:r>
      <w:r w:rsidRPr="007E666D">
        <w:rPr>
          <w:rFonts w:ascii="Verdana" w:hAnsi="Verdana"/>
          <w:sz w:val="16"/>
          <w:szCs w:val="16"/>
          <w:lang w:val="es-PR"/>
        </w:rPr>
        <w:t xml:space="preserve">párr. 87, y </w:t>
      </w:r>
      <w:r w:rsidRPr="007E666D">
        <w:rPr>
          <w:rFonts w:ascii="Verdana" w:hAnsi="Verdana"/>
          <w:i/>
          <w:sz w:val="16"/>
          <w:szCs w:val="16"/>
          <w:lang w:val="es-PR"/>
        </w:rPr>
        <w:t xml:space="preserve">Caso Rodríguez Vera y otros (Desaparecidos del Palacio de Justicia) Vs. Colombia, supra, </w:t>
      </w:r>
      <w:r w:rsidRPr="007E666D">
        <w:rPr>
          <w:rFonts w:ascii="Verdana" w:hAnsi="Verdana"/>
          <w:sz w:val="16"/>
          <w:szCs w:val="16"/>
          <w:lang w:val="es-PR"/>
        </w:rPr>
        <w:t>párr. 500.</w:t>
      </w:r>
    </w:p>
  </w:footnote>
  <w:footnote w:id="31">
    <w:p w:rsidR="00D57F75" w:rsidRPr="007E666D" w:rsidRDefault="00D57F75" w:rsidP="007C6BB7">
      <w:pPr>
        <w:tabs>
          <w:tab w:val="left" w:pos="450"/>
        </w:tabs>
        <w:autoSpaceDE w:val="0"/>
        <w:autoSpaceDN w:val="0"/>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 Caso Familia Barrios Vs. Venezuela. Fondo, Reparaciones y Costas</w:t>
      </w:r>
      <w:r w:rsidRPr="007E666D">
        <w:rPr>
          <w:rFonts w:ascii="Verdana" w:hAnsi="Verdana"/>
          <w:spacing w:val="-4"/>
          <w:sz w:val="16"/>
          <w:szCs w:val="16"/>
          <w:lang w:val="es-PR"/>
        </w:rPr>
        <w:t xml:space="preserve">. Sentencia de 24 de noviembre de 2011. Serie C No. 237, nota al pie 214, y </w:t>
      </w:r>
      <w:r w:rsidRPr="007E666D">
        <w:rPr>
          <w:rFonts w:ascii="Verdana" w:hAnsi="Verdana"/>
          <w:i/>
          <w:spacing w:val="-4"/>
          <w:sz w:val="16"/>
          <w:szCs w:val="16"/>
          <w:lang w:val="es-PR"/>
        </w:rPr>
        <w:t xml:space="preserve">Caso Cruz Sánchez y otros Vs. Perú, supra, </w:t>
      </w:r>
      <w:r w:rsidRPr="007E666D">
        <w:rPr>
          <w:rFonts w:ascii="Verdana" w:hAnsi="Verdana"/>
          <w:spacing w:val="-4"/>
          <w:sz w:val="16"/>
          <w:szCs w:val="16"/>
          <w:lang w:val="es-PR"/>
        </w:rPr>
        <w:t>párr. 62.</w:t>
      </w:r>
    </w:p>
  </w:footnote>
  <w:footnote w:id="32">
    <w:p w:rsidR="00D57F75" w:rsidRPr="007E666D" w:rsidRDefault="00D57F75" w:rsidP="007C6BB7">
      <w:pPr>
        <w:tabs>
          <w:tab w:val="left" w:pos="45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i/>
          <w:spacing w:val="-4"/>
          <w:sz w:val="16"/>
          <w:szCs w:val="16"/>
          <w:lang w:val="es-PR"/>
        </w:rPr>
        <w:t>Caso</w:t>
      </w:r>
      <w:r w:rsidRPr="007E666D">
        <w:rPr>
          <w:rFonts w:ascii="Verdana" w:hAnsi="Verdana"/>
          <w:spacing w:val="-4"/>
          <w:sz w:val="16"/>
          <w:szCs w:val="16"/>
          <w:lang w:val="es-PR"/>
        </w:rPr>
        <w:t xml:space="preserve"> </w:t>
      </w:r>
      <w:r w:rsidRPr="007E666D">
        <w:rPr>
          <w:rFonts w:ascii="Verdana" w:hAnsi="Verdana"/>
          <w:i/>
          <w:spacing w:val="-4"/>
          <w:sz w:val="16"/>
          <w:szCs w:val="16"/>
          <w:lang w:val="es-PR"/>
        </w:rPr>
        <w:t>de las Masacres de Ituango Vs. Colombia. Excepción Preliminar, Fondo, Reparaciones y Costas</w:t>
      </w:r>
      <w:r w:rsidRPr="007E666D">
        <w:rPr>
          <w:rFonts w:ascii="Verdana" w:hAnsi="Verdana"/>
          <w:spacing w:val="-4"/>
          <w:sz w:val="16"/>
          <w:szCs w:val="16"/>
          <w:lang w:val="es-PR"/>
        </w:rPr>
        <w:t xml:space="preserve">. Sentencia de 1 de julio de 2006. Serie C No. 148, párr. 98, y </w:t>
      </w:r>
      <w:r w:rsidRPr="007E666D">
        <w:rPr>
          <w:rFonts w:ascii="Verdana" w:hAnsi="Verdana"/>
          <w:i/>
          <w:spacing w:val="-4"/>
          <w:sz w:val="16"/>
          <w:szCs w:val="16"/>
          <w:lang w:val="es-PR"/>
        </w:rPr>
        <w:t xml:space="preserve">Caso Cruz Sánchez y otros Vs. Perú, supra, </w:t>
      </w:r>
      <w:r w:rsidRPr="007E666D">
        <w:rPr>
          <w:rFonts w:ascii="Verdana" w:hAnsi="Verdana"/>
          <w:spacing w:val="-4"/>
          <w:sz w:val="16"/>
          <w:szCs w:val="16"/>
          <w:lang w:val="es-PR"/>
        </w:rPr>
        <w:t>párr. 62.</w:t>
      </w:r>
    </w:p>
  </w:footnote>
  <w:footnote w:id="33">
    <w:p w:rsidR="00D57F75" w:rsidRPr="007E666D" w:rsidRDefault="00D57F75" w:rsidP="007C6BB7">
      <w:pPr>
        <w:pStyle w:val="FootnoteText"/>
        <w:tabs>
          <w:tab w:val="left" w:pos="450"/>
        </w:tabs>
        <w:contextualSpacing/>
        <w:jc w:val="both"/>
        <w:rPr>
          <w:rFonts w:ascii="Verdana" w:hAnsi="Verdana"/>
          <w:spacing w:val="-4"/>
          <w:sz w:val="16"/>
          <w:szCs w:val="16"/>
          <w:lang w:val="es-PR" w:bidi="en-US"/>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bidi="en-US"/>
        </w:rPr>
        <w:tab/>
      </w:r>
      <w:r w:rsidRPr="007E666D">
        <w:rPr>
          <w:rFonts w:ascii="Verdana" w:hAnsi="Verdana"/>
          <w:i/>
          <w:iCs/>
          <w:spacing w:val="-4"/>
          <w:sz w:val="16"/>
          <w:szCs w:val="16"/>
          <w:lang w:val="es-PR"/>
        </w:rPr>
        <w:t xml:space="preserve">Mutatis mutandi, </w:t>
      </w:r>
      <w:r w:rsidRPr="007E666D">
        <w:rPr>
          <w:rFonts w:ascii="Verdana" w:hAnsi="Verdana"/>
          <w:i/>
          <w:iCs/>
          <w:color w:val="000000"/>
          <w:spacing w:val="-4"/>
          <w:sz w:val="16"/>
          <w:szCs w:val="16"/>
          <w:lang w:val="es-PR"/>
        </w:rPr>
        <w:t xml:space="preserve">Caso Radilla Pacheco Vs. México. Excepciones Preliminares, Fondo, Reparaciones y Costas. </w:t>
      </w:r>
      <w:r w:rsidRPr="007E666D">
        <w:rPr>
          <w:rFonts w:ascii="Verdana" w:hAnsi="Verdana"/>
          <w:iCs/>
          <w:color w:val="000000"/>
          <w:spacing w:val="-4"/>
          <w:sz w:val="16"/>
          <w:szCs w:val="16"/>
          <w:lang w:val="es-PR"/>
        </w:rPr>
        <w:t>Sentencia de 23 de Noviembre de 2009. Serie C No. 209,</w:t>
      </w:r>
      <w:r w:rsidRPr="007E666D">
        <w:rPr>
          <w:rFonts w:ascii="Verdana" w:hAnsi="Verdana"/>
          <w:i/>
          <w:iCs/>
          <w:color w:val="000000"/>
          <w:spacing w:val="-4"/>
          <w:sz w:val="16"/>
          <w:szCs w:val="16"/>
          <w:lang w:val="es-PR"/>
        </w:rPr>
        <w:t xml:space="preserve"> </w:t>
      </w:r>
      <w:r w:rsidRPr="007E666D">
        <w:rPr>
          <w:rFonts w:ascii="Verdana" w:hAnsi="Verdana"/>
          <w:spacing w:val="-4"/>
          <w:sz w:val="16"/>
          <w:szCs w:val="16"/>
          <w:lang w:val="es-PR"/>
        </w:rPr>
        <w:t xml:space="preserve">párr. 110, y </w:t>
      </w:r>
      <w:r w:rsidRPr="007E666D">
        <w:rPr>
          <w:rFonts w:ascii="Verdana" w:hAnsi="Verdana"/>
          <w:i/>
          <w:spacing w:val="-4"/>
          <w:sz w:val="16"/>
          <w:szCs w:val="16"/>
          <w:lang w:val="es-PR"/>
        </w:rPr>
        <w:t xml:space="preserve">Caso Defensor de Derechos Humanos y otros Vs. Guatemala, supra, </w:t>
      </w:r>
      <w:r w:rsidRPr="007E666D">
        <w:rPr>
          <w:rFonts w:ascii="Verdana" w:hAnsi="Verdana"/>
          <w:spacing w:val="-4"/>
          <w:sz w:val="16"/>
          <w:szCs w:val="16"/>
          <w:lang w:val="es-PR"/>
        </w:rPr>
        <w:t>párr. 47.</w:t>
      </w:r>
    </w:p>
  </w:footnote>
  <w:footnote w:id="34">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Cabe destacar que la Corte ha aplicado el artículo 35.2 de su Reglamento en los siguientes casos: </w:t>
      </w:r>
      <w:r w:rsidRPr="007E666D">
        <w:rPr>
          <w:rFonts w:ascii="Verdana" w:hAnsi="Verdana"/>
          <w:i/>
          <w:sz w:val="16"/>
          <w:szCs w:val="16"/>
          <w:lang w:val="es-PR"/>
        </w:rPr>
        <w:t>Caso Masacres de Río Negro Vs. Guatemala. Excepción Preliminar, Fondo, Reparaciones y Costas</w:t>
      </w:r>
      <w:r w:rsidRPr="007E666D">
        <w:rPr>
          <w:rFonts w:ascii="Verdana" w:hAnsi="Verdana"/>
          <w:sz w:val="16"/>
          <w:szCs w:val="16"/>
          <w:lang w:val="es-PR"/>
        </w:rPr>
        <w:t xml:space="preserve">. Sentencia de 4 de septiembre de 2012 Serie C No. 250; </w:t>
      </w:r>
      <w:r w:rsidRPr="007E666D">
        <w:rPr>
          <w:rFonts w:ascii="Verdana" w:hAnsi="Verdana"/>
          <w:i/>
          <w:sz w:val="16"/>
          <w:szCs w:val="16"/>
          <w:lang w:val="es-PR"/>
        </w:rPr>
        <w:t>Caso Nadege Dorzema y otros Vs. República Dominicana. Fondo Reparaciones y Costas.</w:t>
      </w:r>
      <w:r w:rsidRPr="007E666D">
        <w:rPr>
          <w:rFonts w:ascii="Verdana" w:hAnsi="Verdana"/>
          <w:sz w:val="16"/>
          <w:szCs w:val="16"/>
          <w:lang w:val="es-PR"/>
        </w:rPr>
        <w:t xml:space="preserve"> Sentencia de 24 de octubre de 2012. Serie C No. 251; </w:t>
      </w:r>
      <w:r w:rsidRPr="007E666D">
        <w:rPr>
          <w:rFonts w:ascii="Verdana" w:hAnsi="Verdana"/>
          <w:i/>
          <w:sz w:val="16"/>
          <w:szCs w:val="16"/>
          <w:lang w:val="es-PR"/>
        </w:rPr>
        <w:t>Caso Masacres de El Mozote y lugares aledaños Vs. El Salvador. Fondo, Reparaciones y Costas</w:t>
      </w:r>
      <w:r w:rsidRPr="007E666D">
        <w:rPr>
          <w:rFonts w:ascii="Verdana" w:hAnsi="Verdana"/>
          <w:sz w:val="16"/>
          <w:szCs w:val="16"/>
          <w:lang w:val="es-PR"/>
        </w:rPr>
        <w:t xml:space="preserve">. Sentencia de 25 de octubre de 2012. Serie C No. 252, y </w:t>
      </w:r>
      <w:r w:rsidRPr="007E666D">
        <w:rPr>
          <w:rFonts w:ascii="Verdana" w:hAnsi="Verdana"/>
          <w:i/>
          <w:sz w:val="16"/>
          <w:szCs w:val="16"/>
          <w:lang w:val="es-PR"/>
        </w:rPr>
        <w:t>Caso de las Comunidades Afrodescendientes Desplazadas de la Cuenca del Río Cacarica (Operación Génesis) Vs. Colombia. Excepciones Preliminares, Fondo, Reparaciones y Costas.</w:t>
      </w:r>
      <w:r w:rsidRPr="007E666D">
        <w:rPr>
          <w:rFonts w:ascii="Verdana" w:hAnsi="Verdana"/>
          <w:sz w:val="16"/>
          <w:szCs w:val="16"/>
          <w:lang w:val="es-PR"/>
        </w:rPr>
        <w:t xml:space="preserve"> Sentencia de 20 de noviembre de 2013. Serie C No. 270. Asimismo, ha rechazado su aplicación en los siguientes casos: </w:t>
      </w:r>
      <w:r w:rsidRPr="007E666D">
        <w:rPr>
          <w:rFonts w:ascii="Verdana" w:hAnsi="Verdana"/>
          <w:i/>
          <w:sz w:val="16"/>
          <w:szCs w:val="16"/>
          <w:lang w:val="es-PR"/>
        </w:rPr>
        <w:t>Caso Barbani Duarte y Otros Vs. Uruguay. Fondo, Reparaciones y Costas.</w:t>
      </w:r>
      <w:r w:rsidRPr="007E666D">
        <w:rPr>
          <w:rFonts w:ascii="Verdana" w:hAnsi="Verdana"/>
          <w:sz w:val="16"/>
          <w:szCs w:val="16"/>
          <w:lang w:val="es-PR"/>
        </w:rPr>
        <w:t xml:space="preserve"> Sentencia de 13 de octubre de 2011. Serie C No. 234; </w:t>
      </w:r>
      <w:r w:rsidRPr="007E666D">
        <w:rPr>
          <w:rFonts w:ascii="Verdana" w:hAnsi="Verdana"/>
          <w:i/>
          <w:sz w:val="16"/>
          <w:szCs w:val="16"/>
          <w:lang w:val="es-PR"/>
        </w:rPr>
        <w:t>Caso Defensor de Derechos Humanos y otros Vs. Guatemala. Excepciones Preliminares, Fondo, Reparaciones y Costas.</w:t>
      </w:r>
      <w:r w:rsidRPr="007E666D">
        <w:rPr>
          <w:rFonts w:ascii="Verdana" w:hAnsi="Verdana"/>
          <w:sz w:val="16"/>
          <w:szCs w:val="16"/>
          <w:lang w:val="es-PR"/>
        </w:rPr>
        <w:t xml:space="preserve"> Sentencia de 28 de agosto de 2014. Serie C No. 283; </w:t>
      </w:r>
      <w:r w:rsidRPr="007E666D">
        <w:rPr>
          <w:rFonts w:ascii="Verdana" w:hAnsi="Verdana"/>
          <w:i/>
          <w:sz w:val="16"/>
          <w:szCs w:val="16"/>
          <w:lang w:val="es-PR"/>
        </w:rPr>
        <w:t>Caso García y Familiares Vs. Guatemala. Fondo Reparaciones y Costas.</w:t>
      </w:r>
      <w:r w:rsidRPr="007E666D">
        <w:rPr>
          <w:rFonts w:ascii="Verdana" w:hAnsi="Verdana"/>
          <w:sz w:val="16"/>
          <w:szCs w:val="16"/>
          <w:lang w:val="es-PR"/>
        </w:rPr>
        <w:t xml:space="preserve"> Sentencia de 29 noviembre de 2012. Serie C No. 258; </w:t>
      </w:r>
      <w:r w:rsidRPr="007E666D">
        <w:rPr>
          <w:rFonts w:ascii="Verdana" w:hAnsi="Verdana"/>
          <w:i/>
          <w:sz w:val="16"/>
          <w:szCs w:val="16"/>
          <w:lang w:val="es-PR"/>
        </w:rPr>
        <w:t>Caso Suárez Peralta Vs. Ecuador. Excepciones Preliminares, Fondo, Reparaciones y Costas.</w:t>
      </w:r>
      <w:r w:rsidRPr="007E666D">
        <w:rPr>
          <w:rFonts w:ascii="Verdana" w:hAnsi="Verdana"/>
          <w:sz w:val="16"/>
          <w:szCs w:val="16"/>
          <w:lang w:val="es-PR"/>
        </w:rPr>
        <w:t xml:space="preserve"> Sentencia de 21 de mayo de 2013. Serie C No. 261; </w:t>
      </w:r>
      <w:r w:rsidRPr="007E666D">
        <w:rPr>
          <w:rFonts w:ascii="Verdana" w:hAnsi="Verdana"/>
          <w:i/>
          <w:sz w:val="16"/>
          <w:szCs w:val="16"/>
          <w:lang w:val="es-PR"/>
        </w:rPr>
        <w:t>Caso J. Vs. Perú. Excepción Preliminar, Fondo, Reparaciones y Costas</w:t>
      </w:r>
      <w:r w:rsidRPr="007E666D">
        <w:rPr>
          <w:rFonts w:ascii="Verdana" w:hAnsi="Verdana"/>
          <w:sz w:val="16"/>
          <w:szCs w:val="16"/>
          <w:lang w:val="es-PR"/>
        </w:rPr>
        <w:t xml:space="preserve">. Sentencia de 27 de noviembre de 2013. Serie C No. 275; </w:t>
      </w:r>
      <w:r w:rsidRPr="007E666D">
        <w:rPr>
          <w:rFonts w:ascii="Verdana" w:hAnsi="Verdana"/>
          <w:i/>
          <w:sz w:val="16"/>
          <w:szCs w:val="16"/>
          <w:lang w:val="es-PR"/>
        </w:rPr>
        <w:t>Caso Rochac Hernández y otros Vs. El Salvador. Fondo, Reparaciones y Costas.</w:t>
      </w:r>
      <w:r w:rsidRPr="007E666D">
        <w:rPr>
          <w:rFonts w:ascii="Verdana" w:hAnsi="Verdana"/>
          <w:sz w:val="16"/>
          <w:szCs w:val="16"/>
          <w:lang w:val="es-PR"/>
        </w:rPr>
        <w:t xml:space="preserve"> Sentencia de 14 de octubre de 2014. Serie C No. 285, y </w:t>
      </w:r>
      <w:r w:rsidRPr="007E666D">
        <w:rPr>
          <w:rFonts w:ascii="Verdana" w:hAnsi="Verdana"/>
          <w:i/>
          <w:sz w:val="16"/>
          <w:szCs w:val="16"/>
          <w:lang w:val="es-PR"/>
        </w:rPr>
        <w:t>Caso Argüelles y otros Vs. Argentina. Excepciones Preliminares, Fondo, Reparaciones y Costas</w:t>
      </w:r>
      <w:r w:rsidRPr="007E666D">
        <w:rPr>
          <w:rFonts w:ascii="Verdana" w:hAnsi="Verdana"/>
          <w:sz w:val="16"/>
          <w:szCs w:val="16"/>
          <w:lang w:val="es-PR"/>
        </w:rPr>
        <w:t>. Sentencia de 20 de noviembre de 2014. Serie C No. 288.</w:t>
      </w:r>
    </w:p>
  </w:footnote>
  <w:footnote w:id="35">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 Caso Río Negro</w:t>
      </w:r>
      <w:r w:rsidRPr="007E666D">
        <w:rPr>
          <w:rFonts w:ascii="Verdana" w:hAnsi="Verdana"/>
          <w:sz w:val="16"/>
          <w:szCs w:val="16"/>
          <w:lang w:val="es-PR"/>
        </w:rPr>
        <w:t xml:space="preserve"> </w:t>
      </w:r>
      <w:r w:rsidRPr="007E666D">
        <w:rPr>
          <w:rFonts w:ascii="Verdana" w:hAnsi="Verdana"/>
          <w:i/>
          <w:sz w:val="16"/>
          <w:szCs w:val="16"/>
          <w:lang w:val="es-PR"/>
        </w:rPr>
        <w:t xml:space="preserve">Vs. Guatemala, supra, </w:t>
      </w:r>
      <w:r w:rsidRPr="007E666D">
        <w:rPr>
          <w:rFonts w:ascii="Verdana" w:hAnsi="Verdana"/>
          <w:sz w:val="16"/>
          <w:szCs w:val="16"/>
          <w:lang w:val="es-PR"/>
        </w:rPr>
        <w:t xml:space="preserve">párr. 49, y </w:t>
      </w:r>
      <w:r w:rsidRPr="007E666D">
        <w:rPr>
          <w:rFonts w:ascii="Verdana" w:hAnsi="Verdana"/>
          <w:i/>
          <w:sz w:val="16"/>
          <w:szCs w:val="16"/>
          <w:lang w:val="es-PR"/>
        </w:rPr>
        <w:t xml:space="preserve">Caso de las Comunidades Afrodescendientes Desplazadas de la Cuenca del Río Cacarica (Operación Génesis) Vs. Colombia, supra, </w:t>
      </w:r>
      <w:r w:rsidRPr="007E666D">
        <w:rPr>
          <w:rFonts w:ascii="Verdana" w:hAnsi="Verdana"/>
          <w:sz w:val="16"/>
          <w:szCs w:val="16"/>
          <w:lang w:val="es-PR"/>
        </w:rPr>
        <w:t xml:space="preserve">párr. 41. </w:t>
      </w:r>
    </w:p>
  </w:footnote>
  <w:footnote w:id="36">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 Caso Masacres de Río Negro Vs. Guatemala, supra,</w:t>
      </w:r>
      <w:r w:rsidRPr="007E666D">
        <w:rPr>
          <w:rFonts w:ascii="Verdana" w:hAnsi="Verdana"/>
          <w:sz w:val="16"/>
          <w:szCs w:val="16"/>
          <w:lang w:val="es-PR"/>
        </w:rPr>
        <w:t xml:space="preserve"> párr. 48, y </w:t>
      </w:r>
      <w:r w:rsidRPr="007E666D">
        <w:rPr>
          <w:rFonts w:ascii="Verdana" w:hAnsi="Verdana"/>
          <w:i/>
          <w:sz w:val="16"/>
          <w:szCs w:val="16"/>
          <w:lang w:val="es-PR"/>
        </w:rPr>
        <w:t xml:space="preserve">Caso de las Comunidades Afrodescendientes Desplazadas de la Cuenca del Río Cacarica (Operación Génesis) Vs. Colombia, supra, </w:t>
      </w:r>
      <w:r w:rsidRPr="007E666D">
        <w:rPr>
          <w:rFonts w:ascii="Verdana" w:hAnsi="Verdana"/>
          <w:sz w:val="16"/>
          <w:szCs w:val="16"/>
          <w:lang w:val="es-PR"/>
        </w:rPr>
        <w:t>párr. 41.</w:t>
      </w:r>
    </w:p>
  </w:footnote>
  <w:footnote w:id="37">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Nadege Dorzema y otros Vs. República Dominicana, supra, </w:t>
      </w:r>
      <w:r w:rsidRPr="007E666D">
        <w:rPr>
          <w:rFonts w:ascii="Verdana" w:hAnsi="Verdana"/>
          <w:sz w:val="16"/>
          <w:szCs w:val="16"/>
          <w:lang w:val="es-PR"/>
        </w:rPr>
        <w:t xml:space="preserve">párr. 30, y </w:t>
      </w:r>
      <w:r w:rsidRPr="007E666D">
        <w:rPr>
          <w:rFonts w:ascii="Verdana" w:hAnsi="Verdana"/>
          <w:i/>
          <w:sz w:val="16"/>
          <w:szCs w:val="16"/>
          <w:lang w:val="es-PR"/>
        </w:rPr>
        <w:t xml:space="preserve">Caso de las Comunidades Afrodescendientes Desplazadas de la Cuenca del Río Cacarica (Operación Génesis) Vs. Colombia, supra, </w:t>
      </w:r>
      <w:r w:rsidRPr="007E666D">
        <w:rPr>
          <w:rFonts w:ascii="Verdana" w:hAnsi="Verdana"/>
          <w:sz w:val="16"/>
          <w:szCs w:val="16"/>
          <w:lang w:val="es-PR"/>
        </w:rPr>
        <w:t>párr. 41.</w:t>
      </w:r>
    </w:p>
  </w:footnote>
  <w:footnote w:id="38">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Masacres de El Mozote y lugares aledaños Vs. El Salvador, supra, </w:t>
      </w:r>
      <w:r w:rsidRPr="007E666D">
        <w:rPr>
          <w:rFonts w:ascii="Verdana" w:hAnsi="Verdana"/>
          <w:sz w:val="16"/>
          <w:szCs w:val="16"/>
          <w:lang w:val="es-PR"/>
        </w:rPr>
        <w:t xml:space="preserve">párr. 30. </w:t>
      </w:r>
    </w:p>
  </w:footnote>
  <w:footnote w:id="39">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Masacres de Río Negro Vs. Guatemala, supra, </w:t>
      </w:r>
      <w:r w:rsidRPr="007E666D">
        <w:rPr>
          <w:rFonts w:ascii="Verdana" w:hAnsi="Verdana"/>
          <w:sz w:val="16"/>
          <w:szCs w:val="16"/>
          <w:lang w:val="es-PR"/>
        </w:rPr>
        <w:t xml:space="preserve">párr. 48. </w:t>
      </w:r>
    </w:p>
  </w:footnote>
  <w:footnote w:id="40">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de las Comunidades Afrodescendientes Desplazadas de la Cuenca del Río Cacarica (Operación Génesis) Vs. Colombia, supra, </w:t>
      </w:r>
      <w:r w:rsidRPr="007E666D">
        <w:rPr>
          <w:rFonts w:ascii="Verdana" w:hAnsi="Verdana"/>
          <w:sz w:val="16"/>
          <w:szCs w:val="16"/>
          <w:lang w:val="es-PR"/>
        </w:rPr>
        <w:t>párr. 41.</w:t>
      </w:r>
    </w:p>
  </w:footnote>
  <w:footnote w:id="41">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Masacres de El Mozote y lugares aledaños Vs. El Salvador, supra, </w:t>
      </w:r>
      <w:r w:rsidRPr="007E666D">
        <w:rPr>
          <w:rFonts w:ascii="Verdana" w:hAnsi="Verdana"/>
          <w:sz w:val="16"/>
          <w:szCs w:val="16"/>
          <w:lang w:val="es-PR"/>
        </w:rPr>
        <w:t xml:space="preserve">párr. 30, y </w:t>
      </w:r>
      <w:r w:rsidRPr="007E666D">
        <w:rPr>
          <w:rFonts w:ascii="Verdana" w:hAnsi="Verdana"/>
          <w:i/>
          <w:sz w:val="16"/>
          <w:szCs w:val="16"/>
          <w:lang w:val="es-PR"/>
        </w:rPr>
        <w:t xml:space="preserve">Caso Masacres de Río Negro Vs. Guatemala, supra, </w:t>
      </w:r>
      <w:r w:rsidRPr="007E666D">
        <w:rPr>
          <w:rFonts w:ascii="Verdana" w:hAnsi="Verdana"/>
          <w:sz w:val="16"/>
          <w:szCs w:val="16"/>
          <w:lang w:val="es-PR"/>
        </w:rPr>
        <w:t>párr. 48.</w:t>
      </w:r>
    </w:p>
  </w:footnote>
  <w:footnote w:id="42">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Masacres de Río Negro Vs. Guatemala, supra, </w:t>
      </w:r>
      <w:r w:rsidRPr="007E666D">
        <w:rPr>
          <w:rFonts w:ascii="Verdana" w:hAnsi="Verdana"/>
          <w:sz w:val="16"/>
          <w:szCs w:val="16"/>
          <w:lang w:val="es-PR"/>
        </w:rPr>
        <w:t xml:space="preserve">párr. 51, y </w:t>
      </w:r>
      <w:r w:rsidRPr="007E666D">
        <w:rPr>
          <w:rFonts w:ascii="Verdana" w:hAnsi="Verdana"/>
          <w:i/>
          <w:sz w:val="16"/>
          <w:szCs w:val="16"/>
          <w:lang w:val="es-PR"/>
        </w:rPr>
        <w:t xml:space="preserve">Caso de las Comunidades Afrodescendientes Desplazadas de la Cuenca del Río Cacarica (Operación Génesis) Vs. Colombia, supra, </w:t>
      </w:r>
      <w:r w:rsidRPr="007E666D">
        <w:rPr>
          <w:rFonts w:ascii="Verdana" w:hAnsi="Verdana"/>
          <w:sz w:val="16"/>
          <w:szCs w:val="16"/>
          <w:lang w:val="es-PR"/>
        </w:rPr>
        <w:t>párr. 41.</w:t>
      </w:r>
    </w:p>
  </w:footnote>
  <w:footnote w:id="43">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Masacres de Río Negro Vs. Guatemala, supra, </w:t>
      </w:r>
      <w:r w:rsidRPr="007E666D">
        <w:rPr>
          <w:rFonts w:ascii="Verdana" w:hAnsi="Verdana"/>
          <w:sz w:val="16"/>
          <w:szCs w:val="16"/>
          <w:lang w:val="es-PR"/>
        </w:rPr>
        <w:t>párr. 48.</w:t>
      </w:r>
    </w:p>
  </w:footnote>
  <w:footnote w:id="44">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Nadege Dorzema y otros Vs. República Dominicana, supra, </w:t>
      </w:r>
      <w:r w:rsidRPr="007E666D">
        <w:rPr>
          <w:rFonts w:ascii="Verdana" w:hAnsi="Verdana"/>
          <w:sz w:val="16"/>
          <w:szCs w:val="16"/>
          <w:lang w:val="es-PR"/>
        </w:rPr>
        <w:t>párr. 30.</w:t>
      </w:r>
    </w:p>
  </w:footnote>
  <w:footnote w:id="45">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Caso Masacres de Río Negro Vs. Guatemala, supra, </w:t>
      </w:r>
      <w:r w:rsidRPr="007E666D">
        <w:rPr>
          <w:rFonts w:ascii="Verdana" w:hAnsi="Verdana"/>
          <w:sz w:val="16"/>
          <w:szCs w:val="16"/>
          <w:lang w:val="es-PR"/>
        </w:rPr>
        <w:t xml:space="preserve">párr. 48, y </w:t>
      </w:r>
      <w:r w:rsidRPr="007E666D">
        <w:rPr>
          <w:rFonts w:ascii="Verdana" w:hAnsi="Verdana"/>
          <w:i/>
          <w:sz w:val="16"/>
          <w:szCs w:val="16"/>
          <w:lang w:val="es-PR"/>
        </w:rPr>
        <w:t xml:space="preserve">Caso Masacres de El Mozote y lugares aledaños Vs. El Salvador, supra, </w:t>
      </w:r>
      <w:r w:rsidRPr="007E666D">
        <w:rPr>
          <w:rFonts w:ascii="Verdana" w:hAnsi="Verdana"/>
          <w:sz w:val="16"/>
          <w:szCs w:val="16"/>
          <w:lang w:val="es-PR"/>
        </w:rPr>
        <w:t>párr. 50.</w:t>
      </w:r>
    </w:p>
  </w:footnote>
  <w:footnote w:id="46">
    <w:p w:rsidR="00D57F75" w:rsidRPr="007E666D" w:rsidRDefault="00D57F75" w:rsidP="00F20026">
      <w:pPr>
        <w:pStyle w:val="FootnoteText"/>
        <w:tabs>
          <w:tab w:val="left" w:pos="450"/>
        </w:tabs>
        <w:jc w:val="both"/>
        <w:rPr>
          <w:rFonts w:ascii="Verdana" w:hAnsi="Verdana"/>
          <w:b/>
          <w:bCs/>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spacing w:val="-4"/>
          <w:sz w:val="16"/>
          <w:szCs w:val="16"/>
          <w:lang w:val="es-PR"/>
        </w:rPr>
        <w:t xml:space="preserve">Declaración rendida el 9 de enero de 2015 ante fedatario público (affidávit) por </w:t>
      </w:r>
      <w:r w:rsidRPr="007E666D">
        <w:rPr>
          <w:rFonts w:ascii="Verdana" w:hAnsi="Verdana"/>
          <w:color w:val="000000"/>
          <w:spacing w:val="-4"/>
          <w:sz w:val="16"/>
          <w:szCs w:val="16"/>
          <w:lang w:val="es-PR"/>
        </w:rPr>
        <w:t>Marcelina Guillen Riveros</w:t>
      </w:r>
      <w:r w:rsidRPr="007E666D">
        <w:rPr>
          <w:rFonts w:ascii="Verdana" w:hAnsi="Verdana"/>
          <w:spacing w:val="-4"/>
          <w:sz w:val="16"/>
          <w:szCs w:val="16"/>
          <w:lang w:val="es-PR"/>
        </w:rPr>
        <w:t xml:space="preserve"> (expediente de prueba, folios 5069)</w:t>
      </w:r>
      <w:r w:rsidRPr="007E666D">
        <w:rPr>
          <w:rFonts w:ascii="Verdana" w:hAnsi="Verdana"/>
          <w:sz w:val="16"/>
          <w:szCs w:val="16"/>
          <w:lang w:val="es-PR"/>
        </w:rPr>
        <w:t>. Asimismo, las actas de defunción de Justiniano Guillén Ccanto y Victoria Riveros Valencia, padre y madre de Marcelina Guillen Riveros, fueron expedidas el 29 de diciembre de 2001 y el 30 de abril de 2007 respectivamente (expediente de prueba, folios 3745 a 3746).</w:t>
      </w:r>
    </w:p>
  </w:footnote>
  <w:footnote w:id="47">
    <w:p w:rsidR="00D57F75" w:rsidRPr="007E666D" w:rsidRDefault="00D57F75" w:rsidP="007C6BB7">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cs="Microsoft Sans Serif"/>
          <w:i/>
          <w:spacing w:val="-4"/>
          <w:sz w:val="16"/>
          <w:szCs w:val="16"/>
          <w:lang w:val="es-PR"/>
        </w:rPr>
        <w:t xml:space="preserve">Caso Comunidad Campesina de Santa Bárbara Vs. Perú. </w:t>
      </w:r>
      <w:r w:rsidRPr="007E666D">
        <w:rPr>
          <w:rFonts w:ascii="Verdana" w:hAnsi="Verdana" w:cs="Microsoft Sans Serif"/>
          <w:spacing w:val="-4"/>
          <w:sz w:val="16"/>
          <w:szCs w:val="16"/>
          <w:lang w:val="es-PR"/>
        </w:rPr>
        <w:t xml:space="preserve">Resolución del Presidente de 4 de diciembre de 2014, </w:t>
      </w:r>
      <w:r w:rsidRPr="007E666D">
        <w:rPr>
          <w:rFonts w:ascii="Verdana" w:hAnsi="Verdana" w:cs="Microsoft Sans Serif"/>
          <w:i/>
          <w:spacing w:val="-4"/>
          <w:sz w:val="16"/>
          <w:szCs w:val="16"/>
          <w:lang w:val="es-PR"/>
        </w:rPr>
        <w:t>supra,</w:t>
      </w:r>
      <w:r w:rsidRPr="007E666D">
        <w:rPr>
          <w:rFonts w:ascii="Verdana" w:hAnsi="Verdana" w:cs="Microsoft Sans Serif"/>
          <w:spacing w:val="-4"/>
          <w:sz w:val="16"/>
          <w:szCs w:val="16"/>
          <w:lang w:val="es-PR"/>
        </w:rPr>
        <w:t xml:space="preserve"> </w:t>
      </w:r>
      <w:r w:rsidRPr="007E666D">
        <w:rPr>
          <w:rFonts w:ascii="Verdana" w:hAnsi="Verdana"/>
          <w:sz w:val="16"/>
          <w:szCs w:val="16"/>
          <w:lang w:val="es-PR"/>
        </w:rPr>
        <w:t>punto resolutivo primero</w:t>
      </w:r>
      <w:r w:rsidRPr="007E666D">
        <w:rPr>
          <w:rFonts w:ascii="Verdana" w:hAnsi="Verdana" w:cs="Microsoft Sans Serif"/>
          <w:spacing w:val="-4"/>
          <w:sz w:val="16"/>
          <w:szCs w:val="16"/>
          <w:lang w:val="es-PR"/>
        </w:rPr>
        <w:t xml:space="preserve">. </w:t>
      </w:r>
    </w:p>
  </w:footnote>
  <w:footnote w:id="48">
    <w:p w:rsidR="00D57F75" w:rsidRPr="007E666D" w:rsidRDefault="00D57F75" w:rsidP="007C6BB7">
      <w:pPr>
        <w:pStyle w:val="FootnoteText"/>
        <w:tabs>
          <w:tab w:val="left" w:pos="450"/>
          <w:tab w:val="left" w:pos="567"/>
        </w:tabs>
        <w:contextualSpacing/>
        <w:jc w:val="both"/>
        <w:rPr>
          <w:rFonts w:ascii="Verdana" w:hAnsi="Verdana" w:cs="Microsoft Sans Serif"/>
          <w:spacing w:val="-4"/>
          <w:sz w:val="16"/>
          <w:szCs w:val="16"/>
          <w:lang w:val="es-PR"/>
        </w:rPr>
      </w:pPr>
      <w:r w:rsidRPr="007E666D">
        <w:rPr>
          <w:rStyle w:val="FootnoteReference"/>
          <w:rFonts w:eastAsiaTheme="minorHAnsi" w:cs="Microsoft Sans Serif"/>
          <w:sz w:val="16"/>
          <w:lang w:val="es-PR"/>
        </w:rPr>
        <w:footnoteRef/>
      </w:r>
      <w:r w:rsidRPr="007E666D">
        <w:rPr>
          <w:rFonts w:ascii="Verdana" w:hAnsi="Verdana" w:cs="Microsoft Sans Serif"/>
          <w:spacing w:val="-4"/>
          <w:sz w:val="16"/>
          <w:szCs w:val="16"/>
          <w:lang w:val="es-PR"/>
        </w:rPr>
        <w:t xml:space="preserve"> </w:t>
      </w:r>
      <w:r w:rsidRPr="007E666D">
        <w:rPr>
          <w:rFonts w:ascii="Verdana" w:hAnsi="Verdana" w:cs="Microsoft Sans Serif"/>
          <w:spacing w:val="-4"/>
          <w:sz w:val="16"/>
          <w:szCs w:val="16"/>
          <w:lang w:val="es-PR"/>
        </w:rPr>
        <w:tab/>
      </w:r>
      <w:r w:rsidRPr="007E666D">
        <w:rPr>
          <w:rFonts w:ascii="Verdana" w:hAnsi="Verdana" w:cs="Microsoft Sans Serif"/>
          <w:i/>
          <w:spacing w:val="-4"/>
          <w:sz w:val="16"/>
          <w:szCs w:val="16"/>
          <w:lang w:val="es-PR"/>
        </w:rPr>
        <w:t xml:space="preserve">Cfr. </w:t>
      </w:r>
      <w:r w:rsidRPr="007E666D">
        <w:rPr>
          <w:rFonts w:ascii="Verdana" w:hAnsi="Verdana" w:cs="Microsoft Sans Serif"/>
          <w:bCs/>
          <w:i/>
          <w:spacing w:val="-4"/>
          <w:sz w:val="16"/>
          <w:szCs w:val="16"/>
          <w:lang w:val="es-PR"/>
        </w:rPr>
        <w:t xml:space="preserve">Caso Familia Barrios Vs. Venezuela, supra, </w:t>
      </w:r>
      <w:r w:rsidRPr="007E666D">
        <w:rPr>
          <w:rFonts w:ascii="Verdana" w:hAnsi="Verdana" w:cs="Microsoft Sans Serif"/>
          <w:bCs/>
          <w:spacing w:val="-4"/>
          <w:sz w:val="16"/>
          <w:szCs w:val="16"/>
          <w:lang w:val="es-PR"/>
        </w:rPr>
        <w:t xml:space="preserve">párr. 31, y </w:t>
      </w:r>
      <w:r w:rsidRPr="007E666D">
        <w:rPr>
          <w:rFonts w:ascii="Verdana" w:hAnsi="Verdana" w:cs="Microsoft Sans Serif"/>
          <w:i/>
          <w:spacing w:val="-4"/>
          <w:sz w:val="16"/>
          <w:szCs w:val="16"/>
          <w:lang w:val="es-PR"/>
        </w:rPr>
        <w:t xml:space="preserve">Caso Espinoza Gonzáles Vs. Perú, supra, </w:t>
      </w:r>
      <w:r w:rsidRPr="007E666D">
        <w:rPr>
          <w:rFonts w:ascii="Verdana" w:hAnsi="Verdana" w:cs="Microsoft Sans Serif"/>
          <w:spacing w:val="-4"/>
          <w:sz w:val="16"/>
          <w:szCs w:val="16"/>
          <w:lang w:val="es-PR"/>
        </w:rPr>
        <w:t xml:space="preserve">párr. 31. </w:t>
      </w:r>
    </w:p>
  </w:footnote>
  <w:footnote w:id="49">
    <w:p w:rsidR="00D57F75" w:rsidRPr="007E666D" w:rsidRDefault="00D57F75" w:rsidP="00C85E9A">
      <w:pPr>
        <w:pStyle w:val="FootnoteText"/>
        <w:spacing w:beforeLines="60" w:before="144"/>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i/>
          <w:iCs/>
          <w:spacing w:val="-4"/>
          <w:sz w:val="16"/>
          <w:szCs w:val="16"/>
          <w:lang w:val="es-PR"/>
        </w:rPr>
        <w:t xml:space="preserve">Caso Cinco Pensionistas Vs. Perú. Fondo, Reparaciones y Costas. </w:t>
      </w:r>
      <w:r w:rsidRPr="007E666D">
        <w:rPr>
          <w:rFonts w:ascii="Verdana" w:hAnsi="Verdana"/>
          <w:iCs/>
          <w:spacing w:val="-4"/>
          <w:sz w:val="16"/>
          <w:szCs w:val="16"/>
          <w:lang w:val="es-PR"/>
        </w:rPr>
        <w:t>Sentencia de 28 de febrero de 2003. Serie C No. 98</w:t>
      </w:r>
      <w:r w:rsidRPr="007E666D">
        <w:rPr>
          <w:rFonts w:ascii="Verdana" w:hAnsi="Verdana"/>
          <w:spacing w:val="-4"/>
          <w:sz w:val="16"/>
          <w:szCs w:val="16"/>
          <w:lang w:val="es-PR"/>
        </w:rPr>
        <w:t xml:space="preserve">, párr. 153, y </w:t>
      </w:r>
      <w:r w:rsidRPr="007E666D">
        <w:rPr>
          <w:rFonts w:ascii="Verdana" w:hAnsi="Verdana"/>
          <w:i/>
          <w:iCs/>
          <w:sz w:val="16"/>
          <w:szCs w:val="16"/>
          <w:lang w:val="es-PR"/>
        </w:rPr>
        <w:t>Caso Rodríguez Vera y otros (Desaparecidos del Palacio de Justicia) Vs. Colombia, supra,</w:t>
      </w:r>
      <w:r w:rsidRPr="007E666D">
        <w:rPr>
          <w:rFonts w:ascii="Verdana" w:hAnsi="Verdana"/>
          <w:sz w:val="16"/>
          <w:szCs w:val="16"/>
          <w:lang w:val="es-PR"/>
        </w:rPr>
        <w:t xml:space="preserve"> párr. 47.</w:t>
      </w:r>
    </w:p>
  </w:footnote>
  <w:footnote w:id="50">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El 12 de enero de 2015, los representantes desistieron de la declaración del señor Marino Huamaní Vergara. Por otro lado, el 5 de enero de 2015 el Presidente de la Corte autorizó la solicitud del Estado de sustituir la modalidad de la declaración en audiencia pública por la declaración ante fedatario público (affidávit) a cargo del testigo Rurik Jurqi Medina Tapia, ya que “no pod[ía] asistir en calidad de testigo a la ciudad de San José de Costa Rica” por razones profesionales.</w:t>
      </w:r>
    </w:p>
  </w:footnote>
  <w:footnote w:id="51">
    <w:p w:rsidR="00D57F75" w:rsidRPr="007E666D" w:rsidRDefault="00D57F75" w:rsidP="00106A1E">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 xml:space="preserve">Caso Velásquez Rodríguez Vs. Honduras. Fondo. </w:t>
      </w:r>
      <w:r w:rsidRPr="007E666D">
        <w:rPr>
          <w:rFonts w:ascii="Verdana" w:hAnsi="Verdana"/>
          <w:spacing w:val="-4"/>
          <w:sz w:val="16"/>
          <w:szCs w:val="16"/>
          <w:lang w:val="es-PR"/>
        </w:rPr>
        <w:t>Sentencia de 29 de julio de 1988. Serie C No. 4</w:t>
      </w:r>
      <w:r w:rsidRPr="007E666D">
        <w:rPr>
          <w:rFonts w:ascii="Verdana" w:hAnsi="Verdana"/>
          <w:i/>
          <w:spacing w:val="-4"/>
          <w:sz w:val="16"/>
          <w:szCs w:val="16"/>
          <w:lang w:val="es-PR"/>
        </w:rPr>
        <w:t>,</w:t>
      </w:r>
      <w:r w:rsidRPr="007E666D">
        <w:rPr>
          <w:rFonts w:ascii="Verdana" w:hAnsi="Verdana"/>
          <w:spacing w:val="-4"/>
          <w:sz w:val="16"/>
          <w:szCs w:val="16"/>
          <w:lang w:val="es-PR"/>
        </w:rPr>
        <w:t xml:space="preserve"> párr. 140, y </w:t>
      </w:r>
      <w:r w:rsidRPr="007E666D">
        <w:rPr>
          <w:rFonts w:ascii="Verdana" w:hAnsi="Verdana" w:cs="Arial"/>
          <w:i/>
          <w:spacing w:val="-4"/>
          <w:sz w:val="16"/>
          <w:szCs w:val="16"/>
          <w:shd w:val="clear" w:color="auto" w:fill="FFFFFF"/>
          <w:lang w:val="es-PR"/>
        </w:rPr>
        <w:t>Caso Canales Huapaya y otros Vs. Perú. Excepciones Preliminares, Fondo, Reparaciones y Costas.</w:t>
      </w:r>
      <w:r w:rsidRPr="007E666D">
        <w:rPr>
          <w:rFonts w:ascii="Verdana" w:hAnsi="Verdana" w:cs="Arial"/>
          <w:spacing w:val="-4"/>
          <w:sz w:val="16"/>
          <w:szCs w:val="16"/>
          <w:shd w:val="clear" w:color="auto" w:fill="FFFFFF"/>
          <w:lang w:val="es-PR"/>
        </w:rPr>
        <w:t xml:space="preserve"> Sentencia de 24 de junio de 2015. Serie C No. 296, párr. 41.</w:t>
      </w:r>
    </w:p>
  </w:footnote>
  <w:footnote w:id="52">
    <w:p w:rsidR="00D57F75" w:rsidRPr="007E666D" w:rsidRDefault="00D57F75" w:rsidP="00106A1E">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Velásquez Rodríguez Vs. Honduras. Fondo, supra,</w:t>
      </w:r>
      <w:r w:rsidRPr="007E666D">
        <w:rPr>
          <w:rFonts w:ascii="Verdana" w:hAnsi="Verdana"/>
          <w:spacing w:val="-4"/>
          <w:sz w:val="16"/>
          <w:szCs w:val="16"/>
          <w:lang w:val="es-PR"/>
        </w:rPr>
        <w:t xml:space="preserve"> párr. 146, y </w:t>
      </w:r>
      <w:r w:rsidRPr="007E666D">
        <w:rPr>
          <w:rStyle w:val="Strong"/>
          <w:rFonts w:ascii="Verdana" w:hAnsi="Verdana"/>
          <w:b w:val="0"/>
          <w:i/>
          <w:color w:val="000000"/>
          <w:sz w:val="16"/>
          <w:szCs w:val="16"/>
          <w:shd w:val="clear" w:color="auto" w:fill="FFFFFF"/>
          <w:lang w:val="es-PR"/>
        </w:rPr>
        <w:t xml:space="preserve">Caso Wong Ho Wing Vs. Perú. Excepción Preliminar, Fondo, Reparaciones y Costas. </w:t>
      </w:r>
      <w:r w:rsidRPr="007E666D">
        <w:rPr>
          <w:rStyle w:val="Strong"/>
          <w:rFonts w:ascii="Verdana" w:hAnsi="Verdana"/>
          <w:b w:val="0"/>
          <w:color w:val="000000"/>
          <w:sz w:val="16"/>
          <w:szCs w:val="16"/>
          <w:shd w:val="clear" w:color="auto" w:fill="FFFFFF"/>
          <w:lang w:val="es-PR"/>
        </w:rPr>
        <w:t>Sentencia de 30 de junio de 2015. Serie C No. 297, párr. 39.</w:t>
      </w:r>
    </w:p>
  </w:footnote>
  <w:footnote w:id="53">
    <w:p w:rsidR="00D57F75" w:rsidRPr="007E666D" w:rsidRDefault="00D57F75" w:rsidP="00106A1E">
      <w:pPr>
        <w:tabs>
          <w:tab w:val="left" w:pos="426"/>
          <w:tab w:val="left" w:pos="72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ab/>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Caso Escué Zapata Vs. Colombia. Fondo, Reparaciones y Costas. Sentencia </w:t>
      </w:r>
      <w:r w:rsidRPr="007E666D">
        <w:rPr>
          <w:rFonts w:ascii="Verdana" w:hAnsi="Verdana"/>
          <w:iCs/>
          <w:spacing w:val="-4"/>
          <w:sz w:val="16"/>
          <w:szCs w:val="16"/>
          <w:lang w:val="es-PR"/>
        </w:rPr>
        <w:t>de 4 de julio de 2007. Serie C No. 165</w:t>
      </w:r>
      <w:r w:rsidRPr="007E666D">
        <w:rPr>
          <w:rFonts w:ascii="Verdana" w:hAnsi="Verdana"/>
          <w:spacing w:val="-4"/>
          <w:sz w:val="16"/>
          <w:szCs w:val="16"/>
          <w:lang w:val="es-PR"/>
        </w:rPr>
        <w:t xml:space="preserve">, párr. 26, y </w:t>
      </w:r>
      <w:r w:rsidRPr="007E666D">
        <w:rPr>
          <w:rFonts w:ascii="Verdana" w:hAnsi="Verdana" w:cs="Arial"/>
          <w:i/>
          <w:spacing w:val="-4"/>
          <w:sz w:val="16"/>
          <w:szCs w:val="16"/>
          <w:shd w:val="clear" w:color="auto" w:fill="FFFFFF"/>
          <w:lang w:val="es-PR"/>
        </w:rPr>
        <w:t>Caso Canales Huapaya y otros Vs. Perú, supra,</w:t>
      </w:r>
      <w:r w:rsidRPr="007E666D">
        <w:rPr>
          <w:rFonts w:ascii="Verdana" w:hAnsi="Verdana" w:cs="Arial"/>
          <w:spacing w:val="-4"/>
          <w:sz w:val="16"/>
          <w:szCs w:val="16"/>
          <w:shd w:val="clear" w:color="auto" w:fill="FFFFFF"/>
          <w:lang w:val="es-PR"/>
        </w:rPr>
        <w:t xml:space="preserve"> párr. 41.</w:t>
      </w:r>
    </w:p>
  </w:footnote>
  <w:footnote w:id="54">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El documento remitido por los representantes es: Observaciones de los representantes al Informe Estatal de 27 de junio de 2013. Por su parte, los documentos remitidos por el Estado son: Resolución de fecha 16 de abril de 2012 emitida por la Corte Suprema de Justicia y por la cual se concedió el recurso de nulidad; Gráfico de composición familiar a partir de Francisco Hilario Torres y Dionicia Quispe Mallqui; Gráfico de composición familiar a partir de Ramón Hilario Moran y Dionicia Guillen Riveros, y Gráfico de composición familiar a partir de Elihoref Huamaní Vergara.</w:t>
      </w:r>
    </w:p>
  </w:footnote>
  <w:footnote w:id="55">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pacing w:val="-4"/>
          <w:sz w:val="16"/>
          <w:szCs w:val="16"/>
          <w:lang w:val="es-PR"/>
        </w:rPr>
        <w:t xml:space="preserve">Cfr. </w:t>
      </w:r>
      <w:r w:rsidRPr="007E666D">
        <w:rPr>
          <w:rFonts w:ascii="Verdana" w:hAnsi="Verdana"/>
          <w:i/>
          <w:sz w:val="16"/>
          <w:szCs w:val="16"/>
          <w:lang w:val="es-PR"/>
        </w:rPr>
        <w:t xml:space="preserve">Caso Espinoza González Vs, Perú. Fondo, supra, </w:t>
      </w:r>
      <w:r w:rsidRPr="007E666D">
        <w:rPr>
          <w:rFonts w:ascii="Verdana" w:hAnsi="Verdana"/>
          <w:sz w:val="16"/>
          <w:szCs w:val="16"/>
          <w:lang w:val="es-PR"/>
        </w:rPr>
        <w:t>párr</w:t>
      </w:r>
      <w:r w:rsidRPr="007E666D">
        <w:rPr>
          <w:rFonts w:ascii="Verdana" w:hAnsi="Verdana"/>
          <w:i/>
          <w:sz w:val="16"/>
          <w:szCs w:val="16"/>
          <w:lang w:val="es-PR"/>
        </w:rPr>
        <w:t>.</w:t>
      </w:r>
      <w:r w:rsidRPr="007E666D">
        <w:rPr>
          <w:rFonts w:ascii="Verdana" w:hAnsi="Verdana"/>
          <w:sz w:val="16"/>
          <w:szCs w:val="16"/>
          <w:lang w:val="es-PR"/>
        </w:rPr>
        <w:t xml:space="preserve"> 45. </w:t>
      </w:r>
    </w:p>
  </w:footnote>
  <w:footnote w:id="56">
    <w:p w:rsidR="00D57F75" w:rsidRPr="007E666D" w:rsidRDefault="00D57F75" w:rsidP="00106A1E">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Caso Loayza Tamayo Vs. Perú. Fondo. </w:t>
      </w:r>
      <w:r w:rsidRPr="007E666D">
        <w:rPr>
          <w:rFonts w:ascii="Verdana" w:hAnsi="Verdana"/>
          <w:spacing w:val="-4"/>
          <w:sz w:val="16"/>
          <w:szCs w:val="16"/>
          <w:lang w:val="es-PR"/>
        </w:rPr>
        <w:t>Sentencia de 17 de septiembre de 1997.</w:t>
      </w:r>
      <w:r w:rsidRPr="007E666D">
        <w:rPr>
          <w:rFonts w:ascii="Verdana" w:hAnsi="Verdana"/>
          <w:i/>
          <w:spacing w:val="-4"/>
          <w:sz w:val="16"/>
          <w:szCs w:val="16"/>
          <w:lang w:val="es-PR"/>
        </w:rPr>
        <w:t xml:space="preserve"> </w:t>
      </w:r>
      <w:r w:rsidRPr="007E666D">
        <w:rPr>
          <w:rFonts w:ascii="Verdana" w:hAnsi="Verdana"/>
          <w:spacing w:val="-4"/>
          <w:sz w:val="16"/>
          <w:szCs w:val="16"/>
          <w:lang w:val="es-PR"/>
        </w:rPr>
        <w:t xml:space="preserve">Serie C No. 33, párr. 43, y </w:t>
      </w:r>
      <w:r w:rsidRPr="007E666D">
        <w:rPr>
          <w:rFonts w:ascii="Verdana" w:hAnsi="Verdana" w:cs="Arial"/>
          <w:i/>
          <w:spacing w:val="-4"/>
          <w:sz w:val="16"/>
          <w:szCs w:val="16"/>
          <w:shd w:val="clear" w:color="auto" w:fill="FFFFFF"/>
          <w:lang w:val="es-PR"/>
        </w:rPr>
        <w:t xml:space="preserve">Caso </w:t>
      </w:r>
      <w:r w:rsidRPr="007E666D">
        <w:rPr>
          <w:rFonts w:ascii="Verdana" w:hAnsi="Verdana"/>
          <w:bCs/>
          <w:i/>
          <w:sz w:val="16"/>
          <w:szCs w:val="16"/>
          <w:lang w:val="es-PR"/>
        </w:rPr>
        <w:t>Canales Huapaya y otros Vs. Perú</w:t>
      </w:r>
      <w:r w:rsidRPr="007E666D">
        <w:rPr>
          <w:rFonts w:ascii="Verdana" w:hAnsi="Verdana" w:cs="Arial"/>
          <w:spacing w:val="-4"/>
          <w:sz w:val="16"/>
          <w:szCs w:val="16"/>
          <w:shd w:val="clear" w:color="auto" w:fill="FFFFFF"/>
          <w:lang w:val="es-PR"/>
        </w:rPr>
        <w:t xml:space="preserve">, </w:t>
      </w:r>
      <w:r w:rsidRPr="007E666D">
        <w:rPr>
          <w:rFonts w:ascii="Verdana" w:hAnsi="Verdana" w:cs="Arial"/>
          <w:i/>
          <w:spacing w:val="-4"/>
          <w:sz w:val="16"/>
          <w:szCs w:val="16"/>
          <w:shd w:val="clear" w:color="auto" w:fill="FFFFFF"/>
          <w:lang w:val="es-PR"/>
        </w:rPr>
        <w:t>supra</w:t>
      </w:r>
      <w:r w:rsidRPr="007E666D">
        <w:rPr>
          <w:rFonts w:ascii="Verdana" w:hAnsi="Verdana" w:cs="Arial"/>
          <w:spacing w:val="-4"/>
          <w:sz w:val="16"/>
          <w:szCs w:val="16"/>
          <w:shd w:val="clear" w:color="auto" w:fill="FFFFFF"/>
          <w:lang w:val="es-PR"/>
        </w:rPr>
        <w:t>,</w:t>
      </w:r>
      <w:r w:rsidRPr="007E666D">
        <w:rPr>
          <w:rFonts w:ascii="Verdana" w:hAnsi="Verdana" w:cs="Arial"/>
          <w:i/>
          <w:spacing w:val="-4"/>
          <w:sz w:val="16"/>
          <w:szCs w:val="16"/>
          <w:shd w:val="clear" w:color="auto" w:fill="FFFFFF"/>
          <w:lang w:val="es-PR"/>
        </w:rPr>
        <w:t xml:space="preserve"> </w:t>
      </w:r>
      <w:r w:rsidRPr="007E666D">
        <w:rPr>
          <w:rFonts w:ascii="Verdana" w:hAnsi="Verdana"/>
          <w:spacing w:val="-4"/>
          <w:sz w:val="16"/>
          <w:szCs w:val="16"/>
          <w:lang w:val="es-PR"/>
        </w:rPr>
        <w:t>párr. 58.</w:t>
      </w:r>
    </w:p>
  </w:footnote>
  <w:footnote w:id="57">
    <w:p w:rsidR="00D57F75" w:rsidRPr="007E666D" w:rsidRDefault="00D57F75" w:rsidP="00106A1E">
      <w:pPr>
        <w:pStyle w:val="FootnoteText"/>
        <w:tabs>
          <w:tab w:val="left" w:pos="720"/>
        </w:tabs>
        <w:contextualSpacing/>
        <w:jc w:val="both"/>
        <w:rPr>
          <w:rFonts w:ascii="Verdana" w:hAnsi="Verdana" w:cs="Helvetica"/>
          <w:bCs/>
          <w:color w:val="000000"/>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Cabe señalar que los datos que constan en la prueba sobre los integrantes de dichos grupos familiares varían en algunos casos. Además, algunos de los familiares han muerto con posterioridad al año 2000; sin embargo, la información sobre las fechas de su fallecimiento es inconsistente o no se cuenta con esta. Por tanto, la Corte ha procedido a señalar aquellos datos que son consistentes en la prueba y la información proporcionada por las partes y la Comisión, sin perjuicio de la nueva evidencia que pudiera sobrevenir al respecto. </w:t>
      </w:r>
      <w:r w:rsidRPr="007E666D">
        <w:rPr>
          <w:rFonts w:ascii="Verdana" w:hAnsi="Verdana"/>
          <w:i/>
          <w:sz w:val="16"/>
          <w:szCs w:val="16"/>
          <w:lang w:val="es-PR"/>
        </w:rPr>
        <w:t>Cfr.</w:t>
      </w:r>
      <w:r w:rsidRPr="007E666D">
        <w:rPr>
          <w:rFonts w:ascii="Verdana" w:hAnsi="Verdana"/>
          <w:sz w:val="16"/>
          <w:szCs w:val="16"/>
          <w:lang w:val="es-PR"/>
        </w:rPr>
        <w:t xml:space="preserve"> Relación de presuntas víctimas y sus familiares (expediente de prueba, folio 31); Partida de Bautismo de 3 de diciembre de 2012 (expediente de prueba, folio 3876); Entrevista realizada a Zenón Cirilo Osnayo Tunque, Informe Pericial No. 18, Investigación Fiscal 2008-61-0 de 18 y 19 de abril de 2010 (expediente de prueba, folios 4340 a 4341 y 4350 a 4351); </w:t>
      </w:r>
      <w:r w:rsidRPr="007E666D">
        <w:rPr>
          <w:rFonts w:ascii="Verdana" w:hAnsi="Verdana" w:cs="Arial"/>
          <w:sz w:val="16"/>
          <w:szCs w:val="16"/>
          <w:lang w:val="es-PR"/>
        </w:rPr>
        <w:t xml:space="preserve">Sentencia de la Sala Penal Nacional de 9 de febrero de 2012 (expediente de prueba, folio 4509); </w:t>
      </w:r>
      <w:r w:rsidRPr="007E666D">
        <w:rPr>
          <w:rFonts w:ascii="Verdana" w:hAnsi="Verdana"/>
          <w:spacing w:val="-4"/>
          <w:sz w:val="16"/>
          <w:szCs w:val="16"/>
          <w:lang w:val="es-PR"/>
        </w:rPr>
        <w:t xml:space="preserve">Declaración rendida el 9 de enero de 2015 ante fedatario público (affidávit) por </w:t>
      </w:r>
      <w:r w:rsidRPr="007E666D">
        <w:rPr>
          <w:rFonts w:ascii="Verdana" w:hAnsi="Verdana" w:cs="Helvetica"/>
          <w:bCs/>
          <w:color w:val="000000"/>
          <w:sz w:val="16"/>
          <w:szCs w:val="16"/>
          <w:lang w:val="es-PR"/>
        </w:rPr>
        <w:t>Zósimo Hilario Quispe</w:t>
      </w:r>
      <w:r w:rsidRPr="007E666D">
        <w:rPr>
          <w:rFonts w:ascii="Verdana" w:hAnsi="Verdana"/>
          <w:spacing w:val="-4"/>
          <w:sz w:val="16"/>
          <w:szCs w:val="16"/>
          <w:lang w:val="es-PR"/>
        </w:rPr>
        <w:t xml:space="preserve"> (expediente de prueba, folio 5200)</w:t>
      </w:r>
      <w:r w:rsidRPr="007E666D">
        <w:rPr>
          <w:rFonts w:ascii="Verdana" w:hAnsi="Verdana" w:cs="Arial"/>
          <w:sz w:val="16"/>
          <w:szCs w:val="16"/>
          <w:lang w:val="es-PR"/>
        </w:rPr>
        <w:t xml:space="preserve">; </w:t>
      </w:r>
      <w:r w:rsidRPr="007E666D">
        <w:rPr>
          <w:rFonts w:ascii="Verdana" w:hAnsi="Verdana"/>
          <w:spacing w:val="-4"/>
          <w:sz w:val="16"/>
          <w:szCs w:val="16"/>
          <w:lang w:val="es-PR"/>
        </w:rPr>
        <w:t xml:space="preserve">Declaración rendida el 9 de enero de 2015 ante fedatario público (affidávit) por </w:t>
      </w:r>
      <w:r w:rsidRPr="007E666D" w:rsidDel="008B17C5">
        <w:rPr>
          <w:rFonts w:ascii="Verdana" w:hAnsi="Verdana" w:cs="Helvetica"/>
          <w:bCs/>
          <w:color w:val="000000"/>
          <w:sz w:val="16"/>
          <w:szCs w:val="16"/>
          <w:lang w:val="es-PR"/>
        </w:rPr>
        <w:t>Marcelo Hilario Quispe</w:t>
      </w:r>
      <w:r w:rsidRPr="007E666D">
        <w:rPr>
          <w:rFonts w:ascii="Verdana" w:hAnsi="Verdana"/>
          <w:spacing w:val="-4"/>
          <w:sz w:val="16"/>
          <w:szCs w:val="16"/>
          <w:lang w:val="es-PR"/>
        </w:rPr>
        <w:t xml:space="preserve"> (expediente de prueba, folios 5203 y 5207);</w:t>
      </w:r>
      <w:r w:rsidRPr="007E666D">
        <w:rPr>
          <w:rFonts w:ascii="Verdana" w:hAnsi="Verdana" w:cs="Arial"/>
          <w:sz w:val="16"/>
          <w:szCs w:val="16"/>
          <w:lang w:val="es-PR"/>
        </w:rPr>
        <w:t xml:space="preserve"> </w:t>
      </w:r>
      <w:r w:rsidRPr="007E666D">
        <w:rPr>
          <w:rFonts w:ascii="Verdana" w:hAnsi="Verdana"/>
          <w:spacing w:val="-4"/>
          <w:sz w:val="16"/>
          <w:szCs w:val="16"/>
          <w:lang w:val="es-PR"/>
        </w:rPr>
        <w:t xml:space="preserve">Declaración rendida ante fedatario público (affidávit) el 9 de enero de 2015 por </w:t>
      </w:r>
      <w:r w:rsidRPr="007E666D" w:rsidDel="008B17C5">
        <w:rPr>
          <w:rFonts w:ascii="Verdana" w:hAnsi="Verdana" w:cs="Helvetica"/>
          <w:bCs/>
          <w:color w:val="000000"/>
          <w:sz w:val="16"/>
          <w:szCs w:val="16"/>
          <w:lang w:val="es-PR"/>
        </w:rPr>
        <w:t>Gregorio Hilario Quispe</w:t>
      </w:r>
      <w:r w:rsidRPr="007E666D">
        <w:rPr>
          <w:rFonts w:ascii="Verdana" w:hAnsi="Verdana" w:cs="Helvetica"/>
          <w:bCs/>
          <w:color w:val="000000"/>
          <w:sz w:val="16"/>
          <w:szCs w:val="16"/>
          <w:lang w:val="es-PR"/>
        </w:rPr>
        <w:t xml:space="preserve"> </w:t>
      </w:r>
      <w:r w:rsidRPr="007E666D">
        <w:rPr>
          <w:rFonts w:ascii="Verdana" w:hAnsi="Verdana"/>
          <w:spacing w:val="-4"/>
          <w:sz w:val="16"/>
          <w:szCs w:val="16"/>
          <w:lang w:val="es-PR"/>
        </w:rPr>
        <w:t xml:space="preserve">(expediente de prueba, folios 5209 y 5210); Declaración rendida ante fedatario público (affidávit) el 9 de enero de 2015 por </w:t>
      </w:r>
      <w:r w:rsidRPr="007E666D">
        <w:rPr>
          <w:rFonts w:ascii="Verdana" w:hAnsi="Verdana" w:cs="Helvetica"/>
          <w:bCs/>
          <w:color w:val="000000"/>
          <w:sz w:val="16"/>
          <w:szCs w:val="16"/>
          <w:lang w:val="es-PR"/>
        </w:rPr>
        <w:t>Víctor</w:t>
      </w:r>
      <w:r w:rsidRPr="007E666D" w:rsidDel="008B17C5">
        <w:rPr>
          <w:rFonts w:ascii="Verdana" w:hAnsi="Verdana" w:cs="Helvetica"/>
          <w:bCs/>
          <w:color w:val="000000"/>
          <w:sz w:val="16"/>
          <w:szCs w:val="16"/>
          <w:lang w:val="es-PR"/>
        </w:rPr>
        <w:t xml:space="preserve"> Carhuapoma de la Cruz</w:t>
      </w:r>
      <w:r w:rsidRPr="007E666D">
        <w:rPr>
          <w:rFonts w:ascii="Verdana" w:hAnsi="Verdana"/>
          <w:spacing w:val="-4"/>
          <w:sz w:val="16"/>
          <w:szCs w:val="16"/>
          <w:lang w:val="es-PR"/>
        </w:rPr>
        <w:t xml:space="preserve"> (expediente de prueba, folio 5213); Declaración rendida ante fedatario público (affidávit) el 9 de enero de 2015 por </w:t>
      </w:r>
      <w:r w:rsidRPr="007E666D">
        <w:rPr>
          <w:rFonts w:ascii="Verdana" w:hAnsi="Verdana" w:cs="Helvetica"/>
          <w:bCs/>
          <w:color w:val="000000"/>
          <w:sz w:val="16"/>
          <w:szCs w:val="16"/>
          <w:lang w:val="es-PR"/>
        </w:rPr>
        <w:t xml:space="preserve">Abilio Hilario Quispe </w:t>
      </w:r>
      <w:r w:rsidRPr="007E666D">
        <w:rPr>
          <w:rFonts w:ascii="Verdana" w:hAnsi="Verdana"/>
          <w:spacing w:val="-4"/>
          <w:sz w:val="16"/>
          <w:szCs w:val="16"/>
          <w:lang w:val="es-PR"/>
        </w:rPr>
        <w:t xml:space="preserve">(expediente de prueba, folio 5217); Declaración rendida ante fedatario público (affidávit) el 9 de enero de 2015 por </w:t>
      </w:r>
      <w:r w:rsidRPr="007E666D">
        <w:rPr>
          <w:rFonts w:ascii="Verdana" w:hAnsi="Verdana" w:cs="Helvetica"/>
          <w:color w:val="000000"/>
          <w:sz w:val="16"/>
          <w:szCs w:val="16"/>
          <w:lang w:val="es-PR"/>
        </w:rPr>
        <w:t>Marcelina Guillen Riveros</w:t>
      </w:r>
      <w:r w:rsidRPr="007E666D">
        <w:rPr>
          <w:rFonts w:ascii="Verdana" w:hAnsi="Verdana"/>
          <w:spacing w:val="-4"/>
          <w:sz w:val="16"/>
          <w:szCs w:val="16"/>
          <w:lang w:val="es-PR"/>
        </w:rPr>
        <w:t xml:space="preserve"> (expediente de prueba, folio 5220); Declaración de </w:t>
      </w:r>
      <w:r w:rsidRPr="007E666D" w:rsidDel="008B17C5">
        <w:rPr>
          <w:rFonts w:ascii="Verdana" w:hAnsi="Verdana" w:cs="Helvetica"/>
          <w:color w:val="000000"/>
          <w:sz w:val="16"/>
          <w:szCs w:val="16"/>
          <w:lang w:val="es-PR"/>
        </w:rPr>
        <w:t>Zen</w:t>
      </w:r>
      <w:r w:rsidRPr="007E666D">
        <w:rPr>
          <w:rFonts w:ascii="Verdana" w:hAnsi="Verdana" w:cs="Helvetica"/>
          <w:color w:val="000000"/>
          <w:sz w:val="16"/>
          <w:szCs w:val="16"/>
          <w:lang w:val="es-PR"/>
        </w:rPr>
        <w:t>ó</w:t>
      </w:r>
      <w:r w:rsidRPr="007E666D" w:rsidDel="008B17C5">
        <w:rPr>
          <w:rFonts w:ascii="Verdana" w:hAnsi="Verdana" w:cs="Helvetica"/>
          <w:color w:val="000000"/>
          <w:sz w:val="16"/>
          <w:szCs w:val="16"/>
          <w:lang w:val="es-PR"/>
        </w:rPr>
        <w:t>n Cirilo Osnayo Tunque</w:t>
      </w:r>
      <w:r w:rsidRPr="007E666D">
        <w:rPr>
          <w:rFonts w:ascii="Verdana" w:hAnsi="Verdana"/>
          <w:spacing w:val="-4"/>
          <w:sz w:val="16"/>
          <w:szCs w:val="16"/>
          <w:lang w:val="es-PR"/>
        </w:rPr>
        <w:t xml:space="preserve"> en la audiencia pública celebrada el 26 de enero de 2015, y </w:t>
      </w:r>
      <w:r w:rsidRPr="007E666D">
        <w:rPr>
          <w:rFonts w:ascii="Verdana" w:hAnsi="Verdana"/>
          <w:sz w:val="16"/>
          <w:szCs w:val="16"/>
          <w:lang w:val="es-PR"/>
        </w:rPr>
        <w:t>Actas de defunción (expediente de prueba, folios 3745 y 3746).</w:t>
      </w:r>
    </w:p>
  </w:footnote>
  <w:footnote w:id="5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El padre de </w:t>
      </w:r>
      <w:r w:rsidRPr="007E666D">
        <w:rPr>
          <w:rFonts w:ascii="Verdana" w:hAnsi="Verdana" w:cs="Arial"/>
          <w:sz w:val="16"/>
          <w:szCs w:val="16"/>
          <w:lang w:val="es-PR"/>
        </w:rPr>
        <w:t>Elihoref Huamaní Vergara</w:t>
      </w:r>
      <w:r w:rsidRPr="007E666D">
        <w:rPr>
          <w:rFonts w:ascii="Verdana" w:hAnsi="Verdana"/>
          <w:sz w:val="16"/>
          <w:szCs w:val="16"/>
          <w:lang w:val="es-PR"/>
        </w:rPr>
        <w:t xml:space="preserve"> fue</w:t>
      </w:r>
      <w:r w:rsidRPr="007E666D">
        <w:rPr>
          <w:rFonts w:ascii="Verdana" w:hAnsi="Verdana" w:cs="Arial"/>
          <w:sz w:val="16"/>
          <w:szCs w:val="16"/>
          <w:lang w:val="es-PR"/>
        </w:rPr>
        <w:t xml:space="preserve"> Alejandro Huamaní Robles (fallecido) y su hermano es Marino Huamaní Vergara.</w:t>
      </w:r>
      <w:r w:rsidRPr="007E666D">
        <w:rPr>
          <w:rFonts w:ascii="Verdana" w:hAnsi="Verdana"/>
          <w:sz w:val="16"/>
          <w:szCs w:val="16"/>
          <w:lang w:val="es-PR"/>
        </w:rPr>
        <w:t xml:space="preserve"> </w:t>
      </w:r>
      <w:r w:rsidRPr="007E666D">
        <w:rPr>
          <w:rFonts w:ascii="Verdana" w:hAnsi="Verdana"/>
          <w:i/>
          <w:sz w:val="16"/>
          <w:szCs w:val="16"/>
          <w:lang w:val="es-PR"/>
        </w:rPr>
        <w:t>Cfr.</w:t>
      </w:r>
      <w:r w:rsidRPr="007E666D">
        <w:rPr>
          <w:rFonts w:ascii="Verdana" w:hAnsi="Verdana"/>
          <w:sz w:val="16"/>
          <w:szCs w:val="16"/>
          <w:lang w:val="es-PR"/>
        </w:rPr>
        <w:t xml:space="preserve"> Acta de defunción (expediente de prueba, folio 3744).</w:t>
      </w:r>
    </w:p>
  </w:footnote>
  <w:footnote w:id="59">
    <w:p w:rsidR="00D57F75" w:rsidRPr="007E666D" w:rsidRDefault="00D57F75" w:rsidP="00106A1E">
      <w:pPr>
        <w:pStyle w:val="FootnoteText"/>
        <w:tabs>
          <w:tab w:val="left" w:pos="720"/>
          <w:tab w:val="left" w:pos="7649"/>
        </w:tabs>
        <w:contextualSpacing/>
        <w:jc w:val="both"/>
        <w:rPr>
          <w:rFonts w:ascii="Verdana" w:hAnsi="Verdana" w:cs="Arial"/>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sz w:val="16"/>
          <w:szCs w:val="16"/>
          <w:lang w:val="es-PR"/>
        </w:rPr>
        <w:t>Edith</w:t>
      </w:r>
      <w:r w:rsidRPr="007E666D">
        <w:rPr>
          <w:rFonts w:ascii="Verdana" w:hAnsi="Verdana"/>
          <w:sz w:val="16"/>
          <w:szCs w:val="16"/>
          <w:lang w:val="es-PR"/>
        </w:rPr>
        <w:t xml:space="preserve"> </w:t>
      </w:r>
      <w:r w:rsidRPr="007E666D">
        <w:rPr>
          <w:rFonts w:ascii="Verdana" w:hAnsi="Verdana" w:cs="Arial"/>
          <w:sz w:val="16"/>
          <w:szCs w:val="16"/>
          <w:lang w:val="es-PR"/>
        </w:rPr>
        <w:t>Osnayo Hilario</w:t>
      </w:r>
      <w:r w:rsidRPr="007E666D">
        <w:rPr>
          <w:rFonts w:ascii="Verdana" w:hAnsi="Verdana"/>
          <w:sz w:val="16"/>
          <w:szCs w:val="16"/>
          <w:lang w:val="es-PR"/>
        </w:rPr>
        <w:t xml:space="preserve"> </w:t>
      </w:r>
      <w:r w:rsidRPr="007E666D">
        <w:rPr>
          <w:rFonts w:ascii="Verdana" w:hAnsi="Verdana" w:cs="Arial"/>
          <w:sz w:val="16"/>
          <w:szCs w:val="16"/>
          <w:lang w:val="es-PR"/>
        </w:rPr>
        <w:t xml:space="preserve">también es identificada como </w:t>
      </w:r>
      <w:r w:rsidRPr="007E666D">
        <w:rPr>
          <w:rFonts w:ascii="Verdana" w:hAnsi="Verdana"/>
          <w:sz w:val="16"/>
          <w:szCs w:val="16"/>
          <w:lang w:val="es-PR"/>
        </w:rPr>
        <w:t>Roxana</w:t>
      </w:r>
      <w:r w:rsidRPr="007E666D">
        <w:rPr>
          <w:rFonts w:ascii="Verdana" w:hAnsi="Verdana" w:cs="Arial"/>
          <w:sz w:val="16"/>
          <w:szCs w:val="16"/>
          <w:lang w:val="es-PR"/>
        </w:rPr>
        <w:t xml:space="preserve"> Osnayo Hilario.</w:t>
      </w:r>
    </w:p>
  </w:footnote>
  <w:footnote w:id="6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sz w:val="16"/>
          <w:szCs w:val="16"/>
          <w:lang w:val="es-PR"/>
        </w:rPr>
        <w:t xml:space="preserve">La mamá de Mercedes Carhuapoma de la Cruz es </w:t>
      </w:r>
      <w:r w:rsidRPr="007E666D">
        <w:rPr>
          <w:rFonts w:ascii="Verdana" w:hAnsi="Verdana"/>
          <w:sz w:val="16"/>
          <w:szCs w:val="16"/>
          <w:lang w:val="es-PR"/>
        </w:rPr>
        <w:t>Ana de la Cruz Carhuapoma (fallecida),</w:t>
      </w:r>
      <w:r w:rsidRPr="007E666D">
        <w:rPr>
          <w:rFonts w:ascii="Verdana" w:hAnsi="Verdana" w:cs="Arial"/>
          <w:sz w:val="16"/>
          <w:szCs w:val="16"/>
          <w:lang w:val="es-PR"/>
        </w:rPr>
        <w:t xml:space="preserve"> y su hermano es </w:t>
      </w:r>
      <w:r w:rsidRPr="007E666D">
        <w:rPr>
          <w:rFonts w:ascii="Verdana" w:hAnsi="Verdana"/>
          <w:sz w:val="16"/>
          <w:szCs w:val="16"/>
          <w:lang w:val="es-PR"/>
        </w:rPr>
        <w:t>Víctor Carhuapoma de la Cruz.</w:t>
      </w:r>
    </w:p>
  </w:footnote>
  <w:footnote w:id="6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sz w:val="16"/>
          <w:szCs w:val="16"/>
          <w:lang w:val="es-PR"/>
        </w:rPr>
        <w:t>Los padres de Ramón Hilario Morán son Dolores Morán Paucar (fallecida) y Viviano Hilario Mancha (fallecido), y su hijo es Abilio Hilario Quispe.</w:t>
      </w:r>
    </w:p>
  </w:footnote>
  <w:footnote w:id="6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sz w:val="16"/>
          <w:szCs w:val="16"/>
          <w:lang w:val="es-PR"/>
        </w:rPr>
        <w:t xml:space="preserve">Los padres de Dionicia Guillén Riveros son Justiniano Guillén Ccanto (fallecido) y Victoria Riveros Valencia (fallecido), y su hermana es </w:t>
      </w:r>
      <w:r w:rsidRPr="007E666D">
        <w:rPr>
          <w:rFonts w:ascii="Verdana" w:hAnsi="Verdana"/>
          <w:sz w:val="16"/>
          <w:szCs w:val="16"/>
          <w:lang w:val="es-PR"/>
        </w:rPr>
        <w:t>Marcelina Guillén Riveros</w:t>
      </w:r>
      <w:r w:rsidRPr="007E666D">
        <w:rPr>
          <w:rFonts w:ascii="Verdana" w:hAnsi="Verdana" w:cs="Arial"/>
          <w:sz w:val="16"/>
          <w:szCs w:val="16"/>
          <w:lang w:val="es-PR"/>
        </w:rPr>
        <w:t xml:space="preserve">. </w:t>
      </w:r>
    </w:p>
  </w:footnote>
  <w:footnote w:id="63">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iCs/>
          <w:sz w:val="16"/>
          <w:szCs w:val="16"/>
          <w:lang w:val="es-PR"/>
        </w:rPr>
        <w:t>Cfr.</w:t>
      </w:r>
      <w:r w:rsidRPr="007E666D">
        <w:rPr>
          <w:rFonts w:ascii="Verdana" w:hAnsi="Verdana"/>
          <w:sz w:val="16"/>
          <w:szCs w:val="16"/>
          <w:lang w:val="es-PR"/>
        </w:rPr>
        <w:t xml:space="preserve"> </w:t>
      </w:r>
      <w:r w:rsidRPr="007E666D">
        <w:rPr>
          <w:rFonts w:ascii="Verdana" w:hAnsi="Verdana"/>
          <w:i/>
          <w:sz w:val="16"/>
          <w:szCs w:val="16"/>
          <w:lang w:val="es-PR"/>
        </w:rPr>
        <w:t>Caso del Penal Miguel Castro Castro Vs. Perú, supra,</w:t>
      </w:r>
      <w:r w:rsidRPr="007E666D">
        <w:rPr>
          <w:rFonts w:ascii="Verdana" w:hAnsi="Verdana"/>
          <w:iCs/>
          <w:sz w:val="16"/>
          <w:szCs w:val="16"/>
          <w:lang w:val="es-PR"/>
        </w:rPr>
        <w:t xml:space="preserve"> párr. 197.1, y </w:t>
      </w:r>
      <w:r w:rsidRPr="007E666D">
        <w:rPr>
          <w:rStyle w:val="Strong"/>
          <w:rFonts w:ascii="Verdana" w:hAnsi="Verdana"/>
          <w:b w:val="0"/>
          <w:i/>
          <w:color w:val="000000"/>
          <w:sz w:val="16"/>
          <w:szCs w:val="16"/>
          <w:shd w:val="clear" w:color="auto" w:fill="FFFFFF"/>
          <w:lang w:val="es-PR"/>
        </w:rPr>
        <w:t xml:space="preserve">Caso </w:t>
      </w:r>
      <w:r w:rsidRPr="007E666D">
        <w:rPr>
          <w:rFonts w:ascii="Verdana" w:hAnsi="Verdana" w:cs="Arial"/>
          <w:bCs/>
          <w:i/>
          <w:sz w:val="16"/>
          <w:szCs w:val="16"/>
          <w:lang w:val="es-PR"/>
        </w:rPr>
        <w:t>Cruz Sánchez y otros Vs. Perú. Excepciones Preliminares, Fondo, Reparaciones y Costas</w:t>
      </w:r>
      <w:r w:rsidRPr="007E666D">
        <w:rPr>
          <w:rFonts w:ascii="Verdana" w:hAnsi="Verdana" w:cs="Arial"/>
          <w:bCs/>
          <w:sz w:val="16"/>
          <w:szCs w:val="16"/>
          <w:lang w:val="es-PR"/>
        </w:rPr>
        <w:t xml:space="preserve">. Sentencia de 17 de abril de 2015. Serie C No. 292, </w:t>
      </w:r>
      <w:r w:rsidRPr="007E666D">
        <w:rPr>
          <w:rFonts w:ascii="Verdana" w:hAnsi="Verdana"/>
          <w:iCs/>
          <w:sz w:val="16"/>
          <w:szCs w:val="16"/>
          <w:lang w:val="es-PR"/>
        </w:rPr>
        <w:t xml:space="preserve">párr. </w:t>
      </w:r>
      <w:r w:rsidRPr="007E666D">
        <w:rPr>
          <w:rStyle w:val="Strong"/>
          <w:rFonts w:ascii="Verdana" w:hAnsi="Verdana"/>
          <w:b w:val="0"/>
          <w:color w:val="000000"/>
          <w:sz w:val="16"/>
          <w:szCs w:val="16"/>
          <w:shd w:val="clear" w:color="auto" w:fill="FFFFFF"/>
          <w:lang w:val="es-PR"/>
        </w:rPr>
        <w:t>140.</w:t>
      </w:r>
    </w:p>
  </w:footnote>
  <w:footnote w:id="64">
    <w:p w:rsidR="00D57F75" w:rsidRPr="007E666D" w:rsidRDefault="00D57F75" w:rsidP="00106A1E">
      <w:pPr>
        <w:pStyle w:val="FootnoteText"/>
        <w:tabs>
          <w:tab w:val="left" w:pos="720"/>
        </w:tabs>
        <w:contextualSpacing/>
        <w:jc w:val="both"/>
        <w:rPr>
          <w:rFonts w:ascii="Verdana" w:hAnsi="Verdana"/>
          <w:iCs/>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iCs/>
          <w:sz w:val="16"/>
          <w:szCs w:val="16"/>
          <w:lang w:val="es-PR"/>
        </w:rPr>
        <w:t>Cfr.</w:t>
      </w:r>
      <w:r w:rsidRPr="007E666D">
        <w:rPr>
          <w:rFonts w:ascii="Verdana" w:hAnsi="Verdana"/>
          <w:sz w:val="16"/>
          <w:szCs w:val="16"/>
          <w:lang w:val="es-PR"/>
        </w:rPr>
        <w:t xml:space="preserve"> </w:t>
      </w:r>
      <w:r w:rsidRPr="007E666D">
        <w:rPr>
          <w:rFonts w:ascii="Verdana" w:hAnsi="Verdana"/>
          <w:i/>
          <w:sz w:val="16"/>
          <w:szCs w:val="16"/>
          <w:lang w:val="es-PR"/>
        </w:rPr>
        <w:t>Caso Loayza Tamayo Vs. Perú. Fondo, supra,</w:t>
      </w:r>
      <w:r w:rsidRPr="007E666D">
        <w:rPr>
          <w:rFonts w:ascii="Verdana" w:hAnsi="Verdana"/>
          <w:sz w:val="16"/>
          <w:szCs w:val="16"/>
          <w:lang w:val="es-PR"/>
        </w:rPr>
        <w:t xml:space="preserve"> párr. 46, </w:t>
      </w:r>
      <w:r w:rsidRPr="007E666D">
        <w:rPr>
          <w:rFonts w:ascii="Verdana" w:hAnsi="Verdana"/>
          <w:iCs/>
          <w:sz w:val="16"/>
          <w:szCs w:val="16"/>
          <w:lang w:val="es-PR"/>
        </w:rPr>
        <w:t xml:space="preserve">y </w:t>
      </w:r>
      <w:r w:rsidRPr="007E666D">
        <w:rPr>
          <w:rStyle w:val="Strong"/>
          <w:rFonts w:ascii="Verdana" w:hAnsi="Verdana"/>
          <w:b w:val="0"/>
          <w:i/>
          <w:color w:val="000000"/>
          <w:sz w:val="16"/>
          <w:szCs w:val="16"/>
          <w:shd w:val="clear" w:color="auto" w:fill="FFFFFF"/>
          <w:lang w:val="es-PR"/>
        </w:rPr>
        <w:t xml:space="preserve">Caso </w:t>
      </w:r>
      <w:r w:rsidRPr="007E666D">
        <w:rPr>
          <w:rFonts w:ascii="Verdana" w:hAnsi="Verdana" w:cs="Arial"/>
          <w:bCs/>
          <w:i/>
          <w:sz w:val="16"/>
          <w:szCs w:val="16"/>
          <w:lang w:val="es-PR"/>
        </w:rPr>
        <w:t>Cruz Sánchez y otros Vs. Perú</w:t>
      </w:r>
      <w:r w:rsidRPr="007E666D">
        <w:rPr>
          <w:rStyle w:val="Strong"/>
          <w:rFonts w:ascii="Verdana" w:hAnsi="Verdana"/>
          <w:b w:val="0"/>
          <w:i/>
          <w:color w:val="000000"/>
          <w:sz w:val="16"/>
          <w:szCs w:val="16"/>
          <w:shd w:val="clear" w:color="auto" w:fill="FFFFFF"/>
          <w:lang w:val="es-PR"/>
        </w:rPr>
        <w:t xml:space="preserve">, </w:t>
      </w:r>
      <w:r w:rsidRPr="007E666D">
        <w:rPr>
          <w:rFonts w:ascii="Verdana" w:hAnsi="Verdana"/>
          <w:i/>
          <w:sz w:val="16"/>
          <w:szCs w:val="16"/>
          <w:lang w:val="es-PR"/>
        </w:rPr>
        <w:t>supra,</w:t>
      </w:r>
      <w:r w:rsidRPr="007E666D">
        <w:rPr>
          <w:rFonts w:ascii="Verdana" w:hAnsi="Verdana"/>
          <w:iCs/>
          <w:sz w:val="16"/>
          <w:szCs w:val="16"/>
          <w:lang w:val="es-PR"/>
        </w:rPr>
        <w:t xml:space="preserve"> párr. </w:t>
      </w:r>
      <w:r w:rsidRPr="007E666D">
        <w:rPr>
          <w:rStyle w:val="Strong"/>
          <w:rFonts w:ascii="Verdana" w:hAnsi="Verdana"/>
          <w:b w:val="0"/>
          <w:color w:val="000000"/>
          <w:sz w:val="16"/>
          <w:szCs w:val="16"/>
          <w:shd w:val="clear" w:color="auto" w:fill="FFFFFF"/>
          <w:lang w:val="es-PR"/>
        </w:rPr>
        <w:t>143.</w:t>
      </w:r>
    </w:p>
  </w:footnote>
  <w:footnote w:id="6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i/>
          <w:sz w:val="16"/>
          <w:szCs w:val="16"/>
          <w:lang w:val="es-PR"/>
        </w:rPr>
        <w:t>Caso del Penal Miguel Castro Castro Vs. Perú. Interpretación de la Sentencia de Fondo, Reparaciones y Costas.</w:t>
      </w:r>
      <w:r w:rsidRPr="007E666D">
        <w:rPr>
          <w:rFonts w:ascii="Verdana" w:hAnsi="Verdana"/>
          <w:sz w:val="16"/>
          <w:szCs w:val="16"/>
          <w:lang w:val="es-PR"/>
        </w:rPr>
        <w:t xml:space="preserve"> Sentencia de 2 agosto de 2008. Serie C No. 181, párr. 41, y </w:t>
      </w:r>
      <w:r w:rsidRPr="007E666D">
        <w:rPr>
          <w:rStyle w:val="Strong"/>
          <w:rFonts w:ascii="Verdana" w:hAnsi="Verdana"/>
          <w:b w:val="0"/>
          <w:i/>
          <w:color w:val="000000"/>
          <w:sz w:val="16"/>
          <w:szCs w:val="16"/>
          <w:shd w:val="clear" w:color="auto" w:fill="FFFFFF"/>
          <w:lang w:val="es-PR"/>
        </w:rPr>
        <w:t xml:space="preserve">Caso Espinoza Gonzáles Vs. Perú, </w:t>
      </w:r>
      <w:r w:rsidRPr="007E666D">
        <w:rPr>
          <w:rFonts w:ascii="Verdana" w:hAnsi="Verdana"/>
          <w:i/>
          <w:sz w:val="16"/>
          <w:szCs w:val="16"/>
          <w:lang w:val="es-PR"/>
        </w:rPr>
        <w:t>supra,</w:t>
      </w:r>
      <w:r w:rsidRPr="007E666D">
        <w:rPr>
          <w:rFonts w:ascii="Verdana" w:hAnsi="Verdana"/>
          <w:i/>
          <w:iCs/>
          <w:sz w:val="16"/>
          <w:szCs w:val="16"/>
          <w:lang w:val="es-PR"/>
        </w:rPr>
        <w:t xml:space="preserve"> </w:t>
      </w:r>
      <w:r w:rsidRPr="007E666D">
        <w:rPr>
          <w:rFonts w:ascii="Verdana" w:hAnsi="Verdana"/>
          <w:iCs/>
          <w:sz w:val="16"/>
          <w:szCs w:val="16"/>
          <w:lang w:val="es-PR"/>
        </w:rPr>
        <w:t xml:space="preserve">párr. </w:t>
      </w:r>
      <w:r w:rsidRPr="007E666D">
        <w:rPr>
          <w:rStyle w:val="Strong"/>
          <w:rFonts w:ascii="Verdana" w:hAnsi="Verdana"/>
          <w:b w:val="0"/>
          <w:color w:val="000000"/>
          <w:sz w:val="16"/>
          <w:szCs w:val="16"/>
          <w:shd w:val="clear" w:color="auto" w:fill="FFFFFF"/>
          <w:lang w:val="es-PR"/>
        </w:rPr>
        <w:t>52.</w:t>
      </w:r>
    </w:p>
  </w:footnote>
  <w:footnote w:id="6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Style w:val="Strong"/>
          <w:rFonts w:ascii="Verdana" w:hAnsi="Verdana"/>
          <w:b w:val="0"/>
          <w:i/>
          <w:color w:val="000000"/>
          <w:sz w:val="16"/>
          <w:szCs w:val="16"/>
          <w:shd w:val="clear" w:color="auto" w:fill="FFFFFF"/>
          <w:lang w:val="es-PR"/>
        </w:rPr>
        <w:t xml:space="preserve">Caso Espinoza Gonzáles Vs. Perú, </w:t>
      </w:r>
      <w:r w:rsidRPr="007E666D">
        <w:rPr>
          <w:rFonts w:ascii="Verdana" w:hAnsi="Verdana"/>
          <w:i/>
          <w:sz w:val="16"/>
          <w:szCs w:val="16"/>
          <w:lang w:val="es-PR"/>
        </w:rPr>
        <w:t>supra</w:t>
      </w:r>
      <w:r w:rsidRPr="007E666D">
        <w:rPr>
          <w:rFonts w:ascii="Verdana" w:hAnsi="Verdana"/>
          <w:sz w:val="16"/>
          <w:szCs w:val="16"/>
          <w:lang w:val="es-PR"/>
        </w:rPr>
        <w:t>,</w:t>
      </w:r>
      <w:r w:rsidRPr="007E666D">
        <w:rPr>
          <w:rFonts w:ascii="Verdana" w:hAnsi="Verdana"/>
          <w:iCs/>
          <w:sz w:val="16"/>
          <w:szCs w:val="16"/>
          <w:lang w:val="es-PR"/>
        </w:rPr>
        <w:t xml:space="preserve"> párrs. </w:t>
      </w:r>
      <w:r w:rsidRPr="007E666D">
        <w:rPr>
          <w:rStyle w:val="Strong"/>
          <w:rFonts w:ascii="Verdana" w:hAnsi="Verdana"/>
          <w:b w:val="0"/>
          <w:color w:val="000000"/>
          <w:sz w:val="16"/>
          <w:szCs w:val="16"/>
          <w:shd w:val="clear" w:color="auto" w:fill="FFFFFF"/>
          <w:lang w:val="es-PR"/>
        </w:rPr>
        <w:t>52 y 53.</w:t>
      </w:r>
    </w:p>
  </w:footnote>
  <w:footnote w:id="67">
    <w:p w:rsidR="00D57F75" w:rsidRPr="007E666D" w:rsidRDefault="00D57F75" w:rsidP="00106A1E">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Style w:val="Strong"/>
          <w:rFonts w:ascii="Verdana" w:hAnsi="Verdana"/>
          <w:b w:val="0"/>
          <w:i/>
          <w:spacing w:val="-4"/>
          <w:sz w:val="16"/>
          <w:szCs w:val="16"/>
          <w:lang w:val="es-PR"/>
        </w:rPr>
        <w:t>Caso J. Vs. Perú, supra</w:t>
      </w:r>
      <w:r w:rsidRPr="007E666D">
        <w:rPr>
          <w:rStyle w:val="Strong"/>
          <w:rFonts w:ascii="Verdana" w:hAnsi="Verdana"/>
          <w:b w:val="0"/>
          <w:spacing w:val="-4"/>
          <w:sz w:val="16"/>
          <w:szCs w:val="16"/>
          <w:lang w:val="es-PR"/>
        </w:rPr>
        <w:t xml:space="preserve">, párr. 61, y </w:t>
      </w:r>
      <w:r w:rsidRPr="007E666D">
        <w:rPr>
          <w:rStyle w:val="Strong"/>
          <w:rFonts w:ascii="Verdana" w:hAnsi="Verdana"/>
          <w:b w:val="0"/>
          <w:color w:val="000000"/>
          <w:sz w:val="16"/>
          <w:szCs w:val="16"/>
          <w:shd w:val="clear" w:color="auto" w:fill="FFFFFF"/>
          <w:lang w:val="es-PR"/>
        </w:rPr>
        <w:t xml:space="preserve">Caso Espinoza Gonzáles Vs. Perú, </w:t>
      </w:r>
      <w:r w:rsidRPr="007E666D">
        <w:rPr>
          <w:rStyle w:val="Strong"/>
          <w:rFonts w:ascii="Verdana" w:hAnsi="Verdana"/>
          <w:b w:val="0"/>
          <w:i/>
          <w:spacing w:val="-4"/>
          <w:sz w:val="16"/>
          <w:szCs w:val="16"/>
          <w:lang w:val="es-PR"/>
        </w:rPr>
        <w:t>supra</w:t>
      </w:r>
      <w:r w:rsidRPr="007E666D">
        <w:rPr>
          <w:rStyle w:val="Strong"/>
          <w:rFonts w:ascii="Verdana" w:hAnsi="Verdana"/>
          <w:b w:val="0"/>
          <w:spacing w:val="-4"/>
          <w:sz w:val="16"/>
          <w:szCs w:val="16"/>
          <w:lang w:val="es-PR"/>
        </w:rPr>
        <w:t>, párr. 54.</w:t>
      </w:r>
    </w:p>
  </w:footnote>
  <w:footnote w:id="6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Decreto Supremo No. 031-91 DE-MINDEF de 14 de junio de 1991, publicado el 21 de junio de 1991 en el Diario Oficial “El Peruano” </w:t>
      </w:r>
      <w:r w:rsidRPr="007E666D">
        <w:rPr>
          <w:rFonts w:ascii="Verdana" w:hAnsi="Verdana" w:cs="Arial"/>
          <w:sz w:val="16"/>
          <w:szCs w:val="16"/>
          <w:lang w:val="es-PR"/>
        </w:rPr>
        <w:t>(expediente de prueba, folio 2472).</w:t>
      </w:r>
    </w:p>
  </w:footnote>
  <w:footnote w:id="6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eastAsia="Calibri" w:hAnsi="Verdana"/>
          <w:sz w:val="16"/>
          <w:szCs w:val="16"/>
          <w:lang w:val="es-PR"/>
        </w:rPr>
        <w:t>Ley No. 24.150 de 5 de junio de 1985</w:t>
      </w:r>
      <w:r w:rsidRPr="007E666D">
        <w:rPr>
          <w:rFonts w:ascii="Verdana" w:hAnsi="Verdana"/>
          <w:sz w:val="16"/>
          <w:szCs w:val="16"/>
          <w:lang w:val="es-PR"/>
        </w:rPr>
        <w:t xml:space="preserve"> (expediente de prueba, folio 2473).</w:t>
      </w:r>
    </w:p>
  </w:footnote>
  <w:footnote w:id="7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Final de la CVR del Perú, Tomo VII, Capítulo 2.50, pág. 531.</w:t>
      </w:r>
    </w:p>
  </w:footnote>
  <w:footnote w:id="7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Times New Roman"/>
          <w:sz w:val="16"/>
          <w:szCs w:val="16"/>
          <w:lang w:val="es-PR"/>
        </w:rPr>
        <w:t>Oficio No. 0462-91-MP-FPM-HVCA de 23 de julio de 1991, remitido por la Fiscalía Provincial Mixta de Huancavelica</w:t>
      </w:r>
      <w:r w:rsidRPr="007E666D">
        <w:rPr>
          <w:rFonts w:ascii="Verdana" w:hAnsi="Verdana"/>
          <w:sz w:val="16"/>
          <w:szCs w:val="16"/>
          <w:lang w:val="es-PR"/>
        </w:rPr>
        <w:t xml:space="preserve"> </w:t>
      </w:r>
      <w:r w:rsidRPr="007E666D">
        <w:rPr>
          <w:rFonts w:ascii="Verdana" w:hAnsi="Verdana" w:cs="Times New Roman"/>
          <w:sz w:val="16"/>
          <w:szCs w:val="16"/>
          <w:lang w:val="es-PR"/>
        </w:rPr>
        <w:t>al Fiscal Superior Decano de Huancavelica</w:t>
      </w:r>
      <w:r w:rsidRPr="007E666D">
        <w:rPr>
          <w:rFonts w:ascii="Verdana" w:hAnsi="Verdana"/>
          <w:sz w:val="16"/>
          <w:szCs w:val="16"/>
          <w:lang w:val="es-PR"/>
        </w:rPr>
        <w:t xml:space="preserve"> (expediente de prueba, folios 3887 y 3888).</w:t>
      </w:r>
    </w:p>
  </w:footnote>
  <w:footnote w:id="7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Final de la CVR del Perú, Tomo VII, Capítulo 2.50, pág. 544.</w:t>
      </w:r>
    </w:p>
  </w:footnote>
  <w:footnote w:id="73">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Sentencia de la Sala Penal Nacional de 9 de febrero de 2012 (expediente de prueba, folio 4501).</w:t>
      </w:r>
    </w:p>
  </w:footnote>
  <w:footnote w:id="7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Final de la CVR del Perú, Tomo VII, Capítulo 2.50, pág. 544.</w:t>
      </w:r>
    </w:p>
  </w:footnote>
  <w:footnote w:id="7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Final de la CVR del Perú, Tomo VII, Capítulo 2.50, pág. 532, y Sentencia de la Sala Penal Nacional de 9 de febrero de 2012 (expediente de prueba, folio 4503).</w:t>
      </w:r>
    </w:p>
  </w:footnote>
  <w:footnote w:id="7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Final de la CVR del Perú, Tomo VII, Capítulo 2.50, págs. 536 y 544. Al respecto, ver también la sentencia de la Sala Penal Nacional de 9 de febrero de 2012 (expediente de prueba, folios 4505, 4506 y 4509).</w:t>
      </w:r>
    </w:p>
  </w:footnote>
  <w:footnote w:id="7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sz w:val="16"/>
          <w:szCs w:val="16"/>
          <w:lang w:val="es-PR"/>
        </w:rPr>
        <w:t>Sentencia de la Sala Penal Nacional de 9 de febrero de 2012 (expediente de prueba, folios 4505, 4510 a 4512). Al respecto, ver también el Informe Final de la CVR del Perú, Tomo VII, Capítulo 2.50, págs. 536 y 544.</w:t>
      </w:r>
    </w:p>
  </w:footnote>
  <w:footnote w:id="7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Final de la CVR del Perú, Tomo VII, Capítulo 2.50, pág. 534; Declaración de Zósimo Hilario Quispe de 26 de noviembre de 2010 ante la </w:t>
      </w:r>
      <w:r w:rsidRPr="007E666D">
        <w:rPr>
          <w:rFonts w:ascii="Verdana" w:eastAsia="Calibri" w:hAnsi="Verdana" w:cs="Arial"/>
          <w:sz w:val="16"/>
          <w:szCs w:val="16"/>
          <w:lang w:val="es-PR"/>
        </w:rPr>
        <w:t xml:space="preserve">Sala Penal Nacional de la Corte Superior de Justica de Lima - </w:t>
      </w:r>
      <w:r w:rsidRPr="007E666D">
        <w:rPr>
          <w:rFonts w:ascii="Verdana" w:hAnsi="Verdana" w:cs="Arial"/>
          <w:sz w:val="16"/>
          <w:szCs w:val="16"/>
          <w:lang w:val="es-PR"/>
        </w:rPr>
        <w:t>Expediente Penal No. 42-06 (</w:t>
      </w:r>
      <w:r w:rsidRPr="007E666D">
        <w:rPr>
          <w:rFonts w:ascii="Verdana" w:eastAsia="Calibri" w:hAnsi="Verdana"/>
          <w:bCs/>
          <w:sz w:val="16"/>
          <w:szCs w:val="16"/>
          <w:lang w:val="es-PR"/>
        </w:rPr>
        <w:t>Proceso judicial contra el Teniente Javier Bendezú Vargas y otros)</w:t>
      </w:r>
      <w:r w:rsidRPr="007E666D">
        <w:rPr>
          <w:rFonts w:ascii="Verdana" w:hAnsi="Verdana"/>
          <w:sz w:val="16"/>
          <w:szCs w:val="16"/>
          <w:lang w:val="es-PR"/>
        </w:rPr>
        <w:t xml:space="preserve"> (expediente de prueba, folios 4409 y 4410), y </w:t>
      </w:r>
      <w:r w:rsidRPr="007E666D">
        <w:rPr>
          <w:rFonts w:ascii="Verdana" w:hAnsi="Verdana"/>
          <w:spacing w:val="-4"/>
          <w:sz w:val="16"/>
          <w:szCs w:val="16"/>
          <w:lang w:val="es-PR"/>
        </w:rPr>
        <w:t xml:space="preserve">Declaración rendida ante fedatario público (affidávit) el 9 de enero de 2015 por </w:t>
      </w:r>
      <w:r w:rsidRPr="007E666D">
        <w:rPr>
          <w:rFonts w:ascii="Verdana" w:hAnsi="Verdana" w:cs="Helvetica"/>
          <w:bCs/>
          <w:color w:val="000000"/>
          <w:sz w:val="16"/>
          <w:szCs w:val="16"/>
          <w:lang w:val="es-PR"/>
        </w:rPr>
        <w:t>Zósimo Hilario Quispe</w:t>
      </w:r>
      <w:r w:rsidRPr="007E666D">
        <w:rPr>
          <w:rFonts w:ascii="Verdana" w:hAnsi="Verdana"/>
          <w:spacing w:val="-4"/>
          <w:sz w:val="16"/>
          <w:szCs w:val="16"/>
          <w:lang w:val="es-PR"/>
        </w:rPr>
        <w:t xml:space="preserve"> (expediente de prueba, folio 5201)</w:t>
      </w:r>
      <w:r w:rsidRPr="007E666D">
        <w:rPr>
          <w:rFonts w:ascii="Verdana" w:hAnsi="Verdana"/>
          <w:sz w:val="16"/>
          <w:szCs w:val="16"/>
          <w:lang w:val="es-PR"/>
        </w:rPr>
        <w:t>.</w:t>
      </w:r>
    </w:p>
  </w:footnote>
  <w:footnote w:id="7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Final de la CVR del Perú, Tomo VII, Capítulo 2.50, pág. 534; Declaración de Zenón Cirilo Osnayo Tunque de 5 de noviembre de 2010 ante la </w:t>
      </w:r>
      <w:r w:rsidRPr="007E666D">
        <w:rPr>
          <w:rFonts w:ascii="Verdana" w:eastAsia="Calibri" w:hAnsi="Verdana" w:cs="Arial"/>
          <w:sz w:val="16"/>
          <w:szCs w:val="16"/>
          <w:lang w:val="es-PR"/>
        </w:rPr>
        <w:t xml:space="preserve">Sala Penal Nacional de la Corte Superior de Justica de Lima - </w:t>
      </w:r>
      <w:r w:rsidRPr="007E666D">
        <w:rPr>
          <w:rFonts w:ascii="Verdana" w:hAnsi="Verdana" w:cs="Arial"/>
          <w:sz w:val="16"/>
          <w:szCs w:val="16"/>
          <w:lang w:val="es-PR"/>
        </w:rPr>
        <w:t>Expediente Penal No. 42-06 (</w:t>
      </w:r>
      <w:r w:rsidRPr="007E666D">
        <w:rPr>
          <w:rFonts w:ascii="Verdana" w:eastAsia="Calibri" w:hAnsi="Verdana"/>
          <w:bCs/>
          <w:sz w:val="16"/>
          <w:szCs w:val="16"/>
          <w:lang w:val="es-PR"/>
        </w:rPr>
        <w:t>Proceso judicial contra el Teniente Javier Bendezú Vargas y otros)</w:t>
      </w:r>
      <w:r w:rsidRPr="007E666D">
        <w:rPr>
          <w:rFonts w:ascii="Verdana" w:hAnsi="Verdana"/>
          <w:sz w:val="16"/>
          <w:szCs w:val="16"/>
          <w:lang w:val="es-PR"/>
        </w:rPr>
        <w:t xml:space="preserve"> (expediente de prueba, folios 4402 y 4403); Entrevista realizada a Zenón Cirilo Osnayo Tunque, diligencia de 18 y 19 de abril de 2010, Informe Pericial No. 18, Investigación Fiscal 2008-61-0 (expediente de prueba, folios 4345 a 4346); </w:t>
      </w:r>
      <w:r w:rsidRPr="007E666D">
        <w:rPr>
          <w:rFonts w:ascii="Verdana" w:hAnsi="Verdana"/>
          <w:spacing w:val="-4"/>
          <w:sz w:val="16"/>
          <w:szCs w:val="16"/>
          <w:lang w:val="es-PR"/>
        </w:rPr>
        <w:t xml:space="preserve">Declaración rendida ante fedatario público (affidávit) el 9 de enero de 2015 por </w:t>
      </w:r>
      <w:r w:rsidRPr="007E666D" w:rsidDel="008B17C5">
        <w:rPr>
          <w:rFonts w:ascii="Verdana" w:hAnsi="Verdana" w:cs="Helvetica"/>
          <w:bCs/>
          <w:color w:val="000000"/>
          <w:sz w:val="16"/>
          <w:szCs w:val="16"/>
          <w:lang w:val="es-PR"/>
        </w:rPr>
        <w:t>Marcelo Hilario Quispe</w:t>
      </w:r>
      <w:r w:rsidRPr="007E666D">
        <w:rPr>
          <w:rFonts w:ascii="Verdana" w:hAnsi="Verdana"/>
          <w:spacing w:val="-4"/>
          <w:sz w:val="16"/>
          <w:szCs w:val="16"/>
          <w:lang w:val="es-PR"/>
        </w:rPr>
        <w:t xml:space="preserve"> (expediente de prueba, folios 5203 y 5204); Declaración rendida ante fedatario público (affidávit) el 9 de enero de 2015 por </w:t>
      </w:r>
      <w:r w:rsidRPr="007E666D" w:rsidDel="008B17C5">
        <w:rPr>
          <w:rFonts w:ascii="Verdana" w:hAnsi="Verdana" w:cs="Helvetica"/>
          <w:bCs/>
          <w:color w:val="000000"/>
          <w:sz w:val="16"/>
          <w:szCs w:val="16"/>
          <w:lang w:val="es-PR"/>
        </w:rPr>
        <w:t>Gregorio Hilario Quispe</w:t>
      </w:r>
      <w:r w:rsidRPr="007E666D">
        <w:rPr>
          <w:rFonts w:ascii="Verdana" w:hAnsi="Verdana" w:cs="Helvetica"/>
          <w:bCs/>
          <w:color w:val="000000"/>
          <w:sz w:val="16"/>
          <w:szCs w:val="16"/>
          <w:lang w:val="es-PR"/>
        </w:rPr>
        <w:t xml:space="preserve"> </w:t>
      </w:r>
      <w:r w:rsidRPr="007E666D">
        <w:rPr>
          <w:rFonts w:ascii="Verdana" w:hAnsi="Verdana"/>
          <w:spacing w:val="-4"/>
          <w:sz w:val="16"/>
          <w:szCs w:val="16"/>
          <w:lang w:val="es-PR"/>
        </w:rPr>
        <w:t xml:space="preserve">(expediente de prueba, folio 5209), y Declaración de </w:t>
      </w:r>
      <w:r w:rsidRPr="007E666D" w:rsidDel="008B17C5">
        <w:rPr>
          <w:rFonts w:ascii="Verdana" w:hAnsi="Verdana" w:cs="Helvetica"/>
          <w:color w:val="000000"/>
          <w:sz w:val="16"/>
          <w:szCs w:val="16"/>
          <w:lang w:val="es-PR"/>
        </w:rPr>
        <w:t>Zen</w:t>
      </w:r>
      <w:r w:rsidRPr="007E666D">
        <w:rPr>
          <w:rFonts w:ascii="Verdana" w:hAnsi="Verdana" w:cs="Helvetica"/>
          <w:color w:val="000000"/>
          <w:sz w:val="16"/>
          <w:szCs w:val="16"/>
          <w:lang w:val="es-PR"/>
        </w:rPr>
        <w:t>ó</w:t>
      </w:r>
      <w:r w:rsidRPr="007E666D" w:rsidDel="008B17C5">
        <w:rPr>
          <w:rFonts w:ascii="Verdana" w:hAnsi="Verdana" w:cs="Helvetica"/>
          <w:color w:val="000000"/>
          <w:sz w:val="16"/>
          <w:szCs w:val="16"/>
          <w:lang w:val="es-PR"/>
        </w:rPr>
        <w:t>n Cirilo Osnayo Tunque</w:t>
      </w:r>
      <w:r w:rsidRPr="007E666D">
        <w:rPr>
          <w:rFonts w:ascii="Verdana" w:hAnsi="Verdana"/>
          <w:spacing w:val="-4"/>
          <w:sz w:val="16"/>
          <w:szCs w:val="16"/>
          <w:lang w:val="es-PR"/>
        </w:rPr>
        <w:t xml:space="preserve"> en la audiencia pública celebrada el 26 de enero de 2015.</w:t>
      </w:r>
    </w:p>
  </w:footnote>
  <w:footnote w:id="8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Acta de la manifestación de Viviano Hilario Mancha ante la Fiscalía Especial de Defensoría del Pueblo y Derechos Humanos de 23 de julio de 1991 (expediente de prueba, folio 53), y Parte No. 158-SE-JLP de 26 de agosto de 1991 (expediente de prueba, folio 3910). Al respecto, ver también el Informe Final de la CVR del Perú, Tomo VII, Capítulo 2.50, pág. 535.</w:t>
      </w:r>
    </w:p>
  </w:footnote>
  <w:footnote w:id="8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de Zósimo Hilario Quispe de 8 de julio de 1991 ante la Fiscalía Especial de Prevención del Delito de Huancavelica (expediente de prueba, folios 27 a 29).</w:t>
      </w:r>
    </w:p>
  </w:footnote>
  <w:footnote w:id="8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 xml:space="preserve">Informe No. 17-91-FPEPD-HVCA de 8 de agosto de 1991, remitido por la Fiscalía Especial de Prevención del Delito al Fiscal Adjunto Supremo en lo Penal encargado de la Fiscalía Especial de Defensoría del Pueblo </w:t>
      </w:r>
      <w:r w:rsidRPr="007E666D">
        <w:rPr>
          <w:rFonts w:ascii="Verdana" w:hAnsi="Verdana" w:cs="Times New Roman"/>
          <w:sz w:val="16"/>
          <w:szCs w:val="16"/>
          <w:lang w:val="es-PR"/>
        </w:rPr>
        <w:t xml:space="preserve">y </w:t>
      </w:r>
      <w:r w:rsidRPr="007E666D">
        <w:rPr>
          <w:rFonts w:ascii="Verdana" w:hAnsi="Verdana" w:cs="Arial"/>
          <w:sz w:val="16"/>
          <w:szCs w:val="16"/>
          <w:lang w:val="es-PR"/>
        </w:rPr>
        <w:t>Derechos Humanos</w:t>
      </w:r>
      <w:r w:rsidRPr="007E666D">
        <w:rPr>
          <w:rFonts w:ascii="Verdana" w:hAnsi="Verdana"/>
          <w:sz w:val="16"/>
          <w:szCs w:val="16"/>
          <w:lang w:val="es-PR"/>
        </w:rPr>
        <w:t xml:space="preserve"> (expediente de prueba, folio 197).</w:t>
      </w:r>
    </w:p>
  </w:footnote>
  <w:footnote w:id="83">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Escrito del Estado de 23 de septiembre de 1991 (expediente de prueba, folio 68).</w:t>
      </w:r>
    </w:p>
  </w:footnote>
  <w:footnote w:id="8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 xml:space="preserve">Informe No. 17-91-FPEPD-HVCA de 8 de agosto de 1991, remitido por la Fiscalía Especial de Prevención del Delito al Fiscal Adjunto Supremo en lo Penal encargado de la Fiscalía Especial de Defensoría del Pueblo </w:t>
      </w:r>
      <w:r w:rsidRPr="007E666D">
        <w:rPr>
          <w:rFonts w:ascii="Verdana" w:hAnsi="Verdana" w:cs="Times New Roman"/>
          <w:sz w:val="16"/>
          <w:szCs w:val="16"/>
          <w:lang w:val="es-PR"/>
        </w:rPr>
        <w:t xml:space="preserve">y </w:t>
      </w:r>
      <w:r w:rsidRPr="007E666D">
        <w:rPr>
          <w:rFonts w:ascii="Verdana" w:hAnsi="Verdana" w:cs="Arial"/>
          <w:sz w:val="16"/>
          <w:szCs w:val="16"/>
          <w:lang w:val="es-PR"/>
        </w:rPr>
        <w:t>Derechos Humanos</w:t>
      </w:r>
      <w:r w:rsidRPr="007E666D">
        <w:rPr>
          <w:rFonts w:ascii="Verdana" w:hAnsi="Verdana"/>
          <w:sz w:val="16"/>
          <w:szCs w:val="16"/>
          <w:lang w:val="es-PR"/>
        </w:rPr>
        <w:t xml:space="preserve"> (expediente de prueba, folios 197 a 199).</w:t>
      </w:r>
    </w:p>
  </w:footnote>
  <w:footnote w:id="8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Denuncia de Nicolás Hilario Morán y Lorenzo Quispe Huamán de 8 de julio de 1991 ante la Fiscalía Especial de Prevención del Delito de Huancavelica (expediente de prueba, folios 60 y 61).</w:t>
      </w:r>
    </w:p>
  </w:footnote>
  <w:footnote w:id="8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de Viviano Hilario Mancha de 9 de julio de 1991 ante la Fiscalía Especial de Prevención del Delito de Huancavelica (expediente de prueba, folio 64).</w:t>
      </w:r>
    </w:p>
  </w:footnote>
  <w:footnote w:id="8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Parte No. 158-SE-JLP de 26 de agosto de 1991, en el que se incluye la denuncia de Viviano Hilario Mancha de 12 de julio de 1991 ante la Fiscalía Especial de Prevención del Delito de Huancavelica (expediente de prueba, folio 3900), y Acta de la manifestación de Viviano Hilario Mancha ante la Fiscalía Especial de Defensoría del Pueblo y Derechos Humanos de 23 de julio de 1991 (expediente de prueba, folio 53).</w:t>
      </w:r>
    </w:p>
  </w:footnote>
  <w:footnote w:id="8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Oficio No. 020-CCSB-91 de 12 de julio de 1991 (expediente de prueba, folio 50). </w:t>
      </w:r>
    </w:p>
  </w:footnote>
  <w:footnote w:id="8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Times New Roman"/>
          <w:sz w:val="16"/>
          <w:szCs w:val="16"/>
          <w:lang w:val="es-PR"/>
        </w:rPr>
        <w:t>Oficio No. 0462-91-MP-FPM-HVCA de 23 de julio de 1991, remitido por la Fiscalía Provincial Mixta de Huancavelica</w:t>
      </w:r>
      <w:r w:rsidRPr="007E666D">
        <w:rPr>
          <w:rFonts w:ascii="Verdana" w:hAnsi="Verdana"/>
          <w:sz w:val="16"/>
          <w:szCs w:val="16"/>
          <w:lang w:val="es-PR"/>
        </w:rPr>
        <w:t xml:space="preserve"> </w:t>
      </w:r>
      <w:r w:rsidRPr="007E666D">
        <w:rPr>
          <w:rFonts w:ascii="Verdana" w:hAnsi="Verdana" w:cs="Times New Roman"/>
          <w:sz w:val="16"/>
          <w:szCs w:val="16"/>
          <w:lang w:val="es-PR"/>
        </w:rPr>
        <w:t>al Fiscal Superior Decano de Huancavelica</w:t>
      </w:r>
      <w:r w:rsidRPr="007E666D">
        <w:rPr>
          <w:rFonts w:ascii="Verdana" w:hAnsi="Verdana"/>
          <w:sz w:val="16"/>
          <w:szCs w:val="16"/>
          <w:lang w:val="es-PR"/>
        </w:rPr>
        <w:t xml:space="preserve"> (expediente de prueba, folios 3887 y 3888), y Escrito del Estado de 23 de septiembre de 1991 (expediente de prueba, folio 67). Ver también, Parte No. 158-SE-JLP de 26 de agosto de 1991, en el que se incluye el relato sobre la diligencia realizada el 15 de julio de 1991 (expediente de prueba, folio 3904).</w:t>
      </w:r>
    </w:p>
  </w:footnote>
  <w:footnote w:id="9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de Nicolás Hilario Morán y </w:t>
      </w:r>
      <w:r w:rsidRPr="007E666D">
        <w:rPr>
          <w:rFonts w:ascii="Verdana" w:hAnsi="Verdana" w:cs="Arial"/>
          <w:sz w:val="16"/>
          <w:szCs w:val="16"/>
          <w:lang w:val="es-PR"/>
        </w:rPr>
        <w:t>Máximo Pérez Torres</w:t>
      </w:r>
      <w:r w:rsidRPr="007E666D">
        <w:rPr>
          <w:rFonts w:ascii="Verdana" w:hAnsi="Verdana"/>
          <w:sz w:val="16"/>
          <w:szCs w:val="16"/>
          <w:lang w:val="es-PR"/>
        </w:rPr>
        <w:t xml:space="preserve"> presentada el 17 de julio de 1991 ante la Fiscalía Especial de la Defensoría del Pueblo y Derechos Humanos (expediente de prueba, folios 22 a 25).</w:t>
      </w:r>
    </w:p>
  </w:footnote>
  <w:footnote w:id="9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de Nicolás Hilario Morán y </w:t>
      </w:r>
      <w:r w:rsidRPr="007E666D">
        <w:rPr>
          <w:rFonts w:ascii="Verdana" w:hAnsi="Verdana" w:cs="Arial"/>
          <w:sz w:val="16"/>
          <w:szCs w:val="16"/>
          <w:lang w:val="es-PR"/>
        </w:rPr>
        <w:t>Máximo Pérez Torres</w:t>
      </w:r>
      <w:r w:rsidRPr="007E666D">
        <w:rPr>
          <w:rFonts w:ascii="Verdana" w:hAnsi="Verdana"/>
          <w:sz w:val="16"/>
          <w:szCs w:val="16"/>
          <w:lang w:val="es-PR"/>
        </w:rPr>
        <w:t xml:space="preserve"> de 17 de julio de 1991 ante el Ministerio de Defensa del Perú (expediente de prueba, folios 91 a 93).</w:t>
      </w:r>
    </w:p>
  </w:footnote>
  <w:footnote w:id="92">
    <w:p w:rsidR="00D57F75" w:rsidRPr="007E666D" w:rsidRDefault="00D57F75" w:rsidP="00106A1E">
      <w:pPr>
        <w:pStyle w:val="FootnoteText"/>
        <w:tabs>
          <w:tab w:val="left" w:pos="720"/>
        </w:tabs>
        <w:contextualSpacing/>
        <w:jc w:val="both"/>
        <w:rPr>
          <w:rFonts w:ascii="Verdana" w:hAnsi="Verdana" w:cs="Arial"/>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cs="Arial"/>
          <w:sz w:val="16"/>
          <w:szCs w:val="16"/>
          <w:lang w:val="es-PR"/>
        </w:rPr>
        <w:t xml:space="preserve"> Escrito presentado el 17 de julio de 1991 ante la Fiscalía Provincial de Huancavelica </w:t>
      </w:r>
      <w:r w:rsidRPr="007E666D">
        <w:rPr>
          <w:rFonts w:ascii="Verdana" w:hAnsi="Verdana"/>
          <w:sz w:val="16"/>
          <w:szCs w:val="16"/>
          <w:lang w:val="es-PR"/>
        </w:rPr>
        <w:t>(expediente de prueba, folio 193).</w:t>
      </w:r>
    </w:p>
  </w:footnote>
  <w:footnote w:id="93">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Times New Roman"/>
          <w:sz w:val="16"/>
          <w:szCs w:val="16"/>
          <w:lang w:val="es-PR"/>
        </w:rPr>
        <w:t>Oficio No. 0462-91-MP-FPM-HVCA de 23 de julio de 1991, remitido por la Fiscalía Provincial Mixta de Huancavelica</w:t>
      </w:r>
      <w:r w:rsidRPr="007E666D">
        <w:rPr>
          <w:rFonts w:ascii="Verdana" w:hAnsi="Verdana"/>
          <w:sz w:val="16"/>
          <w:szCs w:val="16"/>
          <w:lang w:val="es-PR"/>
        </w:rPr>
        <w:t xml:space="preserve"> </w:t>
      </w:r>
      <w:r w:rsidRPr="007E666D">
        <w:rPr>
          <w:rFonts w:ascii="Verdana" w:hAnsi="Verdana" w:cs="Times New Roman"/>
          <w:sz w:val="16"/>
          <w:szCs w:val="16"/>
          <w:lang w:val="es-PR"/>
        </w:rPr>
        <w:t>al Fiscal Superior Decano de Huancavelica</w:t>
      </w:r>
      <w:r w:rsidRPr="007E666D">
        <w:rPr>
          <w:rFonts w:ascii="Verdana" w:hAnsi="Verdana"/>
          <w:sz w:val="16"/>
          <w:szCs w:val="16"/>
          <w:lang w:val="es-PR"/>
        </w:rPr>
        <w:t xml:space="preserve"> (expediente de prueba, folios 3887 y 3888), y Escrito del Estado de 23 de septiembre de 1991 (expediente de prueba, folio 67).</w:t>
      </w:r>
    </w:p>
  </w:footnote>
  <w:footnote w:id="9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 xml:space="preserve">Acta de Identificación Anatomo-Patológica Preliminar de </w:t>
      </w:r>
      <w:r w:rsidRPr="007E666D">
        <w:rPr>
          <w:rFonts w:ascii="Verdana" w:hAnsi="Verdana" w:cs="Times New Roman"/>
          <w:sz w:val="16"/>
          <w:szCs w:val="16"/>
          <w:lang w:val="es-PR"/>
        </w:rPr>
        <w:t xml:space="preserve">19 piezas de restos humanos </w:t>
      </w:r>
      <w:r w:rsidRPr="007E666D">
        <w:rPr>
          <w:rFonts w:ascii="Verdana" w:eastAsia="HiddenHorzOCR" w:hAnsi="Verdana" w:cs="HiddenHorzOCR"/>
          <w:sz w:val="16"/>
          <w:szCs w:val="16"/>
          <w:lang w:val="es-PR"/>
        </w:rPr>
        <w:t xml:space="preserve">probables </w:t>
      </w:r>
      <w:r w:rsidRPr="007E666D">
        <w:rPr>
          <w:rFonts w:ascii="Verdana" w:hAnsi="Verdana" w:cs="Arial"/>
          <w:sz w:val="16"/>
          <w:szCs w:val="16"/>
          <w:lang w:val="es-PR"/>
        </w:rPr>
        <w:t>de 19 de julio de 1991 (expediente de prueba, folio 3866), y</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9 de febrero de 2012 (expediente de prueba, folio 4446).</w:t>
      </w:r>
    </w:p>
  </w:footnote>
  <w:footnote w:id="9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 xml:space="preserve">Informe No. 17-91-FPEPD-HVCA de 8 de agosto de 1991, remitido por la Fiscalía Especial de Prevención del Delito al Fiscal Adjunto Supremo en lo Penal encargado de la Fiscalía Especial de Defensoría del Pueblo </w:t>
      </w:r>
      <w:r w:rsidRPr="007E666D">
        <w:rPr>
          <w:rFonts w:ascii="Verdana" w:hAnsi="Verdana" w:cs="Times New Roman"/>
          <w:sz w:val="16"/>
          <w:szCs w:val="16"/>
          <w:lang w:val="es-PR"/>
        </w:rPr>
        <w:t xml:space="preserve">y </w:t>
      </w:r>
      <w:r w:rsidRPr="007E666D">
        <w:rPr>
          <w:rFonts w:ascii="Verdana" w:hAnsi="Verdana" w:cs="Arial"/>
          <w:sz w:val="16"/>
          <w:szCs w:val="16"/>
          <w:lang w:val="es-PR"/>
        </w:rPr>
        <w:t>Derechos Humanos</w:t>
      </w:r>
      <w:r w:rsidRPr="007E666D">
        <w:rPr>
          <w:rFonts w:ascii="Verdana" w:hAnsi="Verdana"/>
          <w:sz w:val="16"/>
          <w:szCs w:val="16"/>
          <w:lang w:val="es-PR"/>
        </w:rPr>
        <w:t xml:space="preserve"> (expediente de prueba, folio 200).</w:t>
      </w:r>
    </w:p>
  </w:footnote>
  <w:footnote w:id="9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de Alejandro Huamaní Robles de 15 de julio de 1991 ante la Fiscalía Especial de Prevención del Delito de Huancavelica (expediente de prueba, folios 34 y 35). </w:t>
      </w:r>
    </w:p>
  </w:footnote>
  <w:footnote w:id="9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de Alejandro Huamaní Robles de 18 de julio de 1991 ante la Fiscalía Superior Decano de Huancavelica (expediente de prueba, folio 42). </w:t>
      </w:r>
    </w:p>
  </w:footnote>
  <w:footnote w:id="9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de Alejandro Huamaní Robles de 23 de julio de 1991 ante la Fiscalía Especial de la Defensoría del Pueblo y Derechos Humanos (expediente de prueba, folios 38 a 39), y Denuncia de Alejandro Huamaní Robles de 2 de agosto de 1991 ante la Fiscalía Especial de la Defensoría del Pueblo y Derechos Humanos (expediente de prueba, folios 77 a 79).</w:t>
      </w:r>
    </w:p>
  </w:footnote>
  <w:footnote w:id="9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interpuesta por Alejandro Huamaní Robles el 1 de agosto de 1991 ante el Ministerio de Defensa (expediente de prueba, folios 96 y 97).</w:t>
      </w:r>
    </w:p>
  </w:footnote>
  <w:footnote w:id="10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Verdana"/>
          <w:sz w:val="16"/>
          <w:szCs w:val="16"/>
          <w:lang w:val="es-PR"/>
        </w:rPr>
        <w:t xml:space="preserve">Informe Final </w:t>
      </w:r>
      <w:r w:rsidRPr="007E666D">
        <w:rPr>
          <w:rFonts w:ascii="Verdana" w:hAnsi="Verdana"/>
          <w:sz w:val="16"/>
          <w:szCs w:val="16"/>
          <w:lang w:val="es-PR"/>
        </w:rPr>
        <w:t>CVR del Perú</w:t>
      </w:r>
      <w:r w:rsidRPr="007E666D">
        <w:rPr>
          <w:rFonts w:ascii="Verdana" w:hAnsi="Verdana"/>
          <w:iCs/>
          <w:sz w:val="16"/>
          <w:szCs w:val="16"/>
          <w:lang w:val="es-PR"/>
        </w:rPr>
        <w:t>, Tomo VI, Capítulo 1.2, pág. 533.</w:t>
      </w:r>
    </w:p>
  </w:footnote>
  <w:footnote w:id="10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interpuesta por Alejandro Huamaní Robles de 15 de julio de 1991 ante la Fiscalía Especial de Prevención del Delito de Huancavelica (expediente de prueba, folios 34 y 35), y Denuncia interpuesta por Alejandro Huamaní Robles el 23 de julio de 1991 ante la Fiscalía Especial de la Defensoría de Pueblo y Derechos Humanos (expediente de prueba, folios 38 y 39).</w:t>
      </w:r>
    </w:p>
  </w:footnote>
  <w:footnote w:id="10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Escrito de hábeas corpus interpuesto por Alejandro Huamaní Robles a favor de su hijo Elihoref Huamaní Vergara el 18 de julio de 1991 ante el Juzgado de Instrucción de Huancavelica (expediente de prueba, folio 82).</w:t>
      </w:r>
    </w:p>
  </w:footnote>
  <w:footnote w:id="103">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del Juzgado de Instrucción de Huancavelica de 22 de julio de 1991 sobre la acción de hábeas corpus interpuesta el 18 de julio de 1991 (expediente de prueba, folio 85).</w:t>
      </w:r>
    </w:p>
  </w:footnote>
  <w:footnote w:id="10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Escrito de apelación interpuesto el 5 de agosto de 1991 contra la resolución del Juzgado de Instrucción de Huancavelica de 22 de julio de 1991 (expediente de prueba, folio 88).</w:t>
      </w:r>
    </w:p>
  </w:footnote>
  <w:footnote w:id="10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cs="Arial"/>
          <w:sz w:val="16"/>
          <w:szCs w:val="16"/>
          <w:lang w:val="es-PR"/>
        </w:rPr>
        <w:t xml:space="preserve">Acta de apertura de instrucción de 23 de octubre de 1991 del Consejo de Guerra Permanente del Perú </w:t>
      </w:r>
      <w:r w:rsidRPr="007E666D">
        <w:rPr>
          <w:rFonts w:ascii="Verdana" w:hAnsi="Verdana"/>
          <w:sz w:val="16"/>
          <w:szCs w:val="16"/>
          <w:lang w:val="es-PR"/>
        </w:rPr>
        <w:t>(expediente de prueba, folio 123), y Oficio No. 6671/SEMD-D del Ministerio de Defensa de 25 de octubre de 1991 (expediente de prueba, folios 70 a 72).</w:t>
      </w:r>
    </w:p>
  </w:footnote>
  <w:footnote w:id="10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28 de octubre de 1991 del </w:t>
      </w:r>
      <w:r w:rsidRPr="007E666D">
        <w:rPr>
          <w:rFonts w:ascii="Verdana" w:hAnsi="Verdana" w:cs="Arial"/>
          <w:sz w:val="16"/>
          <w:szCs w:val="16"/>
          <w:lang w:val="es-PR"/>
        </w:rPr>
        <w:t xml:space="preserve">Sexto Juzgado Militar Permanente de Ayacucho </w:t>
      </w:r>
      <w:r w:rsidRPr="007E666D">
        <w:rPr>
          <w:rFonts w:ascii="Verdana" w:hAnsi="Verdana"/>
          <w:sz w:val="16"/>
          <w:szCs w:val="16"/>
          <w:lang w:val="es-PR"/>
        </w:rPr>
        <w:t>(expediente de prueba, folio 3914).</w:t>
      </w:r>
    </w:p>
  </w:footnote>
  <w:footnote w:id="10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i/>
          <w:iCs/>
          <w:sz w:val="16"/>
          <w:szCs w:val="16"/>
          <w:lang w:val="es-PR"/>
        </w:rPr>
        <w:t>Cfr.</w:t>
      </w:r>
      <w:r w:rsidRPr="007E666D">
        <w:rPr>
          <w:rFonts w:ascii="Verdana" w:hAnsi="Verdana" w:cs="Arial"/>
          <w:iCs/>
          <w:sz w:val="16"/>
          <w:szCs w:val="16"/>
          <w:lang w:val="es-PR"/>
        </w:rPr>
        <w:t xml:space="preserve"> </w:t>
      </w:r>
      <w:r w:rsidRPr="007E666D">
        <w:rPr>
          <w:rFonts w:ascii="Verdana" w:hAnsi="Verdana" w:cs="Arial"/>
          <w:sz w:val="16"/>
          <w:szCs w:val="16"/>
          <w:lang w:val="es-PR"/>
        </w:rPr>
        <w:t>Actas de defunción (expediente de prueba, folios 3738 y 3747).</w:t>
      </w:r>
    </w:p>
  </w:footnote>
  <w:footnote w:id="108">
    <w:p w:rsidR="00D57F75" w:rsidRPr="007E666D" w:rsidRDefault="00D57F75" w:rsidP="00106A1E">
      <w:pPr>
        <w:pStyle w:val="FootnoteText"/>
        <w:tabs>
          <w:tab w:val="left" w:pos="720"/>
        </w:tabs>
        <w:contextualSpacing/>
        <w:jc w:val="both"/>
        <w:rPr>
          <w:rFonts w:ascii="Verdana" w:hAnsi="Verdana" w:cs="Arial"/>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i/>
          <w:iCs/>
          <w:sz w:val="16"/>
          <w:szCs w:val="16"/>
          <w:lang w:val="es-PR"/>
        </w:rPr>
        <w:t>Cfr.</w:t>
      </w:r>
      <w:r w:rsidRPr="007E666D">
        <w:rPr>
          <w:rFonts w:ascii="Verdana" w:hAnsi="Verdana" w:cs="Arial"/>
          <w:iCs/>
          <w:sz w:val="16"/>
          <w:szCs w:val="16"/>
          <w:lang w:val="es-PR"/>
        </w:rPr>
        <w:t xml:space="preserve"> </w:t>
      </w:r>
      <w:r w:rsidRPr="007E666D">
        <w:rPr>
          <w:rFonts w:ascii="Verdana" w:hAnsi="Verdana" w:cs="Arial"/>
          <w:sz w:val="16"/>
          <w:szCs w:val="16"/>
          <w:lang w:val="es-PR"/>
        </w:rPr>
        <w:t xml:space="preserve">Actas de defunción (expediente de prueba, folios 3731 a 3743). </w:t>
      </w:r>
    </w:p>
  </w:footnote>
  <w:footnote w:id="10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Cfr. Sentencia de 16 de octubre de 1992 de la 2</w:t>
      </w:r>
      <w:r w:rsidRPr="007E666D">
        <w:rPr>
          <w:rFonts w:ascii="Arial" w:hAnsi="Arial" w:cs="Arial"/>
          <w:sz w:val="16"/>
          <w:szCs w:val="16"/>
          <w:lang w:val="es-PR"/>
        </w:rPr>
        <w:t>ᵃ</w:t>
      </w:r>
      <w:r w:rsidRPr="007E666D">
        <w:rPr>
          <w:rFonts w:ascii="Verdana" w:hAnsi="Verdana"/>
          <w:sz w:val="16"/>
          <w:szCs w:val="16"/>
          <w:lang w:val="es-PR"/>
        </w:rPr>
        <w:t xml:space="preserve"> Zona Judicial del Ejército (expediente de prueba, folios 127 a 139). </w:t>
      </w:r>
    </w:p>
  </w:footnote>
  <w:footnote w:id="11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sz w:val="16"/>
          <w:szCs w:val="16"/>
          <w:lang w:val="es-PR"/>
        </w:rPr>
        <w:t xml:space="preserve">Revisión de </w:t>
      </w:r>
      <w:r w:rsidRPr="007E666D">
        <w:rPr>
          <w:rFonts w:ascii="Verdana" w:hAnsi="Verdana" w:cs="Arial"/>
          <w:sz w:val="16"/>
          <w:szCs w:val="16"/>
          <w:lang w:val="es-PR"/>
        </w:rPr>
        <w:t xml:space="preserve">10 de febrero de 1993 del Consejo Supremo </w:t>
      </w:r>
      <w:r w:rsidRPr="007E666D">
        <w:rPr>
          <w:rFonts w:ascii="Verdana" w:hAnsi="Verdana" w:cs="Arial"/>
          <w:iCs/>
          <w:sz w:val="16"/>
          <w:szCs w:val="16"/>
          <w:lang w:val="es-PR"/>
        </w:rPr>
        <w:t xml:space="preserve">de </w:t>
      </w:r>
      <w:r w:rsidRPr="007E666D">
        <w:rPr>
          <w:rFonts w:ascii="Verdana" w:hAnsi="Verdana" w:cs="Arial"/>
          <w:sz w:val="16"/>
          <w:szCs w:val="16"/>
          <w:lang w:val="es-PR"/>
        </w:rPr>
        <w:t>Justicia Militar</w:t>
      </w:r>
      <w:r w:rsidRPr="007E666D">
        <w:rPr>
          <w:rFonts w:ascii="Verdana" w:hAnsi="Verdana"/>
          <w:sz w:val="16"/>
          <w:szCs w:val="16"/>
          <w:lang w:val="es-PR"/>
        </w:rPr>
        <w:t xml:space="preserve"> (expediente de prueba, folios 142 a 145).</w:t>
      </w:r>
    </w:p>
  </w:footnote>
  <w:footnote w:id="11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sz w:val="16"/>
          <w:szCs w:val="16"/>
          <w:lang w:val="es-PR"/>
        </w:rPr>
        <w:t>Denuncia de Zósimo Hilario Quispe de 29 de noviembre de 1991 ante la Fiscalía Provincial Mixta de Huancavelica (expediente de prueba, folios 100 y 101).</w:t>
      </w:r>
    </w:p>
  </w:footnote>
  <w:footnote w:id="11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sz w:val="16"/>
          <w:szCs w:val="16"/>
          <w:lang w:val="es-PR"/>
        </w:rPr>
        <w:t>Escrito de CEAPAZ de 4 de diciembre de 1991, presentado ante el Fiscal de la Nación (expediente de prueba, folios 104 y 105).</w:t>
      </w:r>
    </w:p>
  </w:footnote>
  <w:footnote w:id="113">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 xml:space="preserve">Solicitud de Zósimo Hilario Quispe de 5 de febrero de 1992 de declinatoria de jurisdicción interpuesta ante la Segunda Zona Judicial del Ejército </w:t>
      </w:r>
      <w:r w:rsidRPr="007E666D">
        <w:rPr>
          <w:rFonts w:ascii="Verdana" w:hAnsi="Verdana"/>
          <w:sz w:val="16"/>
          <w:szCs w:val="16"/>
          <w:lang w:val="es-PR"/>
        </w:rPr>
        <w:t>(expediente de prueba, folios 108 y 109).</w:t>
      </w:r>
    </w:p>
  </w:footnote>
  <w:footnote w:id="11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Denuncia 19-92 de 7 de febrero de 1992 interpuesta por el Fiscal Provincial de Huancavelica (expediente de prueba, folios 111 a 116).</w:t>
      </w:r>
    </w:p>
  </w:footnote>
  <w:footnote w:id="11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20 de febrero de 1992 del </w:t>
      </w:r>
      <w:r w:rsidRPr="007E666D">
        <w:rPr>
          <w:rFonts w:ascii="Verdana" w:hAnsi="Verdana" w:cs="Arial"/>
          <w:sz w:val="16"/>
          <w:szCs w:val="16"/>
          <w:lang w:val="es-PR"/>
        </w:rPr>
        <w:t>Juzgado Sexto Militar Permanente de la Segunda Zona Judicial del Ejército de Ayacucho</w:t>
      </w:r>
      <w:r w:rsidRPr="007E666D">
        <w:rPr>
          <w:rFonts w:ascii="Verdana" w:hAnsi="Verdana"/>
          <w:sz w:val="16"/>
          <w:szCs w:val="16"/>
          <w:lang w:val="es-PR"/>
        </w:rPr>
        <w:t xml:space="preserve"> (expediente de prueba, folio 125).</w:t>
      </w:r>
    </w:p>
  </w:footnote>
  <w:footnote w:id="116">
    <w:p w:rsidR="00D57F75" w:rsidRPr="007E666D" w:rsidRDefault="00D57F75" w:rsidP="00106A1E">
      <w:pPr>
        <w:pStyle w:val="FootnoteText"/>
        <w:tabs>
          <w:tab w:val="left" w:pos="720"/>
        </w:tabs>
        <w:contextualSpacing/>
        <w:jc w:val="both"/>
        <w:rPr>
          <w:rFonts w:ascii="Verdana" w:hAnsi="Verdana" w:cs="Times New Roman"/>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Escrito</w:t>
      </w:r>
      <w:r w:rsidRPr="007E666D">
        <w:rPr>
          <w:rFonts w:ascii="Verdana" w:hAnsi="Verdana" w:cs="Arial"/>
          <w:sz w:val="16"/>
          <w:szCs w:val="16"/>
          <w:lang w:val="es-PR"/>
        </w:rPr>
        <w:t xml:space="preserve"> d</w:t>
      </w:r>
      <w:r w:rsidRPr="007E666D">
        <w:rPr>
          <w:rFonts w:ascii="Verdana" w:hAnsi="Verdana" w:cs="Times New Roman"/>
          <w:sz w:val="16"/>
          <w:szCs w:val="16"/>
          <w:lang w:val="es-PR"/>
        </w:rPr>
        <w:t xml:space="preserve">el Fiscal Supremo Adjunto de </w:t>
      </w:r>
      <w:r w:rsidRPr="007E666D">
        <w:rPr>
          <w:rFonts w:ascii="Verdana" w:hAnsi="Verdana" w:cs="Arial"/>
          <w:sz w:val="16"/>
          <w:szCs w:val="16"/>
          <w:lang w:val="es-PR"/>
        </w:rPr>
        <w:t xml:space="preserve">18 de enero de 1993 </w:t>
      </w:r>
      <w:r w:rsidRPr="007E666D">
        <w:rPr>
          <w:rFonts w:ascii="Verdana" w:hAnsi="Verdana" w:cs="Times New Roman"/>
          <w:sz w:val="16"/>
          <w:szCs w:val="16"/>
          <w:lang w:val="es-PR"/>
        </w:rPr>
        <w:t xml:space="preserve">dirigido al Presidente de la </w:t>
      </w:r>
      <w:r w:rsidRPr="007E666D">
        <w:rPr>
          <w:rFonts w:ascii="Verdana" w:hAnsi="Verdana" w:cs="Arial"/>
          <w:sz w:val="16"/>
          <w:szCs w:val="16"/>
          <w:lang w:val="es-PR"/>
        </w:rPr>
        <w:t xml:space="preserve">Sala Penal de la Corte Suprema de Justicia </w:t>
      </w:r>
      <w:r w:rsidRPr="007E666D">
        <w:rPr>
          <w:rFonts w:ascii="Verdana" w:hAnsi="Verdana"/>
          <w:sz w:val="16"/>
          <w:szCs w:val="16"/>
          <w:lang w:val="es-PR"/>
        </w:rPr>
        <w:t>(expediente de prueba, folios 3950 y 3951), y Escrito</w:t>
      </w:r>
      <w:r w:rsidRPr="007E666D">
        <w:rPr>
          <w:rFonts w:ascii="Verdana" w:hAnsi="Verdana" w:cs="Arial"/>
          <w:sz w:val="16"/>
          <w:szCs w:val="16"/>
          <w:lang w:val="es-PR"/>
        </w:rPr>
        <w:t xml:space="preserve"> d</w:t>
      </w:r>
      <w:r w:rsidRPr="007E666D">
        <w:rPr>
          <w:rFonts w:ascii="Verdana" w:hAnsi="Verdana" w:cs="Times New Roman"/>
          <w:sz w:val="16"/>
          <w:szCs w:val="16"/>
          <w:lang w:val="es-PR"/>
        </w:rPr>
        <w:t xml:space="preserve">el Centro de Estudios y Acción para la Paz (CEAPAZ) de </w:t>
      </w:r>
      <w:r w:rsidRPr="007E666D">
        <w:rPr>
          <w:rFonts w:ascii="Verdana" w:hAnsi="Verdana" w:cs="Arial"/>
          <w:sz w:val="16"/>
          <w:szCs w:val="16"/>
          <w:lang w:val="es-PR"/>
        </w:rPr>
        <w:t>26 de mayo de 1993</w:t>
      </w:r>
      <w:r w:rsidRPr="007E666D">
        <w:rPr>
          <w:rFonts w:ascii="Verdana" w:hAnsi="Verdana" w:cs="Times New Roman"/>
          <w:sz w:val="16"/>
          <w:szCs w:val="16"/>
          <w:lang w:val="es-PR"/>
        </w:rPr>
        <w:t xml:space="preserve"> dirigido al Presidente de la </w:t>
      </w:r>
      <w:r w:rsidRPr="007E666D">
        <w:rPr>
          <w:rFonts w:ascii="Verdana" w:hAnsi="Verdana" w:cs="Arial"/>
          <w:sz w:val="16"/>
          <w:szCs w:val="16"/>
          <w:lang w:val="es-PR"/>
        </w:rPr>
        <w:t xml:space="preserve">Sala Penal de la Corte Suprema de Justicia </w:t>
      </w:r>
      <w:r w:rsidRPr="007E666D">
        <w:rPr>
          <w:rFonts w:ascii="Verdana" w:hAnsi="Verdana"/>
          <w:sz w:val="16"/>
          <w:szCs w:val="16"/>
          <w:lang w:val="es-PR"/>
        </w:rPr>
        <w:t>(expediente de prueba, folios 162 a 170).</w:t>
      </w:r>
    </w:p>
  </w:footnote>
  <w:footnote w:id="11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17 de junio de 1993 de la Corte Suprema de Justicia del Perú (expediente de prueba, folio 3960).</w:t>
      </w:r>
    </w:p>
  </w:footnote>
  <w:footnote w:id="11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Auto de instrucción de 26 de febrero de 1992 del Juzgado Penal de Huancavelica (expediente de prueba, folios 158 a 160).</w:t>
      </w:r>
    </w:p>
  </w:footnote>
  <w:footnote w:id="11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4 de marzo de 2008 (expediente de prueba, folio 4155).</w:t>
      </w:r>
    </w:p>
  </w:footnote>
  <w:footnote w:id="12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Acusación d</w:t>
      </w:r>
      <w:r w:rsidRPr="007E666D">
        <w:rPr>
          <w:rFonts w:ascii="Verdana" w:hAnsi="Verdana" w:cs="Arial"/>
          <w:sz w:val="16"/>
          <w:szCs w:val="16"/>
          <w:lang w:val="es-PR"/>
        </w:rPr>
        <w:t xml:space="preserve">el Fiscal Superior Provincial de Huancavelica </w:t>
      </w:r>
      <w:r w:rsidRPr="007E666D">
        <w:rPr>
          <w:rFonts w:ascii="Verdana" w:hAnsi="Verdana"/>
          <w:sz w:val="16"/>
          <w:szCs w:val="16"/>
          <w:lang w:val="es-PR"/>
        </w:rPr>
        <w:t xml:space="preserve">de </w:t>
      </w:r>
      <w:r w:rsidRPr="007E666D">
        <w:rPr>
          <w:rFonts w:ascii="Verdana" w:hAnsi="Verdana" w:cs="Arial"/>
          <w:sz w:val="16"/>
          <w:szCs w:val="16"/>
          <w:lang w:val="es-PR"/>
        </w:rPr>
        <w:t xml:space="preserve">3 de julio de 1994 </w:t>
      </w:r>
      <w:r w:rsidRPr="007E666D">
        <w:rPr>
          <w:rFonts w:ascii="Verdana" w:hAnsi="Verdana"/>
          <w:sz w:val="16"/>
          <w:szCs w:val="16"/>
          <w:lang w:val="es-PR"/>
        </w:rPr>
        <w:t>(expediente de prueba, folios 3962 a 3965) y Aclaratoria d</w:t>
      </w:r>
      <w:r w:rsidRPr="007E666D">
        <w:rPr>
          <w:rFonts w:ascii="Verdana" w:hAnsi="Verdana" w:cs="Arial"/>
          <w:sz w:val="16"/>
          <w:szCs w:val="16"/>
          <w:lang w:val="es-PR"/>
        </w:rPr>
        <w:t xml:space="preserve">el Fiscal Superior Provincial de Huancavelica </w:t>
      </w:r>
      <w:r w:rsidRPr="007E666D">
        <w:rPr>
          <w:rFonts w:ascii="Verdana" w:hAnsi="Verdana"/>
          <w:sz w:val="16"/>
          <w:szCs w:val="16"/>
          <w:lang w:val="es-PR"/>
        </w:rPr>
        <w:t xml:space="preserve">de </w:t>
      </w:r>
      <w:r w:rsidRPr="007E666D">
        <w:rPr>
          <w:rFonts w:ascii="Verdana" w:hAnsi="Verdana" w:cs="Arial"/>
          <w:sz w:val="16"/>
          <w:szCs w:val="16"/>
          <w:lang w:val="es-PR"/>
        </w:rPr>
        <w:t xml:space="preserve">5 de agosto de 1994 </w:t>
      </w:r>
      <w:r w:rsidRPr="007E666D">
        <w:rPr>
          <w:rFonts w:ascii="Verdana" w:hAnsi="Verdana"/>
          <w:sz w:val="16"/>
          <w:szCs w:val="16"/>
          <w:lang w:val="es-PR"/>
        </w:rPr>
        <w:t>(expediente de prueba, folio 3966).</w:t>
      </w:r>
    </w:p>
  </w:footnote>
  <w:footnote w:id="12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Auto de 19 de agosto de 1994 de la </w:t>
      </w:r>
      <w:r w:rsidRPr="007E666D">
        <w:rPr>
          <w:rFonts w:ascii="Verdana" w:hAnsi="Verdana" w:cs="Arial"/>
          <w:sz w:val="16"/>
          <w:szCs w:val="16"/>
          <w:lang w:val="es-PR"/>
        </w:rPr>
        <w:t xml:space="preserve">Sala Mixta de la Corte Superior de Justicia de Huancavelica </w:t>
      </w:r>
      <w:r w:rsidRPr="007E666D">
        <w:rPr>
          <w:rFonts w:ascii="Verdana" w:hAnsi="Verdana"/>
          <w:sz w:val="16"/>
          <w:szCs w:val="16"/>
          <w:lang w:val="es-PR"/>
        </w:rPr>
        <w:t>(expediente de prueba, folios 3972 a 3976).</w:t>
      </w:r>
    </w:p>
  </w:footnote>
  <w:footnote w:id="12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Ley No. 26.479 de 14 de junio de 1995 (expediente de prueba, folio 2474).</w:t>
      </w:r>
    </w:p>
  </w:footnote>
  <w:footnote w:id="123">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w:t>
      </w:r>
      <w:r w:rsidRPr="007E666D">
        <w:rPr>
          <w:rFonts w:ascii="Verdana" w:hAnsi="Verdana" w:cs="Arial"/>
          <w:sz w:val="16"/>
          <w:szCs w:val="16"/>
          <w:lang w:val="es-PR"/>
        </w:rPr>
        <w:t xml:space="preserve">28 de junio de 2002 de la Sala Plena del Consejo Supremo de Justicia Militar </w:t>
      </w:r>
      <w:r w:rsidRPr="007E666D">
        <w:rPr>
          <w:rFonts w:ascii="Verdana" w:hAnsi="Verdana"/>
          <w:sz w:val="16"/>
          <w:szCs w:val="16"/>
          <w:lang w:val="es-PR"/>
        </w:rPr>
        <w:t>(expediente de prueba, folio 5359).</w:t>
      </w:r>
    </w:p>
  </w:footnote>
  <w:footnote w:id="12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Ley No. </w:t>
      </w:r>
      <w:r w:rsidRPr="007E666D">
        <w:rPr>
          <w:rFonts w:ascii="Verdana" w:hAnsi="Verdana" w:cs="Arial"/>
          <w:sz w:val="16"/>
          <w:szCs w:val="16"/>
          <w:lang w:val="es-PR"/>
        </w:rPr>
        <w:t xml:space="preserve">26.492 de 28 de junio de 1995 </w:t>
      </w:r>
      <w:r w:rsidRPr="007E666D">
        <w:rPr>
          <w:rFonts w:ascii="Verdana" w:hAnsi="Verdana"/>
          <w:sz w:val="16"/>
          <w:szCs w:val="16"/>
          <w:lang w:val="es-PR"/>
        </w:rPr>
        <w:t>(expediente de prueba, folio 2476).</w:t>
      </w:r>
    </w:p>
  </w:footnote>
  <w:footnote w:id="12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5 de mayo de 2004 de la Fiscalía Provincial Especializada en Derechos Humanos, Desapariciones Forzadas, Ejecuciones Extrajudiciales y Exhumaciones de Fosas Clandestinas Huancavelica (expediente de prueba, folios 172 a 178).</w:t>
      </w:r>
    </w:p>
  </w:footnote>
  <w:footnote w:id="12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Auto de 14 de enero de 1997 de la Primera Sala Penal Transitoria </w:t>
      </w:r>
      <w:r w:rsidRPr="007E666D">
        <w:rPr>
          <w:rFonts w:ascii="Verdana" w:hAnsi="Verdana" w:cs="Arial"/>
          <w:sz w:val="16"/>
          <w:szCs w:val="16"/>
          <w:lang w:val="es-PR"/>
        </w:rPr>
        <w:t xml:space="preserve">de la Corte Suprema de Justicia </w:t>
      </w:r>
      <w:r w:rsidRPr="007E666D">
        <w:rPr>
          <w:rFonts w:ascii="Verdana" w:hAnsi="Verdana"/>
          <w:sz w:val="16"/>
          <w:szCs w:val="16"/>
          <w:lang w:val="es-PR"/>
        </w:rPr>
        <w:t>(expediente de prueba, folios 154 a 156).</w:t>
      </w:r>
    </w:p>
  </w:footnote>
  <w:footnote w:id="12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Style w:val="Strong"/>
          <w:rFonts w:ascii="Verdana" w:hAnsi="Verdana"/>
          <w:b w:val="0"/>
          <w:i/>
          <w:color w:val="000000"/>
          <w:sz w:val="16"/>
          <w:szCs w:val="16"/>
          <w:shd w:val="clear" w:color="auto" w:fill="FFFFFF"/>
          <w:lang w:val="es-PR"/>
        </w:rPr>
        <w:t>Caso Barrios Altos Vs. Perú. Fondo.</w:t>
      </w:r>
      <w:r w:rsidRPr="007E666D">
        <w:rPr>
          <w:rStyle w:val="Strong"/>
          <w:rFonts w:ascii="Verdana" w:hAnsi="Verdana"/>
          <w:b w:val="0"/>
          <w:color w:val="000000"/>
          <w:sz w:val="16"/>
          <w:szCs w:val="16"/>
          <w:shd w:val="clear" w:color="auto" w:fill="FFFFFF"/>
          <w:lang w:val="es-PR"/>
        </w:rPr>
        <w:t xml:space="preserve"> Sentencia de 14 de marzo de 2001. Serie C No. 75, párrs. 39 y 44, y </w:t>
      </w:r>
      <w:r w:rsidRPr="007E666D">
        <w:rPr>
          <w:rFonts w:ascii="Verdana" w:hAnsi="Verdana"/>
          <w:i/>
          <w:sz w:val="16"/>
          <w:szCs w:val="16"/>
          <w:lang w:val="es-PR"/>
        </w:rPr>
        <w:t>Caso Barrios Altos Vs. Perú. Interpretación de la Sentencia de Fondo.</w:t>
      </w:r>
      <w:r w:rsidRPr="007E666D">
        <w:rPr>
          <w:rFonts w:ascii="Verdana" w:hAnsi="Verdana"/>
          <w:sz w:val="16"/>
          <w:szCs w:val="16"/>
          <w:lang w:val="es-PR"/>
        </w:rPr>
        <w:t xml:space="preserve"> Sentencia de 3 de septiembre de 2001. Serie C No. 83, párr. 18.</w:t>
      </w:r>
    </w:p>
  </w:footnote>
  <w:footnote w:id="12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w:t>
      </w:r>
      <w:r w:rsidRPr="007E666D">
        <w:rPr>
          <w:rFonts w:ascii="Verdana" w:hAnsi="Verdana" w:cs="Arial"/>
          <w:sz w:val="16"/>
          <w:szCs w:val="16"/>
          <w:lang w:val="es-PR"/>
        </w:rPr>
        <w:t xml:space="preserve">28 de junio de 2002 de la Sala Plena del Consejo Supremo de Justicia Militar </w:t>
      </w:r>
      <w:r w:rsidRPr="007E666D">
        <w:rPr>
          <w:rFonts w:ascii="Verdana" w:hAnsi="Verdana"/>
          <w:sz w:val="16"/>
          <w:szCs w:val="16"/>
          <w:lang w:val="es-PR"/>
        </w:rPr>
        <w:t>(expediente de prueba, folios 5359 y 5360).</w:t>
      </w:r>
    </w:p>
  </w:footnote>
  <w:footnote w:id="12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Oficio No. 1085-2004-MP-FPP-HUANCAVELICA de 24 de junio de 2004 de la Fiscalía Provincial Penal de Huancavelica (expediente de prueba, folio 180).</w:t>
      </w:r>
    </w:p>
  </w:footnote>
  <w:footnote w:id="13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Dictamen No. 12 de 22 de junio de 2005 de la Fiscalía Superior Mixta de Huancavelica (expediente de prueba, folios 3978 y 3979).</w:t>
      </w:r>
    </w:p>
  </w:footnote>
  <w:footnote w:id="131">
    <w:p w:rsidR="00D57F75" w:rsidRPr="007E666D" w:rsidRDefault="00D57F75" w:rsidP="00106A1E">
      <w:pPr>
        <w:pStyle w:val="FootnoteText"/>
        <w:tabs>
          <w:tab w:val="left" w:pos="720"/>
        </w:tabs>
        <w:contextualSpacing/>
        <w:jc w:val="both"/>
        <w:rPr>
          <w:rFonts w:ascii="Verdana" w:hAnsi="Verdana"/>
          <w:color w:val="000000" w:themeColor="text1"/>
          <w:sz w:val="16"/>
          <w:szCs w:val="16"/>
          <w:lang w:val="es-PR"/>
        </w:rPr>
      </w:pPr>
      <w:r w:rsidRPr="007E666D">
        <w:rPr>
          <w:rStyle w:val="FootnoteReference"/>
          <w:rFonts w:eastAsiaTheme="minorHAnsi"/>
          <w:color w:val="000000" w:themeColor="text1"/>
          <w:sz w:val="16"/>
          <w:lang w:val="es-PR"/>
        </w:rPr>
        <w:footnoteRef/>
      </w:r>
      <w:r w:rsidRPr="007E666D">
        <w:rPr>
          <w:rFonts w:ascii="Verdana" w:hAnsi="Verdana"/>
          <w:color w:val="000000" w:themeColor="text1"/>
          <w:sz w:val="16"/>
          <w:szCs w:val="16"/>
          <w:lang w:val="es-PR"/>
        </w:rPr>
        <w:t xml:space="preserve"> </w:t>
      </w:r>
      <w:r w:rsidRPr="007E666D">
        <w:rPr>
          <w:rFonts w:ascii="Verdana" w:hAnsi="Verdana"/>
          <w:color w:val="000000" w:themeColor="text1"/>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9 de febrero de 2012 (expediente de prueba, folio 4374).</w:t>
      </w:r>
    </w:p>
  </w:footnote>
  <w:footnote w:id="132">
    <w:p w:rsidR="00D57F75" w:rsidRPr="007E666D" w:rsidRDefault="00D57F75" w:rsidP="00106A1E">
      <w:pPr>
        <w:pStyle w:val="FootnoteText"/>
        <w:tabs>
          <w:tab w:val="left" w:pos="720"/>
        </w:tabs>
        <w:contextualSpacing/>
        <w:jc w:val="both"/>
        <w:rPr>
          <w:rFonts w:ascii="Verdana" w:hAnsi="Verdana" w:cs="Arial"/>
          <w:color w:val="000000" w:themeColor="text1"/>
          <w:sz w:val="16"/>
          <w:szCs w:val="16"/>
          <w:lang w:val="es-PR"/>
        </w:rPr>
      </w:pPr>
      <w:r w:rsidRPr="007E666D">
        <w:rPr>
          <w:rStyle w:val="FootnoteReference"/>
          <w:rFonts w:eastAsiaTheme="minorHAnsi"/>
          <w:color w:val="000000" w:themeColor="text1"/>
          <w:sz w:val="16"/>
          <w:lang w:val="es-PR"/>
        </w:rPr>
        <w:footnoteRef/>
      </w:r>
      <w:r w:rsidRPr="007E666D">
        <w:rPr>
          <w:rFonts w:ascii="Verdana" w:hAnsi="Verdana"/>
          <w:color w:val="000000" w:themeColor="text1"/>
          <w:sz w:val="16"/>
          <w:szCs w:val="16"/>
          <w:lang w:val="es-PR"/>
        </w:rPr>
        <w:t xml:space="preserve"> </w:t>
      </w:r>
      <w:r w:rsidRPr="007E666D">
        <w:rPr>
          <w:rFonts w:ascii="Verdana" w:hAnsi="Verdana"/>
          <w:color w:val="000000" w:themeColor="text1"/>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color w:val="000000" w:themeColor="text1"/>
          <w:sz w:val="16"/>
          <w:szCs w:val="16"/>
          <w:lang w:val="es-PR"/>
        </w:rPr>
        <w:t>Dictamen No. 22/2005-VARIOS de la Fiscalía Superior Mixta de Huancavelica de 10 de noviembre de 2005, Expediente No. 1993-027</w:t>
      </w:r>
      <w:r w:rsidRPr="007E666D">
        <w:rPr>
          <w:rFonts w:ascii="Verdana" w:hAnsi="Verdana"/>
          <w:color w:val="000000" w:themeColor="text1"/>
          <w:sz w:val="16"/>
          <w:szCs w:val="16"/>
          <w:lang w:val="es-PR"/>
        </w:rPr>
        <w:t xml:space="preserve"> (expediente de prueba, folio 182).</w:t>
      </w:r>
    </w:p>
  </w:footnote>
  <w:footnote w:id="133">
    <w:p w:rsidR="00D57F75" w:rsidRPr="007E666D" w:rsidRDefault="00D57F75" w:rsidP="00106A1E">
      <w:pPr>
        <w:pStyle w:val="FootnoteText"/>
        <w:tabs>
          <w:tab w:val="left" w:pos="720"/>
        </w:tabs>
        <w:contextualSpacing/>
        <w:jc w:val="both"/>
        <w:rPr>
          <w:rFonts w:ascii="Verdana" w:hAnsi="Verdana"/>
          <w:color w:val="000000" w:themeColor="text1"/>
          <w:sz w:val="16"/>
          <w:szCs w:val="16"/>
          <w:lang w:val="es-PR"/>
        </w:rPr>
      </w:pPr>
      <w:r w:rsidRPr="007E666D">
        <w:rPr>
          <w:rStyle w:val="FootnoteReference"/>
          <w:rFonts w:eastAsiaTheme="minorHAnsi"/>
          <w:color w:val="000000" w:themeColor="text1"/>
          <w:sz w:val="16"/>
          <w:lang w:val="es-PR"/>
        </w:rPr>
        <w:footnoteRef/>
      </w:r>
      <w:r w:rsidRPr="007E666D">
        <w:rPr>
          <w:rFonts w:ascii="Verdana" w:hAnsi="Verdana"/>
          <w:color w:val="000000" w:themeColor="text1"/>
          <w:sz w:val="16"/>
          <w:szCs w:val="16"/>
          <w:lang w:val="es-PR"/>
        </w:rPr>
        <w:t xml:space="preserve"> </w:t>
      </w:r>
      <w:r w:rsidRPr="007E666D">
        <w:rPr>
          <w:rFonts w:ascii="Verdana" w:hAnsi="Verdana"/>
          <w:color w:val="000000" w:themeColor="text1"/>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9 de febrero de 2012 (expediente de prueba, folio 4374).</w:t>
      </w:r>
    </w:p>
  </w:footnote>
  <w:footnote w:id="13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color w:val="000000" w:themeColor="text1"/>
          <w:sz w:val="16"/>
          <w:szCs w:val="16"/>
          <w:lang w:val="es-PR"/>
        </w:rPr>
        <w:t>Cfr</w:t>
      </w:r>
      <w:r w:rsidRPr="007E666D">
        <w:rPr>
          <w:rFonts w:ascii="Verdana" w:hAnsi="Verdana"/>
          <w:color w:val="000000" w:themeColor="text1"/>
          <w:sz w:val="16"/>
          <w:szCs w:val="16"/>
          <w:lang w:val="es-PR"/>
        </w:rPr>
        <w:t>.</w:t>
      </w:r>
      <w:r w:rsidRPr="007E666D">
        <w:rPr>
          <w:rFonts w:ascii="Verdana" w:hAnsi="Verdana" w:cs="Times New Roman"/>
          <w:color w:val="000000" w:themeColor="text1"/>
          <w:sz w:val="16"/>
          <w:szCs w:val="16"/>
          <w:lang w:val="es-PR"/>
        </w:rPr>
        <w:t xml:space="preserve"> </w:t>
      </w:r>
      <w:r w:rsidRPr="007E666D">
        <w:rPr>
          <w:rFonts w:ascii="Verdana" w:hAnsi="Verdana" w:cs="Arial"/>
          <w:color w:val="000000" w:themeColor="text1"/>
          <w:sz w:val="16"/>
          <w:szCs w:val="16"/>
          <w:lang w:val="es-PR"/>
        </w:rPr>
        <w:t xml:space="preserve">Oficio No. 868-2007-JUS/CNDH-SE de 31 de mayo de 2007 del Secretario Ejecutivo del Consejo Nacional de Derechos Humanos y dirigido a la Representante del Poder Judicial ante el Consejo Nacional de Derechos Humanos </w:t>
      </w:r>
      <w:r w:rsidRPr="007E666D">
        <w:rPr>
          <w:rFonts w:ascii="Verdana" w:hAnsi="Verdana"/>
          <w:color w:val="000000" w:themeColor="text1"/>
          <w:sz w:val="16"/>
          <w:szCs w:val="16"/>
          <w:lang w:val="es-PR"/>
        </w:rPr>
        <w:t>(expediente de prueba, folio 184).</w:t>
      </w:r>
    </w:p>
  </w:footnote>
  <w:footnote w:id="135">
    <w:p w:rsidR="00D57F75" w:rsidRPr="007E666D" w:rsidRDefault="00D57F75" w:rsidP="00106A1E">
      <w:pPr>
        <w:pStyle w:val="FootnoteText"/>
        <w:tabs>
          <w:tab w:val="left" w:pos="720"/>
        </w:tabs>
        <w:contextualSpacing/>
        <w:jc w:val="both"/>
        <w:rPr>
          <w:rFonts w:ascii="Verdana" w:hAnsi="Verdana" w:cs="Arial"/>
          <w:color w:val="000000" w:themeColor="text1"/>
          <w:sz w:val="16"/>
          <w:szCs w:val="16"/>
          <w:lang w:val="es-PR"/>
        </w:rPr>
      </w:pPr>
      <w:r w:rsidRPr="007E666D">
        <w:rPr>
          <w:rStyle w:val="FootnoteReference"/>
          <w:rFonts w:eastAsiaTheme="minorHAnsi"/>
          <w:color w:val="000000" w:themeColor="text1"/>
          <w:sz w:val="16"/>
          <w:lang w:val="es-PR"/>
        </w:rPr>
        <w:footnoteRef/>
      </w:r>
      <w:r w:rsidRPr="007E666D">
        <w:rPr>
          <w:rFonts w:ascii="Verdana" w:hAnsi="Verdana"/>
          <w:color w:val="000000" w:themeColor="text1"/>
          <w:sz w:val="16"/>
          <w:szCs w:val="16"/>
          <w:lang w:val="es-PR"/>
        </w:rPr>
        <w:t xml:space="preserve"> </w:t>
      </w:r>
      <w:r w:rsidRPr="007E666D">
        <w:rPr>
          <w:rFonts w:ascii="Verdana" w:hAnsi="Verdana"/>
          <w:color w:val="000000" w:themeColor="text1"/>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 xml:space="preserve">Resolución de 18 de diciembre de 2006 de la Sala Penal Nacional </w:t>
      </w:r>
      <w:r w:rsidRPr="007E666D">
        <w:rPr>
          <w:rFonts w:ascii="Verdana" w:hAnsi="Verdana"/>
          <w:color w:val="000000" w:themeColor="text1"/>
          <w:sz w:val="16"/>
          <w:szCs w:val="16"/>
          <w:lang w:val="es-PR"/>
        </w:rPr>
        <w:t>(expediente de prueba, folios 4149 a 4151).</w:t>
      </w:r>
    </w:p>
  </w:footnote>
  <w:footnote w:id="13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4 de marzo de 2008 (expediente de prueba, folios 4196 y 4198 a 4200).</w:t>
      </w:r>
    </w:p>
  </w:footnote>
  <w:footnote w:id="13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Recursos de nulidad interpuestos por l</w:t>
      </w:r>
      <w:r w:rsidRPr="007E666D">
        <w:rPr>
          <w:rFonts w:ascii="Verdana" w:hAnsi="Verdana" w:cs="Arial"/>
          <w:sz w:val="16"/>
          <w:szCs w:val="16"/>
          <w:lang w:val="es-PR"/>
        </w:rPr>
        <w:t xml:space="preserve">a Fiscalía Superior y la parte civil </w:t>
      </w:r>
      <w:r w:rsidRPr="007E666D">
        <w:rPr>
          <w:rFonts w:ascii="Verdana" w:hAnsi="Verdana"/>
          <w:sz w:val="16"/>
          <w:szCs w:val="16"/>
          <w:lang w:val="es-PR"/>
        </w:rPr>
        <w:t xml:space="preserve">respecto de la sentencia de 4 de marzo de 2008 </w:t>
      </w:r>
      <w:r w:rsidRPr="007E666D">
        <w:rPr>
          <w:rFonts w:ascii="Verdana" w:hAnsi="Verdana" w:cs="Arial"/>
          <w:sz w:val="16"/>
          <w:szCs w:val="16"/>
          <w:lang w:val="es-PR"/>
        </w:rPr>
        <w:t>(expediente de prueba, folios 4202 a 4239).</w:t>
      </w:r>
    </w:p>
  </w:footnote>
  <w:footnote w:id="13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color w:val="000000" w:themeColor="text1"/>
          <w:sz w:val="16"/>
          <w:lang w:val="es-PR"/>
        </w:rPr>
        <w:footnoteRef/>
      </w:r>
      <w:r w:rsidRPr="007E666D">
        <w:rPr>
          <w:rFonts w:ascii="Verdana" w:hAnsi="Verdana"/>
          <w:color w:val="000000" w:themeColor="text1"/>
          <w:sz w:val="16"/>
          <w:szCs w:val="16"/>
          <w:lang w:val="es-PR"/>
        </w:rPr>
        <w:t xml:space="preserve"> </w:t>
      </w:r>
      <w:r w:rsidRPr="007E666D">
        <w:rPr>
          <w:rFonts w:ascii="Verdana" w:hAnsi="Verdana"/>
          <w:color w:val="000000" w:themeColor="text1"/>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Times New Roman"/>
          <w:sz w:val="16"/>
          <w:szCs w:val="16"/>
          <w:lang w:val="es-PR"/>
        </w:rPr>
        <w:t xml:space="preserve">Sentencia de la Primera Sala Penal Transitoria de la Corte Suprema de Justicia de 15 de abril de 2009 (expediente de prueba, folios </w:t>
      </w:r>
      <w:r w:rsidRPr="007E666D">
        <w:rPr>
          <w:rFonts w:ascii="Verdana" w:hAnsi="Verdana"/>
          <w:sz w:val="16"/>
          <w:szCs w:val="16"/>
          <w:lang w:val="es-PR"/>
        </w:rPr>
        <w:t>4241 a 4250).</w:t>
      </w:r>
    </w:p>
  </w:footnote>
  <w:footnote w:id="13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Times New Roman"/>
          <w:sz w:val="16"/>
          <w:szCs w:val="16"/>
          <w:lang w:val="es-PR"/>
        </w:rPr>
        <w:t xml:space="preserve">Resolución </w:t>
      </w:r>
      <w:r w:rsidRPr="007E666D">
        <w:rPr>
          <w:rFonts w:ascii="Verdana" w:hAnsi="Verdana" w:cs="Arial"/>
          <w:sz w:val="16"/>
          <w:szCs w:val="16"/>
          <w:lang w:val="es-PR"/>
        </w:rPr>
        <w:t xml:space="preserve">de la Sala Penal Nacional </w:t>
      </w:r>
      <w:r w:rsidRPr="007E666D">
        <w:rPr>
          <w:rFonts w:ascii="Verdana" w:hAnsi="Verdana" w:cs="Times New Roman"/>
          <w:sz w:val="16"/>
          <w:szCs w:val="16"/>
          <w:lang w:val="es-PR"/>
        </w:rPr>
        <w:t xml:space="preserve">de 9 de noviembre de 2009 (expediente de prueba, folios </w:t>
      </w:r>
      <w:r w:rsidRPr="007E666D">
        <w:rPr>
          <w:rFonts w:ascii="Verdana" w:hAnsi="Verdana"/>
          <w:sz w:val="16"/>
          <w:szCs w:val="16"/>
          <w:lang w:val="es-PR"/>
        </w:rPr>
        <w:t>4252 a 4254).</w:t>
      </w:r>
    </w:p>
  </w:footnote>
  <w:footnote w:id="14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9 de febrero de 2012 (expediente de prueba, folio 4376).</w:t>
      </w:r>
    </w:p>
  </w:footnote>
  <w:footnote w:id="14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Oficio No. 042-06-SPN de 23 de agosto de 2010, Sala Penal Nacional (expediente de prueba, folio 186), e Informe del Secretario de Actas al coordinador de la Sala Penal Nacional (expediente de prueba, folio 202).</w:t>
      </w:r>
    </w:p>
  </w:footnote>
  <w:footnote w:id="14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Actas de audiencias, Sala Penal Nacional (expediente de prueba, folios 2874 a 3594), y Sentencia de la Sala Penal Nacional de 9 de febrero de 2012 (expediente de prueba, folios 4380 a 4452).</w:t>
      </w:r>
    </w:p>
  </w:footnote>
  <w:footnote w:id="143">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9 de febrero de 2012 (expediente de prueba, folio 4377).</w:t>
      </w:r>
    </w:p>
  </w:footnote>
  <w:footnote w:id="14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9 de febrero de 2012 (expediente de prueba, folios 4540, 4541, 4552, 4563 y 4578 a 4580).</w:t>
      </w:r>
    </w:p>
  </w:footnote>
  <w:footnote w:id="14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Ejecutoria Suprema de la Sala Penal Transitoria de la Corte Suprema de Justicia de la República del Perú de 29 de mayo de 2013 (expediente de prueba, folios 3729 y 3730).</w:t>
      </w:r>
    </w:p>
  </w:footnote>
  <w:footnote w:id="146">
    <w:p w:rsidR="00D57F75" w:rsidRPr="007E666D" w:rsidRDefault="00D57F75" w:rsidP="00106A1E">
      <w:pPr>
        <w:pStyle w:val="FootnoteText"/>
        <w:tabs>
          <w:tab w:val="left" w:pos="720"/>
        </w:tabs>
        <w:contextualSpacing/>
        <w:jc w:val="both"/>
        <w:rPr>
          <w:rFonts w:ascii="Verdana" w:eastAsia="Calibri" w:hAnsi="Verdana"/>
          <w:bCs/>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Denuncia penal presentada por la </w:t>
      </w:r>
      <w:r w:rsidRPr="007E666D">
        <w:rPr>
          <w:rFonts w:ascii="Verdana" w:hAnsi="Verdana" w:cs="Arial"/>
          <w:sz w:val="16"/>
          <w:szCs w:val="16"/>
          <w:lang w:val="es-PR"/>
        </w:rPr>
        <w:t xml:space="preserve">Fiscalía del Ministerio Público el 16 de febrero de 2011 </w:t>
      </w:r>
      <w:r w:rsidRPr="007E666D">
        <w:rPr>
          <w:rFonts w:ascii="Verdana" w:hAnsi="Verdana"/>
          <w:sz w:val="16"/>
          <w:szCs w:val="16"/>
          <w:lang w:val="es-PR"/>
        </w:rPr>
        <w:t>(expediente de prueba, folio 5390).</w:t>
      </w:r>
    </w:p>
  </w:footnote>
  <w:footnote w:id="14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Auto de apertura de instrucción de 1 de agosto de 2011 (expediente de prueba, folio 5399); Resolución de 22 de febrero de 2013 de la Sala Penal Nacional de la Corte Suprema de Justicia de la República (expediente de prueba, folios 4590 a 4596), y Resolución de 22 de febrero de 2013 de la Sala Penal Nacional de la Corte Suprema de Justicia de la República (expediente de prueba, folios 4590 a 4596).</w:t>
      </w:r>
    </w:p>
  </w:footnote>
  <w:footnote w:id="14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Declaración instructiva de </w:t>
      </w:r>
      <w:r w:rsidRPr="007E666D">
        <w:rPr>
          <w:rFonts w:ascii="Verdana" w:eastAsia="Calibri" w:hAnsi="Verdana"/>
          <w:bCs/>
          <w:sz w:val="16"/>
          <w:szCs w:val="16"/>
          <w:lang w:val="es-PR"/>
        </w:rPr>
        <w:t xml:space="preserve">Simón Fidel Breña Palante </w:t>
      </w:r>
      <w:r w:rsidRPr="007E666D">
        <w:rPr>
          <w:rFonts w:ascii="Verdana" w:eastAsia="Calibri" w:hAnsi="Verdana" w:cs="Arial"/>
          <w:sz w:val="16"/>
          <w:szCs w:val="16"/>
          <w:lang w:val="es-PR"/>
        </w:rPr>
        <w:t xml:space="preserve">de 27 de octubre del 2011 </w:t>
      </w:r>
      <w:r w:rsidRPr="007E666D">
        <w:rPr>
          <w:rFonts w:ascii="Verdana" w:hAnsi="Verdana"/>
          <w:sz w:val="16"/>
          <w:szCs w:val="16"/>
          <w:lang w:val="es-PR"/>
        </w:rPr>
        <w:t xml:space="preserve">(expediente de prueba, folios 3748 y 3749), y Continuación de la declaración instructiva de </w:t>
      </w:r>
      <w:r w:rsidRPr="007E666D">
        <w:rPr>
          <w:rFonts w:ascii="Verdana" w:eastAsia="Calibri" w:hAnsi="Verdana"/>
          <w:bCs/>
          <w:sz w:val="16"/>
          <w:szCs w:val="16"/>
          <w:lang w:val="es-PR"/>
        </w:rPr>
        <w:t xml:space="preserve">Simón Fidel Breña Palante de 30 de noviembre de 2011 y 11 de enero de 2012 </w:t>
      </w:r>
      <w:r w:rsidRPr="007E666D">
        <w:rPr>
          <w:rFonts w:ascii="Verdana" w:hAnsi="Verdana"/>
          <w:sz w:val="16"/>
          <w:szCs w:val="16"/>
          <w:lang w:val="es-PR"/>
        </w:rPr>
        <w:t>(expediente de prueba, folios 3750 a 3758).</w:t>
      </w:r>
    </w:p>
  </w:footnote>
  <w:footnote w:id="14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22 de febrero de 2013 de la Sala Penal Nacional de la Corte Suprema de Justicia de la República (expediente de prueba, folios 4590 a 4596).</w:t>
      </w:r>
    </w:p>
  </w:footnote>
  <w:footnote w:id="15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18 de marzo de 2013 de la Sala Penal Nacional de la Corte Suprema de Justicia de la República (expediente de prueba, folio 5456).</w:t>
      </w:r>
    </w:p>
  </w:footnote>
  <w:footnote w:id="151">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Resolución de </w:t>
      </w:r>
      <w:r w:rsidRPr="007E666D">
        <w:rPr>
          <w:rFonts w:ascii="Verdana" w:eastAsia="Calibri" w:hAnsi="Verdana"/>
          <w:sz w:val="16"/>
          <w:szCs w:val="16"/>
          <w:lang w:val="es-PR"/>
        </w:rPr>
        <w:t xml:space="preserve">21 de febrero de 2014 de la Fiscalía Provincial Penal de Lima </w:t>
      </w:r>
      <w:r w:rsidRPr="007E666D">
        <w:rPr>
          <w:rFonts w:ascii="Verdana" w:hAnsi="Verdana"/>
          <w:color w:val="000000" w:themeColor="text1"/>
          <w:sz w:val="16"/>
          <w:szCs w:val="16"/>
          <w:lang w:val="es-PR"/>
        </w:rPr>
        <w:t>(expediente de prueba, folio 5461).</w:t>
      </w:r>
    </w:p>
  </w:footnote>
  <w:footnote w:id="15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i/>
          <w:sz w:val="16"/>
          <w:szCs w:val="16"/>
          <w:lang w:val="es-PR"/>
        </w:rPr>
        <w:t>Cfr.</w:t>
      </w:r>
      <w:r w:rsidRPr="007E666D">
        <w:rPr>
          <w:rFonts w:ascii="Verdana" w:hAnsi="Verdana" w:cs="Arial"/>
          <w:sz w:val="16"/>
          <w:szCs w:val="16"/>
          <w:lang w:val="es-PR"/>
        </w:rPr>
        <w:t xml:space="preserve"> Informe Pericial de 23 de octubre de 2009 </w:t>
      </w:r>
      <w:r w:rsidRPr="007E666D">
        <w:rPr>
          <w:rFonts w:ascii="Verdana" w:hAnsi="Verdana"/>
          <w:sz w:val="16"/>
          <w:szCs w:val="16"/>
          <w:lang w:val="es-PR"/>
        </w:rPr>
        <w:t>(expediente de prueba, folios 5548 a 5550)</w:t>
      </w:r>
      <w:r w:rsidRPr="007E666D">
        <w:rPr>
          <w:rFonts w:ascii="Verdana" w:hAnsi="Verdana" w:cs="Arial"/>
          <w:sz w:val="16"/>
          <w:szCs w:val="16"/>
          <w:lang w:val="es-PR"/>
        </w:rPr>
        <w:t>.</w:t>
      </w:r>
    </w:p>
  </w:footnote>
  <w:footnote w:id="153">
    <w:p w:rsidR="00D57F75" w:rsidRPr="007E666D" w:rsidRDefault="00D57F75" w:rsidP="00106A1E">
      <w:pPr>
        <w:pStyle w:val="FootnoteText"/>
        <w:tabs>
          <w:tab w:val="left" w:pos="720"/>
        </w:tabs>
        <w:contextualSpacing/>
        <w:jc w:val="both"/>
        <w:rPr>
          <w:rFonts w:ascii="Verdana" w:hAnsi="Verdana" w:cs="Arial"/>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Pericial No. 20090014 de diligencias del 16 al 18 de noviembre de 2009 (expediente de prueba, folios 4324 a 4329). </w:t>
      </w:r>
    </w:p>
  </w:footnote>
  <w:footnote w:id="154">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i/>
          <w:sz w:val="16"/>
          <w:szCs w:val="16"/>
          <w:lang w:val="es-PR"/>
        </w:rPr>
        <w:t>Cfr.</w:t>
      </w:r>
      <w:r w:rsidRPr="007E666D">
        <w:rPr>
          <w:rFonts w:ascii="Verdana" w:hAnsi="Verdana" w:cs="Arial"/>
          <w:sz w:val="16"/>
          <w:szCs w:val="16"/>
          <w:lang w:val="es-PR"/>
        </w:rPr>
        <w:t xml:space="preserve"> Informe Pericial de 21 de enero de 2010 </w:t>
      </w:r>
      <w:r w:rsidRPr="007E666D">
        <w:rPr>
          <w:rFonts w:ascii="Verdana" w:hAnsi="Verdana"/>
          <w:sz w:val="16"/>
          <w:szCs w:val="16"/>
          <w:lang w:val="es-PR"/>
        </w:rPr>
        <w:t>(expediente de prueba, folios 4331 a 4334).</w:t>
      </w:r>
    </w:p>
  </w:footnote>
  <w:footnote w:id="15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Diligencias de Recuperación de Restos Óseos Humanos realizadas del 1 al 8 de marzo de 2010 (expediente de prueba, folios 190 y 5495 a 5506); Informe para la Corte Interamericana de Derechos Humanos realizado por el Equipo Forense Especializado del Instituto de Medicina Legal y Ciencias Forenses del Ministerio Público (expediente de prueba, folios 5465 a 5467), y </w:t>
      </w:r>
      <w:r w:rsidRPr="007E666D">
        <w:rPr>
          <w:rFonts w:ascii="Verdana" w:hAnsi="Verdana"/>
          <w:spacing w:val="-4"/>
          <w:sz w:val="16"/>
          <w:szCs w:val="16"/>
          <w:lang w:val="es-PR"/>
        </w:rPr>
        <w:t xml:space="preserve">Declaración de </w:t>
      </w:r>
      <w:r w:rsidRPr="007E666D">
        <w:rPr>
          <w:rFonts w:ascii="Verdana" w:hAnsi="Verdana"/>
          <w:color w:val="000000"/>
          <w:sz w:val="16"/>
          <w:szCs w:val="16"/>
          <w:lang w:val="es-PR"/>
        </w:rPr>
        <w:t>Luis Alberto Rueda Curimania</w:t>
      </w:r>
      <w:r w:rsidRPr="007E666D">
        <w:rPr>
          <w:rFonts w:ascii="Verdana" w:hAnsi="Verdana"/>
          <w:spacing w:val="-4"/>
          <w:sz w:val="16"/>
          <w:szCs w:val="16"/>
          <w:lang w:val="es-PR"/>
        </w:rPr>
        <w:t xml:space="preserve"> en la audiencia pública celebrada el </w:t>
      </w:r>
      <w:r w:rsidRPr="007E666D">
        <w:rPr>
          <w:rFonts w:ascii="Verdana" w:hAnsi="Verdana" w:cs="Verdana"/>
          <w:sz w:val="16"/>
          <w:szCs w:val="16"/>
          <w:lang w:val="es-PR"/>
        </w:rPr>
        <w:t>26 de enero de 2015.</w:t>
      </w:r>
    </w:p>
  </w:footnote>
  <w:footnote w:id="15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spacing w:val="-4"/>
          <w:sz w:val="16"/>
          <w:szCs w:val="16"/>
          <w:lang w:val="es-PR"/>
        </w:rPr>
        <w:t xml:space="preserve">Declaración de </w:t>
      </w:r>
      <w:r w:rsidRPr="007E666D">
        <w:rPr>
          <w:rFonts w:ascii="Verdana" w:hAnsi="Verdana"/>
          <w:sz w:val="16"/>
          <w:szCs w:val="16"/>
          <w:lang w:val="es-PR"/>
        </w:rPr>
        <w:t xml:space="preserve">Luis Alberto Rueda Curimania </w:t>
      </w:r>
      <w:r w:rsidRPr="007E666D">
        <w:rPr>
          <w:rFonts w:ascii="Verdana" w:hAnsi="Verdana"/>
          <w:spacing w:val="-4"/>
          <w:sz w:val="16"/>
          <w:szCs w:val="16"/>
          <w:lang w:val="es-PR"/>
        </w:rPr>
        <w:t xml:space="preserve">en la audiencia pública celebrada el </w:t>
      </w:r>
      <w:r w:rsidRPr="007E666D">
        <w:rPr>
          <w:rFonts w:ascii="Verdana" w:hAnsi="Verdana" w:cs="Verdana"/>
          <w:sz w:val="16"/>
          <w:szCs w:val="16"/>
          <w:lang w:val="es-PR"/>
        </w:rPr>
        <w:t xml:space="preserve">26 de enero de 2015. </w:t>
      </w:r>
    </w:p>
  </w:footnote>
  <w:footnote w:id="157">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cs="Arial"/>
          <w:color w:val="16151E"/>
          <w:sz w:val="16"/>
          <w:szCs w:val="16"/>
          <w:lang w:val="es-PR"/>
        </w:rPr>
        <w:t>Acta de inspección judicial de 12 de octubre de 2011 (expediente de prueba, folios 5551 a 5553).</w:t>
      </w:r>
    </w:p>
  </w:footnote>
  <w:footnote w:id="158">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Informe pericial de </w:t>
      </w:r>
      <w:r w:rsidRPr="007E666D">
        <w:rPr>
          <w:rFonts w:ascii="Verdana" w:hAnsi="Verdana" w:cs="Verdana"/>
          <w:bCs/>
          <w:iCs/>
          <w:sz w:val="16"/>
          <w:szCs w:val="16"/>
          <w:lang w:val="es-PR"/>
        </w:rPr>
        <w:t>José Pablo Baraybar do Carmo</w:t>
      </w:r>
      <w:r w:rsidRPr="007E666D">
        <w:rPr>
          <w:rFonts w:ascii="Verdana" w:hAnsi="Verdana"/>
          <w:sz w:val="16"/>
          <w:szCs w:val="16"/>
          <w:lang w:val="es-PR"/>
        </w:rPr>
        <w:t xml:space="preserve"> de 26 de enero de 2015 (expediente de fondo, folio 1218), y </w:t>
      </w:r>
      <w:r w:rsidRPr="007E666D">
        <w:rPr>
          <w:rFonts w:ascii="Verdana" w:hAnsi="Verdana"/>
          <w:spacing w:val="-4"/>
          <w:sz w:val="16"/>
          <w:szCs w:val="16"/>
          <w:lang w:val="es-PR"/>
        </w:rPr>
        <w:t xml:space="preserve">Declaración de </w:t>
      </w:r>
      <w:r w:rsidRPr="007E666D" w:rsidDel="008B17C5">
        <w:rPr>
          <w:rFonts w:ascii="Verdana" w:hAnsi="Verdana" w:cs="Helvetica"/>
          <w:color w:val="000000"/>
          <w:sz w:val="16"/>
          <w:szCs w:val="16"/>
          <w:lang w:val="es-PR"/>
        </w:rPr>
        <w:t>Zen</w:t>
      </w:r>
      <w:r w:rsidRPr="007E666D">
        <w:rPr>
          <w:rFonts w:ascii="Verdana" w:hAnsi="Verdana" w:cs="Helvetica"/>
          <w:color w:val="000000"/>
          <w:sz w:val="16"/>
          <w:szCs w:val="16"/>
          <w:lang w:val="es-PR"/>
        </w:rPr>
        <w:t>ó</w:t>
      </w:r>
      <w:r w:rsidRPr="007E666D" w:rsidDel="008B17C5">
        <w:rPr>
          <w:rFonts w:ascii="Verdana" w:hAnsi="Verdana" w:cs="Helvetica"/>
          <w:color w:val="000000"/>
          <w:sz w:val="16"/>
          <w:szCs w:val="16"/>
          <w:lang w:val="es-PR"/>
        </w:rPr>
        <w:t>n Cirilo Osnayo Tunque</w:t>
      </w:r>
      <w:r w:rsidRPr="007E666D">
        <w:rPr>
          <w:rFonts w:ascii="Verdana" w:hAnsi="Verdana"/>
          <w:spacing w:val="-4"/>
          <w:sz w:val="16"/>
          <w:szCs w:val="16"/>
          <w:lang w:val="es-PR"/>
        </w:rPr>
        <w:t xml:space="preserve"> en la audiencia pública celebrada el </w:t>
      </w:r>
      <w:r w:rsidRPr="007E666D">
        <w:rPr>
          <w:rFonts w:ascii="Verdana" w:hAnsi="Verdana" w:cs="Verdana"/>
          <w:sz w:val="16"/>
          <w:szCs w:val="16"/>
          <w:lang w:val="es-PR"/>
        </w:rPr>
        <w:t>26 de enero de 2015</w:t>
      </w:r>
      <w:r w:rsidRPr="007E666D">
        <w:rPr>
          <w:rFonts w:ascii="Verdana" w:hAnsi="Verdana"/>
          <w:spacing w:val="-4"/>
          <w:sz w:val="16"/>
          <w:szCs w:val="16"/>
          <w:lang w:val="es-PR"/>
        </w:rPr>
        <w:t>.</w:t>
      </w:r>
    </w:p>
  </w:footnote>
  <w:footnote w:id="159">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sz w:val="16"/>
          <w:szCs w:val="16"/>
          <w:lang w:val="es-PR" w:eastAsia="es-CR"/>
        </w:rPr>
        <w:t xml:space="preserve">Mediante </w:t>
      </w:r>
      <w:r w:rsidRPr="007E666D">
        <w:rPr>
          <w:rFonts w:ascii="Verdana" w:hAnsi="Verdana"/>
          <w:sz w:val="16"/>
          <w:szCs w:val="16"/>
          <w:lang w:val="es-PR" w:eastAsia="es-CR"/>
        </w:rPr>
        <w:t xml:space="preserve">un </w:t>
      </w:r>
      <w:r w:rsidRPr="007E666D">
        <w:rPr>
          <w:rFonts w:ascii="Verdana" w:hAnsi="Verdana"/>
          <w:sz w:val="16"/>
          <w:szCs w:val="16"/>
          <w:lang w:val="es-PR"/>
        </w:rPr>
        <w:t>Informe Pericial del Laboratorio de Investigaciones Forenses</w:t>
      </w:r>
      <w:r w:rsidRPr="007E666D">
        <w:rPr>
          <w:rFonts w:ascii="Verdana" w:hAnsi="Verdana"/>
          <w:sz w:val="16"/>
          <w:szCs w:val="16"/>
          <w:lang w:val="es-PR" w:eastAsia="es-CR"/>
        </w:rPr>
        <w:t xml:space="preserve">, un </w:t>
      </w:r>
      <w:r w:rsidRPr="007E666D">
        <w:rPr>
          <w:rFonts w:ascii="Verdana" w:hAnsi="Verdana" w:cs="Arial"/>
          <w:sz w:val="16"/>
          <w:szCs w:val="16"/>
          <w:lang w:val="es-PR"/>
        </w:rPr>
        <w:t>Informe Antropológico Forense y un Informe Pericial Odontológico de</w:t>
      </w:r>
      <w:r w:rsidRPr="007E666D">
        <w:rPr>
          <w:rFonts w:ascii="Verdana" w:hAnsi="Verdana"/>
          <w:sz w:val="16"/>
          <w:szCs w:val="16"/>
          <w:lang w:val="es-PR" w:eastAsia="es-CR"/>
        </w:rPr>
        <w:t xml:space="preserve"> abril y mayo de 2010, </w:t>
      </w:r>
      <w:r w:rsidRPr="007E666D">
        <w:rPr>
          <w:rFonts w:ascii="Verdana" w:hAnsi="Verdana" w:cs="Helvetica"/>
          <w:sz w:val="16"/>
          <w:szCs w:val="16"/>
          <w:lang w:val="es-PR" w:eastAsia="es-CR" w:bidi="en-US"/>
        </w:rPr>
        <w:t>se</w:t>
      </w:r>
      <w:r w:rsidRPr="007E666D">
        <w:rPr>
          <w:rFonts w:ascii="Verdana" w:hAnsi="Verdana" w:cs="Arial"/>
          <w:sz w:val="16"/>
          <w:szCs w:val="16"/>
          <w:lang w:val="es-PR" w:eastAsia="es-CR"/>
        </w:rPr>
        <w:t xml:space="preserve"> recomendó “la toma de muestra de ADN a los familiares directos” y “el registro [de su] perfil genético”, así como “de los elementos óseos individualizados para ser sometidos a análisis biomoleculares a nivel genético (ADN)”. En específico, en el Informe Antropológico Forense se indicó que del análisis realizado hasta ese momento, “en ningún caso es probable la presunta positiva </w:t>
      </w:r>
      <w:r w:rsidRPr="007E666D">
        <w:rPr>
          <w:rFonts w:ascii="Verdana" w:hAnsi="Verdana" w:cs="Helvetica"/>
          <w:sz w:val="16"/>
          <w:szCs w:val="16"/>
          <w:lang w:val="es-PR" w:eastAsia="es-CR" w:bidi="en-US"/>
        </w:rPr>
        <w:t>identificación</w:t>
      </w:r>
      <w:r w:rsidRPr="007E666D">
        <w:rPr>
          <w:rFonts w:ascii="Verdana" w:hAnsi="Verdana" w:cs="Arial"/>
          <w:sz w:val="16"/>
          <w:szCs w:val="16"/>
          <w:lang w:val="es-PR" w:eastAsia="es-CR"/>
        </w:rPr>
        <w:t xml:space="preserve">”, según lo sustentaba “[e]l uso y la aplicación de métodos y técnicas propias de la antropología y odontología forense” y, por tanto, se sugirió el “análisis biomoleculares a nivel genético (ADN)”. </w:t>
      </w:r>
      <w:r w:rsidRPr="007E666D">
        <w:rPr>
          <w:rFonts w:ascii="Verdana" w:hAnsi="Verdana"/>
          <w:i/>
          <w:sz w:val="16"/>
          <w:szCs w:val="16"/>
          <w:lang w:val="es-PR"/>
        </w:rPr>
        <w:t>Cfr.</w:t>
      </w:r>
      <w:r w:rsidRPr="007E666D">
        <w:rPr>
          <w:rFonts w:ascii="Verdana" w:hAnsi="Verdana"/>
          <w:sz w:val="16"/>
          <w:szCs w:val="16"/>
          <w:lang w:val="es-PR"/>
        </w:rPr>
        <w:t xml:space="preserve"> Informe Pericial del Laboratorio de Investigaciones Forenses No. 018 de diligencias de 18 y 19 de abril de 2010 (expediente de prueba, folios 4340 y 4352); </w:t>
      </w:r>
      <w:r w:rsidRPr="007E666D">
        <w:rPr>
          <w:rFonts w:ascii="Verdana" w:hAnsi="Verdana" w:cs="Arial"/>
          <w:sz w:val="16"/>
          <w:szCs w:val="16"/>
          <w:lang w:val="es-PR"/>
        </w:rPr>
        <w:t xml:space="preserve">Informe Antropológico Forense, Caso Mina </w:t>
      </w:r>
      <w:r w:rsidRPr="007E666D">
        <w:rPr>
          <w:rFonts w:ascii="Verdana" w:hAnsi="Verdana"/>
          <w:sz w:val="16"/>
          <w:szCs w:val="16"/>
          <w:lang w:val="es-PR"/>
        </w:rPr>
        <w:t>“Misteriosa” o “Vallarón”</w:t>
      </w:r>
      <w:r w:rsidRPr="007E666D">
        <w:rPr>
          <w:rFonts w:ascii="Verdana" w:hAnsi="Verdana" w:cs="Arial"/>
          <w:sz w:val="16"/>
          <w:szCs w:val="16"/>
          <w:lang w:val="es-PR"/>
        </w:rPr>
        <w:t>, 2010</w:t>
      </w:r>
      <w:r w:rsidRPr="007E666D">
        <w:rPr>
          <w:rFonts w:ascii="Verdana" w:hAnsi="Verdana"/>
          <w:sz w:val="16"/>
          <w:szCs w:val="16"/>
          <w:lang w:val="es-PR"/>
        </w:rPr>
        <w:t xml:space="preserve"> (expediente de prueba, folios 4256 a 4307), e</w:t>
      </w:r>
      <w:r w:rsidRPr="007E666D">
        <w:rPr>
          <w:rFonts w:ascii="Verdana" w:hAnsi="Verdana" w:cs="Arial"/>
          <w:sz w:val="16"/>
          <w:szCs w:val="16"/>
          <w:lang w:val="es-PR"/>
        </w:rPr>
        <w:t xml:space="preserve"> Informe Pericial Odontológico sobre las piezas dentarias recuperadas en la mina </w:t>
      </w:r>
      <w:r w:rsidRPr="007E666D">
        <w:rPr>
          <w:rFonts w:ascii="Verdana" w:hAnsi="Verdana"/>
          <w:sz w:val="16"/>
          <w:szCs w:val="16"/>
          <w:lang w:val="es-PR"/>
        </w:rPr>
        <w:t>“Misteriosa” o “Vallarón”</w:t>
      </w:r>
      <w:r w:rsidRPr="007E666D">
        <w:rPr>
          <w:rFonts w:ascii="Verdana" w:hAnsi="Verdana" w:cs="Arial"/>
          <w:sz w:val="16"/>
          <w:szCs w:val="16"/>
          <w:lang w:val="es-PR"/>
        </w:rPr>
        <w:t xml:space="preserve">, 2010 </w:t>
      </w:r>
      <w:r w:rsidRPr="007E666D">
        <w:rPr>
          <w:rFonts w:ascii="Verdana" w:hAnsi="Verdana"/>
          <w:sz w:val="16"/>
          <w:szCs w:val="16"/>
          <w:lang w:val="es-PR"/>
        </w:rPr>
        <w:t>(expediente de prueba, folios 4308 a 4323).</w:t>
      </w:r>
    </w:p>
  </w:footnote>
  <w:footnote w:id="160">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Oficio de la Subgerencia de Criminalística del Instituto de Medicina Legal, Ministerio Público, de 20 de marzo de 2014 (expediente de prueba, folios 4624 y 4625); Resultados correspondientes al caso Mina Misteriosa, prueba de ADN, Ministerio Público de 24 de octubre de 2014 (expediente de prueba, folios 5582 a 5596), y Memorándum de 28 de mayo de 2013 del Laboratorio de Biología Molecular y Genética del Ministerio Público (expediente de prueba, folios 5599 y 5600).</w:t>
      </w:r>
    </w:p>
  </w:footnote>
  <w:footnote w:id="161">
    <w:p w:rsidR="00D57F75" w:rsidRPr="007E666D" w:rsidRDefault="00D57F75" w:rsidP="00106A1E">
      <w:pPr>
        <w:pStyle w:val="FootnoteText"/>
        <w:tabs>
          <w:tab w:val="left" w:pos="720"/>
        </w:tabs>
        <w:contextualSpacing/>
        <w:jc w:val="both"/>
        <w:rPr>
          <w:rFonts w:ascii="Verdana" w:hAnsi="Verdana" w:cs="Arial"/>
          <w:sz w:val="16"/>
          <w:szCs w:val="16"/>
          <w:lang w:val="es-PR" w:eastAsia="es-C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Resultados correspondientes al caso Mina Misteriosa, prueba de ADN, Ministerio Público de 24 de octubre de 2012 (expediente de prueba, folios 5582 a 5596)</w:t>
      </w:r>
      <w:r w:rsidRPr="007E666D">
        <w:rPr>
          <w:rFonts w:ascii="Verdana" w:hAnsi="Verdana" w:cs="Arial"/>
          <w:sz w:val="16"/>
          <w:szCs w:val="16"/>
          <w:lang w:val="es-PR"/>
        </w:rPr>
        <w:t xml:space="preserve">. </w:t>
      </w:r>
    </w:p>
  </w:footnote>
  <w:footnote w:id="162">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Oficio del Laboratorio de Biología Molecular y de Genética del Instituto de Medicina Legal de 19 de febrero de 2015 (</w:t>
      </w:r>
      <w:r w:rsidRPr="007E666D">
        <w:rPr>
          <w:rFonts w:ascii="Verdana" w:hAnsi="Verdana"/>
          <w:sz w:val="16"/>
          <w:szCs w:val="16"/>
          <w:lang w:val="es-PR"/>
        </w:rPr>
        <w:t>expediente de prueba, folios</w:t>
      </w:r>
      <w:r w:rsidRPr="007E666D">
        <w:rPr>
          <w:rFonts w:ascii="Verdana" w:hAnsi="Verdana" w:cs="Arial"/>
          <w:sz w:val="16"/>
          <w:szCs w:val="16"/>
          <w:lang w:val="es-PR"/>
        </w:rPr>
        <w:t xml:space="preserve"> 5513 y 5514).</w:t>
      </w:r>
    </w:p>
  </w:footnote>
  <w:footnote w:id="163">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Oficio del Laboratorio de Biología Molecular y de Genética del Instituto de Medicina Legal de 19 de febrero de 2015 (</w:t>
      </w:r>
      <w:r w:rsidRPr="007E666D">
        <w:rPr>
          <w:rFonts w:ascii="Verdana" w:hAnsi="Verdana"/>
          <w:sz w:val="16"/>
          <w:szCs w:val="16"/>
          <w:lang w:val="es-PR"/>
        </w:rPr>
        <w:t>expediente de prueba, folios</w:t>
      </w:r>
      <w:r w:rsidRPr="007E666D">
        <w:rPr>
          <w:rFonts w:ascii="Verdana" w:hAnsi="Verdana" w:cs="Arial"/>
          <w:sz w:val="16"/>
          <w:szCs w:val="16"/>
          <w:lang w:val="es-PR"/>
        </w:rPr>
        <w:t xml:space="preserve"> 5510 y 5515).</w:t>
      </w:r>
    </w:p>
  </w:footnote>
  <w:footnote w:id="164">
    <w:p w:rsidR="00D57F75" w:rsidRPr="007E666D" w:rsidRDefault="00D57F75" w:rsidP="00106A1E">
      <w:pPr>
        <w:pStyle w:val="FootnoteText"/>
        <w:tabs>
          <w:tab w:val="left" w:pos="450"/>
        </w:tabs>
        <w:contextualSpacing/>
        <w:jc w:val="both"/>
        <w:rPr>
          <w:rFonts w:ascii="Verdana" w:hAnsi="Verdana"/>
          <w:spacing w:val="-4"/>
          <w:sz w:val="16"/>
          <w:szCs w:val="16"/>
          <w:lang w:val="es-PR"/>
        </w:rPr>
      </w:pPr>
      <w:r w:rsidRPr="007E666D">
        <w:rPr>
          <w:rStyle w:val="FootnoteReference"/>
          <w:rFonts w:eastAsia="Times"/>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El artículo 3 de la Convención Americana establece que: “[t]</w:t>
      </w:r>
      <w:r w:rsidRPr="007E666D">
        <w:rPr>
          <w:rStyle w:val="apple-style-span"/>
          <w:rFonts w:ascii="Verdana" w:hAnsi="Verdana"/>
          <w:spacing w:val="-4"/>
          <w:sz w:val="16"/>
          <w:szCs w:val="16"/>
          <w:lang w:val="es-PR"/>
        </w:rPr>
        <w:t>oda persona tiene derecho al reconocimiento de su personalidad jurídica”.</w:t>
      </w:r>
    </w:p>
  </w:footnote>
  <w:footnote w:id="165">
    <w:p w:rsidR="00D57F75" w:rsidRPr="007E666D" w:rsidRDefault="00D57F75" w:rsidP="00106A1E">
      <w:pPr>
        <w:pStyle w:val="FootnoteText"/>
        <w:tabs>
          <w:tab w:val="left" w:pos="450"/>
        </w:tabs>
        <w:contextualSpacing/>
        <w:jc w:val="both"/>
        <w:rPr>
          <w:rFonts w:ascii="Verdana" w:hAnsi="Verdana" w:cs="Tahoma"/>
          <w:spacing w:val="-4"/>
          <w:sz w:val="16"/>
          <w:szCs w:val="16"/>
          <w:lang w:val="es-PR"/>
        </w:rPr>
      </w:pPr>
      <w:r w:rsidRPr="007E666D">
        <w:rPr>
          <w:rStyle w:val="FootnoteReference"/>
          <w:rFonts w:eastAsia="Times"/>
          <w:sz w:val="16"/>
          <w:lang w:val="es-PR"/>
        </w:rPr>
        <w:footnoteRef/>
      </w:r>
      <w:r w:rsidRPr="007E666D">
        <w:rPr>
          <w:rFonts w:ascii="Verdana" w:hAnsi="Verdana"/>
          <w:spacing w:val="-4"/>
          <w:sz w:val="16"/>
          <w:szCs w:val="16"/>
          <w:lang w:val="es-PR"/>
        </w:rPr>
        <w:tab/>
        <w:t>El artículo 4.1 de la Convención Americana establece que: “</w:t>
      </w:r>
      <w:r w:rsidRPr="007E666D">
        <w:rPr>
          <w:rStyle w:val="apple-style-span"/>
          <w:rFonts w:ascii="Verdana" w:hAnsi="Verdana"/>
          <w:spacing w:val="-4"/>
          <w:sz w:val="16"/>
          <w:szCs w:val="16"/>
          <w:lang w:val="es-PR"/>
        </w:rPr>
        <w:t>[t]oda persona tiene derecho a que se respete su vida. Este derecho estará protegido por la ley y, en general, a partir del momento de la concepción. Nadie puede ser privado de la vida arbitrariamente”.</w:t>
      </w:r>
    </w:p>
  </w:footnote>
  <w:footnote w:id="166">
    <w:p w:rsidR="00D57F75" w:rsidRPr="00D57F75" w:rsidRDefault="00D57F75" w:rsidP="00400B40">
      <w:pPr>
        <w:pStyle w:val="NormalWeb"/>
        <w:rPr>
          <w:rFonts w:cs="Tahoma"/>
          <w:lang w:val="es-ES"/>
        </w:rPr>
      </w:pPr>
      <w:r w:rsidRPr="007E666D">
        <w:rPr>
          <w:rStyle w:val="FootnoteReference"/>
          <w:rFonts w:eastAsia="Times"/>
          <w:b/>
          <w:sz w:val="16"/>
          <w:lang w:val="es-PR"/>
        </w:rPr>
        <w:footnoteRef/>
      </w:r>
      <w:r w:rsidRPr="00D57F75">
        <w:rPr>
          <w:rFonts w:cs="Tahoma"/>
          <w:lang w:val="es-ES"/>
        </w:rPr>
        <w:tab/>
      </w:r>
      <w:r w:rsidRPr="00D57F75">
        <w:rPr>
          <w:lang w:val="es-ES"/>
        </w:rPr>
        <w:t>El artículo 5 de la Convención Americana establece, en lo pertinente, que: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67">
    <w:p w:rsidR="00D57F75" w:rsidRPr="00D57F75" w:rsidRDefault="00D57F75" w:rsidP="00400B40">
      <w:pPr>
        <w:pStyle w:val="NormalWeb"/>
        <w:rPr>
          <w:lang w:val="es-ES"/>
        </w:rPr>
      </w:pPr>
      <w:r w:rsidRPr="007E666D">
        <w:rPr>
          <w:rStyle w:val="FootnoteReference"/>
          <w:rFonts w:eastAsia="Times"/>
          <w:b/>
          <w:sz w:val="16"/>
          <w:lang w:val="es-PR"/>
        </w:rPr>
        <w:footnoteRef/>
      </w:r>
      <w:r w:rsidRPr="00D57F75">
        <w:rPr>
          <w:lang w:val="es-ES"/>
        </w:rPr>
        <w:t xml:space="preserve"> </w:t>
      </w:r>
      <w:r w:rsidRPr="00D57F75">
        <w:rPr>
          <w:lang w:val="es-ES"/>
        </w:rPr>
        <w:tab/>
        <w:t>El artículo 7.1 de la Convención Americana establece que: “[t]oda persona tiene derecho a la libertad y a la seguridad personales”.</w:t>
      </w:r>
    </w:p>
  </w:footnote>
  <w:footnote w:id="168">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Verdana"/>
          <w:spacing w:val="-4"/>
          <w:sz w:val="16"/>
          <w:szCs w:val="16"/>
          <w:lang w:val="es-PR"/>
        </w:rPr>
        <w:t>El artículo 11 de la Convención Americana establece que: “</w:t>
      </w:r>
      <w:r w:rsidRPr="007E666D">
        <w:rPr>
          <w:rFonts w:ascii="Verdana" w:hAnsi="Verdana" w:cs="Tahoma"/>
          <w:color w:val="000000"/>
          <w:sz w:val="16"/>
          <w:szCs w:val="16"/>
          <w:lang w:val="es-PR"/>
        </w:rPr>
        <w:t>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w:t>
      </w:r>
    </w:p>
  </w:footnote>
  <w:footnote w:id="169">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Verdana"/>
          <w:spacing w:val="-4"/>
          <w:sz w:val="16"/>
          <w:szCs w:val="16"/>
          <w:lang w:val="es-PR"/>
        </w:rPr>
        <w:t>El artículo 17.1 de la Convención Americana establece que: “</w:t>
      </w:r>
      <w:r w:rsidRPr="007E666D">
        <w:rPr>
          <w:rFonts w:ascii="Verdana" w:hAnsi="Verdana" w:cs="Tahoma"/>
          <w:color w:val="000000"/>
          <w:sz w:val="16"/>
          <w:szCs w:val="16"/>
          <w:lang w:val="es-PR"/>
        </w:rPr>
        <w:t>1. La familia es el elemento natural y fundamental de la sociedad y debe ser protegida por la sociedad y el Estado”.</w:t>
      </w:r>
    </w:p>
  </w:footnote>
  <w:footnote w:id="170">
    <w:p w:rsidR="00D57F75" w:rsidRPr="007E666D" w:rsidRDefault="00D57F75" w:rsidP="00106A1E">
      <w:pPr>
        <w:pStyle w:val="FootnoteText"/>
        <w:tabs>
          <w:tab w:val="left" w:pos="450"/>
        </w:tabs>
        <w:contextualSpacing/>
        <w:jc w:val="both"/>
        <w:rPr>
          <w:rFonts w:ascii="Verdana" w:hAnsi="Verdana" w:cs="Verdana"/>
          <w:spacing w:val="-4"/>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Verdana"/>
          <w:spacing w:val="-4"/>
          <w:sz w:val="16"/>
          <w:szCs w:val="16"/>
          <w:lang w:val="es-PR"/>
        </w:rPr>
        <w:t>El artículo 19 de la Convención Americana establece que: “</w:t>
      </w:r>
      <w:r w:rsidRPr="007E666D">
        <w:rPr>
          <w:rFonts w:ascii="Verdana" w:hAnsi="Verdana" w:cs="Tahoma"/>
          <w:color w:val="000000"/>
          <w:sz w:val="16"/>
          <w:szCs w:val="16"/>
          <w:lang w:val="es-PR"/>
        </w:rPr>
        <w:t>[t]odo niño tiene derecho a las medidas de protección que su condición de menor requieren por parte de su familia, de la sociedad y del Estado”.</w:t>
      </w:r>
    </w:p>
  </w:footnote>
  <w:footnote w:id="171">
    <w:p w:rsidR="00D57F75" w:rsidRPr="007E666D" w:rsidRDefault="00D57F75" w:rsidP="00106A1E">
      <w:pPr>
        <w:tabs>
          <w:tab w:val="left" w:pos="450"/>
          <w:tab w:val="left" w:pos="720"/>
        </w:tabs>
        <w:autoSpaceDE w:val="0"/>
        <w:autoSpaceDN w:val="0"/>
        <w:adjustRightInd w:val="0"/>
        <w:spacing w:after="0" w:line="240" w:lineRule="auto"/>
        <w:contextualSpacing/>
        <w:jc w:val="both"/>
        <w:rPr>
          <w:rFonts w:ascii="Verdana" w:hAnsi="Verdana"/>
          <w:spacing w:val="-4"/>
          <w:sz w:val="16"/>
          <w:szCs w:val="16"/>
          <w:lang w:val="es-PR"/>
        </w:rPr>
      </w:pPr>
      <w:r w:rsidRPr="007E666D">
        <w:rPr>
          <w:rStyle w:val="FootnoteReference"/>
          <w:rFonts w:eastAsia="Calibri"/>
          <w:sz w:val="16"/>
          <w:lang w:val="es-PR"/>
        </w:rPr>
        <w:footnoteRef/>
      </w:r>
      <w:r w:rsidRPr="007E666D">
        <w:rPr>
          <w:rFonts w:ascii="Verdana" w:hAnsi="Verdana"/>
          <w:spacing w:val="-4"/>
          <w:sz w:val="16"/>
          <w:szCs w:val="16"/>
          <w:lang w:val="es-PR"/>
        </w:rPr>
        <w:tab/>
        <w:t>El artículo 1.1 de la Convención Americana establece que: “[l]os Estados Partes en [la]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72">
    <w:p w:rsidR="00D57F75" w:rsidRPr="007E666D" w:rsidRDefault="00D57F75" w:rsidP="00106A1E">
      <w:pPr>
        <w:autoSpaceDE w:val="0"/>
        <w:autoSpaceDN w:val="0"/>
        <w:adjustRightInd w:val="0"/>
        <w:spacing w:after="0" w:line="240" w:lineRule="auto"/>
        <w:jc w:val="both"/>
        <w:rPr>
          <w:rFonts w:ascii="Verdana" w:hAnsi="Verdana" w:cs="Arial"/>
          <w:sz w:val="16"/>
          <w:szCs w:val="16"/>
          <w:lang w:val="es-PR"/>
        </w:rPr>
      </w:pPr>
      <w:r w:rsidRPr="007E666D">
        <w:rPr>
          <w:rStyle w:val="FootnoteReference"/>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Helvetica"/>
          <w:sz w:val="16"/>
          <w:szCs w:val="16"/>
          <w:lang w:val="es-PR" w:bidi="en-US"/>
        </w:rPr>
        <w:t xml:space="preserve">Al respecto, la Comisión Interamericana se refirió con detalle a los casos </w:t>
      </w:r>
      <w:r w:rsidRPr="007E666D">
        <w:rPr>
          <w:rFonts w:ascii="Verdana" w:hAnsi="Verdana" w:cs="Helvetica"/>
          <w:i/>
          <w:sz w:val="16"/>
          <w:szCs w:val="16"/>
          <w:lang w:val="es-PR" w:bidi="en-US"/>
        </w:rPr>
        <w:t>Rodríguez Vera y otros (Palacio de Justicia</w:t>
      </w:r>
      <w:r w:rsidRPr="007E666D">
        <w:rPr>
          <w:rFonts w:ascii="Verdana" w:hAnsi="Verdana" w:cs="Arial"/>
          <w:i/>
          <w:sz w:val="16"/>
          <w:szCs w:val="16"/>
          <w:lang w:val="es-PR" w:bidi="en-US"/>
        </w:rPr>
        <w:t>) Vs. Colombia</w:t>
      </w:r>
      <w:r w:rsidRPr="007E666D">
        <w:rPr>
          <w:rFonts w:ascii="Verdana" w:hAnsi="Verdana" w:cs="Arial"/>
          <w:sz w:val="16"/>
          <w:szCs w:val="16"/>
          <w:lang w:val="es-PR" w:bidi="en-US"/>
        </w:rPr>
        <w:t xml:space="preserve">, </w:t>
      </w:r>
      <w:r w:rsidRPr="007E666D">
        <w:rPr>
          <w:rFonts w:ascii="Verdana" w:hAnsi="Verdana" w:cs="Arial"/>
          <w:i/>
          <w:sz w:val="16"/>
          <w:szCs w:val="16"/>
          <w:lang w:val="es-PR" w:bidi="en-US"/>
        </w:rPr>
        <w:t>Durand y Ugarte Vs. Perú, 19 Comerciantes Vs. Colombia, Masacre de Mapiripán Vs. Colombia e Ibsen Cárdenas y Ibsen Peña Vs. Bolivia</w:t>
      </w:r>
      <w:r w:rsidRPr="007E666D">
        <w:rPr>
          <w:rFonts w:ascii="Verdana" w:hAnsi="Verdana" w:cs="Arial"/>
          <w:sz w:val="16"/>
          <w:szCs w:val="16"/>
          <w:lang w:val="es-PR" w:bidi="en-US"/>
        </w:rPr>
        <w:t>.</w:t>
      </w:r>
    </w:p>
  </w:footnote>
  <w:footnote w:id="173">
    <w:p w:rsidR="00D57F75" w:rsidRPr="007E666D" w:rsidRDefault="00D57F75" w:rsidP="00106A1E">
      <w:pPr>
        <w:pStyle w:val="FootnoteText"/>
        <w:contextualSpacing/>
        <w:jc w:val="both"/>
        <w:rPr>
          <w:rFonts w:ascii="Verdana" w:hAnsi="Verdana" w:cs="Arial"/>
          <w:sz w:val="16"/>
          <w:szCs w:val="16"/>
          <w:lang w:val="es-PR"/>
        </w:rPr>
      </w:pPr>
      <w:r w:rsidRPr="007E666D">
        <w:rPr>
          <w:rStyle w:val="FootnoteReference"/>
          <w:rFonts w:eastAsiaTheme="minorHAnsi" w:cs="Arial"/>
          <w:sz w:val="16"/>
          <w:lang w:val="es-PR"/>
        </w:rPr>
        <w:footnoteRef/>
      </w:r>
      <w:r w:rsidRPr="007E666D">
        <w:rPr>
          <w:rFonts w:ascii="Verdana" w:hAnsi="Verdana" w:cs="Arial"/>
          <w:sz w:val="16"/>
          <w:szCs w:val="16"/>
          <w:lang w:val="es-PR"/>
        </w:rPr>
        <w:t xml:space="preserve"> </w:t>
      </w:r>
      <w:r w:rsidRPr="007E666D">
        <w:rPr>
          <w:rFonts w:ascii="Verdana" w:hAnsi="Verdana" w:cs="Arial"/>
          <w:sz w:val="16"/>
          <w:szCs w:val="16"/>
          <w:lang w:val="es-PR"/>
        </w:rPr>
        <w:tab/>
      </w:r>
      <w:r w:rsidRPr="007E666D">
        <w:rPr>
          <w:rFonts w:ascii="Verdana" w:eastAsia="Calibri" w:hAnsi="Verdana" w:cs="Arial"/>
          <w:sz w:val="16"/>
          <w:szCs w:val="16"/>
          <w:lang w:val="es-PR"/>
        </w:rPr>
        <w:t xml:space="preserve">Asimismo, la Comisión se refirió a determinadas disposiciones de la Convención sobre los Derechos del Niño, el artículo 3 común de los Convenios de Ginebra, el artículo 13 del Protocolo Adicional II a estos y a Resoluciones del Consejo de Seguridad de las Naciones Unidas que serían aplicables a la situación de las </w:t>
      </w:r>
      <w:r w:rsidRPr="007E666D">
        <w:rPr>
          <w:rFonts w:ascii="Verdana" w:hAnsi="Verdana"/>
          <w:sz w:val="16"/>
          <w:szCs w:val="16"/>
          <w:lang w:val="es-PR"/>
        </w:rPr>
        <w:t>niñas y niños</w:t>
      </w:r>
      <w:r w:rsidRPr="007E666D">
        <w:rPr>
          <w:rFonts w:ascii="Verdana" w:eastAsia="Calibri" w:hAnsi="Verdana" w:cs="Arial"/>
          <w:sz w:val="16"/>
          <w:szCs w:val="16"/>
          <w:lang w:val="es-PR"/>
        </w:rPr>
        <w:t xml:space="preserve"> víctimas del presente caso.</w:t>
      </w:r>
    </w:p>
  </w:footnote>
  <w:footnote w:id="174">
    <w:p w:rsidR="00D57F75" w:rsidRPr="007E666D" w:rsidRDefault="00D57F75" w:rsidP="00106A1E">
      <w:pPr>
        <w:pStyle w:val="FootnoteText"/>
        <w:contextualSpacing/>
        <w:jc w:val="both"/>
        <w:rPr>
          <w:rFonts w:ascii="Verdana" w:eastAsia="Calibri" w:hAnsi="Verdana" w:cs="Arial"/>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eastAsia="Calibri" w:hAnsi="Verdana" w:cs="Arial"/>
          <w:sz w:val="16"/>
          <w:szCs w:val="16"/>
          <w:lang w:val="es-PR"/>
        </w:rPr>
        <w:t xml:space="preserve">Al respecto, los representantes alegaron que en el presente caso los artículos 1 y 38 de la Convención sobre los Derechos del Niño, los Convenios de Ginebra y el Protocolo Adicional II a estos deben servir para fijar el contenido y los alcances de la protección requerida por el artículo 19 de la CADH. </w:t>
      </w:r>
    </w:p>
  </w:footnote>
  <w:footnote w:id="175">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 xml:space="preserve">Sentencia de la Sala Penal Nacional de 9 de febrero de 2012 (expediente de prueba, folios 4512 y 4513). </w:t>
      </w:r>
    </w:p>
  </w:footnote>
  <w:footnote w:id="176">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MS Mincho"/>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Caso Acevedo Jaramillo y otros Vs. Perú. Interpretación de la Sentencia de Excepciones Preliminares, Fondo, Reparaciones y Costas</w:t>
      </w:r>
      <w:r w:rsidRPr="007E666D">
        <w:rPr>
          <w:rFonts w:ascii="Verdana" w:hAnsi="Verdana"/>
          <w:sz w:val="16"/>
          <w:szCs w:val="16"/>
          <w:lang w:val="es-PR"/>
        </w:rPr>
        <w:t xml:space="preserve">. Sentencia de 24 de noviembre de 2006. Serie C No. 157, párr. 66, y </w:t>
      </w:r>
      <w:r w:rsidRPr="007E666D">
        <w:rPr>
          <w:rStyle w:val="Strong"/>
          <w:rFonts w:ascii="Verdana" w:hAnsi="Verdana"/>
          <w:b w:val="0"/>
          <w:i/>
          <w:sz w:val="16"/>
          <w:szCs w:val="16"/>
          <w:lang w:val="es-PR"/>
        </w:rPr>
        <w:t>Caso Tarazona Arrieta y Otros Vs. Perú, supra,</w:t>
      </w:r>
      <w:r w:rsidRPr="007E666D">
        <w:rPr>
          <w:rFonts w:ascii="Verdana" w:hAnsi="Verdana"/>
          <w:sz w:val="16"/>
          <w:szCs w:val="16"/>
          <w:lang w:val="es-PR"/>
        </w:rPr>
        <w:t xml:space="preserve"> párr. 137. </w:t>
      </w:r>
    </w:p>
  </w:footnote>
  <w:footnote w:id="177">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cs="Arial"/>
          <w:i/>
          <w:sz w:val="16"/>
          <w:szCs w:val="16"/>
          <w:lang w:val="es-PR"/>
        </w:rPr>
        <w:t xml:space="preserve">Tarazona Arrieta y Otros Vs. Perú, supra, </w:t>
      </w:r>
      <w:r w:rsidRPr="007E666D">
        <w:rPr>
          <w:rFonts w:ascii="Verdana" w:hAnsi="Verdana" w:cs="Arial"/>
          <w:sz w:val="16"/>
          <w:szCs w:val="16"/>
          <w:lang w:val="es-PR"/>
        </w:rPr>
        <w:t xml:space="preserve">párrs. 135 a 141. La Corte encontró que “[…] se desprende de la prueba contenida en el expediente que los órganos de administración de justicia penal peruanos investigaron de manera efectiva, procesaron y condenaron al responsable de lo acontecido, y repararon pecuniariamente a los familiares de Zulema Tarazona Arrieta y Norma Pérez Chávez, así como a Luis Bejarano Laura”. </w:t>
      </w:r>
    </w:p>
  </w:footnote>
  <w:footnote w:id="178">
    <w:p w:rsidR="00D57F75" w:rsidRPr="007E666D" w:rsidRDefault="00D57F75" w:rsidP="00106A1E">
      <w:pPr>
        <w:pStyle w:val="FootnoteText"/>
        <w:tabs>
          <w:tab w:val="left" w:pos="720"/>
        </w:tabs>
        <w:contextualSpacing/>
        <w:jc w:val="both"/>
        <w:rPr>
          <w:rFonts w:ascii="Verdana" w:eastAsia="Calibri"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Style w:val="Strong"/>
          <w:rFonts w:ascii="Verdana" w:hAnsi="Verdana"/>
          <w:b w:val="0"/>
          <w:i/>
          <w:sz w:val="16"/>
          <w:szCs w:val="16"/>
          <w:lang w:val="es-PR"/>
        </w:rPr>
        <w:t>Caso J. Vs. Perú. Interpretación de la Sentencia de Excepción Preliminar, Fondo, Reparaciones y Costas</w:t>
      </w:r>
      <w:r w:rsidRPr="007E666D">
        <w:rPr>
          <w:rStyle w:val="Strong"/>
          <w:rFonts w:ascii="Verdana" w:hAnsi="Verdana"/>
          <w:b w:val="0"/>
          <w:sz w:val="16"/>
          <w:szCs w:val="16"/>
          <w:lang w:val="es-PR"/>
        </w:rPr>
        <w:t>. Sentencia de 20 de noviembre de 2014. Serie C No. 291</w:t>
      </w:r>
      <w:r w:rsidRPr="007E666D">
        <w:rPr>
          <w:rFonts w:ascii="Verdana" w:hAnsi="Verdana"/>
          <w:i/>
          <w:sz w:val="16"/>
          <w:szCs w:val="16"/>
          <w:lang w:val="es-PR"/>
        </w:rPr>
        <w:t>,</w:t>
      </w:r>
      <w:r w:rsidRPr="007E666D">
        <w:rPr>
          <w:rFonts w:ascii="Verdana" w:hAnsi="Verdana"/>
          <w:sz w:val="16"/>
          <w:szCs w:val="16"/>
          <w:lang w:val="es-PR"/>
        </w:rPr>
        <w:t xml:space="preserve"> párr. 20.</w:t>
      </w:r>
    </w:p>
  </w:footnote>
  <w:footnote w:id="179">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Style w:val="Strong"/>
          <w:rFonts w:ascii="Verdana" w:hAnsi="Verdana"/>
          <w:b w:val="0"/>
          <w:i/>
          <w:sz w:val="16"/>
          <w:szCs w:val="16"/>
          <w:lang w:val="es-PR"/>
        </w:rPr>
        <w:t>Caso</w:t>
      </w:r>
      <w:r w:rsidRPr="007E666D">
        <w:rPr>
          <w:rFonts w:ascii="Verdana" w:hAnsi="Verdana"/>
          <w:i/>
          <w:sz w:val="16"/>
          <w:szCs w:val="16"/>
          <w:lang w:val="es-PR"/>
        </w:rPr>
        <w:t xml:space="preserve"> J. Vs. Perú, supra, </w:t>
      </w:r>
      <w:r w:rsidRPr="007E666D">
        <w:rPr>
          <w:rFonts w:ascii="Verdana" w:hAnsi="Verdana"/>
          <w:sz w:val="16"/>
          <w:szCs w:val="16"/>
          <w:lang w:val="es-PR"/>
        </w:rPr>
        <w:t>párrs. 353 y 366</w:t>
      </w:r>
      <w:r w:rsidRPr="007E666D">
        <w:rPr>
          <w:rFonts w:ascii="Verdana" w:hAnsi="Verdana"/>
          <w:bCs/>
          <w:sz w:val="16"/>
          <w:szCs w:val="16"/>
          <w:lang w:val="es-PR"/>
        </w:rPr>
        <w:t xml:space="preserve">. </w:t>
      </w:r>
    </w:p>
  </w:footnote>
  <w:footnote w:id="180">
    <w:p w:rsidR="00D57F75" w:rsidRPr="007E666D" w:rsidRDefault="00D57F75" w:rsidP="00106A1E">
      <w:pPr>
        <w:pStyle w:val="FootnoteText"/>
        <w:tabs>
          <w:tab w:val="left" w:pos="720"/>
        </w:tabs>
        <w:contextualSpacing/>
        <w:jc w:val="both"/>
        <w:rPr>
          <w:rFonts w:ascii="Verdana" w:hAnsi="Verdana"/>
          <w:spacing w:val="-4"/>
          <w:sz w:val="16"/>
          <w:szCs w:val="16"/>
          <w:lang w:val="es-PR"/>
        </w:rPr>
      </w:pPr>
      <w:r w:rsidRPr="007E666D">
        <w:rPr>
          <w:rStyle w:val="FootnoteReference"/>
          <w:rFonts w:eastAsia="Times"/>
          <w:sz w:val="16"/>
          <w:lang w:val="es-PR"/>
        </w:rPr>
        <w:footnoteRef/>
      </w:r>
      <w:r w:rsidRPr="007E666D">
        <w:rPr>
          <w:rFonts w:ascii="Verdana" w:hAnsi="Verdana"/>
          <w:spacing w:val="-4"/>
          <w:sz w:val="16"/>
          <w:szCs w:val="16"/>
          <w:lang w:val="es-PR"/>
        </w:rPr>
        <w:tab/>
      </w:r>
      <w:r w:rsidRPr="007E666D">
        <w:rPr>
          <w:rFonts w:ascii="Verdana" w:hAnsi="Verdana"/>
          <w:i/>
          <w:spacing w:val="-4"/>
          <w:sz w:val="16"/>
          <w:szCs w:val="16"/>
          <w:lang w:val="es-PR"/>
        </w:rPr>
        <w:t>Cfr. Caso Gómez Palomino Vs. Perú. Fondo, Reparaciones y Costas</w:t>
      </w:r>
      <w:r w:rsidRPr="007E666D">
        <w:rPr>
          <w:rFonts w:ascii="Verdana" w:hAnsi="Verdana"/>
          <w:spacing w:val="-4"/>
          <w:sz w:val="16"/>
          <w:szCs w:val="16"/>
          <w:lang w:val="es-PR"/>
        </w:rPr>
        <w:t>. Sentencia de 22 de noviembre de 2005. Serie C No. 136, párr. 97, y</w:t>
      </w:r>
      <w:r w:rsidRPr="007E666D">
        <w:rPr>
          <w:rStyle w:val="Heading1Char"/>
          <w:rFonts w:eastAsiaTheme="minorHAnsi"/>
          <w:lang w:val="es-PR"/>
        </w:rPr>
        <w:t xml:space="preserve"> </w:t>
      </w:r>
      <w:r w:rsidRPr="007E666D">
        <w:rPr>
          <w:rStyle w:val="Strong"/>
          <w:rFonts w:ascii="Verdana" w:hAnsi="Verdana"/>
          <w:b w:val="0"/>
          <w:i/>
          <w:sz w:val="16"/>
          <w:szCs w:val="16"/>
          <w:lang w:val="es-PR"/>
        </w:rPr>
        <w:t>Caso Rodríguez Vera y otros (Desaparecidos del Palacio de Justicia) Vs. Colombia, supra</w:t>
      </w:r>
      <w:r w:rsidRPr="007E666D">
        <w:rPr>
          <w:rStyle w:val="Strong"/>
          <w:rFonts w:ascii="Verdana" w:hAnsi="Verdana"/>
          <w:b w:val="0"/>
          <w:sz w:val="16"/>
          <w:szCs w:val="16"/>
          <w:lang w:val="es-PR"/>
        </w:rPr>
        <w:t>, párr. 226.</w:t>
      </w:r>
    </w:p>
  </w:footnote>
  <w:footnote w:id="181">
    <w:p w:rsidR="00D57F75" w:rsidRPr="007E666D" w:rsidRDefault="00D57F75" w:rsidP="00106A1E">
      <w:pPr>
        <w:pStyle w:val="FootnoteText"/>
        <w:tabs>
          <w:tab w:val="left" w:pos="450"/>
        </w:tabs>
        <w:contextualSpacing/>
        <w:jc w:val="both"/>
        <w:rPr>
          <w:rFonts w:ascii="Verdana" w:hAnsi="Verdana"/>
          <w:spacing w:val="-4"/>
          <w:sz w:val="16"/>
          <w:szCs w:val="16"/>
          <w:lang w:val="es-PR"/>
        </w:rPr>
      </w:pPr>
      <w:r w:rsidRPr="007E666D">
        <w:rPr>
          <w:rStyle w:val="FootnoteReference"/>
          <w:rFonts w:eastAsia="Calibr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Arial"/>
          <w:i/>
          <w:spacing w:val="-4"/>
          <w:sz w:val="16"/>
          <w:szCs w:val="16"/>
          <w:lang w:val="es-PR"/>
        </w:rPr>
        <w:t>Cfr.</w:t>
      </w:r>
      <w:r w:rsidRPr="007E666D">
        <w:rPr>
          <w:rFonts w:ascii="Verdana" w:hAnsi="Verdana" w:cs="Arial"/>
          <w:spacing w:val="-4"/>
          <w:sz w:val="16"/>
          <w:szCs w:val="16"/>
          <w:lang w:val="es-PR"/>
        </w:rPr>
        <w:t xml:space="preserve"> </w:t>
      </w:r>
      <w:r w:rsidRPr="007E666D">
        <w:rPr>
          <w:rFonts w:ascii="Verdana" w:hAnsi="Verdana" w:cs="Arial"/>
          <w:i/>
          <w:spacing w:val="-4"/>
          <w:sz w:val="16"/>
          <w:szCs w:val="16"/>
          <w:lang w:val="es-PR"/>
        </w:rPr>
        <w:t>inter alia</w:t>
      </w:r>
      <w:r w:rsidRPr="007E666D">
        <w:rPr>
          <w:rFonts w:ascii="Verdana" w:hAnsi="Verdana" w:cs="Arial"/>
          <w:spacing w:val="-4"/>
          <w:sz w:val="16"/>
          <w:szCs w:val="16"/>
          <w:lang w:val="es-PR"/>
        </w:rPr>
        <w:t xml:space="preserve">, </w:t>
      </w:r>
      <w:r w:rsidRPr="007E666D">
        <w:rPr>
          <w:rFonts w:ascii="Verdana" w:hAnsi="Verdana"/>
          <w:i/>
          <w:spacing w:val="-4"/>
          <w:sz w:val="16"/>
          <w:szCs w:val="16"/>
          <w:lang w:val="es-PR"/>
        </w:rPr>
        <w:t>Caso Velásquez Rodríguez Vs. Honduras. Fondo,</w:t>
      </w:r>
      <w:r w:rsidRPr="007E666D">
        <w:rPr>
          <w:rFonts w:ascii="Verdana" w:hAnsi="Verdana"/>
          <w:spacing w:val="-4"/>
          <w:sz w:val="16"/>
          <w:szCs w:val="16"/>
          <w:lang w:val="es-PR"/>
        </w:rPr>
        <w:t xml:space="preserve">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w:t>
      </w:r>
      <w:r w:rsidRPr="007E666D">
        <w:rPr>
          <w:rFonts w:ascii="Verdana" w:hAnsi="Verdana"/>
          <w:noProof/>
          <w:spacing w:val="-4"/>
          <w:sz w:val="16"/>
          <w:szCs w:val="16"/>
          <w:lang w:val="es-PR"/>
        </w:rPr>
        <w:t xml:space="preserve">párrs. 155 a 157, y </w:t>
      </w:r>
      <w:r w:rsidRPr="007E666D">
        <w:rPr>
          <w:rFonts w:ascii="Verdana" w:hAnsi="Verdana"/>
          <w:i/>
          <w:spacing w:val="-4"/>
          <w:sz w:val="16"/>
          <w:szCs w:val="16"/>
          <w:lang w:val="es-PR"/>
        </w:rPr>
        <w:t>Caso Osorio Rivera y Familiares Vs. Perú, supra</w:t>
      </w:r>
      <w:r w:rsidRPr="007E666D">
        <w:rPr>
          <w:rFonts w:ascii="Verdana" w:hAnsi="Verdana"/>
          <w:spacing w:val="-4"/>
          <w:sz w:val="16"/>
          <w:szCs w:val="16"/>
          <w:lang w:val="es-PR"/>
        </w:rPr>
        <w:t>, párr. 31.</w:t>
      </w:r>
    </w:p>
  </w:footnote>
  <w:footnote w:id="182">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Style w:val="Strong"/>
          <w:rFonts w:ascii="Verdana" w:hAnsi="Verdana"/>
          <w:b w:val="0"/>
          <w:i/>
          <w:color w:val="000000"/>
          <w:sz w:val="16"/>
          <w:szCs w:val="16"/>
          <w:shd w:val="clear" w:color="auto" w:fill="FFFFFF"/>
          <w:lang w:val="es-PR"/>
        </w:rPr>
        <w:t>Caso Radilla Pacheco Vs. México, supra</w:t>
      </w:r>
      <w:r w:rsidRPr="007E666D">
        <w:rPr>
          <w:rStyle w:val="Strong"/>
          <w:rFonts w:ascii="Verdana" w:hAnsi="Verdana"/>
          <w:b w:val="0"/>
          <w:color w:val="000000"/>
          <w:sz w:val="16"/>
          <w:szCs w:val="16"/>
          <w:shd w:val="clear" w:color="auto" w:fill="FFFFFF"/>
          <w:lang w:val="es-PR"/>
        </w:rPr>
        <w:t xml:space="preserve">, párr. 145, y </w:t>
      </w:r>
      <w:r w:rsidRPr="007E666D">
        <w:rPr>
          <w:rStyle w:val="Strong"/>
          <w:rFonts w:ascii="Verdana" w:hAnsi="Verdana"/>
          <w:b w:val="0"/>
          <w:i/>
          <w:color w:val="000000"/>
          <w:sz w:val="16"/>
          <w:szCs w:val="16"/>
          <w:shd w:val="clear" w:color="auto" w:fill="FFFFFF"/>
          <w:lang w:val="es-PR"/>
        </w:rPr>
        <w:t>Caso Osorio Rivera y Familiares Vs. Perú, supra,</w:t>
      </w:r>
      <w:r w:rsidRPr="007E666D">
        <w:rPr>
          <w:rStyle w:val="Strong"/>
          <w:rFonts w:ascii="Verdana" w:hAnsi="Verdana"/>
          <w:b w:val="0"/>
          <w:color w:val="000000"/>
          <w:sz w:val="16"/>
          <w:szCs w:val="16"/>
          <w:shd w:val="clear" w:color="auto" w:fill="FFFFFF"/>
          <w:lang w:val="es-PR"/>
        </w:rPr>
        <w:t xml:space="preserve"> párr. 115.</w:t>
      </w:r>
    </w:p>
  </w:footnote>
  <w:footnote w:id="183">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El Artículo II de la Convención Interamericana sobre Desaparición Forzada de Personas establece que: “se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p>
  </w:footnote>
  <w:footnote w:id="184">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Caso Anzualdo Castro Vs. Perú. Excepción Preliminar, Fondo, Reparaciones y Costas</w:t>
      </w:r>
      <w:r w:rsidRPr="007E666D">
        <w:rPr>
          <w:rFonts w:ascii="Verdana" w:hAnsi="Verdana"/>
          <w:i/>
          <w:spacing w:val="-4"/>
          <w:sz w:val="16"/>
          <w:szCs w:val="16"/>
          <w:lang w:val="es-PR"/>
        </w:rPr>
        <w:t>.</w:t>
      </w:r>
      <w:r w:rsidRPr="007E666D">
        <w:rPr>
          <w:rFonts w:ascii="Verdana" w:hAnsi="Verdana"/>
          <w:spacing w:val="-4"/>
          <w:sz w:val="16"/>
          <w:szCs w:val="16"/>
          <w:lang w:val="es-PR"/>
        </w:rPr>
        <w:t xml:space="preserve"> Sentencia de 22 de septiembre de 2009</w:t>
      </w:r>
      <w:r w:rsidRPr="007E666D">
        <w:rPr>
          <w:rFonts w:ascii="Verdana" w:hAnsi="Verdana"/>
          <w:sz w:val="16"/>
          <w:szCs w:val="16"/>
          <w:lang w:val="es-PR"/>
        </w:rPr>
        <w:t xml:space="preserve">, párr. 91, y </w:t>
      </w:r>
      <w:r w:rsidRPr="007E666D">
        <w:rPr>
          <w:rFonts w:ascii="Verdana" w:hAnsi="Verdana"/>
          <w:i/>
          <w:spacing w:val="-4"/>
          <w:sz w:val="16"/>
          <w:szCs w:val="16"/>
          <w:lang w:val="es-PR"/>
        </w:rPr>
        <w:t>Caso Osorio Rivera</w:t>
      </w:r>
      <w:r w:rsidRPr="007E666D">
        <w:rPr>
          <w:rFonts w:ascii="Verdana" w:hAnsi="Verdana"/>
          <w:spacing w:val="-4"/>
          <w:sz w:val="16"/>
          <w:szCs w:val="16"/>
          <w:lang w:val="es-PR"/>
        </w:rPr>
        <w:t xml:space="preserve"> </w:t>
      </w:r>
      <w:r w:rsidRPr="007E666D">
        <w:rPr>
          <w:rFonts w:ascii="Verdana" w:hAnsi="Verdana"/>
          <w:i/>
          <w:spacing w:val="-4"/>
          <w:sz w:val="16"/>
          <w:szCs w:val="16"/>
          <w:lang w:val="es-PR"/>
        </w:rPr>
        <w:t>y Familiares, supra</w:t>
      </w:r>
      <w:r w:rsidRPr="007E666D">
        <w:rPr>
          <w:rFonts w:ascii="Verdana" w:hAnsi="Verdana"/>
          <w:spacing w:val="-4"/>
          <w:sz w:val="16"/>
          <w:szCs w:val="16"/>
          <w:lang w:val="es-PR"/>
        </w:rPr>
        <w:t>, párr. 156.</w:t>
      </w:r>
    </w:p>
  </w:footnote>
  <w:footnote w:id="185">
    <w:p w:rsidR="00D57F75" w:rsidRPr="007E666D" w:rsidRDefault="00D57F75" w:rsidP="00106A1E">
      <w:pPr>
        <w:pStyle w:val="FootnoteText"/>
        <w:tabs>
          <w:tab w:val="left" w:pos="450"/>
        </w:tabs>
        <w:contextualSpacing/>
        <w:jc w:val="both"/>
        <w:rPr>
          <w:rFonts w:ascii="Verdana" w:hAnsi="Verdana"/>
          <w:spacing w:val="-4"/>
          <w:sz w:val="16"/>
          <w:szCs w:val="16"/>
          <w:lang w:val="es-PR"/>
        </w:rPr>
      </w:pPr>
      <w:r w:rsidRPr="007E666D">
        <w:rPr>
          <w:rStyle w:val="FootnoteReference"/>
          <w:rFonts w:eastAsia="Times"/>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 xml:space="preserve">Caso Velásquez Rodríguez Vs. Honduras. Fondo, supra, </w:t>
      </w:r>
      <w:r w:rsidRPr="007E666D">
        <w:rPr>
          <w:rFonts w:ascii="Verdana" w:hAnsi="Verdana"/>
          <w:spacing w:val="-4"/>
          <w:sz w:val="16"/>
          <w:szCs w:val="16"/>
          <w:lang w:val="es-PR"/>
        </w:rPr>
        <w:t xml:space="preserve">párr. 157, y </w:t>
      </w:r>
      <w:r w:rsidRPr="007E666D">
        <w:rPr>
          <w:rStyle w:val="Strong"/>
          <w:rFonts w:ascii="Verdana" w:hAnsi="Verdana"/>
          <w:b w:val="0"/>
          <w:i/>
          <w:color w:val="000000"/>
          <w:sz w:val="16"/>
          <w:szCs w:val="16"/>
          <w:shd w:val="clear" w:color="auto" w:fill="FFFFFF"/>
          <w:lang w:val="es-PR"/>
        </w:rPr>
        <w:t xml:space="preserve">Caso Rodríguez Vera y otros (Desaparecidos del Palacio de Justicia) Vs. Colombia, </w:t>
      </w:r>
      <w:r w:rsidRPr="007E666D">
        <w:rPr>
          <w:rStyle w:val="Strong"/>
          <w:rFonts w:ascii="Verdana" w:hAnsi="Verdana"/>
          <w:b w:val="0"/>
          <w:color w:val="000000"/>
          <w:sz w:val="16"/>
          <w:szCs w:val="16"/>
          <w:shd w:val="clear" w:color="auto" w:fill="FFFFFF"/>
          <w:lang w:val="es-PR"/>
        </w:rPr>
        <w:t xml:space="preserve">Excepciones Preliminares, Fondo, Reparaciones y Costas. Sentencia de 14 de noviembre de 2014. Serie C No. 287, párr. </w:t>
      </w:r>
      <w:r w:rsidRPr="007E666D">
        <w:rPr>
          <w:rFonts w:ascii="Verdana" w:hAnsi="Verdana" w:cs="Verdana"/>
          <w:spacing w:val="-2"/>
          <w:sz w:val="16"/>
          <w:szCs w:val="16"/>
          <w:lang w:val="es-PR"/>
        </w:rPr>
        <w:t>323.</w:t>
      </w:r>
    </w:p>
  </w:footnote>
  <w:footnote w:id="186">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i/>
          <w:sz w:val="16"/>
          <w:szCs w:val="16"/>
          <w:lang w:val="es-PR"/>
        </w:rPr>
        <w:tab/>
      </w:r>
      <w:r w:rsidRPr="007E666D">
        <w:rPr>
          <w:rFonts w:ascii="Verdana" w:hAnsi="Verdana"/>
          <w:sz w:val="16"/>
          <w:szCs w:val="16"/>
          <w:lang w:val="es-PR"/>
        </w:rPr>
        <w:t xml:space="preserve">En este sentido, </w:t>
      </w:r>
      <w:r w:rsidRPr="007E666D">
        <w:rPr>
          <w:rStyle w:val="Strong"/>
          <w:rFonts w:ascii="Verdana" w:hAnsi="Verdana"/>
          <w:b w:val="0"/>
          <w:i/>
          <w:color w:val="000000"/>
          <w:sz w:val="16"/>
          <w:szCs w:val="16"/>
          <w:shd w:val="clear" w:color="auto" w:fill="FFFFFF"/>
          <w:lang w:val="es-PR"/>
        </w:rPr>
        <w:t>Caso Gudiel Álvarez y otros ("Diario Militar") Vs. Guatemala. Fondo Reparaciones y Costas</w:t>
      </w:r>
      <w:r w:rsidRPr="007E666D">
        <w:rPr>
          <w:rStyle w:val="Strong"/>
          <w:rFonts w:ascii="Verdana" w:hAnsi="Verdana"/>
          <w:b w:val="0"/>
          <w:color w:val="000000"/>
          <w:sz w:val="16"/>
          <w:szCs w:val="16"/>
          <w:shd w:val="clear" w:color="auto" w:fill="FFFFFF"/>
          <w:lang w:val="es-PR"/>
        </w:rPr>
        <w:t xml:space="preserve">. Sentencia de 20 noviembre de 2012 Serie C No. 253, </w:t>
      </w:r>
      <w:r w:rsidRPr="007E666D">
        <w:rPr>
          <w:rFonts w:ascii="Verdana" w:eastAsia="Batang" w:hAnsi="Verdana" w:cs="Times"/>
          <w:sz w:val="16"/>
          <w:szCs w:val="16"/>
          <w:lang w:val="es-PR"/>
        </w:rPr>
        <w:t xml:space="preserve">párrs. 199, 206 y 214, y </w:t>
      </w:r>
      <w:r w:rsidRPr="007E666D">
        <w:rPr>
          <w:rStyle w:val="Strong"/>
          <w:rFonts w:ascii="Verdana" w:hAnsi="Verdana"/>
          <w:b w:val="0"/>
          <w:i/>
          <w:color w:val="000000"/>
          <w:sz w:val="16"/>
          <w:szCs w:val="16"/>
          <w:shd w:val="clear" w:color="auto" w:fill="FFFFFF"/>
          <w:lang w:val="es-PR"/>
        </w:rPr>
        <w:t>Caso Masacres de Río Negro Vs. Guatemala.</w:t>
      </w:r>
      <w:r w:rsidRPr="007E666D">
        <w:rPr>
          <w:rStyle w:val="Strong"/>
          <w:rFonts w:ascii="Verdana" w:hAnsi="Verdana"/>
          <w:b w:val="0"/>
          <w:color w:val="000000"/>
          <w:sz w:val="16"/>
          <w:szCs w:val="16"/>
          <w:shd w:val="clear" w:color="auto" w:fill="FFFFFF"/>
          <w:lang w:val="es-PR"/>
        </w:rPr>
        <w:t xml:space="preserve"> </w:t>
      </w:r>
      <w:r w:rsidRPr="007E666D">
        <w:rPr>
          <w:rStyle w:val="Strong"/>
          <w:rFonts w:ascii="Verdana" w:hAnsi="Verdana"/>
          <w:b w:val="0"/>
          <w:i/>
          <w:color w:val="000000"/>
          <w:sz w:val="16"/>
          <w:szCs w:val="16"/>
          <w:shd w:val="clear" w:color="auto" w:fill="FFFFFF"/>
          <w:lang w:val="es-PR"/>
        </w:rPr>
        <w:t>Excepción Preliminar, Fondo, Reparaciones y Costas</w:t>
      </w:r>
      <w:r w:rsidRPr="007E666D">
        <w:rPr>
          <w:rStyle w:val="Strong"/>
          <w:rFonts w:ascii="Verdana" w:hAnsi="Verdana"/>
          <w:b w:val="0"/>
          <w:color w:val="000000"/>
          <w:sz w:val="16"/>
          <w:szCs w:val="16"/>
          <w:shd w:val="clear" w:color="auto" w:fill="FFFFFF"/>
          <w:lang w:val="es-PR"/>
        </w:rPr>
        <w:t xml:space="preserve">. Sentencia de 4 de septiembre de 2012. Serie C No. 250, </w:t>
      </w:r>
      <w:r w:rsidRPr="007E666D">
        <w:rPr>
          <w:rFonts w:ascii="Verdana" w:hAnsi="Verdana"/>
          <w:sz w:val="16"/>
          <w:szCs w:val="16"/>
          <w:lang w:val="es-PR"/>
        </w:rPr>
        <w:t>párrs. 123 y 125.</w:t>
      </w:r>
    </w:p>
  </w:footnote>
  <w:footnote w:id="187">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Style w:val="Strong"/>
          <w:rFonts w:ascii="Verdana" w:hAnsi="Verdana"/>
          <w:b w:val="0"/>
          <w:color w:val="000000"/>
          <w:sz w:val="16"/>
          <w:szCs w:val="16"/>
          <w:shd w:val="clear" w:color="auto" w:fill="FFFFFF"/>
          <w:lang w:val="es-PR"/>
        </w:rPr>
        <w:t xml:space="preserve">La Corte consideró que </w:t>
      </w:r>
      <w:r w:rsidRPr="007E666D">
        <w:rPr>
          <w:rFonts w:ascii="Verdana" w:hAnsi="Verdana"/>
          <w:spacing w:val="-2"/>
          <w:sz w:val="16"/>
          <w:szCs w:val="16"/>
          <w:lang w:val="es-PR"/>
        </w:rPr>
        <w:t>Carlos Horacio Urán fue ejecutado mientras se encontraba en custodia de agentes estatales,</w:t>
      </w:r>
      <w:r w:rsidRPr="007E666D">
        <w:rPr>
          <w:rStyle w:val="Strong"/>
          <w:rFonts w:ascii="Verdana" w:hAnsi="Verdana"/>
          <w:b w:val="0"/>
          <w:color w:val="000000"/>
          <w:sz w:val="16"/>
          <w:szCs w:val="16"/>
          <w:shd w:val="clear" w:color="auto" w:fill="FFFFFF"/>
          <w:lang w:val="es-PR"/>
        </w:rPr>
        <w:t xml:space="preserve"> que su </w:t>
      </w:r>
      <w:r w:rsidRPr="007E666D">
        <w:rPr>
          <w:rFonts w:ascii="Verdana" w:hAnsi="Verdana"/>
          <w:spacing w:val="-2"/>
          <w:sz w:val="16"/>
          <w:szCs w:val="16"/>
          <w:lang w:val="es-PR"/>
        </w:rPr>
        <w:t>cadáver fue despojado de su ropa y lavado, probablemente para ocultar lo que realmente había ocurrido, y que la desaparición forzada cesó cuando se identificaron sus restos</w:t>
      </w:r>
      <w:r w:rsidRPr="007E666D">
        <w:rPr>
          <w:rFonts w:ascii="Verdana" w:hAnsi="Verdana"/>
          <w:sz w:val="16"/>
          <w:szCs w:val="16"/>
          <w:lang w:val="es-PR"/>
        </w:rPr>
        <w:t xml:space="preserve">. </w:t>
      </w:r>
      <w:r w:rsidRPr="007E666D">
        <w:rPr>
          <w:rFonts w:ascii="Verdana" w:hAnsi="Verdana"/>
          <w:i/>
          <w:sz w:val="16"/>
          <w:szCs w:val="16"/>
          <w:lang w:val="es-PR"/>
        </w:rPr>
        <w:t xml:space="preserve">Cfr. </w:t>
      </w:r>
      <w:r w:rsidRPr="007E666D">
        <w:rPr>
          <w:rStyle w:val="Strong"/>
          <w:rFonts w:ascii="Verdana" w:hAnsi="Verdana"/>
          <w:b w:val="0"/>
          <w:i/>
          <w:color w:val="000000"/>
          <w:sz w:val="16"/>
          <w:szCs w:val="16"/>
          <w:shd w:val="clear" w:color="auto" w:fill="FFFFFF"/>
          <w:lang w:val="es-PR"/>
        </w:rPr>
        <w:t>Caso Rodríguez Vera y otros (Desaparecidos del Palacio de Justicia) Vs. Colombia, supra</w:t>
      </w:r>
      <w:r w:rsidRPr="007E666D">
        <w:rPr>
          <w:rStyle w:val="Strong"/>
          <w:rFonts w:ascii="Verdana" w:hAnsi="Verdana"/>
          <w:b w:val="0"/>
          <w:color w:val="000000"/>
          <w:sz w:val="16"/>
          <w:szCs w:val="16"/>
          <w:shd w:val="clear" w:color="auto" w:fill="FFFFFF"/>
          <w:lang w:val="es-PR"/>
        </w:rPr>
        <w:t>, párrs. 367 a 369.</w:t>
      </w:r>
    </w:p>
  </w:footnote>
  <w:footnote w:id="188">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Style w:val="Strong"/>
          <w:rFonts w:ascii="Verdana" w:hAnsi="Verdana"/>
          <w:b w:val="0"/>
          <w:color w:val="000000"/>
          <w:sz w:val="16"/>
          <w:szCs w:val="16"/>
          <w:shd w:val="clear" w:color="auto" w:fill="FFFFFF"/>
          <w:lang w:val="es-PR"/>
        </w:rPr>
        <w:t xml:space="preserve">La Corte </w:t>
      </w:r>
      <w:r w:rsidRPr="007E666D">
        <w:rPr>
          <w:rFonts w:ascii="Verdana" w:eastAsia="Batang" w:hAnsi="Verdana" w:cs="Times"/>
          <w:sz w:val="16"/>
          <w:szCs w:val="16"/>
          <w:lang w:val="es-PR"/>
        </w:rPr>
        <w:t xml:space="preserve">declaró la desaparición forzada del </w:t>
      </w:r>
      <w:r w:rsidRPr="007E666D">
        <w:rPr>
          <w:rFonts w:ascii="Verdana" w:hAnsi="Verdana"/>
          <w:sz w:val="16"/>
          <w:szCs w:val="16"/>
          <w:lang w:val="es-PR"/>
        </w:rPr>
        <w:t>señor Rainer Ibsen Cárdenas, quien fue detenido y, en un momento posterior, finalmente trasladado al centro de detención de Achocalla, en la ciudad de La Paz. Estuvo privado de la libertad aproximadamente nueve meses, luego de lo cual fue privado de la vida a consecuencia de diversos disparos recibidos en el cráneo, todo ello estando bajo la custodia del Estado. L</w:t>
      </w:r>
      <w:r w:rsidRPr="007E666D">
        <w:rPr>
          <w:rFonts w:ascii="Verdana" w:hAnsi="Verdana"/>
          <w:spacing w:val="-2"/>
          <w:sz w:val="16"/>
          <w:szCs w:val="16"/>
          <w:lang w:val="es-PR"/>
        </w:rPr>
        <w:t xml:space="preserve">a desaparición forzada cesó cuando se identificaron sus restos en el año 2008. </w:t>
      </w:r>
      <w:r w:rsidRPr="007E666D">
        <w:rPr>
          <w:rFonts w:ascii="Verdana" w:hAnsi="Verdana" w:cs="Univers"/>
          <w:sz w:val="16"/>
          <w:szCs w:val="16"/>
          <w:lang w:val="es-PR"/>
        </w:rPr>
        <w:t>La Corte llegó a dicha conclusión no obstante la existencia de prueba que acreditaba la muerte del señor Rainer Ibsen Cárdenas; sin embargo, para el Tribunal fue de especial relevancia “</w:t>
      </w:r>
      <w:r w:rsidRPr="007E666D">
        <w:rPr>
          <w:rFonts w:ascii="Verdana" w:hAnsi="Verdana"/>
          <w:sz w:val="16"/>
          <w:szCs w:val="16"/>
          <w:lang w:val="es-PR"/>
        </w:rPr>
        <w:t xml:space="preserve">la existencia de diversas irregularidades de origen que [le] impid[ieron] llegar a la convicción de que los restos de Rainer Ibsen Cárdenas fueron encontrados en 1983, como alegó el Estado”. </w:t>
      </w:r>
      <w:r w:rsidRPr="007E666D">
        <w:rPr>
          <w:rFonts w:ascii="Verdana" w:hAnsi="Verdana"/>
          <w:i/>
          <w:sz w:val="16"/>
          <w:szCs w:val="16"/>
          <w:lang w:val="es-PR"/>
        </w:rPr>
        <w:t xml:space="preserve">Cfr. </w:t>
      </w:r>
      <w:r w:rsidRPr="007E666D">
        <w:rPr>
          <w:rStyle w:val="Strong"/>
          <w:rFonts w:ascii="Verdana" w:hAnsi="Verdana"/>
          <w:b w:val="0"/>
          <w:i/>
          <w:color w:val="000000"/>
          <w:sz w:val="16"/>
          <w:szCs w:val="16"/>
          <w:shd w:val="clear" w:color="auto" w:fill="FFFFFF"/>
          <w:lang w:val="es-PR"/>
        </w:rPr>
        <w:t>Caso Ibsen Cárdenas e Ibsen Peña Vs. Bolivia. Fondo, Reparaciones y Costas</w:t>
      </w:r>
      <w:r w:rsidRPr="007E666D">
        <w:rPr>
          <w:rStyle w:val="Strong"/>
          <w:rFonts w:ascii="Verdana" w:hAnsi="Verdana"/>
          <w:b w:val="0"/>
          <w:color w:val="000000"/>
          <w:sz w:val="16"/>
          <w:szCs w:val="16"/>
          <w:shd w:val="clear" w:color="auto" w:fill="FFFFFF"/>
          <w:lang w:val="es-PR"/>
        </w:rPr>
        <w:t xml:space="preserve">. Sentencia de 1 de septiembre de 2010. Serie C No. 217, párrs. </w:t>
      </w:r>
      <w:r w:rsidRPr="007E666D">
        <w:rPr>
          <w:rFonts w:ascii="Verdana" w:eastAsia="Batang" w:hAnsi="Verdana"/>
          <w:sz w:val="16"/>
          <w:szCs w:val="16"/>
          <w:lang w:val="es-PR"/>
        </w:rPr>
        <w:t>80 y 81, 84 a 88, 92 y</w:t>
      </w:r>
      <w:r w:rsidRPr="007E666D">
        <w:rPr>
          <w:rStyle w:val="Strong"/>
          <w:rFonts w:ascii="Verdana" w:hAnsi="Verdana"/>
          <w:b w:val="0"/>
          <w:color w:val="000000"/>
          <w:sz w:val="16"/>
          <w:szCs w:val="16"/>
          <w:shd w:val="clear" w:color="auto" w:fill="FFFFFF"/>
          <w:lang w:val="es-PR"/>
        </w:rPr>
        <w:t xml:space="preserve"> </w:t>
      </w:r>
      <w:r w:rsidRPr="007E666D">
        <w:rPr>
          <w:rFonts w:ascii="Verdana" w:eastAsia="Batang" w:hAnsi="Verdana"/>
          <w:sz w:val="16"/>
          <w:szCs w:val="16"/>
          <w:lang w:val="es-PR"/>
        </w:rPr>
        <w:t>94.</w:t>
      </w:r>
    </w:p>
  </w:footnote>
  <w:footnote w:id="189">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La Corte consideró que respecto a las víctimas de desaparición forzada, “el hallazgo de otros restos humanos y el reconocimiento de objetos pertenecientes a algunas de las personas detenidas encontrados en […] fosas clandestinas, permitirían inferir que Armando Amaro Cóndor, Juan Gabriel Mariños Figueroa, Robert Teodoro Espinoza y Heráclides Pablo Meza fueron también privados de su vida. Sin perjuicio de ello, la Corte estim[ó] que, mientras no sea determinado el paradero de esas personas, o debidamente localizados e identificados sus restos, el tratamiento jurídico adecuado para la situación de esas cuatro personas [era] la de desaparición forzada de personas, al igual que en los casos de Dora Oyague Fierro, Marcelino Rosales Cárdenas, Felipe Flores Chipana y Hugo Muñoz Sánchez”. </w:t>
      </w:r>
      <w:r w:rsidRPr="007E666D">
        <w:rPr>
          <w:rFonts w:ascii="Verdana" w:hAnsi="Verdana"/>
          <w:i/>
          <w:sz w:val="16"/>
          <w:szCs w:val="16"/>
          <w:lang w:val="es-PR"/>
        </w:rPr>
        <w:t xml:space="preserve">Cfr. </w:t>
      </w:r>
      <w:r w:rsidRPr="007E666D">
        <w:rPr>
          <w:rStyle w:val="Strong"/>
          <w:rFonts w:ascii="Verdana" w:hAnsi="Verdana"/>
          <w:b w:val="0"/>
          <w:i/>
          <w:color w:val="000000"/>
          <w:sz w:val="16"/>
          <w:szCs w:val="16"/>
          <w:shd w:val="clear" w:color="auto" w:fill="FFFFFF"/>
          <w:lang w:val="es-PR"/>
        </w:rPr>
        <w:t>Caso La Cantuta Vs. Perú. Fondo, Reparaciones y Costas</w:t>
      </w:r>
      <w:r w:rsidRPr="007E666D">
        <w:rPr>
          <w:rStyle w:val="Strong"/>
          <w:rFonts w:ascii="Verdana" w:hAnsi="Verdana"/>
          <w:b w:val="0"/>
          <w:color w:val="000000"/>
          <w:sz w:val="16"/>
          <w:szCs w:val="16"/>
          <w:shd w:val="clear" w:color="auto" w:fill="FFFFFF"/>
          <w:lang w:val="es-PR"/>
        </w:rPr>
        <w:t xml:space="preserve">. Sentencia de 29 de noviembre de 2006. Serie C No. 162, </w:t>
      </w:r>
      <w:r w:rsidRPr="007E666D">
        <w:rPr>
          <w:rFonts w:ascii="Verdana" w:hAnsi="Verdana"/>
          <w:sz w:val="16"/>
          <w:szCs w:val="16"/>
          <w:lang w:val="es-PR"/>
        </w:rPr>
        <w:t>párrs. 114 y 116.</w:t>
      </w:r>
    </w:p>
  </w:footnote>
  <w:footnote w:id="190">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Style w:val="Strong"/>
          <w:rFonts w:ascii="Verdana" w:hAnsi="Verdana"/>
          <w:b w:val="0"/>
          <w:color w:val="000000"/>
          <w:sz w:val="16"/>
          <w:szCs w:val="16"/>
          <w:shd w:val="clear" w:color="auto" w:fill="FFFFFF"/>
          <w:lang w:val="es-PR"/>
        </w:rPr>
        <w:t xml:space="preserve">La Corte </w:t>
      </w:r>
      <w:r w:rsidRPr="007E666D">
        <w:rPr>
          <w:rFonts w:ascii="Verdana" w:eastAsia="Batang" w:hAnsi="Verdana" w:cs="Times"/>
          <w:sz w:val="16"/>
          <w:szCs w:val="16"/>
          <w:lang w:val="es-PR"/>
        </w:rPr>
        <w:t xml:space="preserve">declaró </w:t>
      </w:r>
      <w:r w:rsidRPr="007E666D">
        <w:rPr>
          <w:rFonts w:ascii="Verdana" w:hAnsi="Verdana"/>
          <w:sz w:val="16"/>
          <w:szCs w:val="16"/>
          <w:lang w:val="es-PR"/>
        </w:rPr>
        <w:t xml:space="preserve">la desaparición forzada del señor Santiago Fortunato Gómez Palomino. Al respecto, tuvo por probado que en el curso de la investigación de la Fiscalía Provincial Especializada de Lima se obtuvo la declaración de una persona que se acogió a la ley de colaboración eficaz, “quien declaró que había presenciado la forma en que se produjo la desaparición y ejecución del señor Santiago Gómez Palomino e indicó el lugar en que fueron enterrados sus restos en la playa La Chira”. </w:t>
      </w:r>
      <w:r w:rsidRPr="007E666D">
        <w:rPr>
          <w:rFonts w:ascii="Verdana" w:hAnsi="Verdana"/>
          <w:i/>
          <w:sz w:val="16"/>
          <w:szCs w:val="16"/>
          <w:lang w:val="es-PR"/>
        </w:rPr>
        <w:t xml:space="preserve">Cfr. </w:t>
      </w:r>
      <w:r w:rsidRPr="007E666D">
        <w:rPr>
          <w:rStyle w:val="Strong"/>
          <w:rFonts w:ascii="Verdana" w:hAnsi="Verdana"/>
          <w:b w:val="0"/>
          <w:i/>
          <w:color w:val="000000"/>
          <w:sz w:val="16"/>
          <w:szCs w:val="16"/>
          <w:shd w:val="clear" w:color="auto" w:fill="FFFFFF"/>
          <w:lang w:val="es-PR"/>
        </w:rPr>
        <w:t>Caso Gómez Palomino Vs. Perú, supra</w:t>
      </w:r>
      <w:r w:rsidRPr="007E666D">
        <w:rPr>
          <w:rStyle w:val="Strong"/>
          <w:rFonts w:ascii="Verdana" w:hAnsi="Verdana"/>
          <w:b w:val="0"/>
          <w:color w:val="000000"/>
          <w:sz w:val="16"/>
          <w:szCs w:val="16"/>
          <w:shd w:val="clear" w:color="auto" w:fill="FFFFFF"/>
          <w:lang w:val="es-PR"/>
        </w:rPr>
        <w:t xml:space="preserve">, </w:t>
      </w:r>
      <w:r w:rsidRPr="007E666D">
        <w:rPr>
          <w:rFonts w:ascii="Verdana" w:hAnsi="Verdana" w:cs="Verdana"/>
          <w:bCs/>
          <w:sz w:val="16"/>
          <w:szCs w:val="16"/>
          <w:lang w:val="es-PR"/>
        </w:rPr>
        <w:t>párrs. 54.14 y 54.15.</w:t>
      </w:r>
    </w:p>
  </w:footnote>
  <w:footnote w:id="191">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Style w:val="Strong"/>
          <w:rFonts w:ascii="Verdana" w:hAnsi="Verdana"/>
          <w:b w:val="0"/>
          <w:color w:val="000000"/>
          <w:sz w:val="16"/>
          <w:szCs w:val="16"/>
          <w:shd w:val="clear" w:color="auto" w:fill="FFFFFF"/>
          <w:lang w:val="es-PR"/>
        </w:rPr>
        <w:t>La Corte</w:t>
      </w:r>
      <w:r w:rsidRPr="007E666D">
        <w:rPr>
          <w:rFonts w:ascii="Verdana" w:hAnsi="Verdana"/>
          <w:sz w:val="16"/>
          <w:szCs w:val="16"/>
          <w:lang w:val="es-PR"/>
        </w:rPr>
        <w:t xml:space="preserve"> concluyó que miembros de un grupo “paramilitar” o grupo delictivo que operaba con el apoyo y colaboración de miembros de la Fuerza Pública detuvieron y dieron muerte a los 19 comerciantes, descuartizaron sus cuerpos y los lanzaron a las aguas de un caño, con el propósito de hacerlos desaparecer para que no fueran encontrados ni identificados, lo cual efectivamente sucedió. La Corte </w:t>
      </w:r>
      <w:r w:rsidRPr="007E666D">
        <w:rPr>
          <w:rFonts w:ascii="Verdana" w:eastAsia="Batang" w:hAnsi="Verdana" w:cs="Times"/>
          <w:sz w:val="16"/>
          <w:szCs w:val="16"/>
          <w:lang w:val="es-PR"/>
        </w:rPr>
        <w:t xml:space="preserve">declaró </w:t>
      </w:r>
      <w:r w:rsidRPr="007E666D">
        <w:rPr>
          <w:rFonts w:ascii="Verdana" w:hAnsi="Verdana"/>
          <w:sz w:val="16"/>
          <w:szCs w:val="16"/>
          <w:lang w:val="es-PR"/>
        </w:rPr>
        <w:t xml:space="preserve">la desaparición forzada de las víctimas habiendo transcurrido más de dieciséis años de ocurridos los hechos sin que se hubieran localizado e identificado sus restos. </w:t>
      </w:r>
      <w:r w:rsidRPr="007E666D">
        <w:rPr>
          <w:rFonts w:ascii="Verdana" w:hAnsi="Verdana"/>
          <w:i/>
          <w:sz w:val="16"/>
          <w:szCs w:val="16"/>
          <w:lang w:val="es-PR"/>
        </w:rPr>
        <w:t xml:space="preserve">Cfr. </w:t>
      </w:r>
      <w:r w:rsidRPr="007E666D">
        <w:rPr>
          <w:rStyle w:val="Strong"/>
          <w:rFonts w:ascii="Verdana" w:hAnsi="Verdana"/>
          <w:b w:val="0"/>
          <w:i/>
          <w:color w:val="000000"/>
          <w:sz w:val="16"/>
          <w:szCs w:val="16"/>
          <w:shd w:val="clear" w:color="auto" w:fill="FFFFFF"/>
          <w:lang w:val="es-PR"/>
        </w:rPr>
        <w:t>Caso 19 Comerciantes Vs. Colombia. Fondo, Reparaciones y Costas</w:t>
      </w:r>
      <w:r w:rsidRPr="007E666D">
        <w:rPr>
          <w:rStyle w:val="Strong"/>
          <w:rFonts w:ascii="Verdana" w:hAnsi="Verdana"/>
          <w:b w:val="0"/>
          <w:color w:val="000000"/>
          <w:sz w:val="16"/>
          <w:szCs w:val="16"/>
          <w:shd w:val="clear" w:color="auto" w:fill="FFFFFF"/>
          <w:lang w:val="es-PR"/>
        </w:rPr>
        <w:t xml:space="preserve">. Sentencia de 5 de julio de 2004. Serie C No. 109, </w:t>
      </w:r>
      <w:r w:rsidRPr="007E666D">
        <w:rPr>
          <w:rFonts w:ascii="Verdana" w:hAnsi="Verdana"/>
          <w:sz w:val="16"/>
          <w:szCs w:val="16"/>
          <w:lang w:val="es-PR"/>
        </w:rPr>
        <w:t xml:space="preserve">párrs. 138 y 155. </w:t>
      </w:r>
    </w:p>
  </w:footnote>
  <w:footnote w:id="192">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Style w:val="Strong"/>
          <w:rFonts w:ascii="Verdana" w:hAnsi="Verdana"/>
          <w:b w:val="0"/>
          <w:color w:val="000000"/>
          <w:sz w:val="16"/>
          <w:szCs w:val="16"/>
          <w:shd w:val="clear" w:color="auto" w:fill="FFFFFF"/>
          <w:lang w:val="es-PR"/>
        </w:rPr>
        <w:t xml:space="preserve">La Corte </w:t>
      </w:r>
      <w:r w:rsidRPr="007E666D">
        <w:rPr>
          <w:rFonts w:ascii="Verdana" w:eastAsia="Batang" w:hAnsi="Verdana" w:cs="Times"/>
          <w:sz w:val="16"/>
          <w:szCs w:val="16"/>
          <w:lang w:val="es-PR"/>
        </w:rPr>
        <w:t xml:space="preserve">declaró que el señor </w:t>
      </w:r>
      <w:r w:rsidRPr="007E666D">
        <w:rPr>
          <w:rFonts w:ascii="Verdana" w:hAnsi="Verdana"/>
          <w:sz w:val="16"/>
          <w:szCs w:val="16"/>
          <w:lang w:val="es-PR"/>
        </w:rPr>
        <w:t xml:space="preserve">Efraín Bámaca Velásquez fue capturado y retenido en manos del Ejército, conformando un caso de desaparición forzada. Al respecto, consideró que, “por las circunstancias en que ocurrió la detención de Bámaca Velásquez a manos de agentes del Estado, la condición de la víctima como comandante de la guerrilla, la práctica estatal de desapariciones forzadas y ejecuciones extrajudiciales” y “el transcurso de 8 años y 8 meses desde que aquél fue capturado sin que se haya vuelto a tener noticias de él, hacen presumir al Tribunal que Bámaca Velásquez fue ejecutado”. Asimismo, el Tribunal concluyó que se intentaron diferentes recursos judiciales para identificar el paradero de Bámaca Velásquez. “Estos recursos no sólo no fueron efectivos, sino que se ejercieron a su respecto acciones directas de agentes del Estado de alto nivel tendientes a impedir que tuvieran resultados positivos. Estas obstrucciones fueron particularmente evidentes en lo relativo a las múltiples diligencias de exhumación que se intentaron, las que a la fecha no han permitido identificar los restos de Efraín Bámaca Velásquez”. </w:t>
      </w:r>
      <w:r w:rsidRPr="007E666D">
        <w:rPr>
          <w:rFonts w:ascii="Verdana" w:hAnsi="Verdana"/>
          <w:i/>
          <w:sz w:val="16"/>
          <w:szCs w:val="16"/>
          <w:lang w:val="es-PR"/>
        </w:rPr>
        <w:t xml:space="preserve">Cfr. </w:t>
      </w:r>
      <w:r w:rsidRPr="007E666D">
        <w:rPr>
          <w:rStyle w:val="Strong"/>
          <w:rFonts w:ascii="Verdana" w:hAnsi="Verdana"/>
          <w:b w:val="0"/>
          <w:i/>
          <w:color w:val="000000"/>
          <w:sz w:val="16"/>
          <w:szCs w:val="16"/>
          <w:shd w:val="clear" w:color="auto" w:fill="FFFFFF"/>
          <w:lang w:val="es-PR"/>
        </w:rPr>
        <w:t>Caso Bámaca Velásquez Vs. Guatemala. Fondo</w:t>
      </w:r>
      <w:r w:rsidRPr="007E666D">
        <w:rPr>
          <w:rStyle w:val="Strong"/>
          <w:rFonts w:ascii="Verdana" w:hAnsi="Verdana"/>
          <w:b w:val="0"/>
          <w:color w:val="000000"/>
          <w:sz w:val="16"/>
          <w:szCs w:val="16"/>
          <w:shd w:val="clear" w:color="auto" w:fill="FFFFFF"/>
          <w:lang w:val="es-PR"/>
        </w:rPr>
        <w:t xml:space="preserve">. Sentencia de 25 de noviembre de 2000. Serie C No. 70, </w:t>
      </w:r>
      <w:r w:rsidRPr="007E666D">
        <w:rPr>
          <w:rFonts w:ascii="Verdana" w:hAnsi="Verdana"/>
          <w:sz w:val="16"/>
          <w:szCs w:val="16"/>
          <w:lang w:val="es-PR"/>
        </w:rPr>
        <w:t>párrs. 170, 173 y 200</w:t>
      </w:r>
      <w:r w:rsidRPr="007E666D">
        <w:rPr>
          <w:rStyle w:val="Strong"/>
          <w:rFonts w:ascii="Verdana" w:hAnsi="Verdana"/>
          <w:b w:val="0"/>
          <w:color w:val="000000"/>
          <w:sz w:val="16"/>
          <w:szCs w:val="16"/>
          <w:shd w:val="clear" w:color="auto" w:fill="FFFFFF"/>
          <w:lang w:val="es-PR"/>
        </w:rPr>
        <w:t>.</w:t>
      </w:r>
    </w:p>
  </w:footnote>
  <w:footnote w:id="193">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Style w:val="Strong"/>
          <w:rFonts w:ascii="Verdana" w:hAnsi="Verdana"/>
          <w:b w:val="0"/>
          <w:color w:val="000000"/>
          <w:sz w:val="16"/>
          <w:szCs w:val="16"/>
          <w:shd w:val="clear" w:color="auto" w:fill="FFFFFF"/>
          <w:lang w:val="es-PR"/>
        </w:rPr>
        <w:t xml:space="preserve">La Corte </w:t>
      </w:r>
      <w:r w:rsidRPr="007E666D">
        <w:rPr>
          <w:rFonts w:ascii="Verdana" w:eastAsia="Batang" w:hAnsi="Verdana" w:cs="Times"/>
          <w:sz w:val="16"/>
          <w:szCs w:val="16"/>
          <w:lang w:val="es-PR"/>
        </w:rPr>
        <w:t xml:space="preserve">concluyó la </w:t>
      </w:r>
      <w:r w:rsidRPr="007E666D">
        <w:rPr>
          <w:rFonts w:ascii="Verdana" w:hAnsi="Verdana"/>
          <w:sz w:val="16"/>
          <w:szCs w:val="16"/>
          <w:lang w:val="es-PR"/>
        </w:rPr>
        <w:t xml:space="preserve">detención y posterior desaparición forzada del señor Ernesto Rafael Castillo Páez por miembros de la Policía Nacional del Perú. Al respecto, consideró que, “debido al tiempo transcurrido desde el 21 de octubre de 1990 a la fecha, la víctima ha sido privada de la vida”. Cabe señalar que durante el proceso ante el sistema interamericano los familiares de la víctima desaparecida denunciaron que, de acuerdo con informaciones no oficiales, el joven Castillo Páez “habría sido asesinado en una playa al sur de Lima y que su cadáver habría sido dinamitado con explosivos”. En específico, durante la audiencia pública sobre el fondo del caso celebrada ante la Corte los días 6 y 7 de febrero de 1997, se señaló que “el Comandante Juan Carlos Mejía León era el oficial responsable de la muerte del señor Castillo Páez” y fue quien informó “que sus restos fueron llevados a una playa al sur de Lima y hechos volar con explosivos”. </w:t>
      </w:r>
      <w:r w:rsidRPr="007E666D">
        <w:rPr>
          <w:rStyle w:val="Strong"/>
          <w:rFonts w:ascii="Verdana" w:hAnsi="Verdana"/>
          <w:b w:val="0"/>
          <w:i/>
          <w:color w:val="000000"/>
          <w:sz w:val="16"/>
          <w:szCs w:val="16"/>
          <w:shd w:val="clear" w:color="auto" w:fill="FFFFFF"/>
          <w:lang w:val="es-PR"/>
        </w:rPr>
        <w:t>Cfr.</w:t>
      </w:r>
      <w:r w:rsidRPr="007E666D">
        <w:rPr>
          <w:rStyle w:val="Strong"/>
          <w:rFonts w:ascii="Verdana" w:hAnsi="Verdana"/>
          <w:b w:val="0"/>
          <w:color w:val="000000"/>
          <w:sz w:val="16"/>
          <w:szCs w:val="16"/>
          <w:shd w:val="clear" w:color="auto" w:fill="FFFFFF"/>
          <w:lang w:val="es-PR"/>
        </w:rPr>
        <w:t xml:space="preserve"> </w:t>
      </w:r>
      <w:r w:rsidRPr="007E666D">
        <w:rPr>
          <w:rStyle w:val="Strong"/>
          <w:rFonts w:ascii="Verdana" w:hAnsi="Verdana"/>
          <w:b w:val="0"/>
          <w:i/>
          <w:color w:val="000000"/>
          <w:sz w:val="16"/>
          <w:szCs w:val="16"/>
          <w:shd w:val="clear" w:color="auto" w:fill="FFFFFF"/>
          <w:lang w:val="es-PR"/>
        </w:rPr>
        <w:t>Caso Castillo Páez Vs. Perú. Fondo</w:t>
      </w:r>
      <w:r w:rsidRPr="007E666D">
        <w:rPr>
          <w:rStyle w:val="Strong"/>
          <w:rFonts w:ascii="Verdana" w:hAnsi="Verdana"/>
          <w:b w:val="0"/>
          <w:color w:val="000000"/>
          <w:sz w:val="16"/>
          <w:szCs w:val="16"/>
          <w:shd w:val="clear" w:color="auto" w:fill="FFFFFF"/>
          <w:lang w:val="es-PR"/>
        </w:rPr>
        <w:t xml:space="preserve">. Sentencia de 3 de noviembre de 1997. Serie C No. 34, </w:t>
      </w:r>
      <w:r w:rsidRPr="007E666D">
        <w:rPr>
          <w:rFonts w:ascii="Verdana" w:hAnsi="Verdana"/>
          <w:sz w:val="16"/>
          <w:szCs w:val="16"/>
          <w:lang w:val="es-PR"/>
        </w:rPr>
        <w:t>párrs. 30 a y e, y 71.</w:t>
      </w:r>
    </w:p>
  </w:footnote>
  <w:footnote w:id="194">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Al respecto, el </w:t>
      </w:r>
      <w:r w:rsidRPr="007E666D">
        <w:rPr>
          <w:rFonts w:ascii="Verdana" w:hAnsi="Verdana"/>
          <w:spacing w:val="-2"/>
          <w:sz w:val="16"/>
          <w:szCs w:val="16"/>
          <w:lang w:val="es-PR"/>
        </w:rPr>
        <w:t>Grupo de Trabajo sobre las Desapariciones Forzadas e Involuntarias de Personas de Naciones Unidas ha señalado que</w:t>
      </w:r>
      <w:r w:rsidRPr="007E666D">
        <w:rPr>
          <w:rFonts w:ascii="Verdana" w:hAnsi="Verdana"/>
          <w:sz w:val="16"/>
          <w:szCs w:val="16"/>
          <w:lang w:val="es-PR"/>
        </w:rPr>
        <w:t xml:space="preserve"> “</w:t>
      </w:r>
      <w:r w:rsidRPr="007E666D">
        <w:rPr>
          <w:rFonts w:ascii="Verdana" w:hAnsi="Verdana" w:cs="TimesNewRoman"/>
          <w:sz w:val="16"/>
          <w:szCs w:val="16"/>
          <w:lang w:val="es-PR"/>
        </w:rPr>
        <w:t>una detención seguida de una ejecución extrajudicial</w:t>
      </w:r>
      <w:r w:rsidRPr="007E666D">
        <w:rPr>
          <w:rFonts w:ascii="Verdana" w:hAnsi="Verdana"/>
          <w:sz w:val="16"/>
          <w:szCs w:val="16"/>
          <w:lang w:val="es-PR"/>
        </w:rPr>
        <w:t xml:space="preserve"> </w:t>
      </w:r>
      <w:r w:rsidRPr="007E666D">
        <w:rPr>
          <w:rFonts w:ascii="Verdana" w:hAnsi="Verdana" w:cs="TimesNewRoman"/>
          <w:sz w:val="16"/>
          <w:szCs w:val="16"/>
          <w:lang w:val="es-PR"/>
        </w:rPr>
        <w:t>constituye una desaparición forzada en sentido propio, siempre que esa</w:t>
      </w:r>
      <w:r w:rsidRPr="007E666D">
        <w:rPr>
          <w:rFonts w:ascii="Verdana" w:hAnsi="Verdana"/>
          <w:sz w:val="16"/>
          <w:szCs w:val="16"/>
          <w:lang w:val="es-PR"/>
        </w:rPr>
        <w:t xml:space="preserve"> </w:t>
      </w:r>
      <w:r w:rsidRPr="007E666D">
        <w:rPr>
          <w:rFonts w:ascii="Verdana" w:hAnsi="Verdana" w:cs="TimesNewRoman"/>
          <w:sz w:val="16"/>
          <w:szCs w:val="16"/>
          <w:lang w:val="es-PR"/>
        </w:rPr>
        <w:t>detención o privación de libertad la hayan realizado agentes</w:t>
      </w:r>
      <w:r w:rsidRPr="007E666D">
        <w:rPr>
          <w:rFonts w:ascii="Verdana" w:hAnsi="Verdana"/>
          <w:sz w:val="16"/>
          <w:szCs w:val="16"/>
          <w:lang w:val="es-PR"/>
        </w:rPr>
        <w:t xml:space="preserve"> </w:t>
      </w:r>
      <w:r w:rsidRPr="007E666D">
        <w:rPr>
          <w:rFonts w:ascii="Verdana" w:hAnsi="Verdana" w:cs="TimesNewRoman"/>
          <w:sz w:val="16"/>
          <w:szCs w:val="16"/>
          <w:lang w:val="es-PR"/>
        </w:rPr>
        <w:t>gubernamentales, de cualquier sector o nivel, o grupos organizados o</w:t>
      </w:r>
      <w:r w:rsidRPr="007E666D">
        <w:rPr>
          <w:rFonts w:ascii="Verdana" w:hAnsi="Verdana"/>
          <w:sz w:val="16"/>
          <w:szCs w:val="16"/>
          <w:lang w:val="es-PR"/>
        </w:rPr>
        <w:t xml:space="preserve"> </w:t>
      </w:r>
      <w:r w:rsidRPr="007E666D">
        <w:rPr>
          <w:rFonts w:ascii="Verdana" w:hAnsi="Verdana" w:cs="TimesNewRoman"/>
          <w:sz w:val="16"/>
          <w:szCs w:val="16"/>
          <w:lang w:val="es-PR"/>
        </w:rPr>
        <w:t>particulares que actúen en nombre o con el apoyo directo o indirecto del</w:t>
      </w:r>
      <w:r w:rsidRPr="007E666D">
        <w:rPr>
          <w:rFonts w:ascii="Verdana" w:hAnsi="Verdana"/>
          <w:sz w:val="16"/>
          <w:szCs w:val="16"/>
          <w:lang w:val="es-PR"/>
        </w:rPr>
        <w:t xml:space="preserve"> </w:t>
      </w:r>
      <w:r w:rsidRPr="007E666D">
        <w:rPr>
          <w:rFonts w:ascii="Verdana" w:hAnsi="Verdana" w:cs="TimesNewRoman"/>
          <w:sz w:val="16"/>
          <w:szCs w:val="16"/>
          <w:lang w:val="es-PR"/>
        </w:rPr>
        <w:t>Gobierno o con su consentimiento o aquiescencia y que, con posterioridad a</w:t>
      </w:r>
      <w:r w:rsidRPr="007E666D">
        <w:rPr>
          <w:rFonts w:ascii="Verdana" w:hAnsi="Verdana"/>
          <w:sz w:val="16"/>
          <w:szCs w:val="16"/>
          <w:lang w:val="es-PR"/>
        </w:rPr>
        <w:t xml:space="preserve"> </w:t>
      </w:r>
      <w:r w:rsidRPr="007E666D">
        <w:rPr>
          <w:rFonts w:ascii="Verdana" w:hAnsi="Verdana" w:cs="TimesNewRoman"/>
          <w:sz w:val="16"/>
          <w:szCs w:val="16"/>
          <w:lang w:val="es-PR"/>
        </w:rPr>
        <w:t>la detención, o incluso después de haberse llevado a cabo la ejecución, se</w:t>
      </w:r>
      <w:r w:rsidRPr="007E666D">
        <w:rPr>
          <w:rFonts w:ascii="Verdana" w:hAnsi="Verdana"/>
          <w:sz w:val="16"/>
          <w:szCs w:val="16"/>
          <w:lang w:val="es-PR"/>
        </w:rPr>
        <w:t xml:space="preserve"> </w:t>
      </w:r>
      <w:r w:rsidRPr="007E666D">
        <w:rPr>
          <w:rFonts w:ascii="Verdana" w:hAnsi="Verdana" w:cs="TimesNewRoman"/>
          <w:sz w:val="16"/>
          <w:szCs w:val="16"/>
          <w:lang w:val="es-PR"/>
        </w:rPr>
        <w:t>nieguen a revelar la suerte o el paradero de esas personas o a reconocer que el</w:t>
      </w:r>
      <w:r w:rsidRPr="007E666D">
        <w:rPr>
          <w:rFonts w:ascii="Verdana" w:hAnsi="Verdana"/>
          <w:sz w:val="16"/>
          <w:szCs w:val="16"/>
          <w:lang w:val="es-PR"/>
        </w:rPr>
        <w:t xml:space="preserve"> </w:t>
      </w:r>
      <w:r w:rsidRPr="007E666D">
        <w:rPr>
          <w:rFonts w:ascii="Verdana" w:hAnsi="Verdana" w:cs="TimesNewRoman"/>
          <w:sz w:val="16"/>
          <w:szCs w:val="16"/>
          <w:lang w:val="es-PR"/>
        </w:rPr>
        <w:t>acto se haya cometido en absoluto”.</w:t>
      </w:r>
      <w:r w:rsidRPr="007E666D">
        <w:rPr>
          <w:rFonts w:ascii="Verdana" w:hAnsi="Verdana"/>
          <w:sz w:val="16"/>
          <w:szCs w:val="16"/>
          <w:lang w:val="es-PR"/>
        </w:rPr>
        <w:t xml:space="preserve"> Desapariciones forzadas o involuntarias, Folleto Informativo No. 6/REV.3, </w:t>
      </w:r>
      <w:r w:rsidRPr="007E666D">
        <w:rPr>
          <w:rFonts w:ascii="Verdana" w:hAnsi="Verdana" w:cs="TimesNewRoman,Bold"/>
          <w:bCs/>
          <w:sz w:val="16"/>
          <w:szCs w:val="16"/>
          <w:lang w:val="es-PR"/>
        </w:rPr>
        <w:t xml:space="preserve">Oficina del Alto Comisionado de las Naciones Unidas para los Derechos Humanos, 2009, pág. 14, y </w:t>
      </w:r>
      <w:r w:rsidRPr="007E666D">
        <w:rPr>
          <w:rFonts w:ascii="Verdana" w:hAnsi="Verdana"/>
          <w:spacing w:val="-4"/>
          <w:sz w:val="16"/>
          <w:szCs w:val="16"/>
          <w:lang w:val="es-PR"/>
        </w:rPr>
        <w:t xml:space="preserve">Grupo de Trabajo sobre las Desapariciones Forzadas o Involuntarias, </w:t>
      </w:r>
      <w:r w:rsidRPr="007E666D">
        <w:rPr>
          <w:rFonts w:ascii="Verdana" w:hAnsi="Verdana" w:cs="Arial"/>
          <w:spacing w:val="-4"/>
          <w:sz w:val="16"/>
          <w:szCs w:val="16"/>
          <w:lang w:val="es-PR"/>
        </w:rPr>
        <w:t xml:space="preserve">Informe del </w:t>
      </w:r>
      <w:r w:rsidRPr="007E666D">
        <w:rPr>
          <w:rFonts w:ascii="Verdana" w:hAnsi="Verdana"/>
          <w:spacing w:val="-4"/>
          <w:sz w:val="16"/>
          <w:szCs w:val="16"/>
          <w:lang w:val="es-PR"/>
        </w:rPr>
        <w:t>Grupo de Trabajo sobre las Desapariciones Forzadas o Involuntarias</w:t>
      </w:r>
      <w:r w:rsidRPr="007E666D">
        <w:rPr>
          <w:rFonts w:ascii="Verdana" w:hAnsi="Verdana" w:cs="Arial"/>
          <w:spacing w:val="-4"/>
          <w:sz w:val="16"/>
          <w:szCs w:val="16"/>
          <w:lang w:val="es-PR"/>
        </w:rPr>
        <w:t>,</w:t>
      </w:r>
      <w:r w:rsidRPr="007E666D">
        <w:rPr>
          <w:rFonts w:ascii="Verdana" w:hAnsi="Verdana" w:cs="Arial"/>
          <w:i/>
          <w:spacing w:val="-4"/>
          <w:sz w:val="16"/>
          <w:szCs w:val="16"/>
          <w:lang w:val="es-PR"/>
        </w:rPr>
        <w:t xml:space="preserve"> Comentario general sobre la definición de desapariciones forzadas, </w:t>
      </w:r>
      <w:r w:rsidRPr="007E666D">
        <w:rPr>
          <w:rFonts w:ascii="Verdana" w:hAnsi="Verdana" w:cs="Arial"/>
          <w:spacing w:val="-4"/>
          <w:sz w:val="16"/>
          <w:szCs w:val="16"/>
          <w:lang w:val="es-PR"/>
        </w:rPr>
        <w:t xml:space="preserve">A/HRC/7/2, 10 de enero de 2008, pág. 14, párr. 10. Lo anterior, </w:t>
      </w:r>
      <w:r w:rsidRPr="007E666D">
        <w:rPr>
          <w:rFonts w:ascii="Verdana" w:hAnsi="Verdana"/>
          <w:snapToGrid w:val="0"/>
          <w:sz w:val="16"/>
          <w:szCs w:val="16"/>
          <w:lang w:val="es-PR"/>
        </w:rPr>
        <w:t>“aunque sea de corta duración” la detención.</w:t>
      </w:r>
      <w:r w:rsidRPr="007E666D">
        <w:rPr>
          <w:rFonts w:ascii="Verdana" w:hAnsi="Verdana" w:cs="Arial"/>
          <w:spacing w:val="-4"/>
          <w:sz w:val="16"/>
          <w:szCs w:val="16"/>
          <w:lang w:val="es-PR"/>
        </w:rPr>
        <w:t xml:space="preserve"> </w:t>
      </w:r>
      <w:r w:rsidRPr="007E666D">
        <w:rPr>
          <w:rFonts w:ascii="Verdana" w:hAnsi="Verdana"/>
          <w:spacing w:val="-4"/>
          <w:sz w:val="16"/>
          <w:szCs w:val="16"/>
          <w:lang w:val="es-PR"/>
        </w:rPr>
        <w:t xml:space="preserve">Grupo de Trabajo sobre las Desapariciones Forzadas o Involuntarias, </w:t>
      </w:r>
      <w:r w:rsidRPr="007E666D">
        <w:rPr>
          <w:rFonts w:ascii="Verdana" w:hAnsi="Verdana" w:cs="Arial"/>
          <w:spacing w:val="-4"/>
          <w:sz w:val="16"/>
          <w:szCs w:val="16"/>
          <w:lang w:val="es-PR"/>
        </w:rPr>
        <w:t xml:space="preserve">Informe del </w:t>
      </w:r>
      <w:r w:rsidRPr="007E666D">
        <w:rPr>
          <w:rFonts w:ascii="Verdana" w:hAnsi="Verdana"/>
          <w:spacing w:val="-4"/>
          <w:sz w:val="16"/>
          <w:szCs w:val="16"/>
          <w:lang w:val="es-PR"/>
        </w:rPr>
        <w:t>Grupo de Trabajo sobre las Desapariciones Forzadas o Involuntarias</w:t>
      </w:r>
      <w:r w:rsidRPr="007E666D">
        <w:rPr>
          <w:rFonts w:ascii="Verdana" w:hAnsi="Verdana" w:cs="Arial"/>
          <w:spacing w:val="-4"/>
          <w:sz w:val="16"/>
          <w:szCs w:val="16"/>
          <w:lang w:val="es-PR"/>
        </w:rPr>
        <w:t>,</w:t>
      </w:r>
      <w:r w:rsidRPr="007E666D">
        <w:rPr>
          <w:rFonts w:ascii="Verdana" w:hAnsi="Verdana" w:cs="Arial"/>
          <w:i/>
          <w:spacing w:val="-4"/>
          <w:sz w:val="16"/>
          <w:szCs w:val="16"/>
          <w:lang w:val="es-PR"/>
        </w:rPr>
        <w:t xml:space="preserve"> </w:t>
      </w:r>
      <w:r w:rsidRPr="007E666D">
        <w:rPr>
          <w:rFonts w:ascii="Verdana" w:hAnsi="Verdana" w:cs="Arial"/>
          <w:spacing w:val="-4"/>
          <w:sz w:val="16"/>
          <w:szCs w:val="16"/>
          <w:lang w:val="es-PR"/>
        </w:rPr>
        <w:t>A/HRC/7/2, 10 de enero de 2008, pág. 95, párr. 427.</w:t>
      </w:r>
    </w:p>
  </w:footnote>
  <w:footnote w:id="195">
    <w:p w:rsidR="00D57F75" w:rsidRPr="007E666D" w:rsidRDefault="00D57F75" w:rsidP="00106A1E">
      <w:pPr>
        <w:pStyle w:val="FootnoteText"/>
        <w:tabs>
          <w:tab w:val="left" w:pos="450"/>
        </w:tabs>
        <w:contextualSpacing/>
        <w:jc w:val="both"/>
        <w:rPr>
          <w:rFonts w:ascii="Verdana" w:hAnsi="Verdana"/>
          <w:bCs/>
          <w:color w:val="000000"/>
          <w:sz w:val="16"/>
          <w:szCs w:val="16"/>
          <w:shd w:val="clear" w:color="auto" w:fill="FFFFFF"/>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eastAsia="Batang" w:hAnsi="Verdana"/>
          <w:i/>
          <w:sz w:val="16"/>
          <w:szCs w:val="16"/>
          <w:lang w:val="es-PR"/>
        </w:rPr>
        <w:t>Cfr.</w:t>
      </w:r>
      <w:r w:rsidRPr="007E666D">
        <w:rPr>
          <w:rFonts w:ascii="Verdana" w:eastAsia="Batang" w:hAnsi="Verdana"/>
          <w:sz w:val="16"/>
          <w:szCs w:val="16"/>
          <w:lang w:val="es-PR"/>
        </w:rPr>
        <w:t xml:space="preserve"> </w:t>
      </w:r>
      <w:r w:rsidRPr="007E666D">
        <w:rPr>
          <w:rStyle w:val="Strong"/>
          <w:rFonts w:ascii="Verdana" w:hAnsi="Verdana"/>
          <w:b w:val="0"/>
          <w:i/>
          <w:color w:val="000000"/>
          <w:sz w:val="16"/>
          <w:szCs w:val="16"/>
          <w:shd w:val="clear" w:color="auto" w:fill="FFFFFF"/>
          <w:lang w:val="es-PR"/>
        </w:rPr>
        <w:t>Caso Ibsen Cárdenas e Ibsen Peña Vs. Bolivia</w:t>
      </w:r>
      <w:r w:rsidRPr="007E666D">
        <w:rPr>
          <w:rStyle w:val="Strong"/>
          <w:rFonts w:ascii="Verdana" w:hAnsi="Verdana"/>
          <w:b w:val="0"/>
          <w:color w:val="000000"/>
          <w:sz w:val="16"/>
          <w:szCs w:val="16"/>
          <w:shd w:val="clear" w:color="auto" w:fill="FFFFFF"/>
          <w:lang w:val="es-PR"/>
        </w:rPr>
        <w:t xml:space="preserve">, </w:t>
      </w:r>
      <w:r w:rsidRPr="007E666D">
        <w:rPr>
          <w:rStyle w:val="Strong"/>
          <w:rFonts w:ascii="Verdana" w:hAnsi="Verdana"/>
          <w:b w:val="0"/>
          <w:i/>
          <w:color w:val="000000"/>
          <w:sz w:val="16"/>
          <w:szCs w:val="16"/>
          <w:shd w:val="clear" w:color="auto" w:fill="FFFFFF"/>
          <w:lang w:val="es-PR"/>
        </w:rPr>
        <w:t>supra</w:t>
      </w:r>
      <w:r w:rsidRPr="007E666D">
        <w:rPr>
          <w:rFonts w:ascii="Verdana" w:eastAsia="Batang" w:hAnsi="Verdana"/>
          <w:sz w:val="16"/>
          <w:szCs w:val="16"/>
          <w:lang w:val="es-PR"/>
        </w:rPr>
        <w:t>, párr. 82</w:t>
      </w:r>
      <w:r w:rsidRPr="007E666D">
        <w:rPr>
          <w:rStyle w:val="Strong"/>
          <w:rFonts w:ascii="Verdana" w:hAnsi="Verdana"/>
          <w:b w:val="0"/>
          <w:color w:val="000000"/>
          <w:sz w:val="16"/>
          <w:szCs w:val="16"/>
          <w:shd w:val="clear" w:color="auto" w:fill="FFFFFF"/>
          <w:lang w:val="es-PR"/>
        </w:rPr>
        <w:t xml:space="preserve">, y </w:t>
      </w:r>
      <w:r w:rsidRPr="007E666D">
        <w:rPr>
          <w:rStyle w:val="Strong"/>
          <w:rFonts w:ascii="Verdana" w:hAnsi="Verdana"/>
          <w:b w:val="0"/>
          <w:i/>
          <w:color w:val="000000"/>
          <w:sz w:val="16"/>
          <w:szCs w:val="16"/>
          <w:shd w:val="clear" w:color="auto" w:fill="FFFFFF"/>
          <w:lang w:val="es-PR"/>
        </w:rPr>
        <w:t>Caso Gudiel Álvarez y otros ("Diario Militar") Vs. Guatemala, supra</w:t>
      </w:r>
      <w:r w:rsidRPr="007E666D">
        <w:rPr>
          <w:rStyle w:val="Strong"/>
          <w:rFonts w:ascii="Verdana" w:hAnsi="Verdana"/>
          <w:b w:val="0"/>
          <w:color w:val="000000"/>
          <w:sz w:val="16"/>
          <w:szCs w:val="16"/>
          <w:shd w:val="clear" w:color="auto" w:fill="FFFFFF"/>
          <w:lang w:val="es-PR"/>
        </w:rPr>
        <w:t xml:space="preserve">, párr. 207. </w:t>
      </w:r>
    </w:p>
  </w:footnote>
  <w:footnote w:id="196">
    <w:p w:rsidR="00D57F75" w:rsidRPr="007E666D" w:rsidRDefault="00D57F75" w:rsidP="00106A1E">
      <w:pPr>
        <w:pStyle w:val="FootnoteText"/>
        <w:ind w:right="-279"/>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 Caso La Cantuta Vs. Perú, supra,</w:t>
      </w:r>
      <w:r w:rsidRPr="007E666D">
        <w:rPr>
          <w:rFonts w:ascii="Verdana" w:hAnsi="Verdana"/>
          <w:sz w:val="16"/>
          <w:szCs w:val="16"/>
          <w:lang w:val="es-PR"/>
        </w:rPr>
        <w:t xml:space="preserve"> párr. 114, y </w:t>
      </w:r>
      <w:r w:rsidRPr="007E666D">
        <w:rPr>
          <w:rStyle w:val="Strong"/>
          <w:rFonts w:ascii="Verdana" w:hAnsi="Verdana"/>
          <w:b w:val="0"/>
          <w:i/>
          <w:color w:val="000000"/>
          <w:sz w:val="16"/>
          <w:szCs w:val="16"/>
          <w:shd w:val="clear" w:color="auto" w:fill="FFFFFF"/>
          <w:lang w:val="es-PR"/>
        </w:rPr>
        <w:t>Caso Ibsen Cárdenas e Ibsen Peña Vs. Bolivia</w:t>
      </w:r>
      <w:r w:rsidRPr="007E666D">
        <w:rPr>
          <w:rStyle w:val="Strong"/>
          <w:rFonts w:ascii="Verdana" w:hAnsi="Verdana"/>
          <w:b w:val="0"/>
          <w:color w:val="000000"/>
          <w:sz w:val="16"/>
          <w:szCs w:val="16"/>
          <w:shd w:val="clear" w:color="auto" w:fill="FFFFFF"/>
          <w:lang w:val="es-PR"/>
        </w:rPr>
        <w:t xml:space="preserve">, </w:t>
      </w:r>
      <w:r w:rsidRPr="007E666D">
        <w:rPr>
          <w:rStyle w:val="Strong"/>
          <w:rFonts w:ascii="Verdana" w:hAnsi="Verdana"/>
          <w:b w:val="0"/>
          <w:i/>
          <w:color w:val="000000"/>
          <w:sz w:val="16"/>
          <w:szCs w:val="16"/>
          <w:shd w:val="clear" w:color="auto" w:fill="FFFFFF"/>
          <w:lang w:val="es-PR"/>
        </w:rPr>
        <w:t>supra</w:t>
      </w:r>
      <w:r w:rsidRPr="007E666D">
        <w:rPr>
          <w:rFonts w:ascii="Verdana" w:eastAsia="Batang" w:hAnsi="Verdana"/>
          <w:sz w:val="16"/>
          <w:szCs w:val="16"/>
          <w:lang w:val="es-PR"/>
        </w:rPr>
        <w:t>, párr. 82</w:t>
      </w:r>
      <w:r w:rsidRPr="007E666D">
        <w:rPr>
          <w:rFonts w:ascii="Verdana" w:hAnsi="Verdana"/>
          <w:sz w:val="16"/>
          <w:szCs w:val="16"/>
          <w:lang w:val="es-PR"/>
        </w:rPr>
        <w:t>. En este sentido se orientan los "Principios relativos a una eficaz prevención e investigación de las ejecuciones extralegales, arbitrarias o sumarias", recomendados por el Consejo Económico y Social de la Organización de las Naciones Unidas en su Resolución 1989/65 de 24 de mayo de 1989. Véase, además, el “Protocolo Modelo de Exhumación y Análisis de Restos Óseos” del Manual Sobre la Prevención e Investigación Eficaces de las Ejecuciones Extralegales, Arbitrarias o Sumarias, U.N. Doc. ST/CSDHA/12 (1991).</w:t>
      </w:r>
    </w:p>
  </w:footnote>
  <w:footnote w:id="197">
    <w:p w:rsidR="00D57F75" w:rsidRPr="007E666D" w:rsidRDefault="00D57F75" w:rsidP="00106A1E">
      <w:pPr>
        <w:pStyle w:val="FootnoteText"/>
        <w:tabs>
          <w:tab w:val="left" w:pos="450"/>
        </w:tabs>
        <w:contextualSpacing/>
        <w:jc w:val="both"/>
        <w:rPr>
          <w:rFonts w:ascii="Verdana" w:hAnsi="Verdana"/>
          <w:bCs/>
          <w:color w:val="000000"/>
          <w:sz w:val="16"/>
          <w:szCs w:val="16"/>
          <w:shd w:val="clear" w:color="auto" w:fill="FFFFFF"/>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eastAsia="Batang" w:hAnsi="Verdana"/>
          <w:i/>
          <w:sz w:val="16"/>
          <w:szCs w:val="16"/>
          <w:lang w:val="es-PR"/>
        </w:rPr>
        <w:t>Cfr.</w:t>
      </w:r>
      <w:r w:rsidRPr="007E666D">
        <w:rPr>
          <w:rFonts w:ascii="Verdana" w:eastAsia="Batang" w:hAnsi="Verdana"/>
          <w:sz w:val="16"/>
          <w:szCs w:val="16"/>
          <w:lang w:val="es-PR"/>
        </w:rPr>
        <w:t xml:space="preserve"> </w:t>
      </w:r>
      <w:r w:rsidRPr="007E666D">
        <w:rPr>
          <w:rStyle w:val="Strong"/>
          <w:rFonts w:ascii="Verdana" w:hAnsi="Verdana"/>
          <w:b w:val="0"/>
          <w:i/>
          <w:color w:val="000000"/>
          <w:sz w:val="16"/>
          <w:szCs w:val="16"/>
          <w:shd w:val="clear" w:color="auto" w:fill="FFFFFF"/>
          <w:lang w:val="es-PR"/>
        </w:rPr>
        <w:t>Caso La Cantuta Vs. Perú, supra</w:t>
      </w:r>
      <w:r w:rsidRPr="007E666D">
        <w:rPr>
          <w:rStyle w:val="Strong"/>
          <w:rFonts w:ascii="Verdana" w:hAnsi="Verdana"/>
          <w:b w:val="0"/>
          <w:color w:val="000000"/>
          <w:sz w:val="16"/>
          <w:szCs w:val="16"/>
          <w:shd w:val="clear" w:color="auto" w:fill="FFFFFF"/>
          <w:lang w:val="es-PR"/>
        </w:rPr>
        <w:t xml:space="preserve">, párr. 114, y </w:t>
      </w:r>
      <w:r w:rsidRPr="007E666D">
        <w:rPr>
          <w:rStyle w:val="Strong"/>
          <w:rFonts w:ascii="Verdana" w:hAnsi="Verdana"/>
          <w:b w:val="0"/>
          <w:i/>
          <w:color w:val="000000"/>
          <w:sz w:val="16"/>
          <w:szCs w:val="16"/>
          <w:shd w:val="clear" w:color="auto" w:fill="FFFFFF"/>
          <w:lang w:val="es-PR"/>
        </w:rPr>
        <w:t>Caso Gudiel Álvarez y otros ("Diario Militar") Vs. Guatemala, supra</w:t>
      </w:r>
      <w:r w:rsidRPr="007E666D">
        <w:rPr>
          <w:rStyle w:val="Strong"/>
          <w:rFonts w:ascii="Verdana" w:hAnsi="Verdana"/>
          <w:b w:val="0"/>
          <w:color w:val="000000"/>
          <w:sz w:val="16"/>
          <w:szCs w:val="16"/>
          <w:shd w:val="clear" w:color="auto" w:fill="FFFFFF"/>
          <w:lang w:val="es-PR"/>
        </w:rPr>
        <w:t>, párr. 207.</w:t>
      </w:r>
    </w:p>
  </w:footnote>
  <w:footnote w:id="198">
    <w:p w:rsidR="00D57F75" w:rsidRPr="007E666D" w:rsidRDefault="00D57F75" w:rsidP="00106A1E">
      <w:pPr>
        <w:pStyle w:val="FootnoteText"/>
        <w:tabs>
          <w:tab w:val="left" w:pos="426"/>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Caso Radilla Pacheco Vs. México. Excepciones Preliminares, Fondo, Reparaciones y Costas. </w:t>
      </w:r>
      <w:r w:rsidRPr="007E666D">
        <w:rPr>
          <w:rFonts w:ascii="Verdana" w:hAnsi="Verdana"/>
          <w:spacing w:val="-4"/>
          <w:sz w:val="16"/>
          <w:szCs w:val="16"/>
          <w:lang w:val="es-PR"/>
        </w:rPr>
        <w:t>Sentencia de 23 de noviembre de 2009. Serie C No. 209,</w:t>
      </w:r>
      <w:r w:rsidRPr="007E666D">
        <w:rPr>
          <w:rFonts w:ascii="Verdana" w:hAnsi="Verdana"/>
          <w:i/>
          <w:spacing w:val="-4"/>
          <w:sz w:val="16"/>
          <w:szCs w:val="16"/>
          <w:lang w:val="es-PR"/>
        </w:rPr>
        <w:t xml:space="preserve"> </w:t>
      </w:r>
      <w:r w:rsidRPr="007E666D">
        <w:rPr>
          <w:rFonts w:ascii="Verdana" w:hAnsi="Verdana"/>
          <w:spacing w:val="-4"/>
          <w:sz w:val="16"/>
          <w:szCs w:val="16"/>
          <w:lang w:val="es-PR"/>
        </w:rPr>
        <w:t>párr. 138</w:t>
      </w:r>
      <w:r w:rsidRPr="007E666D">
        <w:rPr>
          <w:rFonts w:ascii="Verdana" w:hAnsi="Verdana"/>
          <w:color w:val="000000"/>
          <w:spacing w:val="-4"/>
          <w:sz w:val="16"/>
          <w:szCs w:val="16"/>
          <w:lang w:val="es-PR"/>
        </w:rPr>
        <w:t xml:space="preserve">, y </w:t>
      </w:r>
      <w:r w:rsidRPr="007E666D">
        <w:rPr>
          <w:rFonts w:ascii="Verdana" w:hAnsi="Verdana"/>
          <w:i/>
          <w:color w:val="000000"/>
          <w:spacing w:val="-4"/>
          <w:sz w:val="16"/>
          <w:szCs w:val="16"/>
          <w:lang w:val="es-PR"/>
        </w:rPr>
        <w:t>Caso</w:t>
      </w:r>
      <w:r w:rsidRPr="007E666D">
        <w:rPr>
          <w:rFonts w:ascii="Verdana" w:hAnsi="Verdana"/>
          <w:i/>
          <w:spacing w:val="-4"/>
          <w:sz w:val="16"/>
          <w:szCs w:val="16"/>
          <w:lang w:val="es-PR"/>
        </w:rPr>
        <w:t xml:space="preserve"> García y familiares Vs. Guatemala, supra</w:t>
      </w:r>
      <w:r w:rsidRPr="007E666D">
        <w:rPr>
          <w:rFonts w:ascii="Verdana" w:hAnsi="Verdana"/>
          <w:spacing w:val="-4"/>
          <w:sz w:val="16"/>
          <w:szCs w:val="16"/>
          <w:lang w:val="es-PR"/>
        </w:rPr>
        <w:t>, párr. 99.</w:t>
      </w:r>
    </w:p>
  </w:footnote>
  <w:footnote w:id="199">
    <w:p w:rsidR="00D57F75" w:rsidRPr="007E666D" w:rsidRDefault="00D57F75" w:rsidP="00106A1E">
      <w:pPr>
        <w:pStyle w:val="FootnoteText"/>
        <w:tabs>
          <w:tab w:val="left" w:pos="450"/>
        </w:tabs>
        <w:contextualSpacing/>
        <w:jc w:val="both"/>
        <w:rPr>
          <w:rFonts w:ascii="Verdana" w:hAnsi="Verdana"/>
          <w:spacing w:val="-4"/>
          <w:sz w:val="16"/>
          <w:szCs w:val="16"/>
          <w:lang w:val="es-PR"/>
        </w:rPr>
      </w:pPr>
      <w:r w:rsidRPr="007E666D">
        <w:rPr>
          <w:rStyle w:val="FootnoteReference"/>
          <w:rFonts w:eastAsia="Times"/>
          <w:sz w:val="16"/>
          <w:lang w:val="es-PR"/>
        </w:rPr>
        <w:footnoteRef/>
      </w:r>
      <w:r w:rsidRPr="007E666D">
        <w:rPr>
          <w:rFonts w:ascii="Verdana" w:hAnsi="Verdana"/>
          <w:spacing w:val="-4"/>
          <w:sz w:val="16"/>
          <w:szCs w:val="16"/>
          <w:lang w:val="es-PR"/>
        </w:rPr>
        <w:tab/>
      </w:r>
      <w:r w:rsidRPr="007E666D">
        <w:rPr>
          <w:rFonts w:ascii="Verdana" w:hAnsi="Verdana"/>
          <w:i/>
          <w:spacing w:val="-4"/>
          <w:sz w:val="16"/>
          <w:szCs w:val="16"/>
          <w:lang w:val="es-PR"/>
        </w:rPr>
        <w:t xml:space="preserve">Cfr. Caso Heliodoro Portugal Vs. Panamá. Excepciones Preliminares, Fondo, Reparaciones y Costas. </w:t>
      </w:r>
      <w:r w:rsidRPr="007E666D">
        <w:rPr>
          <w:rFonts w:ascii="Verdana" w:hAnsi="Verdana"/>
          <w:spacing w:val="-4"/>
          <w:sz w:val="16"/>
          <w:szCs w:val="16"/>
          <w:lang w:val="es-PR"/>
        </w:rPr>
        <w:t>Sentencia de 12 de agosto de 2008. Serie C No. 186,</w:t>
      </w:r>
      <w:r w:rsidRPr="007E666D">
        <w:rPr>
          <w:rFonts w:ascii="Verdana" w:hAnsi="Verdana"/>
          <w:i/>
          <w:spacing w:val="-4"/>
          <w:sz w:val="16"/>
          <w:szCs w:val="16"/>
          <w:lang w:val="es-PR"/>
        </w:rPr>
        <w:t xml:space="preserve"> </w:t>
      </w:r>
      <w:r w:rsidRPr="007E666D">
        <w:rPr>
          <w:rFonts w:ascii="Verdana" w:hAnsi="Verdana"/>
          <w:spacing w:val="-4"/>
          <w:sz w:val="16"/>
          <w:szCs w:val="16"/>
          <w:lang w:val="es-PR"/>
        </w:rPr>
        <w:t>párr.</w:t>
      </w:r>
      <w:r w:rsidRPr="007E666D">
        <w:rPr>
          <w:rFonts w:ascii="Verdana" w:hAnsi="Verdana"/>
          <w:spacing w:val="-4"/>
          <w:sz w:val="16"/>
          <w:szCs w:val="16"/>
          <w:lang w:val="es-PR" w:bidi="en-US"/>
        </w:rPr>
        <w:t xml:space="preserve"> </w:t>
      </w:r>
      <w:r w:rsidRPr="007E666D">
        <w:rPr>
          <w:rFonts w:ascii="Verdana" w:hAnsi="Verdana"/>
          <w:spacing w:val="-4"/>
          <w:sz w:val="16"/>
          <w:szCs w:val="16"/>
          <w:lang w:val="es-PR"/>
        </w:rPr>
        <w:t xml:space="preserve">112, y </w:t>
      </w:r>
      <w:r w:rsidRPr="007E666D">
        <w:rPr>
          <w:rFonts w:ascii="Verdana" w:hAnsi="Verdana"/>
          <w:i/>
          <w:color w:val="000000"/>
          <w:spacing w:val="-4"/>
          <w:sz w:val="16"/>
          <w:szCs w:val="16"/>
          <w:lang w:val="es-PR"/>
        </w:rPr>
        <w:t>Caso</w:t>
      </w:r>
      <w:r w:rsidRPr="007E666D">
        <w:rPr>
          <w:rFonts w:ascii="Verdana" w:hAnsi="Verdana"/>
          <w:i/>
          <w:spacing w:val="-4"/>
          <w:sz w:val="16"/>
          <w:szCs w:val="16"/>
          <w:lang w:val="es-PR"/>
        </w:rPr>
        <w:t xml:space="preserve"> García y familiares Vs. Guatemala, supra,</w:t>
      </w:r>
      <w:r w:rsidRPr="007E666D">
        <w:rPr>
          <w:rFonts w:ascii="Verdana" w:hAnsi="Verdana"/>
          <w:spacing w:val="-4"/>
          <w:sz w:val="16"/>
          <w:szCs w:val="16"/>
          <w:lang w:val="es-PR"/>
        </w:rPr>
        <w:t xml:space="preserve"> párr. 99.</w:t>
      </w:r>
    </w:p>
  </w:footnote>
  <w:footnote w:id="200">
    <w:p w:rsidR="00D57F75" w:rsidRPr="007E666D" w:rsidRDefault="00D57F75" w:rsidP="00106A1E">
      <w:pPr>
        <w:tabs>
          <w:tab w:val="left" w:pos="426"/>
        </w:tabs>
        <w:autoSpaceDE w:val="0"/>
        <w:autoSpaceDN w:val="0"/>
        <w:adjustRightInd w:val="0"/>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Heliodoro Portugal Vs. Panamá</w:t>
      </w:r>
      <w:r w:rsidRPr="007E666D">
        <w:rPr>
          <w:rFonts w:ascii="Verdana" w:hAnsi="Verdana"/>
          <w:i/>
          <w:spacing w:val="-4"/>
          <w:sz w:val="16"/>
          <w:szCs w:val="16"/>
          <w:lang w:val="es-PR" w:bidi="en-US"/>
        </w:rPr>
        <w:t>, supra</w:t>
      </w:r>
      <w:r w:rsidRPr="007E666D">
        <w:rPr>
          <w:rFonts w:ascii="Verdana" w:hAnsi="Verdana"/>
          <w:spacing w:val="-4"/>
          <w:sz w:val="16"/>
          <w:szCs w:val="16"/>
          <w:lang w:val="es-PR" w:bidi="en-US"/>
        </w:rPr>
        <w:t>, párr. 112,</w:t>
      </w:r>
      <w:r w:rsidRPr="007E666D">
        <w:rPr>
          <w:rFonts w:ascii="Verdana" w:hAnsi="Verdana"/>
          <w:spacing w:val="-4"/>
          <w:sz w:val="16"/>
          <w:szCs w:val="16"/>
          <w:lang w:val="es-PR"/>
        </w:rPr>
        <w:t xml:space="preserve"> y </w:t>
      </w:r>
      <w:r w:rsidRPr="007E666D">
        <w:rPr>
          <w:rFonts w:ascii="Verdana" w:hAnsi="Verdana"/>
          <w:bCs/>
          <w:i/>
          <w:spacing w:val="-4"/>
          <w:sz w:val="16"/>
          <w:szCs w:val="16"/>
          <w:lang w:val="es-PR"/>
        </w:rPr>
        <w:t>Caso Osorio Rivera y familiares Vs. Perú, supra</w:t>
      </w:r>
      <w:r w:rsidRPr="007E666D">
        <w:rPr>
          <w:rFonts w:ascii="Verdana" w:hAnsi="Verdana"/>
          <w:bCs/>
          <w:spacing w:val="-4"/>
          <w:sz w:val="16"/>
          <w:szCs w:val="16"/>
          <w:lang w:val="es-PR"/>
        </w:rPr>
        <w:t>, párr. 116.</w:t>
      </w:r>
    </w:p>
  </w:footnote>
  <w:footnote w:id="201">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Sentencia de la Sala Penal Nacional de 9 de febrero de 2012 (expediente de prueba, folios 4512 y 4541).</w:t>
      </w:r>
    </w:p>
  </w:footnote>
  <w:footnote w:id="202">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9 de febrero de 2012 (expediente de prueba, folio 4513).</w:t>
      </w:r>
    </w:p>
  </w:footnote>
  <w:footnote w:id="203">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Sentencia de la Sala Penal Nacional de 9 de febrero de 2012 (expediente de prueba, folios 4392, 4396 y 4434).</w:t>
      </w:r>
    </w:p>
  </w:footnote>
  <w:footnote w:id="204">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Sentencia de la Sala Penal Nacional de 9 de febrero de 2012 (expediente de prueba, folios 4413 y 4414). </w:t>
      </w:r>
    </w:p>
  </w:footnote>
  <w:footnote w:id="205">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bCs/>
          <w:i/>
          <w:sz w:val="16"/>
          <w:szCs w:val="16"/>
          <w:lang w:val="es-PR"/>
        </w:rPr>
        <w:t xml:space="preserve">Caso </w:t>
      </w:r>
      <w:r w:rsidRPr="007E666D">
        <w:rPr>
          <w:rStyle w:val="Strong"/>
          <w:rFonts w:ascii="Verdana" w:hAnsi="Verdana"/>
          <w:b w:val="0"/>
          <w:i/>
          <w:color w:val="000000"/>
          <w:sz w:val="16"/>
          <w:szCs w:val="16"/>
          <w:shd w:val="clear" w:color="auto" w:fill="FFFFFF"/>
          <w:lang w:val="es-PR"/>
        </w:rPr>
        <w:t>Anzualdo Castro Vs. Perú</w:t>
      </w:r>
      <w:r w:rsidRPr="007E666D">
        <w:rPr>
          <w:rStyle w:val="Strong"/>
          <w:rFonts w:ascii="Verdana" w:hAnsi="Verdana"/>
          <w:b w:val="0"/>
          <w:color w:val="000000"/>
          <w:sz w:val="16"/>
          <w:szCs w:val="16"/>
          <w:shd w:val="clear" w:color="auto" w:fill="FFFFFF"/>
          <w:lang w:val="es-PR"/>
        </w:rPr>
        <w:t xml:space="preserve">, </w:t>
      </w:r>
      <w:r w:rsidRPr="007E666D">
        <w:rPr>
          <w:rStyle w:val="Strong"/>
          <w:rFonts w:ascii="Verdana" w:hAnsi="Verdana"/>
          <w:b w:val="0"/>
          <w:i/>
          <w:color w:val="000000"/>
          <w:sz w:val="16"/>
          <w:szCs w:val="16"/>
          <w:shd w:val="clear" w:color="auto" w:fill="FFFFFF"/>
          <w:lang w:val="es-PR"/>
        </w:rPr>
        <w:t>supra</w:t>
      </w:r>
      <w:r w:rsidRPr="007E666D">
        <w:rPr>
          <w:rStyle w:val="Strong"/>
          <w:rFonts w:ascii="Verdana" w:hAnsi="Verdana"/>
          <w:b w:val="0"/>
          <w:color w:val="000000"/>
          <w:sz w:val="16"/>
          <w:szCs w:val="16"/>
          <w:shd w:val="clear" w:color="auto" w:fill="FFFFFF"/>
          <w:lang w:val="es-PR"/>
        </w:rPr>
        <w:t>, párr. 83.</w:t>
      </w:r>
    </w:p>
  </w:footnote>
  <w:footnote w:id="206">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Style w:val="Strong"/>
          <w:rFonts w:ascii="Verdana" w:hAnsi="Verdana"/>
          <w:b w:val="0"/>
          <w:i/>
          <w:color w:val="000000"/>
          <w:sz w:val="16"/>
          <w:szCs w:val="16"/>
          <w:shd w:val="clear" w:color="auto" w:fill="FFFFFF"/>
          <w:lang w:val="es-PR"/>
        </w:rPr>
        <w:t>Caso Gómez Palomino Vs. Perú</w:t>
      </w:r>
      <w:r w:rsidRPr="007E666D">
        <w:rPr>
          <w:rStyle w:val="Strong"/>
          <w:rFonts w:ascii="Verdana" w:hAnsi="Verdana"/>
          <w:b w:val="0"/>
          <w:color w:val="000000"/>
          <w:sz w:val="16"/>
          <w:szCs w:val="16"/>
          <w:shd w:val="clear" w:color="auto" w:fill="FFFFFF"/>
          <w:lang w:val="es-PR"/>
        </w:rPr>
        <w:t xml:space="preserve">, </w:t>
      </w:r>
      <w:r w:rsidRPr="007E666D">
        <w:rPr>
          <w:rStyle w:val="Strong"/>
          <w:rFonts w:ascii="Verdana" w:hAnsi="Verdana"/>
          <w:b w:val="0"/>
          <w:i/>
          <w:color w:val="000000"/>
          <w:sz w:val="16"/>
          <w:szCs w:val="16"/>
          <w:shd w:val="clear" w:color="auto" w:fill="FFFFFF"/>
          <w:lang w:val="es-PR"/>
        </w:rPr>
        <w:t>supra</w:t>
      </w:r>
      <w:r w:rsidRPr="007E666D">
        <w:rPr>
          <w:rStyle w:val="Strong"/>
          <w:rFonts w:ascii="Verdana" w:hAnsi="Verdana"/>
          <w:b w:val="0"/>
          <w:color w:val="000000"/>
          <w:sz w:val="16"/>
          <w:szCs w:val="16"/>
          <w:shd w:val="clear" w:color="auto" w:fill="FFFFFF"/>
          <w:lang w:val="es-PR"/>
        </w:rPr>
        <w:t xml:space="preserve">, párr. </w:t>
      </w:r>
      <w:r w:rsidRPr="007E666D">
        <w:rPr>
          <w:rFonts w:ascii="Verdana" w:hAnsi="Verdana"/>
          <w:sz w:val="16"/>
          <w:szCs w:val="16"/>
          <w:lang w:val="es-PR"/>
        </w:rPr>
        <w:t>54.2.</w:t>
      </w:r>
    </w:p>
  </w:footnote>
  <w:footnote w:id="207">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Style w:val="Strong"/>
          <w:rFonts w:ascii="Verdana" w:hAnsi="Verdana"/>
          <w:b w:val="0"/>
          <w:i/>
          <w:color w:val="000000"/>
          <w:sz w:val="16"/>
          <w:szCs w:val="16"/>
          <w:shd w:val="clear" w:color="auto" w:fill="FFFFFF"/>
          <w:lang w:val="es-PR"/>
        </w:rPr>
        <w:t>Caso La Cantuta Vs. Perú, supra</w:t>
      </w:r>
      <w:r w:rsidRPr="007E666D">
        <w:rPr>
          <w:rStyle w:val="Strong"/>
          <w:rFonts w:ascii="Verdana" w:hAnsi="Verdana"/>
          <w:b w:val="0"/>
          <w:color w:val="000000"/>
          <w:sz w:val="16"/>
          <w:szCs w:val="16"/>
          <w:shd w:val="clear" w:color="auto" w:fill="FFFFFF"/>
          <w:lang w:val="es-PR"/>
        </w:rPr>
        <w:t xml:space="preserve">, párr. </w:t>
      </w:r>
      <w:r w:rsidRPr="007E666D">
        <w:rPr>
          <w:rFonts w:ascii="Verdana" w:hAnsi="Verdana" w:cs="Arial"/>
          <w:sz w:val="16"/>
          <w:szCs w:val="16"/>
          <w:lang w:val="es-PR"/>
        </w:rPr>
        <w:t>80.8.</w:t>
      </w:r>
    </w:p>
  </w:footnote>
  <w:footnote w:id="208">
    <w:p w:rsidR="00D57F75" w:rsidRPr="007E666D" w:rsidRDefault="00D57F75" w:rsidP="00106A1E">
      <w:pPr>
        <w:pStyle w:val="FootnoteText"/>
        <w:tabs>
          <w:tab w:val="left" w:pos="450"/>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Verdana"/>
          <w:i/>
          <w:sz w:val="16"/>
          <w:szCs w:val="16"/>
          <w:lang w:val="es-PR"/>
        </w:rPr>
        <w:t xml:space="preserve">Informe Final de la </w:t>
      </w:r>
      <w:r w:rsidRPr="007E666D">
        <w:rPr>
          <w:rFonts w:ascii="Verdana" w:hAnsi="Verdana"/>
          <w:i/>
          <w:sz w:val="16"/>
          <w:szCs w:val="16"/>
          <w:lang w:val="es-PR"/>
        </w:rPr>
        <w:t xml:space="preserve">CVR </w:t>
      </w:r>
      <w:r w:rsidRPr="007E666D">
        <w:rPr>
          <w:rFonts w:ascii="Verdana" w:hAnsi="Verdana"/>
          <w:i/>
          <w:spacing w:val="-4"/>
          <w:sz w:val="16"/>
          <w:szCs w:val="16"/>
          <w:lang w:val="es-PR"/>
        </w:rPr>
        <w:t>del Perú</w:t>
      </w:r>
      <w:r w:rsidRPr="007E666D">
        <w:rPr>
          <w:rFonts w:ascii="Verdana" w:hAnsi="Verdana"/>
          <w:iCs/>
          <w:sz w:val="16"/>
          <w:szCs w:val="16"/>
          <w:lang w:val="es-PR"/>
        </w:rPr>
        <w:t xml:space="preserve">, Tomo VI, Capítulo 1.2, págs. </w:t>
      </w:r>
      <w:r w:rsidRPr="007E666D">
        <w:rPr>
          <w:rFonts w:ascii="Verdana" w:hAnsi="Verdana"/>
          <w:sz w:val="16"/>
          <w:szCs w:val="16"/>
          <w:lang w:val="es-PR"/>
        </w:rPr>
        <w:t xml:space="preserve">71, 72 y 114. </w:t>
      </w:r>
    </w:p>
  </w:footnote>
  <w:footnote w:id="209">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Sentencia de la Sala Penal Nacional de 9 de febrero de 2012 (expediente de prueba, folio 4541).</w:t>
      </w:r>
    </w:p>
  </w:footnote>
  <w:footnote w:id="210">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spacing w:val="-4"/>
          <w:sz w:val="16"/>
          <w:szCs w:val="16"/>
          <w:lang w:val="es-PR"/>
        </w:rPr>
        <w:t xml:space="preserve">Declaración de </w:t>
      </w:r>
      <w:r w:rsidRPr="007E666D">
        <w:rPr>
          <w:rFonts w:ascii="Verdana" w:hAnsi="Verdana"/>
          <w:sz w:val="16"/>
          <w:szCs w:val="16"/>
          <w:lang w:val="es-PR"/>
        </w:rPr>
        <w:t xml:space="preserve">Luis Alberto Rueda Curimania </w:t>
      </w:r>
      <w:r w:rsidRPr="007E666D">
        <w:rPr>
          <w:rFonts w:ascii="Verdana" w:hAnsi="Verdana"/>
          <w:spacing w:val="-4"/>
          <w:sz w:val="16"/>
          <w:szCs w:val="16"/>
          <w:lang w:val="es-PR"/>
        </w:rPr>
        <w:t xml:space="preserve">en la audiencia pública celebrada el </w:t>
      </w:r>
      <w:r w:rsidRPr="007E666D">
        <w:rPr>
          <w:rFonts w:ascii="Verdana" w:hAnsi="Verdana" w:cs="Verdana"/>
          <w:sz w:val="16"/>
          <w:szCs w:val="16"/>
          <w:lang w:val="es-PR"/>
        </w:rPr>
        <w:t>26 de enero de 2015.</w:t>
      </w:r>
    </w:p>
  </w:footnote>
  <w:footnote w:id="211">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Informe Pericial No. 018 de diligencias del 18 y 19 de abril de 2010 (expediente de prueba, folios 4340 y 4352).</w:t>
      </w:r>
    </w:p>
  </w:footnote>
  <w:footnote w:id="212">
    <w:p w:rsidR="00D57F75" w:rsidRPr="007E666D" w:rsidRDefault="00D57F75" w:rsidP="00106A1E">
      <w:pPr>
        <w:pStyle w:val="FootnoteText"/>
        <w:tabs>
          <w:tab w:val="left" w:pos="450"/>
        </w:tabs>
        <w:contextualSpacing/>
        <w:jc w:val="both"/>
        <w:rPr>
          <w:rFonts w:ascii="Verdana" w:hAnsi="Verdana" w:cs="Arial"/>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Al respecto, ver </w:t>
      </w:r>
      <w:r w:rsidRPr="007E666D">
        <w:rPr>
          <w:rFonts w:ascii="Verdana" w:hAnsi="Verdana" w:cs="Arial"/>
          <w:i/>
          <w:sz w:val="16"/>
          <w:szCs w:val="16"/>
          <w:lang w:val="es-PR"/>
        </w:rPr>
        <w:t xml:space="preserve">Manual de Investigación eficaz ante el hallazgo de fosas con restos humanos en el Perú. Defensoría del Pueblo y Equipo Peruano de Antropología Forense-Epaf. Lima, Perú. Mayo 2002. </w:t>
      </w:r>
      <w:hyperlink r:id="rId1" w:history="1">
        <w:r w:rsidRPr="007E666D">
          <w:rPr>
            <w:rStyle w:val="Hyperlink"/>
            <w:rFonts w:ascii="Verdana" w:hAnsi="Verdana" w:cs="Arial"/>
            <w:sz w:val="16"/>
            <w:szCs w:val="16"/>
            <w:lang w:val="es-PR"/>
          </w:rPr>
          <w:t>http://www.derechos.org/nizkor/peru/libros/fosas/index.html</w:t>
        </w:r>
      </w:hyperlink>
    </w:p>
  </w:footnote>
  <w:footnote w:id="213">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spacing w:val="-4"/>
          <w:sz w:val="16"/>
          <w:szCs w:val="16"/>
          <w:lang w:val="es-PR"/>
        </w:rPr>
        <w:t xml:space="preserve">Declaración de </w:t>
      </w:r>
      <w:r w:rsidRPr="007E666D">
        <w:rPr>
          <w:rFonts w:ascii="Verdana" w:hAnsi="Verdana"/>
          <w:sz w:val="16"/>
          <w:szCs w:val="16"/>
          <w:lang w:val="es-PR"/>
        </w:rPr>
        <w:t xml:space="preserve">Luis Alberto Rueda Curimania </w:t>
      </w:r>
      <w:r w:rsidRPr="007E666D">
        <w:rPr>
          <w:rFonts w:ascii="Verdana" w:hAnsi="Verdana"/>
          <w:spacing w:val="-4"/>
          <w:sz w:val="16"/>
          <w:szCs w:val="16"/>
          <w:lang w:val="es-PR"/>
        </w:rPr>
        <w:t xml:space="preserve">en la audiencia pública celebrada el </w:t>
      </w:r>
      <w:r w:rsidRPr="007E666D">
        <w:rPr>
          <w:rFonts w:ascii="Verdana" w:hAnsi="Verdana" w:cs="Verdana"/>
          <w:sz w:val="16"/>
          <w:szCs w:val="16"/>
          <w:lang w:val="es-PR"/>
        </w:rPr>
        <w:t>26 de enero de 2015.</w:t>
      </w:r>
    </w:p>
  </w:footnote>
  <w:footnote w:id="214">
    <w:p w:rsidR="00D57F75" w:rsidRPr="007E666D" w:rsidRDefault="00D57F75" w:rsidP="00106A1E">
      <w:pPr>
        <w:pStyle w:val="FootnoteText"/>
        <w:tabs>
          <w:tab w:val="left" w:pos="45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sz w:val="16"/>
          <w:szCs w:val="16"/>
          <w:lang w:val="es-PR" w:eastAsia="es-CR"/>
        </w:rPr>
        <w:t xml:space="preserve">En un primer Informe Antropológico Forense del </w:t>
      </w:r>
      <w:r w:rsidRPr="007E666D">
        <w:rPr>
          <w:rFonts w:ascii="Verdana" w:hAnsi="Verdana"/>
          <w:sz w:val="16"/>
          <w:szCs w:val="16"/>
          <w:lang w:val="es-PR"/>
        </w:rPr>
        <w:t>Laboratorio de Investigaciones Forenses de Ayacucho</w:t>
      </w:r>
      <w:r w:rsidRPr="007E666D">
        <w:rPr>
          <w:rFonts w:ascii="Verdana" w:hAnsi="Verdana" w:cs="Arial"/>
          <w:sz w:val="16"/>
          <w:szCs w:val="16"/>
          <w:lang w:val="es-PR" w:eastAsia="es-CR"/>
        </w:rPr>
        <w:t xml:space="preserve"> del Instituto de Medicina Legal del Ministerio Público, elaborado del 3 al 10 de mayo de 2010, se indicó que se logró individualizar un número mínimo de 8 elementos óseos (individuos) del depósito de mina. En cambio, en un Informe de resultados de las pruebas de Laboratorio de ADN del Ministerio Público de 24 de octubre de 2012, consta que para esa fecha se habían procesado la totalidad de 13 restos óseos. En sentido </w:t>
      </w:r>
      <w:r w:rsidRPr="007E666D">
        <w:rPr>
          <w:rFonts w:ascii="Verdana" w:hAnsi="Verdana" w:cs="Helvetica"/>
          <w:sz w:val="16"/>
          <w:szCs w:val="16"/>
          <w:lang w:val="es-PR" w:eastAsia="es-CR" w:bidi="en-US"/>
        </w:rPr>
        <w:t>diferente</w:t>
      </w:r>
      <w:r w:rsidRPr="007E666D">
        <w:rPr>
          <w:rFonts w:ascii="Verdana" w:hAnsi="Verdana" w:cs="Arial"/>
          <w:sz w:val="16"/>
          <w:szCs w:val="16"/>
          <w:lang w:val="es-PR" w:eastAsia="es-CR"/>
        </w:rPr>
        <w:t xml:space="preserve">, en un Informe del Laboratorio de Biología Molecular y de Genética del Instituto de Medicina Legal del Ministerio Público de 19 de febrero de 2015, se desprende que del 20 al 24 de septiembre de 2010 se llevó a cabo la toma de muestras de 16 restos óseos, y que 8 muestras de restos óseos ya habían sido individualizadas y 8 restos óseos no lo habían sido. Además, se detectó que 2 de ellos compartían el mismo perfil, por tanto, sería un universo total de 15 individuos probablemente. </w:t>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cs="Arial"/>
          <w:sz w:val="16"/>
          <w:szCs w:val="16"/>
          <w:lang w:val="es-PR"/>
        </w:rPr>
        <w:t xml:space="preserve">Informe Antropológico Forense, Caso Mina </w:t>
      </w:r>
      <w:r w:rsidRPr="007E666D">
        <w:rPr>
          <w:rFonts w:ascii="Verdana" w:hAnsi="Verdana"/>
          <w:sz w:val="16"/>
          <w:szCs w:val="16"/>
          <w:lang w:val="es-PR"/>
        </w:rPr>
        <w:t>“Misteriosa” o “Vallarón”</w:t>
      </w:r>
      <w:r w:rsidRPr="007E666D">
        <w:rPr>
          <w:rFonts w:ascii="Verdana" w:hAnsi="Verdana" w:cs="Arial"/>
          <w:sz w:val="16"/>
          <w:szCs w:val="16"/>
          <w:lang w:val="es-PR"/>
        </w:rPr>
        <w:t xml:space="preserve"> de 23 de julio de 2010</w:t>
      </w:r>
      <w:r w:rsidRPr="007E666D">
        <w:rPr>
          <w:rFonts w:ascii="Verdana" w:hAnsi="Verdana"/>
          <w:sz w:val="16"/>
          <w:szCs w:val="16"/>
          <w:lang w:val="es-PR"/>
        </w:rPr>
        <w:t xml:space="preserve"> (expediente de prueba, folios 4256 a 4307);</w:t>
      </w:r>
      <w:r w:rsidRPr="007E666D">
        <w:rPr>
          <w:rFonts w:ascii="Verdana" w:hAnsi="Verdana" w:cs="Arial"/>
          <w:sz w:val="16"/>
          <w:szCs w:val="16"/>
          <w:lang w:val="es-PR"/>
        </w:rPr>
        <w:t xml:space="preserve"> Informe Pericial Odontológico sobre las piezas dentarias recuperados en la mina </w:t>
      </w:r>
      <w:r w:rsidRPr="007E666D">
        <w:rPr>
          <w:rFonts w:ascii="Verdana" w:hAnsi="Verdana"/>
          <w:sz w:val="16"/>
          <w:szCs w:val="16"/>
          <w:lang w:val="es-PR"/>
        </w:rPr>
        <w:t>“Misteriosa” o “Vallarón”</w:t>
      </w:r>
      <w:r w:rsidRPr="007E666D">
        <w:rPr>
          <w:rFonts w:ascii="Verdana" w:hAnsi="Verdana" w:cs="Arial"/>
          <w:sz w:val="16"/>
          <w:szCs w:val="16"/>
          <w:lang w:val="es-PR"/>
        </w:rPr>
        <w:t xml:space="preserve"> de 23 de julio de 2010 </w:t>
      </w:r>
      <w:r w:rsidRPr="007E666D">
        <w:rPr>
          <w:rFonts w:ascii="Verdana" w:hAnsi="Verdana"/>
          <w:sz w:val="16"/>
          <w:szCs w:val="16"/>
          <w:lang w:val="es-PR"/>
        </w:rPr>
        <w:t xml:space="preserve">(expediente de prueba, folios 4308 a 4323); Resultados correspondientes al caso Mina Misteriosa, prueba de ADN, Ministerio Público, 24 de octubre de 2012 (expediente de prueba, folio 5582 a 5595), y </w:t>
      </w:r>
      <w:r w:rsidRPr="007E666D">
        <w:rPr>
          <w:rFonts w:ascii="Verdana" w:hAnsi="Verdana" w:cs="Arial"/>
          <w:sz w:val="16"/>
          <w:szCs w:val="16"/>
          <w:lang w:val="es-PR"/>
        </w:rPr>
        <w:t>Oficio del Laboratorio de Biología Molecular y de Genética del Instituto de Medicina Legal de 19 de febrero de 2015 (</w:t>
      </w:r>
      <w:r w:rsidRPr="007E666D">
        <w:rPr>
          <w:rFonts w:ascii="Verdana" w:hAnsi="Verdana"/>
          <w:sz w:val="16"/>
          <w:szCs w:val="16"/>
          <w:lang w:val="es-PR"/>
        </w:rPr>
        <w:t>expediente de prueba, folios</w:t>
      </w:r>
      <w:r w:rsidRPr="007E666D">
        <w:rPr>
          <w:rFonts w:ascii="Verdana" w:hAnsi="Verdana" w:cs="Arial"/>
          <w:sz w:val="16"/>
          <w:szCs w:val="16"/>
          <w:lang w:val="es-PR"/>
        </w:rPr>
        <w:t xml:space="preserve"> 5510 a 5516). Ver también, </w:t>
      </w:r>
      <w:r w:rsidRPr="007E666D">
        <w:rPr>
          <w:rFonts w:ascii="Verdana" w:hAnsi="Verdana"/>
          <w:spacing w:val="-4"/>
          <w:sz w:val="16"/>
          <w:szCs w:val="16"/>
          <w:lang w:val="es-PR"/>
        </w:rPr>
        <w:t xml:space="preserve">Declaración del perito </w:t>
      </w:r>
      <w:r w:rsidRPr="007E666D">
        <w:rPr>
          <w:rFonts w:ascii="Verdana" w:hAnsi="Verdana" w:cs="Verdana"/>
          <w:bCs/>
          <w:iCs/>
          <w:sz w:val="16"/>
          <w:szCs w:val="16"/>
          <w:lang w:val="es-PR"/>
        </w:rPr>
        <w:t>José Pablo Baraybar do Carmo</w:t>
      </w:r>
      <w:r w:rsidRPr="007E666D">
        <w:rPr>
          <w:rFonts w:ascii="Verdana" w:hAnsi="Verdana"/>
          <w:spacing w:val="-4"/>
          <w:sz w:val="16"/>
          <w:szCs w:val="16"/>
          <w:lang w:val="es-PR"/>
        </w:rPr>
        <w:t xml:space="preserve"> en la audiencia pública celebrada el </w:t>
      </w:r>
      <w:r w:rsidRPr="007E666D">
        <w:rPr>
          <w:rFonts w:ascii="Verdana" w:hAnsi="Verdana" w:cs="Verdana"/>
          <w:sz w:val="16"/>
          <w:szCs w:val="16"/>
          <w:lang w:val="es-PR"/>
        </w:rPr>
        <w:t>26 de enero de 2015</w:t>
      </w:r>
      <w:r w:rsidRPr="007E666D">
        <w:rPr>
          <w:rFonts w:ascii="Verdana" w:hAnsi="Verdana"/>
          <w:spacing w:val="-4"/>
          <w:sz w:val="16"/>
          <w:szCs w:val="16"/>
          <w:lang w:val="es-PR"/>
        </w:rPr>
        <w:t xml:space="preserve">, e Informe del perito </w:t>
      </w:r>
      <w:r w:rsidRPr="007E666D">
        <w:rPr>
          <w:rFonts w:ascii="Verdana" w:hAnsi="Verdana" w:cs="Verdana"/>
          <w:bCs/>
          <w:iCs/>
          <w:sz w:val="16"/>
          <w:szCs w:val="16"/>
          <w:lang w:val="es-PR"/>
        </w:rPr>
        <w:t xml:space="preserve">José Pablo Baraybar do Carmo de 26 de enero de 2015 (expediente de fondo, folio </w:t>
      </w:r>
      <w:r w:rsidRPr="007E666D">
        <w:rPr>
          <w:rFonts w:ascii="Verdana" w:hAnsi="Verdana"/>
          <w:spacing w:val="-4"/>
          <w:sz w:val="16"/>
          <w:szCs w:val="16"/>
          <w:lang w:val="es-PR"/>
        </w:rPr>
        <w:t>1239).</w:t>
      </w:r>
    </w:p>
  </w:footnote>
  <w:footnote w:id="215">
    <w:p w:rsidR="00D57F75" w:rsidRPr="007E666D" w:rsidRDefault="00D57F75" w:rsidP="00106A1E">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sz w:val="16"/>
          <w:szCs w:val="16"/>
          <w:lang w:val="es-PR" w:eastAsia="es-CR"/>
        </w:rPr>
        <w:t xml:space="preserve">En un Informe de resultados de las pruebas de Laboratorio de ADN del Ministerio Público de 24 de octubre de 2012, se indicó que para esa fecha se obtuvieron 4 perfiles genéticos completos y 9 perfiles genéticos incompletos. Los perfiles completos se emplearon para el cotejo de las muestras de los familiares; sin embargo, ninguno de ellos hizo cruce. </w:t>
      </w:r>
      <w:r w:rsidRPr="007E666D">
        <w:rPr>
          <w:rFonts w:ascii="Verdana" w:hAnsi="Verdana" w:cs="Arial"/>
          <w:sz w:val="16"/>
          <w:szCs w:val="16"/>
          <w:lang w:val="es-PR"/>
        </w:rPr>
        <w:t xml:space="preserve">Dicha información fue reiterada por dependencias del Ministerio Público los días </w:t>
      </w:r>
      <w:r w:rsidRPr="007E666D">
        <w:rPr>
          <w:rFonts w:ascii="Verdana" w:hAnsi="Verdana"/>
          <w:sz w:val="16"/>
          <w:szCs w:val="16"/>
          <w:lang w:val="es-PR"/>
        </w:rPr>
        <w:t>28 de mayo de 2013 y 20 de marzo de 2014. En esta última fecha también se informó que,</w:t>
      </w:r>
      <w:r w:rsidRPr="007E666D">
        <w:rPr>
          <w:rFonts w:ascii="Verdana" w:hAnsi="Verdana"/>
          <w:spacing w:val="-2"/>
          <w:sz w:val="16"/>
          <w:szCs w:val="16"/>
          <w:lang w:val="es-PR"/>
        </w:rPr>
        <w:t xml:space="preserve"> </w:t>
      </w:r>
      <w:r w:rsidRPr="007E666D">
        <w:rPr>
          <w:rFonts w:ascii="Verdana" w:hAnsi="Verdana" w:cs="Arial"/>
          <w:sz w:val="16"/>
          <w:szCs w:val="16"/>
          <w:lang w:val="es-PR"/>
        </w:rPr>
        <w:t>“[e]n vista que a partir del presente año ya contamos con los materiales, insumos y reactivos necesarios para el procesamiento de restos óseos, […] se está regularizando el reprocesamiento de los 09 restos óseos que resultaron con perfiles incompletos, toda vez que este Laboratorio ha estandarizado y validado un nuevo protocolo de extracción exclusivo para este tipo de muestras antiguas, siguiendo las recomendaciones de la Comisión Internacional de Personas Desaparecidas (ICMP)”. Sin embargo,</w:t>
      </w:r>
      <w:r w:rsidRPr="007E666D">
        <w:rPr>
          <w:rFonts w:ascii="Verdana" w:hAnsi="Verdana"/>
          <w:spacing w:val="-2"/>
          <w:sz w:val="16"/>
          <w:szCs w:val="16"/>
          <w:lang w:val="es-PR"/>
        </w:rPr>
        <w:t xml:space="preserve"> </w:t>
      </w:r>
      <w:r w:rsidRPr="007E666D">
        <w:rPr>
          <w:rFonts w:ascii="Verdana" w:hAnsi="Verdana" w:cs="Arial"/>
          <w:sz w:val="16"/>
          <w:szCs w:val="16"/>
          <w:lang w:val="es-PR"/>
        </w:rPr>
        <w:t xml:space="preserve">indicó que “son reducidas </w:t>
      </w:r>
      <w:r w:rsidRPr="007E666D">
        <w:rPr>
          <w:rFonts w:ascii="Verdana" w:hAnsi="Verdana"/>
          <w:spacing w:val="-2"/>
          <w:sz w:val="16"/>
          <w:szCs w:val="16"/>
          <w:lang w:val="es-PR"/>
        </w:rPr>
        <w:t xml:space="preserve">las posibilidades de identificación de los restos óseos humanos”, debido a la falta de muestra de familiares con quién comparar los cuatro perfiles de ADN obtenidos de los restos óseos, la escasa muestra de restos óseos obtenida en el lugar de los hechos, y el mal estado de conservación en que estos se encontraban, debido a las condiciones propias de la zona donde fue obtenida y al paso del tiempo. </w:t>
      </w:r>
      <w:r w:rsidRPr="007E666D">
        <w:rPr>
          <w:rFonts w:ascii="Verdana" w:hAnsi="Verdana" w:cs="Arial"/>
          <w:sz w:val="16"/>
          <w:szCs w:val="16"/>
          <w:lang w:val="es-PR" w:eastAsia="es-CR"/>
        </w:rPr>
        <w:t xml:space="preserve">En sentido diferente, según un Informe del Laboratorio de Biología Molecular y de Genética del Instituto de Medicina Legal del Ministerio Público de 19 de febrero de 2015, consta que del 20 al 24 de septiembre de 2010 se llevó a cabo la toma de muestras de los restos óseos y que se logró obtener 4 perfiles genéticos completos, 11 perfiles genéticos incompletos y 1 sin perfil genético. En el </w:t>
      </w:r>
      <w:r w:rsidRPr="007E666D">
        <w:rPr>
          <w:rFonts w:ascii="Verdana" w:hAnsi="Verdana" w:cs="Helvetica"/>
          <w:sz w:val="16"/>
          <w:szCs w:val="16"/>
          <w:lang w:val="es-PR" w:eastAsia="es-CR" w:bidi="en-US"/>
        </w:rPr>
        <w:t>mismo</w:t>
      </w:r>
      <w:r w:rsidRPr="007E666D">
        <w:rPr>
          <w:rFonts w:ascii="Verdana" w:hAnsi="Verdana" w:cs="Arial"/>
          <w:sz w:val="16"/>
          <w:szCs w:val="16"/>
          <w:lang w:val="es-PR" w:eastAsia="es-CR"/>
        </w:rPr>
        <w:t xml:space="preserve"> informe también se indicó, en sentido distinto, que fueron 9 perfiles incompletos y 2 muestras degradadas cuyos perfiles no se incluyeron en la pericial final debido al estado de las muestras. Además, se explicó que una de las muestras (pieza dental) se agotó en la primera fase del procesamiento, por lo que no se obtuvo material genético ni perfil del mismo. Finalmente, los 4 perfiles genéticos completos se emplearon para el cotejo; sin embargo, ninguno de ellos hizo cruce con alguno de los perfiles analizados en la pericia de 24 de octubre de 2012. Cabe señalar que, según el </w:t>
      </w:r>
      <w:r w:rsidRPr="007E666D">
        <w:rPr>
          <w:rFonts w:ascii="Verdana" w:hAnsi="Verdana" w:cs="Arial"/>
          <w:sz w:val="16"/>
          <w:szCs w:val="16"/>
          <w:lang w:val="es-PR"/>
        </w:rPr>
        <w:t xml:space="preserve">referido informe de 19 de febrero de 2015, a partir del 22 de enero de 2015 se inició el re-análisis de las muestras del caso, cuyos resultados modificaron la pericial inicial de 24 de octubre de 2012 al obtener 3 perfiles genéticos completos más que probablemente pertenecerían al mismo grupo familiar. </w:t>
      </w:r>
      <w:r w:rsidRPr="007E666D">
        <w:rPr>
          <w:rFonts w:ascii="Verdana" w:hAnsi="Verdana"/>
          <w:i/>
          <w:sz w:val="16"/>
          <w:szCs w:val="16"/>
          <w:lang w:val="es-PR"/>
        </w:rPr>
        <w:t>Cfr</w:t>
      </w:r>
      <w:r w:rsidRPr="007E666D">
        <w:rPr>
          <w:rFonts w:ascii="Verdana" w:hAnsi="Verdana"/>
          <w:sz w:val="16"/>
          <w:szCs w:val="16"/>
          <w:lang w:val="es-PR"/>
        </w:rPr>
        <w:t xml:space="preserve">. Resultados correspondiente al caso Mina Misteriosa, prueba de ADN, Ministerio Público, de 24 de octubre de 2012 (expediente de prueba, folio 5582 a 5595); Memorándum de 28 de mayo de 2013 del Laboratorio de Biología Molecular y Genética del Ministerio Público (expediente de prueba, folios 5599 a 5601); Oficio de la Subgerencia de Criminalística del Instituto de Medicina Legal, Ministerio Público, de 20 de marzo de 2014 (expediente de prueba, folios 4624 y 4625), y </w:t>
      </w:r>
      <w:r w:rsidRPr="007E666D">
        <w:rPr>
          <w:rFonts w:ascii="Verdana" w:hAnsi="Verdana" w:cs="Arial"/>
          <w:sz w:val="16"/>
          <w:szCs w:val="16"/>
          <w:lang w:val="es-PR"/>
        </w:rPr>
        <w:t>Oficio del Laboratorio de Biología Molecular y de Genética del Instituto de Medicina Legal de 19 de febrero de 2015 (</w:t>
      </w:r>
      <w:r w:rsidRPr="007E666D">
        <w:rPr>
          <w:rFonts w:ascii="Verdana" w:hAnsi="Verdana"/>
          <w:sz w:val="16"/>
          <w:szCs w:val="16"/>
          <w:lang w:val="es-PR"/>
        </w:rPr>
        <w:t>expediente de prueba, folios</w:t>
      </w:r>
      <w:r w:rsidRPr="007E666D">
        <w:rPr>
          <w:rFonts w:ascii="Verdana" w:hAnsi="Verdana" w:cs="Arial"/>
          <w:sz w:val="16"/>
          <w:szCs w:val="16"/>
          <w:lang w:val="es-PR"/>
        </w:rPr>
        <w:t xml:space="preserve"> 5510 a 5516). Ver también, </w:t>
      </w:r>
      <w:r w:rsidRPr="007E666D">
        <w:rPr>
          <w:rFonts w:ascii="Verdana" w:hAnsi="Verdana"/>
          <w:sz w:val="16"/>
          <w:szCs w:val="16"/>
          <w:lang w:val="es-PR"/>
        </w:rPr>
        <w:t xml:space="preserve">Declaración del perito </w:t>
      </w:r>
      <w:r w:rsidRPr="007E666D">
        <w:rPr>
          <w:rFonts w:ascii="Verdana" w:hAnsi="Verdana" w:cs="Verdana"/>
          <w:bCs/>
          <w:iCs/>
          <w:sz w:val="16"/>
          <w:szCs w:val="16"/>
          <w:lang w:val="es-PR"/>
        </w:rPr>
        <w:t>José Pablo Baraybar do Carmo</w:t>
      </w:r>
      <w:r w:rsidRPr="007E666D">
        <w:rPr>
          <w:rFonts w:ascii="Verdana" w:hAnsi="Verdana"/>
          <w:sz w:val="16"/>
          <w:szCs w:val="16"/>
          <w:lang w:val="es-PR"/>
        </w:rPr>
        <w:t xml:space="preserve"> en la audiencia pública celebrada el </w:t>
      </w:r>
      <w:r w:rsidRPr="007E666D">
        <w:rPr>
          <w:rFonts w:ascii="Verdana" w:hAnsi="Verdana" w:cs="Verdana"/>
          <w:sz w:val="16"/>
          <w:szCs w:val="16"/>
          <w:lang w:val="es-PR"/>
        </w:rPr>
        <w:t>26 de enero de 2015</w:t>
      </w:r>
      <w:r w:rsidRPr="007E666D">
        <w:rPr>
          <w:rFonts w:ascii="Verdana" w:hAnsi="Verdana"/>
          <w:sz w:val="16"/>
          <w:szCs w:val="16"/>
          <w:lang w:val="es-PR"/>
        </w:rPr>
        <w:t xml:space="preserve">, e Informe del perito </w:t>
      </w:r>
      <w:r w:rsidRPr="007E666D">
        <w:rPr>
          <w:rFonts w:ascii="Verdana" w:hAnsi="Verdana" w:cs="Verdana"/>
          <w:bCs/>
          <w:iCs/>
          <w:sz w:val="16"/>
          <w:szCs w:val="16"/>
          <w:lang w:val="es-PR"/>
        </w:rPr>
        <w:t xml:space="preserve">José Pablo Baraybar do Carmo de 26 de enero de 2015 (expediente de fondo, folio </w:t>
      </w:r>
      <w:r w:rsidRPr="007E666D">
        <w:rPr>
          <w:rFonts w:ascii="Verdana" w:hAnsi="Verdana"/>
          <w:sz w:val="16"/>
          <w:szCs w:val="16"/>
          <w:lang w:val="es-PR"/>
        </w:rPr>
        <w:t>1239).</w:t>
      </w:r>
    </w:p>
  </w:footnote>
  <w:footnote w:id="216">
    <w:p w:rsidR="00D57F75" w:rsidRPr="007E666D" w:rsidRDefault="00D57F75" w:rsidP="00106A1E">
      <w:pPr>
        <w:pStyle w:val="FootnoteText"/>
        <w:tabs>
          <w:tab w:val="left" w:pos="450"/>
          <w:tab w:val="left" w:pos="540"/>
        </w:tabs>
        <w:contextualSpacing/>
        <w:jc w:val="both"/>
        <w:rPr>
          <w:rFonts w:ascii="Verdana" w:hAnsi="Verdana"/>
          <w:b/>
          <w:sz w:val="16"/>
          <w:szCs w:val="16"/>
          <w:lang w:val="es-PR"/>
        </w:rPr>
      </w:pPr>
      <w:r w:rsidRPr="007E666D">
        <w:rPr>
          <w:rStyle w:val="FootnoteReference"/>
          <w:rFonts w:eastAsia="Times"/>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w:t>
      </w:r>
      <w:r w:rsidRPr="007E666D">
        <w:rPr>
          <w:rFonts w:ascii="Verdana" w:hAnsi="Verdana"/>
          <w:i/>
          <w:sz w:val="16"/>
          <w:szCs w:val="16"/>
          <w:lang w:val="es-PR"/>
        </w:rPr>
        <w:t>Caso Anzualdo Castro Vs. Perú, supra</w:t>
      </w:r>
      <w:r w:rsidRPr="007E666D">
        <w:rPr>
          <w:rFonts w:ascii="Verdana" w:hAnsi="Verdana"/>
          <w:sz w:val="16"/>
          <w:szCs w:val="16"/>
          <w:lang w:val="es-PR"/>
        </w:rPr>
        <w:t xml:space="preserve">, párr. 101, y </w:t>
      </w:r>
      <w:r w:rsidRPr="007E666D">
        <w:rPr>
          <w:rStyle w:val="Strong"/>
          <w:rFonts w:ascii="Verdana" w:hAnsi="Verdana"/>
          <w:b w:val="0"/>
          <w:i/>
          <w:sz w:val="16"/>
          <w:szCs w:val="16"/>
          <w:lang w:val="es-PR"/>
        </w:rPr>
        <w:t>Caso Rodríguez Vera y otros (Desaparecidos del Palacio de Justicia) Vs. Colombia, supra,</w:t>
      </w:r>
      <w:r w:rsidRPr="007E666D">
        <w:rPr>
          <w:rStyle w:val="Strong"/>
          <w:rFonts w:ascii="Verdana" w:hAnsi="Verdana"/>
          <w:b w:val="0"/>
          <w:sz w:val="16"/>
          <w:szCs w:val="16"/>
          <w:lang w:val="es-PR"/>
        </w:rPr>
        <w:t xml:space="preserve"> párr. 323. </w:t>
      </w:r>
      <w:r w:rsidRPr="007E666D">
        <w:rPr>
          <w:rFonts w:ascii="Verdana" w:hAnsi="Verdana"/>
          <w:b/>
          <w:sz w:val="16"/>
          <w:szCs w:val="16"/>
          <w:lang w:val="es-PR"/>
        </w:rPr>
        <w:t xml:space="preserve"> </w:t>
      </w:r>
    </w:p>
  </w:footnote>
  <w:footnote w:id="217">
    <w:p w:rsidR="00D57F75" w:rsidRPr="007E666D" w:rsidRDefault="00D57F75" w:rsidP="00106A1E">
      <w:pPr>
        <w:spacing w:after="0" w:line="240" w:lineRule="auto"/>
        <w:jc w:val="both"/>
        <w:rPr>
          <w:lang w:val="es-PR"/>
        </w:rPr>
      </w:pPr>
      <w:r w:rsidRPr="007E666D">
        <w:rPr>
          <w:rStyle w:val="FootnoteReference"/>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La Corte Interamericana ha considerado que, en términos generales, se entiende por niño y niña “a toda persona que no ha cumplido 18 años de edad”. </w:t>
      </w:r>
      <w:r w:rsidRPr="007E666D">
        <w:rPr>
          <w:rFonts w:ascii="Verdana" w:hAnsi="Verdana"/>
          <w:i/>
          <w:sz w:val="16"/>
          <w:szCs w:val="16"/>
          <w:lang w:val="es-PR"/>
        </w:rPr>
        <w:t xml:space="preserve">Condición Jurídica y Derechos Humanos del Niño. </w:t>
      </w:r>
      <w:r w:rsidRPr="007E666D">
        <w:rPr>
          <w:rFonts w:ascii="Verdana" w:hAnsi="Verdana"/>
          <w:sz w:val="16"/>
          <w:szCs w:val="16"/>
          <w:lang w:val="es-PR"/>
        </w:rPr>
        <w:t xml:space="preserve">Opinión Consultiva OC-17/02 de 28 de agosto de 2002. Serie A No. 17, párr. 42, y </w:t>
      </w:r>
      <w:r w:rsidRPr="007E666D">
        <w:rPr>
          <w:rFonts w:ascii="Verdana" w:eastAsiaTheme="minorHAnsi" w:hAnsi="Verdana" w:cs="MinionPro-BoldIt"/>
          <w:bCs/>
          <w:i/>
          <w:iCs/>
          <w:sz w:val="16"/>
          <w:szCs w:val="16"/>
          <w:lang w:val="es-PR"/>
        </w:rPr>
        <w:t xml:space="preserve">Caso Mendoza y otros Vs. Argentina. </w:t>
      </w:r>
      <w:r w:rsidRPr="007E666D">
        <w:rPr>
          <w:rFonts w:ascii="Verdana" w:eastAsiaTheme="minorHAnsi" w:hAnsi="Verdana" w:cs="MinionPro-Bold"/>
          <w:bCs/>
          <w:i/>
          <w:sz w:val="16"/>
          <w:szCs w:val="16"/>
          <w:lang w:val="es-PR"/>
        </w:rPr>
        <w:t>Excepciones Preliminares, Fondo y Reparaciones</w:t>
      </w:r>
      <w:r w:rsidRPr="007E666D">
        <w:rPr>
          <w:rFonts w:ascii="Verdana" w:eastAsiaTheme="minorHAnsi" w:hAnsi="Verdana" w:cs="MinionPro-Bold"/>
          <w:bCs/>
          <w:sz w:val="16"/>
          <w:szCs w:val="16"/>
          <w:lang w:val="es-PR"/>
        </w:rPr>
        <w:t>. Sentencia de 14 de mayo de 2013, párrs. 67 y 140.</w:t>
      </w:r>
      <w:r w:rsidRPr="007E666D">
        <w:rPr>
          <w:rFonts w:ascii="Verdana" w:hAnsi="Verdana"/>
          <w:b/>
          <w:sz w:val="16"/>
          <w:szCs w:val="16"/>
          <w:lang w:val="es-PR"/>
        </w:rPr>
        <w:t xml:space="preserve"> </w:t>
      </w:r>
    </w:p>
  </w:footnote>
  <w:footnote w:id="218">
    <w:p w:rsidR="00D57F75" w:rsidRPr="007E666D" w:rsidRDefault="00D57F75" w:rsidP="00106A1E">
      <w:pPr>
        <w:autoSpaceDE w:val="0"/>
        <w:autoSpaceDN w:val="0"/>
        <w:adjustRightInd w:val="0"/>
        <w:spacing w:after="0" w:line="240" w:lineRule="auto"/>
        <w:jc w:val="both"/>
        <w:rPr>
          <w:rFonts w:ascii="Verdana" w:hAnsi="Verdana"/>
          <w:sz w:val="16"/>
          <w:szCs w:val="16"/>
          <w:lang w:val="es-PR"/>
        </w:rPr>
      </w:pPr>
      <w:r w:rsidRPr="007E666D">
        <w:rPr>
          <w:rStyle w:val="FootnoteReference"/>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eastAsia="Batang" w:hAnsi="Verdana" w:cs="Arial"/>
          <w:i/>
          <w:sz w:val="16"/>
          <w:szCs w:val="16"/>
          <w:lang w:val="es-PR"/>
        </w:rPr>
        <w:t xml:space="preserve">Caso Gelman Vs. Uruguay. Fondo y Reparaciones. </w:t>
      </w:r>
      <w:r w:rsidRPr="007E666D">
        <w:rPr>
          <w:rFonts w:ascii="Verdana" w:eastAsia="Batang" w:hAnsi="Verdana" w:cs="Arial"/>
          <w:sz w:val="16"/>
          <w:szCs w:val="16"/>
          <w:lang w:val="es-PR"/>
        </w:rPr>
        <w:t>Sentencia de 24 de febrero de 2011. Serie C No.221</w:t>
      </w:r>
      <w:r w:rsidRPr="007E666D">
        <w:rPr>
          <w:rFonts w:ascii="Verdana" w:hAnsi="Verdana"/>
          <w:sz w:val="16"/>
          <w:szCs w:val="16"/>
          <w:lang w:val="es-PR"/>
        </w:rPr>
        <w:t xml:space="preserve">, párr. 121, y </w:t>
      </w:r>
      <w:r w:rsidRPr="007E666D">
        <w:rPr>
          <w:rFonts w:ascii="Verdana" w:eastAsiaTheme="minorHAnsi" w:hAnsi="Verdana" w:cs="MinionPro-BoldIt"/>
          <w:bCs/>
          <w:i/>
          <w:iCs/>
          <w:sz w:val="16"/>
          <w:szCs w:val="16"/>
          <w:lang w:val="es-PR"/>
        </w:rPr>
        <w:t>Caso Mendoza y otros Vs. Argentina, supra,</w:t>
      </w:r>
      <w:r w:rsidRPr="007E666D">
        <w:rPr>
          <w:rFonts w:ascii="Verdana" w:hAnsi="Verdana"/>
          <w:sz w:val="16"/>
          <w:szCs w:val="16"/>
          <w:lang w:val="es-PR"/>
        </w:rPr>
        <w:t xml:space="preserve"> párr. 141.</w:t>
      </w:r>
    </w:p>
  </w:footnote>
  <w:footnote w:id="219">
    <w:p w:rsidR="00D57F75" w:rsidRPr="007E666D" w:rsidRDefault="00D57F75" w:rsidP="00106A1E">
      <w:pPr>
        <w:pStyle w:val="FootnoteText"/>
        <w:contextualSpacing/>
        <w:jc w:val="both"/>
        <w:rPr>
          <w:rStyle w:val="FootnoteReference"/>
          <w:rFonts w:eastAsiaTheme="minorHAnsi" w:cs="Times"/>
          <w:sz w:val="16"/>
          <w:lang w:val="es-PR"/>
        </w:rPr>
      </w:pPr>
      <w:r w:rsidRPr="007E666D">
        <w:rPr>
          <w:rStyle w:val="FootnoteReference"/>
          <w:rFonts w:eastAsiaTheme="minorHAnsi" w:cs="Verdana"/>
          <w:sz w:val="16"/>
          <w:lang w:val="es-PR"/>
        </w:rPr>
        <w:footnoteRef/>
      </w:r>
      <w:r w:rsidRPr="007E666D">
        <w:rPr>
          <w:rFonts w:ascii="Verdana" w:hAnsi="Verdana" w:cs="Verdana"/>
          <w:sz w:val="16"/>
          <w:szCs w:val="16"/>
          <w:lang w:val="es-PR"/>
        </w:rPr>
        <w:tab/>
      </w:r>
      <w:r w:rsidRPr="007E666D">
        <w:rPr>
          <w:rStyle w:val="FootnoteReference"/>
          <w:rFonts w:eastAsiaTheme="minorHAnsi" w:cs="Verdana"/>
          <w:i/>
          <w:sz w:val="16"/>
          <w:vertAlign w:val="baseline"/>
          <w:lang w:val="es-PR"/>
        </w:rPr>
        <w:t>Cfr.</w:t>
      </w:r>
      <w:r w:rsidRPr="007E666D">
        <w:rPr>
          <w:rStyle w:val="FootnoteReference"/>
          <w:rFonts w:eastAsiaTheme="minorHAnsi" w:cs="Verdana"/>
          <w:sz w:val="16"/>
          <w:lang w:val="es-PR"/>
        </w:rPr>
        <w:t xml:space="preserve"> </w:t>
      </w:r>
      <w:r w:rsidRPr="007E666D">
        <w:rPr>
          <w:rFonts w:ascii="Verdana" w:hAnsi="Verdana"/>
          <w:i/>
          <w:sz w:val="16"/>
          <w:szCs w:val="16"/>
          <w:lang w:val="es-PR"/>
        </w:rPr>
        <w:t>Condición Jurídica y Derechos Humanos del Niño, supra</w:t>
      </w:r>
      <w:r w:rsidRPr="007E666D">
        <w:rPr>
          <w:rFonts w:ascii="Verdana" w:hAnsi="Verdana"/>
          <w:sz w:val="16"/>
          <w:szCs w:val="16"/>
          <w:lang w:val="es-PR"/>
        </w:rPr>
        <w:t xml:space="preserve">, párr. </w:t>
      </w:r>
      <w:r w:rsidRPr="007E666D">
        <w:rPr>
          <w:rFonts w:ascii="Verdana" w:hAnsi="Verdana" w:cs="Verdana"/>
          <w:sz w:val="16"/>
          <w:szCs w:val="16"/>
          <w:lang w:val="es-PR"/>
        </w:rPr>
        <w:t>62, y</w:t>
      </w:r>
      <w:r w:rsidRPr="007E666D">
        <w:rPr>
          <w:rFonts w:ascii="Verdana" w:hAnsi="Verdana"/>
          <w:sz w:val="16"/>
          <w:szCs w:val="16"/>
          <w:lang w:val="es-PR"/>
        </w:rPr>
        <w:t xml:space="preserve"> </w:t>
      </w:r>
      <w:r w:rsidRPr="007E666D">
        <w:rPr>
          <w:rFonts w:ascii="Verdana" w:hAnsi="Verdana" w:cs="MinionPro-BoldIt"/>
          <w:bCs/>
          <w:i/>
          <w:iCs/>
          <w:sz w:val="16"/>
          <w:szCs w:val="16"/>
          <w:lang w:val="es-PR"/>
        </w:rPr>
        <w:t>Caso Mendoza y otros Vs. Argentina, supra</w:t>
      </w:r>
      <w:r w:rsidRPr="007E666D">
        <w:rPr>
          <w:rFonts w:ascii="Verdana" w:hAnsi="Verdana"/>
          <w:sz w:val="16"/>
          <w:szCs w:val="16"/>
          <w:lang w:val="es-PR"/>
        </w:rPr>
        <w:t xml:space="preserve">, párr. 141.  </w:t>
      </w:r>
    </w:p>
  </w:footnote>
  <w:footnote w:id="220">
    <w:p w:rsidR="00D57F75" w:rsidRPr="007E666D" w:rsidRDefault="00D57F75" w:rsidP="00106A1E">
      <w:pPr>
        <w:autoSpaceDE w:val="0"/>
        <w:autoSpaceDN w:val="0"/>
        <w:adjustRightInd w:val="0"/>
        <w:spacing w:after="0" w:line="240" w:lineRule="auto"/>
        <w:contextualSpacing/>
        <w:jc w:val="both"/>
        <w:rPr>
          <w:rFonts w:ascii="Verdana" w:hAnsi="Verdana"/>
          <w:sz w:val="16"/>
          <w:szCs w:val="16"/>
          <w:lang w:val="es-PR"/>
        </w:rPr>
      </w:pPr>
      <w:r w:rsidRPr="007E666D">
        <w:rPr>
          <w:rStyle w:val="FootnoteReference"/>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Verdana"/>
          <w:i/>
          <w:iCs/>
          <w:sz w:val="16"/>
          <w:szCs w:val="16"/>
          <w:lang w:val="es-PR"/>
        </w:rPr>
        <w:t>Cfr. Caso de los Hermanos Gómez Paquiyauri Vs. Perú. Fondo, Reparaciones y Costas</w:t>
      </w:r>
      <w:r w:rsidRPr="007E666D">
        <w:rPr>
          <w:rFonts w:ascii="Verdana" w:hAnsi="Verdana" w:cs="Verdana"/>
          <w:sz w:val="16"/>
          <w:szCs w:val="16"/>
          <w:lang w:val="es-PR"/>
        </w:rPr>
        <w:t xml:space="preserve">. Sentencia de 8 de julio de 2004. Serie C No. 110, párr. 168, y </w:t>
      </w:r>
      <w:r w:rsidRPr="007E666D">
        <w:rPr>
          <w:rFonts w:ascii="Verdana" w:hAnsi="Verdana" w:cs="Arial"/>
          <w:i/>
          <w:sz w:val="16"/>
          <w:szCs w:val="16"/>
          <w:lang w:val="es-PR"/>
        </w:rPr>
        <w:t>Caso Masacres de El Mozote y lugares aledaños Vs. El Salvador. supra</w:t>
      </w:r>
      <w:r w:rsidRPr="007E666D">
        <w:rPr>
          <w:rFonts w:ascii="Verdana" w:hAnsi="Verdana" w:cs="Arial"/>
          <w:sz w:val="16"/>
          <w:szCs w:val="16"/>
          <w:lang w:val="es-PR"/>
        </w:rPr>
        <w:t xml:space="preserve">, párr. 150.     </w:t>
      </w:r>
    </w:p>
  </w:footnote>
  <w:footnote w:id="221">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i/>
          <w:iCs/>
          <w:sz w:val="16"/>
          <w:szCs w:val="16"/>
          <w:lang w:val="es-PR"/>
        </w:rPr>
        <w:t>Cfr.</w:t>
      </w:r>
      <w:r w:rsidRPr="007E666D">
        <w:rPr>
          <w:rFonts w:ascii="Verdana" w:hAnsi="Verdana" w:cs="Arial"/>
          <w:iCs/>
          <w:sz w:val="16"/>
          <w:szCs w:val="16"/>
          <w:lang w:val="es-PR"/>
        </w:rPr>
        <w:t xml:space="preserve"> Informe final CVR, Tomo VI, Capítulo 1.8, págs. 596 a 597 </w:t>
      </w:r>
      <w:r w:rsidRPr="007E666D">
        <w:rPr>
          <w:rFonts w:ascii="Verdana" w:hAnsi="Verdana" w:cs="Arial"/>
          <w:sz w:val="16"/>
          <w:szCs w:val="16"/>
          <w:lang w:val="es-PR"/>
        </w:rPr>
        <w:t>(expediente de prueba, folios 2060 a 2061).</w:t>
      </w:r>
    </w:p>
  </w:footnote>
  <w:footnote w:id="222">
    <w:p w:rsidR="00D57F75" w:rsidRPr="007E666D" w:rsidRDefault="00D57F75" w:rsidP="00106A1E">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La Corte se ha pronunciado con base en el principio </w:t>
      </w:r>
      <w:r w:rsidRPr="007E666D">
        <w:rPr>
          <w:rFonts w:ascii="Verdana" w:hAnsi="Verdana"/>
          <w:i/>
          <w:sz w:val="16"/>
          <w:szCs w:val="16"/>
          <w:lang w:val="es-PR"/>
        </w:rPr>
        <w:t>iura novit curia</w:t>
      </w:r>
      <w:r w:rsidRPr="007E666D">
        <w:rPr>
          <w:rFonts w:ascii="Verdana" w:hAnsi="Verdana"/>
          <w:sz w:val="16"/>
          <w:szCs w:val="16"/>
          <w:lang w:val="es-PR"/>
        </w:rPr>
        <w:t xml:space="preserve">, sólidamente respaldado en la jurisprudencia internacional, en reiteradas ocasiones. </w:t>
      </w:r>
      <w:r w:rsidRPr="007E666D">
        <w:rPr>
          <w:rFonts w:ascii="Verdana" w:hAnsi="Verdana"/>
          <w:i/>
          <w:sz w:val="16"/>
          <w:szCs w:val="16"/>
          <w:lang w:val="es-PR"/>
        </w:rPr>
        <w:t>Cfr.</w:t>
      </w:r>
      <w:r w:rsidRPr="007E666D">
        <w:rPr>
          <w:rFonts w:ascii="Verdana" w:hAnsi="Verdana"/>
          <w:sz w:val="16"/>
          <w:szCs w:val="16"/>
          <w:lang w:val="es-PR"/>
        </w:rPr>
        <w:t xml:space="preserve"> entre otros casos</w:t>
      </w:r>
      <w:r w:rsidRPr="007E666D">
        <w:rPr>
          <w:rFonts w:ascii="Verdana" w:hAnsi="Verdana"/>
          <w:i/>
          <w:sz w:val="16"/>
          <w:szCs w:val="16"/>
          <w:lang w:val="es-PR"/>
        </w:rPr>
        <w:t>:</w:t>
      </w:r>
      <w:r w:rsidRPr="007E666D">
        <w:rPr>
          <w:rFonts w:ascii="Verdana" w:hAnsi="Verdana"/>
          <w:sz w:val="16"/>
          <w:szCs w:val="16"/>
          <w:lang w:val="es-PR"/>
        </w:rPr>
        <w:t xml:space="preserve"> </w:t>
      </w:r>
      <w:r w:rsidRPr="007E666D">
        <w:rPr>
          <w:rStyle w:val="Strong"/>
          <w:rFonts w:ascii="Verdana" w:hAnsi="Verdana"/>
          <w:b w:val="0"/>
          <w:i/>
          <w:color w:val="000000"/>
          <w:sz w:val="16"/>
          <w:szCs w:val="16"/>
          <w:lang w:val="es-PR"/>
        </w:rPr>
        <w:t>Caso "Cinco Pensionistas" Vs. Perú. Fondo, Reparaciones y Costas</w:t>
      </w:r>
      <w:r w:rsidRPr="007E666D">
        <w:rPr>
          <w:rStyle w:val="Strong"/>
          <w:rFonts w:ascii="Verdana" w:hAnsi="Verdana"/>
          <w:b w:val="0"/>
          <w:color w:val="000000"/>
          <w:sz w:val="16"/>
          <w:szCs w:val="16"/>
          <w:lang w:val="es-PR"/>
        </w:rPr>
        <w:t>. Sentencia de 28 de febrero de 2003. Serie C No. 98</w:t>
      </w:r>
      <w:r w:rsidRPr="007E666D">
        <w:rPr>
          <w:rFonts w:ascii="Verdana" w:hAnsi="Verdana"/>
          <w:sz w:val="16"/>
          <w:szCs w:val="16"/>
          <w:lang w:val="es-PR"/>
        </w:rPr>
        <w:t xml:space="preserve">, párr. 153; </w:t>
      </w:r>
      <w:r w:rsidRPr="007E666D">
        <w:rPr>
          <w:rStyle w:val="Strong"/>
          <w:rFonts w:ascii="Verdana" w:hAnsi="Verdana"/>
          <w:b w:val="0"/>
          <w:i/>
          <w:color w:val="000000"/>
          <w:sz w:val="16"/>
          <w:szCs w:val="16"/>
          <w:lang w:val="es-PR"/>
        </w:rPr>
        <w:t>Caso Myrna Mack Chang Vs. Guatemala. Fondo, Reparaciones y Costas</w:t>
      </w:r>
      <w:r w:rsidRPr="007E666D">
        <w:rPr>
          <w:rStyle w:val="Strong"/>
          <w:rFonts w:ascii="Verdana" w:hAnsi="Verdana"/>
          <w:b w:val="0"/>
          <w:color w:val="000000"/>
          <w:sz w:val="16"/>
          <w:szCs w:val="16"/>
          <w:lang w:val="es-PR"/>
        </w:rPr>
        <w:t>. Sentencia de 25 de noviembre de 2003. Serie C No. 101</w:t>
      </w:r>
      <w:r w:rsidRPr="007E666D">
        <w:rPr>
          <w:rFonts w:ascii="Verdana" w:hAnsi="Verdana"/>
          <w:sz w:val="16"/>
          <w:szCs w:val="16"/>
          <w:lang w:val="es-PR"/>
        </w:rPr>
        <w:t xml:space="preserve">, párr. 128; </w:t>
      </w:r>
      <w:r w:rsidRPr="007E666D">
        <w:rPr>
          <w:rStyle w:val="Strong"/>
          <w:rFonts w:ascii="Verdana" w:hAnsi="Verdana"/>
          <w:b w:val="0"/>
          <w:i/>
          <w:color w:val="000000"/>
          <w:sz w:val="16"/>
          <w:szCs w:val="16"/>
          <w:lang w:val="es-PR"/>
        </w:rPr>
        <w:t>Caso Maritza Urrutia Vs. Guatemala. Fondo, Reparaciones y Costas.</w:t>
      </w:r>
      <w:r w:rsidRPr="007E666D">
        <w:rPr>
          <w:rStyle w:val="Strong"/>
          <w:rFonts w:ascii="Verdana" w:hAnsi="Verdana"/>
          <w:b w:val="0"/>
          <w:color w:val="000000"/>
          <w:sz w:val="16"/>
          <w:szCs w:val="16"/>
          <w:lang w:val="es-PR"/>
        </w:rPr>
        <w:t xml:space="preserve"> Sentencia de 27 de noviembre de 2003. Serie C No. 103</w:t>
      </w:r>
      <w:r w:rsidRPr="007E666D">
        <w:rPr>
          <w:rFonts w:ascii="Verdana" w:hAnsi="Verdana"/>
          <w:sz w:val="16"/>
          <w:szCs w:val="16"/>
          <w:lang w:val="es-PR"/>
        </w:rPr>
        <w:t xml:space="preserve">, párr. 134; </w:t>
      </w:r>
      <w:r w:rsidRPr="007E666D">
        <w:rPr>
          <w:rStyle w:val="Strong"/>
          <w:rFonts w:ascii="Verdana" w:hAnsi="Verdana"/>
          <w:b w:val="0"/>
          <w:i/>
          <w:color w:val="000000"/>
          <w:sz w:val="16"/>
          <w:szCs w:val="16"/>
          <w:lang w:val="es-PR"/>
        </w:rPr>
        <w:t>Caso Herrera Ulloa Vs. Costa Rica. Excepciones Preliminares, Fondo, Reparaciones y Costas</w:t>
      </w:r>
      <w:r w:rsidRPr="007E666D">
        <w:rPr>
          <w:rStyle w:val="Strong"/>
          <w:rFonts w:ascii="Verdana" w:hAnsi="Verdana"/>
          <w:b w:val="0"/>
          <w:color w:val="000000"/>
          <w:sz w:val="16"/>
          <w:szCs w:val="16"/>
          <w:lang w:val="es-PR"/>
        </w:rPr>
        <w:t>. Sentencia de 2 de julio de 2004. Serie C No. 107</w:t>
      </w:r>
      <w:r w:rsidRPr="007E666D">
        <w:rPr>
          <w:rFonts w:ascii="Verdana" w:hAnsi="Verdana"/>
          <w:sz w:val="16"/>
          <w:szCs w:val="16"/>
          <w:lang w:val="es-PR"/>
        </w:rPr>
        <w:t xml:space="preserve">, párr. 142; </w:t>
      </w:r>
      <w:r w:rsidRPr="007E666D">
        <w:rPr>
          <w:rStyle w:val="Strong"/>
          <w:rFonts w:ascii="Verdana" w:hAnsi="Verdana"/>
          <w:b w:val="0"/>
          <w:i/>
          <w:color w:val="000000"/>
          <w:sz w:val="16"/>
          <w:szCs w:val="16"/>
          <w:lang w:val="es-PR"/>
        </w:rPr>
        <w:t>Caso de los Hermanos Gómez Paquiyauri Vs. Perú, supra</w:t>
      </w:r>
      <w:r w:rsidRPr="007E666D">
        <w:rPr>
          <w:rFonts w:ascii="Verdana" w:hAnsi="Verdana"/>
          <w:sz w:val="16"/>
          <w:szCs w:val="16"/>
          <w:lang w:val="es-PR"/>
        </w:rPr>
        <w:t xml:space="preserve">, párr. 178; </w:t>
      </w:r>
      <w:r w:rsidRPr="007E666D">
        <w:rPr>
          <w:rStyle w:val="Strong"/>
          <w:rFonts w:ascii="Verdana" w:hAnsi="Verdana"/>
          <w:b w:val="0"/>
          <w:i/>
          <w:color w:val="000000"/>
          <w:sz w:val="16"/>
          <w:szCs w:val="16"/>
          <w:lang w:val="es-PR"/>
        </w:rPr>
        <w:t>Caso "Instituto de Reeducación del Menor" Vs. Paraguay. Excepciones Preliminares, Fondo, Reparaciones y Costas</w:t>
      </w:r>
      <w:r w:rsidRPr="007E666D">
        <w:rPr>
          <w:rStyle w:val="Strong"/>
          <w:rFonts w:ascii="Verdana" w:hAnsi="Verdana"/>
          <w:b w:val="0"/>
          <w:color w:val="000000"/>
          <w:sz w:val="16"/>
          <w:szCs w:val="16"/>
          <w:lang w:val="es-PR"/>
        </w:rPr>
        <w:t>. Sentencia de 2 de septiembre de 2004. Serie C No. 112</w:t>
      </w:r>
      <w:r w:rsidRPr="007E666D">
        <w:rPr>
          <w:rFonts w:ascii="Verdana" w:eastAsia="Times New Roman" w:hAnsi="Verdana"/>
          <w:color w:val="000000"/>
          <w:sz w:val="16"/>
          <w:szCs w:val="16"/>
          <w:lang w:val="es-PR"/>
        </w:rPr>
        <w:t xml:space="preserve">, </w:t>
      </w:r>
      <w:r w:rsidRPr="007E666D">
        <w:rPr>
          <w:rFonts w:ascii="Verdana" w:hAnsi="Verdana"/>
          <w:sz w:val="16"/>
          <w:szCs w:val="16"/>
          <w:lang w:val="es-PR"/>
        </w:rPr>
        <w:t xml:space="preserve">párrs. 124 a 126; </w:t>
      </w:r>
      <w:r w:rsidRPr="007E666D">
        <w:rPr>
          <w:rFonts w:ascii="Verdana" w:hAnsi="Verdana"/>
          <w:i/>
          <w:sz w:val="16"/>
          <w:szCs w:val="16"/>
          <w:lang w:val="es-PR"/>
        </w:rPr>
        <w:t>Caso</w:t>
      </w:r>
      <w:r w:rsidRPr="007E666D">
        <w:rPr>
          <w:rStyle w:val="Strong"/>
          <w:rFonts w:ascii="Verdana" w:hAnsi="Verdana"/>
          <w:b w:val="0"/>
          <w:i/>
          <w:color w:val="000000"/>
          <w:sz w:val="16"/>
          <w:szCs w:val="16"/>
          <w:lang w:val="es-PR"/>
        </w:rPr>
        <w:t xml:space="preserve"> de la "Masacre de Mapiripán" Vs. Colombia. Excepciones preliminares</w:t>
      </w:r>
      <w:r w:rsidRPr="007E666D">
        <w:rPr>
          <w:rStyle w:val="Strong"/>
          <w:rFonts w:ascii="Verdana" w:hAnsi="Verdana"/>
          <w:b w:val="0"/>
          <w:color w:val="000000"/>
          <w:sz w:val="16"/>
          <w:szCs w:val="16"/>
          <w:lang w:val="es-PR"/>
        </w:rPr>
        <w:t>. Sentencia 7 de marzo 2005. Serie C No. 122</w:t>
      </w:r>
      <w:r w:rsidRPr="007E666D">
        <w:rPr>
          <w:rFonts w:ascii="Verdana" w:hAnsi="Verdana"/>
          <w:sz w:val="16"/>
          <w:szCs w:val="16"/>
          <w:lang w:val="es-PR"/>
        </w:rPr>
        <w:t xml:space="preserve">, párr. 28, y </w:t>
      </w:r>
      <w:r w:rsidRPr="007E666D">
        <w:rPr>
          <w:rStyle w:val="Strong"/>
          <w:rFonts w:ascii="Verdana" w:hAnsi="Verdana"/>
          <w:b w:val="0"/>
          <w:i/>
          <w:color w:val="000000"/>
          <w:sz w:val="16"/>
          <w:szCs w:val="16"/>
          <w:shd w:val="clear" w:color="auto" w:fill="FFFFFF"/>
          <w:lang w:val="es-PR"/>
        </w:rPr>
        <w:t>Caso Defensor de Derechos Humanos y otros Vs. Guatemala</w:t>
      </w:r>
      <w:r w:rsidRPr="007E666D">
        <w:rPr>
          <w:rStyle w:val="Strong"/>
          <w:rFonts w:ascii="Verdana" w:hAnsi="Verdana"/>
          <w:b w:val="0"/>
          <w:color w:val="000000"/>
          <w:sz w:val="16"/>
          <w:szCs w:val="16"/>
          <w:shd w:val="clear" w:color="auto" w:fill="FFFFFF"/>
          <w:lang w:val="es-PR"/>
        </w:rPr>
        <w:t xml:space="preserve">, </w:t>
      </w:r>
      <w:r w:rsidRPr="007E666D">
        <w:rPr>
          <w:rStyle w:val="Strong"/>
          <w:rFonts w:ascii="Verdana" w:hAnsi="Verdana"/>
          <w:b w:val="0"/>
          <w:i/>
          <w:color w:val="000000"/>
          <w:sz w:val="16"/>
          <w:szCs w:val="16"/>
          <w:shd w:val="clear" w:color="auto" w:fill="FFFFFF"/>
          <w:lang w:val="es-PR"/>
        </w:rPr>
        <w:t>supra</w:t>
      </w:r>
      <w:r w:rsidRPr="007E666D">
        <w:rPr>
          <w:rStyle w:val="Strong"/>
          <w:rFonts w:ascii="Verdana" w:hAnsi="Verdana"/>
          <w:b w:val="0"/>
          <w:color w:val="000000"/>
          <w:sz w:val="16"/>
          <w:szCs w:val="16"/>
          <w:shd w:val="clear" w:color="auto" w:fill="FFFFFF"/>
          <w:lang w:val="es-PR"/>
        </w:rPr>
        <w:t>, párr. 160</w:t>
      </w:r>
      <w:r w:rsidRPr="007E666D">
        <w:rPr>
          <w:rFonts w:ascii="Verdana" w:hAnsi="Verdana"/>
          <w:sz w:val="16"/>
          <w:szCs w:val="16"/>
          <w:lang w:val="es-PR"/>
        </w:rPr>
        <w:t>.</w:t>
      </w:r>
    </w:p>
  </w:footnote>
  <w:footnote w:id="223">
    <w:p w:rsidR="00D57F75" w:rsidRPr="00A802E7" w:rsidRDefault="00D57F75" w:rsidP="00A802E7">
      <w:pPr>
        <w:spacing w:after="0" w:line="240" w:lineRule="auto"/>
        <w:jc w:val="both"/>
        <w:rPr>
          <w:rFonts w:ascii="Verdana" w:hAnsi="Verdana"/>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Tahoma"/>
          <w:bCs/>
          <w:color w:val="000000"/>
          <w:spacing w:val="-4"/>
          <w:sz w:val="16"/>
          <w:szCs w:val="16"/>
          <w:lang w:val="es-PR"/>
        </w:rPr>
        <w:t xml:space="preserve">El artículo I.a) de la </w:t>
      </w:r>
      <w:r w:rsidRPr="007E666D">
        <w:rPr>
          <w:rFonts w:ascii="Verdana" w:hAnsi="Verdana"/>
          <w:sz w:val="16"/>
          <w:szCs w:val="16"/>
          <w:lang w:val="es-PR"/>
        </w:rPr>
        <w:t xml:space="preserve">Convención Interamericana sobre Desaparición Forzada de Personas </w:t>
      </w:r>
      <w:r w:rsidRPr="007E666D">
        <w:rPr>
          <w:rFonts w:ascii="Verdana" w:hAnsi="Verdana" w:cs="Tahoma"/>
          <w:bCs/>
          <w:color w:val="000000"/>
          <w:spacing w:val="-4"/>
          <w:sz w:val="16"/>
          <w:szCs w:val="16"/>
          <w:lang w:val="es-PR"/>
        </w:rPr>
        <w:t>estable</w:t>
      </w:r>
      <w:r>
        <w:rPr>
          <w:rFonts w:ascii="Verdana" w:hAnsi="Verdana" w:cs="Tahoma"/>
          <w:bCs/>
          <w:color w:val="000000"/>
          <w:spacing w:val="-4"/>
          <w:sz w:val="16"/>
          <w:szCs w:val="16"/>
          <w:lang w:val="es-PR"/>
        </w:rPr>
        <w:t>ce</w:t>
      </w:r>
      <w:r w:rsidRPr="007E666D">
        <w:rPr>
          <w:rFonts w:ascii="Verdana" w:hAnsi="Verdana" w:cs="Tahoma"/>
          <w:bCs/>
          <w:color w:val="000000"/>
          <w:spacing w:val="-4"/>
          <w:sz w:val="16"/>
          <w:szCs w:val="16"/>
          <w:lang w:val="es-PR"/>
        </w:rPr>
        <w:t>: “</w:t>
      </w:r>
      <w:r w:rsidRPr="007E666D">
        <w:rPr>
          <w:rFonts w:ascii="Verdana" w:hAnsi="Verdana" w:cs="Tahoma"/>
          <w:color w:val="000000"/>
          <w:sz w:val="16"/>
          <w:szCs w:val="16"/>
          <w:lang w:val="es-PR"/>
        </w:rPr>
        <w:t>Los Estados Partes en esta Convención se comprometen a: a) No practicar, no permitir, ni tolerar la desaparición forzada de personas, ni aun en estado de emergencia, excepción o suspensión de garantías individuales”.</w:t>
      </w:r>
      <w:r>
        <w:rPr>
          <w:rFonts w:ascii="Verdana" w:hAnsi="Verdana" w:cs="Tahoma"/>
          <w:color w:val="000000"/>
          <w:sz w:val="16"/>
          <w:szCs w:val="16"/>
          <w:lang w:val="es-PR"/>
        </w:rPr>
        <w:t xml:space="preserve"> El artículo II de dicho instrumento establece: “</w:t>
      </w:r>
      <w:r w:rsidRPr="00BA4710">
        <w:rPr>
          <w:rFonts w:ascii="Verdana" w:hAnsi="Verdana"/>
          <w:sz w:val="16"/>
          <w:szCs w:val="16"/>
          <w:lang w:val="es-PR"/>
        </w:rPr>
        <w:t>Para los efectos de la presente Convención, se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r>
        <w:rPr>
          <w:rFonts w:ascii="Verdana" w:hAnsi="Verdana"/>
          <w:sz w:val="16"/>
          <w:szCs w:val="16"/>
          <w:lang w:val="es-PR"/>
        </w:rPr>
        <w:t>”</w:t>
      </w:r>
      <w:r w:rsidRPr="00BA4710">
        <w:rPr>
          <w:rFonts w:ascii="Verdana" w:hAnsi="Verdana"/>
          <w:sz w:val="16"/>
          <w:szCs w:val="16"/>
          <w:lang w:val="es-PR"/>
        </w:rPr>
        <w:t>.</w:t>
      </w:r>
    </w:p>
  </w:footnote>
  <w:footnote w:id="224">
    <w:p w:rsidR="00D57F75" w:rsidRPr="007E666D" w:rsidRDefault="00D57F75" w:rsidP="00845740">
      <w:pPr>
        <w:tabs>
          <w:tab w:val="left" w:pos="360"/>
        </w:tabs>
        <w:spacing w:after="0" w:line="240" w:lineRule="auto"/>
        <w:jc w:val="both"/>
        <w:rPr>
          <w:rStyle w:val="FootnoteReference"/>
          <w:i/>
          <w:sz w:val="16"/>
          <w:lang w:val="es-PR"/>
        </w:rPr>
      </w:pPr>
      <w:r w:rsidRPr="007E666D">
        <w:rPr>
          <w:rStyle w:val="FootnoteReference"/>
          <w:sz w:val="16"/>
          <w:lang w:val="es-PR"/>
        </w:rPr>
        <w:footnoteRef/>
      </w:r>
      <w:r w:rsidRPr="007E666D">
        <w:rPr>
          <w:rStyle w:val="FootnoteReference"/>
          <w:sz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 Caso Ivcher Bronstein Vs. Perú. Fondo, Reparaciones y Costas.</w:t>
      </w:r>
      <w:r w:rsidRPr="007E666D">
        <w:rPr>
          <w:rFonts w:ascii="Verdana" w:hAnsi="Verdana"/>
          <w:sz w:val="16"/>
          <w:szCs w:val="16"/>
          <w:lang w:val="es-PR"/>
        </w:rPr>
        <w:t xml:space="preserve"> Sentencia de 6 de febrero de 2001. Serie C No. 74, párr. 122 y </w:t>
      </w:r>
      <w:r w:rsidRPr="007E666D">
        <w:rPr>
          <w:rStyle w:val="Strong"/>
          <w:rFonts w:ascii="Verdana" w:hAnsi="Verdana"/>
          <w:b w:val="0"/>
          <w:i/>
          <w:sz w:val="16"/>
          <w:szCs w:val="16"/>
          <w:lang w:val="es-PR"/>
        </w:rPr>
        <w:t>Caso Granier y otros (Radio Caracas Televisión) Vs. Venezuela. Excepciones Preliminares, Fondo, Reparaciones y Costas</w:t>
      </w:r>
      <w:r w:rsidRPr="007E666D">
        <w:rPr>
          <w:rStyle w:val="Strong"/>
          <w:rFonts w:ascii="Verdana" w:hAnsi="Verdana"/>
          <w:b w:val="0"/>
          <w:sz w:val="16"/>
          <w:szCs w:val="16"/>
          <w:lang w:val="es-PR"/>
        </w:rPr>
        <w:t>. Sentencia de 22 de junio de 2015. Serie C No. 293, párr. 33</w:t>
      </w:r>
      <w:r w:rsidRPr="007E666D">
        <w:rPr>
          <w:rFonts w:ascii="Verdana" w:hAnsi="Verdana"/>
          <w:sz w:val="16"/>
          <w:szCs w:val="16"/>
          <w:lang w:val="es-PR"/>
        </w:rPr>
        <w:t>5.</w:t>
      </w:r>
    </w:p>
  </w:footnote>
  <w:footnote w:id="225">
    <w:p w:rsidR="00D57F75" w:rsidRPr="007E666D" w:rsidRDefault="00D57F75" w:rsidP="00845740">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El artículo 11.2 de la Convención Americana establece: “Nadie puede ser objeto de injerencias arbitrarias o abusivas en su vida privada, en la de su familia, en su domicilio o en su correspondencia, ni de ataques ilegales a su honra o reputación”.</w:t>
      </w:r>
    </w:p>
  </w:footnote>
  <w:footnote w:id="226">
    <w:p w:rsidR="00D57F75" w:rsidRPr="007E666D" w:rsidRDefault="00D57F75" w:rsidP="00845740">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Cfr. </w:t>
      </w:r>
      <w:r w:rsidRPr="007E666D">
        <w:rPr>
          <w:rFonts w:ascii="Verdana" w:hAnsi="Verdana"/>
          <w:i/>
          <w:sz w:val="16"/>
          <w:szCs w:val="16"/>
          <w:lang w:val="es-PR"/>
        </w:rPr>
        <w:t>Caso de las Masacres de Ituango Vs. Colombia, supra,</w:t>
      </w:r>
      <w:r w:rsidRPr="007E666D">
        <w:rPr>
          <w:rFonts w:ascii="Verdana" w:hAnsi="Verdana"/>
          <w:sz w:val="16"/>
          <w:szCs w:val="16"/>
          <w:lang w:val="es-PR"/>
        </w:rPr>
        <w:t xml:space="preserve"> párrs. 193 y 194, y </w:t>
      </w:r>
      <w:r w:rsidRPr="007E666D">
        <w:rPr>
          <w:rFonts w:ascii="Verdana" w:hAnsi="Verdana"/>
          <w:i/>
          <w:spacing w:val="-4"/>
          <w:sz w:val="16"/>
          <w:szCs w:val="16"/>
          <w:lang w:val="es-PR"/>
        </w:rPr>
        <w:t>Caso J. Vs. Perú, supra</w:t>
      </w:r>
      <w:r w:rsidRPr="007E666D">
        <w:rPr>
          <w:rFonts w:ascii="Verdana" w:hAnsi="Verdana"/>
          <w:spacing w:val="-4"/>
          <w:sz w:val="16"/>
          <w:szCs w:val="16"/>
          <w:lang w:val="es-PR"/>
        </w:rPr>
        <w:t xml:space="preserve">, párr. 128. </w:t>
      </w:r>
    </w:p>
  </w:footnote>
  <w:footnote w:id="227">
    <w:p w:rsidR="00D57F75" w:rsidRPr="007E666D" w:rsidRDefault="00D57F75" w:rsidP="00845740">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Declaración rendida ante fedatario público (affidávit) por el señor Zósimo Hilario Quispe del 9 de enero de 2015 (Expediente de prueba, folios 5200)</w:t>
      </w:r>
    </w:p>
  </w:footnote>
  <w:footnote w:id="228">
    <w:p w:rsidR="00D57F75" w:rsidRPr="007E666D" w:rsidRDefault="00D57F75" w:rsidP="00845740">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Declaración rendida ante fedatario público (affidávit) por el señor Marcelo Hilario Quispe del 9 de enero de 2015. (Expediente de prueba, folios 5203 y 5207) </w:t>
      </w:r>
    </w:p>
  </w:footnote>
  <w:footnote w:id="229">
    <w:p w:rsidR="00D57F75" w:rsidRPr="007E666D" w:rsidRDefault="00D57F75" w:rsidP="00845740">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Declaración rendida ante fedatario público (affidávit) por el señor Víctor Carhuapoma de la Cruz del 9 de enero de 2015. (Expediente de prueba, folio 5215)</w:t>
      </w:r>
    </w:p>
  </w:footnote>
  <w:footnote w:id="230">
    <w:p w:rsidR="00D57F75" w:rsidRPr="007E666D" w:rsidRDefault="00D57F75" w:rsidP="00845740">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Declaración del señor Oscar Carrera Gonzáles del 3 de agosto de 2010 en el Proceso No. 42-06 de Sala Penal Nacional (expediente de prueba 2903)</w:t>
      </w:r>
    </w:p>
  </w:footnote>
  <w:footnote w:id="231">
    <w:p w:rsidR="00D57F75" w:rsidRPr="007E666D" w:rsidRDefault="00D57F75" w:rsidP="00845740">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Declaración del señor Oscar Carrera Gonzáles en el Proceso No. 42-06 de Sala Penal Nacional. (expediente de prueba, folio 2927).</w:t>
      </w:r>
    </w:p>
  </w:footnote>
  <w:footnote w:id="232">
    <w:p w:rsidR="00D57F75" w:rsidRPr="007E666D" w:rsidRDefault="00D57F75" w:rsidP="00845740">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Cfr.</w:t>
      </w:r>
      <w:r w:rsidRPr="007E666D">
        <w:rPr>
          <w:rFonts w:ascii="Verdana" w:hAnsi="Verdana"/>
          <w:sz w:val="16"/>
          <w:szCs w:val="16"/>
          <w:lang w:val="es-PR"/>
        </w:rPr>
        <w:t xml:space="preserve"> Declaración de FPA en el Proceso No. 42-06 de Sala Penal Nacional (expediente de prueba, folio 2974). </w:t>
      </w:r>
    </w:p>
  </w:footnote>
  <w:footnote w:id="233">
    <w:p w:rsidR="00D57F75" w:rsidRPr="007E666D" w:rsidRDefault="00D57F75" w:rsidP="00845740">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spacing w:val="-4"/>
          <w:sz w:val="16"/>
          <w:szCs w:val="16"/>
          <w:lang w:val="es-PR"/>
        </w:rPr>
        <w:t xml:space="preserve">Sentencia de Sala Penal Nacional de 9 de febrero de 2012. Expediente No. 42-06 (expediente de prueba, folios 4505 y 4506) </w:t>
      </w:r>
    </w:p>
  </w:footnote>
  <w:footnote w:id="234">
    <w:p w:rsidR="00D57F75" w:rsidRPr="007E666D" w:rsidRDefault="00D57F75" w:rsidP="00845740">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z w:val="16"/>
          <w:szCs w:val="16"/>
          <w:lang w:val="es-PR"/>
        </w:rPr>
        <w:t>Informe Final de la CVR del Perú</w:t>
      </w:r>
      <w:r w:rsidRPr="007E666D">
        <w:rPr>
          <w:rFonts w:ascii="Verdana" w:hAnsi="Verdana"/>
          <w:sz w:val="16"/>
          <w:szCs w:val="16"/>
          <w:lang w:val="es-PR"/>
        </w:rPr>
        <w:t>, Tomo VII, Capítulo 2.50</w:t>
      </w:r>
      <w:r w:rsidRPr="007E666D">
        <w:rPr>
          <w:rFonts w:ascii="Verdana" w:hAnsi="Verdana"/>
          <w:spacing w:val="-4"/>
          <w:sz w:val="16"/>
          <w:szCs w:val="16"/>
          <w:lang w:val="es-PR"/>
        </w:rPr>
        <w:t>, pág. 544.</w:t>
      </w:r>
    </w:p>
  </w:footnote>
  <w:footnote w:id="235">
    <w:p w:rsidR="00D57F75" w:rsidRPr="007E666D" w:rsidRDefault="00D57F75" w:rsidP="00845740">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 xml:space="preserve">En el mismo sentido, véase: </w:t>
      </w:r>
      <w:r w:rsidRPr="007E666D">
        <w:rPr>
          <w:rFonts w:ascii="Verdana" w:hAnsi="Verdana" w:cs="Arial"/>
          <w:i/>
          <w:sz w:val="16"/>
          <w:szCs w:val="16"/>
          <w:lang w:val="es-PR"/>
        </w:rPr>
        <w:t xml:space="preserve">Caso Masacres de El Mozote y lugares aledaños Vs. El Salvador,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párr. 182. </w:t>
      </w:r>
    </w:p>
  </w:footnote>
  <w:footnote w:id="236">
    <w:p w:rsidR="00D57F75" w:rsidRPr="007E666D" w:rsidRDefault="00D57F75" w:rsidP="00C83100">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spacing w:val="-2"/>
          <w:sz w:val="16"/>
          <w:szCs w:val="16"/>
          <w:lang w:val="es-PR"/>
        </w:rPr>
        <w:t xml:space="preserve">Durante la audiencia pública, los representantes alegaron por primera vez la existencia de testimonios en el expediente interno judicial que darían cuenta de violaciones sexuales contra las mujeres durante el operativo, “sin embargo, los procesos judiciales internos no abarcaron estas como crímenes conexos, sino como crímenes prescriptibles […]”. Además, resaltaron que el Ministerio Público habría considerado que los hechos del caso no son una desaparición forzada aplicando el artículo 320 del Código Penal peruano, el cual </w:t>
      </w:r>
      <w:r w:rsidRPr="007E666D">
        <w:rPr>
          <w:rFonts w:ascii="Verdana" w:hAnsi="Verdana"/>
          <w:spacing w:val="-2"/>
          <w:sz w:val="16"/>
          <w:szCs w:val="16"/>
          <w:lang w:val="es-PR"/>
        </w:rPr>
        <w:t>la Corte ha declarado contrario a los requisitos de la Convención. Según los representantes, el Estado también ha fragmentado las investigaciones, ya que el señor Bendezú Vargas se encontraría bajo investigación en dos procesos distintos. Objetaron, además, la falta de procesamiento de los dos militares menores de edad que participaron del operativo “Apolonia”.</w:t>
      </w:r>
    </w:p>
  </w:footnote>
  <w:footnote w:id="237">
    <w:p w:rsidR="00D57F75" w:rsidRPr="007E666D" w:rsidRDefault="00D57F75" w:rsidP="00C83100">
      <w:pPr>
        <w:pStyle w:val="FootnoteText"/>
        <w:tabs>
          <w:tab w:val="left" w:pos="540"/>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eastAsia="Calibri" w:hAnsi="Verdana"/>
          <w:spacing w:val="-4"/>
          <w:sz w:val="16"/>
          <w:szCs w:val="16"/>
          <w:lang w:val="es-PR"/>
        </w:rPr>
        <w:t xml:space="preserve">En ese sentido, mediante las sentencias del Tribunal Constitucional de 16 de marzo de 2004 y 9 de junio de 2004 se declaró la inconstitucionalidad de determinados artículos del Código de Justicia Militar Decreto Ley No. 23214 y de la Ley Orgánica de Justicia Militar Decreto Ley No. 23201, modificándose así la legislación en materia de Justicia Militar. Asimismo, se delimitó la definición de delito de función a fin de establecer y delimitar claramente las competencias del fuero militar y del fuero ordinario y respecto a qué delitos cometidos por efectivos de las Fuerzas Amadas o de la Policía Nacional del Perú que afectan bienes jurídicos de competencia del fuero común fueran de conocimiento exclusivo de la jurisdicción ordinaria. A ello se debía agregar que el Pleno del Tribunal Constitucional Peruano expidió una nueva sentencia sobre la materia el 15 de diciembre del 2006 disponiendo que el Fuero Militar no podía conocer delitos comunes tipificados en el Código Penal. Asimismo, declaró la inconstitucionalidad de ciertos artículos del Decreto Legislativo No. 961, Código de Justicia Militar Policial. Así, el artículo 169 del antiguo Código de Justicia Militar, que regulaba el delito de </w:t>
      </w:r>
      <w:r w:rsidRPr="007E666D">
        <w:rPr>
          <w:rFonts w:ascii="Verdana" w:eastAsia="Calibri" w:hAnsi="Verdana"/>
          <w:bCs/>
          <w:spacing w:val="-4"/>
          <w:sz w:val="16"/>
          <w:szCs w:val="16"/>
          <w:lang w:val="es-PR"/>
        </w:rPr>
        <w:t xml:space="preserve">Abuso de Autoridad, </w:t>
      </w:r>
      <w:r w:rsidRPr="007E666D">
        <w:rPr>
          <w:rFonts w:ascii="Verdana" w:eastAsia="Calibri" w:hAnsi="Verdana"/>
          <w:spacing w:val="-4"/>
          <w:sz w:val="16"/>
          <w:szCs w:val="16"/>
          <w:lang w:val="es-PR"/>
        </w:rPr>
        <w:t xml:space="preserve">fue tipificado en el Artículo 139 inciso 1 del Decreto Legislativo No. 961, Código de Justicia Militar Policial, con el nombre de Excesos en </w:t>
      </w:r>
      <w:r w:rsidRPr="007E666D">
        <w:rPr>
          <w:rFonts w:ascii="Verdana" w:eastAsia="Calibri" w:hAnsi="Verdana"/>
          <w:bCs/>
          <w:spacing w:val="-4"/>
          <w:sz w:val="16"/>
          <w:szCs w:val="16"/>
          <w:lang w:val="es-PR"/>
        </w:rPr>
        <w:t xml:space="preserve">la Facultad de Mando, </w:t>
      </w:r>
      <w:r w:rsidRPr="007E666D">
        <w:rPr>
          <w:rFonts w:ascii="Verdana" w:eastAsia="Calibri" w:hAnsi="Verdana"/>
          <w:spacing w:val="-4"/>
          <w:sz w:val="16"/>
          <w:szCs w:val="16"/>
          <w:lang w:val="es-PR"/>
        </w:rPr>
        <w:t>el cual fue declarado inconstitucional por dicha sentencia del Tribunal Constitucional.</w:t>
      </w:r>
    </w:p>
  </w:footnote>
  <w:footnote w:id="238">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i/>
          <w:color w:val="000000"/>
          <w:spacing w:val="-4"/>
          <w:sz w:val="16"/>
          <w:szCs w:val="16"/>
          <w:lang w:val="es-PR"/>
        </w:rPr>
        <w:t>Caso Velásquez Rodríguez Vs. Honduras</w:t>
      </w:r>
      <w:r w:rsidRPr="007E666D">
        <w:rPr>
          <w:rFonts w:ascii="Verdana" w:hAnsi="Verdana"/>
          <w:color w:val="000000"/>
          <w:spacing w:val="-4"/>
          <w:sz w:val="16"/>
          <w:szCs w:val="16"/>
          <w:lang w:val="es-PR"/>
        </w:rPr>
        <w:t xml:space="preserve">. </w:t>
      </w:r>
      <w:r w:rsidRPr="007E666D">
        <w:rPr>
          <w:rFonts w:ascii="Verdana" w:hAnsi="Verdana"/>
          <w:i/>
          <w:color w:val="000000"/>
          <w:spacing w:val="-4"/>
          <w:sz w:val="16"/>
          <w:szCs w:val="16"/>
          <w:lang w:val="es-PR"/>
        </w:rPr>
        <w:t>Excepciones</w:t>
      </w:r>
      <w:r w:rsidRPr="007E666D">
        <w:rPr>
          <w:rFonts w:ascii="Verdana" w:hAnsi="Verdana"/>
          <w:color w:val="000000"/>
          <w:spacing w:val="-4"/>
          <w:sz w:val="16"/>
          <w:szCs w:val="16"/>
          <w:lang w:val="es-PR"/>
        </w:rPr>
        <w:t>.</w:t>
      </w:r>
      <w:r w:rsidRPr="007E666D">
        <w:rPr>
          <w:rFonts w:ascii="Verdana" w:hAnsi="Verdana"/>
          <w:spacing w:val="-4"/>
          <w:sz w:val="16"/>
          <w:szCs w:val="16"/>
          <w:lang w:val="es-PR"/>
        </w:rPr>
        <w:t xml:space="preserve"> </w:t>
      </w:r>
      <w:r w:rsidRPr="007E666D">
        <w:rPr>
          <w:rFonts w:ascii="Verdana" w:hAnsi="Verdana"/>
          <w:color w:val="000000"/>
          <w:spacing w:val="-4"/>
          <w:sz w:val="16"/>
          <w:szCs w:val="16"/>
          <w:lang w:val="es-PR"/>
        </w:rPr>
        <w:t>Sentencia de 26 de junio de 1987. Serie C No. 1</w:t>
      </w:r>
      <w:r w:rsidRPr="007E666D">
        <w:rPr>
          <w:rFonts w:ascii="Verdana" w:hAnsi="Verdana"/>
          <w:i/>
          <w:color w:val="000000"/>
          <w:spacing w:val="-4"/>
          <w:sz w:val="16"/>
          <w:szCs w:val="16"/>
          <w:lang w:val="es-PR"/>
        </w:rPr>
        <w:t xml:space="preserve">, </w:t>
      </w:r>
      <w:r w:rsidRPr="007E666D">
        <w:rPr>
          <w:rFonts w:ascii="Verdana" w:hAnsi="Verdana"/>
          <w:spacing w:val="-4"/>
          <w:sz w:val="16"/>
          <w:szCs w:val="16"/>
          <w:lang w:val="es-PR"/>
        </w:rPr>
        <w:t xml:space="preserve">párr. 91, y </w:t>
      </w:r>
      <w:r w:rsidRPr="007E666D">
        <w:rPr>
          <w:rStyle w:val="Strong"/>
          <w:rFonts w:ascii="Verdana" w:hAnsi="Verdana"/>
          <w:b w:val="0"/>
          <w:i/>
          <w:color w:val="000000"/>
          <w:sz w:val="16"/>
          <w:szCs w:val="16"/>
          <w:shd w:val="clear" w:color="auto" w:fill="FFFFFF"/>
          <w:lang w:val="es-PR"/>
        </w:rPr>
        <w:t>Caso Espinoza Gonzáles Vs. Perú</w:t>
      </w:r>
      <w:r w:rsidRPr="007E666D">
        <w:rPr>
          <w:rStyle w:val="Strong"/>
          <w:rFonts w:ascii="Verdana" w:hAnsi="Verdana"/>
          <w:b w:val="0"/>
          <w:color w:val="000000"/>
          <w:sz w:val="16"/>
          <w:szCs w:val="16"/>
          <w:shd w:val="clear" w:color="auto" w:fill="FFFFFF"/>
          <w:lang w:val="es-PR"/>
        </w:rPr>
        <w:t>. Excepciones Preliminares, Fondo, Reparaciones y Costas. Sentencia de 20 de noviembre de 2014. Serie C No. 289</w:t>
      </w:r>
      <w:r w:rsidRPr="007E666D">
        <w:rPr>
          <w:rFonts w:ascii="Verdana" w:hAnsi="Verdana"/>
          <w:spacing w:val="-4"/>
          <w:sz w:val="16"/>
          <w:szCs w:val="16"/>
          <w:lang w:val="es-PR"/>
        </w:rPr>
        <w:t>, párr. 237.</w:t>
      </w:r>
    </w:p>
  </w:footnote>
  <w:footnote w:id="239">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 Caso Bulacio Vs. Argentina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Fondo, Reparaciones y Costas. Sentencia de 18 de septiembre de 2003. Serie C No. 100, </w:t>
      </w:r>
      <w:r w:rsidRPr="007E666D">
        <w:rPr>
          <w:rFonts w:ascii="Verdana" w:hAnsi="Verdana"/>
          <w:spacing w:val="-4"/>
          <w:sz w:val="16"/>
          <w:szCs w:val="16"/>
          <w:lang w:val="es-PR"/>
        </w:rPr>
        <w:t xml:space="preserve">párr. 114, y </w:t>
      </w:r>
      <w:r w:rsidRPr="007E666D">
        <w:rPr>
          <w:rStyle w:val="Strong"/>
          <w:rFonts w:ascii="Verdana" w:hAnsi="Verdana"/>
          <w:b w:val="0"/>
          <w:i/>
          <w:color w:val="000000"/>
          <w:sz w:val="16"/>
          <w:szCs w:val="16"/>
          <w:shd w:val="clear" w:color="auto" w:fill="FFFFFF"/>
          <w:lang w:val="es-PR"/>
        </w:rPr>
        <w:t>Caso Espinoza Gonzáles Vs. Perú</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237.</w:t>
      </w:r>
    </w:p>
  </w:footnote>
  <w:footnote w:id="240">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i/>
          <w:spacing w:val="-4"/>
          <w:sz w:val="16"/>
          <w:szCs w:val="16"/>
          <w:lang w:val="es-PR"/>
        </w:rPr>
        <w:t>Caso Velásquez Rodríguez Vs. Honduras. Fondo</w:t>
      </w:r>
      <w:r w:rsidRPr="007E666D">
        <w:rPr>
          <w:rFonts w:ascii="Verdana" w:hAnsi="Verdana"/>
          <w:spacing w:val="-4"/>
          <w:sz w:val="16"/>
          <w:szCs w:val="16"/>
          <w:lang w:val="es-PR"/>
        </w:rPr>
        <w:t xml:space="preserve">, </w:t>
      </w:r>
      <w:r w:rsidRPr="007E666D">
        <w:rPr>
          <w:rFonts w:ascii="Verdana" w:hAnsi="Verdana"/>
          <w:i/>
          <w:spacing w:val="-4"/>
          <w:sz w:val="16"/>
          <w:szCs w:val="16"/>
          <w:lang w:val="es-PR"/>
        </w:rPr>
        <w:t xml:space="preserve">supra, </w:t>
      </w:r>
      <w:r w:rsidRPr="007E666D">
        <w:rPr>
          <w:rFonts w:ascii="Verdana" w:hAnsi="Verdana"/>
          <w:spacing w:val="-4"/>
          <w:sz w:val="16"/>
          <w:szCs w:val="16"/>
          <w:lang w:val="es-PR"/>
        </w:rPr>
        <w:t xml:space="preserve">párrs. 166 y 176,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436.</w:t>
      </w:r>
    </w:p>
  </w:footnote>
  <w:footnote w:id="241">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i/>
          <w:spacing w:val="-4"/>
          <w:sz w:val="16"/>
          <w:szCs w:val="16"/>
          <w:lang w:val="es-PR"/>
        </w:rPr>
        <w:t>Caso Velásquez Rodríguez Vs. Honduras. Fondo,</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 xml:space="preserve">párr. 166,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color w:val="000000"/>
          <w:spacing w:val="-4"/>
          <w:sz w:val="16"/>
          <w:szCs w:val="16"/>
          <w:lang w:val="es-PR"/>
        </w:rPr>
        <w:t xml:space="preserve">párr. </w:t>
      </w:r>
      <w:r w:rsidRPr="007E666D">
        <w:rPr>
          <w:rFonts w:ascii="Verdana" w:hAnsi="Verdana"/>
          <w:spacing w:val="-4"/>
          <w:sz w:val="16"/>
          <w:szCs w:val="16"/>
          <w:lang w:val="es-PR"/>
        </w:rPr>
        <w:t>436.</w:t>
      </w:r>
    </w:p>
  </w:footnote>
  <w:footnote w:id="242">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i/>
          <w:spacing w:val="-4"/>
          <w:sz w:val="16"/>
          <w:szCs w:val="16"/>
          <w:lang w:val="es-PR"/>
        </w:rPr>
        <w:t xml:space="preserve">Caso Goiburú y otros Vs. Paraguay, </w:t>
      </w:r>
      <w:r w:rsidRPr="007E666D">
        <w:rPr>
          <w:rFonts w:ascii="Verdana" w:hAnsi="Verdana"/>
          <w:i/>
          <w:color w:val="000000"/>
          <w:spacing w:val="-4"/>
          <w:sz w:val="16"/>
          <w:szCs w:val="16"/>
          <w:lang w:val="es-PR"/>
        </w:rPr>
        <w:t>supra,</w:t>
      </w:r>
      <w:r w:rsidRPr="007E666D">
        <w:rPr>
          <w:rFonts w:ascii="Verdana" w:hAnsi="Verdana"/>
          <w:i/>
          <w:spacing w:val="-4"/>
          <w:sz w:val="16"/>
          <w:szCs w:val="16"/>
          <w:lang w:val="es-PR"/>
        </w:rPr>
        <w:t xml:space="preserve"> </w:t>
      </w:r>
      <w:r w:rsidRPr="007E666D">
        <w:rPr>
          <w:rFonts w:ascii="Verdana" w:hAnsi="Verdana"/>
          <w:spacing w:val="-4"/>
          <w:sz w:val="16"/>
          <w:szCs w:val="16"/>
          <w:lang w:val="es-PR"/>
        </w:rPr>
        <w:t>párr. 128, y</w:t>
      </w:r>
      <w:r w:rsidRPr="007E666D">
        <w:rPr>
          <w:rFonts w:ascii="Verdana" w:hAnsi="Verdana"/>
          <w:i/>
          <w:iCs/>
          <w:spacing w:val="-4"/>
          <w:sz w:val="16"/>
          <w:szCs w:val="16"/>
          <w:lang w:val="es-PR"/>
        </w:rPr>
        <w:t xml:space="preserve">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436.</w:t>
      </w:r>
    </w:p>
  </w:footnote>
  <w:footnote w:id="243">
    <w:p w:rsidR="00D57F75" w:rsidRPr="00D24205" w:rsidRDefault="00D57F75" w:rsidP="00D24205">
      <w:pPr>
        <w:pStyle w:val="FootnoteText"/>
        <w:jc w:val="both"/>
        <w:rPr>
          <w:rFonts w:ascii="Verdana" w:hAnsi="Verdana"/>
          <w:sz w:val="16"/>
          <w:szCs w:val="16"/>
          <w:lang w:val="es-PR"/>
        </w:rPr>
      </w:pPr>
      <w:r w:rsidRPr="00D24205">
        <w:rPr>
          <w:rStyle w:val="FootnoteReference"/>
          <w:rFonts w:eastAsiaTheme="minorHAnsi"/>
          <w:sz w:val="16"/>
        </w:rPr>
        <w:footnoteRef/>
      </w:r>
      <w:r w:rsidRPr="00D24205">
        <w:rPr>
          <w:rFonts w:ascii="Verdana" w:hAnsi="Verdana"/>
          <w:sz w:val="16"/>
          <w:szCs w:val="16"/>
        </w:rPr>
        <w:t xml:space="preserve"> </w:t>
      </w:r>
      <w:r>
        <w:rPr>
          <w:rFonts w:ascii="Verdana" w:hAnsi="Verdana"/>
          <w:sz w:val="16"/>
          <w:szCs w:val="16"/>
        </w:rPr>
        <w:tab/>
      </w:r>
      <w:r w:rsidRPr="00D24205">
        <w:rPr>
          <w:rFonts w:ascii="Verdana" w:hAnsi="Verdana"/>
          <w:sz w:val="16"/>
          <w:szCs w:val="16"/>
        </w:rPr>
        <w:t>El artículo I.b</w:t>
      </w:r>
      <w:r>
        <w:rPr>
          <w:rFonts w:ascii="Verdana" w:hAnsi="Verdana"/>
          <w:sz w:val="16"/>
          <w:szCs w:val="16"/>
        </w:rPr>
        <w:t xml:space="preserve"> de la CIDFP</w:t>
      </w:r>
      <w:r w:rsidRPr="00D24205">
        <w:rPr>
          <w:rFonts w:ascii="Verdana" w:hAnsi="Verdana"/>
          <w:sz w:val="16"/>
          <w:szCs w:val="16"/>
        </w:rPr>
        <w:t xml:space="preserve"> establece: </w:t>
      </w:r>
      <w:r>
        <w:rPr>
          <w:rFonts w:ascii="Verdana" w:hAnsi="Verdana"/>
          <w:sz w:val="16"/>
          <w:szCs w:val="16"/>
        </w:rPr>
        <w:t>“</w:t>
      </w:r>
      <w:r w:rsidRPr="00D24205">
        <w:rPr>
          <w:rFonts w:ascii="Verdana" w:hAnsi="Verdana"/>
          <w:sz w:val="16"/>
          <w:szCs w:val="16"/>
        </w:rPr>
        <w:t>Los Estados Partes en esta Convención se comprometen a: […] b) Sancionar en el ámbito de su jurisdicción a los autores, cómplices y encubridores del delito de desaparición forzada de personas, así como la tentativa de comisión del mismo”.</w:t>
      </w:r>
    </w:p>
  </w:footnote>
  <w:footnote w:id="244">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D24205">
        <w:rPr>
          <w:rStyle w:val="FootnoteReference"/>
          <w:sz w:val="16"/>
          <w:lang w:val="es-PR"/>
        </w:rPr>
        <w:footnoteRef/>
      </w:r>
      <w:r w:rsidRPr="00D24205">
        <w:rPr>
          <w:rFonts w:ascii="Verdana" w:hAnsi="Verdana"/>
          <w:spacing w:val="-4"/>
          <w:sz w:val="16"/>
          <w:szCs w:val="16"/>
          <w:lang w:val="es-PR"/>
        </w:rPr>
        <w:t xml:space="preserve"> </w:t>
      </w:r>
      <w:r w:rsidRPr="00D24205">
        <w:rPr>
          <w:rFonts w:ascii="Verdana" w:hAnsi="Verdana"/>
          <w:spacing w:val="-4"/>
          <w:sz w:val="16"/>
          <w:szCs w:val="16"/>
          <w:lang w:val="es-PR"/>
        </w:rPr>
        <w:tab/>
      </w:r>
      <w:r w:rsidRPr="00D24205">
        <w:rPr>
          <w:rFonts w:ascii="Verdana" w:hAnsi="Verdana"/>
          <w:i/>
          <w:iCs/>
          <w:spacing w:val="-4"/>
          <w:sz w:val="16"/>
          <w:szCs w:val="16"/>
          <w:lang w:val="es-PR"/>
        </w:rPr>
        <w:t>Cfr.</w:t>
      </w:r>
      <w:r w:rsidRPr="007E666D">
        <w:rPr>
          <w:rFonts w:ascii="Verdana" w:hAnsi="Verdana"/>
          <w:i/>
          <w:iCs/>
          <w:spacing w:val="-4"/>
          <w:sz w:val="16"/>
          <w:szCs w:val="16"/>
          <w:lang w:val="es-PR"/>
        </w:rPr>
        <w:t xml:space="preserve"> </w:t>
      </w:r>
      <w:r w:rsidRPr="007E666D">
        <w:rPr>
          <w:rFonts w:ascii="Verdana" w:hAnsi="Verdana"/>
          <w:i/>
          <w:spacing w:val="-4"/>
          <w:sz w:val="16"/>
          <w:szCs w:val="16"/>
          <w:lang w:val="es-PR"/>
        </w:rPr>
        <w:t xml:space="preserve">Caso Anzualdo Castro Vs. Perú,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 xml:space="preserve">párr. 65,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supra,</w:t>
      </w:r>
      <w:r w:rsidRPr="007E666D">
        <w:rPr>
          <w:rFonts w:ascii="Verdana" w:hAnsi="Verdana"/>
          <w:spacing w:val="-4"/>
          <w:sz w:val="16"/>
          <w:szCs w:val="16"/>
          <w:lang w:val="es-PR"/>
        </w:rPr>
        <w:t xml:space="preserve"> párr. 475.</w:t>
      </w:r>
    </w:p>
  </w:footnote>
  <w:footnote w:id="245">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Velásquez Rodríguez Vs. Honduras. Fondo</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 xml:space="preserve">párr. 177,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475.</w:t>
      </w:r>
    </w:p>
  </w:footnote>
  <w:footnote w:id="246">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Velásquez Rodríguez Vs. Honduras. Fondo</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supra,</w:t>
      </w:r>
      <w:r w:rsidRPr="007E666D">
        <w:rPr>
          <w:rFonts w:ascii="Verdana" w:hAnsi="Verdana"/>
          <w:spacing w:val="-4"/>
          <w:sz w:val="16"/>
          <w:szCs w:val="16"/>
          <w:lang w:val="es-PR"/>
        </w:rPr>
        <w:t xml:space="preserve"> </w:t>
      </w:r>
      <w:r w:rsidRPr="007E666D">
        <w:rPr>
          <w:rFonts w:ascii="Verdana" w:hAnsi="Verdana" w:cs="GillSans-Light"/>
          <w:spacing w:val="-4"/>
          <w:sz w:val="16"/>
          <w:szCs w:val="16"/>
          <w:lang w:val="es-PR"/>
        </w:rPr>
        <w:t>párr. 177, y</w:t>
      </w:r>
      <w:r w:rsidRPr="007E666D">
        <w:rPr>
          <w:rFonts w:ascii="Verdana" w:hAnsi="Verdana"/>
          <w:spacing w:val="-4"/>
          <w:sz w:val="16"/>
          <w:szCs w:val="16"/>
          <w:lang w:val="es-PR"/>
        </w:rPr>
        <w:t xml:space="preserve">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488.</w:t>
      </w:r>
    </w:p>
  </w:footnote>
  <w:footnote w:id="247">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bCs/>
          <w:i/>
          <w:spacing w:val="-4"/>
          <w:sz w:val="16"/>
          <w:szCs w:val="16"/>
          <w:lang w:val="es-PR"/>
        </w:rPr>
        <w:t xml:space="preserve"> </w:t>
      </w:r>
      <w:r w:rsidRPr="007E666D">
        <w:rPr>
          <w:rFonts w:ascii="Verdana" w:hAnsi="Verdana"/>
          <w:i/>
          <w:spacing w:val="-4"/>
          <w:sz w:val="16"/>
          <w:szCs w:val="16"/>
          <w:lang w:val="es-PR"/>
        </w:rPr>
        <w:t xml:space="preserve">Caso de la Masacre de Pueblo Bello Vs. Colombia. </w:t>
      </w:r>
      <w:r w:rsidRPr="007E666D">
        <w:rPr>
          <w:rFonts w:ascii="Verdana" w:hAnsi="Verdana"/>
          <w:spacing w:val="-4"/>
          <w:sz w:val="16"/>
          <w:szCs w:val="16"/>
          <w:lang w:val="es-PR"/>
        </w:rPr>
        <w:t>Sentencia de 31 de enero de 2006. Serie C No. 140</w:t>
      </w:r>
      <w:r w:rsidRPr="007E666D">
        <w:rPr>
          <w:rFonts w:ascii="Verdana" w:hAnsi="Verdana"/>
          <w:i/>
          <w:color w:val="000000"/>
          <w:spacing w:val="-4"/>
          <w:sz w:val="16"/>
          <w:szCs w:val="16"/>
          <w:lang w:val="es-PR"/>
        </w:rPr>
        <w:t>,</w:t>
      </w:r>
      <w:r w:rsidRPr="007E666D">
        <w:rPr>
          <w:rFonts w:ascii="Verdana" w:hAnsi="Verdana"/>
          <w:spacing w:val="-4"/>
          <w:sz w:val="16"/>
          <w:szCs w:val="16"/>
          <w:lang w:val="es-PR"/>
        </w:rPr>
        <w:t xml:space="preserve"> párr. 145, </w:t>
      </w:r>
      <w:r w:rsidRPr="007E666D">
        <w:rPr>
          <w:rFonts w:ascii="Verdana" w:hAnsi="Verdana"/>
          <w:i/>
          <w:spacing w:val="-4"/>
          <w:sz w:val="16"/>
          <w:szCs w:val="16"/>
          <w:lang w:val="es-PR"/>
        </w:rPr>
        <w:t xml:space="preserve">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488.</w:t>
      </w:r>
    </w:p>
  </w:footnote>
  <w:footnote w:id="248">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Caso Myrna Mack Chang Vs. Guatemala, </w:t>
      </w:r>
      <w:r w:rsidRPr="007E666D">
        <w:rPr>
          <w:rFonts w:ascii="Verdana" w:hAnsi="Verdana"/>
          <w:i/>
          <w:color w:val="000000"/>
          <w:spacing w:val="-4"/>
          <w:sz w:val="16"/>
          <w:szCs w:val="16"/>
          <w:lang w:val="es-PR"/>
        </w:rPr>
        <w:t>supra,</w:t>
      </w:r>
      <w:r w:rsidRPr="007E666D">
        <w:rPr>
          <w:rFonts w:ascii="Verdana" w:hAnsi="Verdana"/>
          <w:i/>
          <w:spacing w:val="-4"/>
          <w:sz w:val="16"/>
          <w:szCs w:val="16"/>
          <w:lang w:val="es-PR"/>
        </w:rPr>
        <w:t xml:space="preserve"> </w:t>
      </w:r>
      <w:r w:rsidRPr="007E666D">
        <w:rPr>
          <w:rFonts w:ascii="Verdana" w:hAnsi="Verdana"/>
          <w:spacing w:val="-4"/>
          <w:sz w:val="16"/>
          <w:szCs w:val="16"/>
          <w:lang w:val="es-PR"/>
        </w:rPr>
        <w:t xml:space="preserve">párr. 156,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488.</w:t>
      </w:r>
    </w:p>
  </w:footnote>
  <w:footnote w:id="249">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i/>
          <w:spacing w:val="-4"/>
          <w:sz w:val="16"/>
          <w:szCs w:val="16"/>
          <w:lang w:val="es-PR"/>
        </w:rPr>
        <w:t>Caso Goiburú y otros Vs. Paraguay</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 xml:space="preserve">párr. 131,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488.</w:t>
      </w:r>
    </w:p>
  </w:footnote>
  <w:footnote w:id="250">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i/>
          <w:iCs/>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i/>
          <w:spacing w:val="-4"/>
          <w:sz w:val="16"/>
          <w:szCs w:val="16"/>
          <w:lang w:val="es-PR"/>
        </w:rPr>
        <w:t xml:space="preserve">Caso Myrna Mack Chang Vs. Guatemala, </w:t>
      </w:r>
      <w:r w:rsidRPr="007E666D">
        <w:rPr>
          <w:rFonts w:ascii="Verdana" w:hAnsi="Verdana"/>
          <w:i/>
          <w:color w:val="000000"/>
          <w:spacing w:val="-4"/>
          <w:sz w:val="16"/>
          <w:szCs w:val="16"/>
          <w:lang w:val="es-PR"/>
        </w:rPr>
        <w:t>supra,</w:t>
      </w:r>
      <w:r w:rsidRPr="007E666D">
        <w:rPr>
          <w:rFonts w:ascii="Verdana" w:hAnsi="Verdana"/>
          <w:i/>
          <w:spacing w:val="-4"/>
          <w:sz w:val="16"/>
          <w:szCs w:val="16"/>
          <w:lang w:val="es-PR"/>
        </w:rPr>
        <w:t xml:space="preserve"> </w:t>
      </w:r>
      <w:r w:rsidRPr="007E666D">
        <w:rPr>
          <w:rFonts w:ascii="Verdana" w:hAnsi="Verdana"/>
          <w:spacing w:val="-4"/>
          <w:sz w:val="16"/>
          <w:szCs w:val="16"/>
          <w:lang w:val="es-PR"/>
        </w:rPr>
        <w:t xml:space="preserve">párr. 277,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488.</w:t>
      </w:r>
    </w:p>
  </w:footnote>
  <w:footnote w:id="251">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bCs/>
          <w:i/>
          <w:spacing w:val="-4"/>
          <w:sz w:val="16"/>
          <w:szCs w:val="16"/>
          <w:lang w:val="es-PR"/>
        </w:rPr>
        <w:t xml:space="preserve">Cfr. </w:t>
      </w:r>
      <w:r w:rsidRPr="007E666D">
        <w:rPr>
          <w:rFonts w:ascii="Verdana" w:hAnsi="Verdana"/>
          <w:spacing w:val="-4"/>
          <w:sz w:val="16"/>
          <w:szCs w:val="16"/>
          <w:lang w:val="es-PR"/>
        </w:rPr>
        <w:t xml:space="preserve">Informe No. 17-91-FPEPD-Hvca emitido por la Fiscalía Provincial de la Fiscalía Especial de Prevención del Delito de 2 de agosto de 1991 (expediente de prueba, folios </w:t>
      </w:r>
      <w:r w:rsidRPr="007E666D">
        <w:rPr>
          <w:rFonts w:ascii="Verdana" w:hAnsi="Verdana"/>
          <w:sz w:val="16"/>
          <w:szCs w:val="16"/>
          <w:lang w:val="es-PR"/>
        </w:rPr>
        <w:t>3894 a 3898</w:t>
      </w:r>
      <w:r w:rsidRPr="007E666D">
        <w:rPr>
          <w:rFonts w:ascii="Verdana" w:hAnsi="Verdana"/>
          <w:spacing w:val="-4"/>
          <w:sz w:val="16"/>
          <w:szCs w:val="16"/>
          <w:lang w:val="es-PR"/>
        </w:rPr>
        <w:t>).</w:t>
      </w:r>
    </w:p>
  </w:footnote>
  <w:footnote w:id="252">
    <w:p w:rsidR="00D57F75" w:rsidRPr="007E666D" w:rsidRDefault="00D57F75" w:rsidP="00C83100">
      <w:pPr>
        <w:tabs>
          <w:tab w:val="left" w:pos="720"/>
        </w:tabs>
        <w:spacing w:after="0" w:line="240" w:lineRule="auto"/>
        <w:contextualSpacing/>
        <w:jc w:val="both"/>
        <w:rPr>
          <w:rFonts w:ascii="Verdana" w:hAnsi="Verdana"/>
          <w:spacing w:val="-4"/>
          <w:sz w:val="16"/>
          <w:szCs w:val="16"/>
          <w:lang w:val="es-PR"/>
        </w:rPr>
      </w:pPr>
      <w:r w:rsidRPr="007E666D">
        <w:rPr>
          <w:rStyle w:val="FootnoteReference"/>
          <w:rFonts w:eastAsia="Times"/>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bCs/>
          <w:i/>
          <w:spacing w:val="-4"/>
          <w:sz w:val="16"/>
          <w:szCs w:val="16"/>
          <w:lang w:val="es-PR"/>
        </w:rPr>
        <w:t>Cfr.</w:t>
      </w:r>
      <w:r w:rsidRPr="007E666D">
        <w:rPr>
          <w:rFonts w:ascii="Verdana" w:hAnsi="Verdana"/>
          <w:bCs/>
          <w:spacing w:val="-4"/>
          <w:sz w:val="16"/>
          <w:szCs w:val="16"/>
          <w:lang w:val="es-PR"/>
        </w:rPr>
        <w:t xml:space="preserve"> </w:t>
      </w:r>
      <w:r w:rsidRPr="007E666D">
        <w:rPr>
          <w:rFonts w:ascii="Verdana" w:hAnsi="Verdana"/>
          <w:i/>
          <w:spacing w:val="-4"/>
          <w:sz w:val="16"/>
          <w:szCs w:val="16"/>
          <w:lang w:val="es-PR"/>
        </w:rPr>
        <w:t xml:space="preserve">Caso Anzualdo Castro Vs. Perú, </w:t>
      </w:r>
      <w:r w:rsidRPr="007E666D">
        <w:rPr>
          <w:rFonts w:ascii="Verdana" w:hAnsi="Verdana"/>
          <w:i/>
          <w:color w:val="000000"/>
          <w:spacing w:val="-4"/>
          <w:sz w:val="16"/>
          <w:szCs w:val="16"/>
          <w:lang w:val="es-PR"/>
        </w:rPr>
        <w:t>supra,</w:t>
      </w:r>
      <w:r w:rsidRPr="007E666D">
        <w:rPr>
          <w:rFonts w:ascii="Verdana" w:hAnsi="Verdana"/>
          <w:i/>
          <w:spacing w:val="-4"/>
          <w:sz w:val="16"/>
          <w:szCs w:val="16"/>
          <w:lang w:val="es-PR"/>
        </w:rPr>
        <w:t xml:space="preserve"> </w:t>
      </w:r>
      <w:r w:rsidRPr="007E666D">
        <w:rPr>
          <w:rFonts w:ascii="Verdana" w:hAnsi="Verdana"/>
          <w:spacing w:val="-4"/>
          <w:sz w:val="16"/>
          <w:szCs w:val="16"/>
          <w:lang w:val="es-PR"/>
        </w:rPr>
        <w:t>párr. 134, y</w:t>
      </w:r>
      <w:r w:rsidRPr="007E666D">
        <w:rPr>
          <w:rFonts w:ascii="Verdana" w:hAnsi="Verdana"/>
          <w:bCs/>
          <w:i/>
          <w:spacing w:val="-4"/>
          <w:sz w:val="16"/>
          <w:szCs w:val="16"/>
          <w:lang w:val="es-PR"/>
        </w:rPr>
        <w:t xml:space="preserve"> </w:t>
      </w:r>
      <w:r w:rsidRPr="007E666D">
        <w:rPr>
          <w:rFonts w:ascii="Verdana" w:eastAsiaTheme="minorHAnsi" w:hAnsi="Verdana" w:cstheme="minorBidi"/>
          <w:bCs/>
          <w:spacing w:val="-4"/>
          <w:sz w:val="16"/>
          <w:szCs w:val="16"/>
          <w:lang w:val="es-PR"/>
        </w:rPr>
        <w:t xml:space="preserve">Caso </w:t>
      </w:r>
      <w:r w:rsidRPr="007E666D">
        <w:rPr>
          <w:rFonts w:ascii="Verdana" w:eastAsiaTheme="minorHAnsi" w:hAnsi="Verdana" w:cstheme="minorBidi"/>
          <w:bCs/>
          <w:i/>
          <w:spacing w:val="-4"/>
          <w:sz w:val="16"/>
          <w:szCs w:val="16"/>
          <w:lang w:val="es-PR"/>
        </w:rPr>
        <w:t>Rochac Hernández y otros Vs. El Salvador</w:t>
      </w:r>
      <w:r w:rsidRPr="007E666D">
        <w:rPr>
          <w:rFonts w:ascii="Verdana" w:eastAsiaTheme="minorHAnsi" w:hAnsi="Verdana" w:cstheme="minorBidi"/>
          <w:bCs/>
          <w:spacing w:val="-4"/>
          <w:sz w:val="16"/>
          <w:szCs w:val="16"/>
          <w:lang w:val="es-PR"/>
        </w:rPr>
        <w:t xml:space="preserve">. </w:t>
      </w:r>
      <w:r w:rsidRPr="007E666D">
        <w:rPr>
          <w:rFonts w:ascii="Verdana" w:eastAsiaTheme="minorHAnsi" w:hAnsi="Verdana" w:cstheme="minorBidi"/>
          <w:bCs/>
          <w:i/>
          <w:spacing w:val="-4"/>
          <w:sz w:val="16"/>
          <w:szCs w:val="16"/>
          <w:lang w:val="es-PR"/>
        </w:rPr>
        <w:t>Fondo, Reparaciones y Costas.</w:t>
      </w:r>
      <w:r w:rsidRPr="007E666D">
        <w:rPr>
          <w:rFonts w:ascii="Verdana" w:eastAsiaTheme="minorHAnsi" w:hAnsi="Verdana" w:cstheme="minorBidi"/>
          <w:bCs/>
          <w:spacing w:val="-4"/>
          <w:sz w:val="16"/>
          <w:szCs w:val="16"/>
          <w:lang w:val="es-PR"/>
        </w:rPr>
        <w:t xml:space="preserve"> Sentencia de 14 de octubre de 2014. Serie C No. 285,</w:t>
      </w:r>
      <w:r w:rsidRPr="007E666D">
        <w:rPr>
          <w:rFonts w:ascii="Verdana" w:eastAsiaTheme="minorHAnsi" w:hAnsi="Verdana" w:cstheme="minorBidi"/>
          <w:spacing w:val="-4"/>
          <w:sz w:val="16"/>
          <w:szCs w:val="16"/>
          <w:lang w:val="es-PR"/>
        </w:rPr>
        <w:t xml:space="preserve"> párr.</w:t>
      </w:r>
      <w:r w:rsidRPr="007E666D">
        <w:rPr>
          <w:rFonts w:ascii="Verdana" w:hAnsi="Verdana"/>
          <w:spacing w:val="-4"/>
          <w:sz w:val="16"/>
          <w:szCs w:val="16"/>
          <w:lang w:val="es-PR"/>
        </w:rPr>
        <w:t xml:space="preserve"> 139.</w:t>
      </w:r>
    </w:p>
  </w:footnote>
  <w:footnote w:id="253">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Velásquez Rodríguez Vs. Honduras. Fondo,</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bidi="en-US"/>
        </w:rPr>
        <w:t xml:space="preserve">párr. 174, y </w:t>
      </w:r>
      <w:r w:rsidRPr="007E666D">
        <w:rPr>
          <w:rFonts w:ascii="Verdana" w:hAnsi="Verdana"/>
          <w:i/>
          <w:spacing w:val="-4"/>
          <w:sz w:val="16"/>
          <w:szCs w:val="16"/>
          <w:lang w:val="es-PR"/>
        </w:rPr>
        <w:t>Caso Osorio Rivera y Familiares Vs. Perú, supra</w:t>
      </w:r>
      <w:r w:rsidRPr="007E666D">
        <w:rPr>
          <w:rFonts w:ascii="Verdana" w:hAnsi="Verdana"/>
          <w:spacing w:val="-4"/>
          <w:sz w:val="16"/>
          <w:szCs w:val="16"/>
          <w:lang w:val="es-PR"/>
        </w:rPr>
        <w:t xml:space="preserve">, párr. 182. </w:t>
      </w:r>
    </w:p>
  </w:footnote>
  <w:footnote w:id="254">
    <w:p w:rsidR="00D57F75" w:rsidRPr="007E666D" w:rsidRDefault="00D57F75" w:rsidP="00C83100">
      <w:pPr>
        <w:tabs>
          <w:tab w:val="left" w:pos="72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TimesNewRoman"/>
          <w:i/>
          <w:spacing w:val="-4"/>
          <w:sz w:val="16"/>
          <w:szCs w:val="16"/>
          <w:lang w:val="es-PR"/>
        </w:rPr>
        <w:t xml:space="preserve">Cfr. </w:t>
      </w:r>
      <w:r w:rsidRPr="007E666D">
        <w:rPr>
          <w:rFonts w:ascii="Verdana" w:hAnsi="Verdana"/>
          <w:i/>
          <w:spacing w:val="-4"/>
          <w:sz w:val="16"/>
          <w:szCs w:val="16"/>
          <w:lang w:val="es-PR"/>
        </w:rPr>
        <w:t>Caso Gudiel Álvarez y otros (Diario Militar) Vs. Guatemala, supra</w:t>
      </w:r>
      <w:r w:rsidRPr="007E666D">
        <w:rPr>
          <w:rFonts w:ascii="Verdana" w:hAnsi="Verdana"/>
          <w:spacing w:val="-4"/>
          <w:sz w:val="16"/>
          <w:szCs w:val="16"/>
          <w:lang w:val="es-PR"/>
        </w:rPr>
        <w:t xml:space="preserve">, párr. 334,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supra,</w:t>
      </w:r>
      <w:r w:rsidRPr="007E666D">
        <w:rPr>
          <w:rFonts w:ascii="Verdana" w:hAnsi="Verdana"/>
          <w:color w:val="000000"/>
          <w:spacing w:val="-4"/>
          <w:sz w:val="16"/>
          <w:szCs w:val="16"/>
          <w:lang w:val="es-PR"/>
        </w:rPr>
        <w:t xml:space="preserve"> </w:t>
      </w:r>
      <w:r w:rsidRPr="007E666D">
        <w:rPr>
          <w:rFonts w:ascii="Verdana" w:hAnsi="Verdana"/>
          <w:spacing w:val="-4"/>
          <w:sz w:val="16"/>
          <w:szCs w:val="16"/>
          <w:lang w:val="es-PR"/>
        </w:rPr>
        <w:t>párr. 480.</w:t>
      </w:r>
    </w:p>
  </w:footnote>
  <w:footnote w:id="255">
    <w:p w:rsidR="00D57F75" w:rsidRPr="007E666D" w:rsidRDefault="00D57F75" w:rsidP="00C83100">
      <w:pPr>
        <w:pStyle w:val="FootnoteText"/>
        <w:tabs>
          <w:tab w:val="left" w:pos="720"/>
        </w:tabs>
        <w:contextualSpacing/>
        <w:jc w:val="both"/>
        <w:rPr>
          <w:rFonts w:ascii="Verdana" w:hAnsi="Verdana"/>
          <w:i/>
          <w:iCs/>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Caso Juan Humberto Sánchez Vs. Honduras, </w:t>
      </w:r>
      <w:r w:rsidRPr="007E666D">
        <w:rPr>
          <w:rFonts w:ascii="Verdana" w:hAnsi="Verdana"/>
          <w:i/>
          <w:color w:val="000000"/>
          <w:spacing w:val="-4"/>
          <w:sz w:val="16"/>
          <w:szCs w:val="16"/>
          <w:lang w:val="es-PR"/>
        </w:rPr>
        <w:t>supra,</w:t>
      </w:r>
      <w:r w:rsidRPr="007E666D">
        <w:rPr>
          <w:rFonts w:ascii="Verdana" w:hAnsi="Verdana" w:cs="Arial"/>
          <w:spacing w:val="-4"/>
          <w:sz w:val="16"/>
          <w:szCs w:val="16"/>
          <w:lang w:val="es-PR"/>
        </w:rPr>
        <w:t xml:space="preserve"> párr. 127, y </w:t>
      </w:r>
      <w:r w:rsidRPr="007E666D">
        <w:rPr>
          <w:rFonts w:ascii="Verdana" w:hAnsi="Verdana"/>
          <w:i/>
          <w:spacing w:val="-4"/>
          <w:sz w:val="16"/>
          <w:szCs w:val="16"/>
          <w:lang w:val="es-PR"/>
        </w:rPr>
        <w:t>Caso Defensor de Derechos Humanos y otros Vs. Guatemala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w:t>
      </w:r>
      <w:r w:rsidRPr="007E666D">
        <w:rPr>
          <w:rFonts w:ascii="Verdana" w:hAnsi="Verdana"/>
          <w:i/>
          <w:spacing w:val="-4"/>
          <w:sz w:val="16"/>
          <w:szCs w:val="16"/>
          <w:lang w:val="es-PR"/>
        </w:rPr>
        <w:t xml:space="preserve">. </w:t>
      </w:r>
      <w:r w:rsidRPr="007E666D">
        <w:rPr>
          <w:rFonts w:ascii="Verdana" w:hAnsi="Verdana"/>
          <w:spacing w:val="-4"/>
          <w:sz w:val="16"/>
          <w:szCs w:val="16"/>
          <w:lang w:val="es-PR"/>
        </w:rPr>
        <w:t>204</w:t>
      </w:r>
      <w:r w:rsidRPr="007E666D">
        <w:rPr>
          <w:rFonts w:ascii="Verdana" w:hAnsi="Verdana"/>
          <w:i/>
          <w:spacing w:val="-4"/>
          <w:sz w:val="16"/>
          <w:szCs w:val="16"/>
          <w:lang w:val="es-PR"/>
        </w:rPr>
        <w:t>.</w:t>
      </w:r>
      <w:r w:rsidRPr="007E666D">
        <w:rPr>
          <w:rFonts w:ascii="Verdana" w:hAnsi="Verdana"/>
          <w:spacing w:val="-4"/>
          <w:sz w:val="16"/>
          <w:szCs w:val="16"/>
          <w:lang w:val="es-PR"/>
        </w:rPr>
        <w:t xml:space="preserve"> Al respecto, la Corte ha especificado los principios rectores que son precisos observar en una investigación cuando se está frente a una posible muerte violenta. Las autoridades estatales que conducen una investigación de este tipo deben intentar como mínimo, </w:t>
      </w:r>
      <w:r w:rsidRPr="007E666D">
        <w:rPr>
          <w:rFonts w:ascii="Verdana" w:hAnsi="Verdana"/>
          <w:i/>
          <w:iCs/>
          <w:spacing w:val="-4"/>
          <w:sz w:val="16"/>
          <w:szCs w:val="16"/>
          <w:lang w:val="es-PR"/>
        </w:rPr>
        <w:t>inter alia</w:t>
      </w:r>
      <w:r w:rsidRPr="007E666D">
        <w:rPr>
          <w:rFonts w:ascii="Verdana" w:hAnsi="Verdana"/>
          <w:spacing w:val="-4"/>
          <w:sz w:val="16"/>
          <w:szCs w:val="16"/>
          <w:lang w:val="es-PR"/>
        </w:rPr>
        <w:t xml:space="preserve">: i) identificar a la víctima; ii) recuperar y preservar el material probatorio relacionado con la muerte, con el fin de ayudar en cualquier potencial investigación penal de los responsables; iii) identificar posibles testigos y obtener sus declaraciones en relación con la muerte que se investiga; iv) determinar la causa, forma, lugar y momento de la muerte, así como cualquier patrón o práctica que pueda haber causado la muerte, y v)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Manual sobre la Prevención e Investigación Efectiva de Ejecuciones Extrajudiciales, Arbitrarias y Sumarias de Naciones Unidas (Protocolo de Minnesota), Doc.E/ST/CSDHA/.12 (1991).  </w:t>
      </w:r>
    </w:p>
  </w:footnote>
  <w:footnote w:id="256">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González y otras (“Campo Algodonero”) Vs. México</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Excepción Preliminar, Fondo, Reparaciones y Costas. </w:t>
      </w:r>
      <w:r w:rsidRPr="007E666D">
        <w:rPr>
          <w:rFonts w:ascii="Verdana" w:hAnsi="Verdana"/>
          <w:color w:val="000000"/>
          <w:spacing w:val="-4"/>
          <w:sz w:val="16"/>
          <w:szCs w:val="16"/>
          <w:lang w:val="es-PR"/>
        </w:rPr>
        <w:t>Sentencia de 16 de noviembre de 2009. Serie C No. 205,</w:t>
      </w:r>
      <w:r w:rsidRPr="007E666D" w:rsidDel="00D83D12">
        <w:rPr>
          <w:rFonts w:ascii="Verdana" w:hAnsi="Verdana"/>
          <w:i/>
          <w:color w:val="000000"/>
          <w:spacing w:val="-4"/>
          <w:sz w:val="16"/>
          <w:szCs w:val="16"/>
          <w:lang w:val="es-PR"/>
        </w:rPr>
        <w:t xml:space="preserve"> </w:t>
      </w:r>
      <w:r w:rsidRPr="007E666D">
        <w:rPr>
          <w:rFonts w:ascii="Verdana" w:hAnsi="Verdana"/>
          <w:spacing w:val="-4"/>
          <w:sz w:val="16"/>
          <w:szCs w:val="16"/>
          <w:lang w:val="es-PR"/>
        </w:rPr>
        <w:t xml:space="preserve">párr. 301, y </w:t>
      </w:r>
      <w:r w:rsidRPr="007E666D">
        <w:rPr>
          <w:rFonts w:ascii="Verdana" w:hAnsi="Verdana"/>
          <w:i/>
          <w:spacing w:val="-4"/>
          <w:sz w:val="16"/>
          <w:szCs w:val="16"/>
          <w:lang w:val="es-PR"/>
        </w:rPr>
        <w:t xml:space="preserve">Caso Defensor de Derechos Humanos y otros Vs. Guatemala,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w:t>
      </w:r>
      <w:r w:rsidRPr="007E666D">
        <w:rPr>
          <w:rFonts w:ascii="Verdana" w:hAnsi="Verdana"/>
          <w:i/>
          <w:spacing w:val="-4"/>
          <w:sz w:val="16"/>
          <w:szCs w:val="16"/>
          <w:lang w:val="es-PR"/>
        </w:rPr>
        <w:t xml:space="preserve">. </w:t>
      </w:r>
      <w:r w:rsidRPr="007E666D">
        <w:rPr>
          <w:rFonts w:ascii="Verdana" w:hAnsi="Verdana"/>
          <w:spacing w:val="-4"/>
          <w:sz w:val="16"/>
          <w:szCs w:val="16"/>
          <w:lang w:val="es-PR"/>
        </w:rPr>
        <w:t>204.</w:t>
      </w:r>
    </w:p>
  </w:footnote>
  <w:footnote w:id="257">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González y otras (“Campo Algodonero”) Vs. México, supra,</w:t>
      </w:r>
      <w:r w:rsidRPr="007E666D">
        <w:rPr>
          <w:rFonts w:ascii="Verdana" w:hAnsi="Verdana"/>
          <w:spacing w:val="-4"/>
          <w:sz w:val="16"/>
          <w:szCs w:val="16"/>
          <w:lang w:val="es-PR"/>
        </w:rPr>
        <w:t xml:space="preserve"> párrs. 305 y 310,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supra,</w:t>
      </w:r>
      <w:r w:rsidRPr="007E666D">
        <w:rPr>
          <w:rFonts w:ascii="Verdana" w:hAnsi="Verdana"/>
          <w:color w:val="000000"/>
          <w:spacing w:val="-4"/>
          <w:sz w:val="16"/>
          <w:szCs w:val="16"/>
          <w:lang w:val="es-PR"/>
        </w:rPr>
        <w:t xml:space="preserve"> </w:t>
      </w:r>
      <w:r w:rsidRPr="007E666D">
        <w:rPr>
          <w:rFonts w:ascii="Verdana" w:hAnsi="Verdana"/>
          <w:spacing w:val="-4"/>
          <w:sz w:val="16"/>
          <w:szCs w:val="16"/>
          <w:lang w:val="es-PR"/>
        </w:rPr>
        <w:t xml:space="preserve">párr. 489. Citando el Manual sobre la Prevención e Investigación Efectiva de Ejecuciones Extrajudiciales, Arbitrarias y Sumarias de Naciones Unidas, </w:t>
      </w:r>
      <w:r w:rsidRPr="007E666D">
        <w:rPr>
          <w:rFonts w:ascii="Verdana" w:hAnsi="Verdana"/>
          <w:spacing w:val="-4"/>
          <w:sz w:val="16"/>
          <w:szCs w:val="16"/>
          <w:lang w:val="es-PR" w:eastAsia="es-ES"/>
        </w:rPr>
        <w:t>Doc. E/ST/CSDHA/.12 (1991)</w:t>
      </w:r>
      <w:r w:rsidRPr="007E666D">
        <w:rPr>
          <w:rFonts w:ascii="Verdana" w:hAnsi="Verdana"/>
          <w:spacing w:val="-4"/>
          <w:sz w:val="16"/>
          <w:szCs w:val="16"/>
          <w:lang w:val="es-PR"/>
        </w:rPr>
        <w:t xml:space="preserve">. </w:t>
      </w:r>
    </w:p>
  </w:footnote>
  <w:footnote w:id="258">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sidDel="00CD6B14">
        <w:rPr>
          <w:rFonts w:ascii="Verdana" w:hAnsi="Verdana"/>
          <w:spacing w:val="-4"/>
          <w:sz w:val="16"/>
          <w:szCs w:val="16"/>
          <w:lang w:val="es-PR"/>
        </w:rPr>
        <w:t xml:space="preserve"> </w:t>
      </w:r>
      <w:r w:rsidRPr="007E666D">
        <w:rPr>
          <w:rFonts w:ascii="Verdana" w:hAnsi="Verdana"/>
          <w:spacing w:val="-4"/>
          <w:sz w:val="16"/>
          <w:szCs w:val="16"/>
          <w:lang w:val="es-PR"/>
        </w:rPr>
        <w:t>Escrito de Alejandro Huamaní Robles de 18 de julio de 1991 (expediente de prueba, folio 515).</w:t>
      </w:r>
    </w:p>
  </w:footnote>
  <w:footnote w:id="259">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El artículo 7.6 de la Convención establece que: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footnote>
  <w:footnote w:id="260">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bCs/>
          <w:i/>
          <w:color w:val="000000"/>
          <w:spacing w:val="-4"/>
          <w:sz w:val="16"/>
          <w:szCs w:val="16"/>
          <w:lang w:val="es-PR"/>
        </w:rPr>
        <w:t>El Hábeas Corpus Bajo Suspensión de Garantías (arts. 27.2, 25.1 y 7.6 Convención Americana sobre Derechos Humanos)</w:t>
      </w:r>
      <w:r w:rsidRPr="007E666D">
        <w:rPr>
          <w:rFonts w:ascii="Verdana" w:hAnsi="Verdana"/>
          <w:bCs/>
          <w:color w:val="000000"/>
          <w:spacing w:val="-4"/>
          <w:sz w:val="16"/>
          <w:szCs w:val="16"/>
          <w:lang w:val="es-PR"/>
        </w:rPr>
        <w:t>. Opinión Consultiva OC-8/87 del 30 de enero de 1987.</w:t>
      </w:r>
      <w:r w:rsidRPr="007E666D">
        <w:rPr>
          <w:rFonts w:ascii="Verdana" w:hAnsi="Verdana"/>
          <w:color w:val="000000"/>
          <w:spacing w:val="-4"/>
          <w:sz w:val="16"/>
          <w:szCs w:val="16"/>
          <w:lang w:val="es-PR"/>
        </w:rPr>
        <w:t xml:space="preserve"> Serie A No. 8, párrs. 33 y 34, y </w:t>
      </w:r>
      <w:r w:rsidRPr="007E666D">
        <w:rPr>
          <w:rFonts w:ascii="Verdana" w:hAnsi="Verdana"/>
          <w:i/>
          <w:color w:val="000000"/>
          <w:spacing w:val="-4"/>
          <w:sz w:val="16"/>
          <w:szCs w:val="16"/>
          <w:lang w:val="es-PR"/>
        </w:rPr>
        <w:t>Caso Rochac Hernández y Otros Vs. El Salvador</w:t>
      </w:r>
      <w:r w:rsidRPr="007E666D">
        <w:rPr>
          <w:rFonts w:ascii="Verdana" w:hAnsi="Verdana"/>
          <w:color w:val="000000"/>
          <w:spacing w:val="-4"/>
          <w:sz w:val="16"/>
          <w:szCs w:val="16"/>
          <w:lang w:val="es-PR"/>
        </w:rPr>
        <w:t xml:space="preserve">, </w:t>
      </w:r>
      <w:r w:rsidRPr="007E666D">
        <w:rPr>
          <w:rFonts w:ascii="Verdana" w:hAnsi="Verdana"/>
          <w:i/>
          <w:color w:val="000000"/>
          <w:spacing w:val="-4"/>
          <w:sz w:val="16"/>
          <w:szCs w:val="16"/>
          <w:lang w:val="es-PR"/>
        </w:rPr>
        <w:t>supra,</w:t>
      </w:r>
      <w:r w:rsidRPr="007E666D">
        <w:rPr>
          <w:rFonts w:ascii="Verdana" w:hAnsi="Verdana"/>
          <w:color w:val="000000"/>
          <w:spacing w:val="-4"/>
          <w:sz w:val="16"/>
          <w:szCs w:val="16"/>
          <w:lang w:val="es-PR"/>
        </w:rPr>
        <w:t xml:space="preserve"> párr. 162.</w:t>
      </w:r>
    </w:p>
  </w:footnote>
  <w:footnote w:id="261">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Anzualdo Castro Vs. Perú, supra</w:t>
      </w:r>
      <w:r w:rsidRPr="007E666D">
        <w:rPr>
          <w:rFonts w:ascii="Verdana" w:hAnsi="Verdana"/>
          <w:spacing w:val="-4"/>
          <w:sz w:val="16"/>
          <w:szCs w:val="16"/>
          <w:lang w:val="es-PR"/>
        </w:rPr>
        <w:t xml:space="preserve">, párr. 77, y Caso </w:t>
      </w:r>
      <w:r w:rsidRPr="007E666D">
        <w:rPr>
          <w:rFonts w:ascii="Verdana" w:hAnsi="Verdana"/>
          <w:bCs/>
          <w:i/>
          <w:spacing w:val="-4"/>
          <w:sz w:val="16"/>
          <w:szCs w:val="16"/>
          <w:lang w:val="es-PR"/>
        </w:rPr>
        <w:t>Rochac Hernández y otros Vs. El Salvador</w:t>
      </w:r>
      <w:r w:rsidRPr="007E666D">
        <w:rPr>
          <w:rFonts w:ascii="Verdana" w:hAnsi="Verdana"/>
          <w:color w:val="000000"/>
          <w:spacing w:val="-4"/>
          <w:sz w:val="16"/>
          <w:szCs w:val="16"/>
          <w:lang w:val="es-PR"/>
        </w:rPr>
        <w:t xml:space="preserve">, </w:t>
      </w:r>
      <w:r w:rsidRPr="007E666D">
        <w:rPr>
          <w:rFonts w:ascii="Verdana" w:hAnsi="Verdana"/>
          <w:i/>
          <w:color w:val="000000"/>
          <w:spacing w:val="-4"/>
          <w:sz w:val="16"/>
          <w:szCs w:val="16"/>
          <w:lang w:val="es-PR"/>
        </w:rPr>
        <w:t>supra,</w:t>
      </w:r>
      <w:r w:rsidRPr="007E666D">
        <w:rPr>
          <w:rFonts w:ascii="Verdana" w:hAnsi="Verdana"/>
          <w:color w:val="000000"/>
          <w:spacing w:val="-4"/>
          <w:sz w:val="16"/>
          <w:szCs w:val="16"/>
          <w:lang w:val="es-PR"/>
        </w:rPr>
        <w:t xml:space="preserve"> párr. 162.</w:t>
      </w:r>
    </w:p>
  </w:footnote>
  <w:footnote w:id="262">
    <w:p w:rsidR="00D57F75" w:rsidRPr="007E666D" w:rsidRDefault="00D57F75" w:rsidP="00C83100">
      <w:pPr>
        <w:tabs>
          <w:tab w:val="left" w:pos="72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Velásquez Rodríguez Vs. Honduras</w:t>
      </w:r>
      <w:r w:rsidRPr="007E666D">
        <w:rPr>
          <w:rFonts w:ascii="Verdana" w:hAnsi="Verdana"/>
          <w:spacing w:val="-4"/>
          <w:sz w:val="16"/>
          <w:szCs w:val="16"/>
          <w:lang w:val="es-PR"/>
        </w:rPr>
        <w:t xml:space="preserve">. </w:t>
      </w:r>
      <w:r w:rsidRPr="007E666D">
        <w:rPr>
          <w:rFonts w:ascii="Verdana" w:hAnsi="Verdana"/>
          <w:i/>
          <w:spacing w:val="-4"/>
          <w:sz w:val="16"/>
          <w:szCs w:val="16"/>
          <w:lang w:val="es-PR"/>
        </w:rPr>
        <w:t>Fondo</w:t>
      </w:r>
      <w:r w:rsidRPr="007E666D">
        <w:rPr>
          <w:rFonts w:ascii="Verdana" w:hAnsi="Verdana"/>
          <w:spacing w:val="-4"/>
          <w:sz w:val="16"/>
          <w:szCs w:val="16"/>
          <w:lang w:val="es-PR"/>
        </w:rPr>
        <w:t xml:space="preserve">,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párr. 163, y </w:t>
      </w:r>
      <w:r w:rsidRPr="007E666D">
        <w:rPr>
          <w:rFonts w:ascii="Verdana" w:hAnsi="Verdana"/>
          <w:i/>
          <w:color w:val="000000"/>
          <w:spacing w:val="-4"/>
          <w:sz w:val="16"/>
          <w:szCs w:val="16"/>
          <w:lang w:val="es-PR"/>
        </w:rPr>
        <w:t xml:space="preserve">Caso </w:t>
      </w:r>
      <w:r w:rsidRPr="007E666D">
        <w:rPr>
          <w:rFonts w:ascii="Verdana" w:hAnsi="Verdana"/>
          <w:bCs/>
          <w:i/>
          <w:color w:val="000000"/>
          <w:spacing w:val="-4"/>
          <w:sz w:val="16"/>
          <w:szCs w:val="16"/>
          <w:lang w:val="es-PR"/>
        </w:rPr>
        <w:t>Rochac Hernández y otros Vs. El Salvador</w:t>
      </w:r>
      <w:r w:rsidRPr="007E666D">
        <w:rPr>
          <w:rFonts w:ascii="Verdana" w:hAnsi="Verdana"/>
          <w:color w:val="000000"/>
          <w:spacing w:val="-4"/>
          <w:sz w:val="16"/>
          <w:szCs w:val="16"/>
          <w:lang w:val="es-PR"/>
        </w:rPr>
        <w:t>,</w:t>
      </w:r>
      <w:r w:rsidRPr="007E666D">
        <w:rPr>
          <w:rFonts w:ascii="Verdana" w:hAnsi="Verdana"/>
          <w:i/>
          <w:color w:val="000000"/>
          <w:spacing w:val="-4"/>
          <w:sz w:val="16"/>
          <w:szCs w:val="16"/>
          <w:lang w:val="es-PR"/>
        </w:rPr>
        <w:t xml:space="preserve"> supra,</w:t>
      </w:r>
      <w:r w:rsidRPr="007E666D">
        <w:rPr>
          <w:rFonts w:ascii="Verdana" w:hAnsi="Verdana"/>
          <w:color w:val="000000"/>
          <w:spacing w:val="-4"/>
          <w:sz w:val="16"/>
          <w:szCs w:val="16"/>
          <w:lang w:val="es-PR"/>
        </w:rPr>
        <w:t xml:space="preserve"> párr. 162.</w:t>
      </w:r>
    </w:p>
  </w:footnote>
  <w:footnote w:id="263">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 xml:space="preserve">Caso </w:t>
      </w:r>
      <w:r w:rsidRPr="007E666D">
        <w:rPr>
          <w:rFonts w:ascii="Verdana" w:hAnsi="Verdana"/>
          <w:bCs/>
          <w:i/>
          <w:spacing w:val="-4"/>
          <w:sz w:val="16"/>
          <w:szCs w:val="16"/>
          <w:lang w:val="es-PR"/>
        </w:rPr>
        <w:t>Rochac Hernández y otros Vs. El Salvador</w:t>
      </w:r>
      <w:r w:rsidRPr="007E666D">
        <w:rPr>
          <w:rFonts w:ascii="Verdana" w:hAnsi="Verdana"/>
          <w:spacing w:val="-4"/>
          <w:sz w:val="16"/>
          <w:szCs w:val="16"/>
          <w:lang w:val="es-PR"/>
        </w:rPr>
        <w:t xml:space="preserve">,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párr. 162.</w:t>
      </w:r>
    </w:p>
  </w:footnote>
  <w:footnote w:id="264">
    <w:p w:rsidR="00D57F75" w:rsidRPr="007E666D" w:rsidRDefault="00D57F75" w:rsidP="00C83100">
      <w:pPr>
        <w:tabs>
          <w:tab w:val="left" w:pos="567"/>
          <w:tab w:val="left" w:pos="72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bCs/>
          <w:i/>
          <w:color w:val="000000"/>
          <w:spacing w:val="-4"/>
          <w:sz w:val="16"/>
          <w:szCs w:val="16"/>
          <w:lang w:val="es-PR"/>
        </w:rPr>
        <w:t xml:space="preserve"> El Hábeas Corpus Bajo Suspensión de Garantías (arts. 27.2, 25.1 y 7.6 Convención Americana sobre Derechos Humanos)</w:t>
      </w:r>
      <w:r w:rsidRPr="007E666D">
        <w:rPr>
          <w:rFonts w:ascii="Verdana" w:hAnsi="Verdana"/>
          <w:bCs/>
          <w:color w:val="000000"/>
          <w:spacing w:val="-4"/>
          <w:sz w:val="16"/>
          <w:szCs w:val="16"/>
          <w:lang w:val="es-PR"/>
        </w:rPr>
        <w:t xml:space="preserve">. Opinión Consultiva OC-8/87, </w:t>
      </w:r>
      <w:r w:rsidRPr="007E666D">
        <w:rPr>
          <w:rFonts w:ascii="Verdana" w:hAnsi="Verdana"/>
          <w:bCs/>
          <w:i/>
          <w:color w:val="000000"/>
          <w:spacing w:val="-4"/>
          <w:sz w:val="16"/>
          <w:szCs w:val="16"/>
          <w:lang w:val="es-PR"/>
        </w:rPr>
        <w:t>supra</w:t>
      </w:r>
      <w:r w:rsidRPr="007E666D">
        <w:rPr>
          <w:rFonts w:ascii="Verdana" w:hAnsi="Verdana"/>
          <w:color w:val="000000"/>
          <w:spacing w:val="-4"/>
          <w:sz w:val="16"/>
          <w:szCs w:val="16"/>
          <w:lang w:val="es-PR"/>
        </w:rPr>
        <w:t xml:space="preserve">, párr. 35, y </w:t>
      </w:r>
      <w:r w:rsidRPr="007E666D">
        <w:rPr>
          <w:rFonts w:ascii="Verdana" w:hAnsi="Verdana"/>
          <w:spacing w:val="-4"/>
          <w:sz w:val="16"/>
          <w:szCs w:val="16"/>
          <w:lang w:val="es-PR"/>
        </w:rPr>
        <w:t xml:space="preserve">Caso </w:t>
      </w:r>
      <w:r w:rsidRPr="007E666D">
        <w:rPr>
          <w:rFonts w:ascii="Verdana" w:hAnsi="Verdana"/>
          <w:bCs/>
          <w:i/>
          <w:spacing w:val="-4"/>
          <w:sz w:val="16"/>
          <w:szCs w:val="16"/>
          <w:lang w:val="es-PR"/>
        </w:rPr>
        <w:t>Rochac Hernández y otros Vs. El Salvador</w:t>
      </w:r>
      <w:r w:rsidRPr="007E666D">
        <w:rPr>
          <w:rFonts w:ascii="Verdana" w:hAnsi="Verdana"/>
          <w:color w:val="000000"/>
          <w:spacing w:val="-4"/>
          <w:sz w:val="16"/>
          <w:szCs w:val="16"/>
          <w:lang w:val="es-PR"/>
        </w:rPr>
        <w:t>,</w:t>
      </w:r>
      <w:r w:rsidRPr="007E666D">
        <w:rPr>
          <w:rFonts w:ascii="Verdana" w:hAnsi="Verdana"/>
          <w:i/>
          <w:color w:val="000000"/>
          <w:spacing w:val="-4"/>
          <w:sz w:val="16"/>
          <w:szCs w:val="16"/>
          <w:lang w:val="es-PR"/>
        </w:rPr>
        <w:t xml:space="preserve"> supra, </w:t>
      </w:r>
      <w:r w:rsidRPr="007E666D" w:rsidDel="00524E77">
        <w:rPr>
          <w:rFonts w:ascii="Verdana" w:hAnsi="Verdana"/>
          <w:i/>
          <w:vanish/>
          <w:color w:val="000000"/>
          <w:spacing w:val="-4"/>
          <w:sz w:val="16"/>
          <w:szCs w:val="16"/>
          <w:lang w:val="es-PR"/>
        </w:rPr>
        <w:t xml:space="preserve"> </w:t>
      </w:r>
      <w:r w:rsidRPr="007E666D">
        <w:rPr>
          <w:rFonts w:ascii="Verdana" w:hAnsi="Verdana"/>
          <w:color w:val="000000"/>
          <w:spacing w:val="-4"/>
          <w:sz w:val="16"/>
          <w:szCs w:val="16"/>
          <w:lang w:val="es-PR"/>
        </w:rPr>
        <w:t>párr. 162.</w:t>
      </w:r>
    </w:p>
  </w:footnote>
  <w:footnote w:id="265">
    <w:p w:rsidR="00D57F75" w:rsidRPr="007E666D" w:rsidRDefault="00D57F75" w:rsidP="00C83100">
      <w:pPr>
        <w:tabs>
          <w:tab w:val="left" w:pos="567"/>
          <w:tab w:val="left" w:pos="720"/>
        </w:tabs>
        <w:spacing w:after="0" w:line="240" w:lineRule="auto"/>
        <w:contextualSpacing/>
        <w:jc w:val="both"/>
        <w:rPr>
          <w:rFonts w:ascii="Verdana" w:hAnsi="Verdana"/>
          <w:i/>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spacing w:val="-4"/>
          <w:sz w:val="16"/>
          <w:szCs w:val="16"/>
          <w:lang w:val="es-PR"/>
        </w:rPr>
        <w:tab/>
      </w:r>
      <w:r w:rsidRPr="007E666D">
        <w:rPr>
          <w:rFonts w:ascii="Verdana" w:hAnsi="Verdana"/>
          <w:i/>
          <w:spacing w:val="-4"/>
          <w:sz w:val="16"/>
          <w:szCs w:val="16"/>
          <w:lang w:val="es-PR"/>
        </w:rPr>
        <w:t>Cfr. Caso Vélez Loor Vs. Panamá</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color w:val="000000"/>
          <w:spacing w:val="-4"/>
          <w:sz w:val="16"/>
          <w:szCs w:val="16"/>
          <w:lang w:val="es-PR"/>
        </w:rPr>
        <w:t xml:space="preserve">párr. 129, y </w:t>
      </w:r>
      <w:r w:rsidRPr="007E666D">
        <w:rPr>
          <w:rFonts w:ascii="Verdana" w:hAnsi="Verdana"/>
          <w:spacing w:val="-4"/>
          <w:sz w:val="16"/>
          <w:szCs w:val="16"/>
          <w:lang w:val="es-PR"/>
        </w:rPr>
        <w:t xml:space="preserve">Caso </w:t>
      </w:r>
      <w:r w:rsidRPr="007E666D">
        <w:rPr>
          <w:rFonts w:ascii="Verdana" w:eastAsiaTheme="minorHAnsi" w:hAnsi="Verdana" w:cstheme="minorBidi"/>
          <w:bCs/>
          <w:i/>
          <w:spacing w:val="-4"/>
          <w:sz w:val="16"/>
          <w:szCs w:val="16"/>
          <w:lang w:val="es-PR"/>
        </w:rPr>
        <w:t>Rochac Hernández y otros Vs. El Salvador</w:t>
      </w:r>
      <w:r w:rsidRPr="007E666D">
        <w:rPr>
          <w:rFonts w:ascii="Verdana" w:hAnsi="Verdana"/>
          <w:color w:val="000000"/>
          <w:spacing w:val="-4"/>
          <w:sz w:val="16"/>
          <w:szCs w:val="16"/>
          <w:lang w:val="es-PR"/>
        </w:rPr>
        <w:t>,</w:t>
      </w:r>
      <w:r w:rsidRPr="007E666D">
        <w:rPr>
          <w:rFonts w:ascii="Verdana" w:hAnsi="Verdana"/>
          <w:i/>
          <w:color w:val="000000"/>
          <w:spacing w:val="-4"/>
          <w:sz w:val="16"/>
          <w:szCs w:val="16"/>
          <w:lang w:val="es-PR"/>
        </w:rPr>
        <w:t xml:space="preserve"> supra,</w:t>
      </w:r>
      <w:r w:rsidRPr="007E666D">
        <w:rPr>
          <w:rFonts w:ascii="Verdana" w:hAnsi="Verdana"/>
          <w:color w:val="000000"/>
          <w:spacing w:val="-4"/>
          <w:sz w:val="16"/>
          <w:szCs w:val="16"/>
          <w:lang w:val="es-PR"/>
        </w:rPr>
        <w:t xml:space="preserve"> párr. 162.</w:t>
      </w:r>
    </w:p>
  </w:footnote>
  <w:footnote w:id="266">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Caso </w:t>
      </w:r>
      <w:r w:rsidRPr="007E666D">
        <w:rPr>
          <w:rFonts w:ascii="Verdana" w:hAnsi="Verdana"/>
          <w:i/>
          <w:spacing w:val="-4"/>
          <w:sz w:val="16"/>
          <w:szCs w:val="16"/>
          <w:lang w:val="es-PR"/>
        </w:rPr>
        <w:t>Acosta Calderón Vs. Ecuador</w:t>
      </w:r>
      <w:r w:rsidRPr="007E666D">
        <w:rPr>
          <w:rFonts w:ascii="Verdana" w:hAnsi="Verdana"/>
          <w:spacing w:val="-4"/>
          <w:sz w:val="16"/>
          <w:szCs w:val="16"/>
          <w:lang w:val="es-PR"/>
        </w:rPr>
        <w:t xml:space="preserve">,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párr. </w:t>
      </w:r>
      <w:r w:rsidRPr="002548FE">
        <w:rPr>
          <w:rFonts w:ascii="Verdana" w:hAnsi="Verdana"/>
          <w:spacing w:val="-4"/>
          <w:sz w:val="16"/>
          <w:szCs w:val="16"/>
          <w:lang w:val="en-US"/>
        </w:rPr>
        <w:t xml:space="preserve">97, y </w:t>
      </w:r>
      <w:r w:rsidRPr="002548FE">
        <w:rPr>
          <w:rFonts w:ascii="Verdana" w:hAnsi="Verdana"/>
          <w:bCs/>
          <w:spacing w:val="-4"/>
          <w:sz w:val="16"/>
          <w:szCs w:val="16"/>
          <w:lang w:val="en-US"/>
        </w:rPr>
        <w:t xml:space="preserve">Caso </w:t>
      </w:r>
      <w:r w:rsidRPr="002548FE">
        <w:rPr>
          <w:rFonts w:ascii="Verdana" w:hAnsi="Verdana"/>
          <w:bCs/>
          <w:i/>
          <w:spacing w:val="-4"/>
          <w:sz w:val="16"/>
          <w:szCs w:val="16"/>
          <w:lang w:val="en-US"/>
        </w:rPr>
        <w:t xml:space="preserve">Wong Ho Wing Vs. </w:t>
      </w:r>
      <w:r w:rsidRPr="007E666D">
        <w:rPr>
          <w:rFonts w:ascii="Verdana" w:hAnsi="Verdana"/>
          <w:bCs/>
          <w:i/>
          <w:spacing w:val="-4"/>
          <w:sz w:val="16"/>
          <w:szCs w:val="16"/>
          <w:lang w:val="es-PR"/>
        </w:rPr>
        <w:t>Perú,</w:t>
      </w:r>
      <w:r w:rsidRPr="007E666D">
        <w:rPr>
          <w:rFonts w:ascii="Verdana" w:hAnsi="Verdana"/>
          <w:i/>
          <w:color w:val="000000"/>
          <w:spacing w:val="-4"/>
          <w:sz w:val="16"/>
          <w:szCs w:val="16"/>
          <w:lang w:val="es-PR"/>
        </w:rPr>
        <w:t xml:space="preserve"> supra, </w:t>
      </w:r>
      <w:r w:rsidRPr="007E666D">
        <w:rPr>
          <w:rFonts w:ascii="Verdana" w:hAnsi="Verdana"/>
          <w:color w:val="000000"/>
          <w:spacing w:val="-4"/>
          <w:sz w:val="16"/>
          <w:szCs w:val="16"/>
          <w:lang w:val="es-PR"/>
        </w:rPr>
        <w:t>párr. 281.</w:t>
      </w:r>
    </w:p>
  </w:footnote>
  <w:footnote w:id="267">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Resolución del Juzgado de Instrucción de Huancavelica de 22 de julio de 1991 sobre la acción de hábeas corpus interpuesta el 18 de julio de 1991 (expediente de prueba, folio 85).</w:t>
      </w:r>
    </w:p>
  </w:footnote>
  <w:footnote w:id="268">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Caso Gómez Palomino Vs. Perú, </w:t>
      </w:r>
      <w:r w:rsidRPr="007E666D">
        <w:rPr>
          <w:rFonts w:ascii="Verdana" w:hAnsi="Verdana"/>
          <w:i/>
          <w:color w:val="000000"/>
          <w:spacing w:val="-4"/>
          <w:sz w:val="16"/>
          <w:szCs w:val="16"/>
          <w:lang w:val="es-PR"/>
        </w:rPr>
        <w:t>supra,</w:t>
      </w:r>
      <w:r w:rsidRPr="007E666D">
        <w:rPr>
          <w:rFonts w:ascii="Verdana" w:hAnsi="Verdana"/>
          <w:spacing w:val="-4"/>
          <w:sz w:val="16"/>
          <w:szCs w:val="16"/>
          <w:lang w:val="es-PR"/>
        </w:rPr>
        <w:t xml:space="preserve"> párr. 97, y </w:t>
      </w:r>
      <w:r w:rsidRPr="007E666D">
        <w:rPr>
          <w:rFonts w:ascii="Verdana" w:hAnsi="Verdana"/>
          <w:i/>
          <w:spacing w:val="-4"/>
          <w:sz w:val="16"/>
          <w:szCs w:val="16"/>
          <w:lang w:val="es-PR"/>
        </w:rPr>
        <w:t>Caso Masacres de Río Negro Vs. Guatemala, supra</w:t>
      </w:r>
      <w:r w:rsidRPr="007E666D">
        <w:rPr>
          <w:rFonts w:ascii="Verdana" w:hAnsi="Verdana"/>
          <w:spacing w:val="-4"/>
          <w:sz w:val="16"/>
          <w:szCs w:val="16"/>
          <w:lang w:val="es-PR"/>
        </w:rPr>
        <w:t>, párr. 115</w:t>
      </w:r>
    </w:p>
  </w:footnote>
  <w:footnote w:id="269">
    <w:p w:rsidR="00D57F75" w:rsidRPr="007E666D" w:rsidRDefault="00D57F75" w:rsidP="00C83100">
      <w:pPr>
        <w:pStyle w:val="FootnoteText"/>
        <w:tabs>
          <w:tab w:val="left" w:pos="720"/>
        </w:tabs>
        <w:contextualSpacing/>
        <w:jc w:val="both"/>
        <w:rPr>
          <w:rFonts w:ascii="Verdana" w:hAnsi="Verdana"/>
          <w:i/>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García y familiares Vs. Guatemala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143.</w:t>
      </w:r>
    </w:p>
  </w:footnote>
  <w:footnote w:id="270">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Resolución del Juzgado de Instrucción de Huancavelica de 22 de julio de 1991 sobre la acción de hábeas corpus interpuesta el 18 de julio de 1991 (expediente de prueba, folio 85), y Oficio No. 0462-91-MP-FPM-HVCA de 23 de julio de 1991, remitido por la Fiscalía Provincial Mixta de Huancavelica al Fiscal Superior Decano de Huancavelica (expediente de prueba, folio 56).</w:t>
      </w:r>
    </w:p>
  </w:footnote>
  <w:footnote w:id="271">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Denuncia de Nicolás Hilario Morán, Presidente de la comunidad campesina de Santa Bárbara, de 8 de julio de 1991, interpuesta ante la Fiscalía Especial de Prevención del Delito de Huancavelica (expediente de prueba, folio 60), y Escrito de hábeas corpus de 18 de julio de 1991 interpuesto por Alejandro Huamaní Robles ante el Juzgado de Instrucción de Huancavelica (expediente de prueba, folio 82).</w:t>
      </w:r>
    </w:p>
  </w:footnote>
  <w:footnote w:id="272">
    <w:p w:rsidR="00D57F75" w:rsidRPr="007E666D" w:rsidRDefault="00D57F75" w:rsidP="00C83100">
      <w:pPr>
        <w:pStyle w:val="FootnoteText"/>
        <w:tabs>
          <w:tab w:val="left" w:pos="720"/>
          <w:tab w:val="left" w:pos="81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 xml:space="preserve">Escrito de apelación de fecha 5 de agosto de 1991 contra la resolución del Juzgado de Instrucción de Huancavelica de 22 de julio de 1991 (expediente de prueba, folio 88). </w:t>
      </w:r>
      <w:r w:rsidRPr="007E666D">
        <w:rPr>
          <w:rFonts w:ascii="Verdana" w:hAnsi="Verdana"/>
          <w:spacing w:val="-2"/>
          <w:sz w:val="16"/>
          <w:szCs w:val="16"/>
          <w:lang w:val="es-PR"/>
        </w:rPr>
        <w:t>Al respecto, cabe destacar que mediante nota de 5 de febrero de 2015, la Corte solicitó al Perú “información sobre la respuesta que se habría dado” a este recurso. El Estado respondió mediante escrito de 2 de marzo del mismo año que “a la fecha no ha sido posible obtener dicha información”, sin que posteriormente esta haya sido remitida al Tribunal.</w:t>
      </w:r>
      <w:r w:rsidRPr="007E666D">
        <w:rPr>
          <w:rFonts w:ascii="Verdana" w:hAnsi="Verdana"/>
          <w:spacing w:val="-4"/>
          <w:sz w:val="16"/>
          <w:szCs w:val="16"/>
          <w:lang w:val="es-PR"/>
        </w:rPr>
        <w:t xml:space="preserve"> </w:t>
      </w:r>
    </w:p>
  </w:footnote>
  <w:footnote w:id="273">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bCs/>
          <w:i/>
          <w:iCs/>
          <w:spacing w:val="-4"/>
          <w:sz w:val="16"/>
          <w:szCs w:val="16"/>
          <w:lang w:val="es-PR"/>
        </w:rPr>
        <w:t>Caso Tibi Vs. Ecuador. Excepciones Preliminares, Fondo, Reparaciones y Costas.</w:t>
      </w:r>
      <w:r w:rsidRPr="007E666D">
        <w:rPr>
          <w:rFonts w:ascii="Verdana" w:hAnsi="Verdana"/>
          <w:bCs/>
          <w:iCs/>
          <w:spacing w:val="-4"/>
          <w:sz w:val="16"/>
          <w:szCs w:val="16"/>
          <w:lang w:val="es-PR"/>
        </w:rPr>
        <w:t xml:space="preserve"> Sentencia de 7 de septiembre de 2004. Serie C No. 114</w:t>
      </w:r>
      <w:r w:rsidRPr="007E666D">
        <w:rPr>
          <w:rFonts w:ascii="Verdana" w:hAnsi="Verdana"/>
          <w:i/>
          <w:spacing w:val="-4"/>
          <w:sz w:val="16"/>
          <w:szCs w:val="16"/>
          <w:lang w:val="es-PR"/>
        </w:rPr>
        <w:t>,</w:t>
      </w:r>
      <w:r w:rsidRPr="007E666D">
        <w:rPr>
          <w:rFonts w:ascii="Verdana" w:hAnsi="Verdana"/>
          <w:spacing w:val="-4"/>
          <w:sz w:val="16"/>
          <w:szCs w:val="16"/>
          <w:lang w:val="es-PR"/>
        </w:rPr>
        <w:t xml:space="preserve"> párr. 134, y Caso </w:t>
      </w:r>
      <w:r w:rsidRPr="007E666D">
        <w:rPr>
          <w:rFonts w:ascii="Verdana" w:hAnsi="Verdana"/>
          <w:i/>
          <w:spacing w:val="-4"/>
          <w:sz w:val="16"/>
          <w:szCs w:val="16"/>
          <w:lang w:val="es-PR"/>
        </w:rPr>
        <w:t>Chaparro Álvarez y Lapo Íñiguez Vs. Ecuador,</w:t>
      </w:r>
      <w:r w:rsidRPr="007E666D">
        <w:rPr>
          <w:rFonts w:ascii="Verdana" w:hAnsi="Verdana"/>
          <w:spacing w:val="-4"/>
          <w:sz w:val="16"/>
          <w:szCs w:val="16"/>
          <w:lang w:val="es-PR"/>
        </w:rPr>
        <w:t xml:space="preserve"> </w:t>
      </w:r>
      <w:r w:rsidRPr="007E666D">
        <w:rPr>
          <w:rFonts w:ascii="Verdana" w:hAnsi="Verdana"/>
          <w:i/>
          <w:spacing w:val="-4"/>
          <w:sz w:val="16"/>
          <w:szCs w:val="16"/>
          <w:lang w:val="es-PR"/>
        </w:rPr>
        <w:t xml:space="preserve">supra, </w:t>
      </w:r>
      <w:r w:rsidRPr="007E666D">
        <w:rPr>
          <w:rFonts w:ascii="Verdana" w:hAnsi="Verdana"/>
          <w:spacing w:val="-4"/>
          <w:sz w:val="16"/>
          <w:szCs w:val="16"/>
          <w:lang w:val="es-PR"/>
        </w:rPr>
        <w:t>párr. 135.</w:t>
      </w:r>
    </w:p>
  </w:footnote>
  <w:footnote w:id="274">
    <w:p w:rsidR="00D57F75" w:rsidRPr="007E666D" w:rsidRDefault="00D57F75" w:rsidP="00C83100">
      <w:pPr>
        <w:tabs>
          <w:tab w:val="left" w:pos="720"/>
        </w:tabs>
        <w:spacing w:after="0" w:line="240" w:lineRule="auto"/>
        <w:contextualSpacing/>
        <w:jc w:val="both"/>
        <w:rPr>
          <w:rFonts w:ascii="Verdana" w:hAnsi="Verdana"/>
          <w:i/>
          <w:spacing w:val="-4"/>
          <w:sz w:val="16"/>
          <w:szCs w:val="16"/>
          <w:lang w:val="es-PR"/>
        </w:rPr>
      </w:pPr>
      <w:r w:rsidRPr="007E666D">
        <w:rPr>
          <w:rFonts w:ascii="Verdana" w:hAnsi="Verdana"/>
          <w:spacing w:val="-4"/>
          <w:sz w:val="16"/>
          <w:szCs w:val="16"/>
          <w:vertAlign w:val="superscript"/>
          <w:lang w:val="es-PR"/>
        </w:rPr>
        <w:footnoteRef/>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eastAsiaTheme="minorHAnsi" w:hAnsi="Verdana" w:cstheme="minorBidi"/>
          <w:i/>
          <w:spacing w:val="-4"/>
          <w:sz w:val="16"/>
          <w:szCs w:val="16"/>
          <w:lang w:val="es-PR"/>
        </w:rPr>
        <w:t xml:space="preserve">Caso García Prieto y otros Vs. El Salvador. Excepciones Preliminares, Fondo, Reparaciones y Costas. </w:t>
      </w:r>
      <w:r w:rsidRPr="007E666D">
        <w:rPr>
          <w:rFonts w:ascii="Verdana" w:eastAsiaTheme="minorHAnsi" w:hAnsi="Verdana" w:cstheme="minorBidi"/>
          <w:spacing w:val="-4"/>
          <w:sz w:val="16"/>
          <w:szCs w:val="16"/>
          <w:lang w:val="es-PR"/>
        </w:rPr>
        <w:t xml:space="preserve">Sentencia de 20 de noviembre de 2007. Serie C No. </w:t>
      </w:r>
      <w:r w:rsidRPr="007E666D">
        <w:rPr>
          <w:rFonts w:ascii="Verdana" w:eastAsiaTheme="minorHAnsi" w:hAnsi="Verdana" w:cstheme="minorBidi"/>
          <w:i/>
          <w:spacing w:val="-4"/>
          <w:sz w:val="16"/>
          <w:szCs w:val="16"/>
          <w:lang w:val="es-PR"/>
        </w:rPr>
        <w:t>168, párr. 112, y</w:t>
      </w:r>
      <w:r w:rsidRPr="007E666D">
        <w:rPr>
          <w:rFonts w:ascii="Verdana" w:hAnsi="Verdana"/>
          <w:i/>
          <w:spacing w:val="-4"/>
          <w:sz w:val="16"/>
          <w:szCs w:val="16"/>
          <w:lang w:val="es-PR"/>
        </w:rPr>
        <w:t xml:space="preserve"> </w:t>
      </w:r>
      <w:r w:rsidRPr="007E666D">
        <w:rPr>
          <w:rFonts w:ascii="Verdana" w:hAnsi="Verdana"/>
          <w:bCs/>
          <w:i/>
          <w:color w:val="000000"/>
          <w:spacing w:val="-4"/>
          <w:sz w:val="16"/>
          <w:szCs w:val="16"/>
          <w:lang w:val="es-PR"/>
        </w:rPr>
        <w:t>Caso Masacres de Río Negro Vs. Guatemala</w:t>
      </w:r>
      <w:r w:rsidRPr="007E666D">
        <w:rPr>
          <w:rFonts w:ascii="Verdana" w:hAnsi="Verdana"/>
          <w:color w:val="000000"/>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color w:val="000000"/>
          <w:spacing w:val="-4"/>
          <w:sz w:val="16"/>
          <w:szCs w:val="16"/>
          <w:lang w:val="es-PR"/>
        </w:rPr>
        <w:t>párr. 194.</w:t>
      </w:r>
    </w:p>
  </w:footnote>
  <w:footnote w:id="275">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Caso Myrna Mack Chang Vs. Guatemala. Fondo, Reparaciones y Costas. </w:t>
      </w:r>
      <w:r w:rsidRPr="007E666D">
        <w:rPr>
          <w:rFonts w:ascii="Verdana" w:hAnsi="Verdana"/>
          <w:iCs/>
          <w:spacing w:val="-4"/>
          <w:sz w:val="16"/>
          <w:szCs w:val="16"/>
          <w:lang w:val="es-PR"/>
        </w:rPr>
        <w:t>Sentencia de 25 de noviembre de 2003. Serie C No. 101</w:t>
      </w:r>
      <w:r w:rsidRPr="007E666D">
        <w:rPr>
          <w:rFonts w:ascii="Verdana" w:hAnsi="Verdana"/>
          <w:i/>
          <w:iCs/>
          <w:spacing w:val="-4"/>
          <w:sz w:val="16"/>
          <w:szCs w:val="16"/>
          <w:lang w:val="es-PR"/>
        </w:rPr>
        <w:t xml:space="preserve">, </w:t>
      </w:r>
      <w:r w:rsidRPr="007E666D">
        <w:rPr>
          <w:rFonts w:ascii="Verdana" w:hAnsi="Verdana"/>
          <w:spacing w:val="-4"/>
          <w:sz w:val="16"/>
          <w:szCs w:val="16"/>
          <w:lang w:val="es-PR"/>
        </w:rPr>
        <w:t xml:space="preserve">párr. 199, y </w:t>
      </w:r>
      <w:r w:rsidRPr="007E666D">
        <w:rPr>
          <w:rFonts w:ascii="Verdana" w:hAnsi="Verdana"/>
          <w:i/>
          <w:spacing w:val="-4"/>
          <w:sz w:val="16"/>
          <w:szCs w:val="16"/>
          <w:lang w:val="es-PR"/>
        </w:rPr>
        <w:t xml:space="preserve">Caso Defensor de Derechos Humanos y otros Vs. Guatemala,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227.</w:t>
      </w:r>
    </w:p>
  </w:footnote>
  <w:footnote w:id="276">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Kawas Fernández</w:t>
      </w:r>
      <w:r w:rsidRPr="007E666D">
        <w:rPr>
          <w:rFonts w:ascii="Verdana" w:hAnsi="Verdana"/>
          <w:spacing w:val="-4"/>
          <w:sz w:val="16"/>
          <w:szCs w:val="16"/>
          <w:lang w:val="es-PR"/>
        </w:rPr>
        <w:t xml:space="preserve"> </w:t>
      </w:r>
      <w:r w:rsidRPr="007E666D">
        <w:rPr>
          <w:rFonts w:ascii="Verdana" w:hAnsi="Verdana"/>
          <w:i/>
          <w:spacing w:val="-4"/>
          <w:sz w:val="16"/>
          <w:szCs w:val="16"/>
          <w:lang w:val="es-PR"/>
        </w:rPr>
        <w:t>Vs. Honduras</w:t>
      </w:r>
      <w:r w:rsidRPr="007E666D">
        <w:rPr>
          <w:rFonts w:ascii="Verdana" w:hAnsi="Verdana"/>
          <w:spacing w:val="-4"/>
          <w:sz w:val="16"/>
          <w:szCs w:val="16"/>
          <w:lang w:val="es-PR"/>
        </w:rPr>
        <w:t xml:space="preserve">,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párr. 106, y </w:t>
      </w:r>
      <w:r w:rsidRPr="007E666D">
        <w:rPr>
          <w:rFonts w:ascii="Verdana" w:hAnsi="Verdana"/>
          <w:i/>
          <w:spacing w:val="-4"/>
          <w:sz w:val="16"/>
          <w:szCs w:val="16"/>
          <w:lang w:val="es-PR"/>
        </w:rPr>
        <w:t>Caso Defensor de Derechos Humanos y otros Vs. Guatemala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227.</w:t>
      </w:r>
    </w:p>
  </w:footnote>
  <w:footnote w:id="277">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De La Masacre de las Dos Erres Vs. Guatemala, supra,</w:t>
      </w:r>
      <w:r w:rsidRPr="007E666D">
        <w:rPr>
          <w:rFonts w:ascii="Verdana" w:hAnsi="Verdana"/>
          <w:spacing w:val="-4"/>
          <w:sz w:val="16"/>
          <w:szCs w:val="16"/>
          <w:lang w:val="es-PR"/>
        </w:rPr>
        <w:t xml:space="preserve"> párr. 234, y </w:t>
      </w:r>
      <w:r w:rsidRPr="007E666D">
        <w:rPr>
          <w:rFonts w:ascii="Verdana" w:hAnsi="Verdana"/>
          <w:i/>
          <w:spacing w:val="-4"/>
          <w:sz w:val="16"/>
          <w:szCs w:val="16"/>
          <w:lang w:val="es-PR"/>
        </w:rPr>
        <w:t>Caso Defensor de Derechos Humanos y otros Vs. Guatemala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 xml:space="preserve">supra, </w:t>
      </w:r>
      <w:r w:rsidRPr="007E666D">
        <w:rPr>
          <w:rFonts w:ascii="Verdana" w:hAnsi="Verdana"/>
          <w:spacing w:val="-4"/>
          <w:sz w:val="16"/>
          <w:szCs w:val="16"/>
          <w:lang w:val="es-PR"/>
        </w:rPr>
        <w:t>párr. 227.</w:t>
      </w:r>
    </w:p>
  </w:footnote>
  <w:footnote w:id="278">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 xml:space="preserve">Específicamente, la autoridad del Ejército señaló que: “ningún personal de nuestra institución ha detenido a las personas que se indican y que nuestras Bases Militares no realizan operativos, sino permanentes patrulla[je]s con la finalidad de organizar las RONDAS CAMPESINAS, a los Comités de Autodefensa y proporcionarles seguridad”.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Informe </w:t>
      </w:r>
      <w:r w:rsidRPr="007E666D">
        <w:rPr>
          <w:rFonts w:ascii="Verdana" w:hAnsi="Verdana" w:cs="Arial"/>
          <w:spacing w:val="-4"/>
          <w:sz w:val="16"/>
          <w:szCs w:val="16"/>
          <w:lang w:val="es-PR"/>
        </w:rPr>
        <w:t xml:space="preserve">17-91-FPEPD-HVCA de 2 de agosto de 1991, remitido por la Fiscalía Especial de Prevención del Delito </w:t>
      </w:r>
      <w:r w:rsidRPr="007E666D">
        <w:rPr>
          <w:rFonts w:ascii="Verdana" w:hAnsi="Verdana"/>
          <w:spacing w:val="-4"/>
          <w:sz w:val="16"/>
          <w:szCs w:val="16"/>
          <w:lang w:val="es-PR"/>
        </w:rPr>
        <w:t>(expediente de prueba, folios 3896 a 3897).</w:t>
      </w:r>
    </w:p>
  </w:footnote>
  <w:footnote w:id="279">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cs="Arial"/>
          <w:spacing w:val="-4"/>
          <w:sz w:val="16"/>
          <w:szCs w:val="16"/>
          <w:lang w:val="es-PR"/>
        </w:rPr>
        <w:t xml:space="preserve">Informe No. 17-91-FPEPD-HVCA de 8 de agosto de 1991, remitido por la Fiscalía Especial de Prevención del Delito al Fiscal Adjunto Supremo en lo Penal encargado de la Fiscalía Especial de Defensoría del Pueblo </w:t>
      </w:r>
      <w:r w:rsidRPr="007E666D">
        <w:rPr>
          <w:rFonts w:ascii="Verdana" w:hAnsi="Verdana"/>
          <w:spacing w:val="-4"/>
          <w:sz w:val="16"/>
          <w:szCs w:val="16"/>
          <w:lang w:val="es-PR"/>
        </w:rPr>
        <w:t xml:space="preserve">y </w:t>
      </w:r>
      <w:r w:rsidRPr="007E666D">
        <w:rPr>
          <w:rFonts w:ascii="Verdana" w:hAnsi="Verdana" w:cs="Arial"/>
          <w:spacing w:val="-4"/>
          <w:sz w:val="16"/>
          <w:szCs w:val="16"/>
          <w:lang w:val="es-PR"/>
        </w:rPr>
        <w:t>Derechos Humanos</w:t>
      </w:r>
      <w:r w:rsidRPr="007E666D">
        <w:rPr>
          <w:rFonts w:ascii="Verdana" w:hAnsi="Verdana"/>
          <w:spacing w:val="-4"/>
          <w:sz w:val="16"/>
          <w:szCs w:val="16"/>
          <w:lang w:val="es-PR"/>
        </w:rPr>
        <w:t xml:space="preserve"> (expediente de prueba, folio 3891).</w:t>
      </w:r>
    </w:p>
  </w:footnote>
  <w:footnote w:id="280">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Si bien varios de los testimonios señalan que las personas que los detuvieron se disfrazaron como comuneros, la Comisión de la Verdad y Reconciliación encontró que fueron “miembros del Ejército que inicialmente no vestían sus atuendos militares” (expediente de prueba, folio 6). Ver también, Declaración de Gregorio Hilario Quispe de 11 de octubre de 2011 (expediente de prueba, folio 1678); Declaración de Zenón Cirilo Osnayo Tunque ante la Sala Penal Nacional de 5 de noviembre de 2010 (expediente de prueba, folio</w:t>
      </w:r>
      <w:r w:rsidRPr="007E666D" w:rsidDel="00D04543">
        <w:rPr>
          <w:rFonts w:ascii="Verdana" w:hAnsi="Verdana"/>
          <w:spacing w:val="-4"/>
          <w:sz w:val="16"/>
          <w:szCs w:val="16"/>
          <w:lang w:val="es-PR"/>
        </w:rPr>
        <w:t xml:space="preserve"> </w:t>
      </w:r>
      <w:r w:rsidRPr="007E666D">
        <w:rPr>
          <w:rFonts w:ascii="Verdana" w:hAnsi="Verdana"/>
          <w:spacing w:val="-4"/>
          <w:sz w:val="16"/>
          <w:szCs w:val="16"/>
          <w:lang w:val="es-PR"/>
        </w:rPr>
        <w:t>4403); Testimonio de Felipe Tunque Lizana de fecha 18 de julio de 1991 (expediente de prueba, folio 544), y Testimonio de Crisanto Hilario Moran de fecha 18 de julio de 1991 (expediente de prueba, folios 538, 539 y 541).</w:t>
      </w:r>
    </w:p>
  </w:footnote>
  <w:footnote w:id="281">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Declaración de Zenón Cirilo Osnayo Tunque ante la Sala Penal Nacional de 5 de noviembre de 2010 (expediente de prueba, folio, 4403), el cual se refiere a que “las autoridades” les habrían obligado a ayudar en la realización de esta diligencia; Declaración de Zenón Cirilo Osnayo Tunque de fecha 11 de octubre de 2011 (expediente de prueba, folios 1674 a 1675), el cual señala que “nos dijeron que ellos habían ido para encontrase con el Juez y el Fiscal por un accidente, pero el Fiscal y el Juez nunca llegaron”; Testimonio de Felipe Tunque Lizana de fecha 18 de julio de 1991 (expediente de prueba, folios 544 a 545), en el cual consta que “El Juez iba a venir […] con todo resguardo y Policía Nacional, por eso nosotros hemos venido”, y Testimonio de Crisanto Hilario Moran de fecha 18 de julio de 1991 (expediente de prueba, folio 538). Por otro lado, ver Informe 0462-91-MP-FEM-HVCA de fecha 23 de julio de 1991 (expediente de prueba, folio 56) y Parte No. 158-SE-JDp de fecha 26 de agosto de 1991 (expediente de prueba, folio 3902).</w:t>
      </w:r>
    </w:p>
  </w:footnote>
  <w:footnote w:id="282">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Informe Final de la CVR de fecha 28 de agosto de 2003 (expediente de prueba, folio 6); Declaración de Gregorio Hilario Quispe de 11 de octubre de 2011 (expediente de prueba, folio 1679); Declaración de Zenón Cirilo Osnayo Tunque de 11 de octubre de 2011 (expediente de prueba, folio 1674); Testimonio de Zenón Cirilo Osnayo Tunque ante la Sala Penal Nacional de 5 de noviembre de 2010 (expediente de prueba, folio 4404); Testimonio de Felipe Tunque Lizana de 18 de julio de 1991 (expediente de prueba, folio 545), y Testimonio de Crisanto Hilario Moran de fecha 18 de julio de 1991 (expediente de prueba, folio 542).</w:t>
      </w:r>
    </w:p>
  </w:footnote>
  <w:footnote w:id="283">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Al respecto, cabe destacar que el Testimonio de Felipe Tunque Lizana de 18 de julio de 1991 señala que soldados hicieron amenazas explícitas (expediente de prueba, folios 546 y 547); la Declaración de Gregorio Hilario Quispe de fecha 11 de octubre de 2011 sostiene que “pienso que esos dinamitazos fue para causarnos temor” (expediente de prueba, folio 1679); y el Testimonio y Declaración de Zenón Cirilo Osnayo Tunque de fechas 5 de noviembre de 2010 y 11 de octubre de 2011 respectivamente señalan que los militares les ordenaron que se presentaran ante el Comando Político Militar para que “declaremos que no ha pasado nada” (expediente de prueba, folios 1675 y 4404).</w:t>
      </w:r>
    </w:p>
  </w:footnote>
  <w:footnote w:id="284">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cs="Arial"/>
          <w:spacing w:val="-4"/>
          <w:sz w:val="16"/>
          <w:szCs w:val="16"/>
          <w:lang w:val="es-PR"/>
        </w:rPr>
        <w:t>Sentencia de la Sala Penal Nacional de 9 de febrero de 2012 (expediente de prueba, folio 4541).</w:t>
      </w:r>
    </w:p>
  </w:footnote>
  <w:footnote w:id="285">
    <w:p w:rsidR="00D57F75" w:rsidRPr="007E666D" w:rsidRDefault="00D57F75" w:rsidP="00C83100">
      <w:pPr>
        <w:tabs>
          <w:tab w:val="left" w:pos="72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Castillo Petruzzi y otros Vs. Perú. Fondo, Reparaciones y Costas.</w:t>
      </w:r>
      <w:r w:rsidRPr="007E666D">
        <w:rPr>
          <w:rFonts w:ascii="Verdana" w:hAnsi="Verdana"/>
          <w:spacing w:val="-4"/>
          <w:sz w:val="16"/>
          <w:szCs w:val="16"/>
          <w:lang w:val="es-PR"/>
        </w:rPr>
        <w:t xml:space="preserve"> Sentencia de 30 de mayo de 1999. Serie C No. 52, párrs. 128 a 130 y 132; </w:t>
      </w:r>
      <w:r w:rsidRPr="007E666D">
        <w:rPr>
          <w:rFonts w:ascii="Verdana" w:hAnsi="Verdana"/>
          <w:i/>
          <w:spacing w:val="-4"/>
          <w:sz w:val="16"/>
          <w:szCs w:val="16"/>
          <w:lang w:val="es-PR"/>
        </w:rPr>
        <w:t>Caso Cesti Hurtado Vs. Perú. Fondo.</w:t>
      </w:r>
      <w:r w:rsidRPr="007E666D">
        <w:rPr>
          <w:rFonts w:ascii="Verdana" w:hAnsi="Verdana"/>
          <w:spacing w:val="-4"/>
          <w:sz w:val="16"/>
          <w:szCs w:val="16"/>
          <w:lang w:val="es-PR"/>
        </w:rPr>
        <w:t xml:space="preserve"> Sentencia de 29 de septiembre de 1999. Serie C No. 56, párr. 151; </w:t>
      </w:r>
      <w:r w:rsidRPr="007E666D">
        <w:rPr>
          <w:rFonts w:ascii="Verdana" w:hAnsi="Verdana"/>
          <w:i/>
          <w:spacing w:val="-4"/>
          <w:sz w:val="16"/>
          <w:szCs w:val="16"/>
          <w:lang w:val="es-PR"/>
        </w:rPr>
        <w:t>Caso Durand y Ugarte Vs. Perú. Fondo, supra</w:t>
      </w:r>
      <w:r w:rsidRPr="007E666D">
        <w:rPr>
          <w:rFonts w:ascii="Verdana" w:hAnsi="Verdana"/>
          <w:spacing w:val="-4"/>
          <w:sz w:val="16"/>
          <w:szCs w:val="16"/>
          <w:lang w:val="es-PR"/>
        </w:rPr>
        <w:t xml:space="preserve">, párrs. 116, 117, 125 y 126; </w:t>
      </w:r>
      <w:r w:rsidRPr="007E666D">
        <w:rPr>
          <w:rFonts w:ascii="Verdana" w:hAnsi="Verdana"/>
          <w:i/>
          <w:spacing w:val="-4"/>
          <w:sz w:val="16"/>
          <w:szCs w:val="16"/>
          <w:lang w:val="es-PR"/>
        </w:rPr>
        <w:t>Caso Cantoral Benavides Vs. Perú. Fondo.</w:t>
      </w:r>
      <w:r w:rsidRPr="007E666D">
        <w:rPr>
          <w:rFonts w:ascii="Verdana" w:hAnsi="Verdana"/>
          <w:spacing w:val="-4"/>
          <w:sz w:val="16"/>
          <w:szCs w:val="16"/>
          <w:lang w:val="es-PR"/>
        </w:rPr>
        <w:t xml:space="preserve"> Sentencia de 18 de agosto de 2000. Serie C No. 69, párrs. 112 a 114; </w:t>
      </w:r>
      <w:r w:rsidRPr="007E666D">
        <w:rPr>
          <w:rFonts w:ascii="Verdana" w:hAnsi="Verdana"/>
          <w:i/>
          <w:spacing w:val="-4"/>
          <w:sz w:val="16"/>
          <w:szCs w:val="16"/>
          <w:lang w:val="es-PR"/>
        </w:rPr>
        <w:t>Caso Las Palmeras Vs. Colombia. Fondo, supra</w:t>
      </w:r>
      <w:r w:rsidRPr="007E666D">
        <w:rPr>
          <w:rFonts w:ascii="Verdana" w:hAnsi="Verdana"/>
          <w:spacing w:val="-4"/>
          <w:sz w:val="16"/>
          <w:szCs w:val="16"/>
          <w:lang w:val="es-PR"/>
        </w:rPr>
        <w:t xml:space="preserve">, párrs. 51, 52 y 53; </w:t>
      </w:r>
      <w:r w:rsidRPr="007E666D">
        <w:rPr>
          <w:rFonts w:ascii="Verdana" w:hAnsi="Verdana"/>
          <w:i/>
          <w:spacing w:val="-4"/>
          <w:sz w:val="16"/>
          <w:szCs w:val="16"/>
          <w:lang w:val="es-PR"/>
        </w:rPr>
        <w:t>Caso 19 Comerciantes Vs. Colombia, supra</w:t>
      </w:r>
      <w:r w:rsidRPr="007E666D">
        <w:rPr>
          <w:rFonts w:ascii="Verdana" w:hAnsi="Verdana"/>
          <w:spacing w:val="-4"/>
          <w:sz w:val="16"/>
          <w:szCs w:val="16"/>
          <w:lang w:val="es-PR"/>
        </w:rPr>
        <w:t xml:space="preserve">, párrs. 165 a 167, 173 y 174; </w:t>
      </w:r>
      <w:r w:rsidRPr="007E666D">
        <w:rPr>
          <w:rFonts w:ascii="Verdana" w:hAnsi="Verdana"/>
          <w:i/>
          <w:spacing w:val="-4"/>
          <w:sz w:val="16"/>
          <w:szCs w:val="16"/>
          <w:lang w:val="es-PR"/>
        </w:rPr>
        <w:t>Caso Lori Berenson Mejía Vs. Perú. Fondo, Reparaciones y Costas</w:t>
      </w:r>
      <w:r w:rsidRPr="007E666D">
        <w:rPr>
          <w:rFonts w:ascii="Verdana" w:hAnsi="Verdana"/>
          <w:spacing w:val="-4"/>
          <w:sz w:val="16"/>
          <w:szCs w:val="16"/>
          <w:lang w:val="es-PR"/>
        </w:rPr>
        <w:t xml:space="preserve">. Sentencia de 25 de noviembre de 2004. Serie C No. 119, párrs. 141 a 145; </w:t>
      </w:r>
      <w:r w:rsidRPr="007E666D">
        <w:rPr>
          <w:rFonts w:ascii="Verdana" w:hAnsi="Verdana"/>
          <w:i/>
          <w:spacing w:val="-4"/>
          <w:sz w:val="16"/>
          <w:szCs w:val="16"/>
          <w:lang w:val="es-PR"/>
        </w:rPr>
        <w:t>Caso de la “Masacre de Mapiripán” Vs. Colombia, supra</w:t>
      </w:r>
      <w:r w:rsidRPr="007E666D">
        <w:rPr>
          <w:rFonts w:ascii="Verdana" w:hAnsi="Verdana"/>
          <w:spacing w:val="-4"/>
          <w:sz w:val="16"/>
          <w:szCs w:val="16"/>
          <w:lang w:val="es-PR"/>
        </w:rPr>
        <w:t xml:space="preserve">, párr. 202; </w:t>
      </w:r>
      <w:r w:rsidRPr="007E666D">
        <w:rPr>
          <w:rFonts w:ascii="Verdana" w:hAnsi="Verdana"/>
          <w:i/>
          <w:spacing w:val="-4"/>
          <w:sz w:val="16"/>
          <w:szCs w:val="16"/>
          <w:lang w:val="es-PR"/>
        </w:rPr>
        <w:t>Caso Palamara Iribarne Vs. Chile. Fondo, Reparaciones y Costas</w:t>
      </w:r>
      <w:r w:rsidRPr="007E666D">
        <w:rPr>
          <w:rFonts w:ascii="Verdana" w:hAnsi="Verdana"/>
          <w:spacing w:val="-4"/>
          <w:sz w:val="16"/>
          <w:szCs w:val="16"/>
          <w:lang w:val="es-PR"/>
        </w:rPr>
        <w:t xml:space="preserve">. Sentencia de 22 de noviembre de 2005. Serie C No. 135, párrs. 139 y 143; </w:t>
      </w:r>
      <w:r w:rsidRPr="007E666D">
        <w:rPr>
          <w:rFonts w:ascii="Verdana" w:hAnsi="Verdana"/>
          <w:i/>
          <w:spacing w:val="-4"/>
          <w:sz w:val="16"/>
          <w:szCs w:val="16"/>
          <w:lang w:val="es-PR"/>
        </w:rPr>
        <w:t>Caso de la Masacre de Pueblo Bello Vs. Colombia, supra</w:t>
      </w:r>
      <w:r w:rsidRPr="007E666D">
        <w:rPr>
          <w:rFonts w:ascii="Verdana" w:hAnsi="Verdana"/>
          <w:spacing w:val="-4"/>
          <w:sz w:val="16"/>
          <w:szCs w:val="16"/>
          <w:lang w:val="es-PR"/>
        </w:rPr>
        <w:t xml:space="preserve">, párrs. 189 y 193; </w:t>
      </w:r>
      <w:r w:rsidRPr="007E666D">
        <w:rPr>
          <w:rFonts w:ascii="Verdana" w:hAnsi="Verdana"/>
          <w:i/>
          <w:spacing w:val="-4"/>
          <w:sz w:val="16"/>
          <w:szCs w:val="16"/>
          <w:lang w:val="es-PR"/>
        </w:rPr>
        <w:t>Caso Montero Aranguren y otros (Retén de Catia) Vs. Venezuela, supra</w:t>
      </w:r>
      <w:r w:rsidRPr="007E666D">
        <w:rPr>
          <w:rFonts w:ascii="Verdana" w:hAnsi="Verdana"/>
          <w:spacing w:val="-4"/>
          <w:sz w:val="16"/>
          <w:szCs w:val="16"/>
          <w:lang w:val="es-PR"/>
        </w:rPr>
        <w:t xml:space="preserve">, párrs. 53, 54 y 108; </w:t>
      </w:r>
      <w:r w:rsidRPr="007E666D">
        <w:rPr>
          <w:rFonts w:ascii="Verdana" w:hAnsi="Verdana"/>
          <w:i/>
          <w:spacing w:val="-4"/>
          <w:sz w:val="16"/>
          <w:szCs w:val="16"/>
          <w:lang w:val="es-PR"/>
        </w:rPr>
        <w:t>Caso Almonacid Arellano y otros Vs. Chile. Excepciones Preliminares, Fondo, Reparaciones y Costas</w:t>
      </w:r>
      <w:r w:rsidRPr="007E666D">
        <w:rPr>
          <w:rFonts w:ascii="Verdana" w:hAnsi="Verdana"/>
          <w:spacing w:val="-4"/>
          <w:sz w:val="16"/>
          <w:szCs w:val="16"/>
          <w:lang w:val="es-PR"/>
        </w:rPr>
        <w:t xml:space="preserve">. Sentencia de 26 de septiembre de 2006. Serie C No. 154, párrs. 131 y 134; </w:t>
      </w:r>
      <w:r w:rsidRPr="007E666D">
        <w:rPr>
          <w:rFonts w:ascii="Verdana" w:hAnsi="Verdana"/>
          <w:i/>
          <w:spacing w:val="-4"/>
          <w:sz w:val="16"/>
          <w:szCs w:val="16"/>
          <w:lang w:val="es-PR"/>
        </w:rPr>
        <w:t>Caso La Cantuta Vs. Perú, supra</w:t>
      </w:r>
      <w:r w:rsidRPr="007E666D">
        <w:rPr>
          <w:rFonts w:ascii="Verdana" w:hAnsi="Verdana"/>
          <w:spacing w:val="-4"/>
          <w:sz w:val="16"/>
          <w:szCs w:val="16"/>
          <w:lang w:val="es-PR"/>
        </w:rPr>
        <w:t xml:space="preserve">, párrs. 142 y 145; </w:t>
      </w:r>
      <w:r w:rsidRPr="007E666D">
        <w:rPr>
          <w:rFonts w:ascii="Verdana" w:hAnsi="Verdana"/>
          <w:i/>
          <w:spacing w:val="-4"/>
          <w:sz w:val="16"/>
          <w:szCs w:val="16"/>
          <w:lang w:val="es-PR"/>
        </w:rPr>
        <w:t>Caso de la Masacre de La Rochela Vs. Colombia, supra</w:t>
      </w:r>
      <w:r w:rsidRPr="007E666D">
        <w:rPr>
          <w:rFonts w:ascii="Verdana" w:hAnsi="Verdana"/>
          <w:spacing w:val="-4"/>
          <w:sz w:val="16"/>
          <w:szCs w:val="16"/>
          <w:lang w:val="es-PR"/>
        </w:rPr>
        <w:t xml:space="preserve">, párrs. 200 y 204; </w:t>
      </w:r>
      <w:r w:rsidRPr="007E666D">
        <w:rPr>
          <w:rFonts w:ascii="Verdana" w:hAnsi="Verdana"/>
          <w:i/>
          <w:spacing w:val="-4"/>
          <w:sz w:val="16"/>
          <w:szCs w:val="16"/>
          <w:lang w:val="es-PR"/>
        </w:rPr>
        <w:t xml:space="preserve">Caso Escué Zapata Vs. Colombia, supra, </w:t>
      </w:r>
      <w:r w:rsidRPr="007E666D">
        <w:rPr>
          <w:rFonts w:ascii="Verdana" w:hAnsi="Verdana"/>
          <w:spacing w:val="-4"/>
          <w:sz w:val="16"/>
          <w:szCs w:val="16"/>
          <w:lang w:val="es-PR"/>
        </w:rPr>
        <w:t xml:space="preserve">párrs. 105; </w:t>
      </w:r>
      <w:r w:rsidRPr="007E666D">
        <w:rPr>
          <w:rFonts w:ascii="Verdana" w:hAnsi="Verdana"/>
          <w:i/>
          <w:spacing w:val="-4"/>
          <w:sz w:val="16"/>
          <w:szCs w:val="16"/>
          <w:lang w:val="es-PR"/>
        </w:rPr>
        <w:t>Caso Zambrano Vélez y otros Vs. Ecuador. Fondo, Reparaciones y Costas.</w:t>
      </w:r>
      <w:r w:rsidRPr="007E666D">
        <w:rPr>
          <w:rFonts w:ascii="Verdana" w:hAnsi="Verdana" w:cs="Verdana"/>
          <w:spacing w:val="-4"/>
          <w:sz w:val="16"/>
          <w:szCs w:val="16"/>
          <w:lang w:val="es-PR"/>
        </w:rPr>
        <w:t xml:space="preserve"> Sentencia de 4 de julio de 2007. Serie C No. 166</w:t>
      </w:r>
      <w:r w:rsidRPr="007E666D">
        <w:rPr>
          <w:rFonts w:ascii="Verdana" w:hAnsi="Verdana"/>
          <w:spacing w:val="-4"/>
          <w:sz w:val="16"/>
          <w:szCs w:val="16"/>
          <w:lang w:val="es-PR"/>
        </w:rPr>
        <w:t xml:space="preserve">, párr. 66; </w:t>
      </w:r>
      <w:r w:rsidRPr="007E666D">
        <w:rPr>
          <w:rFonts w:ascii="Verdana" w:hAnsi="Verdana"/>
          <w:i/>
          <w:spacing w:val="-4"/>
          <w:sz w:val="16"/>
          <w:szCs w:val="16"/>
          <w:lang w:val="es-PR"/>
        </w:rPr>
        <w:t>Caso Tiu Tojín Vs. Guatemala, supra</w:t>
      </w:r>
      <w:r w:rsidRPr="007E666D">
        <w:rPr>
          <w:rFonts w:ascii="Verdana" w:hAnsi="Verdana"/>
          <w:spacing w:val="-4"/>
          <w:sz w:val="16"/>
          <w:szCs w:val="16"/>
          <w:lang w:val="es-PR"/>
        </w:rPr>
        <w:t xml:space="preserve">, párrs. 118 a 120; </w:t>
      </w:r>
      <w:r w:rsidRPr="007E666D">
        <w:rPr>
          <w:rFonts w:ascii="Verdana" w:hAnsi="Verdana"/>
          <w:i/>
          <w:spacing w:val="-4"/>
          <w:sz w:val="16"/>
          <w:szCs w:val="16"/>
          <w:lang w:val="es-PR"/>
        </w:rPr>
        <w:t xml:space="preserve">Caso Usón Ramírez Vs. Venezuela. Excepción Preliminar, Fondo, Reparaciones y Costas. </w:t>
      </w:r>
      <w:r w:rsidRPr="007E666D">
        <w:rPr>
          <w:rFonts w:ascii="Verdana" w:hAnsi="Verdana"/>
          <w:spacing w:val="-4"/>
          <w:sz w:val="16"/>
          <w:szCs w:val="16"/>
          <w:lang w:val="es-PR"/>
        </w:rPr>
        <w:t xml:space="preserve">Sentencia de 20 de noviembre de 2009. Serie C No. 207, párrs. 108 a 110; </w:t>
      </w:r>
      <w:r w:rsidRPr="007E666D">
        <w:rPr>
          <w:rFonts w:ascii="Verdana" w:hAnsi="Verdana"/>
          <w:i/>
          <w:spacing w:val="-4"/>
          <w:sz w:val="16"/>
          <w:szCs w:val="16"/>
          <w:lang w:val="es-PR"/>
        </w:rPr>
        <w:t>Caso Radilla Pacheco Vs. México, supra</w:t>
      </w:r>
      <w:r w:rsidRPr="007E666D">
        <w:rPr>
          <w:rFonts w:ascii="Verdana" w:hAnsi="Verdana"/>
          <w:spacing w:val="-4"/>
          <w:sz w:val="16"/>
          <w:szCs w:val="16"/>
          <w:lang w:val="es-PR"/>
        </w:rPr>
        <w:t xml:space="preserve">, párrs. 272 a 275 y 283; </w:t>
      </w:r>
      <w:r w:rsidRPr="007E666D">
        <w:rPr>
          <w:rFonts w:ascii="Verdana" w:hAnsi="Verdana"/>
          <w:i/>
          <w:spacing w:val="-4"/>
          <w:sz w:val="16"/>
          <w:szCs w:val="16"/>
          <w:lang w:val="es-PR"/>
        </w:rPr>
        <w:t>Caso</w:t>
      </w:r>
      <w:r w:rsidRPr="007E666D">
        <w:rPr>
          <w:rFonts w:ascii="Verdana" w:hAnsi="Verdana"/>
          <w:spacing w:val="-4"/>
          <w:sz w:val="16"/>
          <w:szCs w:val="16"/>
          <w:lang w:val="es-PR"/>
        </w:rPr>
        <w:t xml:space="preserve"> </w:t>
      </w:r>
      <w:r w:rsidRPr="007E666D">
        <w:rPr>
          <w:rFonts w:ascii="Verdana" w:hAnsi="Verdana"/>
          <w:i/>
          <w:spacing w:val="-4"/>
          <w:sz w:val="16"/>
          <w:szCs w:val="16"/>
          <w:lang w:val="es-PR"/>
        </w:rPr>
        <w:t>Fernández Ortega y otros Vs. México. Excepción Preliminar, Fondo, Reparaciones y Costas.</w:t>
      </w:r>
      <w:r w:rsidRPr="007E666D">
        <w:rPr>
          <w:rFonts w:ascii="Verdana" w:hAnsi="Verdana" w:cs="Verdana"/>
          <w:spacing w:val="-4"/>
          <w:sz w:val="16"/>
          <w:szCs w:val="16"/>
          <w:lang w:val="es-PR"/>
        </w:rPr>
        <w:t xml:space="preserve"> Sentencia de 30 de agosto de 2010. Serie C No. 215</w:t>
      </w:r>
      <w:r w:rsidRPr="007E666D">
        <w:rPr>
          <w:rFonts w:ascii="Verdana" w:hAnsi="Verdana"/>
          <w:spacing w:val="-4"/>
          <w:sz w:val="16"/>
          <w:szCs w:val="16"/>
          <w:lang w:val="es-PR"/>
        </w:rPr>
        <w:t xml:space="preserve">, párr. 176; </w:t>
      </w:r>
      <w:r w:rsidRPr="007E666D">
        <w:rPr>
          <w:rFonts w:ascii="Verdana" w:hAnsi="Verdana"/>
          <w:i/>
          <w:spacing w:val="-4"/>
          <w:sz w:val="16"/>
          <w:szCs w:val="16"/>
          <w:lang w:val="es-PR"/>
        </w:rPr>
        <w:t>Caso</w:t>
      </w:r>
      <w:r w:rsidRPr="007E666D">
        <w:rPr>
          <w:rFonts w:ascii="Verdana" w:hAnsi="Verdana"/>
          <w:spacing w:val="-4"/>
          <w:sz w:val="16"/>
          <w:szCs w:val="16"/>
          <w:lang w:val="es-PR"/>
        </w:rPr>
        <w:t xml:space="preserve"> </w:t>
      </w:r>
      <w:r w:rsidRPr="007E666D">
        <w:rPr>
          <w:rFonts w:ascii="Verdana" w:hAnsi="Verdana"/>
          <w:i/>
          <w:spacing w:val="-4"/>
          <w:sz w:val="16"/>
          <w:szCs w:val="16"/>
          <w:lang w:val="es-PR"/>
        </w:rPr>
        <w:t xml:space="preserve">Rosendo Cantú y otra Vs. México. Excepción Preliminar, Fondo, Reparaciones y Costas. </w:t>
      </w:r>
      <w:r w:rsidRPr="007E666D">
        <w:rPr>
          <w:rFonts w:ascii="Verdana" w:hAnsi="Verdana"/>
          <w:spacing w:val="-4"/>
          <w:sz w:val="16"/>
          <w:szCs w:val="16"/>
          <w:lang w:val="es-PR"/>
        </w:rPr>
        <w:t xml:space="preserve">Sentencia de 31 de agosto de 2010. Serie C No. 216, párrs. 160 y 163; </w:t>
      </w:r>
      <w:r w:rsidRPr="007E666D">
        <w:rPr>
          <w:rFonts w:ascii="Verdana" w:hAnsi="Verdana"/>
          <w:i/>
          <w:spacing w:val="-4"/>
          <w:sz w:val="16"/>
          <w:szCs w:val="16"/>
          <w:lang w:val="es-PR"/>
        </w:rPr>
        <w:t>Caso Cabrera García y Montiel Flores Vs. México, supra</w:t>
      </w:r>
      <w:r w:rsidRPr="007E666D">
        <w:rPr>
          <w:rFonts w:ascii="Verdana" w:hAnsi="Verdana"/>
          <w:spacing w:val="-4"/>
          <w:sz w:val="16"/>
          <w:szCs w:val="16"/>
          <w:lang w:val="es-PR"/>
        </w:rPr>
        <w:t xml:space="preserve">, párrs. 197 a 201; </w:t>
      </w:r>
      <w:r w:rsidRPr="007E666D">
        <w:rPr>
          <w:rFonts w:ascii="Verdana" w:hAnsi="Verdana" w:cs="Tahoma"/>
          <w:i/>
          <w:iCs/>
          <w:color w:val="000000"/>
          <w:spacing w:val="-4"/>
          <w:sz w:val="16"/>
          <w:szCs w:val="16"/>
          <w:lang w:val="es-PR"/>
        </w:rPr>
        <w:t>Caso Vélez Restrepo y Familiares Vs. Colombia. Excepción Preliminar, Fondo, Reparaciones y Costas.</w:t>
      </w:r>
      <w:r w:rsidRPr="007E666D">
        <w:rPr>
          <w:rFonts w:ascii="Verdana" w:hAnsi="Verdana" w:cs="Tahoma"/>
          <w:color w:val="000000"/>
          <w:spacing w:val="-4"/>
          <w:sz w:val="16"/>
          <w:szCs w:val="16"/>
          <w:lang w:val="es-PR"/>
        </w:rPr>
        <w:t xml:space="preserve"> Sentencia de 3 de septiembre de 2012. Serie C No. 248, párrs. 240, 241, 243 y 244; </w:t>
      </w:r>
      <w:r w:rsidRPr="007E666D">
        <w:rPr>
          <w:rFonts w:ascii="Verdana" w:hAnsi="Verdana" w:cs="Tahoma"/>
          <w:i/>
          <w:color w:val="000000"/>
          <w:spacing w:val="-4"/>
          <w:sz w:val="16"/>
          <w:szCs w:val="16"/>
          <w:lang w:val="es-PR"/>
        </w:rPr>
        <w:t>Caso Masacre de Santo Domingo Vs. Colombia</w:t>
      </w:r>
      <w:r w:rsidRPr="007E666D">
        <w:rPr>
          <w:rFonts w:ascii="Verdana" w:hAnsi="Verdana"/>
          <w:i/>
          <w:spacing w:val="-4"/>
          <w:sz w:val="16"/>
          <w:szCs w:val="16"/>
          <w:lang w:val="es-PR"/>
        </w:rPr>
        <w:t>, supra</w:t>
      </w:r>
      <w:r w:rsidRPr="007E666D">
        <w:rPr>
          <w:rFonts w:ascii="Verdana" w:hAnsi="Verdana" w:cs="Tahoma"/>
          <w:color w:val="000000"/>
          <w:spacing w:val="-4"/>
          <w:sz w:val="16"/>
          <w:szCs w:val="16"/>
          <w:lang w:val="es-PR"/>
        </w:rPr>
        <w:t xml:space="preserve">, párr. 158; </w:t>
      </w:r>
      <w:r w:rsidRPr="007E666D">
        <w:rPr>
          <w:rFonts w:ascii="Verdana" w:hAnsi="Verdana"/>
          <w:i/>
          <w:spacing w:val="-4"/>
          <w:sz w:val="16"/>
          <w:szCs w:val="16"/>
          <w:lang w:val="es-PR"/>
        </w:rPr>
        <w:t>Caso Osorio Rivera y Familiares Vs. Perú, supra</w:t>
      </w:r>
      <w:r w:rsidRPr="007E666D">
        <w:rPr>
          <w:rFonts w:ascii="Verdana" w:hAnsi="Verdana"/>
          <w:bCs/>
          <w:spacing w:val="-4"/>
          <w:sz w:val="16"/>
          <w:szCs w:val="16"/>
          <w:lang w:val="es-PR"/>
        </w:rPr>
        <w:t xml:space="preserve">, párrs. 187 a 191,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 supra</w:t>
      </w:r>
      <w:r w:rsidRPr="007E666D">
        <w:rPr>
          <w:rFonts w:ascii="Verdana" w:hAnsi="Verdana"/>
          <w:bCs/>
          <w:spacing w:val="-4"/>
          <w:sz w:val="16"/>
          <w:szCs w:val="16"/>
          <w:lang w:val="es-PR"/>
        </w:rPr>
        <w:t>, párr. 442.</w:t>
      </w:r>
    </w:p>
  </w:footnote>
  <w:footnote w:id="286">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cs="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Caso Castillo Petruzzi y otros Vs. Perú</w:t>
      </w:r>
      <w:r w:rsidRPr="007E666D">
        <w:rPr>
          <w:rFonts w:ascii="Verdana" w:hAnsi="Verdana"/>
          <w:bCs/>
          <w:spacing w:val="-4"/>
          <w:sz w:val="16"/>
          <w:szCs w:val="16"/>
          <w:lang w:val="es-PR"/>
        </w:rPr>
        <w:t xml:space="preserve">,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w:t>
      </w:r>
      <w:r w:rsidRPr="007E666D">
        <w:rPr>
          <w:rFonts w:ascii="Verdana" w:hAnsi="Verdana"/>
          <w:bCs/>
          <w:spacing w:val="-4"/>
          <w:sz w:val="16"/>
          <w:szCs w:val="16"/>
          <w:lang w:val="es-PR"/>
        </w:rPr>
        <w:t xml:space="preserve">párr. 128, y </w:t>
      </w:r>
      <w:r w:rsidRPr="007E666D">
        <w:rPr>
          <w:rFonts w:ascii="Verdana" w:hAnsi="Verdana"/>
          <w:i/>
          <w:spacing w:val="-4"/>
          <w:sz w:val="16"/>
          <w:szCs w:val="16"/>
          <w:lang w:val="es-PR"/>
        </w:rPr>
        <w:t>Caso Osorio Rivera Vs. Perú, supra,</w:t>
      </w:r>
      <w:r w:rsidRPr="007E666D">
        <w:rPr>
          <w:rFonts w:ascii="Verdana" w:hAnsi="Verdana"/>
          <w:spacing w:val="-4"/>
          <w:sz w:val="16"/>
          <w:szCs w:val="16"/>
          <w:lang w:val="es-PR"/>
        </w:rPr>
        <w:t xml:space="preserve"> </w:t>
      </w:r>
      <w:r w:rsidRPr="007E666D">
        <w:rPr>
          <w:rFonts w:ascii="Verdana" w:hAnsi="Verdana"/>
          <w:bCs/>
          <w:spacing w:val="-4"/>
          <w:sz w:val="16"/>
          <w:szCs w:val="16"/>
          <w:lang w:val="es-PR"/>
        </w:rPr>
        <w:t>párr. 187.</w:t>
      </w:r>
    </w:p>
  </w:footnote>
  <w:footnote w:id="287">
    <w:p w:rsidR="00D57F75" w:rsidRPr="007E666D" w:rsidRDefault="00D57F75" w:rsidP="00C83100">
      <w:pPr>
        <w:tabs>
          <w:tab w:val="left" w:pos="720"/>
          <w:tab w:val="left" w:pos="900"/>
        </w:tabs>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Durand y Ugarte Vs. Perú. Fondo, supra,</w:t>
      </w:r>
      <w:r w:rsidRPr="007E666D">
        <w:rPr>
          <w:rFonts w:ascii="Verdana" w:hAnsi="Verdana"/>
          <w:spacing w:val="-4"/>
          <w:sz w:val="16"/>
          <w:szCs w:val="16"/>
          <w:lang w:val="es-PR"/>
        </w:rPr>
        <w:t xml:space="preserve"> párrs. 117, 118, 125 y 126,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i/>
          <w:spacing w:val="-4"/>
          <w:sz w:val="16"/>
          <w:szCs w:val="16"/>
          <w:lang w:val="es-PR"/>
        </w:rPr>
        <w:t>, supra,</w:t>
      </w:r>
      <w:r w:rsidRPr="007E666D">
        <w:rPr>
          <w:rFonts w:ascii="Verdana" w:hAnsi="Verdana"/>
          <w:spacing w:val="-4"/>
          <w:sz w:val="16"/>
          <w:szCs w:val="16"/>
          <w:lang w:val="es-PR"/>
        </w:rPr>
        <w:t xml:space="preserve"> párr. 445.</w:t>
      </w:r>
    </w:p>
  </w:footnote>
  <w:footnote w:id="288">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Durand y Ugarte Vs. Perú. Fondo.</w:t>
      </w:r>
      <w:r w:rsidRPr="007E666D">
        <w:rPr>
          <w:rFonts w:ascii="Verdana" w:hAnsi="Verdana"/>
          <w:spacing w:val="-4"/>
          <w:sz w:val="16"/>
          <w:szCs w:val="16"/>
          <w:lang w:val="es-PR"/>
        </w:rPr>
        <w:t xml:space="preserve"> Sentencia de 16 de agosto de 2000. Serie C No. 68</w:t>
      </w:r>
      <w:r w:rsidRPr="007E666D">
        <w:rPr>
          <w:rFonts w:ascii="Verdana" w:hAnsi="Verdana"/>
          <w:i/>
          <w:spacing w:val="-4"/>
          <w:sz w:val="16"/>
          <w:szCs w:val="16"/>
          <w:lang w:val="es-PR"/>
        </w:rPr>
        <w:t>,</w:t>
      </w:r>
      <w:r w:rsidRPr="007E666D">
        <w:rPr>
          <w:rFonts w:ascii="Verdana" w:hAnsi="Verdana"/>
          <w:spacing w:val="-4"/>
          <w:sz w:val="16"/>
          <w:szCs w:val="16"/>
          <w:lang w:val="es-PR"/>
        </w:rPr>
        <w:t xml:space="preserve"> párr. 59.</w:t>
      </w:r>
    </w:p>
  </w:footnote>
  <w:footnote w:id="289">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Verdana"/>
          <w:i/>
          <w:iCs/>
          <w:spacing w:val="-4"/>
          <w:sz w:val="16"/>
          <w:szCs w:val="16"/>
          <w:lang w:val="es-PR"/>
        </w:rPr>
        <w:t xml:space="preserve">Cfr. </w:t>
      </w:r>
      <w:r w:rsidRPr="007E666D">
        <w:rPr>
          <w:rFonts w:ascii="Verdana" w:hAnsi="Verdana"/>
          <w:i/>
          <w:spacing w:val="-4"/>
          <w:sz w:val="16"/>
          <w:szCs w:val="16"/>
          <w:lang w:val="es-PR"/>
        </w:rPr>
        <w:t>Caso Barrios Altos Vs. Perú. Fondo, supra</w:t>
      </w:r>
      <w:r w:rsidRPr="007E666D">
        <w:rPr>
          <w:rFonts w:ascii="Verdana" w:hAnsi="Verdana"/>
          <w:spacing w:val="-4"/>
          <w:sz w:val="16"/>
          <w:szCs w:val="16"/>
          <w:lang w:val="es-PR"/>
        </w:rPr>
        <w:t>, párr. 44 y punto resolutivo cuarto.</w:t>
      </w:r>
    </w:p>
  </w:footnote>
  <w:footnote w:id="290">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Verdana"/>
          <w:i/>
          <w:iCs/>
          <w:spacing w:val="-4"/>
          <w:sz w:val="16"/>
          <w:szCs w:val="16"/>
          <w:lang w:val="es-PR"/>
        </w:rPr>
        <w:t xml:space="preserve">Cfr. </w:t>
      </w:r>
      <w:r w:rsidRPr="007E666D">
        <w:rPr>
          <w:rFonts w:ascii="Verdana" w:hAnsi="Verdana"/>
          <w:i/>
          <w:spacing w:val="-4"/>
          <w:sz w:val="16"/>
          <w:szCs w:val="16"/>
          <w:lang w:val="es-PR"/>
        </w:rPr>
        <w:t xml:space="preserve">Caso Barrios Altos Vs. Perú. Interpretación de la Sentencia de Fondo, </w:t>
      </w:r>
      <w:r w:rsidRPr="007E666D">
        <w:rPr>
          <w:rFonts w:ascii="Verdana" w:hAnsi="Verdana"/>
          <w:spacing w:val="-4"/>
          <w:sz w:val="16"/>
          <w:szCs w:val="16"/>
          <w:lang w:val="es-PR"/>
        </w:rPr>
        <w:t>párr. 18</w:t>
      </w:r>
      <w:r w:rsidRPr="007E666D">
        <w:rPr>
          <w:rFonts w:ascii="Verdana" w:hAnsi="Verdana" w:cs="Verdana"/>
          <w:spacing w:val="-4"/>
          <w:sz w:val="16"/>
          <w:szCs w:val="16"/>
          <w:lang w:val="es-PR"/>
        </w:rPr>
        <w:t xml:space="preserve"> y punto resolutivo segundo.</w:t>
      </w:r>
    </w:p>
  </w:footnote>
  <w:footnote w:id="291">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Escrito del Centro de Estudios y Acción para la Paz (CEAPAZ) al Fiscal de la Nación de 13 de noviembre de 1991 (expediente de prueba, folio 45).</w:t>
      </w:r>
    </w:p>
  </w:footnote>
  <w:footnote w:id="292">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 xml:space="preserve">Declaración de </w:t>
      </w:r>
      <w:r w:rsidRPr="007E666D">
        <w:rPr>
          <w:rFonts w:ascii="Verdana" w:hAnsi="Verdana"/>
          <w:color w:val="000000"/>
          <w:sz w:val="16"/>
          <w:szCs w:val="16"/>
          <w:lang w:val="es-PR"/>
        </w:rPr>
        <w:t>Zenón Cirilo Osnayo Tunque</w:t>
      </w:r>
      <w:r w:rsidRPr="007E666D">
        <w:rPr>
          <w:rFonts w:ascii="Verdana" w:hAnsi="Verdana"/>
          <w:spacing w:val="-4"/>
          <w:sz w:val="16"/>
          <w:szCs w:val="16"/>
          <w:lang w:val="es-PR"/>
        </w:rPr>
        <w:t xml:space="preserve"> en la audiencia pública celebrada el 26 de enero de 2015; </w:t>
      </w:r>
      <w:r w:rsidRPr="007E666D">
        <w:rPr>
          <w:rFonts w:ascii="Verdana" w:hAnsi="Verdana"/>
          <w:sz w:val="16"/>
          <w:szCs w:val="16"/>
          <w:lang w:val="es-PR"/>
        </w:rPr>
        <w:t xml:space="preserve">Declaración </w:t>
      </w:r>
      <w:r w:rsidRPr="007E666D">
        <w:rPr>
          <w:rFonts w:ascii="Verdana" w:hAnsi="Verdana"/>
          <w:spacing w:val="-4"/>
          <w:sz w:val="16"/>
          <w:szCs w:val="16"/>
          <w:lang w:val="es-PR"/>
        </w:rPr>
        <w:t xml:space="preserve">rendida el 9 de enero de 2015 ante fedatario público (affidávit) por </w:t>
      </w:r>
      <w:r w:rsidRPr="007E666D">
        <w:rPr>
          <w:rFonts w:ascii="Verdana" w:hAnsi="Verdana"/>
          <w:sz w:val="16"/>
          <w:szCs w:val="16"/>
          <w:lang w:val="es-PR"/>
        </w:rPr>
        <w:t xml:space="preserve">el señor </w:t>
      </w:r>
      <w:r w:rsidRPr="007E666D">
        <w:rPr>
          <w:rFonts w:ascii="Verdana" w:hAnsi="Verdana"/>
          <w:spacing w:val="-4"/>
          <w:sz w:val="16"/>
          <w:szCs w:val="16"/>
          <w:lang w:val="es-PR"/>
        </w:rPr>
        <w:t xml:space="preserve">Marcelo Hilario Quispe </w:t>
      </w:r>
      <w:r w:rsidRPr="007E666D">
        <w:rPr>
          <w:rFonts w:ascii="Verdana" w:hAnsi="Verdana"/>
          <w:sz w:val="16"/>
          <w:szCs w:val="16"/>
          <w:lang w:val="es-PR"/>
        </w:rPr>
        <w:t xml:space="preserve">(expediente de prueba, folios </w:t>
      </w:r>
      <w:r w:rsidRPr="007E666D">
        <w:rPr>
          <w:rFonts w:ascii="Verdana" w:hAnsi="Verdana"/>
          <w:spacing w:val="-4"/>
          <w:sz w:val="16"/>
          <w:szCs w:val="16"/>
          <w:lang w:val="es-PR"/>
        </w:rPr>
        <w:t>5053 a 5054</w:t>
      </w:r>
      <w:r w:rsidRPr="007E666D">
        <w:rPr>
          <w:rFonts w:ascii="Verdana" w:hAnsi="Verdana"/>
          <w:sz w:val="16"/>
          <w:szCs w:val="16"/>
          <w:lang w:val="es-PR"/>
        </w:rPr>
        <w:t>)</w:t>
      </w:r>
      <w:r w:rsidRPr="007E666D">
        <w:rPr>
          <w:rFonts w:ascii="Verdana" w:hAnsi="Verdana"/>
          <w:spacing w:val="-4"/>
          <w:sz w:val="16"/>
          <w:szCs w:val="16"/>
          <w:lang w:val="es-PR"/>
        </w:rPr>
        <w:t xml:space="preserve">; </w:t>
      </w:r>
      <w:r w:rsidRPr="007E666D">
        <w:rPr>
          <w:rFonts w:ascii="Verdana" w:hAnsi="Verdana"/>
          <w:sz w:val="16"/>
          <w:szCs w:val="16"/>
          <w:lang w:val="es-PR"/>
        </w:rPr>
        <w:t xml:space="preserve">Declaración </w:t>
      </w:r>
      <w:r w:rsidRPr="007E666D">
        <w:rPr>
          <w:rFonts w:ascii="Verdana" w:hAnsi="Verdana"/>
          <w:spacing w:val="-4"/>
          <w:sz w:val="16"/>
          <w:szCs w:val="16"/>
          <w:lang w:val="es-PR"/>
        </w:rPr>
        <w:t xml:space="preserve">rendida el 9 de enero de 2015 ante fedatario público (affidávit) por </w:t>
      </w:r>
      <w:r w:rsidRPr="007E666D">
        <w:rPr>
          <w:rFonts w:ascii="Verdana" w:hAnsi="Verdana"/>
          <w:sz w:val="16"/>
          <w:szCs w:val="16"/>
          <w:lang w:val="es-PR"/>
        </w:rPr>
        <w:t>el señor</w:t>
      </w:r>
      <w:r w:rsidRPr="007E666D">
        <w:rPr>
          <w:rFonts w:ascii="Verdana" w:hAnsi="Verdana"/>
          <w:spacing w:val="-4"/>
          <w:sz w:val="16"/>
          <w:szCs w:val="16"/>
          <w:lang w:val="es-PR"/>
        </w:rPr>
        <w:t xml:space="preserve"> Gregario Hilario Quispe (expediente de prueba, folios 5058 a 5059), y Declaración de Gregorio Hilario Quispe de 11 de octubre de 2011 ante el Cuarto Juzgado Penal Supraprovincial (expediente de prueba, folio 1679). </w:t>
      </w:r>
    </w:p>
  </w:footnote>
  <w:footnote w:id="293">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Petición a la Comisión para medidas cautelares de 11 de marzo de 1992 (expediente de prueba, folios 438 a 443); Informe No 17-91-FPEFD-HVCA de la Fiscalía Especial de Prevención del Delito de fecha 2 de agosto de 1991 (expediente de prueba, folios 3898), y Resolución de 29 de mayo de 1992 de la Fiscalía Provincial de Huancavelica (expediente de prueba, folio 280).</w:t>
      </w:r>
    </w:p>
  </w:footnote>
  <w:footnote w:id="294">
    <w:p w:rsidR="00D57F75" w:rsidRPr="007E666D" w:rsidRDefault="00D57F75" w:rsidP="00C83100">
      <w:pPr>
        <w:pStyle w:val="FootnoteText"/>
        <w:tabs>
          <w:tab w:val="left" w:pos="720"/>
        </w:tabs>
        <w:contextualSpacing/>
        <w:jc w:val="both"/>
        <w:rPr>
          <w:rFonts w:ascii="Verdana" w:hAnsi="Verdana" w:cs="Arial"/>
          <w:color w:val="000000" w:themeColor="text1"/>
          <w:spacing w:val="-4"/>
          <w:sz w:val="16"/>
          <w:szCs w:val="16"/>
          <w:lang w:val="es-PR"/>
        </w:rPr>
      </w:pPr>
      <w:r w:rsidRPr="007E666D">
        <w:rPr>
          <w:rStyle w:val="FootnoteReference"/>
          <w:rFonts w:eastAsiaTheme="minorHAnsi"/>
          <w:color w:val="000000" w:themeColor="text1"/>
          <w:sz w:val="16"/>
          <w:lang w:val="es-PR"/>
        </w:rPr>
        <w:footnoteRef/>
      </w:r>
      <w:r w:rsidRPr="007E666D">
        <w:rPr>
          <w:rFonts w:ascii="Verdana" w:hAnsi="Verdana"/>
          <w:color w:val="000000" w:themeColor="text1"/>
          <w:spacing w:val="-4"/>
          <w:sz w:val="16"/>
          <w:szCs w:val="16"/>
          <w:lang w:val="es-PR"/>
        </w:rPr>
        <w:t xml:space="preserve"> </w:t>
      </w:r>
      <w:r w:rsidRPr="007E666D">
        <w:rPr>
          <w:rFonts w:ascii="Verdana" w:hAnsi="Verdana"/>
          <w:color w:val="000000" w:themeColor="text1"/>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cs="Arial"/>
          <w:spacing w:val="-4"/>
          <w:sz w:val="16"/>
          <w:szCs w:val="16"/>
          <w:lang w:val="es-PR"/>
        </w:rPr>
        <w:t xml:space="preserve">Escrito de 13 de junio de 2007, Sala Penal Nacional </w:t>
      </w:r>
      <w:r w:rsidRPr="007E666D">
        <w:rPr>
          <w:rFonts w:ascii="Verdana" w:hAnsi="Verdana"/>
          <w:color w:val="000000" w:themeColor="text1"/>
          <w:spacing w:val="-4"/>
          <w:sz w:val="16"/>
          <w:szCs w:val="16"/>
          <w:lang w:val="es-PR"/>
        </w:rPr>
        <w:t>(expediente de prueba, folio 188).</w:t>
      </w:r>
    </w:p>
  </w:footnote>
  <w:footnote w:id="295">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Informe de 13 de febrero de 2015 de la Policía Nacional del Perú </w:t>
      </w:r>
      <w:r w:rsidRPr="007E666D">
        <w:rPr>
          <w:rFonts w:ascii="Verdana" w:hAnsi="Verdana" w:cs="Arial"/>
          <w:spacing w:val="-4"/>
          <w:sz w:val="16"/>
          <w:szCs w:val="16"/>
          <w:lang w:val="es-PR"/>
        </w:rPr>
        <w:t>(expediente de prueba, folio 5368)</w:t>
      </w:r>
      <w:r w:rsidRPr="007E666D">
        <w:rPr>
          <w:rFonts w:ascii="Verdana" w:hAnsi="Verdana"/>
          <w:color w:val="000000" w:themeColor="text1"/>
          <w:spacing w:val="-4"/>
          <w:sz w:val="16"/>
          <w:szCs w:val="16"/>
          <w:lang w:val="es-PR"/>
        </w:rPr>
        <w:t>.</w:t>
      </w:r>
    </w:p>
  </w:footnote>
  <w:footnote w:id="296">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Resolución de la </w:t>
      </w:r>
      <w:r w:rsidRPr="007E666D">
        <w:rPr>
          <w:rFonts w:ascii="Verdana" w:eastAsia="Calibri" w:hAnsi="Verdana"/>
          <w:bCs/>
          <w:spacing w:val="-4"/>
          <w:sz w:val="16"/>
          <w:szCs w:val="16"/>
          <w:lang w:val="es-PR"/>
        </w:rPr>
        <w:t xml:space="preserve">Sala Penal Transitoria de la Corte Suprema de Justicia </w:t>
      </w:r>
      <w:r w:rsidRPr="007E666D">
        <w:rPr>
          <w:rFonts w:ascii="Verdana" w:hAnsi="Verdana"/>
          <w:spacing w:val="-4"/>
          <w:sz w:val="16"/>
          <w:szCs w:val="16"/>
          <w:lang w:val="es-PR"/>
        </w:rPr>
        <w:t>del Perú de 11 de marzo de 2013 (expediente de prueba, folio 4598).</w:t>
      </w:r>
    </w:p>
  </w:footnote>
  <w:footnote w:id="297">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Escrito de la </w:t>
      </w:r>
      <w:r w:rsidRPr="007E666D">
        <w:rPr>
          <w:rFonts w:ascii="Verdana" w:hAnsi="Verdana" w:cs="Arial"/>
          <w:spacing w:val="-4"/>
          <w:sz w:val="16"/>
          <w:szCs w:val="16"/>
          <w:lang w:val="es-PR"/>
        </w:rPr>
        <w:t xml:space="preserve">Sala Penal Nacional de </w:t>
      </w:r>
      <w:r w:rsidRPr="007E666D">
        <w:rPr>
          <w:rFonts w:ascii="Verdana" w:hAnsi="Verdana"/>
          <w:spacing w:val="-4"/>
          <w:sz w:val="16"/>
          <w:szCs w:val="16"/>
          <w:lang w:val="es-PR"/>
        </w:rPr>
        <w:t>19 de julio de 2013 (expediente de prueba, folio 4619).</w:t>
      </w:r>
    </w:p>
  </w:footnote>
  <w:footnote w:id="298">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Resolución de la </w:t>
      </w:r>
      <w:r w:rsidRPr="007E666D">
        <w:rPr>
          <w:rFonts w:ascii="Verdana" w:eastAsia="Calibri" w:hAnsi="Verdana"/>
          <w:bCs/>
          <w:spacing w:val="-4"/>
          <w:sz w:val="16"/>
          <w:szCs w:val="16"/>
          <w:lang w:val="es-PR"/>
        </w:rPr>
        <w:t xml:space="preserve">Sala Penal Transitoria de la Corte Suprema de Justicia </w:t>
      </w:r>
      <w:r w:rsidRPr="007E666D">
        <w:rPr>
          <w:rFonts w:ascii="Verdana" w:hAnsi="Verdana"/>
          <w:spacing w:val="-4"/>
          <w:sz w:val="16"/>
          <w:szCs w:val="16"/>
          <w:lang w:val="es-PR"/>
        </w:rPr>
        <w:t>del Perú de 11 de marzo de 2013 (expediente de prueba, folio 4598).</w:t>
      </w:r>
    </w:p>
  </w:footnote>
  <w:footnote w:id="299">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Resolución de la </w:t>
      </w:r>
      <w:r w:rsidRPr="007E666D">
        <w:rPr>
          <w:rFonts w:ascii="Verdana" w:hAnsi="Verdana" w:cs="Arial"/>
          <w:spacing w:val="-4"/>
          <w:sz w:val="16"/>
          <w:szCs w:val="16"/>
          <w:lang w:val="es-PR"/>
        </w:rPr>
        <w:t xml:space="preserve">Sala Penal Nacional </w:t>
      </w:r>
      <w:r w:rsidRPr="007E666D">
        <w:rPr>
          <w:rFonts w:ascii="Verdana" w:hAnsi="Verdana"/>
          <w:spacing w:val="-4"/>
          <w:sz w:val="16"/>
          <w:szCs w:val="16"/>
          <w:lang w:val="es-PR"/>
        </w:rPr>
        <w:t>de 14 de mayo de 2013 (expediente de prueba, folio 4600).</w:t>
      </w:r>
    </w:p>
  </w:footnote>
  <w:footnote w:id="300">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Escrito de la </w:t>
      </w:r>
      <w:r w:rsidRPr="007E666D">
        <w:rPr>
          <w:rFonts w:ascii="Verdana" w:hAnsi="Verdana" w:cs="Arial"/>
          <w:spacing w:val="-4"/>
          <w:sz w:val="16"/>
          <w:szCs w:val="16"/>
          <w:lang w:val="es-PR"/>
        </w:rPr>
        <w:t xml:space="preserve">Sala Penal Nacional </w:t>
      </w:r>
      <w:r w:rsidRPr="007E666D">
        <w:rPr>
          <w:rFonts w:ascii="Verdana" w:hAnsi="Verdana"/>
          <w:spacing w:val="-4"/>
          <w:sz w:val="16"/>
          <w:szCs w:val="16"/>
          <w:lang w:val="es-PR"/>
        </w:rPr>
        <w:t>de 19 de julio de 2013 (expediente de prueba, folio 4618).</w:t>
      </w:r>
    </w:p>
  </w:footnote>
  <w:footnote w:id="301">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Escrito del</w:t>
      </w:r>
      <w:r w:rsidRPr="007E666D">
        <w:rPr>
          <w:rFonts w:ascii="Verdana" w:eastAsia="Calibri" w:hAnsi="Verdana"/>
          <w:spacing w:val="-4"/>
          <w:sz w:val="16"/>
          <w:szCs w:val="16"/>
          <w:lang w:val="es-PR"/>
        </w:rPr>
        <w:t xml:space="preserve"> Jefe de DIVIPVCS-OCN–INTERPOL–LIMA de 31 de octubre de 2013 </w:t>
      </w:r>
      <w:r w:rsidRPr="007E666D">
        <w:rPr>
          <w:rFonts w:ascii="Verdana" w:hAnsi="Verdana"/>
          <w:spacing w:val="-4"/>
          <w:sz w:val="16"/>
          <w:szCs w:val="16"/>
          <w:lang w:val="es-PR"/>
        </w:rPr>
        <w:t>(expediente de prueba, folio 4621).</w:t>
      </w:r>
    </w:p>
  </w:footnote>
  <w:footnote w:id="302">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Oficios de la </w:t>
      </w:r>
      <w:r w:rsidRPr="007E666D">
        <w:rPr>
          <w:rFonts w:ascii="Verdana" w:hAnsi="Verdana" w:cs="Arial"/>
          <w:spacing w:val="-4"/>
          <w:sz w:val="16"/>
          <w:szCs w:val="16"/>
          <w:lang w:val="es-PR"/>
        </w:rPr>
        <w:t xml:space="preserve">Sala Penal Nacional </w:t>
      </w:r>
      <w:r w:rsidRPr="007E666D">
        <w:rPr>
          <w:rFonts w:ascii="Verdana" w:hAnsi="Verdana"/>
          <w:spacing w:val="-4"/>
          <w:sz w:val="16"/>
          <w:szCs w:val="16"/>
          <w:lang w:val="es-PR"/>
        </w:rPr>
        <w:t>de 19 de julio de 2013 (expediente de prueba, folio 4617).</w:t>
      </w:r>
    </w:p>
  </w:footnote>
  <w:footnote w:id="303">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Informe de 13 de febrero de 2015 de la Policía Nacional del Perú </w:t>
      </w:r>
      <w:r w:rsidRPr="007E666D">
        <w:rPr>
          <w:rFonts w:ascii="Verdana" w:hAnsi="Verdana" w:cs="Arial"/>
          <w:spacing w:val="-4"/>
          <w:sz w:val="16"/>
          <w:szCs w:val="16"/>
          <w:lang w:val="es-PR"/>
        </w:rPr>
        <w:t>(expediente de prueba, folio 5370)</w:t>
      </w:r>
      <w:r w:rsidRPr="007E666D">
        <w:rPr>
          <w:rFonts w:ascii="Verdana" w:hAnsi="Verdana"/>
          <w:color w:val="000000" w:themeColor="text1"/>
          <w:spacing w:val="-4"/>
          <w:sz w:val="16"/>
          <w:szCs w:val="16"/>
          <w:lang w:val="es-PR"/>
        </w:rPr>
        <w:t>.</w:t>
      </w:r>
    </w:p>
  </w:footnote>
  <w:footnote w:id="304">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Cantoral Huamaní y García Santa Cruz Vs. Perú, supra,</w:t>
      </w:r>
      <w:r w:rsidRPr="007E666D">
        <w:rPr>
          <w:rFonts w:ascii="Verdana" w:hAnsi="Verdana"/>
          <w:spacing w:val="-4"/>
          <w:sz w:val="16"/>
          <w:szCs w:val="16"/>
          <w:lang w:val="es-PR"/>
        </w:rPr>
        <w:t xml:space="preserve"> párr. 87, y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supra</w:t>
      </w:r>
      <w:r w:rsidRPr="007E666D">
        <w:rPr>
          <w:rFonts w:ascii="Verdana" w:hAnsi="Verdana"/>
          <w:spacing w:val="-4"/>
          <w:sz w:val="16"/>
          <w:szCs w:val="16"/>
          <w:lang w:val="es-PR"/>
        </w:rPr>
        <w:t xml:space="preserve">, párr. 500. </w:t>
      </w:r>
    </w:p>
  </w:footnote>
  <w:footnote w:id="305">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Manuel Cepeda Vargas Vs. Colombia. Excepciones Preliminares, Fondo, Reparaciones y Costas</w:t>
      </w:r>
      <w:r w:rsidRPr="007E666D">
        <w:rPr>
          <w:rFonts w:ascii="Verdana" w:hAnsi="Verdana"/>
          <w:spacing w:val="-4"/>
          <w:sz w:val="16"/>
          <w:szCs w:val="16"/>
          <w:lang w:val="es-PR"/>
        </w:rPr>
        <w:t>. Sentencia de 26 de mayo de 2010. Serie C No. 213</w:t>
      </w:r>
      <w:r w:rsidRPr="007E666D">
        <w:rPr>
          <w:rFonts w:ascii="Verdana" w:hAnsi="Verdana"/>
          <w:i/>
          <w:color w:val="000000"/>
          <w:spacing w:val="-4"/>
          <w:sz w:val="16"/>
          <w:szCs w:val="16"/>
          <w:lang w:val="es-PR"/>
        </w:rPr>
        <w:t xml:space="preserve">, </w:t>
      </w:r>
      <w:r w:rsidRPr="007E666D">
        <w:rPr>
          <w:rFonts w:ascii="Verdana" w:hAnsi="Verdana"/>
          <w:color w:val="000000"/>
          <w:spacing w:val="-4"/>
          <w:sz w:val="16"/>
          <w:szCs w:val="16"/>
          <w:lang w:val="es-PR"/>
        </w:rPr>
        <w:t>p</w:t>
      </w:r>
      <w:r w:rsidRPr="007E666D">
        <w:rPr>
          <w:rFonts w:ascii="Verdana" w:hAnsi="Verdana"/>
          <w:spacing w:val="-4"/>
          <w:sz w:val="16"/>
          <w:szCs w:val="16"/>
          <w:lang w:val="es-PR"/>
        </w:rPr>
        <w:t>árr. 118, y</w:t>
      </w:r>
      <w:r w:rsidRPr="007E666D">
        <w:rPr>
          <w:rFonts w:ascii="Verdana" w:hAnsi="Verdana"/>
          <w:i/>
          <w:spacing w:val="-4"/>
          <w:sz w:val="16"/>
          <w:szCs w:val="16"/>
          <w:lang w:val="es-PR"/>
        </w:rPr>
        <w:t xml:space="preserve"> </w:t>
      </w:r>
      <w:r w:rsidRPr="007E666D">
        <w:rPr>
          <w:rStyle w:val="Strong"/>
          <w:rFonts w:ascii="Verdana" w:hAnsi="Verdana"/>
          <w:b w:val="0"/>
          <w:i/>
          <w:color w:val="000000"/>
          <w:sz w:val="16"/>
          <w:szCs w:val="16"/>
          <w:shd w:val="clear" w:color="auto" w:fill="FFFFFF"/>
          <w:lang w:val="es-PR"/>
        </w:rPr>
        <w:t>Caso Rodríguez Vera y otros (Desaparecidos del Palacio de Justicia) Vs. Colombia</w:t>
      </w:r>
      <w:r w:rsidRPr="007E666D">
        <w:rPr>
          <w:rFonts w:ascii="Verdana" w:hAnsi="Verdana"/>
          <w:spacing w:val="-4"/>
          <w:sz w:val="16"/>
          <w:szCs w:val="16"/>
          <w:lang w:val="es-PR"/>
        </w:rPr>
        <w:t xml:space="preserve">, </w:t>
      </w:r>
      <w:r w:rsidRPr="007E666D">
        <w:rPr>
          <w:rFonts w:ascii="Verdana" w:hAnsi="Verdana"/>
          <w:i/>
          <w:color w:val="000000"/>
          <w:spacing w:val="-4"/>
          <w:sz w:val="16"/>
          <w:szCs w:val="16"/>
          <w:lang w:val="es-PR"/>
        </w:rPr>
        <w:t>supra,</w:t>
      </w:r>
      <w:r w:rsidRPr="007E666D">
        <w:rPr>
          <w:rFonts w:ascii="Verdana" w:hAnsi="Verdana"/>
          <w:spacing w:val="-4"/>
          <w:sz w:val="16"/>
          <w:szCs w:val="16"/>
          <w:lang w:val="es-PR"/>
        </w:rPr>
        <w:t xml:space="preserve"> párr. 500.</w:t>
      </w:r>
    </w:p>
  </w:footnote>
  <w:footnote w:id="306">
    <w:p w:rsidR="00D57F75" w:rsidRPr="007E666D" w:rsidRDefault="00D57F75" w:rsidP="00C83100">
      <w:pPr>
        <w:pStyle w:val="FootnoteText"/>
        <w:tabs>
          <w:tab w:val="left" w:pos="720"/>
        </w:tabs>
        <w:contextualSpacing/>
        <w:jc w:val="both"/>
        <w:rPr>
          <w:rFonts w:ascii="Verdana" w:hAnsi="Verdana" w:cs="TimesNewRoman"/>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 xml:space="preserve">La Asamblea General de Naciones Unidas, en algunas de sus resoluciones, ha expresado su </w:t>
      </w:r>
      <w:r w:rsidRPr="007E666D">
        <w:rPr>
          <w:rFonts w:ascii="Verdana" w:hAnsi="Verdana" w:cs="TimesNewRoman"/>
          <w:spacing w:val="-4"/>
          <w:sz w:val="16"/>
          <w:szCs w:val="16"/>
          <w:lang w:val="es-PR"/>
        </w:rPr>
        <w:t>profunda preocupación por la angustia y el pesar de las familias afectadas por las desapariciones forzadas.</w:t>
      </w:r>
      <w:r w:rsidRPr="007E666D">
        <w:rPr>
          <w:rFonts w:ascii="Verdana" w:hAnsi="Verdana"/>
          <w:spacing w:val="-4"/>
          <w:sz w:val="16"/>
          <w:szCs w:val="16"/>
          <w:lang w:val="es-PR"/>
        </w:rPr>
        <w:t xml:space="preserve">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Asamblea General de Naciones Unidas. Resoluciones No. </w:t>
      </w:r>
      <w:r w:rsidRPr="007E666D">
        <w:rPr>
          <w:rFonts w:ascii="Verdana" w:hAnsi="Verdana" w:cs="TimesNewRoman"/>
          <w:spacing w:val="-4"/>
          <w:sz w:val="16"/>
          <w:szCs w:val="16"/>
          <w:lang w:val="es-PR"/>
        </w:rPr>
        <w:t xml:space="preserve">3220 (XXIX) de 6 de noviembre de 1974, No. 33/173 de 20 de diciembre de 1978, No. 45/165 de 18 de diciembre de 1990, y No. 47/132 de 22 de febrero de 1993. </w:t>
      </w:r>
      <w:r w:rsidRPr="007E666D">
        <w:rPr>
          <w:rFonts w:ascii="Verdana" w:hAnsi="Verdana"/>
          <w:spacing w:val="-4"/>
          <w:sz w:val="16"/>
          <w:szCs w:val="16"/>
          <w:lang w:val="es-PR"/>
        </w:rPr>
        <w:t xml:space="preserve">Asimismo, se ha pronunciado respecto de la importancia de la determinación de la verdad con respecto a casos de genocidio, crímenes de guerra, crímenes de lesa humanidad y violaciones graves a los derechos humanos.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Asamblea General de Naciones Unidas. Resoluciones No. </w:t>
      </w:r>
      <w:r w:rsidRPr="007E666D">
        <w:rPr>
          <w:rFonts w:ascii="Verdana" w:hAnsi="Verdana" w:cs="TimesNewRoman"/>
          <w:spacing w:val="-4"/>
          <w:sz w:val="16"/>
          <w:szCs w:val="16"/>
          <w:lang w:val="es-PR"/>
        </w:rPr>
        <w:t>55/118 de 1 de marzo de 2001, No. 57/105 de 13 de febrero de 2003, No. 57/161 de 28 de enero de 2003 y No. 60/147 de 21 de marzo de 2006.</w:t>
      </w:r>
    </w:p>
  </w:footnote>
  <w:footnote w:id="307">
    <w:p w:rsidR="00D57F75" w:rsidRPr="007E666D" w:rsidRDefault="00D57F75" w:rsidP="00C83100">
      <w:pPr>
        <w:pStyle w:val="FootnoteText"/>
        <w:tabs>
          <w:tab w:val="left" w:pos="720"/>
        </w:tabs>
        <w:contextualSpacing/>
        <w:jc w:val="both"/>
        <w:rPr>
          <w:rFonts w:ascii="Verdana" w:hAnsi="Verdana" w:cs="TimesNewRoman"/>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El Secretario General de Naciones Unidas ha reconocido la existencia del derecho a conocer la verdad a través d</w:t>
      </w:r>
      <w:r w:rsidRPr="007E666D">
        <w:rPr>
          <w:rFonts w:ascii="Verdana" w:hAnsi="Verdana" w:cs="TimesNewRoman"/>
          <w:spacing w:val="-4"/>
          <w:sz w:val="16"/>
          <w:szCs w:val="16"/>
          <w:lang w:val="es-PR"/>
        </w:rPr>
        <w:t>e su boletín titulado "Observancia del derecho internacional humanitario por las fuerzas de las Naciones Unidas", en el cual</w:t>
      </w:r>
      <w:r w:rsidRPr="007E666D">
        <w:rPr>
          <w:rFonts w:ascii="Verdana" w:hAnsi="Verdana" w:cs="TimesNewRoman,Bold"/>
          <w:bCs/>
          <w:spacing w:val="-4"/>
          <w:sz w:val="16"/>
          <w:szCs w:val="16"/>
          <w:lang w:val="es-PR"/>
        </w:rPr>
        <w:t xml:space="preserve"> </w:t>
      </w:r>
      <w:r w:rsidRPr="007E666D">
        <w:rPr>
          <w:rFonts w:ascii="Verdana" w:hAnsi="Verdana" w:cs="TimesNewRoman"/>
          <w:spacing w:val="-4"/>
          <w:sz w:val="16"/>
          <w:szCs w:val="16"/>
          <w:lang w:val="es-PR"/>
        </w:rPr>
        <w:t xml:space="preserve">se establece la norma de que las Naciones Unidas respetarán el derecho de las familias a conocer el paradero de sus miembros enfermos, heridos y fallecidos y ha destacado la importancia de la verdad en el marco de la justicia de transición. </w:t>
      </w:r>
      <w:r w:rsidRPr="007E666D">
        <w:rPr>
          <w:rFonts w:ascii="Verdana" w:hAnsi="Verdana" w:cs="TimesNewRoman"/>
          <w:i/>
          <w:spacing w:val="-4"/>
          <w:sz w:val="16"/>
          <w:szCs w:val="16"/>
          <w:lang w:val="es-PR"/>
        </w:rPr>
        <w:t>Cfr.</w:t>
      </w:r>
      <w:r w:rsidRPr="007E666D">
        <w:rPr>
          <w:rFonts w:ascii="Verdana" w:hAnsi="Verdana" w:cs="TimesNewRoman"/>
          <w:spacing w:val="-4"/>
          <w:sz w:val="16"/>
          <w:szCs w:val="16"/>
          <w:lang w:val="es-PR"/>
        </w:rPr>
        <w:t xml:space="preserve"> Boletín del Secretario General de Naciones Unidas. </w:t>
      </w:r>
      <w:r w:rsidRPr="007E666D">
        <w:rPr>
          <w:rFonts w:ascii="Verdana" w:hAnsi="Verdana" w:cs="TimesNewRoman"/>
          <w:i/>
          <w:spacing w:val="-4"/>
          <w:sz w:val="16"/>
          <w:szCs w:val="16"/>
          <w:lang w:val="es-PR"/>
        </w:rPr>
        <w:t xml:space="preserve">Observancia del derecho internacional humanitario por las fuerzas de Naciones Unidas. </w:t>
      </w:r>
      <w:r w:rsidRPr="007E666D">
        <w:rPr>
          <w:rFonts w:ascii="Verdana" w:hAnsi="Verdana" w:cs="TimesNewRoman"/>
          <w:spacing w:val="-4"/>
          <w:sz w:val="16"/>
          <w:szCs w:val="16"/>
          <w:lang w:val="es-PR"/>
        </w:rPr>
        <w:t xml:space="preserve">ST/SGB/1999/13, de 6 de agosto de 1999, regla 9.8, e Informe del Secretario General de Naciones Unidas. </w:t>
      </w:r>
      <w:r w:rsidRPr="007E666D">
        <w:rPr>
          <w:rFonts w:ascii="Verdana" w:hAnsi="Verdana" w:cs="TimesNewRoman"/>
          <w:i/>
          <w:spacing w:val="-4"/>
          <w:sz w:val="16"/>
          <w:szCs w:val="16"/>
          <w:lang w:val="es-PR"/>
        </w:rPr>
        <w:t xml:space="preserve">El estado de derecho y la justicia de transición en las sociedades que sufren o han sufrido conflictos. </w:t>
      </w:r>
      <w:r w:rsidRPr="007E666D">
        <w:rPr>
          <w:rFonts w:ascii="Verdana" w:hAnsi="Verdana" w:cs="TimesNewRoman"/>
          <w:spacing w:val="-4"/>
          <w:sz w:val="16"/>
          <w:szCs w:val="16"/>
          <w:lang w:val="es-PR"/>
        </w:rPr>
        <w:t>S/2011/634, de 12 de octubre de 2011.</w:t>
      </w:r>
    </w:p>
  </w:footnote>
  <w:footnote w:id="308">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 xml:space="preserve">El Consejo de Seguridad de Naciones Unidas ha emitido resoluciones resaltando la importancia de la </w:t>
      </w:r>
      <w:r w:rsidRPr="007E666D">
        <w:rPr>
          <w:rFonts w:ascii="Verdana" w:hAnsi="Verdana" w:cs="TimesNewRoman"/>
          <w:spacing w:val="-4"/>
          <w:sz w:val="16"/>
          <w:szCs w:val="16"/>
          <w:lang w:val="es-PR"/>
        </w:rPr>
        <w:t xml:space="preserve">determinación de la verdad con respecto a los delitos de lesa humanidad, el genocidio, los crímenes de guerra y las violaciones manifiestas de los derechos humanos. </w:t>
      </w:r>
      <w:r w:rsidRPr="007E666D">
        <w:rPr>
          <w:rFonts w:ascii="Verdana" w:hAnsi="Verdana" w:cs="TimesNewRoman"/>
          <w:i/>
          <w:spacing w:val="-4"/>
          <w:sz w:val="16"/>
          <w:szCs w:val="16"/>
          <w:lang w:val="es-PR"/>
        </w:rPr>
        <w:t>Cfr.</w:t>
      </w:r>
      <w:r w:rsidRPr="007E666D">
        <w:rPr>
          <w:rFonts w:ascii="Verdana" w:hAnsi="Verdana" w:cs="TimesNewRoman"/>
          <w:spacing w:val="-4"/>
          <w:sz w:val="16"/>
          <w:szCs w:val="16"/>
          <w:lang w:val="es-PR"/>
        </w:rPr>
        <w:t xml:space="preserve"> </w:t>
      </w:r>
      <w:r w:rsidRPr="007E666D">
        <w:rPr>
          <w:rFonts w:ascii="Verdana" w:hAnsi="Verdana"/>
          <w:spacing w:val="-4"/>
          <w:sz w:val="16"/>
          <w:szCs w:val="16"/>
          <w:lang w:val="es-PR"/>
        </w:rPr>
        <w:t xml:space="preserve">Resoluciones de Consejo de Seguridad No. </w:t>
      </w:r>
      <w:r w:rsidRPr="007E666D">
        <w:rPr>
          <w:rFonts w:ascii="Verdana" w:hAnsi="Verdana" w:cs="TimesNewRoman"/>
          <w:spacing w:val="-4"/>
          <w:sz w:val="16"/>
          <w:szCs w:val="16"/>
          <w:lang w:val="es-PR"/>
        </w:rPr>
        <w:t>1468 (2003) de 20 de marzo de 2003, No. 1470 (2003) de 28 de marzo de 2003 y No. 1606 (2005) de 20 de junio de 2005.</w:t>
      </w:r>
    </w:p>
  </w:footnote>
  <w:footnote w:id="309">
    <w:p w:rsidR="00D57F75" w:rsidRPr="002548FE" w:rsidRDefault="00D57F75" w:rsidP="00C83100">
      <w:pPr>
        <w:pStyle w:val="ListParagraph"/>
        <w:widowControl w:val="0"/>
        <w:tabs>
          <w:tab w:val="left" w:pos="720"/>
        </w:tabs>
        <w:autoSpaceDE w:val="0"/>
        <w:autoSpaceDN w:val="0"/>
        <w:adjustRightInd w:val="0"/>
        <w:spacing w:after="0" w:line="240" w:lineRule="auto"/>
        <w:ind w:left="0"/>
        <w:jc w:val="both"/>
        <w:rPr>
          <w:rFonts w:ascii="Verdana" w:eastAsia="MS Mincho" w:hAnsi="Verdana" w:cs="Calibri"/>
          <w:spacing w:val="-4"/>
          <w:kern w:val="1"/>
          <w:sz w:val="16"/>
          <w:szCs w:val="16"/>
          <w:lang w:val="en-US" w:eastAsia="es-ES"/>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Arial"/>
          <w:i/>
          <w:color w:val="000000"/>
          <w:spacing w:val="-4"/>
          <w:sz w:val="16"/>
          <w:szCs w:val="16"/>
          <w:lang w:val="es-PR"/>
        </w:rPr>
        <w:t>Cfr.</w:t>
      </w:r>
      <w:r w:rsidRPr="007E666D">
        <w:rPr>
          <w:rFonts w:ascii="Verdana" w:hAnsi="Verdana" w:cs="Arial"/>
          <w:color w:val="000000"/>
          <w:spacing w:val="-4"/>
          <w:sz w:val="16"/>
          <w:szCs w:val="16"/>
          <w:lang w:val="es-PR"/>
        </w:rPr>
        <w:t xml:space="preserve"> Reporte del Grupo de Trabajo sobre Desapariciones Forzadas. </w:t>
      </w:r>
      <w:r w:rsidRPr="002548FE">
        <w:rPr>
          <w:rFonts w:ascii="Verdana" w:hAnsi="Verdana" w:cs="TimesNewRoman"/>
          <w:spacing w:val="-4"/>
          <w:sz w:val="16"/>
          <w:szCs w:val="16"/>
          <w:lang w:val="en-US"/>
        </w:rPr>
        <w:t xml:space="preserve">E/CN.4/1435. 22 de enero de 1981, párr. 187; </w:t>
      </w:r>
      <w:r w:rsidRPr="002548FE">
        <w:rPr>
          <w:rFonts w:ascii="Verdana" w:hAnsi="Verdana"/>
          <w:spacing w:val="-4"/>
          <w:sz w:val="16"/>
          <w:szCs w:val="16"/>
          <w:lang w:val="en-US"/>
        </w:rPr>
        <w:t>Commission on Human Rights,</w:t>
      </w:r>
      <w:r w:rsidRPr="002548FE">
        <w:rPr>
          <w:rFonts w:ascii="Verdana" w:hAnsi="Verdana"/>
          <w:bCs/>
          <w:color w:val="000000"/>
          <w:spacing w:val="-4"/>
          <w:sz w:val="16"/>
          <w:szCs w:val="16"/>
          <w:lang w:val="en-US"/>
        </w:rPr>
        <w:t xml:space="preserve"> Sub-Commission on Prevention of Discrimination and Protection of Minorities.</w:t>
      </w:r>
      <w:r w:rsidRPr="002548FE">
        <w:rPr>
          <w:rFonts w:ascii="Verdana" w:hAnsi="Verdana"/>
          <w:bCs/>
          <w:i/>
          <w:color w:val="000000"/>
          <w:spacing w:val="-4"/>
          <w:sz w:val="16"/>
          <w:szCs w:val="16"/>
          <w:lang w:val="en-US"/>
        </w:rPr>
        <w:t xml:space="preserve"> The Administration of Justice and the Human Rights of Detainees: Question of Human Rights and States of Emergency</w:t>
      </w:r>
      <w:r w:rsidRPr="002548FE">
        <w:rPr>
          <w:rFonts w:ascii="Verdana" w:hAnsi="Verdana"/>
          <w:bCs/>
          <w:color w:val="000000"/>
          <w:spacing w:val="-4"/>
          <w:sz w:val="16"/>
          <w:szCs w:val="16"/>
          <w:shd w:val="clear" w:color="auto" w:fill="FFFFFF"/>
          <w:lang w:val="en-US"/>
        </w:rPr>
        <w:t xml:space="preserve">. </w:t>
      </w:r>
      <w:r w:rsidRPr="007E666D">
        <w:rPr>
          <w:rFonts w:ascii="Verdana" w:hAnsi="Verdana"/>
          <w:color w:val="000000"/>
          <w:spacing w:val="-4"/>
          <w:sz w:val="16"/>
          <w:szCs w:val="16"/>
          <w:shd w:val="clear" w:color="auto" w:fill="FFFFFF"/>
          <w:lang w:val="es-PR"/>
        </w:rPr>
        <w:t xml:space="preserve">E/CN.4/Sub.2/1995/20, de 20 de junio de 1995, párrs. 39 a 40; </w:t>
      </w:r>
      <w:r w:rsidRPr="007E666D">
        <w:rPr>
          <w:rFonts w:ascii="Verdana" w:hAnsi="Verdana" w:cs="TimesNewRoman"/>
          <w:spacing w:val="-4"/>
          <w:sz w:val="16"/>
          <w:szCs w:val="16"/>
          <w:lang w:val="es-PR"/>
        </w:rPr>
        <w:t xml:space="preserve">Comisión de Derechos Humanos de Naciones Unidas. </w:t>
      </w:r>
      <w:r w:rsidRPr="007E666D">
        <w:rPr>
          <w:rFonts w:ascii="Verdana" w:hAnsi="Verdana" w:cs="TimesNewRoman"/>
          <w:i/>
          <w:spacing w:val="-4"/>
          <w:sz w:val="16"/>
          <w:szCs w:val="16"/>
          <w:lang w:val="es-PR"/>
        </w:rPr>
        <w:t>Informe de la Alta Comisionada de las Naciones Unidas para los Derechos Humanos sobre la situación de los derechos humanos en Colombia.</w:t>
      </w:r>
      <w:r w:rsidRPr="007E666D">
        <w:rPr>
          <w:rFonts w:ascii="Verdana" w:hAnsi="Verdana" w:cs="TimesNewRoman"/>
          <w:spacing w:val="-4"/>
          <w:sz w:val="16"/>
          <w:szCs w:val="16"/>
          <w:lang w:val="es-PR"/>
        </w:rPr>
        <w:t xml:space="preserve"> E/CN.4/2005/10. 28 de febrero de 2005, párr. 5;</w:t>
      </w:r>
      <w:r w:rsidRPr="007E666D">
        <w:rPr>
          <w:rFonts w:ascii="Verdana" w:hAnsi="Verdana"/>
          <w:spacing w:val="-4"/>
          <w:sz w:val="16"/>
          <w:szCs w:val="16"/>
          <w:lang w:val="es-PR"/>
        </w:rPr>
        <w:t xml:space="preserve"> </w:t>
      </w:r>
      <w:r w:rsidRPr="007E666D">
        <w:rPr>
          <w:rFonts w:ascii="Verdana" w:eastAsia="Calibri" w:hAnsi="Verdana" w:cs="Arial"/>
          <w:spacing w:val="-4"/>
          <w:sz w:val="16"/>
          <w:szCs w:val="16"/>
          <w:lang w:val="es-PR"/>
        </w:rPr>
        <w:t xml:space="preserve">Informe de la Oficina del Alto Comisionado de las Naciones Unidas para los Derechos Humanos. </w:t>
      </w:r>
      <w:r w:rsidRPr="007E666D">
        <w:rPr>
          <w:rStyle w:val="Emphasis"/>
          <w:rFonts w:ascii="Verdana" w:eastAsia="Calibri" w:hAnsi="Verdana" w:cs="Arial"/>
          <w:spacing w:val="-4"/>
          <w:sz w:val="16"/>
          <w:szCs w:val="16"/>
          <w:lang w:val="es-PR"/>
        </w:rPr>
        <w:t>Estudio sobre el derecho a la verdad</w:t>
      </w:r>
      <w:r w:rsidRPr="007E666D">
        <w:rPr>
          <w:rFonts w:ascii="Verdana" w:eastAsia="Calibri" w:hAnsi="Verdana" w:cs="Arial"/>
          <w:spacing w:val="-4"/>
          <w:sz w:val="16"/>
          <w:szCs w:val="16"/>
          <w:lang w:val="es-PR"/>
        </w:rPr>
        <w:t>, U.N. Doc. E/CN.4/2006/91 de 9 de enero de 2006,</w:t>
      </w:r>
      <w:r w:rsidRPr="007E666D">
        <w:rPr>
          <w:rFonts w:ascii="Verdana" w:hAnsi="Verdana"/>
          <w:spacing w:val="-4"/>
          <w:sz w:val="16"/>
          <w:szCs w:val="16"/>
          <w:lang w:val="es-PR"/>
        </w:rPr>
        <w:t xml:space="preserve"> párrs. 57 y 59; Comisión de Derechos Humanos de Naciones Unidas. Resoluciones No. </w:t>
      </w:r>
      <w:r w:rsidRPr="007E666D">
        <w:rPr>
          <w:rFonts w:ascii="Verdana" w:hAnsi="Verdana" w:cs="TimesNewRoman"/>
          <w:spacing w:val="-4"/>
          <w:sz w:val="16"/>
          <w:szCs w:val="16"/>
          <w:lang w:val="es-PR"/>
        </w:rPr>
        <w:t>1989/62 de 8 de marzo de 1989, No. 2002/60 de 25 de abril de 2002, No. 2005/35 de 19 de abril de 2005 y No. 2005/66 de 20 de abril de 2005;</w:t>
      </w:r>
      <w:r w:rsidRPr="007E666D">
        <w:rPr>
          <w:rFonts w:ascii="Verdana" w:hAnsi="Verdana"/>
          <w:spacing w:val="-4"/>
          <w:sz w:val="16"/>
          <w:szCs w:val="16"/>
          <w:lang w:val="es-PR"/>
        </w:rPr>
        <w:t xml:space="preserve"> Consejo de Derechos Humanos de Naciones Unidas. Resoluciones No. 9/11 de 24 de septiembre de 2008 y No. 12/12 de 1 de octubre de 2009.</w:t>
      </w:r>
      <w:r w:rsidRPr="007E666D">
        <w:rPr>
          <w:rFonts w:ascii="Verdana" w:hAnsi="Verdana"/>
          <w:i/>
          <w:spacing w:val="-4"/>
          <w:sz w:val="16"/>
          <w:szCs w:val="16"/>
          <w:lang w:val="es-PR"/>
        </w:rPr>
        <w:t xml:space="preserve"> </w:t>
      </w:r>
      <w:r w:rsidRPr="007E666D">
        <w:rPr>
          <w:rFonts w:ascii="Verdana" w:hAnsi="Verdana"/>
          <w:spacing w:val="-2"/>
          <w:sz w:val="16"/>
          <w:szCs w:val="16"/>
          <w:lang w:val="es-PR"/>
        </w:rPr>
        <w:t xml:space="preserve">Por su parte, el Comité Internacional de la Cruz Roja (CICR) ha considerado que </w:t>
      </w:r>
      <w:r w:rsidRPr="007E666D">
        <w:rPr>
          <w:rFonts w:ascii="Verdana" w:hAnsi="Verdana" w:cs="TimesNewRoman"/>
          <w:spacing w:val="-2"/>
          <w:sz w:val="16"/>
          <w:szCs w:val="16"/>
          <w:lang w:val="es-PR"/>
        </w:rPr>
        <w:t xml:space="preserve">el derecho a conocer la verdad es una norma del </w:t>
      </w:r>
      <w:r w:rsidRPr="007E666D">
        <w:rPr>
          <w:rFonts w:ascii="Verdana" w:hAnsi="Verdana"/>
          <w:spacing w:val="-2"/>
          <w:sz w:val="16"/>
          <w:szCs w:val="16"/>
          <w:lang w:val="es-PR"/>
        </w:rPr>
        <w:t>derecho</w:t>
      </w:r>
      <w:r w:rsidRPr="007E666D">
        <w:rPr>
          <w:rFonts w:ascii="Verdana" w:hAnsi="Verdana" w:cs="TimesNewRoman"/>
          <w:spacing w:val="-2"/>
          <w:sz w:val="16"/>
          <w:szCs w:val="16"/>
          <w:lang w:val="es-PR"/>
        </w:rPr>
        <w:t xml:space="preserve"> </w:t>
      </w:r>
      <w:r w:rsidRPr="007E666D">
        <w:rPr>
          <w:rFonts w:ascii="Verdana" w:hAnsi="Verdana"/>
          <w:spacing w:val="-2"/>
          <w:sz w:val="16"/>
          <w:szCs w:val="16"/>
          <w:lang w:val="es-PR"/>
        </w:rPr>
        <w:t>internacional</w:t>
      </w:r>
      <w:r w:rsidRPr="007E666D">
        <w:rPr>
          <w:rFonts w:ascii="Verdana" w:hAnsi="Verdana" w:cs="TimesNewRoman"/>
          <w:spacing w:val="-2"/>
          <w:sz w:val="16"/>
          <w:szCs w:val="16"/>
          <w:lang w:val="es-PR"/>
        </w:rPr>
        <w:t xml:space="preserve"> consuetudinario aplicable tanto a los conflictos armados internacionales como a los internos, de modo que cada parte en el conflicto debe tomar todas las medidas factibles para conocer el paradero de las personas presuntamente desaparecidas a raíz de un conflicto armado y debe comunicar a sus familiares todo dato que dispusieran acerca de su suerte. </w:t>
      </w:r>
      <w:r w:rsidRPr="002548FE">
        <w:rPr>
          <w:rFonts w:ascii="Verdana" w:hAnsi="Verdana"/>
          <w:i/>
          <w:spacing w:val="-4"/>
          <w:sz w:val="16"/>
          <w:szCs w:val="16"/>
          <w:lang w:val="en-US"/>
        </w:rPr>
        <w:t>Cfr.</w:t>
      </w:r>
      <w:r w:rsidRPr="002548FE">
        <w:rPr>
          <w:rFonts w:ascii="Verdana" w:hAnsi="Verdana"/>
          <w:spacing w:val="-4"/>
          <w:sz w:val="16"/>
          <w:szCs w:val="16"/>
          <w:lang w:val="en-US"/>
        </w:rPr>
        <w:t xml:space="preserve"> </w:t>
      </w:r>
      <w:r w:rsidRPr="002548FE">
        <w:rPr>
          <w:rFonts w:ascii="Verdana" w:hAnsi="Verdana" w:cs="TimesNewRoman"/>
          <w:spacing w:val="-4"/>
          <w:sz w:val="16"/>
          <w:szCs w:val="16"/>
          <w:lang w:val="en-US"/>
        </w:rPr>
        <w:t>Resolution II of the XXIV International Conference of the Red Cross and Red Crescent (Manila, 1981).</w:t>
      </w:r>
    </w:p>
  </w:footnote>
  <w:footnote w:id="310">
    <w:p w:rsidR="00D57F75" w:rsidRPr="007E666D" w:rsidRDefault="00D57F75" w:rsidP="00C83100">
      <w:pPr>
        <w:pStyle w:val="FootnoteText"/>
        <w:tabs>
          <w:tab w:val="left" w:pos="720"/>
        </w:tabs>
        <w:contextualSpacing/>
        <w:jc w:val="both"/>
        <w:rPr>
          <w:rFonts w:ascii="Verdana" w:hAnsi="Verdana"/>
          <w:bCs/>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 xml:space="preserve">Convención Internacional para la Protección de Todas las Personas contra las Desapariciones Forzadas, artículo 24. De manera similar, el artículo 32 del Protocolo Adicional I a los Convenios de Ginebra de 1949 relativo a la protección de las víctimas de los conflictos armados internacionales, reconoce el derecho a conocer el paradero de las personas desaparecidas; mientras que los Convenios de Ginebra del 12 de agosto de 1949 incorporan varias disposiciones que imponen a las partes en conflicto la obligación de resolver el problema de los combatientes desaparecidos y establecer un organismo central de búsqueda.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Protocolo I adicional a los Convenios de Ginebra de 1949 relativo a la protección de las víctimas de los conflictos armados internacionales, de 12 de agosto de 1977, y a</w:t>
      </w:r>
      <w:r w:rsidRPr="007E666D">
        <w:rPr>
          <w:rFonts w:ascii="Verdana" w:hAnsi="Verdana" w:cs="TimesNewRoman"/>
          <w:spacing w:val="-4"/>
          <w:sz w:val="16"/>
          <w:szCs w:val="16"/>
          <w:lang w:val="es-PR"/>
        </w:rPr>
        <w:t xml:space="preserve">rtículos 16 y 17 del IV Convenio de Ginebra relativo a la protección debida a las personas civiles en tiempo de guerra de 12 de agosto de 1949; artículos 18, 19 y ss. del II Convenio de Ginebra </w:t>
      </w:r>
      <w:r w:rsidRPr="007E666D">
        <w:rPr>
          <w:rFonts w:ascii="Verdana" w:hAnsi="Verdana" w:cs="Arial"/>
          <w:spacing w:val="-4"/>
          <w:sz w:val="16"/>
          <w:szCs w:val="16"/>
          <w:shd w:val="clear" w:color="auto" w:fill="FBFAF6"/>
          <w:lang w:val="es-PR"/>
        </w:rPr>
        <w:t>para aliviar la suerte que corren los heridos, los enfermos y los náufragos de las fuerzas armadas en el mar de 12 de agosto de 1949, y</w:t>
      </w:r>
      <w:r w:rsidRPr="007E666D">
        <w:rPr>
          <w:rFonts w:ascii="Verdana" w:hAnsi="Verdana" w:cs="TimesNewRoman"/>
          <w:spacing w:val="-4"/>
          <w:sz w:val="16"/>
          <w:szCs w:val="16"/>
          <w:lang w:val="es-PR"/>
        </w:rPr>
        <w:t xml:space="preserve"> artículos 15, 16 y ss. del I Convenio de Ginebra </w:t>
      </w:r>
      <w:r w:rsidRPr="007E666D">
        <w:rPr>
          <w:rFonts w:ascii="Verdana" w:hAnsi="Verdana" w:cs="Arial"/>
          <w:spacing w:val="-4"/>
          <w:sz w:val="16"/>
          <w:szCs w:val="16"/>
          <w:shd w:val="clear" w:color="auto" w:fill="FBFAF6"/>
          <w:lang w:val="es-PR"/>
        </w:rPr>
        <w:t>para aliviar la suerte que corren los heridos y los enfermos</w:t>
      </w:r>
      <w:r w:rsidRPr="007E666D">
        <w:rPr>
          <w:rFonts w:ascii="Verdana" w:hAnsi="Verdana" w:cs="TimesNewRoman"/>
          <w:spacing w:val="-4"/>
          <w:sz w:val="16"/>
          <w:szCs w:val="16"/>
          <w:lang w:val="es-PR"/>
        </w:rPr>
        <w:t xml:space="preserve"> de las fuerzas armadas en campaña de 12 de agosto de 1949.</w:t>
      </w:r>
    </w:p>
  </w:footnote>
  <w:footnote w:id="311">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TimesNewRoman"/>
          <w:i/>
          <w:spacing w:val="-4"/>
          <w:sz w:val="16"/>
          <w:szCs w:val="16"/>
          <w:lang w:val="es-PR"/>
        </w:rPr>
        <w:t xml:space="preserve">Cfr. </w:t>
      </w:r>
      <w:r w:rsidRPr="007E666D">
        <w:rPr>
          <w:rFonts w:ascii="Verdana" w:hAnsi="Verdana"/>
          <w:spacing w:val="-4"/>
          <w:sz w:val="16"/>
          <w:szCs w:val="16"/>
          <w:lang w:val="es-PR"/>
        </w:rPr>
        <w:t xml:space="preserve">Conjunto de principios actualizado para la protección y la promoción de los derechos humanos mediante la lucha contra la impunidad, UN Doc. </w:t>
      </w:r>
      <w:r w:rsidRPr="007E666D">
        <w:rPr>
          <w:rFonts w:ascii="Verdana" w:hAnsi="Verdana" w:cs="Arial"/>
          <w:color w:val="000000"/>
          <w:spacing w:val="-4"/>
          <w:sz w:val="16"/>
          <w:szCs w:val="16"/>
          <w:lang w:val="es-PR"/>
        </w:rPr>
        <w:t>E/CN.4/2005/102/Add.1, de 8 de febrero de 2005, Principios 1 a 5.</w:t>
      </w:r>
      <w:r w:rsidRPr="007E666D">
        <w:rPr>
          <w:rFonts w:ascii="Verdana" w:hAnsi="Verdana"/>
          <w:spacing w:val="-4"/>
          <w:sz w:val="16"/>
          <w:szCs w:val="16"/>
          <w:lang w:val="es-PR"/>
        </w:rPr>
        <w:t xml:space="preserve"> </w:t>
      </w:r>
    </w:p>
  </w:footnote>
  <w:footnote w:id="312">
    <w:p w:rsidR="00D57F75" w:rsidRPr="002C64AD" w:rsidRDefault="00D57F75" w:rsidP="00C83100">
      <w:pPr>
        <w:pStyle w:val="FootnoteText"/>
        <w:tabs>
          <w:tab w:val="left" w:pos="720"/>
        </w:tabs>
        <w:contextualSpacing/>
        <w:jc w:val="both"/>
        <w:rPr>
          <w:rFonts w:ascii="Verdana" w:hAnsi="Verdana" w:cs="TimesNewRoman"/>
          <w:spacing w:val="-4"/>
          <w:sz w:val="16"/>
          <w:szCs w:val="16"/>
          <w:lang w:val="en-US"/>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TimesNewRoman"/>
          <w:i/>
          <w:spacing w:val="-4"/>
          <w:sz w:val="16"/>
          <w:szCs w:val="16"/>
          <w:lang w:val="es-PR"/>
        </w:rPr>
        <w:t xml:space="preserve">Cfr. </w:t>
      </w:r>
      <w:r w:rsidRPr="007E666D">
        <w:rPr>
          <w:rFonts w:ascii="Verdana" w:hAnsi="Verdana" w:cs="TimesNewRoman"/>
          <w:spacing w:val="-4"/>
          <w:sz w:val="16"/>
          <w:szCs w:val="16"/>
          <w:lang w:val="es-PR"/>
        </w:rPr>
        <w:t xml:space="preserve">Parlamento Europeo. </w:t>
      </w:r>
      <w:r w:rsidRPr="002C64AD">
        <w:rPr>
          <w:rFonts w:ascii="Verdana" w:hAnsi="Verdana" w:cs="TimesNewRoman"/>
          <w:spacing w:val="-4"/>
          <w:sz w:val="16"/>
          <w:szCs w:val="16"/>
          <w:lang w:val="en-US"/>
        </w:rPr>
        <w:t>Resolution on missing persons in Cyprus, de 11 de enero de 1983.</w:t>
      </w:r>
    </w:p>
  </w:footnote>
  <w:footnote w:id="313">
    <w:p w:rsidR="00D57F75" w:rsidRPr="007E666D" w:rsidRDefault="00D57F75" w:rsidP="00C83100">
      <w:pPr>
        <w:tabs>
          <w:tab w:val="left" w:pos="720"/>
        </w:tabs>
        <w:autoSpaceDE w:val="0"/>
        <w:autoSpaceDN w:val="0"/>
        <w:adjustRightInd w:val="0"/>
        <w:spacing w:after="0" w:line="240" w:lineRule="auto"/>
        <w:contextualSpacing/>
        <w:jc w:val="both"/>
        <w:rPr>
          <w:rFonts w:ascii="Verdana" w:hAnsi="Verdana"/>
          <w:spacing w:val="-4"/>
          <w:sz w:val="16"/>
          <w:szCs w:val="16"/>
          <w:lang w:val="es-PR"/>
        </w:rPr>
      </w:pPr>
      <w:r w:rsidRPr="007E666D">
        <w:rPr>
          <w:rStyle w:val="FootnoteReference"/>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cs="TimesNewRoman"/>
          <w:spacing w:val="-4"/>
          <w:sz w:val="16"/>
          <w:szCs w:val="16"/>
          <w:lang w:val="es-PR"/>
        </w:rPr>
        <w:t>Conclusions of the Council of the European Union on Colombia, de 3 de octubre de 2005, Luxemburgo, párr. 4.</w:t>
      </w:r>
    </w:p>
  </w:footnote>
  <w:footnote w:id="314">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eastAsia="Calibri" w:hAnsi="Verdana" w:cs="Arial"/>
          <w:spacing w:val="-4"/>
          <w:sz w:val="16"/>
          <w:szCs w:val="16"/>
          <w:lang w:val="es-PR"/>
        </w:rPr>
        <w:t>Asamblea General de la Organización de Estados Americanos, Resoluciones:</w:t>
      </w:r>
      <w:r w:rsidRPr="007E666D">
        <w:rPr>
          <w:rFonts w:ascii="Verdana" w:eastAsia="Calibri" w:hAnsi="Verdana" w:cs="Arial"/>
          <w:i/>
          <w:spacing w:val="-4"/>
          <w:sz w:val="16"/>
          <w:szCs w:val="16"/>
          <w:lang w:val="es-PR"/>
        </w:rPr>
        <w:t xml:space="preserve"> </w:t>
      </w:r>
      <w:r w:rsidRPr="007E666D">
        <w:rPr>
          <w:rFonts w:ascii="Verdana" w:eastAsia="Calibri" w:hAnsi="Verdana" w:cs="Arial"/>
          <w:spacing w:val="-4"/>
          <w:sz w:val="16"/>
          <w:szCs w:val="16"/>
          <w:lang w:val="es-PR"/>
        </w:rPr>
        <w:t xml:space="preserve">AG/RES. 2175 (XXXVI-O/06) de 6 de junio de 2006, </w:t>
      </w:r>
      <w:r w:rsidRPr="007E666D">
        <w:rPr>
          <w:rFonts w:ascii="Verdana" w:eastAsia="Calibri" w:hAnsi="Verdana" w:cs="Arial"/>
          <w:spacing w:val="-4"/>
          <w:sz w:val="16"/>
          <w:szCs w:val="16"/>
          <w:lang w:val="es-PR" w:bidi="en-US"/>
        </w:rPr>
        <w:t xml:space="preserve">AG/RES. 2267 (XXXVII-O/07) de 5 de junio de 2007, </w:t>
      </w:r>
      <w:r w:rsidRPr="007E666D">
        <w:rPr>
          <w:rFonts w:ascii="Verdana" w:eastAsia="Calibri" w:hAnsi="Verdana" w:cs="Arial"/>
          <w:bCs/>
          <w:spacing w:val="-4"/>
          <w:sz w:val="16"/>
          <w:szCs w:val="16"/>
          <w:lang w:val="es-PR" w:bidi="en-US"/>
        </w:rPr>
        <w:t xml:space="preserve">AG/RES. 2406 (XXXVIII-O/08) de 3 de junio de 2008, AG/RES. </w:t>
      </w:r>
      <w:r w:rsidRPr="007E666D">
        <w:rPr>
          <w:rFonts w:ascii="Verdana" w:eastAsia="Calibri" w:hAnsi="Verdana" w:cs="Arial"/>
          <w:spacing w:val="-4"/>
          <w:sz w:val="16"/>
          <w:szCs w:val="16"/>
          <w:lang w:val="es-PR" w:bidi="en-US"/>
        </w:rPr>
        <w:t>2509</w:t>
      </w:r>
      <w:r w:rsidRPr="007E666D">
        <w:rPr>
          <w:rFonts w:ascii="Verdana" w:eastAsia="Calibri" w:hAnsi="Verdana" w:cs="Arial"/>
          <w:bCs/>
          <w:spacing w:val="-4"/>
          <w:sz w:val="16"/>
          <w:szCs w:val="16"/>
          <w:lang w:val="es-PR" w:bidi="en-US"/>
        </w:rPr>
        <w:t xml:space="preserve"> (XXXIX-O/09) de 4 de junio de 2009, </w:t>
      </w:r>
      <w:r w:rsidRPr="007E666D">
        <w:rPr>
          <w:rFonts w:ascii="Verdana" w:eastAsia="Calibri" w:hAnsi="Verdana" w:cs="Arial"/>
          <w:spacing w:val="-4"/>
          <w:sz w:val="16"/>
          <w:szCs w:val="16"/>
          <w:lang w:val="es-PR" w:bidi="en-US"/>
        </w:rPr>
        <w:t xml:space="preserve">AG/RES. 2595 (XL-O/10) de 8 de junio de 2010, </w:t>
      </w:r>
      <w:r w:rsidRPr="007E666D">
        <w:rPr>
          <w:rFonts w:ascii="Verdana" w:hAnsi="Verdana"/>
          <w:spacing w:val="-4"/>
          <w:sz w:val="16"/>
          <w:szCs w:val="16"/>
          <w:lang w:val="es-PR"/>
        </w:rPr>
        <w:t>AG/RES. 2662 (XLI-O/11) de 7 de junio de 2011, AG/RES. 2725 (XLII-O/12) de 4 de junio de 2012, AG/RES. 2800 (XLIII-O/13) de 5 de junio de 2013, y AG/RES. 2822 (XLIV-O/14) de 4 de junio de 2014.</w:t>
      </w:r>
    </w:p>
  </w:footnote>
  <w:footnote w:id="315">
    <w:p w:rsidR="00D57F75" w:rsidRPr="007E666D" w:rsidRDefault="00D57F75" w:rsidP="00C83100">
      <w:pPr>
        <w:pStyle w:val="FootnoteText"/>
        <w:tabs>
          <w:tab w:val="left" w:pos="720"/>
        </w:tabs>
        <w:contextualSpacing/>
        <w:jc w:val="both"/>
        <w:rPr>
          <w:rFonts w:ascii="Verdana" w:hAnsi="Verdana" w:cs="TimesNewRoman"/>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19 Comerciantes Vs. Colombia, supra</w:t>
      </w:r>
      <w:r w:rsidRPr="007E666D">
        <w:rPr>
          <w:rFonts w:ascii="Verdana" w:hAnsi="Verdana"/>
          <w:spacing w:val="-4"/>
          <w:sz w:val="16"/>
          <w:szCs w:val="16"/>
          <w:lang w:val="es-PR"/>
        </w:rPr>
        <w:t xml:space="preserve">, párr. 261, y </w:t>
      </w:r>
      <w:r w:rsidRPr="007E666D">
        <w:rPr>
          <w:rFonts w:ascii="Verdana" w:hAnsi="Verdana"/>
          <w:i/>
          <w:spacing w:val="-4"/>
          <w:sz w:val="16"/>
          <w:szCs w:val="16"/>
          <w:lang w:val="es-PR"/>
        </w:rPr>
        <w:t xml:space="preserve">Caso </w:t>
      </w:r>
      <w:r w:rsidRPr="007E666D">
        <w:rPr>
          <w:rFonts w:ascii="Verdana" w:hAnsi="Verdana" w:cs="TimesNewRoman"/>
          <w:bCs/>
          <w:i/>
          <w:spacing w:val="-4"/>
          <w:sz w:val="16"/>
          <w:szCs w:val="16"/>
          <w:lang w:val="es-PR"/>
        </w:rPr>
        <w:t>Gomes Lund y otros ("Guerrilha do Araguaia") Vs. Brasil. Excepciones Preliminares, Fondo, Reparaciones y Costas.</w:t>
      </w:r>
      <w:r w:rsidRPr="007E666D">
        <w:rPr>
          <w:rFonts w:ascii="Verdana" w:hAnsi="Verdana" w:cs="TimesNewRoman"/>
          <w:bCs/>
          <w:spacing w:val="-4"/>
          <w:sz w:val="16"/>
          <w:szCs w:val="16"/>
          <w:lang w:val="es-PR"/>
        </w:rPr>
        <w:t xml:space="preserve"> Sentencia de 24 de noviembre de 2010. Serie C No. 219</w:t>
      </w:r>
      <w:r w:rsidRPr="007E666D">
        <w:rPr>
          <w:rFonts w:ascii="Verdana" w:hAnsi="Verdana" w:cs="TimesNewRoman"/>
          <w:spacing w:val="-4"/>
          <w:sz w:val="16"/>
          <w:szCs w:val="16"/>
          <w:lang w:val="es-PR"/>
        </w:rPr>
        <w:t>, párr. 200.</w:t>
      </w:r>
    </w:p>
  </w:footnote>
  <w:footnote w:id="316">
    <w:p w:rsidR="00D57F75" w:rsidRPr="007E666D" w:rsidRDefault="00D57F75" w:rsidP="00C83100">
      <w:pPr>
        <w:pStyle w:val="FootnoteText"/>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Style w:val="Strong"/>
          <w:rFonts w:ascii="Verdana" w:hAnsi="Verdana"/>
          <w:b w:val="0"/>
          <w:i/>
          <w:color w:val="000000"/>
          <w:sz w:val="16"/>
          <w:szCs w:val="16"/>
          <w:shd w:val="clear" w:color="auto" w:fill="FFFFFF"/>
          <w:lang w:val="es-PR"/>
        </w:rPr>
        <w:t xml:space="preserve">Cfr. Caso Velásquez Rodríguez Vs. Honduras. Fondo, supra, </w:t>
      </w:r>
      <w:r w:rsidRPr="007E666D">
        <w:rPr>
          <w:rStyle w:val="Strong"/>
          <w:rFonts w:ascii="Verdana" w:hAnsi="Verdana"/>
          <w:b w:val="0"/>
          <w:color w:val="000000"/>
          <w:sz w:val="16"/>
          <w:szCs w:val="16"/>
          <w:shd w:val="clear" w:color="auto" w:fill="FFFFFF"/>
          <w:lang w:val="es-PR"/>
        </w:rPr>
        <w:t>párr. 181.</w:t>
      </w:r>
    </w:p>
  </w:footnote>
  <w:footnote w:id="317">
    <w:p w:rsidR="00D57F75" w:rsidRPr="007E666D" w:rsidRDefault="00D57F75" w:rsidP="00C83100">
      <w:pPr>
        <w:spacing w:before="42" w:after="0" w:line="240" w:lineRule="auto"/>
        <w:ind w:right="34"/>
        <w:jc w:val="both"/>
        <w:rPr>
          <w:rFonts w:ascii="Verdana" w:eastAsia="Verdana" w:hAnsi="Verdana" w:cs="Verdana"/>
          <w:sz w:val="16"/>
          <w:szCs w:val="16"/>
          <w:lang w:val="es-PR"/>
        </w:rPr>
      </w:pPr>
      <w:r w:rsidRPr="007E666D">
        <w:rPr>
          <w:rStyle w:val="FootnoteReference"/>
          <w:rFonts w:eastAsiaTheme="majorEastAsia"/>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eastAsia="Verdana" w:hAnsi="Verdana" w:cs="Verdana"/>
          <w:i/>
          <w:sz w:val="16"/>
          <w:szCs w:val="16"/>
          <w:lang w:val="es-PR"/>
        </w:rPr>
        <w:t>C</w:t>
      </w:r>
      <w:r w:rsidRPr="007E666D">
        <w:rPr>
          <w:rFonts w:ascii="Verdana" w:eastAsia="Verdana" w:hAnsi="Verdana" w:cs="Verdana"/>
          <w:i/>
          <w:spacing w:val="-3"/>
          <w:sz w:val="16"/>
          <w:szCs w:val="16"/>
          <w:lang w:val="es-PR"/>
        </w:rPr>
        <w:t>a</w:t>
      </w:r>
      <w:r w:rsidRPr="007E666D">
        <w:rPr>
          <w:rFonts w:ascii="Verdana" w:eastAsia="Verdana" w:hAnsi="Verdana" w:cs="Verdana"/>
          <w:i/>
          <w:sz w:val="16"/>
          <w:szCs w:val="16"/>
          <w:lang w:val="es-PR"/>
        </w:rPr>
        <w:t>so</w:t>
      </w:r>
      <w:r w:rsidRPr="007E666D">
        <w:rPr>
          <w:rFonts w:ascii="Verdana" w:eastAsia="Verdana" w:hAnsi="Verdana" w:cs="Verdana"/>
          <w:i/>
          <w:spacing w:val="2"/>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hita</w:t>
      </w:r>
      <w:r w:rsidRPr="007E666D">
        <w:rPr>
          <w:rFonts w:ascii="Verdana" w:eastAsia="Verdana" w:hAnsi="Verdana" w:cs="Verdana"/>
          <w:i/>
          <w:sz w:val="16"/>
          <w:szCs w:val="16"/>
          <w:lang w:val="es-PR"/>
        </w:rPr>
        <w:t>y</w:t>
      </w:r>
      <w:r w:rsidRPr="007E666D">
        <w:rPr>
          <w:rFonts w:ascii="Verdana" w:eastAsia="Verdana" w:hAnsi="Verdana" w:cs="Verdana"/>
          <w:i/>
          <w:spacing w:val="4"/>
          <w:sz w:val="16"/>
          <w:szCs w:val="16"/>
          <w:lang w:val="es-PR"/>
        </w:rPr>
        <w:t xml:space="preserve"> </w:t>
      </w:r>
      <w:r w:rsidRPr="007E666D">
        <w:rPr>
          <w:rFonts w:ascii="Verdana" w:eastAsia="Verdana" w:hAnsi="Verdana" w:cs="Verdana"/>
          <w:i/>
          <w:sz w:val="16"/>
          <w:szCs w:val="16"/>
          <w:lang w:val="es-PR"/>
        </w:rPr>
        <w:t>Nech y</w:t>
      </w:r>
      <w:r w:rsidRPr="007E666D">
        <w:rPr>
          <w:rFonts w:ascii="Verdana" w:eastAsia="Verdana" w:hAnsi="Verdana" w:cs="Verdana"/>
          <w:i/>
          <w:spacing w:val="4"/>
          <w:sz w:val="16"/>
          <w:szCs w:val="16"/>
          <w:lang w:val="es-PR"/>
        </w:rPr>
        <w:t xml:space="preserve"> </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tr</w:t>
      </w:r>
      <w:r w:rsidRPr="007E666D">
        <w:rPr>
          <w:rFonts w:ascii="Verdana" w:eastAsia="Verdana" w:hAnsi="Verdana" w:cs="Verdana"/>
          <w:i/>
          <w:spacing w:val="1"/>
          <w:sz w:val="16"/>
          <w:szCs w:val="16"/>
          <w:lang w:val="es-PR"/>
        </w:rPr>
        <w:t>o</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 xml:space="preserve"> V</w:t>
      </w:r>
      <w:r w:rsidRPr="007E666D">
        <w:rPr>
          <w:rFonts w:ascii="Verdana" w:eastAsia="Verdana" w:hAnsi="Verdana" w:cs="Verdana"/>
          <w:i/>
          <w:sz w:val="16"/>
          <w:szCs w:val="16"/>
          <w:lang w:val="es-PR"/>
        </w:rPr>
        <w:t>s.</w:t>
      </w:r>
      <w:r w:rsidRPr="007E666D">
        <w:rPr>
          <w:rFonts w:ascii="Verdana" w:eastAsia="Verdana" w:hAnsi="Verdana" w:cs="Verdana"/>
          <w:i/>
          <w:spacing w:val="3"/>
          <w:sz w:val="16"/>
          <w:szCs w:val="16"/>
          <w:lang w:val="es-PR"/>
        </w:rPr>
        <w:t xml:space="preserve"> </w:t>
      </w:r>
      <w:r w:rsidRPr="007E666D">
        <w:rPr>
          <w:rFonts w:ascii="Verdana" w:eastAsia="Verdana" w:hAnsi="Verdana" w:cs="Verdana"/>
          <w:i/>
          <w:sz w:val="16"/>
          <w:szCs w:val="16"/>
          <w:lang w:val="es-PR"/>
        </w:rPr>
        <w:t>G</w:t>
      </w:r>
      <w:r w:rsidRPr="007E666D">
        <w:rPr>
          <w:rFonts w:ascii="Verdana" w:eastAsia="Verdana" w:hAnsi="Verdana" w:cs="Verdana"/>
          <w:i/>
          <w:spacing w:val="-1"/>
          <w:sz w:val="16"/>
          <w:szCs w:val="16"/>
          <w:lang w:val="es-PR"/>
        </w:rPr>
        <w:t>uat</w:t>
      </w:r>
      <w:r w:rsidRPr="007E666D">
        <w:rPr>
          <w:rFonts w:ascii="Verdana" w:eastAsia="Verdana" w:hAnsi="Verdana" w:cs="Verdana"/>
          <w:i/>
          <w:sz w:val="16"/>
          <w:szCs w:val="16"/>
          <w:lang w:val="es-PR"/>
        </w:rPr>
        <w:t>em</w:t>
      </w:r>
      <w:r w:rsidRPr="007E666D">
        <w:rPr>
          <w:rFonts w:ascii="Verdana" w:eastAsia="Verdana" w:hAnsi="Verdana" w:cs="Verdana"/>
          <w:i/>
          <w:spacing w:val="-1"/>
          <w:sz w:val="16"/>
          <w:szCs w:val="16"/>
          <w:lang w:val="es-PR"/>
        </w:rPr>
        <w:t>ala</w:t>
      </w:r>
      <w:r w:rsidRPr="007E666D">
        <w:rPr>
          <w:rFonts w:ascii="Verdana" w:eastAsia="Verdana" w:hAnsi="Verdana" w:cs="Verdana"/>
          <w:i/>
          <w:sz w:val="16"/>
          <w:szCs w:val="16"/>
          <w:lang w:val="es-PR"/>
        </w:rPr>
        <w:t>.</w:t>
      </w:r>
      <w:r w:rsidRPr="007E666D">
        <w:rPr>
          <w:rFonts w:ascii="Verdana" w:eastAsia="Verdana" w:hAnsi="Verdana" w:cs="Verdana"/>
          <w:i/>
          <w:spacing w:val="2"/>
          <w:sz w:val="16"/>
          <w:szCs w:val="16"/>
          <w:lang w:val="es-PR"/>
        </w:rPr>
        <w:t xml:space="preserve"> </w:t>
      </w:r>
      <w:r w:rsidRPr="007E666D">
        <w:rPr>
          <w:rFonts w:ascii="Verdana" w:eastAsia="Verdana" w:hAnsi="Verdana" w:cs="Verdana"/>
          <w:i/>
          <w:spacing w:val="-1"/>
          <w:sz w:val="16"/>
          <w:szCs w:val="16"/>
          <w:lang w:val="es-PR"/>
        </w:rPr>
        <w:t>E</w:t>
      </w:r>
      <w:r w:rsidRPr="007E666D">
        <w:rPr>
          <w:rFonts w:ascii="Verdana" w:eastAsia="Verdana" w:hAnsi="Verdana" w:cs="Verdana"/>
          <w:i/>
          <w:spacing w:val="1"/>
          <w:sz w:val="16"/>
          <w:szCs w:val="16"/>
          <w:lang w:val="es-PR"/>
        </w:rPr>
        <w:t>x</w:t>
      </w:r>
      <w:r w:rsidRPr="007E666D">
        <w:rPr>
          <w:rFonts w:ascii="Verdana" w:eastAsia="Verdana" w:hAnsi="Verdana" w:cs="Verdana"/>
          <w:i/>
          <w:sz w:val="16"/>
          <w:szCs w:val="16"/>
          <w:lang w:val="es-PR"/>
        </w:rPr>
        <w:t>c</w:t>
      </w:r>
      <w:r w:rsidRPr="007E666D">
        <w:rPr>
          <w:rFonts w:ascii="Verdana" w:eastAsia="Verdana" w:hAnsi="Verdana" w:cs="Verdana"/>
          <w:i/>
          <w:spacing w:val="-2"/>
          <w:sz w:val="16"/>
          <w:szCs w:val="16"/>
          <w:lang w:val="es-PR"/>
        </w:rPr>
        <w:t>ep</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i</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n</w:t>
      </w:r>
      <w:r w:rsidRPr="007E666D">
        <w:rPr>
          <w:rFonts w:ascii="Verdana" w:eastAsia="Verdana" w:hAnsi="Verdana" w:cs="Verdana"/>
          <w:i/>
          <w:sz w:val="16"/>
          <w:szCs w:val="16"/>
          <w:lang w:val="es-PR"/>
        </w:rPr>
        <w:t xml:space="preserve">es </w:t>
      </w:r>
      <w:r w:rsidRPr="007E666D">
        <w:rPr>
          <w:rFonts w:ascii="Verdana" w:eastAsia="Verdana" w:hAnsi="Verdana" w:cs="Verdana"/>
          <w:i/>
          <w:spacing w:val="-1"/>
          <w:sz w:val="16"/>
          <w:szCs w:val="16"/>
          <w:lang w:val="es-PR"/>
        </w:rPr>
        <w:t>P</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li</w:t>
      </w:r>
      <w:r w:rsidRPr="007E666D">
        <w:rPr>
          <w:rFonts w:ascii="Verdana" w:eastAsia="Verdana" w:hAnsi="Verdana" w:cs="Verdana"/>
          <w:i/>
          <w:sz w:val="16"/>
          <w:szCs w:val="16"/>
          <w:lang w:val="es-PR"/>
        </w:rPr>
        <w:t>m</w:t>
      </w:r>
      <w:r w:rsidRPr="007E666D">
        <w:rPr>
          <w:rFonts w:ascii="Verdana" w:eastAsia="Verdana" w:hAnsi="Verdana" w:cs="Verdana"/>
          <w:i/>
          <w:spacing w:val="-1"/>
          <w:sz w:val="16"/>
          <w:szCs w:val="16"/>
          <w:lang w:val="es-PR"/>
        </w:rPr>
        <w:t>ina</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es,</w:t>
      </w:r>
      <w:r w:rsidRPr="007E666D">
        <w:rPr>
          <w:rFonts w:ascii="Verdana" w:eastAsia="Verdana" w:hAnsi="Verdana" w:cs="Verdana"/>
          <w:i/>
          <w:spacing w:val="10"/>
          <w:sz w:val="16"/>
          <w:szCs w:val="16"/>
          <w:lang w:val="es-PR"/>
        </w:rPr>
        <w:t xml:space="preserve"> </w:t>
      </w:r>
      <w:r w:rsidRPr="007E666D">
        <w:rPr>
          <w:rFonts w:ascii="Verdana" w:eastAsia="Verdana" w:hAnsi="Verdana" w:cs="Verdana"/>
          <w:i/>
          <w:spacing w:val="1"/>
          <w:sz w:val="16"/>
          <w:szCs w:val="16"/>
          <w:lang w:val="es-PR"/>
        </w:rPr>
        <w:t>Fo</w:t>
      </w:r>
      <w:r w:rsidRPr="007E666D">
        <w:rPr>
          <w:rFonts w:ascii="Verdana" w:eastAsia="Verdana" w:hAnsi="Verdana" w:cs="Verdana"/>
          <w:i/>
          <w:spacing w:val="-1"/>
          <w:sz w:val="16"/>
          <w:szCs w:val="16"/>
          <w:lang w:val="es-PR"/>
        </w:rPr>
        <w:t>n</w:t>
      </w:r>
      <w:r w:rsidRPr="007E666D">
        <w:rPr>
          <w:rFonts w:ascii="Verdana" w:eastAsia="Verdana" w:hAnsi="Verdana" w:cs="Verdana"/>
          <w:i/>
          <w:spacing w:val="-2"/>
          <w:sz w:val="16"/>
          <w:szCs w:val="16"/>
          <w:lang w:val="es-PR"/>
        </w:rPr>
        <w:t>d</w:t>
      </w:r>
      <w:r w:rsidRPr="007E666D">
        <w:rPr>
          <w:rFonts w:ascii="Verdana" w:eastAsia="Verdana" w:hAnsi="Verdana" w:cs="Verdana"/>
          <w:i/>
          <w:spacing w:val="1"/>
          <w:sz w:val="16"/>
          <w:szCs w:val="16"/>
          <w:lang w:val="es-PR"/>
        </w:rPr>
        <w:t>o</w:t>
      </w:r>
      <w:r w:rsidRPr="007E666D">
        <w:rPr>
          <w:rFonts w:ascii="Verdana" w:eastAsia="Verdana" w:hAnsi="Verdana" w:cs="Verdana"/>
          <w:i/>
          <w:sz w:val="16"/>
          <w:szCs w:val="16"/>
          <w:lang w:val="es-PR"/>
        </w:rPr>
        <w:t>,</w:t>
      </w:r>
      <w:r w:rsidRPr="007E666D">
        <w:rPr>
          <w:rFonts w:ascii="Verdana" w:eastAsia="Verdana" w:hAnsi="Verdana" w:cs="Verdana"/>
          <w:i/>
          <w:spacing w:val="10"/>
          <w:sz w:val="16"/>
          <w:szCs w:val="16"/>
          <w:lang w:val="es-PR"/>
        </w:rPr>
        <w:t xml:space="preserve"> </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p</w:t>
      </w:r>
      <w:r w:rsidRPr="007E666D">
        <w:rPr>
          <w:rFonts w:ascii="Verdana" w:eastAsia="Verdana" w:hAnsi="Verdana" w:cs="Verdana"/>
          <w:i/>
          <w:spacing w:val="-3"/>
          <w:sz w:val="16"/>
          <w:szCs w:val="16"/>
          <w:lang w:val="es-PR"/>
        </w:rPr>
        <w:t>a</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c</w:t>
      </w:r>
      <w:r w:rsidRPr="007E666D">
        <w:rPr>
          <w:rFonts w:ascii="Verdana" w:eastAsia="Verdana" w:hAnsi="Verdana" w:cs="Verdana"/>
          <w:i/>
          <w:spacing w:val="-3"/>
          <w:sz w:val="16"/>
          <w:szCs w:val="16"/>
          <w:lang w:val="es-PR"/>
        </w:rPr>
        <w:t>i</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n</w:t>
      </w:r>
      <w:r w:rsidRPr="007E666D">
        <w:rPr>
          <w:rFonts w:ascii="Verdana" w:eastAsia="Verdana" w:hAnsi="Verdana" w:cs="Verdana"/>
          <w:i/>
          <w:sz w:val="16"/>
          <w:szCs w:val="16"/>
          <w:lang w:val="es-PR"/>
        </w:rPr>
        <w:t>es</w:t>
      </w:r>
      <w:r w:rsidRPr="007E666D">
        <w:rPr>
          <w:rFonts w:ascii="Verdana" w:eastAsia="Verdana" w:hAnsi="Verdana" w:cs="Verdana"/>
          <w:i/>
          <w:spacing w:val="11"/>
          <w:sz w:val="16"/>
          <w:szCs w:val="16"/>
          <w:lang w:val="es-PR"/>
        </w:rPr>
        <w:t xml:space="preserve"> </w:t>
      </w:r>
      <w:r w:rsidRPr="007E666D">
        <w:rPr>
          <w:rFonts w:ascii="Verdana" w:eastAsia="Verdana" w:hAnsi="Verdana" w:cs="Verdana"/>
          <w:i/>
          <w:sz w:val="16"/>
          <w:szCs w:val="16"/>
          <w:lang w:val="es-PR"/>
        </w:rPr>
        <w:t>y</w:t>
      </w:r>
      <w:r w:rsidRPr="007E666D">
        <w:rPr>
          <w:rFonts w:ascii="Verdana" w:eastAsia="Verdana" w:hAnsi="Verdana" w:cs="Verdana"/>
          <w:i/>
          <w:spacing w:val="12"/>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o</w:t>
      </w:r>
      <w:r w:rsidRPr="007E666D">
        <w:rPr>
          <w:rFonts w:ascii="Verdana" w:eastAsia="Verdana" w:hAnsi="Verdana" w:cs="Verdana"/>
          <w:i/>
          <w:sz w:val="16"/>
          <w:szCs w:val="16"/>
          <w:lang w:val="es-PR"/>
        </w:rPr>
        <w:t>s</w:t>
      </w:r>
      <w:r w:rsidRPr="007E666D">
        <w:rPr>
          <w:rFonts w:ascii="Verdana" w:eastAsia="Verdana" w:hAnsi="Verdana" w:cs="Verdana"/>
          <w:i/>
          <w:spacing w:val="3"/>
          <w:sz w:val="16"/>
          <w:szCs w:val="16"/>
          <w:lang w:val="es-PR"/>
        </w:rPr>
        <w:t>t</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s.</w:t>
      </w:r>
      <w:r w:rsidRPr="007E666D">
        <w:rPr>
          <w:rFonts w:ascii="Verdana" w:eastAsia="Verdana" w:hAnsi="Verdana" w:cs="Verdana"/>
          <w:i/>
          <w:spacing w:val="10"/>
          <w:sz w:val="16"/>
          <w:szCs w:val="16"/>
          <w:lang w:val="es-PR"/>
        </w:rPr>
        <w:t xml:space="preserve"> </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e</w:t>
      </w:r>
      <w:r w:rsidRPr="007E666D">
        <w:rPr>
          <w:rFonts w:ascii="Verdana" w:eastAsia="Verdana" w:hAnsi="Verdana" w:cs="Verdana"/>
          <w:spacing w:val="-1"/>
          <w:sz w:val="16"/>
          <w:szCs w:val="16"/>
          <w:lang w:val="es-PR"/>
        </w:rPr>
        <w:t>nt</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a</w:t>
      </w:r>
      <w:r w:rsidRPr="007E666D">
        <w:rPr>
          <w:rFonts w:ascii="Verdana" w:eastAsia="Verdana" w:hAnsi="Verdana" w:cs="Verdana"/>
          <w:spacing w:val="10"/>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1"/>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z w:val="16"/>
          <w:szCs w:val="16"/>
          <w:lang w:val="es-PR"/>
        </w:rPr>
        <w:t>5</w:t>
      </w:r>
      <w:r w:rsidRPr="007E666D">
        <w:rPr>
          <w:rFonts w:ascii="Verdana" w:eastAsia="Verdana" w:hAnsi="Verdana" w:cs="Verdana"/>
          <w:spacing w:val="12"/>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1"/>
          <w:sz w:val="16"/>
          <w:szCs w:val="16"/>
          <w:lang w:val="es-PR"/>
        </w:rPr>
        <w:t xml:space="preserve"> </w:t>
      </w:r>
      <w:r w:rsidRPr="007E666D">
        <w:rPr>
          <w:rFonts w:ascii="Verdana" w:eastAsia="Verdana" w:hAnsi="Verdana" w:cs="Verdana"/>
          <w:sz w:val="16"/>
          <w:szCs w:val="16"/>
          <w:lang w:val="es-PR"/>
        </w:rPr>
        <w:t>m</w:t>
      </w:r>
      <w:r w:rsidRPr="007E666D">
        <w:rPr>
          <w:rFonts w:ascii="Verdana" w:eastAsia="Verdana" w:hAnsi="Verdana" w:cs="Verdana"/>
          <w:spacing w:val="-1"/>
          <w:sz w:val="16"/>
          <w:szCs w:val="16"/>
          <w:lang w:val="es-PR"/>
        </w:rPr>
        <w:t>a</w:t>
      </w:r>
      <w:r w:rsidRPr="007E666D">
        <w:rPr>
          <w:rFonts w:ascii="Verdana" w:eastAsia="Verdana" w:hAnsi="Verdana" w:cs="Verdana"/>
          <w:spacing w:val="-2"/>
          <w:sz w:val="16"/>
          <w:szCs w:val="16"/>
          <w:lang w:val="es-PR"/>
        </w:rPr>
        <w:t>y</w:t>
      </w:r>
      <w:r w:rsidRPr="007E666D">
        <w:rPr>
          <w:rFonts w:ascii="Verdana" w:eastAsia="Verdana" w:hAnsi="Verdana" w:cs="Verdana"/>
          <w:sz w:val="16"/>
          <w:szCs w:val="16"/>
          <w:lang w:val="es-PR"/>
        </w:rPr>
        <w:t>o</w:t>
      </w:r>
      <w:r w:rsidRPr="007E666D">
        <w:rPr>
          <w:rFonts w:ascii="Verdana" w:eastAsia="Verdana" w:hAnsi="Verdana" w:cs="Verdana"/>
          <w:spacing w:val="11"/>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1"/>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0</w:t>
      </w:r>
      <w:r w:rsidRPr="007E666D">
        <w:rPr>
          <w:rFonts w:ascii="Verdana" w:eastAsia="Verdana" w:hAnsi="Verdana" w:cs="Verdana"/>
          <w:spacing w:val="-1"/>
          <w:sz w:val="16"/>
          <w:szCs w:val="16"/>
          <w:lang w:val="es-PR"/>
        </w:rPr>
        <w:t>1</w:t>
      </w:r>
      <w:r w:rsidRPr="007E666D">
        <w:rPr>
          <w:rFonts w:ascii="Verdana" w:eastAsia="Verdana" w:hAnsi="Verdana" w:cs="Verdana"/>
          <w:spacing w:val="1"/>
          <w:sz w:val="16"/>
          <w:szCs w:val="16"/>
          <w:lang w:val="es-PR"/>
        </w:rPr>
        <w:t>0</w:t>
      </w:r>
      <w:r w:rsidRPr="007E666D">
        <w:rPr>
          <w:rFonts w:ascii="Verdana" w:eastAsia="Verdana" w:hAnsi="Verdana" w:cs="Verdana"/>
          <w:sz w:val="16"/>
          <w:szCs w:val="16"/>
          <w:lang w:val="es-PR"/>
        </w:rPr>
        <w:t>.</w:t>
      </w:r>
      <w:r w:rsidRPr="007E666D">
        <w:rPr>
          <w:rFonts w:ascii="Verdana" w:eastAsia="Verdana" w:hAnsi="Verdana" w:cs="Verdana"/>
          <w:spacing w:val="12"/>
          <w:sz w:val="16"/>
          <w:szCs w:val="16"/>
          <w:lang w:val="es-PR"/>
        </w:rPr>
        <w:t xml:space="preserve"> </w:t>
      </w:r>
      <w:r w:rsidRPr="007E666D">
        <w:rPr>
          <w:rFonts w:ascii="Verdana" w:eastAsia="Verdana" w:hAnsi="Verdana" w:cs="Verdana"/>
          <w:spacing w:val="-2"/>
          <w:sz w:val="16"/>
          <w:szCs w:val="16"/>
          <w:lang w:val="es-PR"/>
        </w:rPr>
        <w:t>S</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e</w:t>
      </w:r>
      <w:r w:rsidRPr="007E666D">
        <w:rPr>
          <w:rFonts w:ascii="Verdana" w:eastAsia="Verdana" w:hAnsi="Verdana" w:cs="Verdana"/>
          <w:spacing w:val="11"/>
          <w:sz w:val="16"/>
          <w:szCs w:val="16"/>
          <w:lang w:val="es-PR"/>
        </w:rPr>
        <w:t xml:space="preserve"> </w:t>
      </w:r>
      <w:r w:rsidRPr="007E666D">
        <w:rPr>
          <w:rFonts w:ascii="Verdana" w:eastAsia="Verdana" w:hAnsi="Verdana" w:cs="Verdana"/>
          <w:sz w:val="16"/>
          <w:szCs w:val="16"/>
          <w:lang w:val="es-PR"/>
        </w:rPr>
        <w:t>C</w:t>
      </w:r>
      <w:r w:rsidRPr="007E666D">
        <w:rPr>
          <w:rFonts w:ascii="Verdana" w:eastAsia="Verdana" w:hAnsi="Verdana" w:cs="Verdana"/>
          <w:spacing w:val="11"/>
          <w:sz w:val="16"/>
          <w:szCs w:val="16"/>
          <w:lang w:val="es-PR"/>
        </w:rPr>
        <w:t xml:space="preserve"> </w:t>
      </w:r>
      <w:r w:rsidRPr="007E666D">
        <w:rPr>
          <w:rFonts w:ascii="Verdana" w:eastAsia="Verdana" w:hAnsi="Verdana" w:cs="Verdana"/>
          <w:sz w:val="16"/>
          <w:szCs w:val="16"/>
          <w:lang w:val="es-PR"/>
        </w:rPr>
        <w:t>No.</w:t>
      </w:r>
      <w:r w:rsidRPr="007E666D">
        <w:rPr>
          <w:rFonts w:ascii="Verdana" w:eastAsia="Verdana" w:hAnsi="Verdana" w:cs="Verdana"/>
          <w:spacing w:val="10"/>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1</w:t>
      </w:r>
      <w:r w:rsidRPr="007E666D">
        <w:rPr>
          <w:rFonts w:ascii="Verdana" w:eastAsia="Verdana" w:hAnsi="Verdana" w:cs="Verdana"/>
          <w:spacing w:val="1"/>
          <w:sz w:val="16"/>
          <w:szCs w:val="16"/>
          <w:lang w:val="es-PR"/>
        </w:rPr>
        <w:t>2</w:t>
      </w:r>
      <w:r w:rsidRPr="007E666D">
        <w:rPr>
          <w:rFonts w:ascii="Verdana" w:eastAsia="Verdana" w:hAnsi="Verdana" w:cs="Verdana"/>
          <w:sz w:val="16"/>
          <w:szCs w:val="16"/>
          <w:lang w:val="es-PR"/>
        </w:rPr>
        <w:t>,</w:t>
      </w:r>
      <w:r w:rsidRPr="007E666D">
        <w:rPr>
          <w:rFonts w:ascii="Verdana" w:eastAsia="Verdana" w:hAnsi="Verdana" w:cs="Verdana"/>
          <w:spacing w:val="10"/>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1"/>
          <w:sz w:val="16"/>
          <w:szCs w:val="16"/>
          <w:lang w:val="es-PR"/>
        </w:rPr>
        <w:t>ár</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w:t>
      </w:r>
      <w:r w:rsidRPr="007E666D">
        <w:rPr>
          <w:rFonts w:ascii="Verdana" w:eastAsia="Verdana" w:hAnsi="Verdana" w:cs="Verdana"/>
          <w:spacing w:val="12"/>
          <w:sz w:val="16"/>
          <w:szCs w:val="16"/>
          <w:lang w:val="es-PR"/>
        </w:rPr>
        <w:t xml:space="preserve"> </w:t>
      </w:r>
      <w:r w:rsidRPr="007E666D">
        <w:rPr>
          <w:rFonts w:ascii="Verdana" w:eastAsia="Verdana" w:hAnsi="Verdana" w:cs="Verdana"/>
          <w:spacing w:val="-1"/>
          <w:sz w:val="16"/>
          <w:szCs w:val="16"/>
          <w:lang w:val="es-PR"/>
        </w:rPr>
        <w:t>20</w:t>
      </w:r>
      <w:r w:rsidRPr="007E666D">
        <w:rPr>
          <w:rFonts w:ascii="Verdana" w:eastAsia="Verdana" w:hAnsi="Verdana" w:cs="Verdana"/>
          <w:spacing w:val="1"/>
          <w:sz w:val="16"/>
          <w:szCs w:val="16"/>
          <w:lang w:val="es-PR"/>
        </w:rPr>
        <w:t>6</w:t>
      </w:r>
      <w:r w:rsidRPr="007E666D">
        <w:rPr>
          <w:rFonts w:ascii="Verdana" w:eastAsia="Verdana" w:hAnsi="Verdana" w:cs="Verdana"/>
          <w:sz w:val="16"/>
          <w:szCs w:val="16"/>
          <w:lang w:val="es-PR"/>
        </w:rPr>
        <w:t>;</w:t>
      </w:r>
      <w:r w:rsidRPr="007E666D">
        <w:rPr>
          <w:rFonts w:ascii="Verdana" w:eastAsia="Verdana" w:hAnsi="Verdana" w:cs="Verdana"/>
          <w:spacing w:val="17"/>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a</w:t>
      </w:r>
      <w:r w:rsidRPr="007E666D">
        <w:rPr>
          <w:rFonts w:ascii="Verdana" w:eastAsia="Verdana" w:hAnsi="Verdana" w:cs="Verdana"/>
          <w:i/>
          <w:spacing w:val="-2"/>
          <w:sz w:val="16"/>
          <w:szCs w:val="16"/>
          <w:lang w:val="es-PR"/>
        </w:rPr>
        <w:t>s</w:t>
      </w:r>
      <w:r w:rsidRPr="007E666D">
        <w:rPr>
          <w:rFonts w:ascii="Verdana" w:eastAsia="Verdana" w:hAnsi="Verdana" w:cs="Verdana"/>
          <w:i/>
          <w:sz w:val="16"/>
          <w:szCs w:val="16"/>
          <w:lang w:val="es-PR"/>
        </w:rPr>
        <w:t>o</w:t>
      </w:r>
      <w:r w:rsidRPr="007E666D">
        <w:rPr>
          <w:rFonts w:ascii="Verdana" w:eastAsia="Verdana" w:hAnsi="Verdana" w:cs="Verdana"/>
          <w:i/>
          <w:spacing w:val="11"/>
          <w:sz w:val="16"/>
          <w:szCs w:val="16"/>
          <w:lang w:val="es-PR"/>
        </w:rPr>
        <w:t xml:space="preserve"> </w:t>
      </w:r>
      <w:r w:rsidRPr="007E666D">
        <w:rPr>
          <w:rFonts w:ascii="Verdana" w:eastAsia="Verdana" w:hAnsi="Verdana" w:cs="Verdana"/>
          <w:i/>
          <w:sz w:val="16"/>
          <w:szCs w:val="16"/>
          <w:lang w:val="es-PR"/>
        </w:rPr>
        <w:t>G</w:t>
      </w:r>
      <w:r w:rsidRPr="007E666D">
        <w:rPr>
          <w:rFonts w:ascii="Verdana" w:eastAsia="Verdana" w:hAnsi="Verdana" w:cs="Verdana"/>
          <w:i/>
          <w:spacing w:val="-2"/>
          <w:sz w:val="16"/>
          <w:szCs w:val="16"/>
          <w:lang w:val="es-PR"/>
        </w:rPr>
        <w:t>e</w:t>
      </w:r>
      <w:r w:rsidRPr="007E666D">
        <w:rPr>
          <w:rFonts w:ascii="Verdana" w:eastAsia="Verdana" w:hAnsi="Verdana" w:cs="Verdana"/>
          <w:i/>
          <w:spacing w:val="-1"/>
          <w:sz w:val="16"/>
          <w:szCs w:val="16"/>
          <w:lang w:val="es-PR"/>
        </w:rPr>
        <w:t>l</w:t>
      </w:r>
      <w:r w:rsidRPr="007E666D">
        <w:rPr>
          <w:rFonts w:ascii="Verdana" w:eastAsia="Verdana" w:hAnsi="Verdana" w:cs="Verdana"/>
          <w:i/>
          <w:sz w:val="16"/>
          <w:szCs w:val="16"/>
          <w:lang w:val="es-PR"/>
        </w:rPr>
        <w:t>m</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 xml:space="preserve">n </w:t>
      </w:r>
      <w:r w:rsidRPr="007E666D">
        <w:rPr>
          <w:rFonts w:ascii="Verdana" w:eastAsia="Verdana" w:hAnsi="Verdana" w:cs="Verdana"/>
          <w:i/>
          <w:spacing w:val="1"/>
          <w:sz w:val="16"/>
          <w:szCs w:val="16"/>
          <w:lang w:val="es-PR"/>
        </w:rPr>
        <w:t>V</w:t>
      </w:r>
      <w:r w:rsidRPr="007E666D">
        <w:rPr>
          <w:rFonts w:ascii="Verdana" w:eastAsia="Verdana" w:hAnsi="Verdana" w:cs="Verdana"/>
          <w:i/>
          <w:sz w:val="16"/>
          <w:szCs w:val="16"/>
          <w:lang w:val="es-PR"/>
        </w:rPr>
        <w:t>s.</w:t>
      </w:r>
      <w:r w:rsidRPr="007E666D">
        <w:rPr>
          <w:rFonts w:ascii="Verdana" w:eastAsia="Verdana" w:hAnsi="Verdana" w:cs="Verdana"/>
          <w:i/>
          <w:spacing w:val="41"/>
          <w:sz w:val="16"/>
          <w:szCs w:val="16"/>
          <w:lang w:val="es-PR"/>
        </w:rPr>
        <w:t xml:space="preserve"> </w:t>
      </w:r>
      <w:r w:rsidRPr="007E666D">
        <w:rPr>
          <w:rFonts w:ascii="Verdana" w:eastAsia="Verdana" w:hAnsi="Verdana" w:cs="Verdana"/>
          <w:i/>
          <w:sz w:val="16"/>
          <w:szCs w:val="16"/>
          <w:lang w:val="es-PR"/>
        </w:rPr>
        <w:t>U</w:t>
      </w:r>
      <w:r w:rsidRPr="007E666D">
        <w:rPr>
          <w:rFonts w:ascii="Verdana" w:eastAsia="Verdana" w:hAnsi="Verdana" w:cs="Verdana"/>
          <w:i/>
          <w:spacing w:val="1"/>
          <w:sz w:val="16"/>
          <w:szCs w:val="16"/>
          <w:lang w:val="es-PR"/>
        </w:rPr>
        <w:t>r</w:t>
      </w:r>
      <w:r w:rsidRPr="007E666D">
        <w:rPr>
          <w:rFonts w:ascii="Verdana" w:eastAsia="Verdana" w:hAnsi="Verdana" w:cs="Verdana"/>
          <w:i/>
          <w:spacing w:val="-3"/>
          <w:sz w:val="16"/>
          <w:szCs w:val="16"/>
          <w:lang w:val="es-PR"/>
        </w:rPr>
        <w:t>u</w:t>
      </w:r>
      <w:r w:rsidRPr="007E666D">
        <w:rPr>
          <w:rFonts w:ascii="Verdana" w:eastAsia="Verdana" w:hAnsi="Verdana" w:cs="Verdana"/>
          <w:i/>
          <w:spacing w:val="1"/>
          <w:sz w:val="16"/>
          <w:szCs w:val="16"/>
          <w:lang w:val="es-PR"/>
        </w:rPr>
        <w:t>g</w:t>
      </w:r>
      <w:r w:rsidRPr="007E666D">
        <w:rPr>
          <w:rFonts w:ascii="Verdana" w:eastAsia="Verdana" w:hAnsi="Verdana" w:cs="Verdana"/>
          <w:i/>
          <w:spacing w:val="-1"/>
          <w:sz w:val="16"/>
          <w:szCs w:val="16"/>
          <w:lang w:val="es-PR"/>
        </w:rPr>
        <w:t>u</w:t>
      </w:r>
      <w:r w:rsidRPr="007E666D">
        <w:rPr>
          <w:rFonts w:ascii="Verdana" w:eastAsia="Verdana" w:hAnsi="Verdana" w:cs="Verdana"/>
          <w:i/>
          <w:sz w:val="16"/>
          <w:szCs w:val="16"/>
          <w:lang w:val="es-PR"/>
        </w:rPr>
        <w:t>a</w:t>
      </w:r>
      <w:r w:rsidRPr="007E666D">
        <w:rPr>
          <w:rFonts w:ascii="Verdana" w:eastAsia="Verdana" w:hAnsi="Verdana" w:cs="Verdana"/>
          <w:spacing w:val="1"/>
          <w:sz w:val="16"/>
          <w:szCs w:val="16"/>
          <w:lang w:val="es-PR"/>
        </w:rPr>
        <w:t>y</w:t>
      </w:r>
      <w:r w:rsidRPr="007E666D">
        <w:rPr>
          <w:rFonts w:ascii="Verdana" w:eastAsia="Verdana" w:hAnsi="Verdana" w:cs="Verdana"/>
          <w:sz w:val="16"/>
          <w:szCs w:val="16"/>
          <w:lang w:val="es-PR"/>
        </w:rPr>
        <w:t>.</w:t>
      </w:r>
      <w:r w:rsidRPr="007E666D">
        <w:rPr>
          <w:rFonts w:ascii="Verdana" w:eastAsia="Verdana" w:hAnsi="Verdana" w:cs="Verdana"/>
          <w:spacing w:val="39"/>
          <w:sz w:val="16"/>
          <w:szCs w:val="16"/>
          <w:lang w:val="es-PR"/>
        </w:rPr>
        <w:t xml:space="preserve"> </w:t>
      </w:r>
      <w:r w:rsidRPr="007E666D">
        <w:rPr>
          <w:rFonts w:ascii="Verdana" w:eastAsia="Verdana" w:hAnsi="Verdana" w:cs="Verdana"/>
          <w:i/>
          <w:spacing w:val="1"/>
          <w:sz w:val="16"/>
          <w:szCs w:val="16"/>
          <w:lang w:val="es-PR"/>
        </w:rPr>
        <w:t>Fo</w:t>
      </w:r>
      <w:r w:rsidRPr="007E666D">
        <w:rPr>
          <w:rFonts w:ascii="Verdana" w:eastAsia="Verdana" w:hAnsi="Verdana" w:cs="Verdana"/>
          <w:i/>
          <w:spacing w:val="-3"/>
          <w:sz w:val="16"/>
          <w:szCs w:val="16"/>
          <w:lang w:val="es-PR"/>
        </w:rPr>
        <w:t>n</w:t>
      </w:r>
      <w:r w:rsidRPr="007E666D">
        <w:rPr>
          <w:rFonts w:ascii="Verdana" w:eastAsia="Verdana" w:hAnsi="Verdana" w:cs="Verdana"/>
          <w:i/>
          <w:sz w:val="16"/>
          <w:szCs w:val="16"/>
          <w:lang w:val="es-PR"/>
        </w:rPr>
        <w:t>do</w:t>
      </w:r>
      <w:r w:rsidRPr="007E666D">
        <w:rPr>
          <w:rFonts w:ascii="Verdana" w:eastAsia="Verdana" w:hAnsi="Verdana" w:cs="Verdana"/>
          <w:i/>
          <w:spacing w:val="40"/>
          <w:sz w:val="16"/>
          <w:szCs w:val="16"/>
          <w:lang w:val="es-PR"/>
        </w:rPr>
        <w:t xml:space="preserve"> </w:t>
      </w:r>
      <w:r w:rsidRPr="007E666D">
        <w:rPr>
          <w:rFonts w:ascii="Verdana" w:eastAsia="Verdana" w:hAnsi="Verdana" w:cs="Verdana"/>
          <w:i/>
          <w:sz w:val="16"/>
          <w:szCs w:val="16"/>
          <w:lang w:val="es-PR"/>
        </w:rPr>
        <w:t>y</w:t>
      </w:r>
      <w:r w:rsidRPr="007E666D">
        <w:rPr>
          <w:rFonts w:ascii="Verdana" w:eastAsia="Verdana" w:hAnsi="Verdana" w:cs="Verdana"/>
          <w:i/>
          <w:spacing w:val="40"/>
          <w:sz w:val="16"/>
          <w:szCs w:val="16"/>
          <w:lang w:val="es-PR"/>
        </w:rPr>
        <w:t xml:space="preserve"> </w:t>
      </w:r>
      <w:r w:rsidRPr="007E666D">
        <w:rPr>
          <w:rFonts w:ascii="Verdana" w:eastAsia="Verdana" w:hAnsi="Verdana" w:cs="Verdana"/>
          <w:i/>
          <w:spacing w:val="1"/>
          <w:sz w:val="16"/>
          <w:szCs w:val="16"/>
          <w:lang w:val="es-PR"/>
        </w:rPr>
        <w:t>R</w:t>
      </w:r>
      <w:r w:rsidRPr="007E666D">
        <w:rPr>
          <w:rFonts w:ascii="Verdana" w:eastAsia="Verdana" w:hAnsi="Verdana" w:cs="Verdana"/>
          <w:i/>
          <w:spacing w:val="-2"/>
          <w:sz w:val="16"/>
          <w:szCs w:val="16"/>
          <w:lang w:val="es-PR"/>
        </w:rPr>
        <w:t>e</w:t>
      </w:r>
      <w:r w:rsidRPr="007E666D">
        <w:rPr>
          <w:rFonts w:ascii="Verdana" w:eastAsia="Verdana" w:hAnsi="Verdana" w:cs="Verdana"/>
          <w:i/>
          <w:sz w:val="16"/>
          <w:szCs w:val="16"/>
          <w:lang w:val="es-PR"/>
        </w:rPr>
        <w:t>p</w:t>
      </w:r>
      <w:r w:rsidRPr="007E666D">
        <w:rPr>
          <w:rFonts w:ascii="Verdana" w:eastAsia="Verdana" w:hAnsi="Verdana" w:cs="Verdana"/>
          <w:i/>
          <w:spacing w:val="-1"/>
          <w:sz w:val="16"/>
          <w:szCs w:val="16"/>
          <w:lang w:val="es-PR"/>
        </w:rPr>
        <w:t>ara</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i</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n</w:t>
      </w:r>
      <w:r w:rsidRPr="007E666D">
        <w:rPr>
          <w:rFonts w:ascii="Verdana" w:eastAsia="Verdana" w:hAnsi="Verdana" w:cs="Verdana"/>
          <w:i/>
          <w:sz w:val="16"/>
          <w:szCs w:val="16"/>
          <w:lang w:val="es-PR"/>
        </w:rPr>
        <w:t>es.</w:t>
      </w:r>
      <w:r w:rsidRPr="007E666D">
        <w:rPr>
          <w:rFonts w:ascii="Verdana" w:eastAsia="Verdana" w:hAnsi="Verdana" w:cs="Verdana"/>
          <w:i/>
          <w:spacing w:val="44"/>
          <w:sz w:val="16"/>
          <w:szCs w:val="16"/>
          <w:lang w:val="es-PR"/>
        </w:rPr>
        <w:t xml:space="preserve"> </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e</w:t>
      </w:r>
      <w:r w:rsidRPr="007E666D">
        <w:rPr>
          <w:rFonts w:ascii="Verdana" w:eastAsia="Verdana" w:hAnsi="Verdana" w:cs="Verdana"/>
          <w:spacing w:val="-1"/>
          <w:sz w:val="16"/>
          <w:szCs w:val="16"/>
          <w:lang w:val="es-PR"/>
        </w:rPr>
        <w:t>nt</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a</w:t>
      </w:r>
      <w:r w:rsidRPr="007E666D">
        <w:rPr>
          <w:rFonts w:ascii="Verdana" w:eastAsia="Verdana" w:hAnsi="Verdana" w:cs="Verdana"/>
          <w:spacing w:val="39"/>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39"/>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z w:val="16"/>
          <w:szCs w:val="16"/>
          <w:lang w:val="es-PR"/>
        </w:rPr>
        <w:t>4</w:t>
      </w:r>
      <w:r w:rsidRPr="007E666D">
        <w:rPr>
          <w:rFonts w:ascii="Verdana" w:eastAsia="Verdana" w:hAnsi="Verdana" w:cs="Verdana"/>
          <w:spacing w:val="40"/>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39"/>
          <w:sz w:val="16"/>
          <w:szCs w:val="16"/>
          <w:lang w:val="es-PR"/>
        </w:rPr>
        <w:t xml:space="preserve"> </w:t>
      </w:r>
      <w:r w:rsidRPr="007E666D">
        <w:rPr>
          <w:rFonts w:ascii="Verdana" w:eastAsia="Verdana" w:hAnsi="Verdana" w:cs="Verdana"/>
          <w:spacing w:val="1"/>
          <w:sz w:val="16"/>
          <w:szCs w:val="16"/>
          <w:lang w:val="es-PR"/>
        </w:rPr>
        <w:t>f</w:t>
      </w:r>
      <w:r w:rsidRPr="007E666D">
        <w:rPr>
          <w:rFonts w:ascii="Verdana" w:eastAsia="Verdana" w:hAnsi="Verdana" w:cs="Verdana"/>
          <w:spacing w:val="-2"/>
          <w:sz w:val="16"/>
          <w:szCs w:val="16"/>
          <w:lang w:val="es-PR"/>
        </w:rPr>
        <w:t>e</w:t>
      </w:r>
      <w:r w:rsidRPr="007E666D">
        <w:rPr>
          <w:rFonts w:ascii="Verdana" w:eastAsia="Verdana" w:hAnsi="Verdana" w:cs="Verdana"/>
          <w:sz w:val="16"/>
          <w:szCs w:val="16"/>
          <w:lang w:val="es-PR"/>
        </w:rPr>
        <w:t>b</w:t>
      </w:r>
      <w:r w:rsidRPr="007E666D">
        <w:rPr>
          <w:rFonts w:ascii="Verdana" w:eastAsia="Verdana" w:hAnsi="Verdana" w:cs="Verdana"/>
          <w:spacing w:val="1"/>
          <w:sz w:val="16"/>
          <w:szCs w:val="16"/>
          <w:lang w:val="es-PR"/>
        </w:rPr>
        <w:t>r</w:t>
      </w:r>
      <w:r w:rsidRPr="007E666D">
        <w:rPr>
          <w:rFonts w:ascii="Verdana" w:eastAsia="Verdana" w:hAnsi="Verdana" w:cs="Verdana"/>
          <w:spacing w:val="-2"/>
          <w:sz w:val="16"/>
          <w:szCs w:val="16"/>
          <w:lang w:val="es-PR"/>
        </w:rPr>
        <w:t>e</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o</w:t>
      </w:r>
      <w:r w:rsidRPr="007E666D">
        <w:rPr>
          <w:rFonts w:ascii="Verdana" w:eastAsia="Verdana" w:hAnsi="Verdana" w:cs="Verdana"/>
          <w:spacing w:val="40"/>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39"/>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0</w:t>
      </w:r>
      <w:r w:rsidRPr="007E666D">
        <w:rPr>
          <w:rFonts w:ascii="Verdana" w:eastAsia="Verdana" w:hAnsi="Verdana" w:cs="Verdana"/>
          <w:spacing w:val="-1"/>
          <w:sz w:val="16"/>
          <w:szCs w:val="16"/>
          <w:lang w:val="es-PR"/>
        </w:rPr>
        <w:t>1</w:t>
      </w:r>
      <w:r w:rsidRPr="007E666D">
        <w:rPr>
          <w:rFonts w:ascii="Verdana" w:eastAsia="Verdana" w:hAnsi="Verdana" w:cs="Verdana"/>
          <w:spacing w:val="1"/>
          <w:sz w:val="16"/>
          <w:szCs w:val="16"/>
          <w:lang w:val="es-PR"/>
        </w:rPr>
        <w:t>1</w:t>
      </w:r>
      <w:r w:rsidRPr="007E666D">
        <w:rPr>
          <w:rFonts w:ascii="Verdana" w:eastAsia="Verdana" w:hAnsi="Verdana" w:cs="Verdana"/>
          <w:sz w:val="16"/>
          <w:szCs w:val="16"/>
          <w:lang w:val="es-PR"/>
        </w:rPr>
        <w:t>.</w:t>
      </w:r>
      <w:r w:rsidRPr="007E666D">
        <w:rPr>
          <w:rFonts w:ascii="Verdana" w:eastAsia="Verdana" w:hAnsi="Verdana" w:cs="Verdana"/>
          <w:spacing w:val="41"/>
          <w:sz w:val="16"/>
          <w:szCs w:val="16"/>
          <w:lang w:val="es-PR"/>
        </w:rPr>
        <w:t xml:space="preserve"> </w:t>
      </w:r>
      <w:r w:rsidRPr="007E666D">
        <w:rPr>
          <w:rFonts w:ascii="Verdana" w:eastAsia="Verdana" w:hAnsi="Verdana" w:cs="Verdana"/>
          <w:spacing w:val="-2"/>
          <w:sz w:val="16"/>
          <w:szCs w:val="16"/>
          <w:lang w:val="es-PR"/>
        </w:rPr>
        <w:t>S</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e</w:t>
      </w:r>
      <w:r w:rsidRPr="007E666D">
        <w:rPr>
          <w:rFonts w:ascii="Verdana" w:eastAsia="Verdana" w:hAnsi="Verdana" w:cs="Verdana"/>
          <w:spacing w:val="39"/>
          <w:sz w:val="16"/>
          <w:szCs w:val="16"/>
          <w:lang w:val="es-PR"/>
        </w:rPr>
        <w:t xml:space="preserve"> </w:t>
      </w:r>
      <w:r w:rsidRPr="007E666D">
        <w:rPr>
          <w:rFonts w:ascii="Verdana" w:eastAsia="Verdana" w:hAnsi="Verdana" w:cs="Verdana"/>
          <w:sz w:val="16"/>
          <w:szCs w:val="16"/>
          <w:lang w:val="es-PR"/>
        </w:rPr>
        <w:t>C</w:t>
      </w:r>
      <w:r w:rsidRPr="007E666D">
        <w:rPr>
          <w:rFonts w:ascii="Verdana" w:eastAsia="Verdana" w:hAnsi="Verdana" w:cs="Verdana"/>
          <w:spacing w:val="39"/>
          <w:sz w:val="16"/>
          <w:szCs w:val="16"/>
          <w:lang w:val="es-PR"/>
        </w:rPr>
        <w:t xml:space="preserve"> </w:t>
      </w:r>
      <w:r w:rsidRPr="007E666D">
        <w:rPr>
          <w:rFonts w:ascii="Verdana" w:eastAsia="Verdana" w:hAnsi="Verdana" w:cs="Verdana"/>
          <w:sz w:val="16"/>
          <w:szCs w:val="16"/>
          <w:lang w:val="es-PR"/>
        </w:rPr>
        <w:t>No.</w:t>
      </w:r>
      <w:r w:rsidRPr="007E666D">
        <w:rPr>
          <w:rFonts w:ascii="Verdana" w:eastAsia="Verdana" w:hAnsi="Verdana" w:cs="Verdana"/>
          <w:spacing w:val="41"/>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2</w:t>
      </w:r>
      <w:r w:rsidRPr="007E666D">
        <w:rPr>
          <w:rFonts w:ascii="Verdana" w:eastAsia="Verdana" w:hAnsi="Verdana" w:cs="Verdana"/>
          <w:spacing w:val="5"/>
          <w:sz w:val="16"/>
          <w:szCs w:val="16"/>
          <w:lang w:val="es-PR"/>
        </w:rPr>
        <w:t>1</w:t>
      </w:r>
      <w:r w:rsidRPr="007E666D">
        <w:rPr>
          <w:rFonts w:ascii="Verdana" w:eastAsia="Verdana" w:hAnsi="Verdana" w:cs="Verdana"/>
          <w:sz w:val="16"/>
          <w:szCs w:val="16"/>
          <w:lang w:val="es-PR"/>
        </w:rPr>
        <w:t>,</w:t>
      </w:r>
      <w:r w:rsidRPr="007E666D">
        <w:rPr>
          <w:rFonts w:ascii="Verdana" w:eastAsia="Verdana" w:hAnsi="Verdana" w:cs="Verdana"/>
          <w:spacing w:val="38"/>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1"/>
          <w:sz w:val="16"/>
          <w:szCs w:val="16"/>
          <w:lang w:val="es-PR"/>
        </w:rPr>
        <w:t>ár</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s.</w:t>
      </w:r>
      <w:r w:rsidRPr="007E666D">
        <w:rPr>
          <w:rFonts w:ascii="Verdana" w:eastAsia="Verdana" w:hAnsi="Verdana" w:cs="Verdana"/>
          <w:spacing w:val="39"/>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4</w:t>
      </w:r>
      <w:r w:rsidRPr="007E666D">
        <w:rPr>
          <w:rFonts w:ascii="Verdana" w:eastAsia="Verdana" w:hAnsi="Verdana" w:cs="Verdana"/>
          <w:sz w:val="16"/>
          <w:szCs w:val="16"/>
          <w:lang w:val="es-PR"/>
        </w:rPr>
        <w:t>3</w:t>
      </w:r>
      <w:r w:rsidRPr="007E666D">
        <w:rPr>
          <w:rFonts w:ascii="Verdana" w:eastAsia="Verdana" w:hAnsi="Verdana" w:cs="Verdana"/>
          <w:spacing w:val="40"/>
          <w:sz w:val="16"/>
          <w:szCs w:val="16"/>
          <w:lang w:val="es-PR"/>
        </w:rPr>
        <w:t xml:space="preserve"> </w:t>
      </w:r>
      <w:r w:rsidRPr="007E666D">
        <w:rPr>
          <w:rFonts w:ascii="Verdana" w:eastAsia="Verdana" w:hAnsi="Verdana" w:cs="Verdana"/>
          <w:sz w:val="16"/>
          <w:szCs w:val="16"/>
          <w:lang w:val="es-PR"/>
        </w:rPr>
        <w:t>y</w:t>
      </w:r>
      <w:r w:rsidRPr="007E666D">
        <w:rPr>
          <w:rFonts w:ascii="Verdana" w:eastAsia="Verdana" w:hAnsi="Verdana" w:cs="Verdana"/>
          <w:spacing w:val="40"/>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4</w:t>
      </w:r>
      <w:r w:rsidRPr="007E666D">
        <w:rPr>
          <w:rFonts w:ascii="Verdana" w:eastAsia="Verdana" w:hAnsi="Verdana" w:cs="Verdana"/>
          <w:spacing w:val="1"/>
          <w:sz w:val="16"/>
          <w:szCs w:val="16"/>
          <w:lang w:val="es-PR"/>
        </w:rPr>
        <w:t>4</w:t>
      </w:r>
      <w:r w:rsidRPr="007E666D">
        <w:rPr>
          <w:rFonts w:ascii="Verdana" w:eastAsia="Verdana" w:hAnsi="Verdana" w:cs="Verdana"/>
          <w:sz w:val="16"/>
          <w:szCs w:val="16"/>
          <w:lang w:val="es-PR"/>
        </w:rPr>
        <w:t>;</w:t>
      </w:r>
      <w:r w:rsidRPr="007E666D">
        <w:rPr>
          <w:rFonts w:ascii="Verdana" w:eastAsia="Verdana" w:hAnsi="Verdana" w:cs="Verdana"/>
          <w:spacing w:val="40"/>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a</w:t>
      </w:r>
      <w:r w:rsidRPr="007E666D">
        <w:rPr>
          <w:rFonts w:ascii="Verdana" w:eastAsia="Verdana" w:hAnsi="Verdana" w:cs="Verdana"/>
          <w:i/>
          <w:spacing w:val="-2"/>
          <w:sz w:val="16"/>
          <w:szCs w:val="16"/>
          <w:lang w:val="es-PR"/>
        </w:rPr>
        <w:t>s</w:t>
      </w:r>
      <w:r w:rsidRPr="007E666D">
        <w:rPr>
          <w:rFonts w:ascii="Verdana" w:eastAsia="Verdana" w:hAnsi="Verdana" w:cs="Verdana"/>
          <w:i/>
          <w:sz w:val="16"/>
          <w:szCs w:val="16"/>
          <w:lang w:val="es-PR"/>
        </w:rPr>
        <w:t>o U</w:t>
      </w:r>
      <w:r w:rsidRPr="007E666D">
        <w:rPr>
          <w:rFonts w:ascii="Verdana" w:eastAsia="Verdana" w:hAnsi="Verdana" w:cs="Verdana"/>
          <w:i/>
          <w:spacing w:val="-1"/>
          <w:sz w:val="16"/>
          <w:szCs w:val="16"/>
          <w:lang w:val="es-PR"/>
        </w:rPr>
        <w:t>z</w:t>
      </w:r>
      <w:r w:rsidRPr="007E666D">
        <w:rPr>
          <w:rFonts w:ascii="Verdana" w:eastAsia="Verdana" w:hAnsi="Verdana" w:cs="Verdana"/>
          <w:i/>
          <w:sz w:val="16"/>
          <w:szCs w:val="16"/>
          <w:lang w:val="es-PR"/>
        </w:rPr>
        <w:t>cá</w:t>
      </w:r>
      <w:r w:rsidRPr="007E666D">
        <w:rPr>
          <w:rFonts w:ascii="Verdana" w:eastAsia="Verdana" w:hAnsi="Verdana" w:cs="Verdana"/>
          <w:i/>
          <w:spacing w:val="-1"/>
          <w:sz w:val="16"/>
          <w:szCs w:val="16"/>
          <w:lang w:val="es-PR"/>
        </w:rPr>
        <w:t>t</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g</w:t>
      </w:r>
      <w:r w:rsidRPr="007E666D">
        <w:rPr>
          <w:rFonts w:ascii="Verdana" w:eastAsia="Verdana" w:hAnsi="Verdana" w:cs="Verdana"/>
          <w:i/>
          <w:spacing w:val="-1"/>
          <w:sz w:val="16"/>
          <w:szCs w:val="16"/>
          <w:lang w:val="es-PR"/>
        </w:rPr>
        <w:t>u</w:t>
      </w:r>
      <w:r w:rsidRPr="007E666D">
        <w:rPr>
          <w:rFonts w:ascii="Verdana" w:eastAsia="Verdana" w:hAnsi="Verdana" w:cs="Verdana"/>
          <w:i/>
          <w:sz w:val="16"/>
          <w:szCs w:val="16"/>
          <w:lang w:val="es-PR"/>
        </w:rPr>
        <w:t>i</w:t>
      </w:r>
      <w:r w:rsidRPr="007E666D">
        <w:rPr>
          <w:rFonts w:ascii="Verdana" w:eastAsia="Verdana" w:hAnsi="Verdana" w:cs="Verdana"/>
          <w:i/>
          <w:spacing w:val="3"/>
          <w:sz w:val="16"/>
          <w:szCs w:val="16"/>
          <w:lang w:val="es-PR"/>
        </w:rPr>
        <w:t xml:space="preserve"> </w:t>
      </w:r>
      <w:r w:rsidRPr="007E666D">
        <w:rPr>
          <w:rFonts w:ascii="Verdana" w:eastAsia="Verdana" w:hAnsi="Verdana" w:cs="Verdana"/>
          <w:i/>
          <w:sz w:val="16"/>
          <w:szCs w:val="16"/>
          <w:lang w:val="es-PR"/>
        </w:rPr>
        <w:t>y</w:t>
      </w:r>
      <w:r w:rsidRPr="007E666D">
        <w:rPr>
          <w:rFonts w:ascii="Verdana" w:eastAsia="Verdana" w:hAnsi="Verdana" w:cs="Verdana"/>
          <w:i/>
          <w:spacing w:val="2"/>
          <w:sz w:val="16"/>
          <w:szCs w:val="16"/>
          <w:lang w:val="es-PR"/>
        </w:rPr>
        <w:t xml:space="preserve"> </w:t>
      </w:r>
      <w:r w:rsidRPr="007E666D">
        <w:rPr>
          <w:rFonts w:ascii="Verdana" w:eastAsia="Verdana" w:hAnsi="Verdana" w:cs="Verdana"/>
          <w:i/>
          <w:spacing w:val="1"/>
          <w:sz w:val="16"/>
          <w:szCs w:val="16"/>
          <w:lang w:val="es-PR"/>
        </w:rPr>
        <w:t>o</w:t>
      </w:r>
      <w:r w:rsidRPr="007E666D">
        <w:rPr>
          <w:rFonts w:ascii="Verdana" w:eastAsia="Verdana" w:hAnsi="Verdana" w:cs="Verdana"/>
          <w:i/>
          <w:spacing w:val="-3"/>
          <w:sz w:val="16"/>
          <w:szCs w:val="16"/>
          <w:lang w:val="es-PR"/>
        </w:rPr>
        <w:t>t</w:t>
      </w:r>
      <w:r w:rsidRPr="007E666D">
        <w:rPr>
          <w:rFonts w:ascii="Verdana" w:eastAsia="Verdana" w:hAnsi="Verdana" w:cs="Verdana"/>
          <w:i/>
          <w:spacing w:val="1"/>
          <w:sz w:val="16"/>
          <w:szCs w:val="16"/>
          <w:lang w:val="es-PR"/>
        </w:rPr>
        <w:t>r</w:t>
      </w:r>
      <w:r w:rsidRPr="007E666D">
        <w:rPr>
          <w:rFonts w:ascii="Verdana" w:eastAsia="Verdana" w:hAnsi="Verdana" w:cs="Verdana"/>
          <w:i/>
          <w:spacing w:val="-2"/>
          <w:sz w:val="16"/>
          <w:szCs w:val="16"/>
          <w:lang w:val="es-PR"/>
        </w:rPr>
        <w:t>o</w:t>
      </w:r>
      <w:r w:rsidRPr="007E666D">
        <w:rPr>
          <w:rFonts w:ascii="Verdana" w:eastAsia="Verdana" w:hAnsi="Verdana" w:cs="Verdana"/>
          <w:i/>
          <w:sz w:val="16"/>
          <w:szCs w:val="16"/>
          <w:lang w:val="es-PR"/>
        </w:rPr>
        <w:t>s</w:t>
      </w:r>
      <w:r w:rsidRPr="007E666D">
        <w:rPr>
          <w:rFonts w:ascii="Verdana" w:eastAsia="Verdana" w:hAnsi="Verdana" w:cs="Verdana"/>
          <w:i/>
          <w:spacing w:val="4"/>
          <w:sz w:val="16"/>
          <w:szCs w:val="16"/>
          <w:lang w:val="es-PR"/>
        </w:rPr>
        <w:t xml:space="preserve"> </w:t>
      </w:r>
      <w:r w:rsidRPr="007E666D">
        <w:rPr>
          <w:rFonts w:ascii="Verdana" w:eastAsia="Verdana" w:hAnsi="Verdana" w:cs="Verdana"/>
          <w:i/>
          <w:spacing w:val="-2"/>
          <w:sz w:val="16"/>
          <w:szCs w:val="16"/>
          <w:lang w:val="es-PR"/>
        </w:rPr>
        <w:t>V</w:t>
      </w:r>
      <w:r w:rsidRPr="007E666D">
        <w:rPr>
          <w:rFonts w:ascii="Verdana" w:eastAsia="Verdana" w:hAnsi="Verdana" w:cs="Verdana"/>
          <w:i/>
          <w:sz w:val="16"/>
          <w:szCs w:val="16"/>
          <w:lang w:val="es-PR"/>
        </w:rPr>
        <w:t>s.</w:t>
      </w:r>
      <w:r w:rsidRPr="007E666D">
        <w:rPr>
          <w:rFonts w:ascii="Verdana" w:eastAsia="Verdana" w:hAnsi="Verdana" w:cs="Verdana"/>
          <w:i/>
          <w:spacing w:val="3"/>
          <w:sz w:val="16"/>
          <w:szCs w:val="16"/>
          <w:lang w:val="es-PR"/>
        </w:rPr>
        <w:t xml:space="preserve"> </w:t>
      </w:r>
      <w:r w:rsidRPr="007E666D">
        <w:rPr>
          <w:rFonts w:ascii="Verdana" w:eastAsia="Verdana" w:hAnsi="Verdana" w:cs="Verdana"/>
          <w:i/>
          <w:spacing w:val="-2"/>
          <w:sz w:val="16"/>
          <w:szCs w:val="16"/>
          <w:lang w:val="es-PR"/>
        </w:rPr>
        <w:t>V</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n</w:t>
      </w:r>
      <w:r w:rsidRPr="007E666D">
        <w:rPr>
          <w:rFonts w:ascii="Verdana" w:eastAsia="Verdana" w:hAnsi="Verdana" w:cs="Verdana"/>
          <w:i/>
          <w:sz w:val="16"/>
          <w:szCs w:val="16"/>
          <w:lang w:val="es-PR"/>
        </w:rPr>
        <w:t>ez</w:t>
      </w:r>
      <w:r w:rsidRPr="007E666D">
        <w:rPr>
          <w:rFonts w:ascii="Verdana" w:eastAsia="Verdana" w:hAnsi="Verdana" w:cs="Verdana"/>
          <w:i/>
          <w:spacing w:val="-1"/>
          <w:sz w:val="16"/>
          <w:szCs w:val="16"/>
          <w:lang w:val="es-PR"/>
        </w:rPr>
        <w:t>u</w:t>
      </w:r>
      <w:r w:rsidRPr="007E666D">
        <w:rPr>
          <w:rFonts w:ascii="Verdana" w:eastAsia="Verdana" w:hAnsi="Verdana" w:cs="Verdana"/>
          <w:i/>
          <w:spacing w:val="-2"/>
          <w:sz w:val="16"/>
          <w:szCs w:val="16"/>
          <w:lang w:val="es-PR"/>
        </w:rPr>
        <w:t>e</w:t>
      </w:r>
      <w:r w:rsidRPr="007E666D">
        <w:rPr>
          <w:rFonts w:ascii="Verdana" w:eastAsia="Verdana" w:hAnsi="Verdana" w:cs="Verdana"/>
          <w:i/>
          <w:spacing w:val="-1"/>
          <w:sz w:val="16"/>
          <w:szCs w:val="16"/>
          <w:lang w:val="es-PR"/>
        </w:rPr>
        <w:t>la</w:t>
      </w:r>
      <w:r w:rsidRPr="007E666D">
        <w:rPr>
          <w:rFonts w:ascii="Verdana" w:eastAsia="Verdana" w:hAnsi="Verdana" w:cs="Verdana"/>
          <w:i/>
          <w:sz w:val="16"/>
          <w:szCs w:val="16"/>
          <w:lang w:val="es-PR"/>
        </w:rPr>
        <w:t>.</w:t>
      </w:r>
      <w:r w:rsidRPr="007E666D">
        <w:rPr>
          <w:rFonts w:ascii="Verdana" w:eastAsia="Verdana" w:hAnsi="Verdana" w:cs="Verdana"/>
          <w:i/>
          <w:spacing w:val="3"/>
          <w:sz w:val="16"/>
          <w:szCs w:val="16"/>
          <w:lang w:val="es-PR"/>
        </w:rPr>
        <w:t xml:space="preserve"> </w:t>
      </w:r>
      <w:r w:rsidRPr="007E666D">
        <w:rPr>
          <w:rFonts w:ascii="Verdana" w:eastAsia="Verdana" w:hAnsi="Verdana" w:cs="Verdana"/>
          <w:i/>
          <w:spacing w:val="1"/>
          <w:sz w:val="16"/>
          <w:szCs w:val="16"/>
          <w:lang w:val="es-PR"/>
        </w:rPr>
        <w:t>Fo</w:t>
      </w:r>
      <w:r w:rsidRPr="007E666D">
        <w:rPr>
          <w:rFonts w:ascii="Verdana" w:eastAsia="Verdana" w:hAnsi="Verdana" w:cs="Verdana"/>
          <w:i/>
          <w:spacing w:val="-1"/>
          <w:sz w:val="16"/>
          <w:szCs w:val="16"/>
          <w:lang w:val="es-PR"/>
        </w:rPr>
        <w:t>n</w:t>
      </w:r>
      <w:r w:rsidRPr="007E666D">
        <w:rPr>
          <w:rFonts w:ascii="Verdana" w:eastAsia="Verdana" w:hAnsi="Verdana" w:cs="Verdana"/>
          <w:i/>
          <w:spacing w:val="-2"/>
          <w:sz w:val="16"/>
          <w:szCs w:val="16"/>
          <w:lang w:val="es-PR"/>
        </w:rPr>
        <w:t>d</w:t>
      </w:r>
      <w:r w:rsidRPr="007E666D">
        <w:rPr>
          <w:rFonts w:ascii="Verdana" w:eastAsia="Verdana" w:hAnsi="Verdana" w:cs="Verdana"/>
          <w:i/>
          <w:sz w:val="16"/>
          <w:szCs w:val="16"/>
          <w:lang w:val="es-PR"/>
        </w:rPr>
        <w:t>o</w:t>
      </w:r>
      <w:r w:rsidRPr="007E666D">
        <w:rPr>
          <w:rFonts w:ascii="Verdana" w:eastAsia="Verdana" w:hAnsi="Verdana" w:cs="Verdana"/>
          <w:i/>
          <w:spacing w:val="2"/>
          <w:sz w:val="16"/>
          <w:szCs w:val="16"/>
          <w:lang w:val="es-PR"/>
        </w:rPr>
        <w:t xml:space="preserve"> </w:t>
      </w:r>
      <w:r w:rsidRPr="007E666D">
        <w:rPr>
          <w:rFonts w:ascii="Verdana" w:eastAsia="Verdana" w:hAnsi="Verdana" w:cs="Verdana"/>
          <w:i/>
          <w:sz w:val="16"/>
          <w:szCs w:val="16"/>
          <w:lang w:val="es-PR"/>
        </w:rPr>
        <w:t>y</w:t>
      </w:r>
      <w:r w:rsidRPr="007E666D">
        <w:rPr>
          <w:rFonts w:ascii="Verdana" w:eastAsia="Verdana" w:hAnsi="Verdana" w:cs="Verdana"/>
          <w:i/>
          <w:spacing w:val="2"/>
          <w:sz w:val="16"/>
          <w:szCs w:val="16"/>
          <w:lang w:val="es-PR"/>
        </w:rPr>
        <w:t xml:space="preserve"> </w:t>
      </w:r>
      <w:r w:rsidRPr="007E666D">
        <w:rPr>
          <w:rFonts w:ascii="Verdana" w:eastAsia="Verdana" w:hAnsi="Verdana" w:cs="Verdana"/>
          <w:i/>
          <w:spacing w:val="1"/>
          <w:sz w:val="16"/>
          <w:szCs w:val="16"/>
          <w:lang w:val="es-PR"/>
        </w:rPr>
        <w:t>R</w:t>
      </w:r>
      <w:r w:rsidRPr="007E666D">
        <w:rPr>
          <w:rFonts w:ascii="Verdana" w:eastAsia="Verdana" w:hAnsi="Verdana" w:cs="Verdana"/>
          <w:i/>
          <w:spacing w:val="-2"/>
          <w:sz w:val="16"/>
          <w:szCs w:val="16"/>
          <w:lang w:val="es-PR"/>
        </w:rPr>
        <w:t>e</w:t>
      </w:r>
      <w:r w:rsidRPr="007E666D">
        <w:rPr>
          <w:rFonts w:ascii="Verdana" w:eastAsia="Verdana" w:hAnsi="Verdana" w:cs="Verdana"/>
          <w:i/>
          <w:sz w:val="16"/>
          <w:szCs w:val="16"/>
          <w:lang w:val="es-PR"/>
        </w:rPr>
        <w:t>p</w:t>
      </w:r>
      <w:r w:rsidRPr="007E666D">
        <w:rPr>
          <w:rFonts w:ascii="Verdana" w:eastAsia="Verdana" w:hAnsi="Verdana" w:cs="Verdana"/>
          <w:i/>
          <w:spacing w:val="-1"/>
          <w:sz w:val="16"/>
          <w:szCs w:val="16"/>
          <w:lang w:val="es-PR"/>
        </w:rPr>
        <w:t>a</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c</w:t>
      </w:r>
      <w:r w:rsidRPr="007E666D">
        <w:rPr>
          <w:rFonts w:ascii="Verdana" w:eastAsia="Verdana" w:hAnsi="Verdana" w:cs="Verdana"/>
          <w:i/>
          <w:spacing w:val="-3"/>
          <w:sz w:val="16"/>
          <w:szCs w:val="16"/>
          <w:lang w:val="es-PR"/>
        </w:rPr>
        <w:t>i</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n</w:t>
      </w:r>
      <w:r w:rsidRPr="007E666D">
        <w:rPr>
          <w:rFonts w:ascii="Verdana" w:eastAsia="Verdana" w:hAnsi="Verdana" w:cs="Verdana"/>
          <w:i/>
          <w:sz w:val="16"/>
          <w:szCs w:val="16"/>
          <w:lang w:val="es-PR"/>
        </w:rPr>
        <w:t>es.</w:t>
      </w:r>
      <w:r w:rsidRPr="007E666D">
        <w:rPr>
          <w:rFonts w:ascii="Verdana" w:eastAsia="Verdana" w:hAnsi="Verdana" w:cs="Verdana"/>
          <w:i/>
          <w:spacing w:val="5"/>
          <w:sz w:val="16"/>
          <w:szCs w:val="16"/>
          <w:lang w:val="es-PR"/>
        </w:rPr>
        <w:t xml:space="preserve"> </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e</w:t>
      </w:r>
      <w:r w:rsidRPr="007E666D">
        <w:rPr>
          <w:rFonts w:ascii="Verdana" w:eastAsia="Verdana" w:hAnsi="Verdana" w:cs="Verdana"/>
          <w:spacing w:val="-3"/>
          <w:sz w:val="16"/>
          <w:szCs w:val="16"/>
          <w:lang w:val="es-PR"/>
        </w:rPr>
        <w:t>n</w:t>
      </w:r>
      <w:r w:rsidRPr="007E666D">
        <w:rPr>
          <w:rFonts w:ascii="Verdana" w:eastAsia="Verdana" w:hAnsi="Verdana" w:cs="Verdana"/>
          <w:spacing w:val="-1"/>
          <w:sz w:val="16"/>
          <w:szCs w:val="16"/>
          <w:lang w:val="es-PR"/>
        </w:rPr>
        <w:t>t</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a</w:t>
      </w:r>
      <w:r w:rsidRPr="007E666D">
        <w:rPr>
          <w:rFonts w:ascii="Verdana" w:eastAsia="Verdana" w:hAnsi="Verdana" w:cs="Verdana"/>
          <w:spacing w:val="3"/>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3</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se</w:t>
      </w:r>
      <w:r w:rsidRPr="007E666D">
        <w:rPr>
          <w:rFonts w:ascii="Verdana" w:eastAsia="Verdana" w:hAnsi="Verdana" w:cs="Verdana"/>
          <w:spacing w:val="1"/>
          <w:sz w:val="16"/>
          <w:szCs w:val="16"/>
          <w:lang w:val="es-PR"/>
        </w:rPr>
        <w:t>p</w:t>
      </w:r>
      <w:r w:rsidRPr="007E666D">
        <w:rPr>
          <w:rFonts w:ascii="Verdana" w:eastAsia="Verdana" w:hAnsi="Verdana" w:cs="Verdana"/>
          <w:spacing w:val="-1"/>
          <w:sz w:val="16"/>
          <w:szCs w:val="16"/>
          <w:lang w:val="es-PR"/>
        </w:rPr>
        <w:t>ti</w:t>
      </w:r>
      <w:r w:rsidRPr="007E666D">
        <w:rPr>
          <w:rFonts w:ascii="Verdana" w:eastAsia="Verdana" w:hAnsi="Verdana" w:cs="Verdana"/>
          <w:sz w:val="16"/>
          <w:szCs w:val="16"/>
          <w:lang w:val="es-PR"/>
        </w:rPr>
        <w:t>e</w:t>
      </w:r>
      <w:r w:rsidRPr="007E666D">
        <w:rPr>
          <w:rFonts w:ascii="Verdana" w:eastAsia="Verdana" w:hAnsi="Verdana" w:cs="Verdana"/>
          <w:spacing w:val="-3"/>
          <w:sz w:val="16"/>
          <w:szCs w:val="16"/>
          <w:lang w:val="es-PR"/>
        </w:rPr>
        <w:t>m</w:t>
      </w:r>
      <w:r w:rsidRPr="007E666D">
        <w:rPr>
          <w:rFonts w:ascii="Verdana" w:eastAsia="Verdana" w:hAnsi="Verdana" w:cs="Verdana"/>
          <w:sz w:val="16"/>
          <w:szCs w:val="16"/>
          <w:lang w:val="es-PR"/>
        </w:rPr>
        <w:t>b</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e</w:t>
      </w:r>
      <w:r w:rsidRPr="007E666D">
        <w:rPr>
          <w:rFonts w:ascii="Verdana" w:eastAsia="Verdana" w:hAnsi="Verdana" w:cs="Verdana"/>
          <w:spacing w:val="4"/>
          <w:sz w:val="16"/>
          <w:szCs w:val="16"/>
          <w:lang w:val="es-PR"/>
        </w:rPr>
        <w:t xml:space="preserve"> </w:t>
      </w:r>
      <w:r w:rsidRPr="007E666D">
        <w:rPr>
          <w:rFonts w:ascii="Verdana" w:eastAsia="Verdana" w:hAnsi="Verdana" w:cs="Verdana"/>
          <w:spacing w:val="-2"/>
          <w:sz w:val="16"/>
          <w:szCs w:val="16"/>
          <w:lang w:val="es-PR"/>
        </w:rPr>
        <w:t>d</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 xml:space="preserve"> 2</w:t>
      </w:r>
      <w:r w:rsidRPr="007E666D">
        <w:rPr>
          <w:rFonts w:ascii="Verdana" w:eastAsia="Verdana" w:hAnsi="Verdana" w:cs="Verdana"/>
          <w:spacing w:val="-1"/>
          <w:sz w:val="16"/>
          <w:szCs w:val="16"/>
          <w:lang w:val="es-PR"/>
        </w:rPr>
        <w:t>0</w:t>
      </w:r>
      <w:r w:rsidRPr="007E666D">
        <w:rPr>
          <w:rFonts w:ascii="Verdana" w:eastAsia="Verdana" w:hAnsi="Verdana" w:cs="Verdana"/>
          <w:spacing w:val="1"/>
          <w:sz w:val="16"/>
          <w:szCs w:val="16"/>
          <w:lang w:val="es-PR"/>
        </w:rPr>
        <w:t>12</w:t>
      </w:r>
      <w:r w:rsidRPr="007E666D">
        <w:rPr>
          <w:rFonts w:ascii="Verdana" w:eastAsia="Verdana" w:hAnsi="Verdana" w:cs="Verdana"/>
          <w:sz w:val="16"/>
          <w:szCs w:val="16"/>
          <w:lang w:val="es-PR"/>
        </w:rPr>
        <w:t>. S</w:t>
      </w:r>
      <w:r w:rsidRPr="007E666D">
        <w:rPr>
          <w:rFonts w:ascii="Verdana" w:eastAsia="Verdana" w:hAnsi="Verdana" w:cs="Verdana"/>
          <w:spacing w:val="-2"/>
          <w:sz w:val="16"/>
          <w:szCs w:val="16"/>
          <w:lang w:val="es-PR"/>
        </w:rPr>
        <w:t>e</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C</w:t>
      </w:r>
      <w:r w:rsidRPr="007E666D">
        <w:rPr>
          <w:rFonts w:ascii="Verdana" w:eastAsia="Verdana" w:hAnsi="Verdana" w:cs="Verdana"/>
          <w:spacing w:val="4"/>
          <w:sz w:val="16"/>
          <w:szCs w:val="16"/>
          <w:lang w:val="es-PR"/>
        </w:rPr>
        <w:t xml:space="preserve"> </w:t>
      </w:r>
      <w:r w:rsidRPr="007E666D">
        <w:rPr>
          <w:rFonts w:ascii="Verdana" w:eastAsia="Verdana" w:hAnsi="Verdana" w:cs="Verdana"/>
          <w:spacing w:val="-3"/>
          <w:sz w:val="16"/>
          <w:szCs w:val="16"/>
          <w:lang w:val="es-PR"/>
        </w:rPr>
        <w:t>N</w:t>
      </w:r>
      <w:r w:rsidRPr="007E666D">
        <w:rPr>
          <w:rFonts w:ascii="Verdana" w:eastAsia="Verdana" w:hAnsi="Verdana" w:cs="Verdana"/>
          <w:spacing w:val="1"/>
          <w:sz w:val="16"/>
          <w:szCs w:val="16"/>
          <w:lang w:val="es-PR"/>
        </w:rPr>
        <w:t>o</w:t>
      </w:r>
      <w:r w:rsidRPr="007E666D">
        <w:rPr>
          <w:rFonts w:ascii="Verdana" w:eastAsia="Verdana" w:hAnsi="Verdana" w:cs="Verdana"/>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4</w:t>
      </w:r>
      <w:r w:rsidRPr="007E666D">
        <w:rPr>
          <w:rFonts w:ascii="Verdana" w:eastAsia="Verdana" w:hAnsi="Verdana" w:cs="Verdana"/>
          <w:spacing w:val="1"/>
          <w:sz w:val="16"/>
          <w:szCs w:val="16"/>
          <w:lang w:val="es-PR"/>
        </w:rPr>
        <w:t>9</w:t>
      </w:r>
      <w:r w:rsidRPr="007E666D">
        <w:rPr>
          <w:rFonts w:ascii="Verdana" w:eastAsia="Verdana" w:hAnsi="Verdana" w:cs="Verdana"/>
          <w:sz w:val="16"/>
          <w:szCs w:val="16"/>
          <w:lang w:val="es-PR"/>
        </w:rPr>
        <w:t>,</w:t>
      </w:r>
      <w:r w:rsidRPr="007E666D">
        <w:rPr>
          <w:rFonts w:ascii="Verdana" w:eastAsia="Verdana" w:hAnsi="Verdana" w:cs="Verdana"/>
          <w:spacing w:val="3"/>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3"/>
          <w:sz w:val="16"/>
          <w:szCs w:val="16"/>
          <w:lang w:val="es-PR"/>
        </w:rPr>
        <w:t>á</w:t>
      </w:r>
      <w:r w:rsidRPr="007E666D">
        <w:rPr>
          <w:rFonts w:ascii="Verdana" w:eastAsia="Verdana" w:hAnsi="Verdana" w:cs="Verdana"/>
          <w:spacing w:val="1"/>
          <w:sz w:val="16"/>
          <w:szCs w:val="16"/>
          <w:lang w:val="es-PR"/>
        </w:rPr>
        <w:t>rr</w:t>
      </w:r>
      <w:r w:rsidRPr="007E666D">
        <w:rPr>
          <w:rFonts w:ascii="Verdana" w:eastAsia="Verdana" w:hAnsi="Verdana" w:cs="Verdana"/>
          <w:sz w:val="16"/>
          <w:szCs w:val="16"/>
          <w:lang w:val="es-PR"/>
        </w:rPr>
        <w:t>.</w:t>
      </w:r>
      <w:r w:rsidRPr="007E666D">
        <w:rPr>
          <w:rFonts w:ascii="Verdana" w:eastAsia="Verdana" w:hAnsi="Verdana" w:cs="Verdana"/>
          <w:spacing w:val="-2"/>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4</w:t>
      </w:r>
      <w:r w:rsidRPr="007E666D">
        <w:rPr>
          <w:rFonts w:ascii="Verdana" w:eastAsia="Verdana" w:hAnsi="Verdana" w:cs="Verdana"/>
          <w:spacing w:val="1"/>
          <w:sz w:val="16"/>
          <w:szCs w:val="16"/>
          <w:lang w:val="es-PR"/>
        </w:rPr>
        <w:t>0</w:t>
      </w:r>
      <w:r w:rsidRPr="007E666D">
        <w:rPr>
          <w:rFonts w:ascii="Verdana" w:eastAsia="Verdana" w:hAnsi="Verdana" w:cs="Verdana"/>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so</w:t>
      </w:r>
      <w:r w:rsidRPr="007E666D">
        <w:rPr>
          <w:rFonts w:ascii="Verdana" w:eastAsia="Verdana" w:hAnsi="Verdana" w:cs="Verdana"/>
          <w:i/>
          <w:spacing w:val="19"/>
          <w:sz w:val="16"/>
          <w:szCs w:val="16"/>
          <w:lang w:val="es-PR"/>
        </w:rPr>
        <w:t xml:space="preserve"> </w:t>
      </w:r>
      <w:r w:rsidRPr="007E666D">
        <w:rPr>
          <w:rFonts w:ascii="Verdana" w:eastAsia="Verdana" w:hAnsi="Verdana" w:cs="Verdana"/>
          <w:i/>
          <w:sz w:val="16"/>
          <w:szCs w:val="16"/>
          <w:lang w:val="es-PR"/>
        </w:rPr>
        <w:t>O</w:t>
      </w:r>
      <w:r w:rsidRPr="007E666D">
        <w:rPr>
          <w:rFonts w:ascii="Verdana" w:eastAsia="Verdana" w:hAnsi="Verdana" w:cs="Verdana"/>
          <w:i/>
          <w:spacing w:val="-2"/>
          <w:sz w:val="16"/>
          <w:szCs w:val="16"/>
          <w:lang w:val="es-PR"/>
        </w:rPr>
        <w:t>so</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i</w:t>
      </w:r>
      <w:r w:rsidRPr="007E666D">
        <w:rPr>
          <w:rFonts w:ascii="Verdana" w:eastAsia="Verdana" w:hAnsi="Verdana" w:cs="Verdana"/>
          <w:i/>
          <w:sz w:val="16"/>
          <w:szCs w:val="16"/>
          <w:lang w:val="es-PR"/>
        </w:rPr>
        <w:t>o</w:t>
      </w:r>
      <w:r w:rsidRPr="007E666D">
        <w:rPr>
          <w:rFonts w:ascii="Verdana" w:eastAsia="Verdana" w:hAnsi="Verdana" w:cs="Verdana"/>
          <w:i/>
          <w:spacing w:val="19"/>
          <w:sz w:val="16"/>
          <w:szCs w:val="16"/>
          <w:lang w:val="es-PR"/>
        </w:rPr>
        <w:t xml:space="preserve"> </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iv</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a</w:t>
      </w:r>
      <w:r w:rsidRPr="007E666D">
        <w:rPr>
          <w:rFonts w:ascii="Verdana" w:eastAsia="Verdana" w:hAnsi="Verdana" w:cs="Verdana"/>
          <w:i/>
          <w:spacing w:val="17"/>
          <w:sz w:val="16"/>
          <w:szCs w:val="16"/>
          <w:lang w:val="es-PR"/>
        </w:rPr>
        <w:t xml:space="preserve"> </w:t>
      </w:r>
      <w:r w:rsidRPr="007E666D">
        <w:rPr>
          <w:rFonts w:ascii="Verdana" w:eastAsia="Verdana" w:hAnsi="Verdana" w:cs="Verdana"/>
          <w:i/>
          <w:sz w:val="16"/>
          <w:szCs w:val="16"/>
          <w:lang w:val="es-PR"/>
        </w:rPr>
        <w:t>y</w:t>
      </w:r>
      <w:r w:rsidRPr="007E666D">
        <w:rPr>
          <w:rFonts w:ascii="Verdana" w:eastAsia="Verdana" w:hAnsi="Verdana" w:cs="Verdana"/>
          <w:i/>
          <w:spacing w:val="19"/>
          <w:sz w:val="16"/>
          <w:szCs w:val="16"/>
          <w:lang w:val="es-PR"/>
        </w:rPr>
        <w:t xml:space="preserve"> </w:t>
      </w:r>
      <w:r w:rsidRPr="007E666D">
        <w:rPr>
          <w:rFonts w:ascii="Verdana" w:eastAsia="Verdana" w:hAnsi="Verdana" w:cs="Verdana"/>
          <w:i/>
          <w:spacing w:val="1"/>
          <w:sz w:val="16"/>
          <w:szCs w:val="16"/>
          <w:lang w:val="es-PR"/>
        </w:rPr>
        <w:t>F</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m</w:t>
      </w:r>
      <w:r w:rsidRPr="007E666D">
        <w:rPr>
          <w:rFonts w:ascii="Verdana" w:eastAsia="Verdana" w:hAnsi="Verdana" w:cs="Verdana"/>
          <w:i/>
          <w:spacing w:val="-1"/>
          <w:sz w:val="16"/>
          <w:szCs w:val="16"/>
          <w:lang w:val="es-PR"/>
        </w:rPr>
        <w:t>iliar</w:t>
      </w:r>
      <w:r w:rsidRPr="007E666D">
        <w:rPr>
          <w:rFonts w:ascii="Verdana" w:eastAsia="Verdana" w:hAnsi="Verdana" w:cs="Verdana"/>
          <w:i/>
          <w:sz w:val="16"/>
          <w:szCs w:val="16"/>
          <w:lang w:val="es-PR"/>
        </w:rPr>
        <w:t>es</w:t>
      </w:r>
      <w:r w:rsidRPr="007E666D">
        <w:rPr>
          <w:rFonts w:ascii="Verdana" w:eastAsia="Verdana" w:hAnsi="Verdana" w:cs="Verdana"/>
          <w:i/>
          <w:spacing w:val="18"/>
          <w:sz w:val="16"/>
          <w:szCs w:val="16"/>
          <w:lang w:val="es-PR"/>
        </w:rPr>
        <w:t xml:space="preserve"> </w:t>
      </w:r>
      <w:r w:rsidRPr="007E666D">
        <w:rPr>
          <w:rFonts w:ascii="Verdana" w:eastAsia="Verdana" w:hAnsi="Verdana" w:cs="Verdana"/>
          <w:i/>
          <w:spacing w:val="1"/>
          <w:sz w:val="16"/>
          <w:szCs w:val="16"/>
          <w:lang w:val="es-PR"/>
        </w:rPr>
        <w:t>V</w:t>
      </w:r>
      <w:r w:rsidRPr="007E666D">
        <w:rPr>
          <w:rFonts w:ascii="Verdana" w:eastAsia="Verdana" w:hAnsi="Verdana" w:cs="Verdana"/>
          <w:i/>
          <w:sz w:val="16"/>
          <w:szCs w:val="16"/>
          <w:lang w:val="es-PR"/>
        </w:rPr>
        <w:t>s.</w:t>
      </w:r>
      <w:r w:rsidRPr="007E666D">
        <w:rPr>
          <w:rFonts w:ascii="Verdana" w:eastAsia="Verdana" w:hAnsi="Verdana" w:cs="Verdana"/>
          <w:i/>
          <w:spacing w:val="20"/>
          <w:sz w:val="16"/>
          <w:szCs w:val="16"/>
          <w:lang w:val="es-PR"/>
        </w:rPr>
        <w:t xml:space="preserve"> </w:t>
      </w:r>
      <w:r w:rsidRPr="007E666D">
        <w:rPr>
          <w:rFonts w:ascii="Verdana" w:eastAsia="Verdana" w:hAnsi="Verdana" w:cs="Verdana"/>
          <w:i/>
          <w:spacing w:val="-1"/>
          <w:sz w:val="16"/>
          <w:szCs w:val="16"/>
          <w:lang w:val="es-PR"/>
        </w:rPr>
        <w:t>P</w:t>
      </w:r>
      <w:r w:rsidRPr="007E666D">
        <w:rPr>
          <w:rFonts w:ascii="Verdana" w:eastAsia="Verdana" w:hAnsi="Verdana" w:cs="Verdana"/>
          <w:i/>
          <w:spacing w:val="-2"/>
          <w:sz w:val="16"/>
          <w:szCs w:val="16"/>
          <w:lang w:val="es-PR"/>
        </w:rPr>
        <w:t>e</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ú</w:t>
      </w:r>
      <w:r w:rsidRPr="007E666D">
        <w:rPr>
          <w:rFonts w:ascii="Verdana" w:eastAsia="Verdana" w:hAnsi="Verdana" w:cs="Verdana"/>
          <w:i/>
          <w:sz w:val="16"/>
          <w:szCs w:val="16"/>
          <w:lang w:val="es-PR"/>
        </w:rPr>
        <w:t>,</w:t>
      </w:r>
      <w:r w:rsidRPr="007E666D">
        <w:rPr>
          <w:rFonts w:ascii="Verdana" w:eastAsia="Verdana" w:hAnsi="Verdana" w:cs="Verdana"/>
          <w:i/>
          <w:spacing w:val="19"/>
          <w:sz w:val="16"/>
          <w:szCs w:val="16"/>
          <w:lang w:val="es-PR"/>
        </w:rPr>
        <w:t xml:space="preserve"> </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u</w:t>
      </w:r>
      <w:r w:rsidRPr="007E666D">
        <w:rPr>
          <w:rFonts w:ascii="Verdana" w:eastAsia="Verdana" w:hAnsi="Verdana" w:cs="Verdana"/>
          <w:i/>
          <w:spacing w:val="-2"/>
          <w:sz w:val="16"/>
          <w:szCs w:val="16"/>
          <w:lang w:val="es-PR"/>
        </w:rPr>
        <w:t>p</w:t>
      </w:r>
      <w:r w:rsidRPr="007E666D">
        <w:rPr>
          <w:rFonts w:ascii="Verdana" w:eastAsia="Verdana" w:hAnsi="Verdana" w:cs="Verdana"/>
          <w:i/>
          <w:spacing w:val="1"/>
          <w:sz w:val="16"/>
          <w:szCs w:val="16"/>
          <w:lang w:val="es-PR"/>
        </w:rPr>
        <w:t>r</w:t>
      </w:r>
      <w:r w:rsidRPr="007E666D">
        <w:rPr>
          <w:rFonts w:ascii="Verdana" w:eastAsia="Verdana" w:hAnsi="Verdana" w:cs="Verdana"/>
          <w:i/>
          <w:spacing w:val="3"/>
          <w:sz w:val="16"/>
          <w:szCs w:val="16"/>
          <w:lang w:val="es-PR"/>
        </w:rPr>
        <w:t>a</w:t>
      </w:r>
      <w:r w:rsidRPr="007E666D">
        <w:rPr>
          <w:rFonts w:ascii="Verdana" w:eastAsia="Verdana" w:hAnsi="Verdana" w:cs="Verdana"/>
          <w:sz w:val="16"/>
          <w:szCs w:val="16"/>
          <w:lang w:val="es-PR"/>
        </w:rPr>
        <w:t>,</w:t>
      </w:r>
      <w:r w:rsidRPr="007E666D">
        <w:rPr>
          <w:rFonts w:ascii="Verdana" w:eastAsia="Verdana" w:hAnsi="Verdana" w:cs="Verdana"/>
          <w:spacing w:val="19"/>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3"/>
          <w:sz w:val="16"/>
          <w:szCs w:val="16"/>
          <w:lang w:val="es-PR"/>
        </w:rPr>
        <w:t>á</w:t>
      </w:r>
      <w:r w:rsidRPr="007E666D">
        <w:rPr>
          <w:rFonts w:ascii="Verdana" w:eastAsia="Verdana" w:hAnsi="Verdana" w:cs="Verdana"/>
          <w:spacing w:val="1"/>
          <w:sz w:val="16"/>
          <w:szCs w:val="16"/>
          <w:lang w:val="es-PR"/>
        </w:rPr>
        <w:t>rr</w:t>
      </w:r>
      <w:r w:rsidRPr="007E666D">
        <w:rPr>
          <w:rFonts w:ascii="Verdana" w:eastAsia="Verdana" w:hAnsi="Verdana" w:cs="Verdana"/>
          <w:sz w:val="16"/>
          <w:szCs w:val="16"/>
          <w:lang w:val="es-PR"/>
        </w:rPr>
        <w:t>.</w:t>
      </w:r>
      <w:r w:rsidRPr="007E666D">
        <w:rPr>
          <w:rFonts w:ascii="Verdana" w:eastAsia="Verdana" w:hAnsi="Verdana" w:cs="Verdana"/>
          <w:spacing w:val="17"/>
          <w:sz w:val="16"/>
          <w:szCs w:val="16"/>
          <w:lang w:val="es-PR"/>
        </w:rPr>
        <w:t xml:space="preserve"> </w:t>
      </w:r>
      <w:r w:rsidRPr="007E666D">
        <w:rPr>
          <w:rFonts w:ascii="Verdana" w:eastAsia="Verdana" w:hAnsi="Verdana" w:cs="Verdana"/>
          <w:spacing w:val="-1"/>
          <w:sz w:val="16"/>
          <w:szCs w:val="16"/>
          <w:lang w:val="es-PR"/>
        </w:rPr>
        <w:t>220</w:t>
      </w:r>
      <w:r w:rsidRPr="007E666D">
        <w:rPr>
          <w:rFonts w:ascii="Verdana" w:eastAsia="Verdana" w:hAnsi="Verdana" w:cs="Verdana"/>
          <w:sz w:val="16"/>
          <w:szCs w:val="16"/>
          <w:lang w:val="es-PR"/>
        </w:rPr>
        <w:t>;</w:t>
      </w:r>
      <w:r w:rsidRPr="007E666D">
        <w:rPr>
          <w:rFonts w:ascii="Verdana" w:eastAsia="Verdana" w:hAnsi="Verdana" w:cs="Verdana"/>
          <w:spacing w:val="20"/>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so</w:t>
      </w:r>
      <w:r w:rsidRPr="007E666D">
        <w:rPr>
          <w:rFonts w:ascii="Verdana" w:eastAsia="Verdana" w:hAnsi="Verdana" w:cs="Verdana"/>
          <w:i/>
          <w:spacing w:val="19"/>
          <w:sz w:val="16"/>
          <w:szCs w:val="16"/>
          <w:lang w:val="es-PR"/>
        </w:rPr>
        <w:t xml:space="preserve"> </w:t>
      </w:r>
      <w:r w:rsidRPr="007E666D">
        <w:rPr>
          <w:rFonts w:ascii="Verdana" w:eastAsia="Verdana" w:hAnsi="Verdana" w:cs="Verdana"/>
          <w:i/>
          <w:spacing w:val="-2"/>
          <w:sz w:val="16"/>
          <w:szCs w:val="16"/>
          <w:lang w:val="es-PR"/>
        </w:rPr>
        <w:t>d</w:t>
      </w:r>
      <w:r w:rsidRPr="007E666D">
        <w:rPr>
          <w:rFonts w:ascii="Verdana" w:eastAsia="Verdana" w:hAnsi="Verdana" w:cs="Verdana"/>
          <w:i/>
          <w:sz w:val="16"/>
          <w:szCs w:val="16"/>
          <w:lang w:val="es-PR"/>
        </w:rPr>
        <w:t>e</w:t>
      </w:r>
      <w:r w:rsidRPr="007E666D">
        <w:rPr>
          <w:rFonts w:ascii="Verdana" w:eastAsia="Verdana" w:hAnsi="Verdana" w:cs="Verdana"/>
          <w:i/>
          <w:spacing w:val="21"/>
          <w:sz w:val="16"/>
          <w:szCs w:val="16"/>
          <w:lang w:val="es-PR"/>
        </w:rPr>
        <w:t xml:space="preserve"> </w:t>
      </w:r>
      <w:r w:rsidRPr="007E666D">
        <w:rPr>
          <w:rFonts w:ascii="Verdana" w:eastAsia="Verdana" w:hAnsi="Verdana" w:cs="Verdana"/>
          <w:i/>
          <w:spacing w:val="-1"/>
          <w:sz w:val="16"/>
          <w:szCs w:val="16"/>
          <w:lang w:val="es-PR"/>
        </w:rPr>
        <w:t>l</w:t>
      </w:r>
      <w:r w:rsidRPr="007E666D">
        <w:rPr>
          <w:rFonts w:ascii="Verdana" w:eastAsia="Verdana" w:hAnsi="Verdana" w:cs="Verdana"/>
          <w:i/>
          <w:sz w:val="16"/>
          <w:szCs w:val="16"/>
          <w:lang w:val="es-PR"/>
        </w:rPr>
        <w:t>a</w:t>
      </w:r>
      <w:r w:rsidRPr="007E666D">
        <w:rPr>
          <w:rFonts w:ascii="Verdana" w:eastAsia="Verdana" w:hAnsi="Verdana" w:cs="Verdana"/>
          <w:i/>
          <w:spacing w:val="20"/>
          <w:sz w:val="16"/>
          <w:szCs w:val="16"/>
          <w:lang w:val="es-PR"/>
        </w:rPr>
        <w:t xml:space="preserve"> </w:t>
      </w:r>
      <w:r w:rsidRPr="007E666D">
        <w:rPr>
          <w:rFonts w:ascii="Verdana" w:eastAsia="Verdana" w:hAnsi="Verdana" w:cs="Verdana"/>
          <w:i/>
          <w:spacing w:val="-1"/>
          <w:sz w:val="16"/>
          <w:szCs w:val="16"/>
          <w:lang w:val="es-PR"/>
        </w:rPr>
        <w:t>Ma</w:t>
      </w:r>
      <w:r w:rsidRPr="007E666D">
        <w:rPr>
          <w:rFonts w:ascii="Verdana" w:eastAsia="Verdana" w:hAnsi="Verdana" w:cs="Verdana"/>
          <w:i/>
          <w:sz w:val="16"/>
          <w:szCs w:val="16"/>
          <w:lang w:val="es-PR"/>
        </w:rPr>
        <w:t>s</w:t>
      </w:r>
      <w:r w:rsidRPr="007E666D">
        <w:rPr>
          <w:rFonts w:ascii="Verdana" w:eastAsia="Verdana" w:hAnsi="Verdana" w:cs="Verdana"/>
          <w:i/>
          <w:spacing w:val="-3"/>
          <w:sz w:val="16"/>
          <w:szCs w:val="16"/>
          <w:lang w:val="es-PR"/>
        </w:rPr>
        <w:t>a</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e</w:t>
      </w:r>
      <w:r w:rsidRPr="007E666D">
        <w:rPr>
          <w:rFonts w:ascii="Verdana" w:eastAsia="Verdana" w:hAnsi="Verdana" w:cs="Verdana"/>
          <w:i/>
          <w:spacing w:val="18"/>
          <w:sz w:val="16"/>
          <w:szCs w:val="16"/>
          <w:lang w:val="es-PR"/>
        </w:rPr>
        <w:t xml:space="preserve"> </w:t>
      </w:r>
      <w:r w:rsidRPr="007E666D">
        <w:rPr>
          <w:rFonts w:ascii="Verdana" w:eastAsia="Verdana" w:hAnsi="Verdana" w:cs="Verdana"/>
          <w:i/>
          <w:spacing w:val="-2"/>
          <w:sz w:val="16"/>
          <w:szCs w:val="16"/>
          <w:lang w:val="es-PR"/>
        </w:rPr>
        <w:t>d</w:t>
      </w:r>
      <w:r w:rsidRPr="007E666D">
        <w:rPr>
          <w:rFonts w:ascii="Verdana" w:eastAsia="Verdana" w:hAnsi="Verdana" w:cs="Verdana"/>
          <w:i/>
          <w:sz w:val="16"/>
          <w:szCs w:val="16"/>
          <w:lang w:val="es-PR"/>
        </w:rPr>
        <w:t>e</w:t>
      </w:r>
      <w:r w:rsidRPr="007E666D">
        <w:rPr>
          <w:rFonts w:ascii="Verdana" w:eastAsia="Verdana" w:hAnsi="Verdana" w:cs="Verdana"/>
          <w:i/>
          <w:spacing w:val="21"/>
          <w:sz w:val="16"/>
          <w:szCs w:val="16"/>
          <w:lang w:val="es-PR"/>
        </w:rPr>
        <w:t xml:space="preserve"> </w:t>
      </w:r>
      <w:r w:rsidRPr="007E666D">
        <w:rPr>
          <w:rFonts w:ascii="Verdana" w:eastAsia="Verdana" w:hAnsi="Verdana" w:cs="Verdana"/>
          <w:i/>
          <w:spacing w:val="-1"/>
          <w:sz w:val="16"/>
          <w:szCs w:val="16"/>
          <w:lang w:val="es-PR"/>
        </w:rPr>
        <w:t>l</w:t>
      </w:r>
      <w:r w:rsidRPr="007E666D">
        <w:rPr>
          <w:rFonts w:ascii="Verdana" w:eastAsia="Verdana" w:hAnsi="Verdana" w:cs="Verdana"/>
          <w:i/>
          <w:sz w:val="16"/>
          <w:szCs w:val="16"/>
          <w:lang w:val="es-PR"/>
        </w:rPr>
        <w:t>a</w:t>
      </w:r>
      <w:r w:rsidRPr="007E666D">
        <w:rPr>
          <w:rFonts w:ascii="Verdana" w:eastAsia="Verdana" w:hAnsi="Verdana" w:cs="Verdana"/>
          <w:i/>
          <w:spacing w:val="17"/>
          <w:sz w:val="16"/>
          <w:szCs w:val="16"/>
          <w:lang w:val="es-PR"/>
        </w:rPr>
        <w:t xml:space="preserve"> </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o</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h</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l</w:t>
      </w:r>
      <w:r w:rsidRPr="007E666D">
        <w:rPr>
          <w:rFonts w:ascii="Verdana" w:eastAsia="Verdana" w:hAnsi="Verdana" w:cs="Verdana"/>
          <w:i/>
          <w:sz w:val="16"/>
          <w:szCs w:val="16"/>
          <w:lang w:val="es-PR"/>
        </w:rPr>
        <w:t>a</w:t>
      </w:r>
      <w:r w:rsidRPr="007E666D">
        <w:rPr>
          <w:rFonts w:ascii="Verdana" w:eastAsia="Verdana" w:hAnsi="Verdana" w:cs="Verdana"/>
          <w:i/>
          <w:spacing w:val="17"/>
          <w:sz w:val="16"/>
          <w:szCs w:val="16"/>
          <w:lang w:val="es-PR"/>
        </w:rPr>
        <w:t xml:space="preserve"> </w:t>
      </w:r>
      <w:r w:rsidRPr="007E666D">
        <w:rPr>
          <w:rFonts w:ascii="Verdana" w:eastAsia="Verdana" w:hAnsi="Verdana" w:cs="Verdana"/>
          <w:i/>
          <w:spacing w:val="1"/>
          <w:sz w:val="16"/>
          <w:szCs w:val="16"/>
          <w:lang w:val="es-PR"/>
        </w:rPr>
        <w:t>V</w:t>
      </w:r>
      <w:r w:rsidRPr="007E666D">
        <w:rPr>
          <w:rFonts w:ascii="Verdana" w:eastAsia="Verdana" w:hAnsi="Verdana" w:cs="Verdana"/>
          <w:i/>
          <w:sz w:val="16"/>
          <w:szCs w:val="16"/>
          <w:lang w:val="es-PR"/>
        </w:rPr>
        <w:t>s.</w:t>
      </w:r>
      <w:r w:rsidRPr="007E666D">
        <w:rPr>
          <w:rFonts w:ascii="Verdana" w:eastAsia="Verdana" w:hAnsi="Verdana" w:cs="Verdana"/>
          <w:i/>
          <w:spacing w:val="20"/>
          <w:sz w:val="16"/>
          <w:szCs w:val="16"/>
          <w:lang w:val="es-PR"/>
        </w:rPr>
        <w:t xml:space="preserve"> </w:t>
      </w:r>
      <w:r w:rsidRPr="007E666D">
        <w:rPr>
          <w:rFonts w:ascii="Verdana" w:eastAsia="Verdana" w:hAnsi="Verdana" w:cs="Verdana"/>
          <w:i/>
          <w:spacing w:val="-2"/>
          <w:sz w:val="16"/>
          <w:szCs w:val="16"/>
          <w:lang w:val="es-PR"/>
        </w:rPr>
        <w:t>C</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l</w:t>
      </w:r>
      <w:r w:rsidRPr="007E666D">
        <w:rPr>
          <w:rFonts w:ascii="Verdana" w:eastAsia="Verdana" w:hAnsi="Verdana" w:cs="Verdana"/>
          <w:i/>
          <w:spacing w:val="1"/>
          <w:sz w:val="16"/>
          <w:szCs w:val="16"/>
          <w:lang w:val="es-PR"/>
        </w:rPr>
        <w:t>o</w:t>
      </w:r>
      <w:r w:rsidRPr="007E666D">
        <w:rPr>
          <w:rFonts w:ascii="Verdana" w:eastAsia="Verdana" w:hAnsi="Verdana" w:cs="Verdana"/>
          <w:i/>
          <w:spacing w:val="-3"/>
          <w:sz w:val="16"/>
          <w:szCs w:val="16"/>
          <w:lang w:val="es-PR"/>
        </w:rPr>
        <w:t>m</w:t>
      </w:r>
      <w:r w:rsidRPr="007E666D">
        <w:rPr>
          <w:rFonts w:ascii="Verdana" w:eastAsia="Verdana" w:hAnsi="Verdana" w:cs="Verdana"/>
          <w:i/>
          <w:sz w:val="16"/>
          <w:szCs w:val="16"/>
          <w:lang w:val="es-PR"/>
        </w:rPr>
        <w:t>b</w:t>
      </w:r>
      <w:r w:rsidRPr="007E666D">
        <w:rPr>
          <w:rFonts w:ascii="Verdana" w:eastAsia="Verdana" w:hAnsi="Verdana" w:cs="Verdana"/>
          <w:i/>
          <w:spacing w:val="-1"/>
          <w:sz w:val="16"/>
          <w:szCs w:val="16"/>
          <w:lang w:val="es-PR"/>
        </w:rPr>
        <w:t>ia</w:t>
      </w:r>
      <w:r w:rsidRPr="007E666D">
        <w:rPr>
          <w:rFonts w:ascii="Verdana" w:eastAsia="Verdana" w:hAnsi="Verdana" w:cs="Verdana"/>
          <w:i/>
          <w:sz w:val="16"/>
          <w:szCs w:val="16"/>
          <w:lang w:val="es-PR"/>
        </w:rPr>
        <w:t>,</w:t>
      </w:r>
      <w:r w:rsidRPr="007E666D">
        <w:rPr>
          <w:rFonts w:ascii="Verdana" w:eastAsia="Verdana" w:hAnsi="Verdana" w:cs="Verdana"/>
          <w:i/>
          <w:spacing w:val="19"/>
          <w:sz w:val="16"/>
          <w:szCs w:val="16"/>
          <w:lang w:val="es-PR"/>
        </w:rPr>
        <w:t xml:space="preserve"> </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u</w:t>
      </w:r>
      <w:r w:rsidRPr="007E666D">
        <w:rPr>
          <w:rFonts w:ascii="Verdana" w:eastAsia="Verdana" w:hAnsi="Verdana" w:cs="Verdana"/>
          <w:i/>
          <w:spacing w:val="-2"/>
          <w:sz w:val="16"/>
          <w:szCs w:val="16"/>
          <w:lang w:val="es-PR"/>
        </w:rPr>
        <w:t>p</w:t>
      </w:r>
      <w:r w:rsidRPr="007E666D">
        <w:rPr>
          <w:rFonts w:ascii="Verdana" w:eastAsia="Verdana" w:hAnsi="Verdana" w:cs="Verdana"/>
          <w:i/>
          <w:spacing w:val="1"/>
          <w:sz w:val="16"/>
          <w:szCs w:val="16"/>
          <w:lang w:val="es-PR"/>
        </w:rPr>
        <w:t>r</w:t>
      </w:r>
      <w:r w:rsidRPr="007E666D">
        <w:rPr>
          <w:rFonts w:ascii="Verdana" w:eastAsia="Verdana" w:hAnsi="Verdana" w:cs="Verdana"/>
          <w:i/>
          <w:spacing w:val="2"/>
          <w:sz w:val="16"/>
          <w:szCs w:val="16"/>
          <w:lang w:val="es-PR"/>
        </w:rPr>
        <w:t>a</w:t>
      </w:r>
      <w:r w:rsidRPr="007E666D">
        <w:rPr>
          <w:rFonts w:ascii="Verdana" w:eastAsia="Verdana" w:hAnsi="Verdana" w:cs="Verdana"/>
          <w:sz w:val="16"/>
          <w:szCs w:val="16"/>
          <w:lang w:val="es-PR"/>
        </w:rPr>
        <w:t>,</w:t>
      </w:r>
      <w:r w:rsidRPr="007E666D">
        <w:rPr>
          <w:rFonts w:ascii="Verdana" w:eastAsia="Verdana" w:hAnsi="Verdana" w:cs="Verdana"/>
          <w:spacing w:val="17"/>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1"/>
          <w:sz w:val="16"/>
          <w:szCs w:val="16"/>
          <w:lang w:val="es-PR"/>
        </w:rPr>
        <w:t>ár</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 xml:space="preserve">. </w:t>
      </w:r>
      <w:r w:rsidRPr="007E666D">
        <w:rPr>
          <w:rFonts w:ascii="Verdana" w:eastAsia="Verdana" w:hAnsi="Verdana" w:cs="Verdana"/>
          <w:spacing w:val="1"/>
          <w:position w:val="-1"/>
          <w:sz w:val="16"/>
          <w:szCs w:val="16"/>
          <w:lang w:val="es-PR"/>
        </w:rPr>
        <w:t>1</w:t>
      </w:r>
      <w:r w:rsidRPr="007E666D">
        <w:rPr>
          <w:rFonts w:ascii="Verdana" w:eastAsia="Verdana" w:hAnsi="Verdana" w:cs="Verdana"/>
          <w:spacing w:val="-1"/>
          <w:position w:val="-1"/>
          <w:sz w:val="16"/>
          <w:szCs w:val="16"/>
          <w:lang w:val="es-PR"/>
        </w:rPr>
        <w:t>4</w:t>
      </w:r>
      <w:r w:rsidRPr="007E666D">
        <w:rPr>
          <w:rFonts w:ascii="Verdana" w:eastAsia="Verdana" w:hAnsi="Verdana" w:cs="Verdana"/>
          <w:spacing w:val="1"/>
          <w:position w:val="-1"/>
          <w:sz w:val="16"/>
          <w:szCs w:val="16"/>
          <w:lang w:val="es-PR"/>
        </w:rPr>
        <w:t>7</w:t>
      </w:r>
      <w:r w:rsidRPr="007E666D">
        <w:rPr>
          <w:rFonts w:ascii="Verdana" w:eastAsia="Verdana" w:hAnsi="Verdana" w:cs="Verdana"/>
          <w:position w:val="-1"/>
          <w:sz w:val="16"/>
          <w:szCs w:val="16"/>
          <w:lang w:val="es-PR"/>
        </w:rPr>
        <w:t>;</w:t>
      </w:r>
      <w:r w:rsidRPr="007E666D">
        <w:rPr>
          <w:rFonts w:ascii="Verdana" w:eastAsia="Verdana" w:hAnsi="Verdana" w:cs="Verdana"/>
          <w:spacing w:val="25"/>
          <w:position w:val="-1"/>
          <w:sz w:val="16"/>
          <w:szCs w:val="16"/>
          <w:lang w:val="es-PR"/>
        </w:rPr>
        <w:t xml:space="preserve"> </w:t>
      </w:r>
      <w:r w:rsidRPr="007E666D">
        <w:rPr>
          <w:rFonts w:ascii="Verdana" w:eastAsia="Verdana" w:hAnsi="Verdana" w:cs="Verdana"/>
          <w:i/>
          <w:position w:val="-1"/>
          <w:sz w:val="16"/>
          <w:szCs w:val="16"/>
          <w:lang w:val="es-PR"/>
        </w:rPr>
        <w:t>C</w:t>
      </w:r>
      <w:r w:rsidRPr="007E666D">
        <w:rPr>
          <w:rFonts w:ascii="Verdana" w:eastAsia="Verdana" w:hAnsi="Verdana" w:cs="Verdana"/>
          <w:i/>
          <w:spacing w:val="-1"/>
          <w:position w:val="-1"/>
          <w:sz w:val="16"/>
          <w:szCs w:val="16"/>
          <w:lang w:val="es-PR"/>
        </w:rPr>
        <w:t>a</w:t>
      </w:r>
      <w:r w:rsidRPr="007E666D">
        <w:rPr>
          <w:rFonts w:ascii="Verdana" w:eastAsia="Verdana" w:hAnsi="Verdana" w:cs="Verdana"/>
          <w:i/>
          <w:spacing w:val="-2"/>
          <w:position w:val="-1"/>
          <w:sz w:val="16"/>
          <w:szCs w:val="16"/>
          <w:lang w:val="es-PR"/>
        </w:rPr>
        <w:t>s</w:t>
      </w:r>
      <w:r w:rsidRPr="007E666D">
        <w:rPr>
          <w:rFonts w:ascii="Verdana" w:eastAsia="Verdana" w:hAnsi="Verdana" w:cs="Verdana"/>
          <w:i/>
          <w:position w:val="-1"/>
          <w:sz w:val="16"/>
          <w:szCs w:val="16"/>
          <w:lang w:val="es-PR"/>
        </w:rPr>
        <w:t>o</w:t>
      </w:r>
      <w:r w:rsidRPr="007E666D">
        <w:rPr>
          <w:rFonts w:ascii="Verdana" w:eastAsia="Verdana" w:hAnsi="Verdana" w:cs="Verdana"/>
          <w:i/>
          <w:spacing w:val="26"/>
          <w:position w:val="-1"/>
          <w:sz w:val="16"/>
          <w:szCs w:val="16"/>
          <w:lang w:val="es-PR"/>
        </w:rPr>
        <w:t xml:space="preserve"> </w:t>
      </w:r>
      <w:r w:rsidRPr="007E666D">
        <w:rPr>
          <w:rFonts w:ascii="Verdana" w:eastAsia="Verdana" w:hAnsi="Verdana" w:cs="Verdana"/>
          <w:i/>
          <w:spacing w:val="1"/>
          <w:position w:val="-1"/>
          <w:sz w:val="16"/>
          <w:szCs w:val="16"/>
          <w:lang w:val="es-PR"/>
        </w:rPr>
        <w:t>A</w:t>
      </w:r>
      <w:r w:rsidRPr="007E666D">
        <w:rPr>
          <w:rFonts w:ascii="Verdana" w:eastAsia="Verdana" w:hAnsi="Verdana" w:cs="Verdana"/>
          <w:i/>
          <w:spacing w:val="-1"/>
          <w:position w:val="-1"/>
          <w:sz w:val="16"/>
          <w:szCs w:val="16"/>
          <w:lang w:val="es-PR"/>
        </w:rPr>
        <w:t>n</w:t>
      </w:r>
      <w:r w:rsidRPr="007E666D">
        <w:rPr>
          <w:rFonts w:ascii="Verdana" w:eastAsia="Verdana" w:hAnsi="Verdana" w:cs="Verdana"/>
          <w:i/>
          <w:position w:val="-1"/>
          <w:sz w:val="16"/>
          <w:szCs w:val="16"/>
          <w:lang w:val="es-PR"/>
        </w:rPr>
        <w:t>z</w:t>
      </w:r>
      <w:r w:rsidRPr="007E666D">
        <w:rPr>
          <w:rFonts w:ascii="Verdana" w:eastAsia="Verdana" w:hAnsi="Verdana" w:cs="Verdana"/>
          <w:i/>
          <w:spacing w:val="-1"/>
          <w:position w:val="-1"/>
          <w:sz w:val="16"/>
          <w:szCs w:val="16"/>
          <w:lang w:val="es-PR"/>
        </w:rPr>
        <w:t>ual</w:t>
      </w:r>
      <w:r w:rsidRPr="007E666D">
        <w:rPr>
          <w:rFonts w:ascii="Verdana" w:eastAsia="Verdana" w:hAnsi="Verdana" w:cs="Verdana"/>
          <w:i/>
          <w:position w:val="-1"/>
          <w:sz w:val="16"/>
          <w:szCs w:val="16"/>
          <w:lang w:val="es-PR"/>
        </w:rPr>
        <w:t>do</w:t>
      </w:r>
      <w:r w:rsidRPr="007E666D">
        <w:rPr>
          <w:rFonts w:ascii="Verdana" w:eastAsia="Verdana" w:hAnsi="Verdana" w:cs="Verdana"/>
          <w:i/>
          <w:spacing w:val="26"/>
          <w:position w:val="-1"/>
          <w:sz w:val="16"/>
          <w:szCs w:val="16"/>
          <w:lang w:val="es-PR"/>
        </w:rPr>
        <w:t xml:space="preserve"> </w:t>
      </w:r>
      <w:r w:rsidRPr="007E666D">
        <w:rPr>
          <w:rFonts w:ascii="Verdana" w:eastAsia="Verdana" w:hAnsi="Verdana" w:cs="Verdana"/>
          <w:i/>
          <w:position w:val="-1"/>
          <w:sz w:val="16"/>
          <w:szCs w:val="16"/>
          <w:lang w:val="es-PR"/>
        </w:rPr>
        <w:t>C</w:t>
      </w:r>
      <w:r w:rsidRPr="007E666D">
        <w:rPr>
          <w:rFonts w:ascii="Verdana" w:eastAsia="Verdana" w:hAnsi="Verdana" w:cs="Verdana"/>
          <w:i/>
          <w:spacing w:val="-3"/>
          <w:position w:val="-1"/>
          <w:sz w:val="16"/>
          <w:szCs w:val="16"/>
          <w:lang w:val="es-PR"/>
        </w:rPr>
        <w:t>a</w:t>
      </w:r>
      <w:r w:rsidRPr="007E666D">
        <w:rPr>
          <w:rFonts w:ascii="Verdana" w:eastAsia="Verdana" w:hAnsi="Verdana" w:cs="Verdana"/>
          <w:i/>
          <w:position w:val="-1"/>
          <w:sz w:val="16"/>
          <w:szCs w:val="16"/>
          <w:lang w:val="es-PR"/>
        </w:rPr>
        <w:t>s</w:t>
      </w:r>
      <w:r w:rsidRPr="007E666D">
        <w:rPr>
          <w:rFonts w:ascii="Verdana" w:eastAsia="Verdana" w:hAnsi="Verdana" w:cs="Verdana"/>
          <w:i/>
          <w:spacing w:val="-1"/>
          <w:position w:val="-1"/>
          <w:sz w:val="16"/>
          <w:szCs w:val="16"/>
          <w:lang w:val="es-PR"/>
        </w:rPr>
        <w:t>tr</w:t>
      </w:r>
      <w:r w:rsidRPr="007E666D">
        <w:rPr>
          <w:rFonts w:ascii="Verdana" w:eastAsia="Verdana" w:hAnsi="Verdana" w:cs="Verdana"/>
          <w:i/>
          <w:position w:val="-1"/>
          <w:sz w:val="16"/>
          <w:szCs w:val="16"/>
          <w:lang w:val="es-PR"/>
        </w:rPr>
        <w:t>o</w:t>
      </w:r>
      <w:r w:rsidRPr="007E666D">
        <w:rPr>
          <w:rFonts w:ascii="Verdana" w:eastAsia="Verdana" w:hAnsi="Verdana" w:cs="Verdana"/>
          <w:i/>
          <w:spacing w:val="26"/>
          <w:position w:val="-1"/>
          <w:sz w:val="16"/>
          <w:szCs w:val="16"/>
          <w:lang w:val="es-PR"/>
        </w:rPr>
        <w:t xml:space="preserve"> </w:t>
      </w:r>
      <w:r w:rsidRPr="007E666D">
        <w:rPr>
          <w:rFonts w:ascii="Verdana" w:eastAsia="Verdana" w:hAnsi="Verdana" w:cs="Verdana"/>
          <w:i/>
          <w:spacing w:val="-2"/>
          <w:position w:val="-1"/>
          <w:sz w:val="16"/>
          <w:szCs w:val="16"/>
          <w:lang w:val="es-PR"/>
        </w:rPr>
        <w:t>V</w:t>
      </w:r>
      <w:r w:rsidRPr="007E666D">
        <w:rPr>
          <w:rFonts w:ascii="Verdana" w:eastAsia="Verdana" w:hAnsi="Verdana" w:cs="Verdana"/>
          <w:i/>
          <w:position w:val="-1"/>
          <w:sz w:val="16"/>
          <w:szCs w:val="16"/>
          <w:lang w:val="es-PR"/>
        </w:rPr>
        <w:t>s.</w:t>
      </w:r>
      <w:r w:rsidRPr="007E666D">
        <w:rPr>
          <w:rFonts w:ascii="Verdana" w:eastAsia="Verdana" w:hAnsi="Verdana" w:cs="Verdana"/>
          <w:i/>
          <w:spacing w:val="24"/>
          <w:position w:val="-1"/>
          <w:sz w:val="16"/>
          <w:szCs w:val="16"/>
          <w:lang w:val="es-PR"/>
        </w:rPr>
        <w:t xml:space="preserve"> </w:t>
      </w:r>
      <w:r w:rsidRPr="007E666D">
        <w:rPr>
          <w:rFonts w:ascii="Verdana" w:eastAsia="Verdana" w:hAnsi="Verdana" w:cs="Verdana"/>
          <w:i/>
          <w:spacing w:val="-1"/>
          <w:position w:val="-1"/>
          <w:sz w:val="16"/>
          <w:szCs w:val="16"/>
          <w:lang w:val="es-PR"/>
        </w:rPr>
        <w:t>P</w:t>
      </w:r>
      <w:r w:rsidRPr="007E666D">
        <w:rPr>
          <w:rFonts w:ascii="Verdana" w:eastAsia="Verdana" w:hAnsi="Verdana" w:cs="Verdana"/>
          <w:i/>
          <w:position w:val="-1"/>
          <w:sz w:val="16"/>
          <w:szCs w:val="16"/>
          <w:lang w:val="es-PR"/>
        </w:rPr>
        <w:t>e</w:t>
      </w:r>
      <w:r w:rsidRPr="007E666D">
        <w:rPr>
          <w:rFonts w:ascii="Verdana" w:eastAsia="Verdana" w:hAnsi="Verdana" w:cs="Verdana"/>
          <w:i/>
          <w:spacing w:val="1"/>
          <w:position w:val="-1"/>
          <w:sz w:val="16"/>
          <w:szCs w:val="16"/>
          <w:lang w:val="es-PR"/>
        </w:rPr>
        <w:t>r</w:t>
      </w:r>
      <w:r w:rsidRPr="007E666D">
        <w:rPr>
          <w:rFonts w:ascii="Verdana" w:eastAsia="Verdana" w:hAnsi="Verdana" w:cs="Verdana"/>
          <w:i/>
          <w:spacing w:val="-1"/>
          <w:position w:val="-1"/>
          <w:sz w:val="16"/>
          <w:szCs w:val="16"/>
          <w:lang w:val="es-PR"/>
        </w:rPr>
        <w:t>ú</w:t>
      </w:r>
      <w:r w:rsidRPr="007E666D">
        <w:rPr>
          <w:rFonts w:ascii="Verdana" w:eastAsia="Verdana" w:hAnsi="Verdana" w:cs="Verdana"/>
          <w:i/>
          <w:position w:val="-1"/>
          <w:sz w:val="16"/>
          <w:szCs w:val="16"/>
          <w:lang w:val="es-PR"/>
        </w:rPr>
        <w:t>,</w:t>
      </w:r>
      <w:r w:rsidRPr="007E666D">
        <w:rPr>
          <w:rFonts w:ascii="Verdana" w:eastAsia="Verdana" w:hAnsi="Verdana" w:cs="Verdana"/>
          <w:i/>
          <w:spacing w:val="24"/>
          <w:position w:val="-1"/>
          <w:sz w:val="16"/>
          <w:szCs w:val="16"/>
          <w:lang w:val="es-PR"/>
        </w:rPr>
        <w:t xml:space="preserve"> </w:t>
      </w:r>
      <w:r w:rsidRPr="007E666D">
        <w:rPr>
          <w:rFonts w:ascii="Verdana" w:eastAsia="Verdana" w:hAnsi="Verdana" w:cs="Verdana"/>
          <w:i/>
          <w:position w:val="-1"/>
          <w:sz w:val="16"/>
          <w:szCs w:val="16"/>
          <w:lang w:val="es-PR"/>
        </w:rPr>
        <w:t>s</w:t>
      </w:r>
      <w:r w:rsidRPr="007E666D">
        <w:rPr>
          <w:rFonts w:ascii="Verdana" w:eastAsia="Verdana" w:hAnsi="Verdana" w:cs="Verdana"/>
          <w:i/>
          <w:spacing w:val="-1"/>
          <w:position w:val="-1"/>
          <w:sz w:val="16"/>
          <w:szCs w:val="16"/>
          <w:lang w:val="es-PR"/>
        </w:rPr>
        <w:t>u</w:t>
      </w:r>
      <w:r w:rsidRPr="007E666D">
        <w:rPr>
          <w:rFonts w:ascii="Verdana" w:eastAsia="Verdana" w:hAnsi="Verdana" w:cs="Verdana"/>
          <w:i/>
          <w:position w:val="-1"/>
          <w:sz w:val="16"/>
          <w:szCs w:val="16"/>
          <w:lang w:val="es-PR"/>
        </w:rPr>
        <w:t>p</w:t>
      </w:r>
      <w:r w:rsidRPr="007E666D">
        <w:rPr>
          <w:rFonts w:ascii="Verdana" w:eastAsia="Verdana" w:hAnsi="Verdana" w:cs="Verdana"/>
          <w:i/>
          <w:spacing w:val="1"/>
          <w:position w:val="-1"/>
          <w:sz w:val="16"/>
          <w:szCs w:val="16"/>
          <w:lang w:val="es-PR"/>
        </w:rPr>
        <w:t>r</w:t>
      </w:r>
      <w:r w:rsidRPr="007E666D">
        <w:rPr>
          <w:rFonts w:ascii="Verdana" w:eastAsia="Verdana" w:hAnsi="Verdana" w:cs="Verdana"/>
          <w:i/>
          <w:spacing w:val="3"/>
          <w:position w:val="-1"/>
          <w:sz w:val="16"/>
          <w:szCs w:val="16"/>
          <w:lang w:val="es-PR"/>
        </w:rPr>
        <w:t>a</w:t>
      </w:r>
      <w:r w:rsidRPr="007E666D">
        <w:rPr>
          <w:rFonts w:ascii="Verdana" w:eastAsia="Verdana" w:hAnsi="Verdana" w:cs="Verdana"/>
          <w:position w:val="-1"/>
          <w:sz w:val="16"/>
          <w:szCs w:val="16"/>
          <w:lang w:val="es-PR"/>
        </w:rPr>
        <w:t>,</w:t>
      </w:r>
      <w:r w:rsidRPr="007E666D">
        <w:rPr>
          <w:rFonts w:ascii="Verdana" w:eastAsia="Verdana" w:hAnsi="Verdana" w:cs="Verdana"/>
          <w:spacing w:val="24"/>
          <w:position w:val="-1"/>
          <w:sz w:val="16"/>
          <w:szCs w:val="16"/>
          <w:lang w:val="es-PR"/>
        </w:rPr>
        <w:t xml:space="preserve"> </w:t>
      </w:r>
      <w:r w:rsidRPr="007E666D">
        <w:rPr>
          <w:rFonts w:ascii="Verdana" w:eastAsia="Verdana" w:hAnsi="Verdana" w:cs="Verdana"/>
          <w:position w:val="-1"/>
          <w:sz w:val="16"/>
          <w:szCs w:val="16"/>
          <w:lang w:val="es-PR"/>
        </w:rPr>
        <w:t>p</w:t>
      </w:r>
      <w:r w:rsidRPr="007E666D">
        <w:rPr>
          <w:rFonts w:ascii="Verdana" w:eastAsia="Verdana" w:hAnsi="Verdana" w:cs="Verdana"/>
          <w:spacing w:val="-1"/>
          <w:position w:val="-1"/>
          <w:sz w:val="16"/>
          <w:szCs w:val="16"/>
          <w:lang w:val="es-PR"/>
        </w:rPr>
        <w:t>ár</w:t>
      </w:r>
      <w:r w:rsidRPr="007E666D">
        <w:rPr>
          <w:rFonts w:ascii="Verdana" w:eastAsia="Verdana" w:hAnsi="Verdana" w:cs="Verdana"/>
          <w:spacing w:val="1"/>
          <w:position w:val="-1"/>
          <w:sz w:val="16"/>
          <w:szCs w:val="16"/>
          <w:lang w:val="es-PR"/>
        </w:rPr>
        <w:t>r</w:t>
      </w:r>
      <w:r w:rsidRPr="007E666D">
        <w:rPr>
          <w:rFonts w:ascii="Verdana" w:eastAsia="Verdana" w:hAnsi="Verdana" w:cs="Verdana"/>
          <w:position w:val="-1"/>
          <w:sz w:val="16"/>
          <w:szCs w:val="16"/>
          <w:lang w:val="es-PR"/>
        </w:rPr>
        <w:t>s.</w:t>
      </w:r>
      <w:r w:rsidRPr="007E666D">
        <w:rPr>
          <w:rFonts w:ascii="Verdana" w:eastAsia="Verdana" w:hAnsi="Verdana" w:cs="Verdana"/>
          <w:spacing w:val="24"/>
          <w:position w:val="-1"/>
          <w:sz w:val="16"/>
          <w:szCs w:val="16"/>
          <w:lang w:val="es-PR"/>
        </w:rPr>
        <w:t xml:space="preserve"> </w:t>
      </w:r>
      <w:r w:rsidRPr="007E666D">
        <w:rPr>
          <w:rFonts w:ascii="Verdana" w:eastAsia="Verdana" w:hAnsi="Verdana" w:cs="Verdana"/>
          <w:spacing w:val="-1"/>
          <w:position w:val="-1"/>
          <w:sz w:val="16"/>
          <w:szCs w:val="16"/>
          <w:lang w:val="es-PR"/>
        </w:rPr>
        <w:t>11</w:t>
      </w:r>
      <w:r w:rsidRPr="007E666D">
        <w:rPr>
          <w:rFonts w:ascii="Verdana" w:eastAsia="Verdana" w:hAnsi="Verdana" w:cs="Verdana"/>
          <w:position w:val="-1"/>
          <w:sz w:val="16"/>
          <w:szCs w:val="16"/>
          <w:lang w:val="es-PR"/>
        </w:rPr>
        <w:t>9</w:t>
      </w:r>
      <w:r w:rsidRPr="007E666D">
        <w:rPr>
          <w:rFonts w:ascii="Verdana" w:eastAsia="Verdana" w:hAnsi="Verdana" w:cs="Verdana"/>
          <w:spacing w:val="26"/>
          <w:position w:val="-1"/>
          <w:sz w:val="16"/>
          <w:szCs w:val="16"/>
          <w:lang w:val="es-PR"/>
        </w:rPr>
        <w:t xml:space="preserve"> </w:t>
      </w:r>
      <w:r w:rsidRPr="007E666D">
        <w:rPr>
          <w:rFonts w:ascii="Verdana" w:eastAsia="Verdana" w:hAnsi="Verdana" w:cs="Verdana"/>
          <w:position w:val="-1"/>
          <w:sz w:val="16"/>
          <w:szCs w:val="16"/>
          <w:lang w:val="es-PR"/>
        </w:rPr>
        <w:t>y</w:t>
      </w:r>
      <w:r w:rsidRPr="007E666D">
        <w:rPr>
          <w:rFonts w:ascii="Verdana" w:eastAsia="Verdana" w:hAnsi="Verdana" w:cs="Verdana"/>
          <w:spacing w:val="23"/>
          <w:position w:val="-1"/>
          <w:sz w:val="16"/>
          <w:szCs w:val="16"/>
          <w:lang w:val="es-PR"/>
        </w:rPr>
        <w:t xml:space="preserve"> </w:t>
      </w:r>
      <w:r w:rsidRPr="007E666D">
        <w:rPr>
          <w:rFonts w:ascii="Verdana" w:eastAsia="Verdana" w:hAnsi="Verdana" w:cs="Verdana"/>
          <w:spacing w:val="1"/>
          <w:position w:val="-1"/>
          <w:sz w:val="16"/>
          <w:szCs w:val="16"/>
          <w:lang w:val="es-PR"/>
        </w:rPr>
        <w:t>1</w:t>
      </w:r>
      <w:r w:rsidRPr="007E666D">
        <w:rPr>
          <w:rFonts w:ascii="Verdana" w:eastAsia="Verdana" w:hAnsi="Verdana" w:cs="Verdana"/>
          <w:spacing w:val="-1"/>
          <w:position w:val="-1"/>
          <w:sz w:val="16"/>
          <w:szCs w:val="16"/>
          <w:lang w:val="es-PR"/>
        </w:rPr>
        <w:t>2</w:t>
      </w:r>
      <w:r w:rsidRPr="007E666D">
        <w:rPr>
          <w:rFonts w:ascii="Verdana" w:eastAsia="Verdana" w:hAnsi="Verdana" w:cs="Verdana"/>
          <w:spacing w:val="1"/>
          <w:position w:val="-1"/>
          <w:sz w:val="16"/>
          <w:szCs w:val="16"/>
          <w:lang w:val="es-PR"/>
        </w:rPr>
        <w:t>0</w:t>
      </w:r>
      <w:r w:rsidRPr="007E666D">
        <w:rPr>
          <w:rFonts w:ascii="Verdana" w:eastAsia="Verdana" w:hAnsi="Verdana" w:cs="Verdana"/>
          <w:position w:val="-1"/>
          <w:sz w:val="16"/>
          <w:szCs w:val="16"/>
          <w:lang w:val="es-PR"/>
        </w:rPr>
        <w:t>,</w:t>
      </w:r>
      <w:r w:rsidRPr="007E666D">
        <w:rPr>
          <w:rFonts w:ascii="Verdana" w:eastAsia="Verdana" w:hAnsi="Verdana" w:cs="Verdana"/>
          <w:spacing w:val="24"/>
          <w:position w:val="-1"/>
          <w:sz w:val="16"/>
          <w:szCs w:val="16"/>
          <w:lang w:val="es-PR"/>
        </w:rPr>
        <w:t xml:space="preserve"> </w:t>
      </w:r>
      <w:r w:rsidRPr="007E666D">
        <w:rPr>
          <w:rFonts w:ascii="Verdana" w:eastAsia="Verdana" w:hAnsi="Verdana" w:cs="Verdana"/>
          <w:position w:val="-1"/>
          <w:sz w:val="16"/>
          <w:szCs w:val="16"/>
          <w:lang w:val="es-PR"/>
        </w:rPr>
        <w:t>y</w:t>
      </w:r>
      <w:r w:rsidRPr="007E666D">
        <w:rPr>
          <w:rFonts w:ascii="Verdana" w:eastAsia="Verdana" w:hAnsi="Verdana" w:cs="Verdana"/>
          <w:spacing w:val="28"/>
          <w:position w:val="-1"/>
          <w:sz w:val="16"/>
          <w:szCs w:val="16"/>
          <w:lang w:val="es-PR"/>
        </w:rPr>
        <w:t xml:space="preserve"> </w:t>
      </w:r>
      <w:r w:rsidRPr="007E666D">
        <w:rPr>
          <w:rFonts w:ascii="Verdana" w:eastAsia="Verdana" w:hAnsi="Verdana" w:cs="Verdana"/>
          <w:i/>
          <w:position w:val="-1"/>
          <w:sz w:val="16"/>
          <w:szCs w:val="16"/>
          <w:lang w:val="es-PR"/>
        </w:rPr>
        <w:t>C</w:t>
      </w:r>
      <w:r w:rsidRPr="007E666D">
        <w:rPr>
          <w:rFonts w:ascii="Verdana" w:eastAsia="Verdana" w:hAnsi="Verdana" w:cs="Verdana"/>
          <w:i/>
          <w:spacing w:val="-1"/>
          <w:position w:val="-1"/>
          <w:sz w:val="16"/>
          <w:szCs w:val="16"/>
          <w:lang w:val="es-PR"/>
        </w:rPr>
        <w:t>a</w:t>
      </w:r>
      <w:r w:rsidRPr="007E666D">
        <w:rPr>
          <w:rFonts w:ascii="Verdana" w:eastAsia="Verdana" w:hAnsi="Verdana" w:cs="Verdana"/>
          <w:i/>
          <w:spacing w:val="-2"/>
          <w:position w:val="-1"/>
          <w:sz w:val="16"/>
          <w:szCs w:val="16"/>
          <w:lang w:val="es-PR"/>
        </w:rPr>
        <w:t>s</w:t>
      </w:r>
      <w:r w:rsidRPr="007E666D">
        <w:rPr>
          <w:rFonts w:ascii="Verdana" w:eastAsia="Verdana" w:hAnsi="Verdana" w:cs="Verdana"/>
          <w:i/>
          <w:position w:val="-1"/>
          <w:sz w:val="16"/>
          <w:szCs w:val="16"/>
          <w:lang w:val="es-PR"/>
        </w:rPr>
        <w:t>o</w:t>
      </w:r>
      <w:r w:rsidRPr="007E666D">
        <w:rPr>
          <w:rFonts w:ascii="Verdana" w:eastAsia="Verdana" w:hAnsi="Verdana" w:cs="Verdana"/>
          <w:i/>
          <w:spacing w:val="26"/>
          <w:position w:val="-1"/>
          <w:sz w:val="16"/>
          <w:szCs w:val="16"/>
          <w:lang w:val="es-PR"/>
        </w:rPr>
        <w:t xml:space="preserve"> </w:t>
      </w:r>
      <w:r w:rsidRPr="007E666D">
        <w:rPr>
          <w:rFonts w:ascii="Verdana" w:eastAsia="Verdana" w:hAnsi="Verdana" w:cs="Verdana"/>
          <w:i/>
          <w:spacing w:val="-1"/>
          <w:position w:val="-1"/>
          <w:sz w:val="16"/>
          <w:szCs w:val="16"/>
          <w:lang w:val="es-PR"/>
        </w:rPr>
        <w:t>Ma</w:t>
      </w:r>
      <w:r w:rsidRPr="007E666D">
        <w:rPr>
          <w:rFonts w:ascii="Verdana" w:eastAsia="Verdana" w:hAnsi="Verdana" w:cs="Verdana"/>
          <w:i/>
          <w:position w:val="-1"/>
          <w:sz w:val="16"/>
          <w:szCs w:val="16"/>
          <w:lang w:val="es-PR"/>
        </w:rPr>
        <w:t>sa</w:t>
      </w:r>
      <w:r w:rsidRPr="007E666D">
        <w:rPr>
          <w:rFonts w:ascii="Verdana" w:eastAsia="Verdana" w:hAnsi="Verdana" w:cs="Verdana"/>
          <w:i/>
          <w:spacing w:val="-3"/>
          <w:position w:val="-1"/>
          <w:sz w:val="16"/>
          <w:szCs w:val="16"/>
          <w:lang w:val="es-PR"/>
        </w:rPr>
        <w:t>c</w:t>
      </w:r>
      <w:r w:rsidRPr="007E666D">
        <w:rPr>
          <w:rFonts w:ascii="Verdana" w:eastAsia="Verdana" w:hAnsi="Verdana" w:cs="Verdana"/>
          <w:i/>
          <w:spacing w:val="1"/>
          <w:position w:val="-1"/>
          <w:sz w:val="16"/>
          <w:szCs w:val="16"/>
          <w:lang w:val="es-PR"/>
        </w:rPr>
        <w:t>r</w:t>
      </w:r>
      <w:r w:rsidRPr="007E666D">
        <w:rPr>
          <w:rFonts w:ascii="Verdana" w:eastAsia="Verdana" w:hAnsi="Verdana" w:cs="Verdana"/>
          <w:i/>
          <w:position w:val="-1"/>
          <w:sz w:val="16"/>
          <w:szCs w:val="16"/>
          <w:lang w:val="es-PR"/>
        </w:rPr>
        <w:t>es</w:t>
      </w:r>
      <w:r w:rsidRPr="007E666D">
        <w:rPr>
          <w:rFonts w:ascii="Verdana" w:eastAsia="Verdana" w:hAnsi="Verdana" w:cs="Verdana"/>
          <w:i/>
          <w:spacing w:val="23"/>
          <w:position w:val="-1"/>
          <w:sz w:val="16"/>
          <w:szCs w:val="16"/>
          <w:lang w:val="es-PR"/>
        </w:rPr>
        <w:t xml:space="preserve"> </w:t>
      </w:r>
      <w:r w:rsidRPr="007E666D">
        <w:rPr>
          <w:rFonts w:ascii="Verdana" w:eastAsia="Verdana" w:hAnsi="Verdana" w:cs="Verdana"/>
          <w:i/>
          <w:position w:val="-1"/>
          <w:sz w:val="16"/>
          <w:szCs w:val="16"/>
          <w:lang w:val="es-PR"/>
        </w:rPr>
        <w:t>de</w:t>
      </w:r>
      <w:r w:rsidRPr="007E666D">
        <w:rPr>
          <w:rFonts w:ascii="Verdana" w:eastAsia="Verdana" w:hAnsi="Verdana" w:cs="Verdana"/>
          <w:i/>
          <w:spacing w:val="25"/>
          <w:position w:val="-1"/>
          <w:sz w:val="16"/>
          <w:szCs w:val="16"/>
          <w:lang w:val="es-PR"/>
        </w:rPr>
        <w:t xml:space="preserve"> </w:t>
      </w:r>
      <w:r w:rsidRPr="007E666D">
        <w:rPr>
          <w:rFonts w:ascii="Verdana" w:eastAsia="Verdana" w:hAnsi="Verdana" w:cs="Verdana"/>
          <w:i/>
          <w:spacing w:val="-1"/>
          <w:position w:val="-1"/>
          <w:sz w:val="16"/>
          <w:szCs w:val="16"/>
          <w:lang w:val="es-PR"/>
        </w:rPr>
        <w:t>E</w:t>
      </w:r>
      <w:r w:rsidRPr="007E666D">
        <w:rPr>
          <w:rFonts w:ascii="Verdana" w:eastAsia="Verdana" w:hAnsi="Verdana" w:cs="Verdana"/>
          <w:i/>
          <w:position w:val="-1"/>
          <w:sz w:val="16"/>
          <w:szCs w:val="16"/>
          <w:lang w:val="es-PR"/>
        </w:rPr>
        <w:t>l</w:t>
      </w:r>
      <w:r w:rsidRPr="007E666D">
        <w:rPr>
          <w:rFonts w:ascii="Verdana" w:eastAsia="Verdana" w:hAnsi="Verdana" w:cs="Verdana"/>
          <w:i/>
          <w:spacing w:val="26"/>
          <w:position w:val="-1"/>
          <w:sz w:val="16"/>
          <w:szCs w:val="16"/>
          <w:lang w:val="es-PR"/>
        </w:rPr>
        <w:t xml:space="preserve"> </w:t>
      </w:r>
      <w:r w:rsidRPr="007E666D">
        <w:rPr>
          <w:rFonts w:ascii="Verdana" w:eastAsia="Verdana" w:hAnsi="Verdana" w:cs="Verdana"/>
          <w:i/>
          <w:spacing w:val="-1"/>
          <w:position w:val="-1"/>
          <w:sz w:val="16"/>
          <w:szCs w:val="16"/>
          <w:lang w:val="es-PR"/>
        </w:rPr>
        <w:t>M</w:t>
      </w:r>
      <w:r w:rsidRPr="007E666D">
        <w:rPr>
          <w:rFonts w:ascii="Verdana" w:eastAsia="Verdana" w:hAnsi="Verdana" w:cs="Verdana"/>
          <w:i/>
          <w:spacing w:val="1"/>
          <w:position w:val="-1"/>
          <w:sz w:val="16"/>
          <w:szCs w:val="16"/>
          <w:lang w:val="es-PR"/>
        </w:rPr>
        <w:t>o</w:t>
      </w:r>
      <w:r w:rsidRPr="007E666D">
        <w:rPr>
          <w:rFonts w:ascii="Verdana" w:eastAsia="Verdana" w:hAnsi="Verdana" w:cs="Verdana"/>
          <w:i/>
          <w:position w:val="-1"/>
          <w:sz w:val="16"/>
          <w:szCs w:val="16"/>
          <w:lang w:val="es-PR"/>
        </w:rPr>
        <w:t>zo</w:t>
      </w:r>
      <w:r w:rsidRPr="007E666D">
        <w:rPr>
          <w:rFonts w:ascii="Verdana" w:eastAsia="Verdana" w:hAnsi="Verdana" w:cs="Verdana"/>
          <w:i/>
          <w:spacing w:val="-1"/>
          <w:position w:val="-1"/>
          <w:sz w:val="16"/>
          <w:szCs w:val="16"/>
          <w:lang w:val="es-PR"/>
        </w:rPr>
        <w:t>t</w:t>
      </w:r>
      <w:r w:rsidRPr="007E666D">
        <w:rPr>
          <w:rFonts w:ascii="Verdana" w:eastAsia="Verdana" w:hAnsi="Verdana" w:cs="Verdana"/>
          <w:i/>
          <w:position w:val="-1"/>
          <w:sz w:val="16"/>
          <w:szCs w:val="16"/>
          <w:lang w:val="es-PR"/>
        </w:rPr>
        <w:t>e</w:t>
      </w:r>
      <w:r w:rsidRPr="007E666D">
        <w:rPr>
          <w:rFonts w:ascii="Verdana" w:eastAsia="Verdana" w:hAnsi="Verdana" w:cs="Verdana"/>
          <w:i/>
          <w:spacing w:val="25"/>
          <w:position w:val="-1"/>
          <w:sz w:val="16"/>
          <w:szCs w:val="16"/>
          <w:lang w:val="es-PR"/>
        </w:rPr>
        <w:t xml:space="preserve"> </w:t>
      </w:r>
      <w:r w:rsidRPr="007E666D">
        <w:rPr>
          <w:rFonts w:ascii="Verdana" w:eastAsia="Verdana" w:hAnsi="Verdana" w:cs="Verdana"/>
          <w:i/>
          <w:position w:val="-1"/>
          <w:sz w:val="16"/>
          <w:szCs w:val="16"/>
          <w:lang w:val="es-PR"/>
        </w:rPr>
        <w:t>y</w:t>
      </w:r>
      <w:r w:rsidRPr="007E666D">
        <w:rPr>
          <w:rFonts w:ascii="Verdana" w:eastAsia="Verdana" w:hAnsi="Verdana" w:cs="Verdana"/>
          <w:i/>
          <w:spacing w:val="26"/>
          <w:position w:val="-1"/>
          <w:sz w:val="16"/>
          <w:szCs w:val="16"/>
          <w:lang w:val="es-PR"/>
        </w:rPr>
        <w:t xml:space="preserve"> </w:t>
      </w:r>
      <w:r w:rsidRPr="007E666D">
        <w:rPr>
          <w:rFonts w:ascii="Verdana" w:eastAsia="Verdana" w:hAnsi="Verdana" w:cs="Verdana"/>
          <w:i/>
          <w:spacing w:val="-1"/>
          <w:position w:val="-1"/>
          <w:sz w:val="16"/>
          <w:szCs w:val="16"/>
          <w:lang w:val="es-PR"/>
        </w:rPr>
        <w:t>lu</w:t>
      </w:r>
      <w:r w:rsidRPr="007E666D">
        <w:rPr>
          <w:rFonts w:ascii="Verdana" w:eastAsia="Verdana" w:hAnsi="Verdana" w:cs="Verdana"/>
          <w:i/>
          <w:spacing w:val="1"/>
          <w:position w:val="-1"/>
          <w:sz w:val="16"/>
          <w:szCs w:val="16"/>
          <w:lang w:val="es-PR"/>
        </w:rPr>
        <w:t>g</w:t>
      </w:r>
      <w:r w:rsidRPr="007E666D">
        <w:rPr>
          <w:rFonts w:ascii="Verdana" w:eastAsia="Verdana" w:hAnsi="Verdana" w:cs="Verdana"/>
          <w:i/>
          <w:spacing w:val="-3"/>
          <w:position w:val="-1"/>
          <w:sz w:val="16"/>
          <w:szCs w:val="16"/>
          <w:lang w:val="es-PR"/>
        </w:rPr>
        <w:t>a</w:t>
      </w:r>
      <w:r w:rsidRPr="007E666D">
        <w:rPr>
          <w:rFonts w:ascii="Verdana" w:eastAsia="Verdana" w:hAnsi="Verdana" w:cs="Verdana"/>
          <w:i/>
          <w:spacing w:val="1"/>
          <w:position w:val="-1"/>
          <w:sz w:val="16"/>
          <w:szCs w:val="16"/>
          <w:lang w:val="es-PR"/>
        </w:rPr>
        <w:t>r</w:t>
      </w:r>
      <w:r w:rsidRPr="007E666D">
        <w:rPr>
          <w:rFonts w:ascii="Verdana" w:eastAsia="Verdana" w:hAnsi="Verdana" w:cs="Verdana"/>
          <w:i/>
          <w:position w:val="-1"/>
          <w:sz w:val="16"/>
          <w:szCs w:val="16"/>
          <w:lang w:val="es-PR"/>
        </w:rPr>
        <w:t>es</w:t>
      </w:r>
      <w:r w:rsidRPr="007E666D">
        <w:rPr>
          <w:rFonts w:ascii="Verdana" w:eastAsia="Verdana" w:hAnsi="Verdana" w:cs="Verdana"/>
          <w:i/>
          <w:spacing w:val="26"/>
          <w:position w:val="-1"/>
          <w:sz w:val="16"/>
          <w:szCs w:val="16"/>
          <w:lang w:val="es-PR"/>
        </w:rPr>
        <w:t xml:space="preserve"> </w:t>
      </w:r>
      <w:r w:rsidRPr="007E666D">
        <w:rPr>
          <w:rFonts w:ascii="Verdana" w:eastAsia="Verdana" w:hAnsi="Verdana" w:cs="Verdana"/>
          <w:i/>
          <w:spacing w:val="-1"/>
          <w:position w:val="-1"/>
          <w:sz w:val="16"/>
          <w:szCs w:val="16"/>
          <w:lang w:val="es-PR"/>
        </w:rPr>
        <w:t>al</w:t>
      </w:r>
      <w:r w:rsidRPr="007E666D">
        <w:rPr>
          <w:rFonts w:ascii="Verdana" w:eastAsia="Verdana" w:hAnsi="Verdana" w:cs="Verdana"/>
          <w:i/>
          <w:spacing w:val="-2"/>
          <w:position w:val="-1"/>
          <w:sz w:val="16"/>
          <w:szCs w:val="16"/>
          <w:lang w:val="es-PR"/>
        </w:rPr>
        <w:t>e</w:t>
      </w:r>
      <w:r w:rsidRPr="007E666D">
        <w:rPr>
          <w:rFonts w:ascii="Verdana" w:eastAsia="Verdana" w:hAnsi="Verdana" w:cs="Verdana"/>
          <w:i/>
          <w:position w:val="-1"/>
          <w:sz w:val="16"/>
          <w:szCs w:val="16"/>
          <w:lang w:val="es-PR"/>
        </w:rPr>
        <w:t>d</w:t>
      </w:r>
      <w:r w:rsidRPr="007E666D">
        <w:rPr>
          <w:rFonts w:ascii="Verdana" w:eastAsia="Verdana" w:hAnsi="Verdana" w:cs="Verdana"/>
          <w:i/>
          <w:spacing w:val="-1"/>
          <w:position w:val="-1"/>
          <w:sz w:val="16"/>
          <w:szCs w:val="16"/>
          <w:lang w:val="es-PR"/>
        </w:rPr>
        <w:t>añ</w:t>
      </w:r>
      <w:r w:rsidRPr="007E666D">
        <w:rPr>
          <w:rFonts w:ascii="Verdana" w:eastAsia="Verdana" w:hAnsi="Verdana" w:cs="Verdana"/>
          <w:i/>
          <w:spacing w:val="1"/>
          <w:position w:val="-1"/>
          <w:sz w:val="16"/>
          <w:szCs w:val="16"/>
          <w:lang w:val="es-PR"/>
        </w:rPr>
        <w:t>o</w:t>
      </w:r>
      <w:r w:rsidRPr="007E666D">
        <w:rPr>
          <w:rFonts w:ascii="Verdana" w:eastAsia="Verdana" w:hAnsi="Verdana" w:cs="Verdana"/>
          <w:i/>
          <w:position w:val="-1"/>
          <w:sz w:val="16"/>
          <w:szCs w:val="16"/>
          <w:lang w:val="es-PR"/>
        </w:rPr>
        <w:t>s</w:t>
      </w:r>
      <w:r w:rsidRPr="007E666D">
        <w:rPr>
          <w:rFonts w:ascii="Verdana" w:eastAsia="Verdana" w:hAnsi="Verdana" w:cs="Verdana"/>
          <w:i/>
          <w:spacing w:val="25"/>
          <w:position w:val="-1"/>
          <w:sz w:val="16"/>
          <w:szCs w:val="16"/>
          <w:lang w:val="es-PR"/>
        </w:rPr>
        <w:t xml:space="preserve"> </w:t>
      </w:r>
      <w:r w:rsidRPr="007E666D">
        <w:rPr>
          <w:rFonts w:ascii="Verdana" w:eastAsia="Verdana" w:hAnsi="Verdana" w:cs="Verdana"/>
          <w:i/>
          <w:spacing w:val="-2"/>
          <w:position w:val="-1"/>
          <w:sz w:val="16"/>
          <w:szCs w:val="16"/>
          <w:lang w:val="es-PR"/>
        </w:rPr>
        <w:t>V</w:t>
      </w:r>
      <w:r w:rsidRPr="007E666D">
        <w:rPr>
          <w:rFonts w:ascii="Verdana" w:eastAsia="Verdana" w:hAnsi="Verdana" w:cs="Verdana"/>
          <w:i/>
          <w:position w:val="-1"/>
          <w:sz w:val="16"/>
          <w:szCs w:val="16"/>
          <w:lang w:val="es-PR"/>
        </w:rPr>
        <w:t>s.</w:t>
      </w:r>
      <w:r w:rsidRPr="007E666D">
        <w:rPr>
          <w:rFonts w:ascii="Verdana" w:eastAsia="Verdana" w:hAnsi="Verdana" w:cs="Verdana"/>
          <w:i/>
          <w:spacing w:val="24"/>
          <w:position w:val="-1"/>
          <w:sz w:val="16"/>
          <w:szCs w:val="16"/>
          <w:lang w:val="es-PR"/>
        </w:rPr>
        <w:t xml:space="preserve"> </w:t>
      </w:r>
      <w:r w:rsidRPr="007E666D">
        <w:rPr>
          <w:rFonts w:ascii="Verdana" w:eastAsia="Verdana" w:hAnsi="Verdana" w:cs="Verdana"/>
          <w:i/>
          <w:spacing w:val="-1"/>
          <w:position w:val="-1"/>
          <w:sz w:val="16"/>
          <w:szCs w:val="16"/>
          <w:lang w:val="es-PR"/>
        </w:rPr>
        <w:t>E</w:t>
      </w:r>
      <w:r w:rsidRPr="007E666D">
        <w:rPr>
          <w:rFonts w:ascii="Verdana" w:eastAsia="Verdana" w:hAnsi="Verdana" w:cs="Verdana"/>
          <w:i/>
          <w:position w:val="-1"/>
          <w:sz w:val="16"/>
          <w:szCs w:val="16"/>
          <w:lang w:val="es-PR"/>
        </w:rPr>
        <w:t>l</w:t>
      </w:r>
      <w:r w:rsidRPr="007E666D">
        <w:rPr>
          <w:rFonts w:ascii="Verdana" w:eastAsia="Verdana" w:hAnsi="Verdana" w:cs="Verdana"/>
          <w:sz w:val="16"/>
          <w:szCs w:val="16"/>
          <w:lang w:val="es-PR"/>
        </w:rPr>
        <w:t xml:space="preserve"> </w:t>
      </w:r>
      <w:r w:rsidRPr="007E666D">
        <w:rPr>
          <w:rFonts w:ascii="Verdana" w:eastAsia="Verdana" w:hAnsi="Verdana" w:cs="Verdana"/>
          <w:i/>
          <w:sz w:val="16"/>
          <w:szCs w:val="16"/>
          <w:lang w:val="es-PR"/>
        </w:rPr>
        <w:t>Sa</w:t>
      </w:r>
      <w:r w:rsidRPr="007E666D">
        <w:rPr>
          <w:rFonts w:ascii="Verdana" w:eastAsia="Verdana" w:hAnsi="Verdana" w:cs="Verdana"/>
          <w:i/>
          <w:spacing w:val="-1"/>
          <w:sz w:val="16"/>
          <w:szCs w:val="16"/>
          <w:lang w:val="es-PR"/>
        </w:rPr>
        <w:t>l</w:t>
      </w:r>
      <w:r w:rsidRPr="007E666D">
        <w:rPr>
          <w:rFonts w:ascii="Verdana" w:eastAsia="Verdana" w:hAnsi="Verdana" w:cs="Verdana"/>
          <w:i/>
          <w:spacing w:val="1"/>
          <w:sz w:val="16"/>
          <w:szCs w:val="16"/>
          <w:lang w:val="es-PR"/>
        </w:rPr>
        <w:t>v</w:t>
      </w:r>
      <w:r w:rsidRPr="007E666D">
        <w:rPr>
          <w:rFonts w:ascii="Verdana" w:eastAsia="Verdana" w:hAnsi="Verdana" w:cs="Verdana"/>
          <w:i/>
          <w:spacing w:val="-1"/>
          <w:sz w:val="16"/>
          <w:szCs w:val="16"/>
          <w:lang w:val="es-PR"/>
        </w:rPr>
        <w:t>a</w:t>
      </w:r>
      <w:r w:rsidRPr="007E666D">
        <w:rPr>
          <w:rFonts w:ascii="Verdana" w:eastAsia="Verdana" w:hAnsi="Verdana" w:cs="Verdana"/>
          <w:i/>
          <w:spacing w:val="-2"/>
          <w:sz w:val="16"/>
          <w:szCs w:val="16"/>
          <w:lang w:val="es-PR"/>
        </w:rPr>
        <w:t>d</w:t>
      </w:r>
      <w:r w:rsidRPr="007E666D">
        <w:rPr>
          <w:rFonts w:ascii="Verdana" w:eastAsia="Verdana" w:hAnsi="Verdana" w:cs="Verdana"/>
          <w:i/>
          <w:spacing w:val="1"/>
          <w:sz w:val="16"/>
          <w:szCs w:val="16"/>
          <w:lang w:val="es-PR"/>
        </w:rPr>
        <w:t>or</w:t>
      </w:r>
      <w:r w:rsidRPr="007E666D">
        <w:rPr>
          <w:rFonts w:ascii="Verdana" w:eastAsia="Verdana" w:hAnsi="Verdana" w:cs="Verdana"/>
          <w:i/>
          <w:sz w:val="16"/>
          <w:szCs w:val="16"/>
          <w:lang w:val="es-PR"/>
        </w:rPr>
        <w:t>,</w:t>
      </w:r>
      <w:r w:rsidRPr="007E666D">
        <w:rPr>
          <w:rFonts w:ascii="Verdana" w:eastAsia="Verdana" w:hAnsi="Verdana" w:cs="Verdana"/>
          <w:i/>
          <w:spacing w:val="24"/>
          <w:sz w:val="16"/>
          <w:szCs w:val="16"/>
          <w:lang w:val="es-PR"/>
        </w:rPr>
        <w:t xml:space="preserve"> </w:t>
      </w:r>
      <w:r w:rsidRPr="007E666D">
        <w:rPr>
          <w:rFonts w:ascii="Verdana" w:eastAsia="Verdana" w:hAnsi="Verdana" w:cs="Verdana"/>
          <w:i/>
          <w:sz w:val="16"/>
          <w:szCs w:val="16"/>
          <w:lang w:val="es-PR"/>
        </w:rPr>
        <w:t>s</w:t>
      </w:r>
      <w:r w:rsidRPr="007E666D">
        <w:rPr>
          <w:rFonts w:ascii="Verdana" w:eastAsia="Verdana" w:hAnsi="Verdana" w:cs="Verdana"/>
          <w:i/>
          <w:spacing w:val="-3"/>
          <w:sz w:val="16"/>
          <w:szCs w:val="16"/>
          <w:lang w:val="es-PR"/>
        </w:rPr>
        <w:t>u</w:t>
      </w:r>
      <w:r w:rsidRPr="007E666D">
        <w:rPr>
          <w:rFonts w:ascii="Verdana" w:eastAsia="Verdana" w:hAnsi="Verdana" w:cs="Verdana"/>
          <w:i/>
          <w:sz w:val="16"/>
          <w:szCs w:val="16"/>
          <w:lang w:val="es-PR"/>
        </w:rPr>
        <w:t>p</w:t>
      </w:r>
      <w:r w:rsidRPr="007E666D">
        <w:rPr>
          <w:rFonts w:ascii="Verdana" w:eastAsia="Verdana" w:hAnsi="Verdana" w:cs="Verdana"/>
          <w:i/>
          <w:spacing w:val="1"/>
          <w:sz w:val="16"/>
          <w:szCs w:val="16"/>
          <w:lang w:val="es-PR"/>
        </w:rPr>
        <w:t>ra</w:t>
      </w:r>
      <w:r w:rsidRPr="007E666D">
        <w:rPr>
          <w:rFonts w:ascii="Verdana" w:eastAsia="Verdana" w:hAnsi="Verdana" w:cs="Verdana"/>
          <w:sz w:val="16"/>
          <w:szCs w:val="16"/>
          <w:lang w:val="es-PR"/>
        </w:rPr>
        <w:t>,</w:t>
      </w:r>
      <w:r w:rsidRPr="007E666D">
        <w:rPr>
          <w:rFonts w:ascii="Verdana" w:eastAsia="Verdana" w:hAnsi="Verdana" w:cs="Verdana"/>
          <w:spacing w:val="24"/>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3"/>
          <w:sz w:val="16"/>
          <w:szCs w:val="16"/>
          <w:lang w:val="es-PR"/>
        </w:rPr>
        <w:t>á</w:t>
      </w:r>
      <w:r w:rsidRPr="007E666D">
        <w:rPr>
          <w:rFonts w:ascii="Verdana" w:eastAsia="Verdana" w:hAnsi="Verdana" w:cs="Verdana"/>
          <w:spacing w:val="1"/>
          <w:sz w:val="16"/>
          <w:szCs w:val="16"/>
          <w:lang w:val="es-PR"/>
        </w:rPr>
        <w:t>rr</w:t>
      </w:r>
      <w:r w:rsidRPr="007E666D">
        <w:rPr>
          <w:rFonts w:ascii="Verdana" w:eastAsia="Verdana" w:hAnsi="Verdana" w:cs="Verdana"/>
          <w:sz w:val="16"/>
          <w:szCs w:val="16"/>
          <w:lang w:val="es-PR"/>
        </w:rPr>
        <w:t>.</w:t>
      </w:r>
      <w:r w:rsidRPr="007E666D">
        <w:rPr>
          <w:rFonts w:ascii="Verdana" w:eastAsia="Verdana" w:hAnsi="Verdana" w:cs="Verdana"/>
          <w:spacing w:val="22"/>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9</w:t>
      </w:r>
      <w:r w:rsidRPr="007E666D">
        <w:rPr>
          <w:rFonts w:ascii="Verdana" w:eastAsia="Verdana" w:hAnsi="Verdana" w:cs="Verdana"/>
          <w:spacing w:val="1"/>
          <w:sz w:val="16"/>
          <w:szCs w:val="16"/>
          <w:lang w:val="es-PR"/>
        </w:rPr>
        <w:t>8</w:t>
      </w:r>
      <w:r w:rsidRPr="007E666D">
        <w:rPr>
          <w:rFonts w:ascii="Verdana" w:eastAsia="Verdana" w:hAnsi="Verdana" w:cs="Verdana"/>
          <w:sz w:val="16"/>
          <w:szCs w:val="16"/>
          <w:lang w:val="es-PR"/>
        </w:rPr>
        <w:t>.</w:t>
      </w:r>
      <w:r w:rsidRPr="007E666D">
        <w:rPr>
          <w:rFonts w:ascii="Verdana" w:eastAsia="Verdana" w:hAnsi="Verdana" w:cs="Verdana"/>
          <w:spacing w:val="24"/>
          <w:sz w:val="16"/>
          <w:szCs w:val="16"/>
          <w:lang w:val="es-PR"/>
        </w:rPr>
        <w:t xml:space="preserve"> </w:t>
      </w:r>
      <w:r w:rsidRPr="007E666D">
        <w:rPr>
          <w:rFonts w:ascii="Verdana" w:eastAsia="Verdana" w:hAnsi="Verdana" w:cs="Verdana"/>
          <w:spacing w:val="-3"/>
          <w:sz w:val="16"/>
          <w:szCs w:val="16"/>
          <w:lang w:val="es-PR"/>
        </w:rPr>
        <w:t>E</w:t>
      </w:r>
      <w:r w:rsidRPr="007E666D">
        <w:rPr>
          <w:rFonts w:ascii="Verdana" w:eastAsia="Verdana" w:hAnsi="Verdana" w:cs="Verdana"/>
          <w:sz w:val="16"/>
          <w:szCs w:val="16"/>
          <w:lang w:val="es-PR"/>
        </w:rPr>
        <w:t>n</w:t>
      </w:r>
      <w:r w:rsidRPr="007E666D">
        <w:rPr>
          <w:rFonts w:ascii="Verdana" w:eastAsia="Verdana" w:hAnsi="Verdana" w:cs="Verdana"/>
          <w:spacing w:val="24"/>
          <w:sz w:val="16"/>
          <w:szCs w:val="16"/>
          <w:lang w:val="es-PR"/>
        </w:rPr>
        <w:t xml:space="preserve"> </w:t>
      </w:r>
      <w:r w:rsidRPr="007E666D">
        <w:rPr>
          <w:rFonts w:ascii="Verdana" w:eastAsia="Verdana" w:hAnsi="Verdana" w:cs="Verdana"/>
          <w:spacing w:val="-1"/>
          <w:sz w:val="16"/>
          <w:szCs w:val="16"/>
          <w:lang w:val="es-PR"/>
        </w:rPr>
        <w:t>u</w:t>
      </w:r>
      <w:r w:rsidRPr="007E666D">
        <w:rPr>
          <w:rFonts w:ascii="Verdana" w:eastAsia="Verdana" w:hAnsi="Verdana" w:cs="Verdana"/>
          <w:sz w:val="16"/>
          <w:szCs w:val="16"/>
          <w:lang w:val="es-PR"/>
        </w:rPr>
        <w:t>n</w:t>
      </w:r>
      <w:r w:rsidRPr="007E666D">
        <w:rPr>
          <w:rFonts w:ascii="Verdana" w:eastAsia="Verdana" w:hAnsi="Verdana" w:cs="Verdana"/>
          <w:spacing w:val="24"/>
          <w:sz w:val="16"/>
          <w:szCs w:val="16"/>
          <w:lang w:val="es-PR"/>
        </w:rPr>
        <w:t xml:space="preserve"> </w:t>
      </w:r>
      <w:r w:rsidRPr="007E666D">
        <w:rPr>
          <w:rFonts w:ascii="Verdana" w:eastAsia="Verdana" w:hAnsi="Verdana" w:cs="Verdana"/>
          <w:sz w:val="16"/>
          <w:szCs w:val="16"/>
          <w:lang w:val="es-PR"/>
        </w:rPr>
        <w:t>caso</w:t>
      </w:r>
      <w:r w:rsidRPr="007E666D">
        <w:rPr>
          <w:rFonts w:ascii="Verdana" w:eastAsia="Verdana" w:hAnsi="Verdana" w:cs="Verdana"/>
          <w:spacing w:val="26"/>
          <w:sz w:val="16"/>
          <w:szCs w:val="16"/>
          <w:lang w:val="es-PR"/>
        </w:rPr>
        <w:t xml:space="preserve"> </w:t>
      </w:r>
      <w:r w:rsidRPr="007E666D">
        <w:rPr>
          <w:rFonts w:ascii="Verdana" w:eastAsia="Verdana" w:hAnsi="Verdana" w:cs="Verdana"/>
          <w:sz w:val="16"/>
          <w:szCs w:val="16"/>
          <w:lang w:val="es-PR"/>
        </w:rPr>
        <w:t>d</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h</w:t>
      </w:r>
      <w:r w:rsidRPr="007E666D">
        <w:rPr>
          <w:rFonts w:ascii="Verdana" w:eastAsia="Verdana" w:hAnsi="Verdana" w:cs="Verdana"/>
          <w:sz w:val="16"/>
          <w:szCs w:val="16"/>
          <w:lang w:val="es-PR"/>
        </w:rPr>
        <w:t>a</w:t>
      </w:r>
      <w:r w:rsidRPr="007E666D">
        <w:rPr>
          <w:rFonts w:ascii="Verdana" w:eastAsia="Verdana" w:hAnsi="Verdana" w:cs="Verdana"/>
          <w:spacing w:val="24"/>
          <w:sz w:val="16"/>
          <w:szCs w:val="16"/>
          <w:lang w:val="es-PR"/>
        </w:rPr>
        <w:t xml:space="preserve"> </w:t>
      </w:r>
      <w:r w:rsidRPr="007E666D">
        <w:rPr>
          <w:rFonts w:ascii="Verdana" w:eastAsia="Verdana" w:hAnsi="Verdana" w:cs="Verdana"/>
          <w:spacing w:val="-2"/>
          <w:sz w:val="16"/>
          <w:szCs w:val="16"/>
          <w:lang w:val="es-PR"/>
        </w:rPr>
        <w:t>c</w:t>
      </w:r>
      <w:r w:rsidRPr="007E666D">
        <w:rPr>
          <w:rFonts w:ascii="Verdana" w:eastAsia="Verdana" w:hAnsi="Verdana" w:cs="Verdana"/>
          <w:spacing w:val="1"/>
          <w:sz w:val="16"/>
          <w:szCs w:val="16"/>
          <w:lang w:val="es-PR"/>
        </w:rPr>
        <w:t>o</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d</w:t>
      </w:r>
      <w:r w:rsidRPr="007E666D">
        <w:rPr>
          <w:rFonts w:ascii="Verdana" w:eastAsia="Verdana" w:hAnsi="Verdana" w:cs="Verdana"/>
          <w:spacing w:val="-2"/>
          <w:sz w:val="16"/>
          <w:szCs w:val="16"/>
          <w:lang w:val="es-PR"/>
        </w:rPr>
        <w:t>e</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a</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pacing w:val="-2"/>
          <w:sz w:val="16"/>
          <w:szCs w:val="16"/>
          <w:lang w:val="es-PR"/>
        </w:rPr>
        <w:t>ó</w:t>
      </w:r>
      <w:r w:rsidRPr="007E666D">
        <w:rPr>
          <w:rFonts w:ascii="Verdana" w:eastAsia="Verdana" w:hAnsi="Verdana" w:cs="Verdana"/>
          <w:sz w:val="16"/>
          <w:szCs w:val="16"/>
          <w:lang w:val="es-PR"/>
        </w:rPr>
        <w:t>n</w:t>
      </w:r>
      <w:r w:rsidRPr="007E666D">
        <w:rPr>
          <w:rFonts w:ascii="Verdana" w:eastAsia="Verdana" w:hAnsi="Verdana" w:cs="Verdana"/>
          <w:spacing w:val="24"/>
          <w:sz w:val="16"/>
          <w:szCs w:val="16"/>
          <w:lang w:val="es-PR"/>
        </w:rPr>
        <w:t xml:space="preserve"> </w:t>
      </w:r>
      <w:r w:rsidRPr="007E666D">
        <w:rPr>
          <w:rFonts w:ascii="Verdana" w:eastAsia="Verdana" w:hAnsi="Verdana" w:cs="Verdana"/>
          <w:sz w:val="16"/>
          <w:szCs w:val="16"/>
          <w:lang w:val="es-PR"/>
        </w:rPr>
        <w:t>se</w:t>
      </w:r>
      <w:r w:rsidRPr="007E666D">
        <w:rPr>
          <w:rFonts w:ascii="Verdana" w:eastAsia="Verdana" w:hAnsi="Verdana" w:cs="Verdana"/>
          <w:spacing w:val="26"/>
          <w:sz w:val="16"/>
          <w:szCs w:val="16"/>
          <w:lang w:val="es-PR"/>
        </w:rPr>
        <w:t xml:space="preserve"> </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ea</w:t>
      </w:r>
      <w:r w:rsidRPr="007E666D">
        <w:rPr>
          <w:rFonts w:ascii="Verdana" w:eastAsia="Verdana" w:hAnsi="Verdana" w:cs="Verdana"/>
          <w:spacing w:val="-1"/>
          <w:sz w:val="16"/>
          <w:szCs w:val="16"/>
          <w:lang w:val="es-PR"/>
        </w:rPr>
        <w:t>li</w:t>
      </w:r>
      <w:r w:rsidRPr="007E666D">
        <w:rPr>
          <w:rFonts w:ascii="Verdana" w:eastAsia="Verdana" w:hAnsi="Verdana" w:cs="Verdana"/>
          <w:sz w:val="16"/>
          <w:szCs w:val="16"/>
          <w:lang w:val="es-PR"/>
        </w:rPr>
        <w:t>zó</w:t>
      </w:r>
      <w:r w:rsidRPr="007E666D">
        <w:rPr>
          <w:rFonts w:ascii="Verdana" w:eastAsia="Verdana" w:hAnsi="Verdana" w:cs="Verdana"/>
          <w:spacing w:val="23"/>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
          <w:sz w:val="16"/>
          <w:szCs w:val="16"/>
          <w:lang w:val="es-PR"/>
        </w:rPr>
        <w:t>ntr</w:t>
      </w:r>
      <w:r w:rsidRPr="007E666D">
        <w:rPr>
          <w:rFonts w:ascii="Verdana" w:eastAsia="Verdana" w:hAnsi="Verdana" w:cs="Verdana"/>
          <w:sz w:val="16"/>
          <w:szCs w:val="16"/>
          <w:lang w:val="es-PR"/>
        </w:rPr>
        <w:t>o</w:t>
      </w:r>
      <w:r w:rsidRPr="007E666D">
        <w:rPr>
          <w:rFonts w:ascii="Verdana" w:eastAsia="Verdana" w:hAnsi="Verdana" w:cs="Verdana"/>
          <w:spacing w:val="26"/>
          <w:sz w:val="16"/>
          <w:szCs w:val="16"/>
          <w:lang w:val="es-PR"/>
        </w:rPr>
        <w:t xml:space="preserve"> </w:t>
      </w:r>
      <w:r w:rsidRPr="007E666D">
        <w:rPr>
          <w:rFonts w:ascii="Verdana" w:eastAsia="Verdana" w:hAnsi="Verdana" w:cs="Verdana"/>
          <w:spacing w:val="-2"/>
          <w:sz w:val="16"/>
          <w:szCs w:val="16"/>
          <w:lang w:val="es-PR"/>
        </w:rPr>
        <w:t>d</w:t>
      </w:r>
      <w:r w:rsidRPr="007E666D">
        <w:rPr>
          <w:rFonts w:ascii="Verdana" w:eastAsia="Verdana" w:hAnsi="Verdana" w:cs="Verdana"/>
          <w:sz w:val="16"/>
          <w:szCs w:val="16"/>
          <w:lang w:val="es-PR"/>
        </w:rPr>
        <w:t>e</w:t>
      </w:r>
      <w:r w:rsidRPr="007E666D">
        <w:rPr>
          <w:rFonts w:ascii="Verdana" w:eastAsia="Verdana" w:hAnsi="Verdana" w:cs="Verdana"/>
          <w:spacing w:val="25"/>
          <w:sz w:val="16"/>
          <w:szCs w:val="16"/>
          <w:lang w:val="es-PR"/>
        </w:rPr>
        <w:t xml:space="preserve"> </w:t>
      </w:r>
      <w:r w:rsidRPr="007E666D">
        <w:rPr>
          <w:rFonts w:ascii="Verdana" w:eastAsia="Verdana" w:hAnsi="Verdana" w:cs="Verdana"/>
          <w:spacing w:val="-1"/>
          <w:sz w:val="16"/>
          <w:szCs w:val="16"/>
          <w:lang w:val="es-PR"/>
        </w:rPr>
        <w:t>l</w:t>
      </w:r>
      <w:r w:rsidRPr="007E666D">
        <w:rPr>
          <w:rFonts w:ascii="Verdana" w:eastAsia="Verdana" w:hAnsi="Verdana" w:cs="Verdana"/>
          <w:sz w:val="16"/>
          <w:szCs w:val="16"/>
          <w:lang w:val="es-PR"/>
        </w:rPr>
        <w:t>a</w:t>
      </w:r>
      <w:r w:rsidRPr="007E666D">
        <w:rPr>
          <w:rFonts w:ascii="Verdana" w:eastAsia="Verdana" w:hAnsi="Verdana" w:cs="Verdana"/>
          <w:spacing w:val="24"/>
          <w:sz w:val="16"/>
          <w:szCs w:val="16"/>
          <w:lang w:val="es-PR"/>
        </w:rPr>
        <w:t xml:space="preserve"> </w:t>
      </w:r>
      <w:r w:rsidRPr="007E666D">
        <w:rPr>
          <w:rFonts w:ascii="Verdana" w:eastAsia="Verdana" w:hAnsi="Verdana" w:cs="Verdana"/>
          <w:spacing w:val="1"/>
          <w:sz w:val="16"/>
          <w:szCs w:val="16"/>
          <w:lang w:val="es-PR"/>
        </w:rPr>
        <w:t>o</w:t>
      </w:r>
      <w:r w:rsidRPr="007E666D">
        <w:rPr>
          <w:rFonts w:ascii="Verdana" w:eastAsia="Verdana" w:hAnsi="Verdana" w:cs="Verdana"/>
          <w:sz w:val="16"/>
          <w:szCs w:val="16"/>
          <w:lang w:val="es-PR"/>
        </w:rPr>
        <w:t>b</w:t>
      </w:r>
      <w:r w:rsidRPr="007E666D">
        <w:rPr>
          <w:rFonts w:ascii="Verdana" w:eastAsia="Verdana" w:hAnsi="Verdana" w:cs="Verdana"/>
          <w:spacing w:val="-1"/>
          <w:sz w:val="16"/>
          <w:szCs w:val="16"/>
          <w:lang w:val="es-PR"/>
        </w:rPr>
        <w:t>li</w:t>
      </w:r>
      <w:r w:rsidRPr="007E666D">
        <w:rPr>
          <w:rFonts w:ascii="Verdana" w:eastAsia="Verdana" w:hAnsi="Verdana" w:cs="Verdana"/>
          <w:sz w:val="16"/>
          <w:szCs w:val="16"/>
          <w:lang w:val="es-PR"/>
        </w:rPr>
        <w:t>g</w:t>
      </w:r>
      <w:r w:rsidRPr="007E666D">
        <w:rPr>
          <w:rFonts w:ascii="Verdana" w:eastAsia="Verdana" w:hAnsi="Verdana" w:cs="Verdana"/>
          <w:spacing w:val="-1"/>
          <w:sz w:val="16"/>
          <w:szCs w:val="16"/>
          <w:lang w:val="es-PR"/>
        </w:rPr>
        <w:t>a</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pacing w:val="1"/>
          <w:sz w:val="16"/>
          <w:szCs w:val="16"/>
          <w:lang w:val="es-PR"/>
        </w:rPr>
        <w:t>ó</w:t>
      </w:r>
      <w:r w:rsidRPr="007E666D">
        <w:rPr>
          <w:rFonts w:ascii="Verdana" w:eastAsia="Verdana" w:hAnsi="Verdana" w:cs="Verdana"/>
          <w:sz w:val="16"/>
          <w:szCs w:val="16"/>
          <w:lang w:val="es-PR"/>
        </w:rPr>
        <w:t>n</w:t>
      </w:r>
      <w:r w:rsidRPr="007E666D">
        <w:rPr>
          <w:rFonts w:ascii="Verdana" w:eastAsia="Verdana" w:hAnsi="Verdana" w:cs="Verdana"/>
          <w:spacing w:val="22"/>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25"/>
          <w:sz w:val="16"/>
          <w:szCs w:val="16"/>
          <w:lang w:val="es-PR"/>
        </w:rPr>
        <w:t xml:space="preserve"> </w:t>
      </w:r>
      <w:r w:rsidRPr="007E666D">
        <w:rPr>
          <w:rFonts w:ascii="Verdana" w:eastAsia="Verdana" w:hAnsi="Verdana" w:cs="Verdana"/>
          <w:spacing w:val="-1"/>
          <w:sz w:val="16"/>
          <w:szCs w:val="16"/>
          <w:lang w:val="es-PR"/>
        </w:rPr>
        <w:t>in</w:t>
      </w:r>
      <w:r w:rsidRPr="007E666D">
        <w:rPr>
          <w:rFonts w:ascii="Verdana" w:eastAsia="Verdana" w:hAnsi="Verdana" w:cs="Verdana"/>
          <w:spacing w:val="1"/>
          <w:sz w:val="16"/>
          <w:szCs w:val="16"/>
          <w:lang w:val="es-PR"/>
        </w:rPr>
        <w:t>v</w:t>
      </w:r>
      <w:r w:rsidRPr="007E666D">
        <w:rPr>
          <w:rFonts w:ascii="Verdana" w:eastAsia="Verdana" w:hAnsi="Verdana" w:cs="Verdana"/>
          <w:spacing w:val="-2"/>
          <w:sz w:val="16"/>
          <w:szCs w:val="16"/>
          <w:lang w:val="es-PR"/>
        </w:rPr>
        <w:t>e</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ti</w:t>
      </w:r>
      <w:r w:rsidRPr="007E666D">
        <w:rPr>
          <w:rFonts w:ascii="Verdana" w:eastAsia="Verdana" w:hAnsi="Verdana" w:cs="Verdana"/>
          <w:sz w:val="16"/>
          <w:szCs w:val="16"/>
          <w:lang w:val="es-PR"/>
        </w:rPr>
        <w:t>g</w:t>
      </w:r>
      <w:r w:rsidRPr="007E666D">
        <w:rPr>
          <w:rFonts w:ascii="Verdana" w:eastAsia="Verdana" w:hAnsi="Verdana" w:cs="Verdana"/>
          <w:spacing w:val="-1"/>
          <w:sz w:val="16"/>
          <w:szCs w:val="16"/>
          <w:lang w:val="es-PR"/>
        </w:rPr>
        <w:t>a</w:t>
      </w:r>
      <w:r w:rsidRPr="007E666D">
        <w:rPr>
          <w:rFonts w:ascii="Verdana" w:eastAsia="Verdana" w:hAnsi="Verdana" w:cs="Verdana"/>
          <w:sz w:val="16"/>
          <w:szCs w:val="16"/>
          <w:lang w:val="es-PR"/>
        </w:rPr>
        <w:t>r</w:t>
      </w:r>
      <w:r w:rsidRPr="007E666D">
        <w:rPr>
          <w:rFonts w:ascii="Verdana" w:eastAsia="Verdana" w:hAnsi="Verdana" w:cs="Verdana"/>
          <w:spacing w:val="24"/>
          <w:sz w:val="16"/>
          <w:szCs w:val="16"/>
          <w:lang w:val="es-PR"/>
        </w:rPr>
        <w:t xml:space="preserve"> </w:t>
      </w:r>
      <w:r w:rsidRPr="007E666D">
        <w:rPr>
          <w:rFonts w:ascii="Verdana" w:eastAsia="Verdana" w:hAnsi="Verdana" w:cs="Verdana"/>
          <w:spacing w:val="1"/>
          <w:sz w:val="16"/>
          <w:szCs w:val="16"/>
          <w:lang w:val="es-PR"/>
        </w:rPr>
        <w:t>o</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d</w:t>
      </w:r>
      <w:r w:rsidRPr="007E666D">
        <w:rPr>
          <w:rFonts w:ascii="Verdana" w:eastAsia="Verdana" w:hAnsi="Verdana" w:cs="Verdana"/>
          <w:spacing w:val="-2"/>
          <w:sz w:val="16"/>
          <w:szCs w:val="16"/>
          <w:lang w:val="es-PR"/>
        </w:rPr>
        <w:t>e</w:t>
      </w:r>
      <w:r w:rsidRPr="007E666D">
        <w:rPr>
          <w:rFonts w:ascii="Verdana" w:eastAsia="Verdana" w:hAnsi="Verdana" w:cs="Verdana"/>
          <w:spacing w:val="-1"/>
          <w:sz w:val="16"/>
          <w:szCs w:val="16"/>
          <w:lang w:val="es-PR"/>
        </w:rPr>
        <w:t>na</w:t>
      </w:r>
      <w:r w:rsidRPr="007E666D">
        <w:rPr>
          <w:rFonts w:ascii="Verdana" w:eastAsia="Verdana" w:hAnsi="Verdana" w:cs="Verdana"/>
          <w:sz w:val="16"/>
          <w:szCs w:val="16"/>
          <w:lang w:val="es-PR"/>
        </w:rPr>
        <w:t>da c</w:t>
      </w:r>
      <w:r w:rsidRPr="007E666D">
        <w:rPr>
          <w:rFonts w:ascii="Verdana" w:eastAsia="Verdana" w:hAnsi="Verdana" w:cs="Verdana"/>
          <w:spacing w:val="1"/>
          <w:sz w:val="16"/>
          <w:szCs w:val="16"/>
          <w:lang w:val="es-PR"/>
        </w:rPr>
        <w:t>o</w:t>
      </w:r>
      <w:r w:rsidRPr="007E666D">
        <w:rPr>
          <w:rFonts w:ascii="Verdana" w:eastAsia="Verdana" w:hAnsi="Verdana" w:cs="Verdana"/>
          <w:sz w:val="16"/>
          <w:szCs w:val="16"/>
          <w:lang w:val="es-PR"/>
        </w:rPr>
        <w:t>mo</w:t>
      </w:r>
      <w:r w:rsidRPr="007E666D">
        <w:rPr>
          <w:rFonts w:ascii="Verdana" w:eastAsia="Verdana" w:hAnsi="Verdana" w:cs="Verdana"/>
          <w:spacing w:val="9"/>
          <w:sz w:val="16"/>
          <w:szCs w:val="16"/>
          <w:lang w:val="es-PR"/>
        </w:rPr>
        <w:t xml:space="preserve"> </w:t>
      </w:r>
      <w:r w:rsidRPr="007E666D">
        <w:rPr>
          <w:rFonts w:ascii="Verdana" w:eastAsia="Verdana" w:hAnsi="Verdana" w:cs="Verdana"/>
          <w:spacing w:val="-1"/>
          <w:sz w:val="16"/>
          <w:szCs w:val="16"/>
          <w:lang w:val="es-PR"/>
        </w:rPr>
        <w:t>un</w:t>
      </w:r>
      <w:r w:rsidRPr="007E666D">
        <w:rPr>
          <w:rFonts w:ascii="Verdana" w:eastAsia="Verdana" w:hAnsi="Verdana" w:cs="Verdana"/>
          <w:sz w:val="16"/>
          <w:szCs w:val="16"/>
          <w:lang w:val="es-PR"/>
        </w:rPr>
        <w:t>a</w:t>
      </w:r>
      <w:r w:rsidRPr="007E666D">
        <w:rPr>
          <w:rFonts w:ascii="Verdana" w:eastAsia="Verdana" w:hAnsi="Verdana" w:cs="Verdana"/>
          <w:spacing w:val="10"/>
          <w:sz w:val="16"/>
          <w:szCs w:val="16"/>
          <w:lang w:val="es-PR"/>
        </w:rPr>
        <w:t xml:space="preserve"> </w:t>
      </w:r>
      <w:r w:rsidRPr="007E666D">
        <w:rPr>
          <w:rFonts w:ascii="Verdana" w:eastAsia="Verdana" w:hAnsi="Verdana" w:cs="Verdana"/>
          <w:sz w:val="16"/>
          <w:szCs w:val="16"/>
          <w:lang w:val="es-PR"/>
        </w:rPr>
        <w:t>medida</w:t>
      </w:r>
      <w:r w:rsidRPr="007E666D">
        <w:rPr>
          <w:rFonts w:ascii="Verdana" w:eastAsia="Verdana" w:hAnsi="Verdana" w:cs="Verdana"/>
          <w:spacing w:val="8"/>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9"/>
          <w:sz w:val="16"/>
          <w:szCs w:val="16"/>
          <w:lang w:val="es-PR"/>
        </w:rPr>
        <w:t xml:space="preserve"> </w:t>
      </w:r>
      <w:r w:rsidRPr="007E666D">
        <w:rPr>
          <w:rFonts w:ascii="Verdana" w:eastAsia="Verdana" w:hAnsi="Verdana" w:cs="Verdana"/>
          <w:spacing w:val="1"/>
          <w:sz w:val="16"/>
          <w:szCs w:val="16"/>
          <w:lang w:val="es-PR"/>
        </w:rPr>
        <w:t>r</w:t>
      </w:r>
      <w:r w:rsidRPr="007E666D">
        <w:rPr>
          <w:rFonts w:ascii="Verdana" w:eastAsia="Verdana" w:hAnsi="Verdana" w:cs="Verdana"/>
          <w:spacing w:val="-2"/>
          <w:sz w:val="16"/>
          <w:szCs w:val="16"/>
          <w:lang w:val="es-PR"/>
        </w:rPr>
        <w:t>e</w:t>
      </w:r>
      <w:r w:rsidRPr="007E666D">
        <w:rPr>
          <w:rFonts w:ascii="Verdana" w:eastAsia="Verdana" w:hAnsi="Verdana" w:cs="Verdana"/>
          <w:sz w:val="16"/>
          <w:szCs w:val="16"/>
          <w:lang w:val="es-PR"/>
        </w:rPr>
        <w:t>p</w:t>
      </w:r>
      <w:r w:rsidRPr="007E666D">
        <w:rPr>
          <w:rFonts w:ascii="Verdana" w:eastAsia="Verdana" w:hAnsi="Verdana" w:cs="Verdana"/>
          <w:spacing w:val="-1"/>
          <w:sz w:val="16"/>
          <w:szCs w:val="16"/>
          <w:lang w:val="es-PR"/>
        </w:rPr>
        <w:t>a</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a</w:t>
      </w:r>
      <w:r w:rsidRPr="007E666D">
        <w:rPr>
          <w:rFonts w:ascii="Verdana" w:eastAsia="Verdana" w:hAnsi="Verdana" w:cs="Verdana"/>
          <w:sz w:val="16"/>
          <w:szCs w:val="16"/>
          <w:lang w:val="es-PR"/>
        </w:rPr>
        <w:t>c</w:t>
      </w:r>
      <w:r w:rsidRPr="007E666D">
        <w:rPr>
          <w:rFonts w:ascii="Verdana" w:eastAsia="Verdana" w:hAnsi="Verdana" w:cs="Verdana"/>
          <w:spacing w:val="-3"/>
          <w:sz w:val="16"/>
          <w:szCs w:val="16"/>
          <w:lang w:val="es-PR"/>
        </w:rPr>
        <w:t>i</w:t>
      </w:r>
      <w:r w:rsidRPr="007E666D">
        <w:rPr>
          <w:rFonts w:ascii="Verdana" w:eastAsia="Verdana" w:hAnsi="Verdana" w:cs="Verdana"/>
          <w:spacing w:val="1"/>
          <w:sz w:val="16"/>
          <w:szCs w:val="16"/>
          <w:lang w:val="es-PR"/>
        </w:rPr>
        <w:t>ó</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w:t>
      </w:r>
      <w:r w:rsidRPr="007E666D">
        <w:rPr>
          <w:rFonts w:ascii="Verdana" w:eastAsia="Verdana" w:hAnsi="Verdana" w:cs="Verdana"/>
          <w:spacing w:val="12"/>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f</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w:t>
      </w:r>
      <w:r w:rsidRPr="007E666D">
        <w:rPr>
          <w:rFonts w:ascii="Verdana" w:eastAsia="Verdana" w:hAnsi="Verdana" w:cs="Verdana"/>
          <w:i/>
          <w:spacing w:val="10"/>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a</w:t>
      </w:r>
      <w:r w:rsidRPr="007E666D">
        <w:rPr>
          <w:rFonts w:ascii="Verdana" w:eastAsia="Verdana" w:hAnsi="Verdana" w:cs="Verdana"/>
          <w:i/>
          <w:spacing w:val="-2"/>
          <w:sz w:val="16"/>
          <w:szCs w:val="16"/>
          <w:lang w:val="es-PR"/>
        </w:rPr>
        <w:t>s</w:t>
      </w:r>
      <w:r w:rsidRPr="007E666D">
        <w:rPr>
          <w:rFonts w:ascii="Verdana" w:eastAsia="Verdana" w:hAnsi="Verdana" w:cs="Verdana"/>
          <w:i/>
          <w:sz w:val="16"/>
          <w:szCs w:val="16"/>
          <w:lang w:val="es-PR"/>
        </w:rPr>
        <w:t>o</w:t>
      </w:r>
      <w:r w:rsidRPr="007E666D">
        <w:rPr>
          <w:rFonts w:ascii="Verdana" w:eastAsia="Verdana" w:hAnsi="Verdana" w:cs="Verdana"/>
          <w:i/>
          <w:spacing w:val="11"/>
          <w:sz w:val="16"/>
          <w:szCs w:val="16"/>
          <w:lang w:val="es-PR"/>
        </w:rPr>
        <w:t xml:space="preserve"> </w:t>
      </w:r>
      <w:r w:rsidRPr="007E666D">
        <w:rPr>
          <w:rFonts w:ascii="Verdana" w:eastAsia="Verdana" w:hAnsi="Verdana" w:cs="Verdana"/>
          <w:i/>
          <w:spacing w:val="1"/>
          <w:sz w:val="16"/>
          <w:szCs w:val="16"/>
          <w:lang w:val="es-PR"/>
        </w:rPr>
        <w:t>A</w:t>
      </w:r>
      <w:r w:rsidRPr="007E666D">
        <w:rPr>
          <w:rFonts w:ascii="Verdana" w:eastAsia="Verdana" w:hAnsi="Verdana" w:cs="Verdana"/>
          <w:i/>
          <w:spacing w:val="-1"/>
          <w:sz w:val="16"/>
          <w:szCs w:val="16"/>
          <w:lang w:val="es-PR"/>
        </w:rPr>
        <w:t>l</w:t>
      </w:r>
      <w:r w:rsidRPr="007E666D">
        <w:rPr>
          <w:rFonts w:ascii="Verdana" w:eastAsia="Verdana" w:hAnsi="Verdana" w:cs="Verdana"/>
          <w:i/>
          <w:spacing w:val="-3"/>
          <w:sz w:val="16"/>
          <w:szCs w:val="16"/>
          <w:lang w:val="es-PR"/>
        </w:rPr>
        <w:t>m</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na</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i</w:t>
      </w:r>
      <w:r w:rsidRPr="007E666D">
        <w:rPr>
          <w:rFonts w:ascii="Verdana" w:eastAsia="Verdana" w:hAnsi="Verdana" w:cs="Verdana"/>
          <w:i/>
          <w:sz w:val="16"/>
          <w:szCs w:val="16"/>
          <w:lang w:val="es-PR"/>
        </w:rPr>
        <w:t>d</w:t>
      </w:r>
      <w:r w:rsidRPr="007E666D">
        <w:rPr>
          <w:rFonts w:ascii="Verdana" w:eastAsia="Verdana" w:hAnsi="Verdana" w:cs="Verdana"/>
          <w:i/>
          <w:spacing w:val="9"/>
          <w:sz w:val="16"/>
          <w:szCs w:val="16"/>
          <w:lang w:val="es-PR"/>
        </w:rPr>
        <w:t xml:space="preserve"> </w:t>
      </w:r>
      <w:r w:rsidRPr="007E666D">
        <w:rPr>
          <w:rFonts w:ascii="Verdana" w:eastAsia="Verdana" w:hAnsi="Verdana" w:cs="Verdana"/>
          <w:i/>
          <w:spacing w:val="1"/>
          <w:sz w:val="16"/>
          <w:szCs w:val="16"/>
          <w:lang w:val="es-PR"/>
        </w:rPr>
        <w:t>Ar</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l</w:t>
      </w:r>
      <w:r w:rsidRPr="007E666D">
        <w:rPr>
          <w:rFonts w:ascii="Verdana" w:eastAsia="Verdana" w:hAnsi="Verdana" w:cs="Verdana"/>
          <w:i/>
          <w:spacing w:val="-3"/>
          <w:sz w:val="16"/>
          <w:szCs w:val="16"/>
          <w:lang w:val="es-PR"/>
        </w:rPr>
        <w:t>l</w:t>
      </w:r>
      <w:r w:rsidRPr="007E666D">
        <w:rPr>
          <w:rFonts w:ascii="Verdana" w:eastAsia="Verdana" w:hAnsi="Verdana" w:cs="Verdana"/>
          <w:i/>
          <w:spacing w:val="-1"/>
          <w:sz w:val="16"/>
          <w:szCs w:val="16"/>
          <w:lang w:val="es-PR"/>
        </w:rPr>
        <w:t>an</w:t>
      </w:r>
      <w:r w:rsidRPr="007E666D">
        <w:rPr>
          <w:rFonts w:ascii="Verdana" w:eastAsia="Verdana" w:hAnsi="Verdana" w:cs="Verdana"/>
          <w:i/>
          <w:sz w:val="16"/>
          <w:szCs w:val="16"/>
          <w:lang w:val="es-PR"/>
        </w:rPr>
        <w:t>o</w:t>
      </w:r>
      <w:r w:rsidRPr="007E666D">
        <w:rPr>
          <w:rFonts w:ascii="Verdana" w:eastAsia="Verdana" w:hAnsi="Verdana" w:cs="Verdana"/>
          <w:i/>
          <w:spacing w:val="11"/>
          <w:sz w:val="16"/>
          <w:szCs w:val="16"/>
          <w:lang w:val="es-PR"/>
        </w:rPr>
        <w:t xml:space="preserve"> </w:t>
      </w:r>
      <w:r w:rsidRPr="007E666D">
        <w:rPr>
          <w:rFonts w:ascii="Verdana" w:eastAsia="Verdana" w:hAnsi="Verdana" w:cs="Verdana"/>
          <w:i/>
          <w:sz w:val="16"/>
          <w:szCs w:val="16"/>
          <w:lang w:val="es-PR"/>
        </w:rPr>
        <w:t>y</w:t>
      </w:r>
      <w:r w:rsidRPr="007E666D">
        <w:rPr>
          <w:rFonts w:ascii="Verdana" w:eastAsia="Verdana" w:hAnsi="Verdana" w:cs="Verdana"/>
          <w:i/>
          <w:spacing w:val="9"/>
          <w:sz w:val="16"/>
          <w:szCs w:val="16"/>
          <w:lang w:val="es-PR"/>
        </w:rPr>
        <w:t xml:space="preserve"> </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t</w:t>
      </w:r>
      <w:r w:rsidRPr="007E666D">
        <w:rPr>
          <w:rFonts w:ascii="Verdana" w:eastAsia="Verdana" w:hAnsi="Verdana" w:cs="Verdana"/>
          <w:i/>
          <w:spacing w:val="1"/>
          <w:sz w:val="16"/>
          <w:szCs w:val="16"/>
          <w:lang w:val="es-PR"/>
        </w:rPr>
        <w:t>r</w:t>
      </w:r>
      <w:r w:rsidRPr="007E666D">
        <w:rPr>
          <w:rFonts w:ascii="Verdana" w:eastAsia="Verdana" w:hAnsi="Verdana" w:cs="Verdana"/>
          <w:i/>
          <w:spacing w:val="-2"/>
          <w:sz w:val="16"/>
          <w:szCs w:val="16"/>
          <w:lang w:val="es-PR"/>
        </w:rPr>
        <w:t>o</w:t>
      </w:r>
      <w:r w:rsidRPr="007E666D">
        <w:rPr>
          <w:rFonts w:ascii="Verdana" w:eastAsia="Verdana" w:hAnsi="Verdana" w:cs="Verdana"/>
          <w:i/>
          <w:sz w:val="16"/>
          <w:szCs w:val="16"/>
          <w:lang w:val="es-PR"/>
        </w:rPr>
        <w:t>s</w:t>
      </w:r>
      <w:r w:rsidRPr="007E666D">
        <w:rPr>
          <w:rFonts w:ascii="Verdana" w:eastAsia="Verdana" w:hAnsi="Verdana" w:cs="Verdana"/>
          <w:i/>
          <w:spacing w:val="11"/>
          <w:sz w:val="16"/>
          <w:szCs w:val="16"/>
          <w:lang w:val="es-PR"/>
        </w:rPr>
        <w:t xml:space="preserve"> </w:t>
      </w:r>
      <w:r w:rsidRPr="007E666D">
        <w:rPr>
          <w:rFonts w:ascii="Verdana" w:eastAsia="Verdana" w:hAnsi="Verdana" w:cs="Verdana"/>
          <w:i/>
          <w:spacing w:val="-2"/>
          <w:sz w:val="16"/>
          <w:szCs w:val="16"/>
          <w:lang w:val="es-PR"/>
        </w:rPr>
        <w:t>V</w:t>
      </w:r>
      <w:r w:rsidRPr="007E666D">
        <w:rPr>
          <w:rFonts w:ascii="Verdana" w:eastAsia="Verdana" w:hAnsi="Verdana" w:cs="Verdana"/>
          <w:i/>
          <w:sz w:val="16"/>
          <w:szCs w:val="16"/>
          <w:lang w:val="es-PR"/>
        </w:rPr>
        <w:t>s.</w:t>
      </w:r>
      <w:r w:rsidRPr="007E666D">
        <w:rPr>
          <w:rFonts w:ascii="Verdana" w:eastAsia="Verdana" w:hAnsi="Verdana" w:cs="Verdana"/>
          <w:i/>
          <w:spacing w:val="10"/>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hil</w:t>
      </w:r>
      <w:r w:rsidRPr="007E666D">
        <w:rPr>
          <w:rFonts w:ascii="Verdana" w:eastAsia="Verdana" w:hAnsi="Verdana" w:cs="Verdana"/>
          <w:i/>
          <w:sz w:val="16"/>
          <w:szCs w:val="16"/>
          <w:lang w:val="es-PR"/>
        </w:rPr>
        <w:t>e,</w:t>
      </w:r>
      <w:r w:rsidRPr="007E666D">
        <w:rPr>
          <w:rFonts w:ascii="Verdana" w:eastAsia="Verdana" w:hAnsi="Verdana" w:cs="Verdana"/>
          <w:i/>
          <w:spacing w:val="10"/>
          <w:sz w:val="16"/>
          <w:szCs w:val="16"/>
          <w:lang w:val="es-PR"/>
        </w:rPr>
        <w:t xml:space="preserve"> </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u</w:t>
      </w:r>
      <w:r w:rsidRPr="007E666D">
        <w:rPr>
          <w:rFonts w:ascii="Verdana" w:eastAsia="Verdana" w:hAnsi="Verdana" w:cs="Verdana"/>
          <w:i/>
          <w:sz w:val="16"/>
          <w:szCs w:val="16"/>
          <w:lang w:val="es-PR"/>
        </w:rPr>
        <w:t>p</w:t>
      </w:r>
      <w:r w:rsidRPr="007E666D">
        <w:rPr>
          <w:rFonts w:ascii="Verdana" w:eastAsia="Verdana" w:hAnsi="Verdana" w:cs="Verdana"/>
          <w:i/>
          <w:spacing w:val="1"/>
          <w:sz w:val="16"/>
          <w:szCs w:val="16"/>
          <w:lang w:val="es-PR"/>
        </w:rPr>
        <w:t>r</w:t>
      </w:r>
      <w:r w:rsidRPr="007E666D">
        <w:rPr>
          <w:rFonts w:ascii="Verdana" w:eastAsia="Verdana" w:hAnsi="Verdana" w:cs="Verdana"/>
          <w:i/>
          <w:spacing w:val="4"/>
          <w:sz w:val="16"/>
          <w:szCs w:val="16"/>
          <w:lang w:val="es-PR"/>
        </w:rPr>
        <w:t>a</w:t>
      </w:r>
      <w:r w:rsidRPr="007E666D">
        <w:rPr>
          <w:rFonts w:ascii="Verdana" w:eastAsia="Verdana" w:hAnsi="Verdana" w:cs="Verdana"/>
          <w:sz w:val="16"/>
          <w:szCs w:val="16"/>
          <w:lang w:val="es-PR"/>
        </w:rPr>
        <w:t>,</w:t>
      </w:r>
      <w:r w:rsidRPr="007E666D">
        <w:rPr>
          <w:rFonts w:ascii="Verdana" w:eastAsia="Verdana" w:hAnsi="Verdana" w:cs="Verdana"/>
          <w:spacing w:val="7"/>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1"/>
          <w:sz w:val="16"/>
          <w:szCs w:val="16"/>
          <w:lang w:val="es-PR"/>
        </w:rPr>
        <w:t>ár</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w:t>
      </w:r>
      <w:r w:rsidRPr="007E666D">
        <w:rPr>
          <w:rFonts w:ascii="Verdana" w:eastAsia="Verdana" w:hAnsi="Verdana" w:cs="Verdana"/>
          <w:spacing w:val="10"/>
          <w:sz w:val="16"/>
          <w:szCs w:val="16"/>
          <w:lang w:val="es-PR"/>
        </w:rPr>
        <w:t xml:space="preserve"> </w:t>
      </w:r>
      <w:r w:rsidRPr="007E666D">
        <w:rPr>
          <w:rFonts w:ascii="Verdana" w:eastAsia="Verdana" w:hAnsi="Verdana" w:cs="Verdana"/>
          <w:spacing w:val="-1"/>
          <w:sz w:val="16"/>
          <w:szCs w:val="16"/>
          <w:lang w:val="es-PR"/>
        </w:rPr>
        <w:t>1</w:t>
      </w:r>
      <w:r w:rsidRPr="007E666D">
        <w:rPr>
          <w:rFonts w:ascii="Verdana" w:eastAsia="Verdana" w:hAnsi="Verdana" w:cs="Verdana"/>
          <w:spacing w:val="1"/>
          <w:sz w:val="16"/>
          <w:szCs w:val="16"/>
          <w:lang w:val="es-PR"/>
        </w:rPr>
        <w:t>48</w:t>
      </w:r>
      <w:r w:rsidRPr="007E666D">
        <w:rPr>
          <w:rFonts w:ascii="Verdana" w:eastAsia="Verdana" w:hAnsi="Verdana" w:cs="Verdana"/>
          <w:sz w:val="16"/>
          <w:szCs w:val="16"/>
          <w:lang w:val="es-PR"/>
        </w:rPr>
        <w:t>.</w:t>
      </w:r>
      <w:r w:rsidRPr="007E666D">
        <w:rPr>
          <w:rFonts w:ascii="Verdana" w:eastAsia="Verdana" w:hAnsi="Verdana" w:cs="Verdana"/>
          <w:spacing w:val="10"/>
          <w:sz w:val="16"/>
          <w:szCs w:val="16"/>
          <w:lang w:val="es-PR"/>
        </w:rPr>
        <w:t xml:space="preserve"> </w:t>
      </w:r>
      <w:r w:rsidRPr="007E666D">
        <w:rPr>
          <w:rFonts w:ascii="Verdana" w:eastAsia="Verdana" w:hAnsi="Verdana" w:cs="Verdana"/>
          <w:spacing w:val="-2"/>
          <w:sz w:val="16"/>
          <w:szCs w:val="16"/>
          <w:lang w:val="es-PR"/>
        </w:rPr>
        <w:t>A</w:t>
      </w:r>
      <w:r w:rsidRPr="007E666D">
        <w:rPr>
          <w:rFonts w:ascii="Verdana" w:eastAsia="Verdana" w:hAnsi="Verdana" w:cs="Verdana"/>
          <w:sz w:val="16"/>
          <w:szCs w:val="16"/>
          <w:lang w:val="es-PR"/>
        </w:rPr>
        <w:t>dem</w:t>
      </w:r>
      <w:r w:rsidRPr="007E666D">
        <w:rPr>
          <w:rFonts w:ascii="Verdana" w:eastAsia="Verdana" w:hAnsi="Verdana" w:cs="Verdana"/>
          <w:spacing w:val="-3"/>
          <w:sz w:val="16"/>
          <w:szCs w:val="16"/>
          <w:lang w:val="es-PR"/>
        </w:rPr>
        <w:t>á</w:t>
      </w:r>
      <w:r w:rsidRPr="007E666D">
        <w:rPr>
          <w:rFonts w:ascii="Verdana" w:eastAsia="Verdana" w:hAnsi="Verdana" w:cs="Verdana"/>
          <w:spacing w:val="2"/>
          <w:sz w:val="16"/>
          <w:szCs w:val="16"/>
          <w:lang w:val="es-PR"/>
        </w:rPr>
        <w:t>s</w:t>
      </w:r>
      <w:r w:rsidRPr="007E666D">
        <w:rPr>
          <w:rFonts w:ascii="Verdana" w:eastAsia="Verdana" w:hAnsi="Verdana" w:cs="Verdana"/>
          <w:sz w:val="16"/>
          <w:szCs w:val="16"/>
          <w:lang w:val="es-PR"/>
        </w:rPr>
        <w:t>,</w:t>
      </w:r>
      <w:r w:rsidRPr="007E666D">
        <w:rPr>
          <w:rFonts w:ascii="Verdana" w:eastAsia="Verdana" w:hAnsi="Verdana" w:cs="Verdana"/>
          <w:spacing w:val="10"/>
          <w:sz w:val="16"/>
          <w:szCs w:val="16"/>
          <w:lang w:val="es-PR"/>
        </w:rPr>
        <w:t xml:space="preserve"> </w:t>
      </w:r>
      <w:r w:rsidRPr="007E666D">
        <w:rPr>
          <w:rFonts w:ascii="Verdana" w:eastAsia="Verdana" w:hAnsi="Verdana" w:cs="Verdana"/>
          <w:sz w:val="16"/>
          <w:szCs w:val="16"/>
          <w:lang w:val="es-PR"/>
        </w:rPr>
        <w:t>en</w:t>
      </w:r>
      <w:r w:rsidRPr="007E666D">
        <w:rPr>
          <w:rFonts w:ascii="Verdana" w:eastAsia="Verdana" w:hAnsi="Verdana" w:cs="Verdana"/>
          <w:spacing w:val="10"/>
          <w:sz w:val="16"/>
          <w:szCs w:val="16"/>
          <w:lang w:val="es-PR"/>
        </w:rPr>
        <w:t xml:space="preserve"> </w:t>
      </w:r>
      <w:r w:rsidRPr="007E666D">
        <w:rPr>
          <w:rFonts w:ascii="Verdana" w:eastAsia="Verdana" w:hAnsi="Verdana" w:cs="Verdana"/>
          <w:spacing w:val="1"/>
          <w:sz w:val="16"/>
          <w:szCs w:val="16"/>
          <w:lang w:val="es-PR"/>
        </w:rPr>
        <w:t>o</w:t>
      </w:r>
      <w:r w:rsidRPr="007E666D">
        <w:rPr>
          <w:rFonts w:ascii="Verdana" w:eastAsia="Verdana" w:hAnsi="Verdana" w:cs="Verdana"/>
          <w:spacing w:val="-1"/>
          <w:sz w:val="16"/>
          <w:szCs w:val="16"/>
          <w:lang w:val="es-PR"/>
        </w:rPr>
        <w:t>tr</w:t>
      </w:r>
      <w:r w:rsidRPr="007E666D">
        <w:rPr>
          <w:rFonts w:ascii="Verdana" w:eastAsia="Verdana" w:hAnsi="Verdana" w:cs="Verdana"/>
          <w:spacing w:val="1"/>
          <w:sz w:val="16"/>
          <w:szCs w:val="16"/>
          <w:lang w:val="es-PR"/>
        </w:rPr>
        <w:t>o</w:t>
      </w:r>
      <w:r w:rsidRPr="007E666D">
        <w:rPr>
          <w:rFonts w:ascii="Verdana" w:eastAsia="Verdana" w:hAnsi="Verdana" w:cs="Verdana"/>
          <w:sz w:val="16"/>
          <w:szCs w:val="16"/>
          <w:lang w:val="es-PR"/>
        </w:rPr>
        <w:t>s</w:t>
      </w:r>
      <w:r w:rsidRPr="007E666D">
        <w:rPr>
          <w:rFonts w:ascii="Verdana" w:eastAsia="Verdana" w:hAnsi="Verdana" w:cs="Verdana"/>
          <w:spacing w:val="8"/>
          <w:sz w:val="16"/>
          <w:szCs w:val="16"/>
          <w:lang w:val="es-PR"/>
        </w:rPr>
        <w:t xml:space="preserve"> </w:t>
      </w:r>
      <w:r w:rsidRPr="007E666D">
        <w:rPr>
          <w:rFonts w:ascii="Verdana" w:eastAsia="Verdana" w:hAnsi="Verdana" w:cs="Verdana"/>
          <w:sz w:val="16"/>
          <w:szCs w:val="16"/>
          <w:lang w:val="es-PR"/>
        </w:rPr>
        <w:t>cas</w:t>
      </w:r>
      <w:r w:rsidRPr="007E666D">
        <w:rPr>
          <w:rFonts w:ascii="Verdana" w:eastAsia="Verdana" w:hAnsi="Verdana" w:cs="Verdana"/>
          <w:spacing w:val="-2"/>
          <w:sz w:val="16"/>
          <w:szCs w:val="16"/>
          <w:lang w:val="es-PR"/>
        </w:rPr>
        <w:t>o</w:t>
      </w:r>
      <w:r w:rsidRPr="007E666D">
        <w:rPr>
          <w:rFonts w:ascii="Verdana" w:eastAsia="Verdana" w:hAnsi="Verdana" w:cs="Verdana"/>
          <w:sz w:val="16"/>
          <w:szCs w:val="16"/>
          <w:lang w:val="es-PR"/>
        </w:rPr>
        <w:t>s se</w:t>
      </w:r>
      <w:r w:rsidRPr="007E666D">
        <w:rPr>
          <w:rFonts w:ascii="Verdana" w:eastAsia="Verdana" w:hAnsi="Verdana" w:cs="Verdana"/>
          <w:spacing w:val="3"/>
          <w:sz w:val="16"/>
          <w:szCs w:val="16"/>
          <w:lang w:val="es-PR"/>
        </w:rPr>
        <w:t xml:space="preserve"> </w:t>
      </w:r>
      <w:r w:rsidRPr="007E666D">
        <w:rPr>
          <w:rFonts w:ascii="Verdana" w:eastAsia="Verdana" w:hAnsi="Verdana" w:cs="Verdana"/>
          <w:spacing w:val="-1"/>
          <w:sz w:val="16"/>
          <w:szCs w:val="16"/>
          <w:lang w:val="es-PR"/>
        </w:rPr>
        <w:t>h</w:t>
      </w:r>
      <w:r w:rsidRPr="007E666D">
        <w:rPr>
          <w:rFonts w:ascii="Verdana" w:eastAsia="Verdana" w:hAnsi="Verdana" w:cs="Verdana"/>
          <w:sz w:val="16"/>
          <w:szCs w:val="16"/>
          <w:lang w:val="es-PR"/>
        </w:rPr>
        <w:t>a</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es</w:t>
      </w:r>
      <w:r w:rsidRPr="007E666D">
        <w:rPr>
          <w:rFonts w:ascii="Verdana" w:eastAsia="Verdana" w:hAnsi="Verdana" w:cs="Verdana"/>
          <w:spacing w:val="-1"/>
          <w:sz w:val="16"/>
          <w:szCs w:val="16"/>
          <w:lang w:val="es-PR"/>
        </w:rPr>
        <w:t>ta</w:t>
      </w:r>
      <w:r w:rsidRPr="007E666D">
        <w:rPr>
          <w:rFonts w:ascii="Verdana" w:eastAsia="Verdana" w:hAnsi="Verdana" w:cs="Verdana"/>
          <w:sz w:val="16"/>
          <w:szCs w:val="16"/>
          <w:lang w:val="es-PR"/>
        </w:rPr>
        <w:t>b</w:t>
      </w:r>
      <w:r w:rsidRPr="007E666D">
        <w:rPr>
          <w:rFonts w:ascii="Verdana" w:eastAsia="Verdana" w:hAnsi="Verdana" w:cs="Verdana"/>
          <w:spacing w:val="-1"/>
          <w:sz w:val="16"/>
          <w:szCs w:val="16"/>
          <w:lang w:val="es-PR"/>
        </w:rPr>
        <w:t>l</w:t>
      </w:r>
      <w:r w:rsidRPr="007E666D">
        <w:rPr>
          <w:rFonts w:ascii="Verdana" w:eastAsia="Verdana" w:hAnsi="Verdana" w:cs="Verdana"/>
          <w:sz w:val="16"/>
          <w:szCs w:val="16"/>
          <w:lang w:val="es-PR"/>
        </w:rPr>
        <w:t>ecido</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q</w:t>
      </w:r>
      <w:r w:rsidRPr="007E666D">
        <w:rPr>
          <w:rFonts w:ascii="Verdana" w:eastAsia="Verdana" w:hAnsi="Verdana" w:cs="Verdana"/>
          <w:spacing w:val="-1"/>
          <w:sz w:val="16"/>
          <w:szCs w:val="16"/>
          <w:lang w:val="es-PR"/>
        </w:rPr>
        <w:t>u</w:t>
      </w:r>
      <w:r w:rsidRPr="007E666D">
        <w:rPr>
          <w:rFonts w:ascii="Verdana" w:eastAsia="Verdana" w:hAnsi="Verdana" w:cs="Verdana"/>
          <w:sz w:val="16"/>
          <w:szCs w:val="16"/>
          <w:lang w:val="es-PR"/>
        </w:rPr>
        <w:t>e</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es</w:t>
      </w:r>
      <w:r w:rsidRPr="007E666D">
        <w:rPr>
          <w:rFonts w:ascii="Verdana" w:eastAsia="Verdana" w:hAnsi="Verdana" w:cs="Verdana"/>
          <w:spacing w:val="-1"/>
          <w:sz w:val="16"/>
          <w:szCs w:val="16"/>
          <w:lang w:val="es-PR"/>
        </w:rPr>
        <w:t>t</w:t>
      </w:r>
      <w:r w:rsidRPr="007E666D">
        <w:rPr>
          <w:rFonts w:ascii="Verdana" w:eastAsia="Verdana" w:hAnsi="Verdana" w:cs="Verdana"/>
          <w:sz w:val="16"/>
          <w:szCs w:val="16"/>
          <w:lang w:val="es-PR"/>
        </w:rPr>
        <w:t>á</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u</w:t>
      </w:r>
      <w:r w:rsidRPr="007E666D">
        <w:rPr>
          <w:rFonts w:ascii="Verdana" w:eastAsia="Verdana" w:hAnsi="Verdana" w:cs="Verdana"/>
          <w:sz w:val="16"/>
          <w:szCs w:val="16"/>
          <w:lang w:val="es-PR"/>
        </w:rPr>
        <w:t>bs</w:t>
      </w:r>
      <w:r w:rsidRPr="007E666D">
        <w:rPr>
          <w:rFonts w:ascii="Verdana" w:eastAsia="Verdana" w:hAnsi="Verdana" w:cs="Verdana"/>
          <w:spacing w:val="-1"/>
          <w:sz w:val="16"/>
          <w:szCs w:val="16"/>
          <w:lang w:val="es-PR"/>
        </w:rPr>
        <w:t>u</w:t>
      </w:r>
      <w:r w:rsidRPr="007E666D">
        <w:rPr>
          <w:rFonts w:ascii="Verdana" w:eastAsia="Verdana" w:hAnsi="Verdana" w:cs="Verdana"/>
          <w:sz w:val="16"/>
          <w:szCs w:val="16"/>
          <w:lang w:val="es-PR"/>
        </w:rPr>
        <w:t>m</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do</w:t>
      </w:r>
      <w:r w:rsidRPr="007E666D">
        <w:rPr>
          <w:rFonts w:ascii="Verdana" w:eastAsia="Verdana" w:hAnsi="Verdana" w:cs="Verdana"/>
          <w:spacing w:val="3"/>
          <w:sz w:val="16"/>
          <w:szCs w:val="16"/>
          <w:lang w:val="es-PR"/>
        </w:rPr>
        <w:t xml:space="preserve"> </w:t>
      </w:r>
      <w:r w:rsidRPr="007E666D">
        <w:rPr>
          <w:rFonts w:ascii="Verdana" w:eastAsia="Verdana" w:hAnsi="Verdana" w:cs="Verdana"/>
          <w:sz w:val="16"/>
          <w:szCs w:val="16"/>
          <w:lang w:val="es-PR"/>
        </w:rPr>
        <w:t>en</w:t>
      </w:r>
      <w:r w:rsidRPr="007E666D">
        <w:rPr>
          <w:rFonts w:ascii="Verdana" w:eastAsia="Verdana" w:hAnsi="Verdana" w:cs="Verdana"/>
          <w:spacing w:val="1"/>
          <w:sz w:val="16"/>
          <w:szCs w:val="16"/>
          <w:lang w:val="es-PR"/>
        </w:rPr>
        <w:t xml:space="preserve"> </w:t>
      </w:r>
      <w:r w:rsidRPr="007E666D">
        <w:rPr>
          <w:rFonts w:ascii="Verdana" w:eastAsia="Verdana" w:hAnsi="Verdana" w:cs="Verdana"/>
          <w:spacing w:val="-1"/>
          <w:sz w:val="16"/>
          <w:szCs w:val="16"/>
          <w:lang w:val="es-PR"/>
        </w:rPr>
        <w:t>l</w:t>
      </w:r>
      <w:r w:rsidRPr="007E666D">
        <w:rPr>
          <w:rFonts w:ascii="Verdana" w:eastAsia="Verdana" w:hAnsi="Verdana" w:cs="Verdana"/>
          <w:spacing w:val="-2"/>
          <w:sz w:val="16"/>
          <w:szCs w:val="16"/>
          <w:lang w:val="es-PR"/>
        </w:rPr>
        <w:t>o</w:t>
      </w:r>
      <w:r w:rsidRPr="007E666D">
        <w:rPr>
          <w:rFonts w:ascii="Verdana" w:eastAsia="Verdana" w:hAnsi="Verdana" w:cs="Verdana"/>
          <w:sz w:val="16"/>
          <w:szCs w:val="16"/>
          <w:lang w:val="es-PR"/>
        </w:rPr>
        <w:t>s</w:t>
      </w:r>
      <w:r w:rsidRPr="007E666D">
        <w:rPr>
          <w:rFonts w:ascii="Verdana" w:eastAsia="Verdana" w:hAnsi="Verdana" w:cs="Verdana"/>
          <w:spacing w:val="2"/>
          <w:sz w:val="16"/>
          <w:szCs w:val="16"/>
          <w:lang w:val="es-PR"/>
        </w:rPr>
        <w:t xml:space="preserve"> </w:t>
      </w:r>
      <w:r w:rsidRPr="007E666D">
        <w:rPr>
          <w:rFonts w:ascii="Verdana" w:eastAsia="Verdana" w:hAnsi="Verdana" w:cs="Verdana"/>
          <w:spacing w:val="-1"/>
          <w:sz w:val="16"/>
          <w:szCs w:val="16"/>
          <w:lang w:val="es-PR"/>
        </w:rPr>
        <w:t>a</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tí</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ul</w:t>
      </w:r>
      <w:r w:rsidRPr="007E666D">
        <w:rPr>
          <w:rFonts w:ascii="Verdana" w:eastAsia="Verdana" w:hAnsi="Verdana" w:cs="Verdana"/>
          <w:spacing w:val="1"/>
          <w:sz w:val="16"/>
          <w:szCs w:val="16"/>
          <w:lang w:val="es-PR"/>
        </w:rPr>
        <w:t>o</w:t>
      </w:r>
      <w:r w:rsidRPr="007E666D">
        <w:rPr>
          <w:rFonts w:ascii="Verdana" w:eastAsia="Verdana" w:hAnsi="Verdana" w:cs="Verdana"/>
          <w:sz w:val="16"/>
          <w:szCs w:val="16"/>
          <w:lang w:val="es-PR"/>
        </w:rPr>
        <w:t>s</w:t>
      </w:r>
      <w:r w:rsidRPr="007E666D">
        <w:rPr>
          <w:rFonts w:ascii="Verdana" w:eastAsia="Verdana" w:hAnsi="Verdana" w:cs="Verdana"/>
          <w:spacing w:val="2"/>
          <w:sz w:val="16"/>
          <w:szCs w:val="16"/>
          <w:lang w:val="es-PR"/>
        </w:rPr>
        <w:t xml:space="preserve"> </w:t>
      </w:r>
      <w:r w:rsidRPr="007E666D">
        <w:rPr>
          <w:rFonts w:ascii="Verdana" w:eastAsia="Verdana" w:hAnsi="Verdana" w:cs="Verdana"/>
          <w:spacing w:val="-1"/>
          <w:sz w:val="16"/>
          <w:szCs w:val="16"/>
          <w:lang w:val="es-PR"/>
        </w:rPr>
        <w:t>8.</w:t>
      </w:r>
      <w:r w:rsidRPr="007E666D">
        <w:rPr>
          <w:rFonts w:ascii="Verdana" w:eastAsia="Verdana" w:hAnsi="Verdana" w:cs="Verdana"/>
          <w:spacing w:val="1"/>
          <w:sz w:val="16"/>
          <w:szCs w:val="16"/>
          <w:lang w:val="es-PR"/>
        </w:rPr>
        <w:t>1</w:t>
      </w:r>
      <w:r w:rsidRPr="007E666D">
        <w:rPr>
          <w:rFonts w:ascii="Verdana" w:eastAsia="Verdana" w:hAnsi="Verdana" w:cs="Verdana"/>
          <w:sz w:val="16"/>
          <w:szCs w:val="16"/>
          <w:lang w:val="es-PR"/>
        </w:rPr>
        <w:t>,</w:t>
      </w:r>
      <w:r w:rsidRPr="007E666D">
        <w:rPr>
          <w:rFonts w:ascii="Verdana" w:eastAsia="Verdana" w:hAnsi="Verdana" w:cs="Verdana"/>
          <w:spacing w:val="1"/>
          <w:sz w:val="16"/>
          <w:szCs w:val="16"/>
          <w:lang w:val="es-PR"/>
        </w:rPr>
        <w:t xml:space="preserve"> 2</w:t>
      </w:r>
      <w:r w:rsidRPr="007E666D">
        <w:rPr>
          <w:rFonts w:ascii="Verdana" w:eastAsia="Verdana" w:hAnsi="Verdana" w:cs="Verdana"/>
          <w:sz w:val="16"/>
          <w:szCs w:val="16"/>
          <w:lang w:val="es-PR"/>
        </w:rPr>
        <w:t>5</w:t>
      </w:r>
      <w:r w:rsidRPr="007E666D">
        <w:rPr>
          <w:rFonts w:ascii="Verdana" w:eastAsia="Verdana" w:hAnsi="Verdana" w:cs="Verdana"/>
          <w:spacing w:val="3"/>
          <w:sz w:val="16"/>
          <w:szCs w:val="16"/>
          <w:lang w:val="es-PR"/>
        </w:rPr>
        <w:t xml:space="preserve"> </w:t>
      </w:r>
      <w:r w:rsidRPr="007E666D">
        <w:rPr>
          <w:rFonts w:ascii="Verdana" w:eastAsia="Verdana" w:hAnsi="Verdana" w:cs="Verdana"/>
          <w:sz w:val="16"/>
          <w:szCs w:val="16"/>
          <w:lang w:val="es-PR"/>
        </w:rPr>
        <w:t xml:space="preserve">y </w:t>
      </w:r>
      <w:r w:rsidRPr="007E666D">
        <w:rPr>
          <w:rFonts w:ascii="Verdana" w:eastAsia="Verdana" w:hAnsi="Verdana" w:cs="Verdana"/>
          <w:spacing w:val="1"/>
          <w:sz w:val="16"/>
          <w:szCs w:val="16"/>
          <w:lang w:val="es-PR"/>
        </w:rPr>
        <w:t>1</w:t>
      </w:r>
      <w:r w:rsidRPr="007E666D">
        <w:rPr>
          <w:rFonts w:ascii="Verdana" w:eastAsia="Verdana" w:hAnsi="Verdana" w:cs="Verdana"/>
          <w:spacing w:val="-1"/>
          <w:sz w:val="16"/>
          <w:szCs w:val="16"/>
          <w:lang w:val="es-PR"/>
        </w:rPr>
        <w:t>.</w:t>
      </w:r>
      <w:r w:rsidRPr="007E666D">
        <w:rPr>
          <w:rFonts w:ascii="Verdana" w:eastAsia="Verdana" w:hAnsi="Verdana" w:cs="Verdana"/>
          <w:sz w:val="16"/>
          <w:szCs w:val="16"/>
          <w:lang w:val="es-PR"/>
        </w:rPr>
        <w:t>1</w:t>
      </w:r>
      <w:r w:rsidRPr="007E666D">
        <w:rPr>
          <w:rFonts w:ascii="Verdana" w:eastAsia="Verdana" w:hAnsi="Verdana" w:cs="Verdana"/>
          <w:spacing w:val="3"/>
          <w:sz w:val="16"/>
          <w:szCs w:val="16"/>
          <w:lang w:val="es-PR"/>
        </w:rPr>
        <w:t xml:space="preserve"> </w:t>
      </w:r>
      <w:r w:rsidRPr="007E666D">
        <w:rPr>
          <w:rFonts w:ascii="Verdana" w:eastAsia="Verdana" w:hAnsi="Verdana" w:cs="Verdana"/>
          <w:spacing w:val="-2"/>
          <w:sz w:val="16"/>
          <w:szCs w:val="16"/>
          <w:lang w:val="es-PR"/>
        </w:rPr>
        <w:t>d</w:t>
      </w:r>
      <w:r w:rsidRPr="007E666D">
        <w:rPr>
          <w:rFonts w:ascii="Verdana" w:eastAsia="Verdana" w:hAnsi="Verdana" w:cs="Verdana"/>
          <w:sz w:val="16"/>
          <w:szCs w:val="16"/>
          <w:lang w:val="es-PR"/>
        </w:rPr>
        <w:t>e</w:t>
      </w:r>
      <w:r w:rsidRPr="007E666D">
        <w:rPr>
          <w:rFonts w:ascii="Verdana" w:eastAsia="Verdana" w:hAnsi="Verdana" w:cs="Verdana"/>
          <w:spacing w:val="2"/>
          <w:sz w:val="16"/>
          <w:szCs w:val="16"/>
          <w:lang w:val="es-PR"/>
        </w:rPr>
        <w:t xml:space="preserve"> </w:t>
      </w:r>
      <w:r w:rsidRPr="007E666D">
        <w:rPr>
          <w:rFonts w:ascii="Verdana" w:eastAsia="Verdana" w:hAnsi="Verdana" w:cs="Verdana"/>
          <w:spacing w:val="-1"/>
          <w:sz w:val="16"/>
          <w:szCs w:val="16"/>
          <w:lang w:val="es-PR"/>
        </w:rPr>
        <w:t>l</w:t>
      </w:r>
      <w:r w:rsidRPr="007E666D">
        <w:rPr>
          <w:rFonts w:ascii="Verdana" w:eastAsia="Verdana" w:hAnsi="Verdana" w:cs="Verdana"/>
          <w:sz w:val="16"/>
          <w:szCs w:val="16"/>
          <w:lang w:val="es-PR"/>
        </w:rPr>
        <w:t>a</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o</w:t>
      </w:r>
      <w:r w:rsidRPr="007E666D">
        <w:rPr>
          <w:rFonts w:ascii="Verdana" w:eastAsia="Verdana" w:hAnsi="Verdana" w:cs="Verdana"/>
          <w:spacing w:val="-1"/>
          <w:sz w:val="16"/>
          <w:szCs w:val="16"/>
          <w:lang w:val="es-PR"/>
        </w:rPr>
        <w:t>n</w:t>
      </w:r>
      <w:r w:rsidRPr="007E666D">
        <w:rPr>
          <w:rFonts w:ascii="Verdana" w:eastAsia="Verdana" w:hAnsi="Verdana" w:cs="Verdana"/>
          <w:spacing w:val="1"/>
          <w:sz w:val="16"/>
          <w:szCs w:val="16"/>
          <w:lang w:val="es-PR"/>
        </w:rPr>
        <w:t>v</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c</w:t>
      </w:r>
      <w:r w:rsidRPr="007E666D">
        <w:rPr>
          <w:rFonts w:ascii="Verdana" w:eastAsia="Verdana" w:hAnsi="Verdana" w:cs="Verdana"/>
          <w:spacing w:val="-3"/>
          <w:sz w:val="16"/>
          <w:szCs w:val="16"/>
          <w:lang w:val="es-PR"/>
        </w:rPr>
        <w:t>i</w:t>
      </w:r>
      <w:r w:rsidRPr="007E666D">
        <w:rPr>
          <w:rFonts w:ascii="Verdana" w:eastAsia="Verdana" w:hAnsi="Verdana" w:cs="Verdana"/>
          <w:spacing w:val="1"/>
          <w:sz w:val="16"/>
          <w:szCs w:val="16"/>
          <w:lang w:val="es-PR"/>
        </w:rPr>
        <w:t>ó</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pe</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o</w:t>
      </w:r>
      <w:r w:rsidRPr="007E666D">
        <w:rPr>
          <w:rFonts w:ascii="Verdana" w:eastAsia="Verdana" w:hAnsi="Verdana" w:cs="Verdana"/>
          <w:spacing w:val="3"/>
          <w:sz w:val="16"/>
          <w:szCs w:val="16"/>
          <w:lang w:val="es-PR"/>
        </w:rPr>
        <w:t xml:space="preserve"> </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o</w:t>
      </w:r>
      <w:r w:rsidRPr="007E666D">
        <w:rPr>
          <w:rFonts w:ascii="Verdana" w:eastAsia="Verdana" w:hAnsi="Verdana" w:cs="Verdana"/>
          <w:spacing w:val="3"/>
          <w:sz w:val="16"/>
          <w:szCs w:val="16"/>
          <w:lang w:val="es-PR"/>
        </w:rPr>
        <w:t xml:space="preserve"> </w:t>
      </w:r>
      <w:r w:rsidRPr="007E666D">
        <w:rPr>
          <w:rFonts w:ascii="Verdana" w:eastAsia="Verdana" w:hAnsi="Verdana" w:cs="Verdana"/>
          <w:sz w:val="16"/>
          <w:szCs w:val="16"/>
          <w:lang w:val="es-PR"/>
        </w:rPr>
        <w:t>se</w:t>
      </w:r>
      <w:r w:rsidRPr="007E666D">
        <w:rPr>
          <w:rFonts w:ascii="Verdana" w:eastAsia="Verdana" w:hAnsi="Verdana" w:cs="Verdana"/>
          <w:spacing w:val="3"/>
          <w:sz w:val="16"/>
          <w:szCs w:val="16"/>
          <w:lang w:val="es-PR"/>
        </w:rPr>
        <w:t xml:space="preserve"> </w:t>
      </w:r>
      <w:r w:rsidRPr="007E666D">
        <w:rPr>
          <w:rFonts w:ascii="Verdana" w:eastAsia="Verdana" w:hAnsi="Verdana" w:cs="Verdana"/>
          <w:spacing w:val="-1"/>
          <w:sz w:val="16"/>
          <w:szCs w:val="16"/>
          <w:lang w:val="es-PR"/>
        </w:rPr>
        <w:t>h</w:t>
      </w:r>
      <w:r w:rsidRPr="007E666D">
        <w:rPr>
          <w:rFonts w:ascii="Verdana" w:eastAsia="Verdana" w:hAnsi="Verdana" w:cs="Verdana"/>
          <w:sz w:val="16"/>
          <w:szCs w:val="16"/>
          <w:lang w:val="es-PR"/>
        </w:rPr>
        <w:t>a</w:t>
      </w:r>
      <w:r w:rsidRPr="007E666D">
        <w:rPr>
          <w:rFonts w:ascii="Verdana" w:eastAsia="Verdana" w:hAnsi="Verdana" w:cs="Verdana"/>
          <w:spacing w:val="2"/>
          <w:sz w:val="16"/>
          <w:szCs w:val="16"/>
          <w:lang w:val="es-PR"/>
        </w:rPr>
        <w:t xml:space="preserve"> </w:t>
      </w:r>
      <w:r w:rsidRPr="007E666D">
        <w:rPr>
          <w:rFonts w:ascii="Verdana" w:eastAsia="Verdana" w:hAnsi="Verdana" w:cs="Verdana"/>
          <w:spacing w:val="-1"/>
          <w:sz w:val="16"/>
          <w:szCs w:val="16"/>
          <w:lang w:val="es-PR"/>
        </w:rPr>
        <w:t>in</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lui</w:t>
      </w:r>
      <w:r w:rsidRPr="007E666D">
        <w:rPr>
          <w:rFonts w:ascii="Verdana" w:eastAsia="Verdana" w:hAnsi="Verdana" w:cs="Verdana"/>
          <w:sz w:val="16"/>
          <w:szCs w:val="16"/>
          <w:lang w:val="es-PR"/>
        </w:rPr>
        <w:t>do</w:t>
      </w:r>
      <w:r w:rsidRPr="007E666D">
        <w:rPr>
          <w:rFonts w:ascii="Verdana" w:eastAsia="Verdana" w:hAnsi="Verdana" w:cs="Verdana"/>
          <w:spacing w:val="3"/>
          <w:sz w:val="16"/>
          <w:szCs w:val="16"/>
          <w:lang w:val="es-PR"/>
        </w:rPr>
        <w:t xml:space="preserve"> </w:t>
      </w:r>
      <w:r w:rsidRPr="007E666D">
        <w:rPr>
          <w:rFonts w:ascii="Verdana" w:eastAsia="Verdana" w:hAnsi="Verdana" w:cs="Verdana"/>
          <w:sz w:val="16"/>
          <w:szCs w:val="16"/>
          <w:lang w:val="es-PR"/>
        </w:rPr>
        <w:t>d</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h</w:t>
      </w:r>
      <w:r w:rsidRPr="007E666D">
        <w:rPr>
          <w:rFonts w:ascii="Verdana" w:eastAsia="Verdana" w:hAnsi="Verdana" w:cs="Verdana"/>
          <w:sz w:val="16"/>
          <w:szCs w:val="16"/>
          <w:lang w:val="es-PR"/>
        </w:rPr>
        <w:t>a c</w:t>
      </w:r>
      <w:r w:rsidRPr="007E666D">
        <w:rPr>
          <w:rFonts w:ascii="Verdana" w:eastAsia="Verdana" w:hAnsi="Verdana" w:cs="Verdana"/>
          <w:spacing w:val="1"/>
          <w:sz w:val="16"/>
          <w:szCs w:val="16"/>
          <w:lang w:val="es-PR"/>
        </w:rPr>
        <w:t>o</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d</w:t>
      </w:r>
      <w:r w:rsidRPr="007E666D">
        <w:rPr>
          <w:rFonts w:ascii="Verdana" w:eastAsia="Verdana" w:hAnsi="Verdana" w:cs="Verdana"/>
          <w:spacing w:val="-2"/>
          <w:sz w:val="16"/>
          <w:szCs w:val="16"/>
          <w:lang w:val="es-PR"/>
        </w:rPr>
        <w:t>e</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a</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pacing w:val="1"/>
          <w:sz w:val="16"/>
          <w:szCs w:val="16"/>
          <w:lang w:val="es-PR"/>
        </w:rPr>
        <w:t>ó</w:t>
      </w:r>
      <w:r w:rsidRPr="007E666D">
        <w:rPr>
          <w:rFonts w:ascii="Verdana" w:eastAsia="Verdana" w:hAnsi="Verdana" w:cs="Verdana"/>
          <w:sz w:val="16"/>
          <w:szCs w:val="16"/>
          <w:lang w:val="es-PR"/>
        </w:rPr>
        <w:t>n</w:t>
      </w:r>
      <w:r w:rsidRPr="007E666D">
        <w:rPr>
          <w:rFonts w:ascii="Verdana" w:eastAsia="Verdana" w:hAnsi="Verdana" w:cs="Verdana"/>
          <w:spacing w:val="5"/>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
          <w:sz w:val="16"/>
          <w:szCs w:val="16"/>
          <w:lang w:val="es-PR"/>
        </w:rPr>
        <w:t>ntr</w:t>
      </w:r>
      <w:r w:rsidRPr="007E666D">
        <w:rPr>
          <w:rFonts w:ascii="Verdana" w:eastAsia="Verdana" w:hAnsi="Verdana" w:cs="Verdana"/>
          <w:sz w:val="16"/>
          <w:szCs w:val="16"/>
          <w:lang w:val="es-PR"/>
        </w:rPr>
        <w:t>o</w:t>
      </w:r>
      <w:r w:rsidRPr="007E666D">
        <w:rPr>
          <w:rFonts w:ascii="Verdana" w:eastAsia="Verdana" w:hAnsi="Verdana" w:cs="Verdana"/>
          <w:spacing w:val="9"/>
          <w:sz w:val="16"/>
          <w:szCs w:val="16"/>
          <w:lang w:val="es-PR"/>
        </w:rPr>
        <w:t xml:space="preserve"> </w:t>
      </w:r>
      <w:r w:rsidRPr="007E666D">
        <w:rPr>
          <w:rFonts w:ascii="Verdana" w:eastAsia="Verdana" w:hAnsi="Verdana" w:cs="Verdana"/>
          <w:spacing w:val="-2"/>
          <w:sz w:val="16"/>
          <w:szCs w:val="16"/>
          <w:lang w:val="es-PR"/>
        </w:rPr>
        <w:t>d</w:t>
      </w:r>
      <w:r w:rsidRPr="007E666D">
        <w:rPr>
          <w:rFonts w:ascii="Verdana" w:eastAsia="Verdana" w:hAnsi="Verdana" w:cs="Verdana"/>
          <w:sz w:val="16"/>
          <w:szCs w:val="16"/>
          <w:lang w:val="es-PR"/>
        </w:rPr>
        <w:t>e</w:t>
      </w:r>
      <w:r w:rsidRPr="007E666D">
        <w:rPr>
          <w:rFonts w:ascii="Verdana" w:eastAsia="Verdana" w:hAnsi="Verdana" w:cs="Verdana"/>
          <w:spacing w:val="9"/>
          <w:sz w:val="16"/>
          <w:szCs w:val="16"/>
          <w:lang w:val="es-PR"/>
        </w:rPr>
        <w:t xml:space="preserve"> </w:t>
      </w:r>
      <w:r w:rsidRPr="007E666D">
        <w:rPr>
          <w:rFonts w:ascii="Verdana" w:eastAsia="Verdana" w:hAnsi="Verdana" w:cs="Verdana"/>
          <w:spacing w:val="-1"/>
          <w:sz w:val="16"/>
          <w:szCs w:val="16"/>
          <w:lang w:val="es-PR"/>
        </w:rPr>
        <w:t>l</w:t>
      </w:r>
      <w:r w:rsidRPr="007E666D">
        <w:rPr>
          <w:rFonts w:ascii="Verdana" w:eastAsia="Verdana" w:hAnsi="Verdana" w:cs="Verdana"/>
          <w:sz w:val="16"/>
          <w:szCs w:val="16"/>
          <w:lang w:val="es-PR"/>
        </w:rPr>
        <w:t>a</w:t>
      </w:r>
      <w:r w:rsidRPr="007E666D">
        <w:rPr>
          <w:rFonts w:ascii="Verdana" w:eastAsia="Verdana" w:hAnsi="Verdana" w:cs="Verdana"/>
          <w:spacing w:val="8"/>
          <w:sz w:val="16"/>
          <w:szCs w:val="16"/>
          <w:lang w:val="es-PR"/>
        </w:rPr>
        <w:t xml:space="preserve"> </w:t>
      </w:r>
      <w:r w:rsidRPr="007E666D">
        <w:rPr>
          <w:rFonts w:ascii="Verdana" w:eastAsia="Verdana" w:hAnsi="Verdana" w:cs="Verdana"/>
          <w:spacing w:val="-3"/>
          <w:sz w:val="16"/>
          <w:szCs w:val="16"/>
          <w:lang w:val="es-PR"/>
        </w:rPr>
        <w:t>m</w:t>
      </w:r>
      <w:r w:rsidRPr="007E666D">
        <w:rPr>
          <w:rFonts w:ascii="Verdana" w:eastAsia="Verdana" w:hAnsi="Verdana" w:cs="Verdana"/>
          <w:spacing w:val="1"/>
          <w:sz w:val="16"/>
          <w:szCs w:val="16"/>
          <w:lang w:val="es-PR"/>
        </w:rPr>
        <w:t>o</w:t>
      </w:r>
      <w:r w:rsidRPr="007E666D">
        <w:rPr>
          <w:rFonts w:ascii="Verdana" w:eastAsia="Verdana" w:hAnsi="Verdana" w:cs="Verdana"/>
          <w:spacing w:val="-1"/>
          <w:sz w:val="16"/>
          <w:szCs w:val="16"/>
          <w:lang w:val="es-PR"/>
        </w:rPr>
        <w:t>ti</w:t>
      </w:r>
      <w:r w:rsidRPr="007E666D">
        <w:rPr>
          <w:rFonts w:ascii="Verdana" w:eastAsia="Verdana" w:hAnsi="Verdana" w:cs="Verdana"/>
          <w:spacing w:val="1"/>
          <w:sz w:val="16"/>
          <w:szCs w:val="16"/>
          <w:lang w:val="es-PR"/>
        </w:rPr>
        <w:t>v</w:t>
      </w:r>
      <w:r w:rsidRPr="007E666D">
        <w:rPr>
          <w:rFonts w:ascii="Verdana" w:eastAsia="Verdana" w:hAnsi="Verdana" w:cs="Verdana"/>
          <w:spacing w:val="-1"/>
          <w:sz w:val="16"/>
          <w:szCs w:val="16"/>
          <w:lang w:val="es-PR"/>
        </w:rPr>
        <w:t>a</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pacing w:val="1"/>
          <w:sz w:val="16"/>
          <w:szCs w:val="16"/>
          <w:lang w:val="es-PR"/>
        </w:rPr>
        <w:t>ó</w:t>
      </w:r>
      <w:r w:rsidRPr="007E666D">
        <w:rPr>
          <w:rFonts w:ascii="Verdana" w:eastAsia="Verdana" w:hAnsi="Verdana" w:cs="Verdana"/>
          <w:sz w:val="16"/>
          <w:szCs w:val="16"/>
          <w:lang w:val="es-PR"/>
        </w:rPr>
        <w:t>n</w:t>
      </w:r>
      <w:r w:rsidRPr="007E666D">
        <w:rPr>
          <w:rFonts w:ascii="Verdana" w:eastAsia="Verdana" w:hAnsi="Verdana" w:cs="Verdana"/>
          <w:spacing w:val="7"/>
          <w:sz w:val="16"/>
          <w:szCs w:val="16"/>
          <w:lang w:val="es-PR"/>
        </w:rPr>
        <w:t xml:space="preserve"> </w:t>
      </w:r>
      <w:r w:rsidRPr="007E666D">
        <w:rPr>
          <w:rFonts w:ascii="Verdana" w:eastAsia="Verdana" w:hAnsi="Verdana" w:cs="Verdana"/>
          <w:spacing w:val="-2"/>
          <w:sz w:val="16"/>
          <w:szCs w:val="16"/>
          <w:lang w:val="es-PR"/>
        </w:rPr>
        <w:t>d</w:t>
      </w:r>
      <w:r w:rsidRPr="007E666D">
        <w:rPr>
          <w:rFonts w:ascii="Verdana" w:eastAsia="Verdana" w:hAnsi="Verdana" w:cs="Verdana"/>
          <w:sz w:val="16"/>
          <w:szCs w:val="16"/>
          <w:lang w:val="es-PR"/>
        </w:rPr>
        <w:t>el</w:t>
      </w:r>
      <w:r w:rsidRPr="007E666D">
        <w:rPr>
          <w:rFonts w:ascii="Verdana" w:eastAsia="Verdana" w:hAnsi="Verdana" w:cs="Verdana"/>
          <w:spacing w:val="8"/>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1"/>
          <w:sz w:val="16"/>
          <w:szCs w:val="16"/>
          <w:lang w:val="es-PR"/>
        </w:rPr>
        <w:t>unt</w:t>
      </w:r>
      <w:r w:rsidRPr="007E666D">
        <w:rPr>
          <w:rFonts w:ascii="Verdana" w:eastAsia="Verdana" w:hAnsi="Verdana" w:cs="Verdana"/>
          <w:sz w:val="16"/>
          <w:szCs w:val="16"/>
          <w:lang w:val="es-PR"/>
        </w:rPr>
        <w:t>o</w:t>
      </w:r>
      <w:r w:rsidRPr="007E666D">
        <w:rPr>
          <w:rFonts w:ascii="Verdana" w:eastAsia="Verdana" w:hAnsi="Verdana" w:cs="Verdana"/>
          <w:spacing w:val="7"/>
          <w:sz w:val="16"/>
          <w:szCs w:val="16"/>
          <w:lang w:val="es-PR"/>
        </w:rPr>
        <w:t xml:space="preserve"> </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e</w:t>
      </w:r>
      <w:r w:rsidRPr="007E666D">
        <w:rPr>
          <w:rFonts w:ascii="Verdana" w:eastAsia="Verdana" w:hAnsi="Verdana" w:cs="Verdana"/>
          <w:spacing w:val="-2"/>
          <w:sz w:val="16"/>
          <w:szCs w:val="16"/>
          <w:lang w:val="es-PR"/>
        </w:rPr>
        <w:t>s</w:t>
      </w:r>
      <w:r w:rsidRPr="007E666D">
        <w:rPr>
          <w:rFonts w:ascii="Verdana" w:eastAsia="Verdana" w:hAnsi="Verdana" w:cs="Verdana"/>
          <w:spacing w:val="1"/>
          <w:sz w:val="16"/>
          <w:szCs w:val="16"/>
          <w:lang w:val="es-PR"/>
        </w:rPr>
        <w:t>o</w:t>
      </w:r>
      <w:r w:rsidRPr="007E666D">
        <w:rPr>
          <w:rFonts w:ascii="Verdana" w:eastAsia="Verdana" w:hAnsi="Verdana" w:cs="Verdana"/>
          <w:spacing w:val="-1"/>
          <w:sz w:val="16"/>
          <w:szCs w:val="16"/>
          <w:lang w:val="es-PR"/>
        </w:rPr>
        <w:t>luti</w:t>
      </w:r>
      <w:r w:rsidRPr="007E666D">
        <w:rPr>
          <w:rFonts w:ascii="Verdana" w:eastAsia="Verdana" w:hAnsi="Verdana" w:cs="Verdana"/>
          <w:spacing w:val="1"/>
          <w:sz w:val="16"/>
          <w:szCs w:val="16"/>
          <w:lang w:val="es-PR"/>
        </w:rPr>
        <w:t>v</w:t>
      </w:r>
      <w:r w:rsidRPr="007E666D">
        <w:rPr>
          <w:rFonts w:ascii="Verdana" w:eastAsia="Verdana" w:hAnsi="Verdana" w:cs="Verdana"/>
          <w:sz w:val="16"/>
          <w:szCs w:val="16"/>
          <w:lang w:val="es-PR"/>
        </w:rPr>
        <w:t>o</w:t>
      </w:r>
      <w:r w:rsidRPr="007E666D">
        <w:rPr>
          <w:rFonts w:ascii="Verdana" w:eastAsia="Verdana" w:hAnsi="Verdana" w:cs="Verdana"/>
          <w:spacing w:val="7"/>
          <w:sz w:val="16"/>
          <w:szCs w:val="16"/>
          <w:lang w:val="es-PR"/>
        </w:rPr>
        <w:t xml:space="preserve"> </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e</w:t>
      </w:r>
      <w:r w:rsidRPr="007E666D">
        <w:rPr>
          <w:rFonts w:ascii="Verdana" w:eastAsia="Verdana" w:hAnsi="Verdana" w:cs="Verdana"/>
          <w:spacing w:val="-2"/>
          <w:sz w:val="16"/>
          <w:szCs w:val="16"/>
          <w:lang w:val="es-PR"/>
        </w:rPr>
        <w:t>s</w:t>
      </w:r>
      <w:r w:rsidRPr="007E666D">
        <w:rPr>
          <w:rFonts w:ascii="Verdana" w:eastAsia="Verdana" w:hAnsi="Verdana" w:cs="Verdana"/>
          <w:sz w:val="16"/>
          <w:szCs w:val="16"/>
          <w:lang w:val="es-PR"/>
        </w:rPr>
        <w:t>pec</w:t>
      </w:r>
      <w:r w:rsidRPr="007E666D">
        <w:rPr>
          <w:rFonts w:ascii="Verdana" w:eastAsia="Verdana" w:hAnsi="Verdana" w:cs="Verdana"/>
          <w:spacing w:val="-1"/>
          <w:sz w:val="16"/>
          <w:szCs w:val="16"/>
          <w:lang w:val="es-PR"/>
        </w:rPr>
        <w:t>ti</w:t>
      </w:r>
      <w:r w:rsidRPr="007E666D">
        <w:rPr>
          <w:rFonts w:ascii="Verdana" w:eastAsia="Verdana" w:hAnsi="Verdana" w:cs="Verdana"/>
          <w:spacing w:val="-2"/>
          <w:sz w:val="16"/>
          <w:szCs w:val="16"/>
          <w:lang w:val="es-PR"/>
        </w:rPr>
        <w:t>v</w:t>
      </w:r>
      <w:r w:rsidRPr="007E666D">
        <w:rPr>
          <w:rFonts w:ascii="Verdana" w:eastAsia="Verdana" w:hAnsi="Verdana" w:cs="Verdana"/>
          <w:spacing w:val="1"/>
          <w:sz w:val="16"/>
          <w:szCs w:val="16"/>
          <w:lang w:val="es-PR"/>
        </w:rPr>
        <w:t>o</w:t>
      </w:r>
      <w:r w:rsidRPr="007E666D">
        <w:rPr>
          <w:rFonts w:ascii="Verdana" w:eastAsia="Verdana" w:hAnsi="Verdana" w:cs="Verdana"/>
          <w:sz w:val="16"/>
          <w:szCs w:val="16"/>
          <w:lang w:val="es-PR"/>
        </w:rPr>
        <w:t>.</w:t>
      </w:r>
      <w:r w:rsidRPr="007E666D">
        <w:rPr>
          <w:rFonts w:ascii="Verdana" w:eastAsia="Verdana" w:hAnsi="Verdana" w:cs="Verdana"/>
          <w:spacing w:val="13"/>
          <w:sz w:val="16"/>
          <w:szCs w:val="16"/>
          <w:lang w:val="es-PR"/>
        </w:rPr>
        <w:t xml:space="preserve"> </w:t>
      </w:r>
      <w:r w:rsidRPr="007E666D">
        <w:rPr>
          <w:rFonts w:ascii="Verdana" w:eastAsia="Verdana" w:hAnsi="Verdana" w:cs="Verdana"/>
          <w:i/>
          <w:spacing w:val="-2"/>
          <w:sz w:val="16"/>
          <w:szCs w:val="16"/>
          <w:lang w:val="es-PR"/>
        </w:rPr>
        <w:t>C</w:t>
      </w:r>
      <w:r w:rsidRPr="007E666D">
        <w:rPr>
          <w:rFonts w:ascii="Verdana" w:eastAsia="Verdana" w:hAnsi="Verdana" w:cs="Verdana"/>
          <w:i/>
          <w:spacing w:val="1"/>
          <w:sz w:val="16"/>
          <w:szCs w:val="16"/>
          <w:lang w:val="es-PR"/>
        </w:rPr>
        <w:t>fr</w:t>
      </w:r>
      <w:r w:rsidRPr="007E666D">
        <w:rPr>
          <w:rFonts w:ascii="Verdana" w:eastAsia="Verdana" w:hAnsi="Verdana" w:cs="Verdana"/>
          <w:i/>
          <w:sz w:val="16"/>
          <w:szCs w:val="16"/>
          <w:lang w:val="es-PR"/>
        </w:rPr>
        <w:t>.</w:t>
      </w:r>
      <w:r w:rsidRPr="007E666D">
        <w:rPr>
          <w:rFonts w:ascii="Verdana" w:eastAsia="Verdana" w:hAnsi="Verdana" w:cs="Verdana"/>
          <w:i/>
          <w:spacing w:val="5"/>
          <w:sz w:val="16"/>
          <w:szCs w:val="16"/>
          <w:lang w:val="es-PR"/>
        </w:rPr>
        <w:t xml:space="preserve"> </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so</w:t>
      </w:r>
      <w:r w:rsidRPr="007E666D">
        <w:rPr>
          <w:rFonts w:ascii="Verdana" w:eastAsia="Verdana" w:hAnsi="Verdana" w:cs="Verdana"/>
          <w:i/>
          <w:spacing w:val="7"/>
          <w:sz w:val="16"/>
          <w:szCs w:val="16"/>
          <w:lang w:val="es-PR"/>
        </w:rPr>
        <w:t xml:space="preserve"> </w:t>
      </w:r>
      <w:r w:rsidRPr="007E666D">
        <w:rPr>
          <w:rFonts w:ascii="Verdana" w:eastAsia="Verdana" w:hAnsi="Verdana" w:cs="Verdana"/>
          <w:i/>
          <w:spacing w:val="1"/>
          <w:sz w:val="16"/>
          <w:szCs w:val="16"/>
          <w:lang w:val="es-PR"/>
        </w:rPr>
        <w:t>F</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m</w:t>
      </w:r>
      <w:r w:rsidRPr="007E666D">
        <w:rPr>
          <w:rFonts w:ascii="Verdana" w:eastAsia="Verdana" w:hAnsi="Verdana" w:cs="Verdana"/>
          <w:i/>
          <w:spacing w:val="-1"/>
          <w:sz w:val="16"/>
          <w:szCs w:val="16"/>
          <w:lang w:val="es-PR"/>
        </w:rPr>
        <w:t>ili</w:t>
      </w:r>
      <w:r w:rsidRPr="007E666D">
        <w:rPr>
          <w:rFonts w:ascii="Verdana" w:eastAsia="Verdana" w:hAnsi="Verdana" w:cs="Verdana"/>
          <w:i/>
          <w:sz w:val="16"/>
          <w:szCs w:val="16"/>
          <w:lang w:val="es-PR"/>
        </w:rPr>
        <w:t>a</w:t>
      </w:r>
      <w:r w:rsidRPr="007E666D">
        <w:rPr>
          <w:rFonts w:ascii="Verdana" w:eastAsia="Verdana" w:hAnsi="Verdana" w:cs="Verdana"/>
          <w:i/>
          <w:spacing w:val="8"/>
          <w:sz w:val="16"/>
          <w:szCs w:val="16"/>
          <w:lang w:val="es-PR"/>
        </w:rPr>
        <w:t xml:space="preserve"> </w:t>
      </w:r>
      <w:r w:rsidRPr="007E666D">
        <w:rPr>
          <w:rFonts w:ascii="Verdana" w:eastAsia="Verdana" w:hAnsi="Verdana" w:cs="Verdana"/>
          <w:i/>
          <w:sz w:val="16"/>
          <w:szCs w:val="16"/>
          <w:lang w:val="es-PR"/>
        </w:rPr>
        <w:t>Ba</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i</w:t>
      </w:r>
      <w:r w:rsidRPr="007E666D">
        <w:rPr>
          <w:rFonts w:ascii="Verdana" w:eastAsia="Verdana" w:hAnsi="Verdana" w:cs="Verdana"/>
          <w:i/>
          <w:spacing w:val="1"/>
          <w:sz w:val="16"/>
          <w:szCs w:val="16"/>
          <w:lang w:val="es-PR"/>
        </w:rPr>
        <w:t>o</w:t>
      </w:r>
      <w:r w:rsidRPr="007E666D">
        <w:rPr>
          <w:rFonts w:ascii="Verdana" w:eastAsia="Verdana" w:hAnsi="Verdana" w:cs="Verdana"/>
          <w:i/>
          <w:sz w:val="16"/>
          <w:szCs w:val="16"/>
          <w:lang w:val="es-PR"/>
        </w:rPr>
        <w:t>s</w:t>
      </w:r>
      <w:r w:rsidRPr="007E666D">
        <w:rPr>
          <w:rFonts w:ascii="Verdana" w:eastAsia="Verdana" w:hAnsi="Verdana" w:cs="Verdana"/>
          <w:i/>
          <w:spacing w:val="6"/>
          <w:sz w:val="16"/>
          <w:szCs w:val="16"/>
          <w:lang w:val="es-PR"/>
        </w:rPr>
        <w:t xml:space="preserve"> </w:t>
      </w:r>
      <w:r w:rsidRPr="007E666D">
        <w:rPr>
          <w:rFonts w:ascii="Verdana" w:eastAsia="Verdana" w:hAnsi="Verdana" w:cs="Verdana"/>
          <w:i/>
          <w:spacing w:val="1"/>
          <w:sz w:val="16"/>
          <w:szCs w:val="16"/>
          <w:lang w:val="es-PR"/>
        </w:rPr>
        <w:t>V</w:t>
      </w:r>
      <w:r w:rsidRPr="007E666D">
        <w:rPr>
          <w:rFonts w:ascii="Verdana" w:eastAsia="Verdana" w:hAnsi="Verdana" w:cs="Verdana"/>
          <w:i/>
          <w:sz w:val="16"/>
          <w:szCs w:val="16"/>
          <w:lang w:val="es-PR"/>
        </w:rPr>
        <w:t>s.</w:t>
      </w:r>
      <w:r w:rsidRPr="007E666D">
        <w:rPr>
          <w:rFonts w:ascii="Verdana" w:eastAsia="Verdana" w:hAnsi="Verdana" w:cs="Verdana"/>
          <w:i/>
          <w:spacing w:val="8"/>
          <w:sz w:val="16"/>
          <w:szCs w:val="16"/>
          <w:lang w:val="es-PR"/>
        </w:rPr>
        <w:t xml:space="preserve"> </w:t>
      </w:r>
      <w:r w:rsidRPr="007E666D">
        <w:rPr>
          <w:rFonts w:ascii="Verdana" w:eastAsia="Verdana" w:hAnsi="Verdana" w:cs="Verdana"/>
          <w:i/>
          <w:spacing w:val="-2"/>
          <w:sz w:val="16"/>
          <w:szCs w:val="16"/>
          <w:lang w:val="es-PR"/>
        </w:rPr>
        <w:t>V</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n</w:t>
      </w:r>
      <w:r w:rsidRPr="007E666D">
        <w:rPr>
          <w:rFonts w:ascii="Verdana" w:eastAsia="Verdana" w:hAnsi="Verdana" w:cs="Verdana"/>
          <w:i/>
          <w:sz w:val="16"/>
          <w:szCs w:val="16"/>
          <w:lang w:val="es-PR"/>
        </w:rPr>
        <w:t>ez</w:t>
      </w:r>
      <w:r w:rsidRPr="007E666D">
        <w:rPr>
          <w:rFonts w:ascii="Verdana" w:eastAsia="Verdana" w:hAnsi="Verdana" w:cs="Verdana"/>
          <w:i/>
          <w:spacing w:val="-1"/>
          <w:sz w:val="16"/>
          <w:szCs w:val="16"/>
          <w:lang w:val="es-PR"/>
        </w:rPr>
        <w:t>u</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la</w:t>
      </w:r>
      <w:r w:rsidRPr="007E666D">
        <w:rPr>
          <w:rFonts w:ascii="Verdana" w:eastAsia="Verdana" w:hAnsi="Verdana" w:cs="Verdana"/>
          <w:i/>
          <w:sz w:val="16"/>
          <w:szCs w:val="16"/>
          <w:lang w:val="es-PR"/>
        </w:rPr>
        <w:t>,</w:t>
      </w:r>
      <w:r w:rsidRPr="007E666D">
        <w:rPr>
          <w:rFonts w:ascii="Verdana" w:eastAsia="Verdana" w:hAnsi="Verdana" w:cs="Verdana"/>
          <w:i/>
          <w:spacing w:val="7"/>
          <w:sz w:val="16"/>
          <w:szCs w:val="16"/>
          <w:lang w:val="es-PR"/>
        </w:rPr>
        <w:t xml:space="preserve"> </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u</w:t>
      </w:r>
      <w:r w:rsidRPr="007E666D">
        <w:rPr>
          <w:rFonts w:ascii="Verdana" w:eastAsia="Verdana" w:hAnsi="Verdana" w:cs="Verdana"/>
          <w:i/>
          <w:spacing w:val="-2"/>
          <w:sz w:val="16"/>
          <w:szCs w:val="16"/>
          <w:lang w:val="es-PR"/>
        </w:rPr>
        <w:t>p</w:t>
      </w:r>
      <w:r w:rsidRPr="007E666D">
        <w:rPr>
          <w:rFonts w:ascii="Verdana" w:eastAsia="Verdana" w:hAnsi="Verdana" w:cs="Verdana"/>
          <w:i/>
          <w:spacing w:val="1"/>
          <w:sz w:val="16"/>
          <w:szCs w:val="16"/>
          <w:lang w:val="es-PR"/>
        </w:rPr>
        <w:t>r</w:t>
      </w:r>
      <w:r w:rsidRPr="007E666D">
        <w:rPr>
          <w:rFonts w:ascii="Verdana" w:eastAsia="Verdana" w:hAnsi="Verdana" w:cs="Verdana"/>
          <w:i/>
          <w:spacing w:val="2"/>
          <w:sz w:val="16"/>
          <w:szCs w:val="16"/>
          <w:lang w:val="es-PR"/>
        </w:rPr>
        <w:t>a</w:t>
      </w:r>
      <w:r w:rsidRPr="007E666D">
        <w:rPr>
          <w:rFonts w:ascii="Verdana" w:eastAsia="Verdana" w:hAnsi="Verdana" w:cs="Verdana"/>
          <w:sz w:val="16"/>
          <w:szCs w:val="16"/>
          <w:lang w:val="es-PR"/>
        </w:rPr>
        <w:t>,</w:t>
      </w:r>
      <w:r w:rsidRPr="007E666D">
        <w:rPr>
          <w:rFonts w:ascii="Verdana" w:eastAsia="Verdana" w:hAnsi="Verdana" w:cs="Verdana"/>
          <w:spacing w:val="7"/>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1"/>
          <w:sz w:val="16"/>
          <w:szCs w:val="16"/>
          <w:lang w:val="es-PR"/>
        </w:rPr>
        <w:t>á</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r</w:t>
      </w:r>
      <w:r w:rsidRPr="007E666D">
        <w:rPr>
          <w:rFonts w:ascii="Verdana" w:eastAsia="Verdana" w:hAnsi="Verdana" w:cs="Verdana"/>
          <w:sz w:val="16"/>
          <w:szCs w:val="16"/>
          <w:lang w:val="es-PR"/>
        </w:rPr>
        <w:t xml:space="preserve">. </w:t>
      </w:r>
      <w:r w:rsidRPr="007E666D">
        <w:rPr>
          <w:rFonts w:ascii="Verdana" w:eastAsia="Verdana" w:hAnsi="Verdana" w:cs="Verdana"/>
          <w:spacing w:val="1"/>
          <w:position w:val="-1"/>
          <w:sz w:val="16"/>
          <w:szCs w:val="16"/>
          <w:lang w:val="es-PR"/>
        </w:rPr>
        <w:t>2</w:t>
      </w:r>
      <w:r w:rsidRPr="007E666D">
        <w:rPr>
          <w:rFonts w:ascii="Verdana" w:eastAsia="Verdana" w:hAnsi="Verdana" w:cs="Verdana"/>
          <w:spacing w:val="-1"/>
          <w:position w:val="-1"/>
          <w:sz w:val="16"/>
          <w:szCs w:val="16"/>
          <w:lang w:val="es-PR"/>
        </w:rPr>
        <w:t>9</w:t>
      </w:r>
      <w:r w:rsidRPr="007E666D">
        <w:rPr>
          <w:rFonts w:ascii="Verdana" w:eastAsia="Verdana" w:hAnsi="Verdana" w:cs="Verdana"/>
          <w:spacing w:val="1"/>
          <w:position w:val="-1"/>
          <w:sz w:val="16"/>
          <w:szCs w:val="16"/>
          <w:lang w:val="es-PR"/>
        </w:rPr>
        <w:t>1</w:t>
      </w:r>
      <w:r w:rsidRPr="007E666D">
        <w:rPr>
          <w:rFonts w:ascii="Verdana" w:eastAsia="Verdana" w:hAnsi="Verdana" w:cs="Verdana"/>
          <w:position w:val="-1"/>
          <w:sz w:val="16"/>
          <w:szCs w:val="16"/>
          <w:lang w:val="es-PR"/>
        </w:rPr>
        <w:t>;</w:t>
      </w:r>
      <w:r w:rsidRPr="007E666D">
        <w:rPr>
          <w:rFonts w:ascii="Verdana" w:eastAsia="Verdana" w:hAnsi="Verdana" w:cs="Verdana"/>
          <w:spacing w:val="37"/>
          <w:position w:val="-1"/>
          <w:sz w:val="16"/>
          <w:szCs w:val="16"/>
          <w:lang w:val="es-PR"/>
        </w:rPr>
        <w:t xml:space="preserve"> </w:t>
      </w:r>
      <w:r w:rsidRPr="007E666D">
        <w:rPr>
          <w:rFonts w:ascii="Verdana" w:eastAsia="Verdana" w:hAnsi="Verdana" w:cs="Verdana"/>
          <w:i/>
          <w:position w:val="-1"/>
          <w:sz w:val="16"/>
          <w:szCs w:val="16"/>
          <w:lang w:val="es-PR"/>
        </w:rPr>
        <w:t>C</w:t>
      </w:r>
      <w:r w:rsidRPr="007E666D">
        <w:rPr>
          <w:rFonts w:ascii="Verdana" w:eastAsia="Verdana" w:hAnsi="Verdana" w:cs="Verdana"/>
          <w:i/>
          <w:spacing w:val="-1"/>
          <w:position w:val="-1"/>
          <w:sz w:val="16"/>
          <w:szCs w:val="16"/>
          <w:lang w:val="es-PR"/>
        </w:rPr>
        <w:t>a</w:t>
      </w:r>
      <w:r w:rsidRPr="007E666D">
        <w:rPr>
          <w:rFonts w:ascii="Verdana" w:eastAsia="Verdana" w:hAnsi="Verdana" w:cs="Verdana"/>
          <w:i/>
          <w:spacing w:val="-2"/>
          <w:position w:val="-1"/>
          <w:sz w:val="16"/>
          <w:szCs w:val="16"/>
          <w:lang w:val="es-PR"/>
        </w:rPr>
        <w:t>s</w:t>
      </w:r>
      <w:r w:rsidRPr="007E666D">
        <w:rPr>
          <w:rFonts w:ascii="Verdana" w:eastAsia="Verdana" w:hAnsi="Verdana" w:cs="Verdana"/>
          <w:i/>
          <w:position w:val="-1"/>
          <w:sz w:val="16"/>
          <w:szCs w:val="16"/>
          <w:lang w:val="es-PR"/>
        </w:rPr>
        <w:t>o</w:t>
      </w:r>
      <w:r w:rsidRPr="007E666D">
        <w:rPr>
          <w:rFonts w:ascii="Verdana" w:eastAsia="Verdana" w:hAnsi="Verdana" w:cs="Verdana"/>
          <w:i/>
          <w:spacing w:val="37"/>
          <w:position w:val="-1"/>
          <w:sz w:val="16"/>
          <w:szCs w:val="16"/>
          <w:lang w:val="es-PR"/>
        </w:rPr>
        <w:t xml:space="preserve"> </w:t>
      </w:r>
      <w:r w:rsidRPr="007E666D">
        <w:rPr>
          <w:rFonts w:ascii="Verdana" w:eastAsia="Verdana" w:hAnsi="Verdana" w:cs="Verdana"/>
          <w:i/>
          <w:position w:val="-1"/>
          <w:sz w:val="16"/>
          <w:szCs w:val="16"/>
          <w:lang w:val="es-PR"/>
        </w:rPr>
        <w:t>G</w:t>
      </w:r>
      <w:r w:rsidRPr="007E666D">
        <w:rPr>
          <w:rFonts w:ascii="Verdana" w:eastAsia="Verdana" w:hAnsi="Verdana" w:cs="Verdana"/>
          <w:i/>
          <w:spacing w:val="1"/>
          <w:position w:val="-1"/>
          <w:sz w:val="16"/>
          <w:szCs w:val="16"/>
          <w:lang w:val="es-PR"/>
        </w:rPr>
        <w:t>o</w:t>
      </w:r>
      <w:r w:rsidRPr="007E666D">
        <w:rPr>
          <w:rFonts w:ascii="Verdana" w:eastAsia="Verdana" w:hAnsi="Verdana" w:cs="Verdana"/>
          <w:i/>
          <w:spacing w:val="-1"/>
          <w:position w:val="-1"/>
          <w:sz w:val="16"/>
          <w:szCs w:val="16"/>
          <w:lang w:val="es-PR"/>
        </w:rPr>
        <w:t>n</w:t>
      </w:r>
      <w:r w:rsidRPr="007E666D">
        <w:rPr>
          <w:rFonts w:ascii="Verdana" w:eastAsia="Verdana" w:hAnsi="Verdana" w:cs="Verdana"/>
          <w:i/>
          <w:position w:val="-1"/>
          <w:sz w:val="16"/>
          <w:szCs w:val="16"/>
          <w:lang w:val="es-PR"/>
        </w:rPr>
        <w:t>z</w:t>
      </w:r>
      <w:r w:rsidRPr="007E666D">
        <w:rPr>
          <w:rFonts w:ascii="Verdana" w:eastAsia="Verdana" w:hAnsi="Verdana" w:cs="Verdana"/>
          <w:i/>
          <w:spacing w:val="-1"/>
          <w:position w:val="-1"/>
          <w:sz w:val="16"/>
          <w:szCs w:val="16"/>
          <w:lang w:val="es-PR"/>
        </w:rPr>
        <w:t>ál</w:t>
      </w:r>
      <w:r w:rsidRPr="007E666D">
        <w:rPr>
          <w:rFonts w:ascii="Verdana" w:eastAsia="Verdana" w:hAnsi="Verdana" w:cs="Verdana"/>
          <w:i/>
          <w:position w:val="-1"/>
          <w:sz w:val="16"/>
          <w:szCs w:val="16"/>
          <w:lang w:val="es-PR"/>
        </w:rPr>
        <w:t>ez</w:t>
      </w:r>
      <w:r w:rsidRPr="007E666D">
        <w:rPr>
          <w:rFonts w:ascii="Verdana" w:eastAsia="Verdana" w:hAnsi="Verdana" w:cs="Verdana"/>
          <w:i/>
          <w:spacing w:val="36"/>
          <w:position w:val="-1"/>
          <w:sz w:val="16"/>
          <w:szCs w:val="16"/>
          <w:lang w:val="es-PR"/>
        </w:rPr>
        <w:t xml:space="preserve"> </w:t>
      </w:r>
      <w:r w:rsidRPr="007E666D">
        <w:rPr>
          <w:rFonts w:ascii="Verdana" w:eastAsia="Verdana" w:hAnsi="Verdana" w:cs="Verdana"/>
          <w:i/>
          <w:spacing w:val="-1"/>
          <w:position w:val="-1"/>
          <w:sz w:val="16"/>
          <w:szCs w:val="16"/>
          <w:lang w:val="es-PR"/>
        </w:rPr>
        <w:t>M</w:t>
      </w:r>
      <w:r w:rsidRPr="007E666D">
        <w:rPr>
          <w:rFonts w:ascii="Verdana" w:eastAsia="Verdana" w:hAnsi="Verdana" w:cs="Verdana"/>
          <w:i/>
          <w:spacing w:val="-2"/>
          <w:position w:val="-1"/>
          <w:sz w:val="16"/>
          <w:szCs w:val="16"/>
          <w:lang w:val="es-PR"/>
        </w:rPr>
        <w:t>e</w:t>
      </w:r>
      <w:r w:rsidRPr="007E666D">
        <w:rPr>
          <w:rFonts w:ascii="Verdana" w:eastAsia="Verdana" w:hAnsi="Verdana" w:cs="Verdana"/>
          <w:i/>
          <w:position w:val="-1"/>
          <w:sz w:val="16"/>
          <w:szCs w:val="16"/>
          <w:lang w:val="es-PR"/>
        </w:rPr>
        <w:t>d</w:t>
      </w:r>
      <w:r w:rsidRPr="007E666D">
        <w:rPr>
          <w:rFonts w:ascii="Verdana" w:eastAsia="Verdana" w:hAnsi="Verdana" w:cs="Verdana"/>
          <w:i/>
          <w:spacing w:val="-1"/>
          <w:position w:val="-1"/>
          <w:sz w:val="16"/>
          <w:szCs w:val="16"/>
          <w:lang w:val="es-PR"/>
        </w:rPr>
        <w:t>in</w:t>
      </w:r>
      <w:r w:rsidRPr="007E666D">
        <w:rPr>
          <w:rFonts w:ascii="Verdana" w:eastAsia="Verdana" w:hAnsi="Verdana" w:cs="Verdana"/>
          <w:i/>
          <w:position w:val="-1"/>
          <w:sz w:val="16"/>
          <w:szCs w:val="16"/>
          <w:lang w:val="es-PR"/>
        </w:rPr>
        <w:t>a</w:t>
      </w:r>
      <w:r w:rsidRPr="007E666D">
        <w:rPr>
          <w:rFonts w:ascii="Verdana" w:eastAsia="Verdana" w:hAnsi="Verdana" w:cs="Verdana"/>
          <w:i/>
          <w:spacing w:val="36"/>
          <w:position w:val="-1"/>
          <w:sz w:val="16"/>
          <w:szCs w:val="16"/>
          <w:lang w:val="es-PR"/>
        </w:rPr>
        <w:t xml:space="preserve"> </w:t>
      </w:r>
      <w:r w:rsidRPr="007E666D">
        <w:rPr>
          <w:rFonts w:ascii="Verdana" w:eastAsia="Verdana" w:hAnsi="Verdana" w:cs="Verdana"/>
          <w:i/>
          <w:position w:val="-1"/>
          <w:sz w:val="16"/>
          <w:szCs w:val="16"/>
          <w:lang w:val="es-PR"/>
        </w:rPr>
        <w:t>y</w:t>
      </w:r>
      <w:r w:rsidRPr="007E666D">
        <w:rPr>
          <w:rFonts w:ascii="Verdana" w:eastAsia="Verdana" w:hAnsi="Verdana" w:cs="Verdana"/>
          <w:i/>
          <w:spacing w:val="38"/>
          <w:position w:val="-1"/>
          <w:sz w:val="16"/>
          <w:szCs w:val="16"/>
          <w:lang w:val="es-PR"/>
        </w:rPr>
        <w:t xml:space="preserve"> </w:t>
      </w:r>
      <w:r w:rsidRPr="007E666D">
        <w:rPr>
          <w:rFonts w:ascii="Verdana" w:eastAsia="Verdana" w:hAnsi="Verdana" w:cs="Verdana"/>
          <w:i/>
          <w:spacing w:val="1"/>
          <w:position w:val="-1"/>
          <w:sz w:val="16"/>
          <w:szCs w:val="16"/>
          <w:lang w:val="es-PR"/>
        </w:rPr>
        <w:t>f</w:t>
      </w:r>
      <w:r w:rsidRPr="007E666D">
        <w:rPr>
          <w:rFonts w:ascii="Verdana" w:eastAsia="Verdana" w:hAnsi="Verdana" w:cs="Verdana"/>
          <w:i/>
          <w:spacing w:val="-1"/>
          <w:position w:val="-1"/>
          <w:sz w:val="16"/>
          <w:szCs w:val="16"/>
          <w:lang w:val="es-PR"/>
        </w:rPr>
        <w:t>a</w:t>
      </w:r>
      <w:r w:rsidRPr="007E666D">
        <w:rPr>
          <w:rFonts w:ascii="Verdana" w:eastAsia="Verdana" w:hAnsi="Verdana" w:cs="Verdana"/>
          <w:i/>
          <w:position w:val="-1"/>
          <w:sz w:val="16"/>
          <w:szCs w:val="16"/>
          <w:lang w:val="es-PR"/>
        </w:rPr>
        <w:t>m</w:t>
      </w:r>
      <w:r w:rsidRPr="007E666D">
        <w:rPr>
          <w:rFonts w:ascii="Verdana" w:eastAsia="Verdana" w:hAnsi="Verdana" w:cs="Verdana"/>
          <w:i/>
          <w:spacing w:val="-1"/>
          <w:position w:val="-1"/>
          <w:sz w:val="16"/>
          <w:szCs w:val="16"/>
          <w:lang w:val="es-PR"/>
        </w:rPr>
        <w:t>ilia</w:t>
      </w:r>
      <w:r w:rsidRPr="007E666D">
        <w:rPr>
          <w:rFonts w:ascii="Verdana" w:eastAsia="Verdana" w:hAnsi="Verdana" w:cs="Verdana"/>
          <w:i/>
          <w:spacing w:val="1"/>
          <w:position w:val="-1"/>
          <w:sz w:val="16"/>
          <w:szCs w:val="16"/>
          <w:lang w:val="es-PR"/>
        </w:rPr>
        <w:t>r</w:t>
      </w:r>
      <w:r w:rsidRPr="007E666D">
        <w:rPr>
          <w:rFonts w:ascii="Verdana" w:eastAsia="Verdana" w:hAnsi="Verdana" w:cs="Verdana"/>
          <w:i/>
          <w:position w:val="-1"/>
          <w:sz w:val="16"/>
          <w:szCs w:val="16"/>
          <w:lang w:val="es-PR"/>
        </w:rPr>
        <w:t>es</w:t>
      </w:r>
      <w:r w:rsidRPr="007E666D">
        <w:rPr>
          <w:rFonts w:ascii="Verdana" w:eastAsia="Verdana" w:hAnsi="Verdana" w:cs="Verdana"/>
          <w:i/>
          <w:spacing w:val="35"/>
          <w:position w:val="-1"/>
          <w:sz w:val="16"/>
          <w:szCs w:val="16"/>
          <w:lang w:val="es-PR"/>
        </w:rPr>
        <w:t xml:space="preserve"> </w:t>
      </w:r>
      <w:r w:rsidRPr="007E666D">
        <w:rPr>
          <w:rFonts w:ascii="Verdana" w:eastAsia="Verdana" w:hAnsi="Verdana" w:cs="Verdana"/>
          <w:i/>
          <w:spacing w:val="1"/>
          <w:position w:val="-1"/>
          <w:sz w:val="16"/>
          <w:szCs w:val="16"/>
          <w:lang w:val="es-PR"/>
        </w:rPr>
        <w:t>V</w:t>
      </w:r>
      <w:r w:rsidRPr="007E666D">
        <w:rPr>
          <w:rFonts w:ascii="Verdana" w:eastAsia="Verdana" w:hAnsi="Verdana" w:cs="Verdana"/>
          <w:i/>
          <w:position w:val="-1"/>
          <w:sz w:val="16"/>
          <w:szCs w:val="16"/>
          <w:lang w:val="es-PR"/>
        </w:rPr>
        <w:t>s.</w:t>
      </w:r>
      <w:r w:rsidRPr="007E666D">
        <w:rPr>
          <w:rFonts w:ascii="Verdana" w:eastAsia="Verdana" w:hAnsi="Verdana" w:cs="Verdana"/>
          <w:i/>
          <w:spacing w:val="36"/>
          <w:position w:val="-1"/>
          <w:sz w:val="16"/>
          <w:szCs w:val="16"/>
          <w:lang w:val="es-PR"/>
        </w:rPr>
        <w:t xml:space="preserve"> </w:t>
      </w:r>
      <w:r w:rsidRPr="007E666D">
        <w:rPr>
          <w:rFonts w:ascii="Verdana" w:eastAsia="Verdana" w:hAnsi="Verdana" w:cs="Verdana"/>
          <w:i/>
          <w:spacing w:val="-1"/>
          <w:position w:val="-1"/>
          <w:sz w:val="16"/>
          <w:szCs w:val="16"/>
          <w:lang w:val="es-PR"/>
        </w:rPr>
        <w:t>R</w:t>
      </w:r>
      <w:r w:rsidRPr="007E666D">
        <w:rPr>
          <w:rFonts w:ascii="Verdana" w:eastAsia="Verdana" w:hAnsi="Verdana" w:cs="Verdana"/>
          <w:i/>
          <w:position w:val="-1"/>
          <w:sz w:val="16"/>
          <w:szCs w:val="16"/>
          <w:lang w:val="es-PR"/>
        </w:rPr>
        <w:t>e</w:t>
      </w:r>
      <w:r w:rsidRPr="007E666D">
        <w:rPr>
          <w:rFonts w:ascii="Verdana" w:eastAsia="Verdana" w:hAnsi="Verdana" w:cs="Verdana"/>
          <w:i/>
          <w:spacing w:val="1"/>
          <w:position w:val="-1"/>
          <w:sz w:val="16"/>
          <w:szCs w:val="16"/>
          <w:lang w:val="es-PR"/>
        </w:rPr>
        <w:t>p</w:t>
      </w:r>
      <w:r w:rsidRPr="007E666D">
        <w:rPr>
          <w:rFonts w:ascii="Verdana" w:eastAsia="Verdana" w:hAnsi="Verdana" w:cs="Verdana"/>
          <w:i/>
          <w:spacing w:val="-1"/>
          <w:position w:val="-1"/>
          <w:sz w:val="16"/>
          <w:szCs w:val="16"/>
          <w:lang w:val="es-PR"/>
        </w:rPr>
        <w:t>ú</w:t>
      </w:r>
      <w:r w:rsidRPr="007E666D">
        <w:rPr>
          <w:rFonts w:ascii="Verdana" w:eastAsia="Verdana" w:hAnsi="Verdana" w:cs="Verdana"/>
          <w:i/>
          <w:position w:val="-1"/>
          <w:sz w:val="16"/>
          <w:szCs w:val="16"/>
          <w:lang w:val="es-PR"/>
        </w:rPr>
        <w:t>b</w:t>
      </w:r>
      <w:r w:rsidRPr="007E666D">
        <w:rPr>
          <w:rFonts w:ascii="Verdana" w:eastAsia="Verdana" w:hAnsi="Verdana" w:cs="Verdana"/>
          <w:i/>
          <w:spacing w:val="-1"/>
          <w:position w:val="-1"/>
          <w:sz w:val="16"/>
          <w:szCs w:val="16"/>
          <w:lang w:val="es-PR"/>
        </w:rPr>
        <w:t>li</w:t>
      </w:r>
      <w:r w:rsidRPr="007E666D">
        <w:rPr>
          <w:rFonts w:ascii="Verdana" w:eastAsia="Verdana" w:hAnsi="Verdana" w:cs="Verdana"/>
          <w:i/>
          <w:position w:val="-1"/>
          <w:sz w:val="16"/>
          <w:szCs w:val="16"/>
          <w:lang w:val="es-PR"/>
        </w:rPr>
        <w:t>ca</w:t>
      </w:r>
      <w:r w:rsidRPr="007E666D">
        <w:rPr>
          <w:rFonts w:ascii="Verdana" w:eastAsia="Verdana" w:hAnsi="Verdana" w:cs="Verdana"/>
          <w:i/>
          <w:spacing w:val="36"/>
          <w:position w:val="-1"/>
          <w:sz w:val="16"/>
          <w:szCs w:val="16"/>
          <w:lang w:val="es-PR"/>
        </w:rPr>
        <w:t xml:space="preserve"> </w:t>
      </w:r>
      <w:r w:rsidRPr="007E666D">
        <w:rPr>
          <w:rFonts w:ascii="Verdana" w:eastAsia="Verdana" w:hAnsi="Verdana" w:cs="Verdana"/>
          <w:i/>
          <w:spacing w:val="-3"/>
          <w:position w:val="-1"/>
          <w:sz w:val="16"/>
          <w:szCs w:val="16"/>
          <w:lang w:val="es-PR"/>
        </w:rPr>
        <w:t>D</w:t>
      </w:r>
      <w:r w:rsidRPr="007E666D">
        <w:rPr>
          <w:rFonts w:ascii="Verdana" w:eastAsia="Verdana" w:hAnsi="Verdana" w:cs="Verdana"/>
          <w:i/>
          <w:spacing w:val="1"/>
          <w:position w:val="-1"/>
          <w:sz w:val="16"/>
          <w:szCs w:val="16"/>
          <w:lang w:val="es-PR"/>
        </w:rPr>
        <w:t>o</w:t>
      </w:r>
      <w:r w:rsidRPr="007E666D">
        <w:rPr>
          <w:rFonts w:ascii="Verdana" w:eastAsia="Verdana" w:hAnsi="Verdana" w:cs="Verdana"/>
          <w:i/>
          <w:position w:val="-1"/>
          <w:sz w:val="16"/>
          <w:szCs w:val="16"/>
          <w:lang w:val="es-PR"/>
        </w:rPr>
        <w:t>m</w:t>
      </w:r>
      <w:r w:rsidRPr="007E666D">
        <w:rPr>
          <w:rFonts w:ascii="Verdana" w:eastAsia="Verdana" w:hAnsi="Verdana" w:cs="Verdana"/>
          <w:i/>
          <w:spacing w:val="-1"/>
          <w:position w:val="-1"/>
          <w:sz w:val="16"/>
          <w:szCs w:val="16"/>
          <w:lang w:val="es-PR"/>
        </w:rPr>
        <w:t>ini</w:t>
      </w:r>
      <w:r w:rsidRPr="007E666D">
        <w:rPr>
          <w:rFonts w:ascii="Verdana" w:eastAsia="Verdana" w:hAnsi="Verdana" w:cs="Verdana"/>
          <w:i/>
          <w:position w:val="-1"/>
          <w:sz w:val="16"/>
          <w:szCs w:val="16"/>
          <w:lang w:val="es-PR"/>
        </w:rPr>
        <w:t>ca</w:t>
      </w:r>
      <w:r w:rsidRPr="007E666D">
        <w:rPr>
          <w:rFonts w:ascii="Verdana" w:eastAsia="Verdana" w:hAnsi="Verdana" w:cs="Verdana"/>
          <w:i/>
          <w:spacing w:val="-1"/>
          <w:position w:val="-1"/>
          <w:sz w:val="16"/>
          <w:szCs w:val="16"/>
          <w:lang w:val="es-PR"/>
        </w:rPr>
        <w:t>na</w:t>
      </w:r>
      <w:r w:rsidRPr="007E666D">
        <w:rPr>
          <w:rFonts w:ascii="Verdana" w:eastAsia="Verdana" w:hAnsi="Verdana" w:cs="Verdana"/>
          <w:i/>
          <w:position w:val="-1"/>
          <w:sz w:val="16"/>
          <w:szCs w:val="16"/>
          <w:lang w:val="es-PR"/>
        </w:rPr>
        <w:t>,</w:t>
      </w:r>
      <w:r w:rsidRPr="007E666D">
        <w:rPr>
          <w:rFonts w:ascii="Verdana" w:eastAsia="Verdana" w:hAnsi="Verdana" w:cs="Verdana"/>
          <w:i/>
          <w:spacing w:val="36"/>
          <w:position w:val="-1"/>
          <w:sz w:val="16"/>
          <w:szCs w:val="16"/>
          <w:lang w:val="es-PR"/>
        </w:rPr>
        <w:t xml:space="preserve"> </w:t>
      </w:r>
      <w:r w:rsidRPr="007E666D">
        <w:rPr>
          <w:rFonts w:ascii="Verdana" w:eastAsia="Verdana" w:hAnsi="Verdana" w:cs="Verdana"/>
          <w:i/>
          <w:position w:val="-1"/>
          <w:sz w:val="16"/>
          <w:szCs w:val="16"/>
          <w:lang w:val="es-PR"/>
        </w:rPr>
        <w:t>s</w:t>
      </w:r>
      <w:r w:rsidRPr="007E666D">
        <w:rPr>
          <w:rFonts w:ascii="Verdana" w:eastAsia="Verdana" w:hAnsi="Verdana" w:cs="Verdana"/>
          <w:i/>
          <w:spacing w:val="-1"/>
          <w:position w:val="-1"/>
          <w:sz w:val="16"/>
          <w:szCs w:val="16"/>
          <w:lang w:val="es-PR"/>
        </w:rPr>
        <w:t>u</w:t>
      </w:r>
      <w:r w:rsidRPr="007E666D">
        <w:rPr>
          <w:rFonts w:ascii="Verdana" w:eastAsia="Verdana" w:hAnsi="Verdana" w:cs="Verdana"/>
          <w:i/>
          <w:position w:val="-1"/>
          <w:sz w:val="16"/>
          <w:szCs w:val="16"/>
          <w:lang w:val="es-PR"/>
        </w:rPr>
        <w:t>p</w:t>
      </w:r>
      <w:r w:rsidRPr="007E666D">
        <w:rPr>
          <w:rFonts w:ascii="Verdana" w:eastAsia="Verdana" w:hAnsi="Verdana" w:cs="Verdana"/>
          <w:i/>
          <w:spacing w:val="1"/>
          <w:position w:val="-1"/>
          <w:sz w:val="16"/>
          <w:szCs w:val="16"/>
          <w:lang w:val="es-PR"/>
        </w:rPr>
        <w:t>r</w:t>
      </w:r>
      <w:r w:rsidRPr="007E666D">
        <w:rPr>
          <w:rFonts w:ascii="Verdana" w:eastAsia="Verdana" w:hAnsi="Verdana" w:cs="Verdana"/>
          <w:i/>
          <w:spacing w:val="3"/>
          <w:position w:val="-1"/>
          <w:sz w:val="16"/>
          <w:szCs w:val="16"/>
          <w:lang w:val="es-PR"/>
        </w:rPr>
        <w:t>a</w:t>
      </w:r>
      <w:r w:rsidRPr="007E666D">
        <w:rPr>
          <w:rFonts w:ascii="Verdana" w:eastAsia="Verdana" w:hAnsi="Verdana" w:cs="Verdana"/>
          <w:position w:val="-1"/>
          <w:sz w:val="16"/>
          <w:szCs w:val="16"/>
          <w:lang w:val="es-PR"/>
        </w:rPr>
        <w:t>,</w:t>
      </w:r>
      <w:r w:rsidRPr="007E666D">
        <w:rPr>
          <w:rFonts w:ascii="Verdana" w:eastAsia="Verdana" w:hAnsi="Verdana" w:cs="Verdana"/>
          <w:spacing w:val="36"/>
          <w:position w:val="-1"/>
          <w:sz w:val="16"/>
          <w:szCs w:val="16"/>
          <w:lang w:val="es-PR"/>
        </w:rPr>
        <w:t xml:space="preserve"> </w:t>
      </w:r>
      <w:r w:rsidRPr="007E666D">
        <w:rPr>
          <w:rFonts w:ascii="Verdana" w:eastAsia="Verdana" w:hAnsi="Verdana" w:cs="Verdana"/>
          <w:position w:val="-1"/>
          <w:sz w:val="16"/>
          <w:szCs w:val="16"/>
          <w:lang w:val="es-PR"/>
        </w:rPr>
        <w:t>p</w:t>
      </w:r>
      <w:r w:rsidRPr="007E666D">
        <w:rPr>
          <w:rFonts w:ascii="Verdana" w:eastAsia="Verdana" w:hAnsi="Verdana" w:cs="Verdana"/>
          <w:spacing w:val="-1"/>
          <w:position w:val="-1"/>
          <w:sz w:val="16"/>
          <w:szCs w:val="16"/>
          <w:lang w:val="es-PR"/>
        </w:rPr>
        <w:t>ár</w:t>
      </w:r>
      <w:r w:rsidRPr="007E666D">
        <w:rPr>
          <w:rFonts w:ascii="Verdana" w:eastAsia="Verdana" w:hAnsi="Verdana" w:cs="Verdana"/>
          <w:spacing w:val="1"/>
          <w:position w:val="-1"/>
          <w:sz w:val="16"/>
          <w:szCs w:val="16"/>
          <w:lang w:val="es-PR"/>
        </w:rPr>
        <w:t>r</w:t>
      </w:r>
      <w:r w:rsidRPr="007E666D">
        <w:rPr>
          <w:rFonts w:ascii="Verdana" w:eastAsia="Verdana" w:hAnsi="Verdana" w:cs="Verdana"/>
          <w:position w:val="-1"/>
          <w:sz w:val="16"/>
          <w:szCs w:val="16"/>
          <w:lang w:val="es-PR"/>
        </w:rPr>
        <w:t>.</w:t>
      </w:r>
      <w:r w:rsidRPr="007E666D">
        <w:rPr>
          <w:rFonts w:ascii="Verdana" w:eastAsia="Verdana" w:hAnsi="Verdana" w:cs="Verdana"/>
          <w:spacing w:val="36"/>
          <w:position w:val="-1"/>
          <w:sz w:val="16"/>
          <w:szCs w:val="16"/>
          <w:lang w:val="es-PR"/>
        </w:rPr>
        <w:t xml:space="preserve"> </w:t>
      </w:r>
      <w:r w:rsidRPr="007E666D">
        <w:rPr>
          <w:rFonts w:ascii="Verdana" w:eastAsia="Verdana" w:hAnsi="Verdana" w:cs="Verdana"/>
          <w:spacing w:val="-1"/>
          <w:position w:val="-1"/>
          <w:sz w:val="16"/>
          <w:szCs w:val="16"/>
          <w:lang w:val="es-PR"/>
        </w:rPr>
        <w:t>2</w:t>
      </w:r>
      <w:r w:rsidRPr="007E666D">
        <w:rPr>
          <w:rFonts w:ascii="Verdana" w:eastAsia="Verdana" w:hAnsi="Verdana" w:cs="Verdana"/>
          <w:spacing w:val="1"/>
          <w:position w:val="-1"/>
          <w:sz w:val="16"/>
          <w:szCs w:val="16"/>
          <w:lang w:val="es-PR"/>
        </w:rPr>
        <w:t>63</w:t>
      </w:r>
      <w:r w:rsidRPr="007E666D">
        <w:rPr>
          <w:rFonts w:ascii="Verdana" w:eastAsia="Verdana" w:hAnsi="Verdana" w:cs="Verdana"/>
          <w:position w:val="-1"/>
          <w:sz w:val="16"/>
          <w:szCs w:val="16"/>
          <w:lang w:val="es-PR"/>
        </w:rPr>
        <w:t>,</w:t>
      </w:r>
      <w:r w:rsidRPr="007E666D">
        <w:rPr>
          <w:rFonts w:ascii="Verdana" w:eastAsia="Verdana" w:hAnsi="Verdana" w:cs="Verdana"/>
          <w:spacing w:val="33"/>
          <w:position w:val="-1"/>
          <w:sz w:val="16"/>
          <w:szCs w:val="16"/>
          <w:lang w:val="es-PR"/>
        </w:rPr>
        <w:t xml:space="preserve"> </w:t>
      </w:r>
      <w:r w:rsidRPr="007E666D">
        <w:rPr>
          <w:rFonts w:ascii="Verdana" w:eastAsia="Verdana" w:hAnsi="Verdana" w:cs="Verdana"/>
          <w:position w:val="-1"/>
          <w:sz w:val="16"/>
          <w:szCs w:val="16"/>
          <w:lang w:val="es-PR"/>
        </w:rPr>
        <w:t>y</w:t>
      </w:r>
      <w:r w:rsidRPr="007E666D">
        <w:rPr>
          <w:rFonts w:ascii="Verdana" w:eastAsia="Verdana" w:hAnsi="Verdana" w:cs="Verdana"/>
          <w:spacing w:val="39"/>
          <w:position w:val="-1"/>
          <w:sz w:val="16"/>
          <w:szCs w:val="16"/>
          <w:lang w:val="es-PR"/>
        </w:rPr>
        <w:t xml:space="preserve"> </w:t>
      </w:r>
      <w:r w:rsidRPr="007E666D">
        <w:rPr>
          <w:rFonts w:ascii="Verdana" w:eastAsia="Verdana" w:hAnsi="Verdana" w:cs="Verdana"/>
          <w:i/>
          <w:position w:val="-1"/>
          <w:sz w:val="16"/>
          <w:szCs w:val="16"/>
          <w:lang w:val="es-PR"/>
        </w:rPr>
        <w:t>C</w:t>
      </w:r>
      <w:r w:rsidRPr="007E666D">
        <w:rPr>
          <w:rFonts w:ascii="Verdana" w:eastAsia="Verdana" w:hAnsi="Verdana" w:cs="Verdana"/>
          <w:i/>
          <w:spacing w:val="-1"/>
          <w:position w:val="-1"/>
          <w:sz w:val="16"/>
          <w:szCs w:val="16"/>
          <w:lang w:val="es-PR"/>
        </w:rPr>
        <w:t>a</w:t>
      </w:r>
      <w:r w:rsidRPr="007E666D">
        <w:rPr>
          <w:rFonts w:ascii="Verdana" w:eastAsia="Verdana" w:hAnsi="Verdana" w:cs="Verdana"/>
          <w:i/>
          <w:spacing w:val="-2"/>
          <w:position w:val="-1"/>
          <w:sz w:val="16"/>
          <w:szCs w:val="16"/>
          <w:lang w:val="es-PR"/>
        </w:rPr>
        <w:t>s</w:t>
      </w:r>
      <w:r w:rsidRPr="007E666D">
        <w:rPr>
          <w:rFonts w:ascii="Verdana" w:eastAsia="Verdana" w:hAnsi="Verdana" w:cs="Verdana"/>
          <w:i/>
          <w:position w:val="-1"/>
          <w:sz w:val="16"/>
          <w:szCs w:val="16"/>
          <w:lang w:val="es-PR"/>
        </w:rPr>
        <w:t>o</w:t>
      </w:r>
      <w:r w:rsidRPr="007E666D">
        <w:rPr>
          <w:rFonts w:ascii="Verdana" w:eastAsia="Verdana" w:hAnsi="Verdana" w:cs="Verdana"/>
          <w:i/>
          <w:spacing w:val="37"/>
          <w:position w:val="-1"/>
          <w:sz w:val="16"/>
          <w:szCs w:val="16"/>
          <w:lang w:val="es-PR"/>
        </w:rPr>
        <w:t xml:space="preserve"> </w:t>
      </w:r>
      <w:r w:rsidRPr="007E666D">
        <w:rPr>
          <w:rFonts w:ascii="Verdana" w:eastAsia="Verdana" w:hAnsi="Verdana" w:cs="Verdana"/>
          <w:i/>
          <w:spacing w:val="-2"/>
          <w:position w:val="-1"/>
          <w:sz w:val="16"/>
          <w:szCs w:val="16"/>
          <w:lang w:val="es-PR"/>
        </w:rPr>
        <w:t>C</w:t>
      </w:r>
      <w:r w:rsidRPr="007E666D">
        <w:rPr>
          <w:rFonts w:ascii="Verdana" w:eastAsia="Verdana" w:hAnsi="Verdana" w:cs="Verdana"/>
          <w:i/>
          <w:spacing w:val="1"/>
          <w:position w:val="-1"/>
          <w:sz w:val="16"/>
          <w:szCs w:val="16"/>
          <w:lang w:val="es-PR"/>
        </w:rPr>
        <w:t>o</w:t>
      </w:r>
      <w:r w:rsidRPr="007E666D">
        <w:rPr>
          <w:rFonts w:ascii="Verdana" w:eastAsia="Verdana" w:hAnsi="Verdana" w:cs="Verdana"/>
          <w:i/>
          <w:spacing w:val="-1"/>
          <w:position w:val="-1"/>
          <w:sz w:val="16"/>
          <w:szCs w:val="16"/>
          <w:lang w:val="es-PR"/>
        </w:rPr>
        <w:t>nt</w:t>
      </w:r>
      <w:r w:rsidRPr="007E666D">
        <w:rPr>
          <w:rFonts w:ascii="Verdana" w:eastAsia="Verdana" w:hAnsi="Verdana" w:cs="Verdana"/>
          <w:i/>
          <w:spacing w:val="1"/>
          <w:position w:val="-1"/>
          <w:sz w:val="16"/>
          <w:szCs w:val="16"/>
          <w:lang w:val="es-PR"/>
        </w:rPr>
        <w:t>r</w:t>
      </w:r>
      <w:r w:rsidRPr="007E666D">
        <w:rPr>
          <w:rFonts w:ascii="Verdana" w:eastAsia="Verdana" w:hAnsi="Verdana" w:cs="Verdana"/>
          <w:i/>
          <w:position w:val="-1"/>
          <w:sz w:val="16"/>
          <w:szCs w:val="16"/>
          <w:lang w:val="es-PR"/>
        </w:rPr>
        <w:t>e</w:t>
      </w:r>
      <w:r w:rsidRPr="007E666D">
        <w:rPr>
          <w:rFonts w:ascii="Verdana" w:eastAsia="Verdana" w:hAnsi="Verdana" w:cs="Verdana"/>
          <w:i/>
          <w:spacing w:val="1"/>
          <w:position w:val="-1"/>
          <w:sz w:val="16"/>
          <w:szCs w:val="16"/>
          <w:lang w:val="es-PR"/>
        </w:rPr>
        <w:t>r</w:t>
      </w:r>
      <w:r w:rsidRPr="007E666D">
        <w:rPr>
          <w:rFonts w:ascii="Verdana" w:eastAsia="Verdana" w:hAnsi="Verdana" w:cs="Verdana"/>
          <w:i/>
          <w:spacing w:val="-3"/>
          <w:position w:val="-1"/>
          <w:sz w:val="16"/>
          <w:szCs w:val="16"/>
          <w:lang w:val="es-PR"/>
        </w:rPr>
        <w:t>a</w:t>
      </w:r>
      <w:r w:rsidRPr="007E666D">
        <w:rPr>
          <w:rFonts w:ascii="Verdana" w:eastAsia="Verdana" w:hAnsi="Verdana" w:cs="Verdana"/>
          <w:i/>
          <w:position w:val="-1"/>
          <w:sz w:val="16"/>
          <w:szCs w:val="16"/>
          <w:lang w:val="es-PR"/>
        </w:rPr>
        <w:t>s</w:t>
      </w:r>
      <w:r w:rsidRPr="007E666D">
        <w:rPr>
          <w:rFonts w:ascii="Verdana" w:eastAsia="Verdana" w:hAnsi="Verdana" w:cs="Verdana"/>
          <w:i/>
          <w:spacing w:val="37"/>
          <w:position w:val="-1"/>
          <w:sz w:val="16"/>
          <w:szCs w:val="16"/>
          <w:lang w:val="es-PR"/>
        </w:rPr>
        <w:t xml:space="preserve"> </w:t>
      </w:r>
      <w:r w:rsidRPr="007E666D">
        <w:rPr>
          <w:rFonts w:ascii="Verdana" w:eastAsia="Verdana" w:hAnsi="Verdana" w:cs="Verdana"/>
          <w:i/>
          <w:position w:val="-1"/>
          <w:sz w:val="16"/>
          <w:szCs w:val="16"/>
          <w:lang w:val="es-PR"/>
        </w:rPr>
        <w:t>y</w:t>
      </w:r>
      <w:r w:rsidRPr="007E666D">
        <w:rPr>
          <w:rFonts w:ascii="Verdana" w:eastAsia="Verdana" w:hAnsi="Verdana" w:cs="Verdana"/>
          <w:i/>
          <w:spacing w:val="35"/>
          <w:position w:val="-1"/>
          <w:sz w:val="16"/>
          <w:szCs w:val="16"/>
          <w:lang w:val="es-PR"/>
        </w:rPr>
        <w:t xml:space="preserve"> </w:t>
      </w:r>
      <w:r w:rsidRPr="007E666D">
        <w:rPr>
          <w:rFonts w:ascii="Verdana" w:eastAsia="Verdana" w:hAnsi="Verdana" w:cs="Verdana"/>
          <w:i/>
          <w:spacing w:val="1"/>
          <w:position w:val="-1"/>
          <w:sz w:val="16"/>
          <w:szCs w:val="16"/>
          <w:lang w:val="es-PR"/>
        </w:rPr>
        <w:t>o</w:t>
      </w:r>
      <w:r w:rsidRPr="007E666D">
        <w:rPr>
          <w:rFonts w:ascii="Verdana" w:eastAsia="Verdana" w:hAnsi="Verdana" w:cs="Verdana"/>
          <w:i/>
          <w:spacing w:val="-1"/>
          <w:position w:val="-1"/>
          <w:sz w:val="16"/>
          <w:szCs w:val="16"/>
          <w:lang w:val="es-PR"/>
        </w:rPr>
        <w:t>t</w:t>
      </w:r>
      <w:r w:rsidRPr="007E666D">
        <w:rPr>
          <w:rFonts w:ascii="Verdana" w:eastAsia="Verdana" w:hAnsi="Verdana" w:cs="Verdana"/>
          <w:i/>
          <w:spacing w:val="1"/>
          <w:position w:val="-1"/>
          <w:sz w:val="16"/>
          <w:szCs w:val="16"/>
          <w:lang w:val="es-PR"/>
        </w:rPr>
        <w:t>r</w:t>
      </w:r>
      <w:r w:rsidRPr="007E666D">
        <w:rPr>
          <w:rFonts w:ascii="Verdana" w:eastAsia="Verdana" w:hAnsi="Verdana" w:cs="Verdana"/>
          <w:i/>
          <w:spacing w:val="-2"/>
          <w:position w:val="-1"/>
          <w:sz w:val="16"/>
          <w:szCs w:val="16"/>
          <w:lang w:val="es-PR"/>
        </w:rPr>
        <w:t>o</w:t>
      </w:r>
      <w:r w:rsidRPr="007E666D">
        <w:rPr>
          <w:rFonts w:ascii="Verdana" w:eastAsia="Verdana" w:hAnsi="Verdana" w:cs="Verdana"/>
          <w:i/>
          <w:position w:val="-1"/>
          <w:sz w:val="16"/>
          <w:szCs w:val="16"/>
          <w:lang w:val="es-PR"/>
        </w:rPr>
        <w:t>s</w:t>
      </w:r>
      <w:r w:rsidRPr="007E666D">
        <w:rPr>
          <w:rFonts w:ascii="Verdana" w:eastAsia="Verdana" w:hAnsi="Verdana" w:cs="Verdana"/>
          <w:i/>
          <w:spacing w:val="37"/>
          <w:position w:val="-1"/>
          <w:sz w:val="16"/>
          <w:szCs w:val="16"/>
          <w:lang w:val="es-PR"/>
        </w:rPr>
        <w:t xml:space="preserve"> </w:t>
      </w:r>
      <w:r w:rsidRPr="007E666D">
        <w:rPr>
          <w:rFonts w:ascii="Verdana" w:eastAsia="Verdana" w:hAnsi="Verdana" w:cs="Verdana"/>
          <w:i/>
          <w:spacing w:val="-2"/>
          <w:position w:val="-1"/>
          <w:sz w:val="16"/>
          <w:szCs w:val="16"/>
          <w:lang w:val="es-PR"/>
        </w:rPr>
        <w:t>V</w:t>
      </w:r>
      <w:r w:rsidRPr="007E666D">
        <w:rPr>
          <w:rFonts w:ascii="Verdana" w:eastAsia="Verdana" w:hAnsi="Verdana" w:cs="Verdana"/>
          <w:i/>
          <w:position w:val="-1"/>
          <w:sz w:val="16"/>
          <w:szCs w:val="16"/>
          <w:lang w:val="es-PR"/>
        </w:rPr>
        <w:t>s.</w:t>
      </w:r>
      <w:r w:rsidRPr="007E666D">
        <w:rPr>
          <w:rFonts w:ascii="Verdana" w:eastAsia="Verdana" w:hAnsi="Verdana" w:cs="Verdana"/>
          <w:i/>
          <w:spacing w:val="36"/>
          <w:position w:val="-1"/>
          <w:sz w:val="16"/>
          <w:szCs w:val="16"/>
          <w:lang w:val="es-PR"/>
        </w:rPr>
        <w:t xml:space="preserve"> </w:t>
      </w:r>
      <w:r w:rsidRPr="007E666D">
        <w:rPr>
          <w:rFonts w:ascii="Verdana" w:eastAsia="Verdana" w:hAnsi="Verdana" w:cs="Verdana"/>
          <w:i/>
          <w:spacing w:val="-1"/>
          <w:position w:val="-1"/>
          <w:sz w:val="16"/>
          <w:szCs w:val="16"/>
          <w:lang w:val="es-PR"/>
        </w:rPr>
        <w:t>E</w:t>
      </w:r>
      <w:r w:rsidRPr="007E666D">
        <w:rPr>
          <w:rFonts w:ascii="Verdana" w:eastAsia="Verdana" w:hAnsi="Verdana" w:cs="Verdana"/>
          <w:i/>
          <w:position w:val="-1"/>
          <w:sz w:val="16"/>
          <w:szCs w:val="16"/>
          <w:lang w:val="es-PR"/>
        </w:rPr>
        <w:t>l</w:t>
      </w:r>
      <w:r w:rsidRPr="007E666D">
        <w:rPr>
          <w:rFonts w:ascii="Verdana" w:eastAsia="Verdana" w:hAnsi="Verdana" w:cs="Verdana"/>
          <w:sz w:val="16"/>
          <w:szCs w:val="16"/>
          <w:lang w:val="es-PR"/>
        </w:rPr>
        <w:t xml:space="preserve"> </w:t>
      </w:r>
      <w:r w:rsidRPr="007E666D">
        <w:rPr>
          <w:rFonts w:ascii="Verdana" w:eastAsia="Verdana" w:hAnsi="Verdana" w:cs="Verdana"/>
          <w:i/>
          <w:sz w:val="16"/>
          <w:szCs w:val="16"/>
          <w:lang w:val="es-PR"/>
        </w:rPr>
        <w:t>Sa</w:t>
      </w:r>
      <w:r w:rsidRPr="007E666D">
        <w:rPr>
          <w:rFonts w:ascii="Verdana" w:eastAsia="Verdana" w:hAnsi="Verdana" w:cs="Verdana"/>
          <w:i/>
          <w:spacing w:val="-1"/>
          <w:sz w:val="16"/>
          <w:szCs w:val="16"/>
          <w:lang w:val="es-PR"/>
        </w:rPr>
        <w:t>l</w:t>
      </w:r>
      <w:r w:rsidRPr="007E666D">
        <w:rPr>
          <w:rFonts w:ascii="Verdana" w:eastAsia="Verdana" w:hAnsi="Verdana" w:cs="Verdana"/>
          <w:i/>
          <w:spacing w:val="1"/>
          <w:sz w:val="16"/>
          <w:szCs w:val="16"/>
          <w:lang w:val="es-PR"/>
        </w:rPr>
        <w:t>v</w:t>
      </w:r>
      <w:r w:rsidRPr="007E666D">
        <w:rPr>
          <w:rFonts w:ascii="Verdana" w:eastAsia="Verdana" w:hAnsi="Verdana" w:cs="Verdana"/>
          <w:i/>
          <w:spacing w:val="-1"/>
          <w:sz w:val="16"/>
          <w:szCs w:val="16"/>
          <w:lang w:val="es-PR"/>
        </w:rPr>
        <w:t>a</w:t>
      </w:r>
      <w:r w:rsidRPr="007E666D">
        <w:rPr>
          <w:rFonts w:ascii="Verdana" w:eastAsia="Verdana" w:hAnsi="Verdana" w:cs="Verdana"/>
          <w:i/>
          <w:spacing w:val="-2"/>
          <w:sz w:val="16"/>
          <w:szCs w:val="16"/>
          <w:lang w:val="es-PR"/>
        </w:rPr>
        <w:t>d</w:t>
      </w:r>
      <w:r w:rsidRPr="007E666D">
        <w:rPr>
          <w:rFonts w:ascii="Verdana" w:eastAsia="Verdana" w:hAnsi="Verdana" w:cs="Verdana"/>
          <w:i/>
          <w:spacing w:val="1"/>
          <w:sz w:val="16"/>
          <w:szCs w:val="16"/>
          <w:lang w:val="es-PR"/>
        </w:rPr>
        <w:t>or</w:t>
      </w:r>
      <w:r w:rsidRPr="007E666D">
        <w:rPr>
          <w:rFonts w:ascii="Verdana" w:eastAsia="Verdana" w:hAnsi="Verdana" w:cs="Verdana"/>
          <w:i/>
          <w:sz w:val="16"/>
          <w:szCs w:val="16"/>
          <w:lang w:val="es-PR"/>
        </w:rPr>
        <w:t>.</w:t>
      </w:r>
      <w:r w:rsidRPr="007E666D">
        <w:rPr>
          <w:rFonts w:ascii="Verdana" w:eastAsia="Verdana" w:hAnsi="Verdana" w:cs="Verdana"/>
          <w:i/>
          <w:spacing w:val="-2"/>
          <w:sz w:val="16"/>
          <w:szCs w:val="16"/>
          <w:lang w:val="es-PR"/>
        </w:rPr>
        <w:t xml:space="preserve"> </w:t>
      </w:r>
      <w:r w:rsidRPr="007E666D">
        <w:rPr>
          <w:rFonts w:ascii="Verdana" w:eastAsia="Verdana" w:hAnsi="Verdana" w:cs="Verdana"/>
          <w:i/>
          <w:spacing w:val="-1"/>
          <w:sz w:val="16"/>
          <w:szCs w:val="16"/>
          <w:lang w:val="es-PR"/>
        </w:rPr>
        <w:t>F</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n</w:t>
      </w:r>
      <w:r w:rsidRPr="007E666D">
        <w:rPr>
          <w:rFonts w:ascii="Verdana" w:eastAsia="Verdana" w:hAnsi="Verdana" w:cs="Verdana"/>
          <w:i/>
          <w:spacing w:val="-2"/>
          <w:sz w:val="16"/>
          <w:szCs w:val="16"/>
          <w:lang w:val="es-PR"/>
        </w:rPr>
        <w:t>d</w:t>
      </w:r>
      <w:r w:rsidRPr="007E666D">
        <w:rPr>
          <w:rFonts w:ascii="Verdana" w:eastAsia="Verdana" w:hAnsi="Verdana" w:cs="Verdana"/>
          <w:i/>
          <w:spacing w:val="1"/>
          <w:sz w:val="16"/>
          <w:szCs w:val="16"/>
          <w:lang w:val="es-PR"/>
        </w:rPr>
        <w:t>o</w:t>
      </w:r>
      <w:r w:rsidRPr="007E666D">
        <w:rPr>
          <w:rFonts w:ascii="Verdana" w:eastAsia="Verdana" w:hAnsi="Verdana" w:cs="Verdana"/>
          <w:i/>
          <w:sz w:val="16"/>
          <w:szCs w:val="16"/>
          <w:lang w:val="es-PR"/>
        </w:rPr>
        <w:t xml:space="preserve">, </w:t>
      </w:r>
      <w:r w:rsidRPr="007E666D">
        <w:rPr>
          <w:rFonts w:ascii="Verdana" w:eastAsia="Verdana" w:hAnsi="Verdana" w:cs="Verdana"/>
          <w:i/>
          <w:spacing w:val="-1"/>
          <w:sz w:val="16"/>
          <w:szCs w:val="16"/>
          <w:lang w:val="es-PR"/>
        </w:rPr>
        <w:t>R</w:t>
      </w:r>
      <w:r w:rsidRPr="007E666D">
        <w:rPr>
          <w:rFonts w:ascii="Verdana" w:eastAsia="Verdana" w:hAnsi="Verdana" w:cs="Verdana"/>
          <w:i/>
          <w:sz w:val="16"/>
          <w:szCs w:val="16"/>
          <w:lang w:val="es-PR"/>
        </w:rPr>
        <w:t>e</w:t>
      </w:r>
      <w:r w:rsidRPr="007E666D">
        <w:rPr>
          <w:rFonts w:ascii="Verdana" w:eastAsia="Verdana" w:hAnsi="Verdana" w:cs="Verdana"/>
          <w:i/>
          <w:spacing w:val="1"/>
          <w:sz w:val="16"/>
          <w:szCs w:val="16"/>
          <w:lang w:val="es-PR"/>
        </w:rPr>
        <w:t>p</w:t>
      </w:r>
      <w:r w:rsidRPr="007E666D">
        <w:rPr>
          <w:rFonts w:ascii="Verdana" w:eastAsia="Verdana" w:hAnsi="Verdana" w:cs="Verdana"/>
          <w:i/>
          <w:spacing w:val="-3"/>
          <w:sz w:val="16"/>
          <w:szCs w:val="16"/>
          <w:lang w:val="es-PR"/>
        </w:rPr>
        <w:t>a</w:t>
      </w:r>
      <w:r w:rsidRPr="007E666D">
        <w:rPr>
          <w:rFonts w:ascii="Verdana" w:eastAsia="Verdana" w:hAnsi="Verdana" w:cs="Verdana"/>
          <w:i/>
          <w:spacing w:val="1"/>
          <w:sz w:val="16"/>
          <w:szCs w:val="16"/>
          <w:lang w:val="es-PR"/>
        </w:rPr>
        <w:t>r</w:t>
      </w:r>
      <w:r w:rsidRPr="007E666D">
        <w:rPr>
          <w:rFonts w:ascii="Verdana" w:eastAsia="Verdana" w:hAnsi="Verdana" w:cs="Verdana"/>
          <w:i/>
          <w:spacing w:val="-1"/>
          <w:sz w:val="16"/>
          <w:szCs w:val="16"/>
          <w:lang w:val="es-PR"/>
        </w:rPr>
        <w:t>a</w:t>
      </w:r>
      <w:r w:rsidRPr="007E666D">
        <w:rPr>
          <w:rFonts w:ascii="Verdana" w:eastAsia="Verdana" w:hAnsi="Verdana" w:cs="Verdana"/>
          <w:i/>
          <w:sz w:val="16"/>
          <w:szCs w:val="16"/>
          <w:lang w:val="es-PR"/>
        </w:rPr>
        <w:t>c</w:t>
      </w:r>
      <w:r w:rsidRPr="007E666D">
        <w:rPr>
          <w:rFonts w:ascii="Verdana" w:eastAsia="Verdana" w:hAnsi="Verdana" w:cs="Verdana"/>
          <w:i/>
          <w:spacing w:val="-1"/>
          <w:sz w:val="16"/>
          <w:szCs w:val="16"/>
          <w:lang w:val="es-PR"/>
        </w:rPr>
        <w:t>i</w:t>
      </w:r>
      <w:r w:rsidRPr="007E666D">
        <w:rPr>
          <w:rFonts w:ascii="Verdana" w:eastAsia="Verdana" w:hAnsi="Verdana" w:cs="Verdana"/>
          <w:i/>
          <w:spacing w:val="1"/>
          <w:sz w:val="16"/>
          <w:szCs w:val="16"/>
          <w:lang w:val="es-PR"/>
        </w:rPr>
        <w:t>o</w:t>
      </w:r>
      <w:r w:rsidRPr="007E666D">
        <w:rPr>
          <w:rFonts w:ascii="Verdana" w:eastAsia="Verdana" w:hAnsi="Verdana" w:cs="Verdana"/>
          <w:i/>
          <w:spacing w:val="-1"/>
          <w:sz w:val="16"/>
          <w:szCs w:val="16"/>
          <w:lang w:val="es-PR"/>
        </w:rPr>
        <w:t>n</w:t>
      </w:r>
      <w:r w:rsidRPr="007E666D">
        <w:rPr>
          <w:rFonts w:ascii="Verdana" w:eastAsia="Verdana" w:hAnsi="Verdana" w:cs="Verdana"/>
          <w:i/>
          <w:spacing w:val="-2"/>
          <w:sz w:val="16"/>
          <w:szCs w:val="16"/>
          <w:lang w:val="es-PR"/>
        </w:rPr>
        <w:t>e</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 xml:space="preserve"> </w:t>
      </w:r>
      <w:r w:rsidRPr="007E666D">
        <w:rPr>
          <w:rFonts w:ascii="Verdana" w:eastAsia="Verdana" w:hAnsi="Verdana" w:cs="Verdana"/>
          <w:i/>
          <w:sz w:val="16"/>
          <w:szCs w:val="16"/>
          <w:lang w:val="es-PR"/>
        </w:rPr>
        <w:t xml:space="preserve">y </w:t>
      </w:r>
      <w:r w:rsidRPr="007E666D">
        <w:rPr>
          <w:rFonts w:ascii="Verdana" w:eastAsia="Verdana" w:hAnsi="Verdana" w:cs="Verdana"/>
          <w:i/>
          <w:spacing w:val="-2"/>
          <w:sz w:val="16"/>
          <w:szCs w:val="16"/>
          <w:lang w:val="es-PR"/>
        </w:rPr>
        <w:t>C</w:t>
      </w:r>
      <w:r w:rsidRPr="007E666D">
        <w:rPr>
          <w:rFonts w:ascii="Verdana" w:eastAsia="Verdana" w:hAnsi="Verdana" w:cs="Verdana"/>
          <w:i/>
          <w:spacing w:val="1"/>
          <w:sz w:val="16"/>
          <w:szCs w:val="16"/>
          <w:lang w:val="es-PR"/>
        </w:rPr>
        <w:t>o</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ta</w:t>
      </w:r>
      <w:r w:rsidRPr="007E666D">
        <w:rPr>
          <w:rFonts w:ascii="Verdana" w:eastAsia="Verdana" w:hAnsi="Verdana" w:cs="Verdana"/>
          <w:i/>
          <w:sz w:val="16"/>
          <w:szCs w:val="16"/>
          <w:lang w:val="es-PR"/>
        </w:rPr>
        <w:t>s.</w:t>
      </w:r>
      <w:r w:rsidRPr="007E666D">
        <w:rPr>
          <w:rFonts w:ascii="Verdana" w:eastAsia="Verdana" w:hAnsi="Verdana" w:cs="Verdana"/>
          <w:i/>
          <w:spacing w:val="1"/>
          <w:sz w:val="16"/>
          <w:szCs w:val="16"/>
          <w:lang w:val="es-PR"/>
        </w:rPr>
        <w:t xml:space="preserve"> </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e</w:t>
      </w:r>
      <w:r w:rsidRPr="007E666D">
        <w:rPr>
          <w:rFonts w:ascii="Verdana" w:eastAsia="Verdana" w:hAnsi="Verdana" w:cs="Verdana"/>
          <w:spacing w:val="-1"/>
          <w:sz w:val="16"/>
          <w:szCs w:val="16"/>
          <w:lang w:val="es-PR"/>
        </w:rPr>
        <w:t>nt</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n</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a</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de</w:t>
      </w:r>
      <w:r w:rsidRPr="007E666D">
        <w:rPr>
          <w:rFonts w:ascii="Verdana" w:eastAsia="Verdana" w:hAnsi="Verdana" w:cs="Verdana"/>
          <w:spacing w:val="-1"/>
          <w:sz w:val="16"/>
          <w:szCs w:val="16"/>
          <w:lang w:val="es-PR"/>
        </w:rPr>
        <w:t xml:space="preserve"> 3</w:t>
      </w:r>
      <w:r w:rsidRPr="007E666D">
        <w:rPr>
          <w:rFonts w:ascii="Verdana" w:eastAsia="Verdana" w:hAnsi="Verdana" w:cs="Verdana"/>
          <w:sz w:val="16"/>
          <w:szCs w:val="16"/>
          <w:lang w:val="es-PR"/>
        </w:rPr>
        <w:t xml:space="preserve">1 </w:t>
      </w:r>
      <w:r w:rsidRPr="007E666D">
        <w:rPr>
          <w:rFonts w:ascii="Verdana" w:eastAsia="Verdana" w:hAnsi="Verdana" w:cs="Verdana"/>
          <w:spacing w:val="-2"/>
          <w:sz w:val="16"/>
          <w:szCs w:val="16"/>
          <w:lang w:val="es-PR"/>
        </w:rPr>
        <w:t>d</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 xml:space="preserve"> </w:t>
      </w:r>
      <w:r w:rsidRPr="007E666D">
        <w:rPr>
          <w:rFonts w:ascii="Verdana" w:eastAsia="Verdana" w:hAnsi="Verdana" w:cs="Verdana"/>
          <w:spacing w:val="-1"/>
          <w:sz w:val="16"/>
          <w:szCs w:val="16"/>
          <w:lang w:val="es-PR"/>
        </w:rPr>
        <w:t>a</w:t>
      </w:r>
      <w:r w:rsidRPr="007E666D">
        <w:rPr>
          <w:rFonts w:ascii="Verdana" w:eastAsia="Verdana" w:hAnsi="Verdana" w:cs="Verdana"/>
          <w:spacing w:val="-2"/>
          <w:sz w:val="16"/>
          <w:szCs w:val="16"/>
          <w:lang w:val="es-PR"/>
        </w:rPr>
        <w:t>g</w:t>
      </w:r>
      <w:r w:rsidRPr="007E666D">
        <w:rPr>
          <w:rFonts w:ascii="Verdana" w:eastAsia="Verdana" w:hAnsi="Verdana" w:cs="Verdana"/>
          <w:spacing w:val="1"/>
          <w:sz w:val="16"/>
          <w:szCs w:val="16"/>
          <w:lang w:val="es-PR"/>
        </w:rPr>
        <w:t>o</w:t>
      </w:r>
      <w:r w:rsidRPr="007E666D">
        <w:rPr>
          <w:rFonts w:ascii="Verdana" w:eastAsia="Verdana" w:hAnsi="Verdana" w:cs="Verdana"/>
          <w:sz w:val="16"/>
          <w:szCs w:val="16"/>
          <w:lang w:val="es-PR"/>
        </w:rPr>
        <w:t>s</w:t>
      </w:r>
      <w:r w:rsidRPr="007E666D">
        <w:rPr>
          <w:rFonts w:ascii="Verdana" w:eastAsia="Verdana" w:hAnsi="Verdana" w:cs="Verdana"/>
          <w:spacing w:val="-1"/>
          <w:sz w:val="16"/>
          <w:szCs w:val="16"/>
          <w:lang w:val="es-PR"/>
        </w:rPr>
        <w:t>t</w:t>
      </w:r>
      <w:r w:rsidRPr="007E666D">
        <w:rPr>
          <w:rFonts w:ascii="Verdana" w:eastAsia="Verdana" w:hAnsi="Verdana" w:cs="Verdana"/>
          <w:sz w:val="16"/>
          <w:szCs w:val="16"/>
          <w:lang w:val="es-PR"/>
        </w:rPr>
        <w:t xml:space="preserve">o </w:t>
      </w:r>
      <w:r w:rsidRPr="007E666D">
        <w:rPr>
          <w:rFonts w:ascii="Verdana" w:eastAsia="Verdana" w:hAnsi="Verdana" w:cs="Verdana"/>
          <w:spacing w:val="-2"/>
          <w:sz w:val="16"/>
          <w:szCs w:val="16"/>
          <w:lang w:val="es-PR"/>
        </w:rPr>
        <w:t>d</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01</w:t>
      </w:r>
      <w:r w:rsidRPr="007E666D">
        <w:rPr>
          <w:rFonts w:ascii="Verdana" w:eastAsia="Verdana" w:hAnsi="Verdana" w:cs="Verdana"/>
          <w:spacing w:val="1"/>
          <w:sz w:val="16"/>
          <w:szCs w:val="16"/>
          <w:lang w:val="es-PR"/>
        </w:rPr>
        <w:t>1</w:t>
      </w:r>
      <w:r w:rsidRPr="007E666D">
        <w:rPr>
          <w:rFonts w:ascii="Verdana" w:eastAsia="Verdana" w:hAnsi="Verdana" w:cs="Verdana"/>
          <w:sz w:val="16"/>
          <w:szCs w:val="16"/>
          <w:lang w:val="es-PR"/>
        </w:rPr>
        <w:t xml:space="preserve">. </w:t>
      </w:r>
      <w:r w:rsidRPr="007E666D">
        <w:rPr>
          <w:rFonts w:ascii="Verdana" w:eastAsia="Verdana" w:hAnsi="Verdana" w:cs="Verdana"/>
          <w:spacing w:val="-2"/>
          <w:sz w:val="16"/>
          <w:szCs w:val="16"/>
          <w:lang w:val="es-PR"/>
        </w:rPr>
        <w:t>S</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r</w:t>
      </w:r>
      <w:r w:rsidRPr="007E666D">
        <w:rPr>
          <w:rFonts w:ascii="Verdana" w:eastAsia="Verdana" w:hAnsi="Verdana" w:cs="Verdana"/>
          <w:spacing w:val="-1"/>
          <w:sz w:val="16"/>
          <w:szCs w:val="16"/>
          <w:lang w:val="es-PR"/>
        </w:rPr>
        <w:t>i</w:t>
      </w:r>
      <w:r w:rsidRPr="007E666D">
        <w:rPr>
          <w:rFonts w:ascii="Verdana" w:eastAsia="Verdana" w:hAnsi="Verdana" w:cs="Verdana"/>
          <w:sz w:val="16"/>
          <w:szCs w:val="16"/>
          <w:lang w:val="es-PR"/>
        </w:rPr>
        <w:t>e</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C</w:t>
      </w:r>
      <w:r w:rsidRPr="007E666D">
        <w:rPr>
          <w:rFonts w:ascii="Verdana" w:eastAsia="Verdana" w:hAnsi="Verdana" w:cs="Verdana"/>
          <w:spacing w:val="-1"/>
          <w:sz w:val="16"/>
          <w:szCs w:val="16"/>
          <w:lang w:val="es-PR"/>
        </w:rPr>
        <w:t xml:space="preserve"> </w:t>
      </w:r>
      <w:r w:rsidRPr="007E666D">
        <w:rPr>
          <w:rFonts w:ascii="Verdana" w:eastAsia="Verdana" w:hAnsi="Verdana" w:cs="Verdana"/>
          <w:sz w:val="16"/>
          <w:szCs w:val="16"/>
          <w:lang w:val="es-PR"/>
        </w:rPr>
        <w:t>No.</w:t>
      </w:r>
      <w:r w:rsidRPr="007E666D">
        <w:rPr>
          <w:rFonts w:ascii="Verdana" w:eastAsia="Verdana" w:hAnsi="Verdana" w:cs="Verdana"/>
          <w:spacing w:val="-2"/>
          <w:sz w:val="16"/>
          <w:szCs w:val="16"/>
          <w:lang w:val="es-PR"/>
        </w:rPr>
        <w:t xml:space="preserve"> </w:t>
      </w:r>
      <w:r w:rsidRPr="007E666D">
        <w:rPr>
          <w:rFonts w:ascii="Verdana" w:eastAsia="Verdana" w:hAnsi="Verdana" w:cs="Verdana"/>
          <w:spacing w:val="-1"/>
          <w:sz w:val="16"/>
          <w:szCs w:val="16"/>
          <w:lang w:val="es-PR"/>
        </w:rPr>
        <w:t>2</w:t>
      </w:r>
      <w:r w:rsidRPr="007E666D">
        <w:rPr>
          <w:rFonts w:ascii="Verdana" w:eastAsia="Verdana" w:hAnsi="Verdana" w:cs="Verdana"/>
          <w:spacing w:val="1"/>
          <w:sz w:val="16"/>
          <w:szCs w:val="16"/>
          <w:lang w:val="es-PR"/>
        </w:rPr>
        <w:t>32</w:t>
      </w:r>
      <w:r w:rsidRPr="007E666D">
        <w:rPr>
          <w:rFonts w:ascii="Verdana" w:eastAsia="Verdana" w:hAnsi="Verdana" w:cs="Verdana"/>
          <w:sz w:val="16"/>
          <w:szCs w:val="16"/>
          <w:lang w:val="es-PR"/>
        </w:rPr>
        <w:t>,</w:t>
      </w:r>
      <w:r w:rsidRPr="007E666D">
        <w:rPr>
          <w:rFonts w:ascii="Verdana" w:eastAsia="Verdana" w:hAnsi="Verdana" w:cs="Verdana"/>
          <w:spacing w:val="-2"/>
          <w:sz w:val="16"/>
          <w:szCs w:val="16"/>
          <w:lang w:val="es-PR"/>
        </w:rPr>
        <w:t xml:space="preserve"> </w:t>
      </w:r>
      <w:r w:rsidRPr="007E666D">
        <w:rPr>
          <w:rFonts w:ascii="Verdana" w:eastAsia="Verdana" w:hAnsi="Verdana" w:cs="Verdana"/>
          <w:sz w:val="16"/>
          <w:szCs w:val="16"/>
          <w:lang w:val="es-PR"/>
        </w:rPr>
        <w:t>p</w:t>
      </w:r>
      <w:r w:rsidRPr="007E666D">
        <w:rPr>
          <w:rFonts w:ascii="Verdana" w:eastAsia="Verdana" w:hAnsi="Verdana" w:cs="Verdana"/>
          <w:spacing w:val="-3"/>
          <w:sz w:val="16"/>
          <w:szCs w:val="16"/>
          <w:lang w:val="es-PR"/>
        </w:rPr>
        <w:t>á</w:t>
      </w:r>
      <w:r w:rsidRPr="007E666D">
        <w:rPr>
          <w:rFonts w:ascii="Verdana" w:eastAsia="Verdana" w:hAnsi="Verdana" w:cs="Verdana"/>
          <w:spacing w:val="1"/>
          <w:sz w:val="16"/>
          <w:szCs w:val="16"/>
          <w:lang w:val="es-PR"/>
        </w:rPr>
        <w:t>rr</w:t>
      </w:r>
      <w:r w:rsidRPr="007E666D">
        <w:rPr>
          <w:rFonts w:ascii="Verdana" w:eastAsia="Verdana" w:hAnsi="Verdana" w:cs="Verdana"/>
          <w:sz w:val="16"/>
          <w:szCs w:val="16"/>
          <w:lang w:val="es-PR"/>
        </w:rPr>
        <w:t>.</w:t>
      </w:r>
      <w:r w:rsidRPr="007E666D">
        <w:rPr>
          <w:rFonts w:ascii="Verdana" w:eastAsia="Verdana" w:hAnsi="Verdana" w:cs="Verdana"/>
          <w:spacing w:val="-2"/>
          <w:sz w:val="16"/>
          <w:szCs w:val="16"/>
          <w:lang w:val="es-PR"/>
        </w:rPr>
        <w:t xml:space="preserve"> </w:t>
      </w:r>
      <w:r w:rsidRPr="007E666D">
        <w:rPr>
          <w:rFonts w:ascii="Verdana" w:eastAsia="Verdana" w:hAnsi="Verdana" w:cs="Verdana"/>
          <w:spacing w:val="-1"/>
          <w:sz w:val="16"/>
          <w:szCs w:val="16"/>
          <w:lang w:val="es-PR"/>
        </w:rPr>
        <w:t>1</w:t>
      </w:r>
      <w:r w:rsidRPr="007E666D">
        <w:rPr>
          <w:rFonts w:ascii="Verdana" w:eastAsia="Verdana" w:hAnsi="Verdana" w:cs="Verdana"/>
          <w:spacing w:val="1"/>
          <w:sz w:val="16"/>
          <w:szCs w:val="16"/>
          <w:lang w:val="es-PR"/>
        </w:rPr>
        <w:t>73.</w:t>
      </w:r>
    </w:p>
  </w:footnote>
  <w:footnote w:id="318">
    <w:p w:rsidR="00D57F75" w:rsidRPr="007E666D" w:rsidRDefault="00D57F75" w:rsidP="00C83100">
      <w:pPr>
        <w:pStyle w:val="FootnoteText"/>
        <w:tabs>
          <w:tab w:val="left" w:pos="567"/>
          <w:tab w:val="left" w:pos="720"/>
        </w:tabs>
        <w:contextualSpacing/>
        <w:jc w:val="both"/>
        <w:rPr>
          <w:rFonts w:ascii="Verdana" w:hAnsi="Verdana"/>
          <w:sz w:val="16"/>
          <w:szCs w:val="16"/>
          <w:lang w:val="es-PR"/>
        </w:rPr>
      </w:pPr>
      <w:r w:rsidRPr="007E666D">
        <w:rPr>
          <w:rStyle w:val="FootnoteReference"/>
          <w:rFonts w:eastAsiaTheme="majorEastAsia"/>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z w:val="16"/>
          <w:szCs w:val="16"/>
          <w:lang w:val="es-PR"/>
        </w:rPr>
        <w:t xml:space="preserve">Cfr. </w:t>
      </w:r>
      <w:r w:rsidRPr="007E666D">
        <w:rPr>
          <w:rFonts w:ascii="Verdana" w:hAnsi="Verdana"/>
          <w:i/>
          <w:iCs/>
          <w:sz w:val="16"/>
          <w:szCs w:val="16"/>
          <w:lang w:val="es-PR"/>
        </w:rPr>
        <w:t>Caso Anzualdo Castro Vs. Perú, supra</w:t>
      </w:r>
      <w:r w:rsidRPr="007E666D">
        <w:rPr>
          <w:rFonts w:ascii="Verdana" w:hAnsi="Verdana"/>
          <w:sz w:val="16"/>
          <w:szCs w:val="16"/>
          <w:lang w:val="es-PR"/>
        </w:rPr>
        <w:t xml:space="preserve">, párrs. 118 a 119, y </w:t>
      </w:r>
      <w:r w:rsidRPr="007E666D">
        <w:rPr>
          <w:rFonts w:ascii="Verdana" w:eastAsia="Batang" w:hAnsi="Verdana" w:cs="Arial"/>
          <w:i/>
          <w:sz w:val="16"/>
          <w:szCs w:val="16"/>
          <w:lang w:val="es-PR"/>
        </w:rPr>
        <w:t>Caso Gelman Vs. Uruguay</w:t>
      </w:r>
      <w:r w:rsidRPr="007E666D">
        <w:rPr>
          <w:rFonts w:ascii="Verdana" w:hAnsi="Verdana"/>
          <w:i/>
          <w:spacing w:val="-4"/>
          <w:sz w:val="16"/>
          <w:szCs w:val="16"/>
          <w:lang w:val="es-PR"/>
        </w:rPr>
        <w:t>, supra</w:t>
      </w:r>
      <w:r w:rsidRPr="007E666D">
        <w:rPr>
          <w:rFonts w:ascii="Verdana" w:eastAsia="Batang" w:hAnsi="Verdana" w:cs="Arial"/>
          <w:sz w:val="16"/>
          <w:szCs w:val="16"/>
          <w:lang w:val="es-PR"/>
        </w:rPr>
        <w:t>, párrs. 192, 226 y 243 a 246.</w:t>
      </w:r>
    </w:p>
  </w:footnote>
  <w:footnote w:id="319">
    <w:p w:rsidR="00D57F75" w:rsidRPr="007E666D" w:rsidRDefault="00D57F75" w:rsidP="00C83100">
      <w:pPr>
        <w:pStyle w:val="FootnoteText"/>
        <w:tabs>
          <w:tab w:val="left" w:pos="540"/>
          <w:tab w:val="left" w:pos="567"/>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eastAsia="Batang" w:hAnsi="Verdana" w:cs="Arial"/>
          <w:i/>
          <w:sz w:val="16"/>
          <w:szCs w:val="16"/>
          <w:lang w:val="es-PR"/>
        </w:rPr>
        <w:t>Cfr</w:t>
      </w:r>
      <w:r w:rsidRPr="007E666D">
        <w:rPr>
          <w:rFonts w:ascii="Verdana" w:eastAsia="Batang" w:hAnsi="Verdana" w:cs="Arial"/>
          <w:sz w:val="16"/>
          <w:szCs w:val="16"/>
          <w:lang w:val="es-PR"/>
        </w:rPr>
        <w:t xml:space="preserve">. </w:t>
      </w:r>
      <w:r w:rsidRPr="007E666D">
        <w:rPr>
          <w:rFonts w:ascii="Verdana" w:hAnsi="Verdana"/>
          <w:i/>
          <w:sz w:val="16"/>
          <w:szCs w:val="16"/>
          <w:lang w:val="es-PR"/>
        </w:rPr>
        <w:t>Caso Gudiel Álvarez y otros (Diario Militar) Vs. Guatemala, supra</w:t>
      </w:r>
      <w:r w:rsidRPr="007E666D">
        <w:rPr>
          <w:rFonts w:ascii="Verdana" w:hAnsi="Verdana"/>
          <w:sz w:val="16"/>
          <w:szCs w:val="16"/>
          <w:lang w:val="es-PR"/>
        </w:rPr>
        <w:t>, párr. 202.</w:t>
      </w:r>
    </w:p>
  </w:footnote>
  <w:footnote w:id="320">
    <w:p w:rsidR="00D57F75" w:rsidRPr="007E666D" w:rsidRDefault="00D57F75" w:rsidP="00C83100">
      <w:pPr>
        <w:pStyle w:val="FootnoteText"/>
        <w:tabs>
          <w:tab w:val="left" w:pos="540"/>
          <w:tab w:val="left" w:pos="567"/>
          <w:tab w:val="left" w:pos="720"/>
        </w:tabs>
        <w:contextualSpacing/>
        <w:jc w:val="both"/>
        <w:rPr>
          <w:rFonts w:ascii="Verdana" w:hAnsi="Verdana"/>
          <w:sz w:val="16"/>
          <w:szCs w:val="16"/>
          <w:lang w:val="es-PR"/>
        </w:rPr>
      </w:pPr>
      <w:r w:rsidRPr="007E666D">
        <w:rPr>
          <w:rStyle w:val="FootnoteReference"/>
          <w:rFonts w:eastAsiaTheme="majorEastAsia"/>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Al respecto, en el caso </w:t>
      </w:r>
      <w:r w:rsidRPr="007E666D">
        <w:rPr>
          <w:rFonts w:ascii="Verdana" w:hAnsi="Verdana"/>
          <w:i/>
          <w:iCs/>
          <w:sz w:val="16"/>
          <w:szCs w:val="16"/>
          <w:lang w:val="es-PR"/>
        </w:rPr>
        <w:t>Gomes Lund y otros</w:t>
      </w:r>
      <w:r w:rsidRPr="007E666D">
        <w:rPr>
          <w:rFonts w:ascii="Verdana" w:hAnsi="Verdana"/>
          <w:sz w:val="16"/>
          <w:szCs w:val="16"/>
          <w:lang w:val="es-PR"/>
        </w:rPr>
        <w:t xml:space="preserve">, la Corte observó que, de conformidad con los hechos del mismo, el derecho a conocer la verdad se relacionaba con una acción interpuesta por los familiares para acceder a determinada información, vinculada con el acceso a la justicia y con el derecho a buscar y recibir información consagrado en el artículo 13 de la Convención Americana, por lo cual analizó aquel derecho bajo esta norma. </w:t>
      </w:r>
      <w:r w:rsidRPr="007E666D">
        <w:rPr>
          <w:rFonts w:ascii="Verdana" w:hAnsi="Verdana"/>
          <w:i/>
          <w:iCs/>
          <w:sz w:val="16"/>
          <w:szCs w:val="16"/>
          <w:lang w:val="es-PR"/>
        </w:rPr>
        <w:t xml:space="preserve">Cfr. </w:t>
      </w:r>
      <w:r w:rsidRPr="007E666D">
        <w:rPr>
          <w:rFonts w:ascii="Verdana" w:hAnsi="Verdana"/>
          <w:i/>
          <w:sz w:val="16"/>
          <w:szCs w:val="16"/>
          <w:lang w:val="es-PR"/>
        </w:rPr>
        <w:t>Caso Gomes Lund y otros ("Guerrilha do Araguaia") Vs. Brasil, supra</w:t>
      </w:r>
      <w:r w:rsidRPr="007E666D">
        <w:rPr>
          <w:rFonts w:ascii="Verdana" w:hAnsi="Verdana"/>
          <w:i/>
          <w:iCs/>
          <w:color w:val="000000"/>
          <w:sz w:val="16"/>
          <w:szCs w:val="16"/>
          <w:lang w:val="es-PR"/>
        </w:rPr>
        <w:t xml:space="preserve">, </w:t>
      </w:r>
      <w:r w:rsidRPr="007E666D">
        <w:rPr>
          <w:rFonts w:ascii="Verdana" w:hAnsi="Verdana"/>
          <w:color w:val="000000"/>
          <w:sz w:val="16"/>
          <w:szCs w:val="16"/>
          <w:lang w:val="es-PR"/>
        </w:rPr>
        <w:t>párr. 201.</w:t>
      </w:r>
    </w:p>
  </w:footnote>
  <w:footnote w:id="321">
    <w:p w:rsidR="00D57F75" w:rsidRPr="007E666D" w:rsidRDefault="00D57F75" w:rsidP="00C83100">
      <w:pPr>
        <w:pStyle w:val="FootnoteText"/>
        <w:tabs>
          <w:tab w:val="left" w:pos="540"/>
          <w:tab w:val="left" w:pos="720"/>
        </w:tabs>
        <w:contextualSpacing/>
        <w:jc w:val="both"/>
        <w:rPr>
          <w:rFonts w:ascii="Verdana" w:hAnsi="Verdana"/>
          <w:i/>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Velásquez Rodríguez</w:t>
      </w:r>
      <w:r w:rsidRPr="007E666D">
        <w:rPr>
          <w:rFonts w:ascii="Verdana" w:hAnsi="Verdana"/>
          <w:spacing w:val="-4"/>
          <w:sz w:val="16"/>
          <w:szCs w:val="16"/>
          <w:lang w:val="es-PR"/>
        </w:rPr>
        <w:t xml:space="preserve">. </w:t>
      </w:r>
      <w:r w:rsidRPr="007E666D">
        <w:rPr>
          <w:rFonts w:ascii="Verdana" w:hAnsi="Verdana"/>
          <w:i/>
          <w:spacing w:val="-4"/>
          <w:sz w:val="16"/>
          <w:szCs w:val="16"/>
          <w:lang w:val="es-PR"/>
        </w:rPr>
        <w:t>Fondo, supra,</w:t>
      </w:r>
      <w:r w:rsidRPr="007E666D">
        <w:rPr>
          <w:rFonts w:ascii="Verdana" w:hAnsi="Verdana"/>
          <w:spacing w:val="-4"/>
          <w:sz w:val="16"/>
          <w:szCs w:val="16"/>
          <w:lang w:val="es-PR"/>
        </w:rPr>
        <w:t xml:space="preserve"> párr. 181, y </w:t>
      </w:r>
      <w:r w:rsidRPr="007E666D">
        <w:rPr>
          <w:rFonts w:ascii="Verdana" w:eastAsia="Calibri" w:hAnsi="Verdana"/>
          <w:bCs/>
          <w:i/>
          <w:spacing w:val="-4"/>
          <w:sz w:val="16"/>
          <w:szCs w:val="16"/>
          <w:lang w:val="es-PR"/>
        </w:rPr>
        <w:t xml:space="preserve">Gomes Lund y otros ("Guerrilha do Araguaia") Vs. Brasil, supra, </w:t>
      </w:r>
      <w:r w:rsidRPr="007E666D">
        <w:rPr>
          <w:rFonts w:ascii="Verdana" w:eastAsia="Calibri" w:hAnsi="Verdana"/>
          <w:bCs/>
          <w:spacing w:val="-4"/>
          <w:sz w:val="16"/>
          <w:szCs w:val="16"/>
          <w:lang w:val="es-PR"/>
        </w:rPr>
        <w:t>párr. 201.</w:t>
      </w:r>
    </w:p>
  </w:footnote>
  <w:footnote w:id="322">
    <w:p w:rsidR="00D57F75" w:rsidRPr="007E666D" w:rsidRDefault="00D57F75" w:rsidP="00C83100">
      <w:pPr>
        <w:pStyle w:val="FootnoteText"/>
        <w:tabs>
          <w:tab w:val="left" w:pos="567"/>
          <w:tab w:val="left" w:pos="720"/>
        </w:tabs>
        <w:contextualSpacing/>
        <w:jc w:val="both"/>
        <w:rPr>
          <w:rFonts w:ascii="Verdana" w:hAnsi="Verdana"/>
          <w:spacing w:val="-4"/>
          <w:sz w:val="16"/>
          <w:szCs w:val="16"/>
          <w:lang w:val="es-PR" w:bidi="en-US"/>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Ver </w:t>
      </w:r>
      <w:r w:rsidRPr="007E666D">
        <w:rPr>
          <w:rFonts w:ascii="Verdana" w:hAnsi="Verdana"/>
          <w:i/>
          <w:spacing w:val="-4"/>
          <w:sz w:val="16"/>
          <w:szCs w:val="16"/>
          <w:lang w:val="es-PR"/>
        </w:rPr>
        <w:t>inter alia</w:t>
      </w:r>
      <w:r w:rsidRPr="007E666D">
        <w:rPr>
          <w:rFonts w:ascii="Verdana" w:hAnsi="Verdana"/>
          <w:spacing w:val="-4"/>
          <w:sz w:val="16"/>
          <w:szCs w:val="16"/>
          <w:lang w:val="es-PR"/>
        </w:rPr>
        <w:t>,</w:t>
      </w:r>
      <w:r w:rsidRPr="007E666D">
        <w:rPr>
          <w:rFonts w:ascii="Verdana" w:hAnsi="Verdana"/>
          <w:i/>
          <w:spacing w:val="-4"/>
          <w:sz w:val="16"/>
          <w:szCs w:val="16"/>
          <w:lang w:val="es-PR"/>
        </w:rPr>
        <w:t xml:space="preserve"> </w:t>
      </w:r>
      <w:r w:rsidRPr="007E666D">
        <w:rPr>
          <w:rFonts w:ascii="Verdana" w:eastAsia="Calibri" w:hAnsi="Verdana"/>
          <w:bCs/>
          <w:i/>
          <w:iCs/>
          <w:spacing w:val="-4"/>
          <w:sz w:val="16"/>
          <w:szCs w:val="16"/>
          <w:lang w:val="es-PR"/>
        </w:rPr>
        <w:t>Caso Velásquez Rodríguez Vs. Honduras</w:t>
      </w:r>
      <w:r w:rsidRPr="007E666D">
        <w:rPr>
          <w:rFonts w:ascii="Verdana" w:hAnsi="Verdana"/>
          <w:i/>
          <w:spacing w:val="-4"/>
          <w:sz w:val="16"/>
          <w:szCs w:val="16"/>
          <w:lang w:val="es-PR"/>
        </w:rPr>
        <w:t>, supra</w:t>
      </w:r>
      <w:r w:rsidRPr="007E666D">
        <w:rPr>
          <w:rFonts w:ascii="Verdana" w:eastAsia="Calibri" w:hAnsi="Verdana"/>
          <w:bCs/>
          <w:spacing w:val="-4"/>
          <w:sz w:val="16"/>
          <w:szCs w:val="16"/>
          <w:lang w:val="es-PR"/>
        </w:rPr>
        <w:t xml:space="preserve">, </w:t>
      </w:r>
      <w:r w:rsidRPr="007E666D">
        <w:rPr>
          <w:rFonts w:ascii="Verdana" w:hAnsi="Verdana"/>
          <w:spacing w:val="-4"/>
          <w:sz w:val="16"/>
          <w:szCs w:val="16"/>
          <w:lang w:val="es-PR"/>
        </w:rPr>
        <w:t xml:space="preserve">párr. 181; </w:t>
      </w:r>
      <w:r w:rsidRPr="007E666D">
        <w:rPr>
          <w:rFonts w:ascii="Verdana" w:hAnsi="Verdana"/>
          <w:i/>
          <w:spacing w:val="-4"/>
          <w:sz w:val="16"/>
          <w:szCs w:val="16"/>
          <w:lang w:val="es-PR"/>
        </w:rPr>
        <w:t xml:space="preserve">Caso Bámaca Velásquez Vs. Guatemala. Fondo. </w:t>
      </w:r>
      <w:r w:rsidRPr="007E666D">
        <w:rPr>
          <w:rFonts w:ascii="Verdana" w:hAnsi="Verdana"/>
          <w:spacing w:val="-4"/>
          <w:sz w:val="16"/>
          <w:szCs w:val="16"/>
          <w:lang w:val="es-PR"/>
        </w:rPr>
        <w:t xml:space="preserve">Sentencia de 25 de noviembre de 2000. Serie C No. 70, párr. 201; </w:t>
      </w:r>
      <w:r w:rsidRPr="007E666D">
        <w:rPr>
          <w:rFonts w:ascii="Verdana" w:hAnsi="Verdana"/>
          <w:i/>
          <w:spacing w:val="-4"/>
          <w:sz w:val="16"/>
          <w:szCs w:val="16"/>
          <w:lang w:val="es-PR"/>
        </w:rPr>
        <w:t>Caso Barrios Altos Vs. Perú. Fondo, supra</w:t>
      </w:r>
      <w:r w:rsidRPr="007E666D">
        <w:rPr>
          <w:rFonts w:ascii="Verdana" w:hAnsi="Verdana"/>
          <w:spacing w:val="-4"/>
          <w:sz w:val="16"/>
          <w:szCs w:val="16"/>
          <w:lang w:val="es-PR"/>
        </w:rPr>
        <w:t xml:space="preserve">, párr. 48; </w:t>
      </w:r>
      <w:r w:rsidRPr="007E666D">
        <w:rPr>
          <w:rFonts w:ascii="Verdana" w:hAnsi="Verdana"/>
          <w:i/>
          <w:spacing w:val="-4"/>
          <w:sz w:val="16"/>
          <w:szCs w:val="16"/>
          <w:lang w:val="es-PR"/>
        </w:rPr>
        <w:t>Caso Almonacid Arellano y otros Vs. Chile, supra</w:t>
      </w:r>
      <w:r w:rsidRPr="007E666D">
        <w:rPr>
          <w:rFonts w:ascii="Verdana" w:hAnsi="Verdana"/>
          <w:spacing w:val="-4"/>
          <w:sz w:val="16"/>
          <w:szCs w:val="16"/>
          <w:lang w:val="es-PR"/>
        </w:rPr>
        <w:t xml:space="preserve">, párr. 148; </w:t>
      </w:r>
      <w:r w:rsidRPr="007E666D">
        <w:rPr>
          <w:rFonts w:ascii="Verdana" w:hAnsi="Verdana"/>
          <w:i/>
          <w:spacing w:val="-4"/>
          <w:sz w:val="16"/>
          <w:szCs w:val="16"/>
          <w:lang w:val="es-PR"/>
        </w:rPr>
        <w:t>Caso La Cantuta Vs. Perú, supra</w:t>
      </w:r>
      <w:r w:rsidRPr="007E666D">
        <w:rPr>
          <w:rFonts w:ascii="Verdana" w:hAnsi="Verdana"/>
          <w:spacing w:val="-4"/>
          <w:sz w:val="16"/>
          <w:szCs w:val="16"/>
          <w:lang w:val="es-PR"/>
        </w:rPr>
        <w:t xml:space="preserve">, párr. 222; </w:t>
      </w:r>
      <w:r w:rsidRPr="007E666D">
        <w:rPr>
          <w:rFonts w:ascii="Verdana" w:hAnsi="Verdana"/>
          <w:i/>
          <w:spacing w:val="-4"/>
          <w:sz w:val="16"/>
          <w:szCs w:val="16"/>
          <w:lang w:val="es-PR"/>
        </w:rPr>
        <w:t>Caso Heliodoro Portugal Vs. Panamá, supra</w:t>
      </w:r>
      <w:r w:rsidRPr="007E666D">
        <w:rPr>
          <w:rFonts w:ascii="Verdana" w:hAnsi="Verdana"/>
          <w:spacing w:val="-4"/>
          <w:sz w:val="16"/>
          <w:szCs w:val="16"/>
          <w:lang w:val="es-PR" w:bidi="en-US"/>
        </w:rPr>
        <w:t xml:space="preserve">, </w:t>
      </w:r>
      <w:r w:rsidRPr="007E666D">
        <w:rPr>
          <w:rFonts w:ascii="Verdana" w:hAnsi="Verdana"/>
          <w:spacing w:val="-4"/>
          <w:sz w:val="16"/>
          <w:szCs w:val="16"/>
          <w:lang w:val="es-PR"/>
        </w:rPr>
        <w:t xml:space="preserve">párrs. 243 y 244, y </w:t>
      </w:r>
      <w:r w:rsidRPr="007E666D">
        <w:rPr>
          <w:rFonts w:ascii="Verdana" w:hAnsi="Verdana"/>
          <w:i/>
          <w:spacing w:val="-4"/>
          <w:sz w:val="16"/>
          <w:szCs w:val="16"/>
          <w:lang w:val="es-PR"/>
        </w:rPr>
        <w:t>Caso Kawas Fernández Vs. Honduras, supra</w:t>
      </w:r>
      <w:r w:rsidRPr="007E666D">
        <w:rPr>
          <w:rFonts w:ascii="Verdana" w:hAnsi="Verdana"/>
          <w:spacing w:val="-4"/>
          <w:sz w:val="16"/>
          <w:szCs w:val="16"/>
          <w:lang w:val="es-PR"/>
        </w:rPr>
        <w:t>, párr. 117</w:t>
      </w:r>
      <w:r w:rsidRPr="007E666D">
        <w:rPr>
          <w:rFonts w:ascii="Verdana" w:hAnsi="Verdana"/>
          <w:spacing w:val="-4"/>
          <w:sz w:val="16"/>
          <w:szCs w:val="16"/>
          <w:lang w:val="es-PR" w:bidi="en-US"/>
        </w:rPr>
        <w:t xml:space="preserve">. </w:t>
      </w:r>
    </w:p>
  </w:footnote>
  <w:footnote w:id="323">
    <w:p w:rsidR="00D57F75" w:rsidRPr="007E666D" w:rsidRDefault="00D57F75" w:rsidP="00C83100">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 xml:space="preserve">En este sentido, en su estudio sobre el derecho a conocer la verdad, el Alto Comisionado de las Naciones Unidas para los Derechos Humanos recogió que distintas declaraciones e instrumentos internacionales han reconocido el derecho a conocer la verdad vinculado con el derecho a obtener y solicitar información, el derecho a la justicia, el deber de combatir la impunidad frente a las violaciones de derechos humanos, el derecho a un recurso judicial efectivo y el derecho a la vida privada y familiar. Además, en relación con los familiares de las víctimas, ha sido vinculado con el derecho a la integridad de los familiares de la víctima (salud mental), el derecho a obtener una reparación en casos de graves violaciones a los derechos humanos, el derecho a no ser objeto de tortura ni malos tratos y, en ciertas circunstancias, el derecho de las niñas y los niños a recibir una protección especial. </w:t>
      </w:r>
      <w:r w:rsidRPr="007E666D">
        <w:rPr>
          <w:rFonts w:ascii="Verdana" w:hAnsi="Verdana"/>
          <w:i/>
          <w:spacing w:val="-4"/>
          <w:sz w:val="16"/>
          <w:szCs w:val="16"/>
          <w:lang w:val="es-PR"/>
        </w:rPr>
        <w:t xml:space="preserve">Cfr. </w:t>
      </w:r>
      <w:r w:rsidRPr="007E666D">
        <w:rPr>
          <w:rFonts w:ascii="Verdana" w:eastAsia="Calibri" w:hAnsi="Verdana" w:cs="Arial"/>
          <w:spacing w:val="-4"/>
          <w:sz w:val="16"/>
          <w:szCs w:val="16"/>
          <w:lang w:val="es-PR"/>
        </w:rPr>
        <w:t xml:space="preserve">Informe de la Oficina del Alto Comisionado de las Naciones Unidas para los Derechos Humanos. </w:t>
      </w:r>
      <w:r w:rsidRPr="007E666D">
        <w:rPr>
          <w:rStyle w:val="Emphasis"/>
          <w:rFonts w:ascii="Verdana" w:eastAsia="Calibri" w:hAnsi="Verdana" w:cs="Arial"/>
          <w:spacing w:val="-4"/>
          <w:sz w:val="16"/>
          <w:szCs w:val="16"/>
          <w:lang w:val="es-PR"/>
        </w:rPr>
        <w:t>Estudio sobre el derecho a la verdad</w:t>
      </w:r>
      <w:r w:rsidRPr="007E666D">
        <w:rPr>
          <w:rFonts w:ascii="Verdana" w:eastAsia="Calibri" w:hAnsi="Verdana" w:cs="Arial"/>
          <w:spacing w:val="-4"/>
          <w:sz w:val="16"/>
          <w:szCs w:val="16"/>
          <w:lang w:val="es-PR"/>
        </w:rPr>
        <w:t>, U.N. Doc. E/CN.4/2006/91 de 9 de enero de 2006</w:t>
      </w:r>
      <w:r w:rsidRPr="007E666D">
        <w:rPr>
          <w:rFonts w:ascii="Verdana" w:hAnsi="Verdana"/>
          <w:spacing w:val="-4"/>
          <w:sz w:val="16"/>
          <w:szCs w:val="16"/>
          <w:lang w:val="es-PR"/>
        </w:rPr>
        <w:t>.</w:t>
      </w:r>
    </w:p>
  </w:footnote>
  <w:footnote w:id="324">
    <w:p w:rsidR="00D57F75" w:rsidRPr="007E666D" w:rsidRDefault="00D57F75" w:rsidP="00C83100">
      <w:pPr>
        <w:pStyle w:val="FootnoteText"/>
        <w:tabs>
          <w:tab w:val="left" w:pos="720"/>
        </w:tabs>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cs="TimesNewRoman"/>
          <w:spacing w:val="-4"/>
          <w:sz w:val="16"/>
          <w:szCs w:val="16"/>
          <w:lang w:val="es-PR" w:eastAsia="es-MX"/>
        </w:rPr>
        <w:t xml:space="preserve">Tribunal Constitucional del Perú. </w:t>
      </w:r>
      <w:r w:rsidRPr="007E666D">
        <w:rPr>
          <w:rFonts w:ascii="Verdana" w:hAnsi="Verdana" w:cs="TimesNewRoman"/>
          <w:i/>
          <w:spacing w:val="-4"/>
          <w:sz w:val="16"/>
          <w:szCs w:val="16"/>
          <w:lang w:val="es-PR" w:eastAsia="es-MX"/>
        </w:rPr>
        <w:t xml:space="preserve">Caso Genaro Villegas Namuche. </w:t>
      </w:r>
      <w:r w:rsidRPr="007E666D">
        <w:rPr>
          <w:rFonts w:ascii="Verdana" w:hAnsi="Verdana" w:cs="TimesNewRoman"/>
          <w:spacing w:val="-4"/>
          <w:sz w:val="16"/>
          <w:szCs w:val="16"/>
          <w:lang w:val="es-PR" w:eastAsia="es-MX"/>
        </w:rPr>
        <w:t>Sentencia de 18 de marzo de 2004.</w:t>
      </w:r>
      <w:r w:rsidRPr="007E666D">
        <w:rPr>
          <w:rFonts w:ascii="Verdana" w:hAnsi="Verdana" w:cs="TimesNewRoman"/>
          <w:i/>
          <w:spacing w:val="-4"/>
          <w:sz w:val="16"/>
          <w:szCs w:val="16"/>
          <w:lang w:val="es-PR" w:eastAsia="es-MX"/>
        </w:rPr>
        <w:t xml:space="preserve"> </w:t>
      </w:r>
      <w:r w:rsidRPr="007E666D">
        <w:rPr>
          <w:rFonts w:ascii="Verdana" w:hAnsi="Verdana" w:cs="TimesNewRoman"/>
          <w:spacing w:val="-4"/>
          <w:sz w:val="16"/>
          <w:szCs w:val="16"/>
          <w:lang w:val="es-PR" w:eastAsia="es-MX"/>
        </w:rPr>
        <w:t xml:space="preserve">Expediente No. 2488-2002-HC/TC, </w:t>
      </w:r>
      <w:r w:rsidRPr="007E666D">
        <w:rPr>
          <w:rFonts w:ascii="Verdana" w:hAnsi="Verdana"/>
          <w:spacing w:val="-4"/>
          <w:sz w:val="16"/>
          <w:szCs w:val="16"/>
          <w:lang w:val="es-PR" w:eastAsia="es-MX"/>
        </w:rPr>
        <w:t>párr. 13.</w:t>
      </w:r>
    </w:p>
  </w:footnote>
  <w:footnote w:id="325">
    <w:p w:rsidR="00D57F75" w:rsidRPr="007E666D" w:rsidRDefault="00D57F75" w:rsidP="00C83100">
      <w:pPr>
        <w:tabs>
          <w:tab w:val="left" w:pos="720"/>
        </w:tabs>
        <w:spacing w:after="0" w:line="240" w:lineRule="auto"/>
        <w:contextualSpacing/>
        <w:jc w:val="both"/>
        <w:rPr>
          <w:rFonts w:ascii="Verdana" w:hAnsi="Verdana"/>
          <w:sz w:val="16"/>
          <w:szCs w:val="16"/>
          <w:lang w:val="es-PR"/>
        </w:rPr>
      </w:pPr>
      <w:r w:rsidRPr="007E666D">
        <w:rPr>
          <w:rStyle w:val="FootnoteReference"/>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cs="TimesNewRoman"/>
          <w:spacing w:val="-4"/>
          <w:sz w:val="16"/>
          <w:szCs w:val="16"/>
          <w:lang w:val="es-PR" w:eastAsia="es-MX"/>
        </w:rPr>
        <w:t xml:space="preserve">Tribunal Constitucional del Perú. </w:t>
      </w:r>
      <w:r w:rsidRPr="007E666D">
        <w:rPr>
          <w:rFonts w:ascii="Verdana" w:hAnsi="Verdana" w:cs="TimesNewRoman"/>
          <w:i/>
          <w:spacing w:val="-4"/>
          <w:sz w:val="16"/>
          <w:szCs w:val="16"/>
          <w:lang w:val="es-PR" w:eastAsia="es-MX"/>
        </w:rPr>
        <w:t xml:space="preserve">Caso Genaro Villegas Namuche. </w:t>
      </w:r>
      <w:r w:rsidRPr="007E666D">
        <w:rPr>
          <w:rFonts w:ascii="Verdana" w:hAnsi="Verdana" w:cs="TimesNewRoman"/>
          <w:spacing w:val="-4"/>
          <w:sz w:val="16"/>
          <w:szCs w:val="16"/>
          <w:lang w:val="es-PR" w:eastAsia="es-MX"/>
        </w:rPr>
        <w:t>Sentencia de 18 de marzo de 2004.</w:t>
      </w:r>
      <w:r w:rsidRPr="007E666D">
        <w:rPr>
          <w:rFonts w:ascii="Verdana" w:hAnsi="Verdana" w:cs="TimesNewRoman"/>
          <w:i/>
          <w:spacing w:val="-4"/>
          <w:sz w:val="16"/>
          <w:szCs w:val="16"/>
          <w:lang w:val="es-PR" w:eastAsia="es-MX"/>
        </w:rPr>
        <w:t xml:space="preserve"> </w:t>
      </w:r>
      <w:r w:rsidRPr="007E666D">
        <w:rPr>
          <w:rFonts w:ascii="Verdana" w:hAnsi="Verdana" w:cs="TimesNewRoman"/>
          <w:spacing w:val="-4"/>
          <w:sz w:val="16"/>
          <w:szCs w:val="16"/>
          <w:lang w:val="es-PR" w:eastAsia="es-MX"/>
        </w:rPr>
        <w:t xml:space="preserve">Expediente No. 2488-2002-HC/TC, </w:t>
      </w:r>
      <w:r w:rsidRPr="007E666D">
        <w:rPr>
          <w:rFonts w:ascii="Verdana" w:hAnsi="Verdana"/>
          <w:spacing w:val="-4"/>
          <w:sz w:val="16"/>
          <w:szCs w:val="16"/>
          <w:lang w:val="es-PR" w:eastAsia="es-MX"/>
        </w:rPr>
        <w:t>párr. 8</w:t>
      </w:r>
      <w:r w:rsidRPr="007E666D">
        <w:rPr>
          <w:rFonts w:ascii="Verdana" w:hAnsi="Verdana"/>
          <w:sz w:val="16"/>
          <w:szCs w:val="16"/>
          <w:lang w:val="es-PR"/>
        </w:rPr>
        <w:t>.</w:t>
      </w:r>
    </w:p>
  </w:footnote>
  <w:footnote w:id="326">
    <w:p w:rsidR="00D57F75" w:rsidRPr="007E666D" w:rsidRDefault="00D57F75" w:rsidP="00CA5D0C">
      <w:pPr>
        <w:pStyle w:val="FootnoteText"/>
        <w:tabs>
          <w:tab w:val="left" w:pos="426"/>
          <w:tab w:val="left" w:pos="720"/>
        </w:tabs>
        <w:contextualSpacing/>
        <w:jc w:val="both"/>
        <w:rPr>
          <w:rFonts w:ascii="Verdana" w:eastAsia="Calibri" w:hAnsi="Verdana" w:cs="Times New Roman"/>
          <w:spacing w:val="-4"/>
          <w:sz w:val="16"/>
          <w:szCs w:val="16"/>
          <w:lang w:val="es-PR"/>
        </w:rPr>
      </w:pPr>
      <w:r w:rsidRPr="007E666D">
        <w:rPr>
          <w:rStyle w:val="FootnoteReference1"/>
          <w:rFonts w:ascii="Verdana" w:hAnsi="Verdana"/>
          <w:spacing w:val="-4"/>
          <w:sz w:val="16"/>
          <w:szCs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Castillo Páez Vs. Perú. Fondo</w:t>
      </w:r>
      <w:r w:rsidRPr="007E666D">
        <w:rPr>
          <w:rFonts w:ascii="Verdana" w:hAnsi="Verdana"/>
          <w:spacing w:val="-4"/>
          <w:sz w:val="16"/>
          <w:szCs w:val="16"/>
          <w:lang w:val="es-PR"/>
        </w:rPr>
        <w:t xml:space="preserve">. Sentencia de 3 de noviembre de 1997. Serie C No. 34, punto resolutivo cuarto, y </w:t>
      </w:r>
      <w:r w:rsidRPr="007E666D">
        <w:rPr>
          <w:rFonts w:ascii="Verdana" w:hAnsi="Verdana"/>
          <w:i/>
          <w:spacing w:val="-4"/>
          <w:sz w:val="16"/>
          <w:szCs w:val="16"/>
          <w:lang w:val="es-PR"/>
        </w:rPr>
        <w:t>Caso Cruz Sánchez y otros Vs. Perú. Excepciones Preliminares, Fondo, Reparaciones y Costas</w:t>
      </w:r>
      <w:r w:rsidRPr="007E666D">
        <w:rPr>
          <w:rFonts w:ascii="Verdana" w:hAnsi="Verdana"/>
          <w:spacing w:val="-4"/>
          <w:sz w:val="16"/>
          <w:szCs w:val="16"/>
          <w:lang w:val="es-PR"/>
        </w:rPr>
        <w:t>. Sentencia de 17 de abril de 2015. Serie C No. 292, párr. 443.</w:t>
      </w:r>
    </w:p>
  </w:footnote>
  <w:footnote w:id="327">
    <w:p w:rsidR="00D57F75" w:rsidRPr="007E666D" w:rsidRDefault="00D57F75" w:rsidP="00CA5D0C">
      <w:pPr>
        <w:pStyle w:val="FootnoteText"/>
        <w:tabs>
          <w:tab w:val="left" w:pos="426"/>
          <w:tab w:val="left" w:pos="720"/>
        </w:tabs>
        <w:contextualSpacing/>
        <w:jc w:val="both"/>
        <w:rPr>
          <w:rFonts w:ascii="Verdana" w:eastAsia="Calibri" w:hAnsi="Verdana" w:cs="Times New Roman"/>
          <w:spacing w:val="-4"/>
          <w:sz w:val="16"/>
          <w:szCs w:val="16"/>
          <w:lang w:val="es-PR"/>
        </w:rPr>
      </w:pPr>
      <w:r w:rsidRPr="007E666D">
        <w:rPr>
          <w:rStyle w:val="FootnoteReference1"/>
          <w:rFonts w:ascii="Verdana" w:eastAsia="Calibri" w:hAnsi="Verdana" w:cs="Times New Roman"/>
          <w:spacing w:val="-4"/>
          <w:sz w:val="16"/>
          <w:szCs w:val="16"/>
          <w:lang w:val="es-PR"/>
        </w:rPr>
        <w:footnoteRef/>
      </w:r>
      <w:r w:rsidRPr="007E666D">
        <w:rPr>
          <w:rFonts w:ascii="Verdana" w:eastAsia="Calibri" w:hAnsi="Verdana" w:cs="Times New Roman"/>
          <w:spacing w:val="-4"/>
          <w:sz w:val="16"/>
          <w:szCs w:val="16"/>
          <w:lang w:val="es-PR"/>
        </w:rPr>
        <w:t xml:space="preserve"> </w:t>
      </w:r>
      <w:r w:rsidRPr="007E666D">
        <w:rPr>
          <w:rFonts w:ascii="Verdana" w:eastAsia="Calibri" w:hAnsi="Verdana" w:cs="Times New Roman"/>
          <w:spacing w:val="-4"/>
          <w:sz w:val="16"/>
          <w:szCs w:val="16"/>
          <w:lang w:val="es-PR"/>
        </w:rPr>
        <w:tab/>
      </w:r>
      <w:r w:rsidRPr="007E666D">
        <w:rPr>
          <w:rFonts w:ascii="Verdana" w:eastAsia="Calibri" w:hAnsi="Verdana" w:cs="Times New Roman"/>
          <w:i/>
          <w:iCs/>
          <w:spacing w:val="-4"/>
          <w:sz w:val="16"/>
          <w:szCs w:val="16"/>
          <w:lang w:val="es-PR"/>
        </w:rPr>
        <w:t xml:space="preserve">Cfr. </w:t>
      </w:r>
      <w:r w:rsidRPr="007E666D">
        <w:rPr>
          <w:rFonts w:ascii="Verdana" w:hAnsi="Verdana"/>
          <w:i/>
          <w:spacing w:val="-4"/>
          <w:sz w:val="16"/>
          <w:szCs w:val="16"/>
          <w:lang w:val="es-PR"/>
        </w:rPr>
        <w:t>Caso Blake Vs. Guatemala. Fondo</w:t>
      </w:r>
      <w:r w:rsidRPr="007E666D">
        <w:rPr>
          <w:rFonts w:ascii="Verdana" w:hAnsi="Verdana"/>
          <w:spacing w:val="-4"/>
          <w:sz w:val="16"/>
          <w:szCs w:val="16"/>
          <w:lang w:val="es-PR"/>
        </w:rPr>
        <w:t>. Sentencia de 24 de enero de 1998. Serie C No. 36, párr. 114,</w:t>
      </w:r>
      <w:r w:rsidRPr="007E666D">
        <w:rPr>
          <w:rFonts w:ascii="Verdana" w:eastAsia="Calibri" w:hAnsi="Verdana" w:cs="Times New Roman"/>
          <w:spacing w:val="-4"/>
          <w:sz w:val="16"/>
          <w:szCs w:val="16"/>
          <w:lang w:val="es-PR"/>
        </w:rPr>
        <w:t xml:space="preserve"> y</w:t>
      </w:r>
      <w:r w:rsidRPr="007E666D">
        <w:rPr>
          <w:rFonts w:ascii="Verdana" w:eastAsia="Calibri" w:hAnsi="Verdana" w:cs="Times New Roman"/>
          <w:iCs/>
          <w:spacing w:val="-4"/>
          <w:sz w:val="16"/>
          <w:szCs w:val="16"/>
          <w:lang w:val="es-PR"/>
        </w:rPr>
        <w:t xml:space="preserve"> </w:t>
      </w:r>
      <w:r w:rsidRPr="007E666D">
        <w:rPr>
          <w:rFonts w:ascii="Verdana" w:eastAsia="Calibri" w:hAnsi="Verdana" w:cs="Times New Roman"/>
          <w:i/>
          <w:iCs/>
          <w:spacing w:val="-4"/>
          <w:sz w:val="16"/>
          <w:szCs w:val="16"/>
          <w:lang w:val="es-PR"/>
        </w:rPr>
        <w:t>Caso Rodríguez Vera y otros (Desaparecidos del Palacio de Justicia) Vs. Colombia</w:t>
      </w:r>
      <w:r w:rsidRPr="007E666D">
        <w:rPr>
          <w:rFonts w:ascii="Verdana" w:eastAsia="Calibri" w:hAnsi="Verdana" w:cs="Times New Roman"/>
          <w:iCs/>
          <w:spacing w:val="-4"/>
          <w:sz w:val="16"/>
          <w:szCs w:val="16"/>
          <w:lang w:val="es-PR"/>
        </w:rPr>
        <w:t xml:space="preserve">, </w:t>
      </w:r>
      <w:r w:rsidRPr="007E666D">
        <w:rPr>
          <w:rFonts w:ascii="Verdana" w:eastAsia="Calibri" w:hAnsi="Verdana" w:cs="Times New Roman"/>
          <w:i/>
          <w:iCs/>
          <w:spacing w:val="-4"/>
          <w:sz w:val="16"/>
          <w:szCs w:val="16"/>
          <w:lang w:val="es-PR"/>
        </w:rPr>
        <w:t>supra,</w:t>
      </w:r>
      <w:r w:rsidRPr="007E666D">
        <w:rPr>
          <w:rFonts w:ascii="Verdana" w:eastAsia="Calibri" w:hAnsi="Verdana" w:cs="Times New Roman"/>
          <w:iCs/>
          <w:spacing w:val="-4"/>
          <w:sz w:val="16"/>
          <w:szCs w:val="16"/>
          <w:lang w:val="es-PR"/>
        </w:rPr>
        <w:t xml:space="preserve"> párr. 533</w:t>
      </w:r>
      <w:r w:rsidRPr="007E666D">
        <w:rPr>
          <w:rFonts w:ascii="Verdana" w:hAnsi="Verdana" w:cs="Times New Roman"/>
          <w:spacing w:val="-4"/>
          <w:sz w:val="16"/>
          <w:szCs w:val="16"/>
          <w:lang w:val="es-PR"/>
        </w:rPr>
        <w:t>.</w:t>
      </w:r>
    </w:p>
  </w:footnote>
  <w:footnote w:id="328">
    <w:p w:rsidR="00D57F75" w:rsidRPr="007E666D" w:rsidRDefault="00D57F75" w:rsidP="00CA5D0C">
      <w:pPr>
        <w:pStyle w:val="FootnoteText"/>
        <w:tabs>
          <w:tab w:val="left" w:pos="426"/>
          <w:tab w:val="left" w:pos="720"/>
        </w:tabs>
        <w:contextualSpacing/>
        <w:jc w:val="both"/>
        <w:rPr>
          <w:rFonts w:ascii="Verdana" w:hAnsi="Verdana"/>
          <w:spacing w:val="-4"/>
          <w:sz w:val="16"/>
          <w:szCs w:val="16"/>
          <w:lang w:val="es-PR"/>
        </w:rPr>
      </w:pPr>
      <w:r w:rsidRPr="007E666D">
        <w:rPr>
          <w:rStyle w:val="FootnoteReference1"/>
          <w:rFonts w:ascii="Verdana" w:hAnsi="Verdana"/>
          <w:spacing w:val="-4"/>
          <w:sz w:val="16"/>
          <w:szCs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eastAsia="Calibri" w:hAnsi="Verdana" w:cs="Times New Roman"/>
          <w:i/>
          <w:spacing w:val="-4"/>
          <w:sz w:val="16"/>
          <w:szCs w:val="16"/>
          <w:lang w:val="es-PR"/>
        </w:rPr>
        <w:t xml:space="preserve">Cfr. </w:t>
      </w:r>
      <w:r w:rsidRPr="007E666D">
        <w:rPr>
          <w:rFonts w:ascii="Verdana" w:hAnsi="Verdana" w:cs="Times New Roman"/>
          <w:i/>
          <w:spacing w:val="-4"/>
          <w:sz w:val="16"/>
          <w:szCs w:val="16"/>
          <w:lang w:val="es-PR"/>
        </w:rPr>
        <w:t>Caso Valle Jaramillo y otros Vs. Colombia. Fondo, Reparaciones y Costas</w:t>
      </w:r>
      <w:r w:rsidRPr="007E666D">
        <w:rPr>
          <w:rFonts w:ascii="Verdana" w:hAnsi="Verdana" w:cs="Times New Roman"/>
          <w:spacing w:val="-4"/>
          <w:sz w:val="16"/>
          <w:szCs w:val="16"/>
          <w:lang w:val="es-PR"/>
        </w:rPr>
        <w:t>. Sentencia de 27 de noviembre de 2008. Serie C No. 192</w:t>
      </w:r>
      <w:r w:rsidRPr="007E666D">
        <w:rPr>
          <w:rFonts w:ascii="Verdana" w:eastAsia="Calibri" w:hAnsi="Verdana" w:cs="Times New Roman"/>
          <w:spacing w:val="-4"/>
          <w:sz w:val="16"/>
          <w:szCs w:val="16"/>
          <w:lang w:val="es-PR"/>
        </w:rPr>
        <w:t xml:space="preserve">, párr. 119 y </w:t>
      </w:r>
      <w:r w:rsidRPr="007E666D">
        <w:rPr>
          <w:rFonts w:ascii="Verdana" w:hAnsi="Verdana" w:cs="Times New Roman"/>
          <w:i/>
          <w:spacing w:val="-4"/>
          <w:sz w:val="16"/>
          <w:szCs w:val="16"/>
          <w:lang w:val="es-PR"/>
        </w:rPr>
        <w:t>Caso Osorio Rivera y Familiares Vs. Perú. Excepciones Preliminares, Fondo, Reparaciones y Costas</w:t>
      </w:r>
      <w:r w:rsidRPr="007E666D">
        <w:rPr>
          <w:rFonts w:ascii="Verdana" w:hAnsi="Verdana" w:cs="Times New Roman"/>
          <w:spacing w:val="-4"/>
          <w:sz w:val="16"/>
          <w:szCs w:val="16"/>
          <w:lang w:val="es-PR"/>
        </w:rPr>
        <w:t>. Sentencia de 26 de noviembre de 2013. Serie C No. 274</w:t>
      </w:r>
      <w:r w:rsidRPr="007E666D">
        <w:rPr>
          <w:rFonts w:ascii="Verdana" w:hAnsi="Verdana"/>
          <w:spacing w:val="-4"/>
          <w:sz w:val="16"/>
          <w:szCs w:val="16"/>
          <w:lang w:val="es-PR"/>
        </w:rPr>
        <w:t>, párr. 227.</w:t>
      </w:r>
    </w:p>
  </w:footnote>
  <w:footnote w:id="329">
    <w:p w:rsidR="00D57F75" w:rsidRPr="007E666D" w:rsidRDefault="00D57F75" w:rsidP="00CA5D0C">
      <w:pPr>
        <w:pStyle w:val="FootnoteText"/>
        <w:tabs>
          <w:tab w:val="left" w:pos="426"/>
          <w:tab w:val="left" w:pos="720"/>
        </w:tabs>
        <w:contextualSpacing/>
        <w:jc w:val="both"/>
        <w:rPr>
          <w:rFonts w:ascii="Verdana" w:eastAsia="Calibri" w:hAnsi="Verdana" w:cs="Times New Roman"/>
          <w:spacing w:val="-4"/>
          <w:sz w:val="16"/>
          <w:szCs w:val="16"/>
          <w:lang w:val="es-PR"/>
        </w:rPr>
      </w:pPr>
      <w:r w:rsidRPr="007E666D">
        <w:rPr>
          <w:rStyle w:val="FootnoteReference1"/>
          <w:rFonts w:ascii="Verdana" w:eastAsia="Calibri" w:hAnsi="Verdana" w:cs="Times New Roman"/>
          <w:spacing w:val="-4"/>
          <w:sz w:val="16"/>
          <w:szCs w:val="16"/>
          <w:lang w:val="es-PR"/>
        </w:rPr>
        <w:footnoteRef/>
      </w:r>
      <w:r w:rsidRPr="007E666D">
        <w:rPr>
          <w:rFonts w:ascii="Verdana" w:eastAsia="Calibri" w:hAnsi="Verdana" w:cs="Times New Roman"/>
          <w:spacing w:val="-4"/>
          <w:sz w:val="16"/>
          <w:szCs w:val="16"/>
          <w:lang w:val="es-PR"/>
        </w:rPr>
        <w:t xml:space="preserve"> </w:t>
      </w:r>
      <w:r w:rsidRPr="007E666D">
        <w:rPr>
          <w:rFonts w:ascii="Verdana" w:eastAsia="Calibri" w:hAnsi="Verdana" w:cs="Times New Roman"/>
          <w:spacing w:val="-4"/>
          <w:sz w:val="16"/>
          <w:szCs w:val="16"/>
          <w:lang w:val="es-PR"/>
        </w:rPr>
        <w:tab/>
      </w:r>
      <w:r w:rsidRPr="007E666D">
        <w:rPr>
          <w:rFonts w:ascii="Verdana" w:eastAsia="Calibri" w:hAnsi="Verdana" w:cs="Times New Roman"/>
          <w:i/>
          <w:spacing w:val="-4"/>
          <w:sz w:val="16"/>
          <w:szCs w:val="16"/>
          <w:lang w:val="es-PR"/>
        </w:rPr>
        <w:t>Cfr.</w:t>
      </w:r>
      <w:r w:rsidRPr="007E666D">
        <w:rPr>
          <w:rFonts w:ascii="Verdana" w:hAnsi="Verdana"/>
          <w:sz w:val="16"/>
          <w:szCs w:val="16"/>
          <w:lang w:val="es-PR"/>
        </w:rPr>
        <w:t xml:space="preserve"> </w:t>
      </w:r>
      <w:r w:rsidRPr="007E666D">
        <w:rPr>
          <w:rFonts w:ascii="Verdana" w:hAnsi="Verdana"/>
          <w:i/>
          <w:sz w:val="16"/>
          <w:szCs w:val="16"/>
          <w:lang w:val="es-PR"/>
        </w:rPr>
        <w:t>Caso de la “Masacre de Mapiripán” Vs. Colombia. Fondo, Reparaciones y Costas</w:t>
      </w:r>
      <w:r w:rsidRPr="007E666D">
        <w:rPr>
          <w:rFonts w:ascii="Verdana" w:hAnsi="Verdana"/>
          <w:sz w:val="16"/>
          <w:szCs w:val="16"/>
          <w:lang w:val="es-PR"/>
        </w:rPr>
        <w:t xml:space="preserve">. Sentencia de 15 de septiembre de 2005. Serie C No. 134, párr. 146, y </w:t>
      </w:r>
      <w:r w:rsidRPr="007E666D">
        <w:rPr>
          <w:rFonts w:ascii="Verdana" w:hAnsi="Verdana"/>
          <w:i/>
          <w:sz w:val="16"/>
          <w:szCs w:val="16"/>
          <w:lang w:val="es-PR"/>
        </w:rPr>
        <w:t>Caso Cruz Sánchez y otros Vs. Perú, supra</w:t>
      </w:r>
      <w:r w:rsidRPr="007E666D">
        <w:rPr>
          <w:rFonts w:ascii="Verdana" w:hAnsi="Verdana"/>
          <w:sz w:val="16"/>
          <w:szCs w:val="16"/>
          <w:lang w:val="es-PR"/>
        </w:rPr>
        <w:t>, párr. 444.</w:t>
      </w:r>
    </w:p>
  </w:footnote>
  <w:footnote w:id="330">
    <w:p w:rsidR="00D57F75" w:rsidRPr="007E666D" w:rsidRDefault="00D57F75" w:rsidP="00CA5D0C">
      <w:pPr>
        <w:pStyle w:val="FootnoteText"/>
        <w:tabs>
          <w:tab w:val="left" w:pos="426"/>
          <w:tab w:val="left" w:pos="720"/>
        </w:tabs>
        <w:contextualSpacing/>
        <w:jc w:val="both"/>
        <w:rPr>
          <w:rFonts w:ascii="Verdana" w:hAnsi="Verdana"/>
          <w:spacing w:val="-4"/>
          <w:sz w:val="16"/>
          <w:szCs w:val="16"/>
          <w:lang w:val="es-PR"/>
        </w:rPr>
      </w:pPr>
      <w:r w:rsidRPr="007E666D">
        <w:rPr>
          <w:rStyle w:val="FootnoteReference1"/>
          <w:rFonts w:ascii="Verdana" w:hAnsi="Verdana"/>
          <w:spacing w:val="-4"/>
          <w:sz w:val="16"/>
          <w:szCs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cs="Times New Roman"/>
          <w:i/>
          <w:spacing w:val="-4"/>
          <w:sz w:val="16"/>
          <w:szCs w:val="16"/>
          <w:lang w:val="es-PR"/>
        </w:rPr>
        <w:t>Caso Gudiel Álvarez y otros (Diario Militar) Vs. Guatemala. Fondo Reparaciones y Costas</w:t>
      </w:r>
      <w:r w:rsidRPr="007E666D">
        <w:rPr>
          <w:rFonts w:ascii="Verdana" w:hAnsi="Verdana" w:cs="Times New Roman"/>
          <w:spacing w:val="-4"/>
          <w:sz w:val="16"/>
          <w:szCs w:val="16"/>
          <w:lang w:val="es-PR"/>
        </w:rPr>
        <w:t>. Sentencia de 20 noviembre de 2012 Serie C No. 253, párr. 286</w:t>
      </w:r>
      <w:r w:rsidRPr="007E666D">
        <w:rPr>
          <w:rFonts w:ascii="Verdana" w:hAnsi="Verdana"/>
          <w:spacing w:val="-4"/>
          <w:sz w:val="16"/>
          <w:szCs w:val="16"/>
          <w:lang w:val="es-PR"/>
        </w:rPr>
        <w:t xml:space="preserve">, y </w:t>
      </w:r>
      <w:r w:rsidRPr="007E666D">
        <w:rPr>
          <w:rFonts w:ascii="Verdana" w:eastAsia="Calibri" w:hAnsi="Verdana" w:cs="Times New Roman"/>
          <w:i/>
          <w:iCs/>
          <w:spacing w:val="-4"/>
          <w:sz w:val="16"/>
          <w:szCs w:val="16"/>
          <w:lang w:val="es-PR"/>
        </w:rPr>
        <w:t>Caso Rodríguez Vera y otros (Desaparecidos del Palacio de Justicia) Vs. Colombia, supra</w:t>
      </w:r>
      <w:r w:rsidRPr="007E666D">
        <w:rPr>
          <w:rFonts w:ascii="Verdana" w:eastAsia="Calibri" w:hAnsi="Verdana" w:cs="Times New Roman"/>
          <w:iCs/>
          <w:spacing w:val="-4"/>
          <w:sz w:val="16"/>
          <w:szCs w:val="16"/>
          <w:lang w:val="es-PR"/>
        </w:rPr>
        <w:t>, párr. 533.</w:t>
      </w:r>
    </w:p>
  </w:footnote>
  <w:footnote w:id="331">
    <w:p w:rsidR="00D57F75" w:rsidRPr="007E666D" w:rsidRDefault="00D57F75" w:rsidP="00CA5D0C">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 xml:space="preserve">Declaración de </w:t>
      </w:r>
      <w:r w:rsidRPr="007E666D" w:rsidDel="008B17C5">
        <w:rPr>
          <w:rFonts w:ascii="Verdana" w:hAnsi="Verdana" w:cs="Helvetica"/>
          <w:color w:val="000000"/>
          <w:spacing w:val="-4"/>
          <w:sz w:val="16"/>
          <w:szCs w:val="16"/>
          <w:lang w:val="es-PR"/>
        </w:rPr>
        <w:t>Zen</w:t>
      </w:r>
      <w:r w:rsidRPr="007E666D">
        <w:rPr>
          <w:rFonts w:ascii="Verdana" w:hAnsi="Verdana" w:cs="Helvetica"/>
          <w:color w:val="000000"/>
          <w:spacing w:val="-4"/>
          <w:sz w:val="16"/>
          <w:szCs w:val="16"/>
          <w:lang w:val="es-PR"/>
        </w:rPr>
        <w:t>ó</w:t>
      </w:r>
      <w:r w:rsidRPr="007E666D" w:rsidDel="008B17C5">
        <w:rPr>
          <w:rFonts w:ascii="Verdana" w:hAnsi="Verdana" w:cs="Helvetica"/>
          <w:color w:val="000000"/>
          <w:spacing w:val="-4"/>
          <w:sz w:val="16"/>
          <w:szCs w:val="16"/>
          <w:lang w:val="es-PR"/>
        </w:rPr>
        <w:t>n Cirilo Osnayo Tunque</w:t>
      </w:r>
      <w:r w:rsidRPr="007E666D">
        <w:rPr>
          <w:rFonts w:ascii="Verdana" w:hAnsi="Verdana"/>
          <w:spacing w:val="-4"/>
          <w:sz w:val="16"/>
          <w:szCs w:val="16"/>
          <w:lang w:val="es-PR"/>
        </w:rPr>
        <w:t xml:space="preserve"> en la audiencia pública celebrada el 26 de enero de 2015;</w:t>
      </w:r>
      <w:r w:rsidRPr="007E666D">
        <w:rPr>
          <w:rFonts w:ascii="Verdana" w:hAnsi="Verdana" w:cs="Arial"/>
          <w:spacing w:val="-4"/>
          <w:sz w:val="16"/>
          <w:szCs w:val="16"/>
          <w:lang w:val="es-PR"/>
        </w:rPr>
        <w:t xml:space="preserve"> </w:t>
      </w:r>
      <w:r w:rsidRPr="007E666D">
        <w:rPr>
          <w:rFonts w:ascii="Verdana" w:hAnsi="Verdana"/>
          <w:spacing w:val="-4"/>
          <w:sz w:val="16"/>
          <w:szCs w:val="16"/>
          <w:lang w:val="es-PR"/>
        </w:rPr>
        <w:t xml:space="preserve">Declaración rendida el 9 de enero de 2015 ante fedatario público (affidávit) por </w:t>
      </w:r>
      <w:r w:rsidRPr="007E666D" w:rsidDel="008B17C5">
        <w:rPr>
          <w:rFonts w:ascii="Verdana" w:hAnsi="Verdana" w:cs="Helvetica"/>
          <w:bCs/>
          <w:color w:val="000000"/>
          <w:spacing w:val="-4"/>
          <w:sz w:val="16"/>
          <w:szCs w:val="16"/>
          <w:lang w:val="es-PR"/>
        </w:rPr>
        <w:t>Marcelo Hilario Quispe</w:t>
      </w:r>
      <w:r w:rsidRPr="007E666D">
        <w:rPr>
          <w:rFonts w:ascii="Verdana" w:hAnsi="Verdana"/>
          <w:spacing w:val="-4"/>
          <w:sz w:val="16"/>
          <w:szCs w:val="16"/>
          <w:lang w:val="es-PR"/>
        </w:rPr>
        <w:t xml:space="preserve"> (expediente de prueba, folios 5203 a 5207); Declaración rendida el 9 de enero de 2015 ante fedatario público (affidávit) por </w:t>
      </w:r>
      <w:r w:rsidRPr="007E666D" w:rsidDel="008B17C5">
        <w:rPr>
          <w:rFonts w:ascii="Verdana" w:hAnsi="Verdana" w:cs="Helvetica"/>
          <w:bCs/>
          <w:color w:val="000000"/>
          <w:spacing w:val="-4"/>
          <w:sz w:val="16"/>
          <w:szCs w:val="16"/>
          <w:lang w:val="es-PR"/>
        </w:rPr>
        <w:t>Gregorio Hilario Quispe</w:t>
      </w:r>
      <w:r w:rsidRPr="007E666D">
        <w:rPr>
          <w:rFonts w:ascii="Verdana" w:hAnsi="Verdana" w:cs="Helvetica"/>
          <w:bCs/>
          <w:color w:val="000000"/>
          <w:spacing w:val="-4"/>
          <w:sz w:val="16"/>
          <w:szCs w:val="16"/>
          <w:lang w:val="es-PR"/>
        </w:rPr>
        <w:t xml:space="preserve"> </w:t>
      </w:r>
      <w:r w:rsidRPr="007E666D">
        <w:rPr>
          <w:rFonts w:ascii="Verdana" w:hAnsi="Verdana"/>
          <w:spacing w:val="-4"/>
          <w:sz w:val="16"/>
          <w:szCs w:val="16"/>
          <w:lang w:val="es-PR"/>
        </w:rPr>
        <w:t xml:space="preserve">(expediente de prueba, folios 5209 a 5211), y Dictamen pericial rendido el 12 de enero de 2015 ante fedatario público (affidávit) por </w:t>
      </w:r>
      <w:r w:rsidRPr="007E666D">
        <w:rPr>
          <w:rFonts w:ascii="Verdana" w:hAnsi="Verdana" w:cs="Arial"/>
          <w:spacing w:val="-4"/>
          <w:sz w:val="16"/>
          <w:szCs w:val="16"/>
          <w:lang w:val="es-PR"/>
        </w:rPr>
        <w:t>Miryam Rivera Holguín</w:t>
      </w:r>
      <w:r w:rsidRPr="007E666D">
        <w:rPr>
          <w:rFonts w:ascii="Verdana" w:hAnsi="Verdana"/>
          <w:spacing w:val="-4"/>
          <w:sz w:val="16"/>
          <w:szCs w:val="16"/>
          <w:lang w:val="es-PR"/>
        </w:rPr>
        <w:t xml:space="preserve"> (expediente de prueba, folios 5255 a 5272, 5284 a 5289 y 5314 a 5315).</w:t>
      </w:r>
    </w:p>
  </w:footnote>
  <w:footnote w:id="332">
    <w:p w:rsidR="00D57F75" w:rsidRPr="007E666D" w:rsidRDefault="00D57F75" w:rsidP="00CA5D0C">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Declaración rendida el 9 de enero de 2015 ante fedatario público (affidávit) por </w:t>
      </w:r>
      <w:r w:rsidRPr="007E666D">
        <w:rPr>
          <w:rFonts w:ascii="Verdana" w:hAnsi="Verdana" w:cs="Helvetica"/>
          <w:bCs/>
          <w:color w:val="000000"/>
          <w:spacing w:val="-4"/>
          <w:sz w:val="16"/>
          <w:szCs w:val="16"/>
          <w:lang w:val="es-PR"/>
        </w:rPr>
        <w:t>Zósimo Hilario Quispe</w:t>
      </w:r>
      <w:r w:rsidRPr="007E666D">
        <w:rPr>
          <w:rFonts w:ascii="Verdana" w:hAnsi="Verdana"/>
          <w:spacing w:val="-4"/>
          <w:sz w:val="16"/>
          <w:szCs w:val="16"/>
          <w:lang w:val="es-PR"/>
        </w:rPr>
        <w:t xml:space="preserve"> (expediente de prueba, folios 5200 a 5202)</w:t>
      </w:r>
      <w:r w:rsidRPr="007E666D">
        <w:rPr>
          <w:rFonts w:ascii="Verdana" w:hAnsi="Verdana" w:cs="Arial"/>
          <w:spacing w:val="-4"/>
          <w:sz w:val="16"/>
          <w:szCs w:val="16"/>
          <w:lang w:val="es-PR"/>
        </w:rPr>
        <w:t xml:space="preserve">, y </w:t>
      </w:r>
      <w:r w:rsidRPr="007E666D">
        <w:rPr>
          <w:rFonts w:ascii="Verdana" w:hAnsi="Verdana"/>
          <w:spacing w:val="-4"/>
          <w:sz w:val="16"/>
          <w:szCs w:val="16"/>
          <w:lang w:val="es-PR"/>
        </w:rPr>
        <w:t xml:space="preserve">Dictamen pericial rendido el 12 de enero de 2015 ante fedatario público (affidávit) por </w:t>
      </w:r>
      <w:r w:rsidRPr="007E666D">
        <w:rPr>
          <w:rFonts w:ascii="Verdana" w:hAnsi="Verdana" w:cs="Arial"/>
          <w:spacing w:val="-4"/>
          <w:sz w:val="16"/>
          <w:szCs w:val="16"/>
          <w:lang w:val="es-PR"/>
        </w:rPr>
        <w:t>Miryam Rivera Holguín</w:t>
      </w:r>
      <w:r w:rsidRPr="007E666D">
        <w:rPr>
          <w:rFonts w:ascii="Verdana" w:hAnsi="Verdana"/>
          <w:spacing w:val="-4"/>
          <w:sz w:val="16"/>
          <w:szCs w:val="16"/>
          <w:lang w:val="es-PR"/>
        </w:rPr>
        <w:t xml:space="preserve"> (expediente de prueba, folios 5289 a 5293 y 5314 a 5315).</w:t>
      </w:r>
    </w:p>
  </w:footnote>
  <w:footnote w:id="333">
    <w:p w:rsidR="00D57F75" w:rsidRPr="007E666D" w:rsidRDefault="00D57F75" w:rsidP="00CA5D0C">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Declaración rendida el 9 de enero de 2015 ante fedatario público (affidávit) por </w:t>
      </w:r>
      <w:r w:rsidRPr="007E666D">
        <w:rPr>
          <w:rFonts w:ascii="Verdana" w:hAnsi="Verdana" w:cs="Helvetica"/>
          <w:bCs/>
          <w:color w:val="000000"/>
          <w:spacing w:val="-4"/>
          <w:sz w:val="16"/>
          <w:szCs w:val="16"/>
          <w:lang w:val="es-PR"/>
        </w:rPr>
        <w:t>Víctor</w:t>
      </w:r>
      <w:r w:rsidRPr="007E666D" w:rsidDel="008B17C5">
        <w:rPr>
          <w:rFonts w:ascii="Verdana" w:hAnsi="Verdana" w:cs="Helvetica"/>
          <w:bCs/>
          <w:color w:val="000000"/>
          <w:spacing w:val="-4"/>
          <w:sz w:val="16"/>
          <w:szCs w:val="16"/>
          <w:lang w:val="es-PR"/>
        </w:rPr>
        <w:t xml:space="preserve"> Carhuapoma de la Cruz</w:t>
      </w:r>
      <w:r w:rsidRPr="007E666D">
        <w:rPr>
          <w:rFonts w:ascii="Verdana" w:hAnsi="Verdana"/>
          <w:spacing w:val="-4"/>
          <w:sz w:val="16"/>
          <w:szCs w:val="16"/>
          <w:lang w:val="es-PR"/>
        </w:rPr>
        <w:t xml:space="preserve"> (expediente de prueba, folios 5213 a 5214).</w:t>
      </w:r>
    </w:p>
  </w:footnote>
  <w:footnote w:id="334">
    <w:p w:rsidR="00D57F75" w:rsidRPr="007E666D" w:rsidRDefault="00D57F75" w:rsidP="00CA5D0C">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 xml:space="preserve">Declaración rendida el 9 de enero de 2015 ante fedatario público (affidávit) por </w:t>
      </w:r>
      <w:r w:rsidRPr="007E666D">
        <w:rPr>
          <w:rFonts w:ascii="Verdana" w:hAnsi="Verdana" w:cs="Helvetica"/>
          <w:bCs/>
          <w:color w:val="000000"/>
          <w:spacing w:val="-4"/>
          <w:sz w:val="16"/>
          <w:szCs w:val="16"/>
          <w:lang w:val="es-PR"/>
        </w:rPr>
        <w:t xml:space="preserve">Abilio Hilario Quispe </w:t>
      </w:r>
      <w:r w:rsidRPr="007E666D">
        <w:rPr>
          <w:rFonts w:ascii="Verdana" w:hAnsi="Verdana"/>
          <w:spacing w:val="-4"/>
          <w:sz w:val="16"/>
          <w:szCs w:val="16"/>
          <w:lang w:val="es-PR"/>
        </w:rPr>
        <w:t>(expediente de prueba, folios 5217).</w:t>
      </w:r>
    </w:p>
  </w:footnote>
  <w:footnote w:id="335">
    <w:p w:rsidR="00D57F75" w:rsidRPr="007E666D" w:rsidRDefault="00D57F75" w:rsidP="00CA5D0C">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Declaración rendida el 9 de enero de 2015 ante fedatario público (affidávit) por </w:t>
      </w:r>
      <w:r w:rsidRPr="007E666D">
        <w:rPr>
          <w:rFonts w:ascii="Verdana" w:hAnsi="Verdana" w:cs="Helvetica"/>
          <w:color w:val="000000"/>
          <w:spacing w:val="-4"/>
          <w:sz w:val="16"/>
          <w:szCs w:val="16"/>
          <w:lang w:val="es-PR"/>
        </w:rPr>
        <w:t>Marcelina Guillen Riveros</w:t>
      </w:r>
      <w:r w:rsidRPr="007E666D">
        <w:rPr>
          <w:rFonts w:ascii="Verdana" w:hAnsi="Verdana"/>
          <w:spacing w:val="-4"/>
          <w:sz w:val="16"/>
          <w:szCs w:val="16"/>
          <w:lang w:val="es-PR"/>
        </w:rPr>
        <w:t xml:space="preserve"> (expediente de prueba, folios 5220 y 5221). </w:t>
      </w:r>
    </w:p>
  </w:footnote>
  <w:footnote w:id="336">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Style w:val="Strong"/>
          <w:rFonts w:ascii="Verdana" w:hAnsi="Verdana"/>
          <w:b w:val="0"/>
          <w:i/>
          <w:spacing w:val="-4"/>
          <w:sz w:val="16"/>
          <w:szCs w:val="16"/>
          <w:shd w:val="clear" w:color="auto" w:fill="FFFFFF"/>
          <w:lang w:val="es-PR"/>
        </w:rPr>
        <w:t>Caso Velásquez Rodríguez Vs. Honduras. Reparaciones y Costas</w:t>
      </w:r>
      <w:r w:rsidRPr="007E666D">
        <w:rPr>
          <w:rStyle w:val="Strong"/>
          <w:rFonts w:ascii="Verdana" w:hAnsi="Verdana"/>
          <w:b w:val="0"/>
          <w:spacing w:val="-4"/>
          <w:sz w:val="16"/>
          <w:szCs w:val="16"/>
          <w:shd w:val="clear" w:color="auto" w:fill="FFFFFF"/>
          <w:lang w:val="es-PR"/>
        </w:rPr>
        <w:t xml:space="preserve">. Sentencia de 21 de julio de 1989. Serie C No. 7, párr. 25, y </w:t>
      </w:r>
      <w:r w:rsidRPr="007E666D">
        <w:rPr>
          <w:rStyle w:val="Strong"/>
          <w:rFonts w:ascii="Verdana" w:hAnsi="Verdana"/>
          <w:b w:val="0"/>
          <w:i/>
          <w:spacing w:val="-4"/>
          <w:sz w:val="16"/>
          <w:szCs w:val="16"/>
          <w:shd w:val="clear" w:color="auto" w:fill="FFFFFF"/>
          <w:lang w:val="es-PR"/>
        </w:rPr>
        <w:t xml:space="preserve">Caso </w:t>
      </w:r>
      <w:r w:rsidRPr="007E666D">
        <w:rPr>
          <w:rFonts w:ascii="Verdana" w:hAnsi="Verdana"/>
          <w:bCs/>
          <w:i/>
          <w:spacing w:val="-4"/>
          <w:sz w:val="16"/>
          <w:szCs w:val="16"/>
          <w:lang w:val="es-PR"/>
        </w:rPr>
        <w:t>Wong Ho Wing Vs. Perú,</w:t>
      </w:r>
      <w:r w:rsidRPr="007E666D">
        <w:rPr>
          <w:rFonts w:ascii="Verdana" w:hAnsi="Verdana"/>
          <w:i/>
          <w:color w:val="000000"/>
          <w:spacing w:val="-4"/>
          <w:sz w:val="16"/>
          <w:szCs w:val="16"/>
          <w:lang w:val="es-PR"/>
        </w:rPr>
        <w:t xml:space="preserve"> supra, </w:t>
      </w:r>
      <w:r w:rsidRPr="007E666D">
        <w:rPr>
          <w:rStyle w:val="Strong"/>
          <w:rFonts w:ascii="Verdana" w:hAnsi="Verdana"/>
          <w:b w:val="0"/>
          <w:spacing w:val="-4"/>
          <w:sz w:val="16"/>
          <w:szCs w:val="16"/>
          <w:shd w:val="clear" w:color="auto" w:fill="FFFFFF"/>
          <w:lang w:val="es-PR"/>
        </w:rPr>
        <w:t xml:space="preserve">párr. </w:t>
      </w:r>
      <w:r w:rsidRPr="007E666D">
        <w:rPr>
          <w:rFonts w:ascii="Verdana" w:hAnsi="Verdana"/>
          <w:spacing w:val="-4"/>
          <w:sz w:val="16"/>
          <w:szCs w:val="16"/>
          <w:lang w:val="es-PR"/>
        </w:rPr>
        <w:t>296.</w:t>
      </w:r>
    </w:p>
  </w:footnote>
  <w:footnote w:id="337">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Caso Ticona Estrada y otros Vs. Bolivia. Fondo, Reparaciones y Costas. </w:t>
      </w:r>
      <w:r w:rsidRPr="007E666D">
        <w:rPr>
          <w:rFonts w:ascii="Verdana" w:hAnsi="Verdana"/>
          <w:spacing w:val="-4"/>
          <w:sz w:val="16"/>
          <w:szCs w:val="16"/>
          <w:lang w:val="es-PR"/>
        </w:rPr>
        <w:t>Sentencia de 27 de noviembre de 2008. Serie C No. 191, párr. 110,</w:t>
      </w:r>
      <w:r w:rsidRPr="007E666D">
        <w:rPr>
          <w:rFonts w:ascii="Verdana" w:hAnsi="Verdana"/>
          <w:i/>
          <w:spacing w:val="-4"/>
          <w:sz w:val="16"/>
          <w:szCs w:val="16"/>
          <w:lang w:val="es-PR"/>
        </w:rPr>
        <w:t xml:space="preserve"> </w:t>
      </w:r>
      <w:r w:rsidRPr="007E666D">
        <w:rPr>
          <w:rFonts w:ascii="Verdana" w:hAnsi="Verdana"/>
          <w:spacing w:val="-4"/>
          <w:sz w:val="16"/>
          <w:szCs w:val="16"/>
          <w:lang w:val="es-PR"/>
        </w:rPr>
        <w:t xml:space="preserve">y </w:t>
      </w:r>
      <w:r w:rsidRPr="007E666D">
        <w:rPr>
          <w:rStyle w:val="Strong"/>
          <w:rFonts w:ascii="Verdana" w:hAnsi="Verdana"/>
          <w:b w:val="0"/>
          <w:i/>
          <w:spacing w:val="-4"/>
          <w:sz w:val="16"/>
          <w:szCs w:val="16"/>
          <w:shd w:val="clear" w:color="auto" w:fill="FFFFFF"/>
          <w:lang w:val="es-PR"/>
        </w:rPr>
        <w:t xml:space="preserve">Caso </w:t>
      </w:r>
      <w:r w:rsidRPr="007E666D">
        <w:rPr>
          <w:rFonts w:ascii="Verdana" w:hAnsi="Verdana"/>
          <w:bCs/>
          <w:i/>
          <w:spacing w:val="-4"/>
          <w:sz w:val="16"/>
          <w:szCs w:val="16"/>
          <w:lang w:val="es-PR"/>
        </w:rPr>
        <w:t>Wong Ho Wing Vs. Perú,</w:t>
      </w:r>
      <w:r w:rsidRPr="007E666D">
        <w:rPr>
          <w:rFonts w:ascii="Verdana" w:hAnsi="Verdana"/>
          <w:i/>
          <w:color w:val="000000"/>
          <w:spacing w:val="-4"/>
          <w:sz w:val="16"/>
          <w:szCs w:val="16"/>
          <w:lang w:val="es-PR"/>
        </w:rPr>
        <w:t xml:space="preserve"> supra, </w:t>
      </w:r>
      <w:r w:rsidRPr="007E666D">
        <w:rPr>
          <w:rStyle w:val="Strong"/>
          <w:rFonts w:ascii="Verdana" w:hAnsi="Verdana"/>
          <w:b w:val="0"/>
          <w:spacing w:val="-4"/>
          <w:sz w:val="16"/>
          <w:szCs w:val="16"/>
          <w:shd w:val="clear" w:color="auto" w:fill="FFFFFF"/>
          <w:lang w:val="es-PR"/>
        </w:rPr>
        <w:t>párr. 298</w:t>
      </w:r>
      <w:r w:rsidRPr="007E666D">
        <w:rPr>
          <w:rFonts w:ascii="Verdana" w:hAnsi="Verdana"/>
          <w:spacing w:val="-4"/>
          <w:sz w:val="16"/>
          <w:szCs w:val="16"/>
          <w:lang w:val="es-PR"/>
        </w:rPr>
        <w:t>.</w:t>
      </w:r>
    </w:p>
  </w:footnote>
  <w:footnote w:id="338">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Velásquez Rodríguez. Reparaciones y Costas</w:t>
      </w:r>
      <w:r w:rsidRPr="007E666D">
        <w:rPr>
          <w:rFonts w:ascii="Verdana" w:hAnsi="Verdana"/>
          <w:spacing w:val="-4"/>
          <w:sz w:val="16"/>
          <w:szCs w:val="16"/>
          <w:lang w:val="es-PR"/>
        </w:rPr>
        <w:t xml:space="preserve">, </w:t>
      </w:r>
      <w:r w:rsidRPr="007E666D">
        <w:rPr>
          <w:rStyle w:val="Strong"/>
          <w:rFonts w:ascii="Verdana" w:hAnsi="Verdana"/>
          <w:b w:val="0"/>
          <w:i/>
          <w:spacing w:val="-4"/>
          <w:sz w:val="16"/>
          <w:szCs w:val="16"/>
          <w:shd w:val="clear" w:color="auto" w:fill="FFFFFF"/>
          <w:lang w:val="es-PR"/>
        </w:rPr>
        <w:t>supra</w:t>
      </w:r>
      <w:r w:rsidRPr="007E666D">
        <w:rPr>
          <w:rStyle w:val="Strong"/>
          <w:rFonts w:ascii="Verdana" w:hAnsi="Verdana"/>
          <w:b w:val="0"/>
          <w:spacing w:val="-4"/>
          <w:sz w:val="16"/>
          <w:szCs w:val="16"/>
          <w:shd w:val="clear" w:color="auto" w:fill="FFFFFF"/>
          <w:lang w:val="es-PR"/>
        </w:rPr>
        <w:t>,</w:t>
      </w:r>
      <w:r w:rsidRPr="007E666D">
        <w:rPr>
          <w:rFonts w:ascii="Verdana" w:hAnsi="Verdana"/>
          <w:i/>
          <w:spacing w:val="-4"/>
          <w:sz w:val="16"/>
          <w:szCs w:val="16"/>
          <w:lang w:val="es-PR"/>
        </w:rPr>
        <w:t xml:space="preserve"> </w:t>
      </w:r>
      <w:r w:rsidRPr="007E666D">
        <w:rPr>
          <w:rFonts w:ascii="Verdana" w:hAnsi="Verdana"/>
          <w:spacing w:val="-4"/>
          <w:sz w:val="16"/>
          <w:szCs w:val="16"/>
          <w:lang w:val="es-PR"/>
        </w:rPr>
        <w:t xml:space="preserve">párrs. 25 a 27, y </w:t>
      </w:r>
      <w:r w:rsidRPr="007E666D">
        <w:rPr>
          <w:rStyle w:val="Strong"/>
          <w:rFonts w:ascii="Verdana" w:hAnsi="Verdana"/>
          <w:b w:val="0"/>
          <w:i/>
          <w:spacing w:val="-4"/>
          <w:sz w:val="16"/>
          <w:szCs w:val="16"/>
          <w:shd w:val="clear" w:color="auto" w:fill="FFFFFF"/>
          <w:lang w:val="es-PR"/>
        </w:rPr>
        <w:t xml:space="preserve">Caso </w:t>
      </w:r>
      <w:r w:rsidRPr="007E666D">
        <w:rPr>
          <w:rFonts w:ascii="Verdana" w:hAnsi="Verdana"/>
          <w:bCs/>
          <w:i/>
          <w:spacing w:val="-4"/>
          <w:sz w:val="16"/>
          <w:szCs w:val="16"/>
          <w:lang w:val="es-PR"/>
        </w:rPr>
        <w:t>Wong Ho Wing Vs. Perú,</w:t>
      </w:r>
      <w:r w:rsidRPr="007E666D">
        <w:rPr>
          <w:rFonts w:ascii="Verdana" w:hAnsi="Verdana"/>
          <w:i/>
          <w:color w:val="000000"/>
          <w:spacing w:val="-4"/>
          <w:sz w:val="16"/>
          <w:szCs w:val="16"/>
          <w:lang w:val="es-PR"/>
        </w:rPr>
        <w:t xml:space="preserve"> supra, </w:t>
      </w:r>
      <w:r w:rsidRPr="007E666D">
        <w:rPr>
          <w:rStyle w:val="Strong"/>
          <w:rFonts w:ascii="Verdana" w:hAnsi="Verdana"/>
          <w:b w:val="0"/>
          <w:spacing w:val="-4"/>
          <w:sz w:val="16"/>
          <w:szCs w:val="16"/>
          <w:shd w:val="clear" w:color="auto" w:fill="FFFFFF"/>
          <w:lang w:val="es-PR"/>
        </w:rPr>
        <w:t>párr. 299</w:t>
      </w:r>
      <w:r w:rsidRPr="007E666D">
        <w:rPr>
          <w:rFonts w:ascii="Verdana" w:hAnsi="Verdana"/>
          <w:spacing w:val="-4"/>
          <w:sz w:val="16"/>
          <w:szCs w:val="16"/>
          <w:lang w:val="es-PR"/>
        </w:rPr>
        <w:t>.</w:t>
      </w:r>
    </w:p>
  </w:footnote>
  <w:footnote w:id="339">
    <w:p w:rsidR="00D57F75" w:rsidRPr="007E666D" w:rsidRDefault="00D57F75" w:rsidP="00AB496F">
      <w:pPr>
        <w:tabs>
          <w:tab w:val="left" w:pos="426"/>
          <w:tab w:val="left" w:pos="567"/>
        </w:tabs>
        <w:autoSpaceDE w:val="0"/>
        <w:autoSpaceDN w:val="0"/>
        <w:spacing w:after="0" w:line="240" w:lineRule="auto"/>
        <w:contextualSpacing/>
        <w:jc w:val="both"/>
        <w:rPr>
          <w:rFonts w:ascii="Verdana" w:hAnsi="Verdana"/>
          <w:spacing w:val="-4"/>
          <w:sz w:val="16"/>
          <w:szCs w:val="16"/>
          <w:lang w:val="es-PR"/>
        </w:rPr>
      </w:pPr>
      <w:r w:rsidRPr="007E666D">
        <w:rPr>
          <w:rStyle w:val="FootnoteReference"/>
          <w:rFonts w:eastAsia="Calibri"/>
          <w:sz w:val="16"/>
          <w:lang w:val="es-PR"/>
        </w:rPr>
        <w:footnoteRef/>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Caso Del Caracazo Vs. Venezuela. Reparaciones y Costas. </w:t>
      </w:r>
      <w:r w:rsidRPr="007E666D">
        <w:rPr>
          <w:rFonts w:ascii="Verdana" w:hAnsi="Verdana"/>
          <w:iCs/>
          <w:spacing w:val="-4"/>
          <w:sz w:val="16"/>
          <w:szCs w:val="16"/>
          <w:lang w:val="es-PR"/>
        </w:rPr>
        <w:t xml:space="preserve">Sentencia de 29 de agosto de 2002. Serie C No. 95, párr. 118, y </w:t>
      </w:r>
      <w:r w:rsidRPr="007E666D">
        <w:rPr>
          <w:rFonts w:ascii="Verdana" w:hAnsi="Verdana"/>
          <w:i/>
          <w:iCs/>
          <w:spacing w:val="-4"/>
          <w:sz w:val="16"/>
          <w:szCs w:val="16"/>
          <w:lang w:val="es-PR"/>
        </w:rPr>
        <w:t>Caso Rodríguez Vera y otros (Desaparecidos del Palacio de Justicia) Vs. Colombia, supra,</w:t>
      </w:r>
      <w:r w:rsidRPr="007E666D">
        <w:rPr>
          <w:rFonts w:ascii="Verdana" w:hAnsi="Verdana"/>
          <w:iCs/>
          <w:spacing w:val="-4"/>
          <w:sz w:val="16"/>
          <w:szCs w:val="16"/>
          <w:lang w:val="es-PR"/>
        </w:rPr>
        <w:t xml:space="preserve"> párr. 559. </w:t>
      </w:r>
    </w:p>
  </w:footnote>
  <w:footnote w:id="340">
    <w:p w:rsidR="00D57F75" w:rsidRPr="007E666D" w:rsidRDefault="00D57F75" w:rsidP="00AB496F">
      <w:pPr>
        <w:pStyle w:val="FootnoteText"/>
        <w:tabs>
          <w:tab w:val="left" w:pos="567"/>
          <w:tab w:val="left" w:pos="720"/>
        </w:tabs>
        <w:ind w:right="-90"/>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Caso Neira Alegría y otros Vs. Perú. Reparaciones y Costas</w:t>
      </w:r>
      <w:r w:rsidRPr="007E666D">
        <w:rPr>
          <w:rFonts w:ascii="Verdana" w:hAnsi="Verdana"/>
          <w:spacing w:val="-4"/>
          <w:sz w:val="16"/>
          <w:szCs w:val="16"/>
          <w:lang w:val="es-PR"/>
        </w:rPr>
        <w:t xml:space="preserve">. Sentencia de 19 de septiembre de 1996. Serie C No. 29, párr. 69, y </w:t>
      </w:r>
      <w:r w:rsidRPr="007E666D">
        <w:rPr>
          <w:rFonts w:ascii="Verdana" w:hAnsi="Verdana"/>
          <w:i/>
          <w:spacing w:val="-4"/>
          <w:sz w:val="16"/>
          <w:szCs w:val="16"/>
          <w:lang w:val="es-PR"/>
        </w:rPr>
        <w:t>Caso Rochac Hernández y otros Vs. El Salvador, supra</w:t>
      </w:r>
      <w:r w:rsidRPr="007E666D">
        <w:rPr>
          <w:rFonts w:ascii="Verdana" w:hAnsi="Verdana"/>
          <w:spacing w:val="-4"/>
          <w:sz w:val="16"/>
          <w:szCs w:val="16"/>
          <w:lang w:val="es-PR"/>
        </w:rPr>
        <w:t>, párr. 196.</w:t>
      </w:r>
    </w:p>
  </w:footnote>
  <w:footnote w:id="341">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w:t>
      </w:r>
      <w:r w:rsidRPr="007E666D">
        <w:rPr>
          <w:rFonts w:ascii="Verdana" w:hAnsi="Verdana"/>
          <w:bCs/>
          <w:i/>
          <w:spacing w:val="-4"/>
          <w:sz w:val="16"/>
          <w:szCs w:val="16"/>
          <w:lang w:val="es-PR"/>
        </w:rPr>
        <w:t>Caso Ticona Estrada y otros Vs. Bolivia, supra</w:t>
      </w:r>
      <w:r w:rsidRPr="007E666D">
        <w:rPr>
          <w:rFonts w:ascii="Verdana" w:hAnsi="Verdana"/>
          <w:spacing w:val="-4"/>
          <w:sz w:val="16"/>
          <w:szCs w:val="16"/>
          <w:lang w:val="es-PR"/>
        </w:rPr>
        <w:t xml:space="preserve">, párr. 155, y </w:t>
      </w:r>
      <w:r w:rsidRPr="007E666D">
        <w:rPr>
          <w:rFonts w:ascii="Verdana" w:hAnsi="Verdana"/>
          <w:i/>
          <w:spacing w:val="-4"/>
          <w:sz w:val="16"/>
          <w:szCs w:val="16"/>
          <w:lang w:val="es-PR"/>
        </w:rPr>
        <w:t>Caso Rochac Hernández y otros Vs. El Salvador, supra</w:t>
      </w:r>
      <w:r w:rsidRPr="007E666D">
        <w:rPr>
          <w:rFonts w:ascii="Verdana" w:hAnsi="Verdana"/>
          <w:spacing w:val="-4"/>
          <w:sz w:val="16"/>
          <w:szCs w:val="16"/>
          <w:lang w:val="es-PR"/>
        </w:rPr>
        <w:t>, párr. 196.</w:t>
      </w:r>
    </w:p>
  </w:footnote>
  <w:footnote w:id="342">
    <w:p w:rsidR="00D57F75" w:rsidRPr="007E666D" w:rsidRDefault="00D57F75" w:rsidP="00AB496F">
      <w:pPr>
        <w:pStyle w:val="FootnoteText"/>
        <w:tabs>
          <w:tab w:val="left" w:pos="567"/>
        </w:tabs>
        <w:ind w:right="-90"/>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w:t>
      </w:r>
      <w:r w:rsidRPr="007E666D">
        <w:rPr>
          <w:rFonts w:ascii="Verdana" w:hAnsi="Verdana"/>
          <w:bCs/>
          <w:i/>
          <w:sz w:val="16"/>
          <w:szCs w:val="16"/>
          <w:lang w:val="es-PR"/>
        </w:rPr>
        <w:t>Caso Masacre de las Dos Erres Vs. Guatemala</w:t>
      </w:r>
      <w:r w:rsidRPr="007E666D">
        <w:rPr>
          <w:rFonts w:ascii="Verdana" w:hAnsi="Verdana"/>
          <w:sz w:val="16"/>
          <w:szCs w:val="16"/>
          <w:lang w:val="es-PR"/>
        </w:rPr>
        <w:t xml:space="preserve">, párr. 245,  </w:t>
      </w:r>
      <w:r w:rsidRPr="007E666D">
        <w:rPr>
          <w:rFonts w:ascii="Verdana" w:hAnsi="Verdana"/>
          <w:spacing w:val="-4"/>
          <w:sz w:val="16"/>
          <w:szCs w:val="16"/>
          <w:lang w:val="es-PR"/>
        </w:rPr>
        <w:t xml:space="preserve">y </w:t>
      </w:r>
      <w:r w:rsidRPr="007E666D">
        <w:rPr>
          <w:rFonts w:ascii="Verdana" w:hAnsi="Verdana"/>
          <w:i/>
          <w:spacing w:val="-4"/>
          <w:sz w:val="16"/>
          <w:szCs w:val="16"/>
          <w:lang w:val="es-PR"/>
        </w:rPr>
        <w:t>Caso Osorio Rivera y Familiares Vs. Perú</w:t>
      </w:r>
      <w:r w:rsidRPr="007E666D">
        <w:rPr>
          <w:rFonts w:ascii="Verdana" w:hAnsi="Verdana"/>
          <w:spacing w:val="-4"/>
          <w:sz w:val="16"/>
          <w:szCs w:val="16"/>
          <w:lang w:val="es-PR"/>
        </w:rPr>
        <w:t xml:space="preserve">,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párr. 250.</w:t>
      </w:r>
    </w:p>
  </w:footnote>
  <w:footnote w:id="343">
    <w:p w:rsidR="00D57F75" w:rsidRPr="007E666D" w:rsidRDefault="00D57F75" w:rsidP="00AB496F">
      <w:pPr>
        <w:pStyle w:val="FootnoteText"/>
        <w:tabs>
          <w:tab w:val="left" w:pos="567"/>
        </w:tabs>
        <w:ind w:right="-90"/>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w:t>
      </w:r>
      <w:r w:rsidRPr="007E666D">
        <w:rPr>
          <w:rFonts w:ascii="Verdana" w:hAnsi="Verdana"/>
          <w:bCs/>
          <w:i/>
          <w:spacing w:val="-4"/>
          <w:sz w:val="16"/>
          <w:szCs w:val="16"/>
          <w:lang w:val="es-PR"/>
        </w:rPr>
        <w:t>Caso Masacre de las Dos Erres Vs. Guatemala, supra</w:t>
      </w:r>
      <w:r w:rsidRPr="007E666D">
        <w:rPr>
          <w:rFonts w:ascii="Verdana" w:hAnsi="Verdana"/>
          <w:spacing w:val="-4"/>
          <w:sz w:val="16"/>
          <w:szCs w:val="16"/>
          <w:lang w:val="es-PR"/>
        </w:rPr>
        <w:t xml:space="preserve">, párr. 245, y </w:t>
      </w:r>
      <w:r w:rsidRPr="007E666D">
        <w:rPr>
          <w:rFonts w:ascii="Verdana" w:hAnsi="Verdana"/>
          <w:i/>
          <w:spacing w:val="-4"/>
          <w:sz w:val="16"/>
          <w:szCs w:val="16"/>
          <w:lang w:val="es-PR"/>
        </w:rPr>
        <w:t>Caso Osorio Rivera y Familiares Vs. Perú</w:t>
      </w:r>
      <w:r w:rsidRPr="007E666D">
        <w:rPr>
          <w:rFonts w:ascii="Verdana" w:hAnsi="Verdana"/>
          <w:spacing w:val="-4"/>
          <w:sz w:val="16"/>
          <w:szCs w:val="16"/>
          <w:lang w:val="es-PR"/>
        </w:rPr>
        <w:t xml:space="preserve">, </w:t>
      </w:r>
      <w:r w:rsidRPr="007E666D">
        <w:rPr>
          <w:rFonts w:ascii="Verdana" w:hAnsi="Verdana"/>
          <w:i/>
          <w:spacing w:val="-4"/>
          <w:sz w:val="16"/>
          <w:szCs w:val="16"/>
          <w:lang w:val="es-PR"/>
        </w:rPr>
        <w:t>supra</w:t>
      </w:r>
      <w:r w:rsidRPr="007E666D">
        <w:rPr>
          <w:rFonts w:ascii="Verdana" w:hAnsi="Verdana"/>
          <w:spacing w:val="-4"/>
          <w:sz w:val="16"/>
          <w:szCs w:val="16"/>
          <w:lang w:val="es-PR"/>
        </w:rPr>
        <w:t xml:space="preserve"> párr. 250.</w:t>
      </w:r>
    </w:p>
  </w:footnote>
  <w:footnote w:id="344">
    <w:p w:rsidR="00D57F75" w:rsidRPr="007E666D" w:rsidRDefault="00D57F75" w:rsidP="00AB496F">
      <w:pPr>
        <w:pStyle w:val="FootnoteText"/>
        <w:tabs>
          <w:tab w:val="left" w:pos="54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Masacres de Río Negro Vs. Guatemala. Excepción Preliminar, Fondo, Reparaciones y Costas</w:t>
      </w:r>
      <w:r w:rsidRPr="007E666D">
        <w:rPr>
          <w:rFonts w:ascii="Verdana" w:hAnsi="Verdana"/>
          <w:spacing w:val="-4"/>
          <w:sz w:val="16"/>
          <w:szCs w:val="16"/>
          <w:lang w:val="es-PR"/>
        </w:rPr>
        <w:t>. Sentencia de 4 de septiembre de 2012. Serie C No. 250</w:t>
      </w:r>
      <w:r w:rsidRPr="007E666D">
        <w:rPr>
          <w:rFonts w:ascii="Verdana" w:hAnsi="Verdana"/>
          <w:i/>
          <w:spacing w:val="-4"/>
          <w:sz w:val="16"/>
          <w:szCs w:val="16"/>
          <w:lang w:val="es-PR"/>
        </w:rPr>
        <w:t xml:space="preserve">, </w:t>
      </w:r>
      <w:r w:rsidRPr="007E666D">
        <w:rPr>
          <w:rFonts w:ascii="Verdana" w:hAnsi="Verdana"/>
          <w:spacing w:val="-4"/>
          <w:sz w:val="16"/>
          <w:szCs w:val="16"/>
          <w:lang w:val="es-PR"/>
        </w:rPr>
        <w:t xml:space="preserve">párr. 266, y </w:t>
      </w:r>
      <w:r w:rsidRPr="007E666D">
        <w:rPr>
          <w:rFonts w:ascii="Verdana" w:hAnsi="Verdana"/>
          <w:i/>
          <w:spacing w:val="-4"/>
          <w:sz w:val="16"/>
          <w:szCs w:val="16"/>
          <w:lang w:val="es-PR"/>
        </w:rPr>
        <w:t xml:space="preserve">Caso Gudiel Álvarez y otros (“Diario Militar”) Vs. Guatemala, supra, </w:t>
      </w:r>
      <w:r w:rsidRPr="007E666D">
        <w:rPr>
          <w:rFonts w:ascii="Verdana" w:hAnsi="Verdana"/>
          <w:spacing w:val="-4"/>
          <w:sz w:val="16"/>
          <w:szCs w:val="16"/>
          <w:lang w:val="es-PR"/>
        </w:rPr>
        <w:t>párr. 333.</w:t>
      </w:r>
    </w:p>
  </w:footnote>
  <w:footnote w:id="345">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Tales como las establecidas en el Manual de Naciones Unidas sobre la Prevención e Investigación Efectiva de Ejecuciones Extrajudiciales, Arbitrarias y Sumarias. </w:t>
      </w:r>
    </w:p>
  </w:footnote>
  <w:footnote w:id="346">
    <w:p w:rsidR="00D57F75" w:rsidRPr="007E666D" w:rsidRDefault="00D57F75" w:rsidP="00AB496F">
      <w:pPr>
        <w:pStyle w:val="FootnoteText"/>
        <w:tabs>
          <w:tab w:val="left" w:pos="54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Caso Anzualdo Castro Vs. Perú, supra</w:t>
      </w:r>
      <w:r w:rsidRPr="007E666D">
        <w:rPr>
          <w:rFonts w:ascii="Verdana" w:hAnsi="Verdana"/>
          <w:spacing w:val="-4"/>
          <w:sz w:val="16"/>
          <w:szCs w:val="16"/>
          <w:lang w:val="es-PR"/>
        </w:rPr>
        <w:t xml:space="preserve">, párr. 185, y </w:t>
      </w:r>
      <w:r w:rsidRPr="007E666D">
        <w:rPr>
          <w:rStyle w:val="Strong"/>
          <w:rFonts w:ascii="Verdana" w:hAnsi="Verdana"/>
          <w:b w:val="0"/>
          <w:i/>
          <w:spacing w:val="-4"/>
          <w:sz w:val="16"/>
          <w:szCs w:val="16"/>
          <w:shd w:val="clear" w:color="auto" w:fill="FFFFFF"/>
          <w:lang w:val="es-PR"/>
        </w:rPr>
        <w:t>Caso Rochac Hernández y otros Vs. El Salvador, supra</w:t>
      </w:r>
      <w:r w:rsidRPr="007E666D">
        <w:rPr>
          <w:rStyle w:val="Strong"/>
          <w:rFonts w:ascii="Verdana" w:hAnsi="Verdana"/>
          <w:b w:val="0"/>
          <w:spacing w:val="-4"/>
          <w:sz w:val="16"/>
          <w:szCs w:val="16"/>
          <w:shd w:val="clear" w:color="auto" w:fill="FFFFFF"/>
          <w:lang w:val="es-PR"/>
        </w:rPr>
        <w:t>, párr. 199.</w:t>
      </w:r>
    </w:p>
  </w:footnote>
  <w:footnote w:id="347">
    <w:p w:rsidR="00D57F75" w:rsidRPr="007E666D" w:rsidRDefault="00D57F75" w:rsidP="00AB496F">
      <w:pPr>
        <w:pStyle w:val="FootnoteText"/>
        <w:tabs>
          <w:tab w:val="left" w:pos="54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Verdana"/>
          <w:bCs/>
          <w:i/>
          <w:spacing w:val="-4"/>
          <w:sz w:val="16"/>
          <w:szCs w:val="16"/>
          <w:lang w:val="es-PR"/>
        </w:rPr>
        <w:t>Cfr.</w:t>
      </w:r>
      <w:r w:rsidRPr="007E666D">
        <w:rPr>
          <w:rFonts w:ascii="Verdana" w:hAnsi="Verdana" w:cs="Verdana"/>
          <w:bCs/>
          <w:spacing w:val="-4"/>
          <w:sz w:val="16"/>
          <w:szCs w:val="16"/>
          <w:lang w:val="es-PR"/>
        </w:rPr>
        <w:t xml:space="preserve"> </w:t>
      </w:r>
      <w:r w:rsidRPr="007E666D">
        <w:rPr>
          <w:rFonts w:ascii="Verdana" w:hAnsi="Verdana" w:cs="Verdana"/>
          <w:bCs/>
          <w:i/>
          <w:spacing w:val="-4"/>
          <w:sz w:val="16"/>
          <w:szCs w:val="16"/>
          <w:lang w:val="es-PR"/>
        </w:rPr>
        <w:t>Caso González y otras (“Campo Algodonero”) Vs. México, supra</w:t>
      </w:r>
      <w:r w:rsidRPr="007E666D">
        <w:rPr>
          <w:rFonts w:ascii="Verdana" w:hAnsi="Verdana" w:cs="Verdana"/>
          <w:bCs/>
          <w:spacing w:val="-4"/>
          <w:sz w:val="16"/>
          <w:szCs w:val="16"/>
          <w:lang w:val="es-PR"/>
        </w:rPr>
        <w:t xml:space="preserve">, párr. 318, y </w:t>
      </w:r>
      <w:r w:rsidRPr="007E666D">
        <w:rPr>
          <w:rFonts w:ascii="Verdana" w:hAnsi="Verdana" w:cs="Verdana"/>
          <w:bCs/>
          <w:i/>
          <w:spacing w:val="-4"/>
          <w:sz w:val="16"/>
          <w:szCs w:val="16"/>
          <w:lang w:val="es-PR"/>
        </w:rPr>
        <w:t xml:space="preserve">Caso Nadege Dorzema y otros Vs. República Dominicana. Fondo, Reparaciones y Costas. </w:t>
      </w:r>
      <w:r w:rsidRPr="007E666D">
        <w:rPr>
          <w:rFonts w:ascii="Verdana" w:hAnsi="Verdana" w:cs="Verdana"/>
          <w:bCs/>
          <w:spacing w:val="-4"/>
          <w:sz w:val="16"/>
          <w:szCs w:val="16"/>
          <w:lang w:val="es-PR"/>
        </w:rPr>
        <w:t>Sentencia de 24 de octubre de 2012. Serie C No. 251, párr. 116.</w:t>
      </w:r>
    </w:p>
  </w:footnote>
  <w:footnote w:id="348">
    <w:p w:rsidR="00D57F75" w:rsidRPr="007E666D" w:rsidRDefault="00D57F75" w:rsidP="00AB496F">
      <w:pPr>
        <w:pStyle w:val="FootnoteText"/>
        <w:tabs>
          <w:tab w:val="left" w:pos="450"/>
        </w:tabs>
        <w:contextualSpacing/>
        <w:jc w:val="both"/>
        <w:rPr>
          <w:rFonts w:ascii="Verdana" w:eastAsia="Calibri" w:hAnsi="Verdana"/>
          <w:spacing w:val="-4"/>
          <w:sz w:val="16"/>
          <w:szCs w:val="16"/>
          <w:lang w:val="es-PR"/>
        </w:rPr>
      </w:pPr>
      <w:r w:rsidRPr="007E666D">
        <w:rPr>
          <w:rStyle w:val="FootnoteReference"/>
          <w:rFonts w:eastAsia="Calibri"/>
          <w:sz w:val="16"/>
          <w:lang w:val="es-PR"/>
        </w:rPr>
        <w:footnoteRef/>
      </w:r>
      <w:r w:rsidRPr="007E666D">
        <w:rPr>
          <w:rFonts w:ascii="Verdana" w:eastAsia="Calibri" w:hAnsi="Verdana"/>
          <w:spacing w:val="-4"/>
          <w:sz w:val="16"/>
          <w:szCs w:val="16"/>
          <w:lang w:val="es-PR"/>
        </w:rPr>
        <w:t xml:space="preserve"> </w:t>
      </w:r>
      <w:r w:rsidRPr="007E666D">
        <w:rPr>
          <w:rFonts w:ascii="Verdana" w:eastAsia="Calibri" w:hAnsi="Verdana"/>
          <w:spacing w:val="-4"/>
          <w:sz w:val="16"/>
          <w:szCs w:val="16"/>
          <w:lang w:val="es-PR"/>
        </w:rPr>
        <w:tab/>
      </w:r>
      <w:r w:rsidRPr="007E666D">
        <w:rPr>
          <w:rFonts w:ascii="Verdana" w:hAnsi="Verdana" w:cs="Verdana"/>
          <w:bCs/>
          <w:spacing w:val="-4"/>
          <w:sz w:val="16"/>
          <w:szCs w:val="16"/>
          <w:lang w:val="es-PR"/>
        </w:rPr>
        <w:t>Manual sobre la Prevención e Investigación Efectiva de Ejecuciones Extrajudiciales, Arbitrarias y Sumarias de Naciones Unidas (Protocolo de Minnesota). UN DOC E/ST/CSDHA/.12 (1991).</w:t>
      </w:r>
    </w:p>
  </w:footnote>
  <w:footnote w:id="349">
    <w:p w:rsidR="00D57F75" w:rsidRPr="007E666D" w:rsidRDefault="00D57F75" w:rsidP="00AB496F">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Verdana"/>
          <w:bCs/>
          <w:spacing w:val="-4"/>
          <w:sz w:val="16"/>
          <w:szCs w:val="16"/>
          <w:lang w:val="es-PR"/>
        </w:rPr>
        <w:t xml:space="preserve">El Comité Internacional de la Cruz Roja ha reconocido como medios científicos: a) la comparación de radiografías dentales </w:t>
      </w:r>
      <w:r w:rsidRPr="007E666D">
        <w:rPr>
          <w:rFonts w:ascii="Verdana" w:hAnsi="Verdana" w:cs="Verdana"/>
          <w:bCs/>
          <w:i/>
          <w:spacing w:val="-4"/>
          <w:sz w:val="16"/>
          <w:szCs w:val="16"/>
          <w:lang w:val="es-PR"/>
        </w:rPr>
        <w:t xml:space="preserve">post mortem </w:t>
      </w:r>
      <w:r w:rsidRPr="007E666D">
        <w:rPr>
          <w:rFonts w:ascii="Verdana" w:hAnsi="Verdana" w:cs="Verdana"/>
          <w:bCs/>
          <w:spacing w:val="-4"/>
          <w:sz w:val="16"/>
          <w:szCs w:val="16"/>
          <w:lang w:val="es-PR"/>
        </w:rPr>
        <w:t xml:space="preserve">y </w:t>
      </w:r>
      <w:r w:rsidRPr="007E666D">
        <w:rPr>
          <w:rFonts w:ascii="Verdana" w:hAnsi="Verdana" w:cs="Verdana"/>
          <w:bCs/>
          <w:i/>
          <w:spacing w:val="-4"/>
          <w:sz w:val="16"/>
          <w:szCs w:val="16"/>
          <w:lang w:val="es-PR"/>
        </w:rPr>
        <w:t>ante mortem</w:t>
      </w:r>
      <w:r w:rsidRPr="007E666D">
        <w:rPr>
          <w:rFonts w:ascii="Verdana" w:hAnsi="Verdana" w:cs="Verdana"/>
          <w:bCs/>
          <w:spacing w:val="-4"/>
          <w:sz w:val="16"/>
          <w:szCs w:val="16"/>
          <w:lang w:val="es-PR"/>
        </w:rPr>
        <w:t xml:space="preserve">; b) la comparación de huellas digitales </w:t>
      </w:r>
      <w:r w:rsidRPr="007E666D">
        <w:rPr>
          <w:rFonts w:ascii="Verdana" w:hAnsi="Verdana" w:cs="Verdana"/>
          <w:bCs/>
          <w:i/>
          <w:spacing w:val="-4"/>
          <w:sz w:val="16"/>
          <w:szCs w:val="16"/>
          <w:lang w:val="es-PR"/>
        </w:rPr>
        <w:t xml:space="preserve">post mortem </w:t>
      </w:r>
      <w:r w:rsidRPr="007E666D">
        <w:rPr>
          <w:rFonts w:ascii="Verdana" w:hAnsi="Verdana" w:cs="Verdana"/>
          <w:bCs/>
          <w:spacing w:val="-4"/>
          <w:sz w:val="16"/>
          <w:szCs w:val="16"/>
          <w:lang w:val="es-PR"/>
        </w:rPr>
        <w:t xml:space="preserve">y </w:t>
      </w:r>
      <w:r w:rsidRPr="007E666D">
        <w:rPr>
          <w:rFonts w:ascii="Verdana" w:hAnsi="Verdana" w:cs="Verdana"/>
          <w:bCs/>
          <w:i/>
          <w:spacing w:val="-4"/>
          <w:sz w:val="16"/>
          <w:szCs w:val="16"/>
          <w:lang w:val="es-PR"/>
        </w:rPr>
        <w:t>ante mortem</w:t>
      </w:r>
      <w:r w:rsidRPr="007E666D">
        <w:rPr>
          <w:rFonts w:ascii="Verdana" w:hAnsi="Verdana" w:cs="Verdana"/>
          <w:bCs/>
          <w:spacing w:val="-4"/>
          <w:sz w:val="16"/>
          <w:szCs w:val="16"/>
          <w:lang w:val="es-PR"/>
        </w:rPr>
        <w:t xml:space="preserve">; c) la comparación de muestras de ADN de los restos humanos con muestras de referencia, y d) la comparación de otros identificadores únicos, como rasgos físicos o médicos, con inclusión de radiografías del esqueleto y de prótesis quirúrgicas o implantes numerados. Asimismo, ha indicado que cada uno de dichos medios “que integran el proceso de recolección de datos </w:t>
      </w:r>
      <w:r w:rsidRPr="007E666D">
        <w:rPr>
          <w:rFonts w:ascii="Verdana" w:hAnsi="Verdana" w:cs="Verdana"/>
          <w:bCs/>
          <w:i/>
          <w:spacing w:val="-4"/>
          <w:sz w:val="16"/>
          <w:szCs w:val="16"/>
          <w:lang w:val="es-PR"/>
        </w:rPr>
        <w:t xml:space="preserve">ante mortem </w:t>
      </w:r>
      <w:r w:rsidRPr="007E666D">
        <w:rPr>
          <w:rFonts w:ascii="Verdana" w:hAnsi="Verdana" w:cs="Verdana"/>
          <w:bCs/>
          <w:spacing w:val="-4"/>
          <w:sz w:val="16"/>
          <w:szCs w:val="16"/>
          <w:lang w:val="es-PR"/>
        </w:rPr>
        <w:t>y</w:t>
      </w:r>
      <w:r w:rsidRPr="007E666D">
        <w:rPr>
          <w:rFonts w:ascii="Verdana" w:hAnsi="Verdana" w:cs="Verdana"/>
          <w:bCs/>
          <w:i/>
          <w:spacing w:val="-4"/>
          <w:sz w:val="16"/>
          <w:szCs w:val="16"/>
          <w:lang w:val="es-PR"/>
        </w:rPr>
        <w:t xml:space="preserve"> post mortem</w:t>
      </w:r>
      <w:r w:rsidRPr="007E666D">
        <w:rPr>
          <w:rFonts w:ascii="Verdana" w:hAnsi="Verdana" w:cs="Verdana"/>
          <w:bCs/>
          <w:spacing w:val="-4"/>
          <w:sz w:val="16"/>
          <w:szCs w:val="16"/>
          <w:lang w:val="es-PR"/>
        </w:rPr>
        <w:t xml:space="preserve">, permite efectuar una identificación con alto nivel de certidumbre, la cual, en la mayoría de los contextos jurídicos, se consideraría una identificación fuera de toda duda razonable”.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cs="Verdana"/>
          <w:bCs/>
          <w:spacing w:val="-4"/>
          <w:sz w:val="16"/>
          <w:szCs w:val="16"/>
          <w:lang w:val="es-PR"/>
        </w:rPr>
        <w:t xml:space="preserve">CICR. Personas Desaparecidas, análisis forense de ADN e identificación de restos humanos: Guía sobre prácticas idóneas en caso de conflicto armado y de otras situaciones de violencia armada. 2009, p. 12. Disponible en: http://www.icrc.org/spa/assets/files/other/icrc_003_4010.pdf </w:t>
      </w:r>
    </w:p>
  </w:footnote>
  <w:footnote w:id="350">
    <w:p w:rsidR="00D57F75" w:rsidRPr="007E666D" w:rsidRDefault="00D57F75" w:rsidP="00AB496F">
      <w:pPr>
        <w:pStyle w:val="FootnoteText"/>
        <w:tabs>
          <w:tab w:val="left" w:pos="720"/>
        </w:tabs>
        <w:contextualSpacing/>
        <w:jc w:val="both"/>
        <w:rPr>
          <w:rFonts w:ascii="Verdana" w:hAnsi="Verdana"/>
          <w:bCs/>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bCs/>
          <w:spacing w:val="-4"/>
          <w:sz w:val="16"/>
          <w:szCs w:val="16"/>
          <w:lang w:val="es-PR"/>
        </w:rPr>
        <w:t>CICR. Personas Desaparecidas, análisis forense de ADN e identificación de restos humanos: Guía sobre prácticas idóneas en caso de conflicto armado y de otras situaciones de violencia armada. 2009, p. 10.</w:t>
      </w:r>
    </w:p>
  </w:footnote>
  <w:footnote w:id="351">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Style w:val="Strong"/>
          <w:rFonts w:ascii="Verdana" w:hAnsi="Verdana"/>
          <w:b w:val="0"/>
          <w:i/>
          <w:spacing w:val="-4"/>
          <w:sz w:val="16"/>
          <w:szCs w:val="16"/>
          <w:shd w:val="clear" w:color="auto" w:fill="FFFFFF"/>
          <w:lang w:val="es-PR"/>
        </w:rPr>
        <w:t>Caso Gómez Palomino Vs. Perú. Supervisión de Cumplimiento de Sentencia</w:t>
      </w:r>
      <w:r w:rsidRPr="007E666D">
        <w:rPr>
          <w:rStyle w:val="Strong"/>
          <w:rFonts w:ascii="Verdana" w:hAnsi="Verdana"/>
          <w:b w:val="0"/>
          <w:spacing w:val="-4"/>
          <w:sz w:val="16"/>
          <w:szCs w:val="16"/>
          <w:shd w:val="clear" w:color="auto" w:fill="FFFFFF"/>
          <w:lang w:val="es-PR"/>
        </w:rPr>
        <w:t>. Resolución de la Corte Interamericana de Derechos Humanos 13 de febrero de 2013, considerando duodécimo.</w:t>
      </w:r>
    </w:p>
  </w:footnote>
  <w:footnote w:id="352">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 Mutatis mutandi, Caso De la Masacre de las Dos Erres Vs. Guatemala, supra</w:t>
      </w:r>
      <w:r w:rsidRPr="007E666D">
        <w:rPr>
          <w:rFonts w:ascii="Verdana" w:hAnsi="Verdana"/>
          <w:spacing w:val="-4"/>
          <w:sz w:val="16"/>
          <w:szCs w:val="16"/>
          <w:lang w:val="es-PR"/>
        </w:rPr>
        <w:t xml:space="preserve">, párr. 249, y </w:t>
      </w:r>
      <w:r w:rsidRPr="007E666D">
        <w:rPr>
          <w:rFonts w:ascii="Verdana" w:hAnsi="Verdana" w:cs="Verdana"/>
          <w:i/>
          <w:spacing w:val="-4"/>
          <w:sz w:val="16"/>
          <w:szCs w:val="16"/>
          <w:lang w:val="es-PR"/>
        </w:rPr>
        <w:t xml:space="preserve">Caso Masacres de El Mozote y lugares aledaños Vs. El Salvador. </w:t>
      </w:r>
      <w:r w:rsidRPr="007E666D">
        <w:rPr>
          <w:rStyle w:val="Strong"/>
          <w:rFonts w:ascii="Verdana" w:hAnsi="Verdana"/>
          <w:b w:val="0"/>
          <w:color w:val="000000"/>
          <w:sz w:val="16"/>
          <w:szCs w:val="16"/>
          <w:shd w:val="clear" w:color="auto" w:fill="FFFFFF"/>
          <w:lang w:val="es-PR"/>
        </w:rPr>
        <w:t>Fondo, Reparaciones y Costas. Sentencia de 25 de octubre de 2012 Serie C No. 252</w:t>
      </w:r>
      <w:r w:rsidRPr="007E666D">
        <w:rPr>
          <w:rFonts w:ascii="Verdana" w:hAnsi="Verdana"/>
          <w:spacing w:val="-4"/>
          <w:sz w:val="16"/>
          <w:szCs w:val="16"/>
          <w:lang w:val="es-PR"/>
        </w:rPr>
        <w:t>, párr. 334.</w:t>
      </w:r>
    </w:p>
  </w:footnote>
  <w:footnote w:id="353">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Ticona Estrada y otros Vs. Bolivia</w:t>
      </w:r>
      <w:r w:rsidRPr="007E666D">
        <w:rPr>
          <w:rFonts w:ascii="Verdana" w:hAnsi="Verdana"/>
          <w:spacing w:val="-4"/>
          <w:sz w:val="16"/>
          <w:szCs w:val="16"/>
          <w:lang w:val="es-PR"/>
        </w:rPr>
        <w:t xml:space="preserve">. </w:t>
      </w:r>
      <w:r w:rsidRPr="007E666D">
        <w:rPr>
          <w:rFonts w:ascii="Verdana" w:hAnsi="Verdana"/>
          <w:i/>
          <w:spacing w:val="-4"/>
          <w:sz w:val="16"/>
          <w:szCs w:val="16"/>
          <w:lang w:val="es-PR"/>
        </w:rPr>
        <w:t xml:space="preserve">Interpretación de la Sentencia de Fondo, Reparaciones y Costas. </w:t>
      </w:r>
      <w:r w:rsidRPr="007E666D">
        <w:rPr>
          <w:rFonts w:ascii="Verdana" w:hAnsi="Verdana"/>
          <w:spacing w:val="-4"/>
          <w:sz w:val="16"/>
          <w:szCs w:val="16"/>
          <w:lang w:val="es-PR"/>
        </w:rPr>
        <w:t xml:space="preserve">Sentencia de 1 de julio de 2009. Serie C No. 199, párr. 26, y </w:t>
      </w:r>
      <w:r w:rsidRPr="007E666D">
        <w:rPr>
          <w:rFonts w:ascii="Verdana" w:hAnsi="Verdana" w:cs="Verdana"/>
          <w:i/>
          <w:spacing w:val="-4"/>
          <w:sz w:val="16"/>
          <w:szCs w:val="16"/>
          <w:lang w:val="es-PR"/>
        </w:rPr>
        <w:t xml:space="preserve">Caso Masacres de El Mozote y lugares aledaños Vs. El Salvador. Interpretación de la Sentencia de Fondo, Reparaciones y Costas. </w:t>
      </w:r>
      <w:r w:rsidRPr="007E666D">
        <w:rPr>
          <w:rFonts w:ascii="Verdana" w:hAnsi="Verdana" w:cs="Verdana"/>
          <w:spacing w:val="-4"/>
          <w:sz w:val="16"/>
          <w:szCs w:val="16"/>
          <w:lang w:val="es-PR"/>
        </w:rPr>
        <w:t>Sentencia de 19 de agosto de 2013. Serie C No. 264</w:t>
      </w:r>
      <w:r w:rsidRPr="007E666D">
        <w:rPr>
          <w:rFonts w:ascii="Verdana" w:hAnsi="Verdana"/>
          <w:spacing w:val="-4"/>
          <w:sz w:val="16"/>
          <w:szCs w:val="16"/>
          <w:lang w:val="es-PR"/>
        </w:rPr>
        <w:t>, párr. 38.</w:t>
      </w:r>
    </w:p>
  </w:footnote>
  <w:footnote w:id="354">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Escrito del Secretario Ejecutivo de la Comisión Multisectorial de Alto Nivel encargada de las Acciones y Políticas del Estado en los Ámbitos de la Paz, la Reparación Colectiva y la Reconciliación Nacional (expediente de prueba, folios 4714 y 4715).</w:t>
      </w:r>
    </w:p>
  </w:footnote>
  <w:footnote w:id="355">
    <w:p w:rsidR="00D57F75" w:rsidRPr="007E666D" w:rsidRDefault="00D57F75" w:rsidP="00AB496F">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w:t>
      </w:r>
      <w:r w:rsidRPr="007E666D">
        <w:rPr>
          <w:rFonts w:ascii="Verdana" w:hAnsi="Verdana"/>
          <w:spacing w:val="-4"/>
          <w:sz w:val="16"/>
          <w:szCs w:val="16"/>
          <w:lang w:val="es-PR"/>
        </w:rPr>
        <w:t>Peritaje psicológico rendido ante fedatario público (affidávit) el 12 de enero de 2015 por Miryam Rivera Holguín</w:t>
      </w:r>
      <w:r w:rsidRPr="007E666D">
        <w:rPr>
          <w:rFonts w:ascii="Verdana" w:hAnsi="Verdana"/>
          <w:i/>
          <w:spacing w:val="-4"/>
          <w:sz w:val="16"/>
          <w:szCs w:val="16"/>
          <w:lang w:val="es-PR"/>
        </w:rPr>
        <w:t xml:space="preserve"> </w:t>
      </w:r>
      <w:r w:rsidRPr="007E666D">
        <w:rPr>
          <w:rFonts w:ascii="Verdana" w:hAnsi="Verdana"/>
          <w:spacing w:val="-4"/>
          <w:sz w:val="16"/>
          <w:szCs w:val="16"/>
          <w:lang w:val="es-PR"/>
        </w:rPr>
        <w:t xml:space="preserve">(expediente de prueba, folio 5304). </w:t>
      </w:r>
    </w:p>
  </w:footnote>
  <w:footnote w:id="356">
    <w:p w:rsidR="00D57F75" w:rsidRPr="007E666D" w:rsidRDefault="00D57F75" w:rsidP="00AB496F">
      <w:pPr>
        <w:pStyle w:val="FootnoteText"/>
        <w:tabs>
          <w:tab w:val="left" w:pos="36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 xml:space="preserve">Al respecto, el Estado aportó prueba en la que consta que </w:t>
      </w:r>
      <w:r w:rsidRPr="007E666D">
        <w:rPr>
          <w:rFonts w:ascii="Verdana" w:hAnsi="Verdana" w:cs="Arial"/>
          <w:spacing w:val="-4"/>
          <w:sz w:val="16"/>
          <w:szCs w:val="16"/>
          <w:lang w:val="es-PR"/>
        </w:rPr>
        <w:t>Zósimo Hilario Quispe</w:t>
      </w:r>
      <w:r w:rsidRPr="007E666D">
        <w:rPr>
          <w:rFonts w:ascii="Verdana" w:hAnsi="Verdana"/>
          <w:spacing w:val="-4"/>
          <w:sz w:val="16"/>
          <w:szCs w:val="16"/>
          <w:lang w:val="es-PR"/>
        </w:rPr>
        <w:t xml:space="preserve">, Víctor Carhuapoma de la Cruz </w:t>
      </w:r>
      <w:r w:rsidRPr="007E666D">
        <w:rPr>
          <w:rFonts w:ascii="Verdana" w:hAnsi="Verdana" w:cs="Arial"/>
          <w:spacing w:val="-4"/>
          <w:sz w:val="16"/>
          <w:szCs w:val="16"/>
          <w:lang w:val="es-PR"/>
        </w:rPr>
        <w:t xml:space="preserve">y Abilio Hilario Quispe habían sido afiliados al Sistema Integral de Salud (SIS) por estar inscritos en el Registro Único de Víctimas (RUV). Los señores </w:t>
      </w:r>
      <w:r w:rsidRPr="007E666D">
        <w:rPr>
          <w:rFonts w:ascii="Verdana" w:hAnsi="Verdana"/>
          <w:spacing w:val="-4"/>
          <w:sz w:val="16"/>
          <w:szCs w:val="16"/>
          <w:lang w:val="es-PR"/>
        </w:rPr>
        <w:t xml:space="preserve">Gregorio Hilario Quispe, Zenón Cirilo Osnayo Tunque y Marcelo Hilario Quispe eran beneficiarios del SIS pero los dos primeros tenían su inscripción en el RUV suspendida y el último tenía pendiente dicha inscripción. </w:t>
      </w:r>
      <w:r w:rsidRPr="007E666D">
        <w:rPr>
          <w:rFonts w:ascii="Verdana" w:hAnsi="Verdana" w:cs="Arial"/>
          <w:spacing w:val="-4"/>
          <w:sz w:val="16"/>
          <w:szCs w:val="16"/>
          <w:lang w:val="es-PR"/>
        </w:rPr>
        <w:t xml:space="preserve">Marino Huamaní Vergara no era beneficiario del SIS ni se encontraba inscrito en el RUV.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Certificados de Acreditación del Consejo de Reparaciones, Registro Único de Víctimas de 8 de septiembre de 2008 (expediente de prueba, folios 3869 a 3875 y 3877), y Escrito del Secretario Ejecutivo de la Comisión Multisectorial de Alto Nivel encargada de las Acciones y Políticas del Estado en los Ámbitos de la Paz, la Reparación Colectiva y la Reconciliación Nacional (expediente de prueba, folios 4714 y 4715).</w:t>
      </w:r>
    </w:p>
  </w:footnote>
  <w:footnote w:id="357">
    <w:p w:rsidR="00D57F75" w:rsidRPr="007E666D" w:rsidRDefault="00D57F75" w:rsidP="00AB496F">
      <w:pPr>
        <w:pStyle w:val="FootnoteText"/>
        <w:tabs>
          <w:tab w:val="left" w:pos="36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i/>
          <w:spacing w:val="-4"/>
          <w:sz w:val="16"/>
          <w:szCs w:val="16"/>
          <w:lang w:val="es-PR"/>
        </w:rPr>
        <w:t>Caso Espinoza Gonzáles Vs. Perú. Excepciones Preliminares, Fondo, Reparaciones y Costas</w:t>
      </w:r>
      <w:r w:rsidRPr="007E666D">
        <w:rPr>
          <w:rFonts w:ascii="Verdana" w:hAnsi="Verdana"/>
          <w:spacing w:val="-4"/>
          <w:sz w:val="16"/>
          <w:szCs w:val="16"/>
          <w:lang w:val="es-PR"/>
        </w:rPr>
        <w:t>. Sentencia de 20 de noviembre de 2014. párr. 313</w:t>
      </w:r>
    </w:p>
  </w:footnote>
  <w:footnote w:id="358">
    <w:p w:rsidR="00D57F75" w:rsidRPr="007E666D" w:rsidRDefault="00D57F75" w:rsidP="00AB496F">
      <w:pPr>
        <w:pStyle w:val="FootnoteText"/>
        <w:tabs>
          <w:tab w:val="left" w:pos="360"/>
          <w:tab w:val="left" w:pos="810"/>
        </w:tabs>
        <w:contextualSpacing/>
        <w:jc w:val="both"/>
        <w:rPr>
          <w:rFonts w:ascii="Verdana" w:hAnsi="Verdana" w:cs="Verdana"/>
          <w:bCs/>
          <w:spacing w:val="-4"/>
          <w:sz w:val="16"/>
          <w:szCs w:val="16"/>
          <w:lang w:val="es-PR"/>
        </w:rPr>
      </w:pPr>
      <w:r w:rsidRPr="007E666D">
        <w:rPr>
          <w:rStyle w:val="FootnoteReference"/>
          <w:rFonts w:eastAsiaTheme="minorHAnsi"/>
          <w:sz w:val="16"/>
          <w:lang w:val="es-PR"/>
        </w:rPr>
        <w:footnoteRef/>
      </w:r>
      <w:r w:rsidRPr="007E666D">
        <w:rPr>
          <w:rFonts w:ascii="Verdana" w:hAnsi="Verdana" w:cs="Verdana"/>
          <w:bCs/>
          <w:spacing w:val="-4"/>
          <w:sz w:val="16"/>
          <w:szCs w:val="16"/>
          <w:lang w:val="es-PR"/>
        </w:rPr>
        <w:tab/>
      </w:r>
      <w:r w:rsidRPr="007E666D">
        <w:rPr>
          <w:rFonts w:ascii="Verdana" w:hAnsi="Verdana"/>
          <w:i/>
          <w:iCs/>
          <w:spacing w:val="-4"/>
          <w:sz w:val="16"/>
          <w:szCs w:val="16"/>
          <w:lang w:val="es-PR"/>
        </w:rPr>
        <w:t>Cfr. Caso Barrios Altos Vs. Perú. Reparaciones y Costas, supra</w:t>
      </w:r>
      <w:r w:rsidRPr="007E666D">
        <w:rPr>
          <w:rFonts w:ascii="Verdana" w:hAnsi="Verdana"/>
          <w:spacing w:val="-4"/>
          <w:sz w:val="16"/>
          <w:szCs w:val="16"/>
          <w:lang w:val="es-PR"/>
        </w:rPr>
        <w:t xml:space="preserve">, párrs. 42 y 45, y </w:t>
      </w:r>
      <w:r w:rsidRPr="007E666D">
        <w:rPr>
          <w:rFonts w:ascii="Verdana" w:hAnsi="Verdana"/>
          <w:bCs/>
          <w:i/>
          <w:spacing w:val="-4"/>
          <w:sz w:val="16"/>
          <w:szCs w:val="16"/>
          <w:lang w:val="es-PR"/>
        </w:rPr>
        <w:t>Caso</w:t>
      </w:r>
      <w:r w:rsidRPr="007E666D">
        <w:rPr>
          <w:rFonts w:ascii="Verdana" w:hAnsi="Verdana"/>
          <w:bCs/>
          <w:spacing w:val="-4"/>
          <w:sz w:val="16"/>
          <w:szCs w:val="16"/>
          <w:lang w:val="es-PR"/>
        </w:rPr>
        <w:t xml:space="preserve"> </w:t>
      </w:r>
      <w:r w:rsidRPr="007E666D">
        <w:rPr>
          <w:rFonts w:ascii="Verdana" w:hAnsi="Verdana"/>
          <w:bCs/>
          <w:i/>
          <w:spacing w:val="-4"/>
          <w:sz w:val="16"/>
          <w:szCs w:val="16"/>
          <w:lang w:val="es-PR"/>
        </w:rPr>
        <w:t>Rochac Hernández y otros Vs. El Salvador</w:t>
      </w:r>
      <w:r w:rsidRPr="007E666D">
        <w:rPr>
          <w:rFonts w:ascii="Verdana" w:hAnsi="Verdana"/>
          <w:i/>
          <w:spacing w:val="-4"/>
          <w:sz w:val="16"/>
          <w:szCs w:val="16"/>
          <w:lang w:val="es-PR"/>
        </w:rPr>
        <w:t>, supra,</w:t>
      </w:r>
      <w:r w:rsidRPr="007E666D">
        <w:rPr>
          <w:rFonts w:ascii="Verdana" w:hAnsi="Verdana"/>
          <w:bCs/>
          <w:spacing w:val="-4"/>
          <w:sz w:val="16"/>
          <w:szCs w:val="16"/>
          <w:lang w:val="es-PR"/>
        </w:rPr>
        <w:t xml:space="preserve"> párr. 219.</w:t>
      </w:r>
    </w:p>
  </w:footnote>
  <w:footnote w:id="359">
    <w:p w:rsidR="00D57F75" w:rsidRPr="007E666D" w:rsidRDefault="00D57F75" w:rsidP="00AB496F">
      <w:pPr>
        <w:pStyle w:val="FootnoteText"/>
        <w:tabs>
          <w:tab w:val="left" w:pos="36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 Caso Heliodoro Portugal Vs. Panamá</w:t>
      </w:r>
      <w:r w:rsidRPr="007E666D">
        <w:rPr>
          <w:rFonts w:ascii="Verdana" w:hAnsi="Verdana"/>
          <w:spacing w:val="-4"/>
          <w:sz w:val="16"/>
          <w:szCs w:val="16"/>
          <w:lang w:val="es-PR"/>
        </w:rPr>
        <w:t>.</w:t>
      </w:r>
      <w:r w:rsidRPr="007E666D">
        <w:rPr>
          <w:rFonts w:ascii="Verdana" w:hAnsi="Verdana" w:cs="Verdana"/>
          <w:bCs/>
          <w:i/>
          <w:spacing w:val="-4"/>
          <w:sz w:val="16"/>
          <w:szCs w:val="16"/>
          <w:lang w:val="es-PR"/>
        </w:rPr>
        <w:t xml:space="preserve"> Supervisión de Cumplimiento de Sentencia.</w:t>
      </w:r>
      <w:r w:rsidRPr="007E666D">
        <w:rPr>
          <w:rFonts w:ascii="Verdana" w:hAnsi="Verdana" w:cs="Verdana"/>
          <w:bCs/>
          <w:spacing w:val="-4"/>
          <w:sz w:val="16"/>
          <w:szCs w:val="16"/>
          <w:lang w:val="es-PR"/>
        </w:rPr>
        <w:t xml:space="preserve"> Resolución emitida por la Corte Interamericana el 28 de mayo de 2010, Considerando 28, y </w:t>
      </w:r>
      <w:r w:rsidRPr="007E666D">
        <w:rPr>
          <w:rFonts w:ascii="Verdana" w:hAnsi="Verdana" w:cs="Verdana"/>
          <w:bCs/>
          <w:i/>
          <w:spacing w:val="-4"/>
          <w:sz w:val="16"/>
          <w:szCs w:val="16"/>
          <w:lang w:val="es-PR"/>
        </w:rPr>
        <w:t>Caso Osorio Rivera y familiares Vs. Perú, supra</w:t>
      </w:r>
      <w:r w:rsidRPr="007E666D">
        <w:rPr>
          <w:rFonts w:ascii="Verdana" w:hAnsi="Verdana" w:cs="Verdana"/>
          <w:bCs/>
          <w:spacing w:val="-4"/>
          <w:sz w:val="16"/>
          <w:szCs w:val="16"/>
          <w:lang w:val="es-PR"/>
        </w:rPr>
        <w:t>, párr. 256.</w:t>
      </w:r>
    </w:p>
  </w:footnote>
  <w:footnote w:id="360">
    <w:p w:rsidR="00D57F75" w:rsidRPr="007E666D" w:rsidRDefault="00D57F75" w:rsidP="00AB496F">
      <w:pPr>
        <w:pStyle w:val="FootnoteText"/>
        <w:tabs>
          <w:tab w:val="left" w:pos="36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bCs/>
          <w:i/>
          <w:spacing w:val="-4"/>
          <w:sz w:val="16"/>
          <w:szCs w:val="16"/>
          <w:lang w:val="es-PR"/>
        </w:rPr>
        <w:t>Caso Masacre de las Dos Erres Vs. Guatemala, supra</w:t>
      </w:r>
      <w:r w:rsidRPr="007E666D">
        <w:rPr>
          <w:rFonts w:ascii="Verdana" w:hAnsi="Verdana"/>
          <w:spacing w:val="-4"/>
          <w:sz w:val="16"/>
          <w:szCs w:val="16"/>
          <w:lang w:val="es-PR"/>
        </w:rPr>
        <w:t>, párr. 270,</w:t>
      </w:r>
      <w:r w:rsidRPr="007E666D">
        <w:rPr>
          <w:rFonts w:ascii="Verdana" w:hAnsi="Verdana" w:cs="Verdana"/>
          <w:bCs/>
          <w:spacing w:val="-4"/>
          <w:sz w:val="16"/>
          <w:szCs w:val="16"/>
          <w:lang w:val="es-PR"/>
        </w:rPr>
        <w:t xml:space="preserve"> y </w:t>
      </w:r>
      <w:r w:rsidRPr="007E666D">
        <w:rPr>
          <w:rFonts w:ascii="Verdana" w:hAnsi="Verdana" w:cs="Verdana"/>
          <w:bCs/>
          <w:i/>
          <w:spacing w:val="-4"/>
          <w:sz w:val="16"/>
          <w:szCs w:val="16"/>
          <w:lang w:val="es-PR"/>
        </w:rPr>
        <w:t>Caso</w:t>
      </w:r>
      <w:r w:rsidRPr="007E666D">
        <w:rPr>
          <w:rFonts w:ascii="Verdana" w:hAnsi="Verdana" w:cs="Verdana"/>
          <w:bCs/>
          <w:spacing w:val="-4"/>
          <w:sz w:val="16"/>
          <w:szCs w:val="16"/>
          <w:lang w:val="es-PR"/>
        </w:rPr>
        <w:t xml:space="preserve"> </w:t>
      </w:r>
      <w:r w:rsidRPr="007E666D">
        <w:rPr>
          <w:rFonts w:ascii="Verdana" w:hAnsi="Verdana" w:cs="Verdana"/>
          <w:bCs/>
          <w:i/>
          <w:spacing w:val="-4"/>
          <w:sz w:val="16"/>
          <w:szCs w:val="16"/>
          <w:lang w:val="es-PR"/>
        </w:rPr>
        <w:t>Osorio Rivera y familiares Vs. Perú, supra</w:t>
      </w:r>
      <w:r w:rsidRPr="007E666D">
        <w:rPr>
          <w:rFonts w:ascii="Verdana" w:hAnsi="Verdana" w:cs="Verdana"/>
          <w:bCs/>
          <w:spacing w:val="-4"/>
          <w:sz w:val="16"/>
          <w:szCs w:val="16"/>
          <w:lang w:val="es-PR"/>
        </w:rPr>
        <w:t>, párr. 256</w:t>
      </w:r>
      <w:r w:rsidRPr="007E666D">
        <w:rPr>
          <w:rFonts w:ascii="Verdana" w:hAnsi="Verdana"/>
          <w:spacing w:val="-4"/>
          <w:sz w:val="16"/>
          <w:szCs w:val="16"/>
          <w:lang w:val="es-PR"/>
        </w:rPr>
        <w:t>.</w:t>
      </w:r>
    </w:p>
  </w:footnote>
  <w:footnote w:id="361">
    <w:p w:rsidR="00D57F75" w:rsidRPr="007E666D" w:rsidRDefault="00D57F75" w:rsidP="00AB496F">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cs="Verdana"/>
          <w:bCs/>
          <w:spacing w:val="-4"/>
          <w:sz w:val="16"/>
          <w:szCs w:val="16"/>
          <w:lang w:val="es-PR"/>
        </w:rPr>
        <w:tab/>
      </w:r>
      <w:r w:rsidRPr="007E666D">
        <w:rPr>
          <w:rFonts w:ascii="Verdana" w:hAnsi="Verdana"/>
          <w:i/>
          <w:iCs/>
          <w:spacing w:val="-4"/>
          <w:sz w:val="16"/>
          <w:szCs w:val="16"/>
          <w:lang w:val="es-PR"/>
        </w:rPr>
        <w:t xml:space="preserve">Cfr. </w:t>
      </w:r>
      <w:r w:rsidRPr="007E666D">
        <w:rPr>
          <w:rFonts w:ascii="Verdana" w:hAnsi="Verdana"/>
          <w:bCs/>
          <w:i/>
          <w:spacing w:val="-4"/>
          <w:sz w:val="16"/>
          <w:szCs w:val="16"/>
          <w:lang w:val="es-PR"/>
        </w:rPr>
        <w:t>Caso Masacre de las Dos Erres Vs. Guatemala, supra</w:t>
      </w:r>
      <w:r w:rsidRPr="007E666D">
        <w:rPr>
          <w:rFonts w:ascii="Verdana" w:hAnsi="Verdana"/>
          <w:spacing w:val="-4"/>
          <w:sz w:val="16"/>
          <w:szCs w:val="16"/>
          <w:lang w:val="es-PR"/>
        </w:rPr>
        <w:t>, párr. 270,</w:t>
      </w:r>
      <w:r w:rsidRPr="007E666D">
        <w:rPr>
          <w:rFonts w:ascii="Verdana" w:hAnsi="Verdana" w:cs="Verdana"/>
          <w:bCs/>
          <w:spacing w:val="-4"/>
          <w:sz w:val="16"/>
          <w:szCs w:val="16"/>
          <w:lang w:val="es-PR"/>
        </w:rPr>
        <w:t xml:space="preserve"> y </w:t>
      </w:r>
      <w:r w:rsidRPr="007E666D">
        <w:rPr>
          <w:rFonts w:ascii="Verdana" w:hAnsi="Verdana" w:cs="Verdana"/>
          <w:bCs/>
          <w:i/>
          <w:spacing w:val="-4"/>
          <w:sz w:val="16"/>
          <w:szCs w:val="16"/>
          <w:lang w:val="es-PR"/>
        </w:rPr>
        <w:t>Caso Osorio Rivera y familiares Vs. Perú, supra</w:t>
      </w:r>
      <w:r w:rsidRPr="007E666D">
        <w:rPr>
          <w:rFonts w:ascii="Verdana" w:hAnsi="Verdana" w:cs="Verdana"/>
          <w:bCs/>
          <w:spacing w:val="-4"/>
          <w:sz w:val="16"/>
          <w:szCs w:val="16"/>
          <w:lang w:val="es-PR"/>
        </w:rPr>
        <w:t>, párr. 256</w:t>
      </w:r>
      <w:r w:rsidRPr="007E666D">
        <w:rPr>
          <w:rFonts w:ascii="Verdana" w:hAnsi="Verdana"/>
          <w:spacing w:val="-4"/>
          <w:sz w:val="16"/>
          <w:szCs w:val="16"/>
          <w:lang w:val="es-PR"/>
        </w:rPr>
        <w:t>.</w:t>
      </w:r>
    </w:p>
  </w:footnote>
  <w:footnote w:id="362">
    <w:p w:rsidR="00D57F75" w:rsidRPr="007E666D" w:rsidRDefault="00D57F75" w:rsidP="00AB496F">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Caso Rosendo Cantú y Otra Vs. México, supra</w:t>
      </w:r>
      <w:r w:rsidRPr="007E666D">
        <w:rPr>
          <w:rFonts w:ascii="Verdana" w:hAnsi="Verdana"/>
          <w:spacing w:val="-4"/>
          <w:sz w:val="16"/>
          <w:szCs w:val="16"/>
          <w:lang w:val="es-PR"/>
        </w:rPr>
        <w:t xml:space="preserve">, párr. 253, </w:t>
      </w:r>
      <w:r w:rsidRPr="007E666D">
        <w:rPr>
          <w:rFonts w:ascii="Verdana" w:hAnsi="Verdana" w:cs="Verdana"/>
          <w:bCs/>
          <w:spacing w:val="-4"/>
          <w:sz w:val="16"/>
          <w:szCs w:val="16"/>
          <w:lang w:val="es-PR"/>
        </w:rPr>
        <w:t xml:space="preserve">y </w:t>
      </w:r>
      <w:r w:rsidRPr="007E666D">
        <w:rPr>
          <w:rFonts w:ascii="Verdana" w:hAnsi="Verdana" w:cs="Verdana"/>
          <w:bCs/>
          <w:i/>
          <w:spacing w:val="-4"/>
          <w:sz w:val="16"/>
          <w:szCs w:val="16"/>
          <w:lang w:val="es-PR"/>
        </w:rPr>
        <w:t>Osorio Rivera y familiares Vs. Perú, supra</w:t>
      </w:r>
      <w:r w:rsidRPr="007E666D">
        <w:rPr>
          <w:rFonts w:ascii="Verdana" w:hAnsi="Verdana" w:cs="Verdana"/>
          <w:bCs/>
          <w:spacing w:val="-4"/>
          <w:sz w:val="16"/>
          <w:szCs w:val="16"/>
          <w:lang w:val="es-PR"/>
        </w:rPr>
        <w:t>, párr. 256</w:t>
      </w:r>
      <w:r w:rsidRPr="007E666D">
        <w:rPr>
          <w:rFonts w:ascii="Verdana" w:hAnsi="Verdana"/>
          <w:spacing w:val="-4"/>
          <w:sz w:val="16"/>
          <w:szCs w:val="16"/>
          <w:lang w:val="es-PR"/>
        </w:rPr>
        <w:t>.</w:t>
      </w:r>
    </w:p>
  </w:footnote>
  <w:footnote w:id="363">
    <w:p w:rsidR="00D57F75" w:rsidRPr="007E666D" w:rsidRDefault="00D57F75" w:rsidP="00AB496F">
      <w:pPr>
        <w:pStyle w:val="Estilo1"/>
        <w:tabs>
          <w:tab w:val="clear" w:pos="567"/>
          <w:tab w:val="left" w:pos="720"/>
        </w:tabs>
        <w:contextualSpacing/>
        <w:rPr>
          <w:spacing w:val="-4"/>
          <w:sz w:val="16"/>
          <w:szCs w:val="16"/>
          <w:lang w:val="es-PR"/>
        </w:rPr>
      </w:pPr>
      <w:r w:rsidRPr="007E666D">
        <w:rPr>
          <w:rStyle w:val="FootnoteReference"/>
          <w:rFonts w:eastAsiaTheme="minorHAnsi"/>
          <w:sz w:val="16"/>
          <w:lang w:val="es-PR"/>
        </w:rPr>
        <w:footnoteRef/>
      </w:r>
      <w:r w:rsidRPr="007E666D">
        <w:rPr>
          <w:spacing w:val="-4"/>
          <w:sz w:val="16"/>
          <w:szCs w:val="16"/>
          <w:lang w:val="es-PR"/>
        </w:rPr>
        <w:t xml:space="preserve"> </w:t>
      </w:r>
      <w:r w:rsidRPr="007E666D">
        <w:rPr>
          <w:spacing w:val="-4"/>
          <w:sz w:val="16"/>
          <w:szCs w:val="16"/>
          <w:lang w:val="es-PR"/>
        </w:rPr>
        <w:tab/>
      </w:r>
      <w:r w:rsidRPr="007E666D">
        <w:rPr>
          <w:i/>
          <w:spacing w:val="-4"/>
          <w:sz w:val="16"/>
          <w:szCs w:val="16"/>
          <w:lang w:val="es-PR"/>
        </w:rPr>
        <w:t xml:space="preserve">Cfr. </w:t>
      </w:r>
      <w:r w:rsidRPr="007E666D">
        <w:rPr>
          <w:rStyle w:val="Strong"/>
          <w:i/>
          <w:color w:val="000000"/>
          <w:spacing w:val="-4"/>
          <w:sz w:val="16"/>
          <w:szCs w:val="16"/>
          <w:shd w:val="clear" w:color="auto" w:fill="FFFFFF"/>
          <w:lang w:val="es-PR"/>
        </w:rPr>
        <w:t>Caso Mémoli Vs. Argentina. Excepciones Preliminares, Fondo, Reparaciones y Costas.</w:t>
      </w:r>
      <w:r w:rsidRPr="007E666D">
        <w:rPr>
          <w:rStyle w:val="Strong"/>
          <w:color w:val="000000"/>
          <w:spacing w:val="-4"/>
          <w:sz w:val="16"/>
          <w:szCs w:val="16"/>
          <w:shd w:val="clear" w:color="auto" w:fill="FFFFFF"/>
          <w:lang w:val="es-PR"/>
        </w:rPr>
        <w:t xml:space="preserve"> Sentencia de 22 de agosto de 2013. Serie C No. 265, párr. 207, y Caso </w:t>
      </w:r>
      <w:r w:rsidRPr="007E666D">
        <w:rPr>
          <w:rStyle w:val="Strong"/>
          <w:i/>
          <w:color w:val="000000"/>
          <w:spacing w:val="-4"/>
          <w:sz w:val="16"/>
          <w:szCs w:val="16"/>
          <w:shd w:val="clear" w:color="auto" w:fill="FFFFFF"/>
          <w:lang w:val="es-PR"/>
        </w:rPr>
        <w:t>Espinoza Gonzáles Vs. Perú, supra</w:t>
      </w:r>
      <w:r w:rsidRPr="007E666D">
        <w:rPr>
          <w:rStyle w:val="Strong"/>
          <w:color w:val="000000"/>
          <w:spacing w:val="-4"/>
          <w:sz w:val="16"/>
          <w:szCs w:val="16"/>
          <w:shd w:val="clear" w:color="auto" w:fill="FFFFFF"/>
          <w:lang w:val="es-PR"/>
        </w:rPr>
        <w:t>, párr. 318.</w:t>
      </w:r>
    </w:p>
  </w:footnote>
  <w:footnote w:id="364">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 xml:space="preserve">El Estado presentó prueba respecto a las capacitaciones y formación de los integrantes del EFE en los términos siguientes: a) de junio a septiembre del año 2003, integrantes del EFE recibieron un primer curso de capacitación en Antropología Forense; b) cinco profesionales del EFE que trabajaban tanto en las sedes de Lima como en la de Ayacucho cursaron estudios en la Maestría de Antropología Forense y Bioarqueología durante los años 2008 a 2010; c) dos de los antropólogos integrantes del EFE de Ayacucho cursaron entre los años 2009 y 2010 la segunda especialidad profesional en Antropología Física y Ciencias Forenses; d) con el apoyo del Comité Internacional de la Cruz Roja se incorporaron progresivamente capacitaciones anuales a los peritos forenses de Ayacucho.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cs="Arial"/>
          <w:bCs/>
          <w:spacing w:val="-4"/>
          <w:sz w:val="16"/>
          <w:szCs w:val="16"/>
          <w:lang w:val="es-PR"/>
        </w:rPr>
        <w:t xml:space="preserve">Documento elaborado por el Equipo Forense Especializado (EFE) del Instituto de Medicina Legal </w:t>
      </w:r>
      <w:r w:rsidRPr="007E666D">
        <w:rPr>
          <w:rFonts w:ascii="Verdana" w:hAnsi="Verdana"/>
          <w:bCs/>
          <w:spacing w:val="-4"/>
          <w:sz w:val="16"/>
          <w:szCs w:val="16"/>
          <w:lang w:val="es-PR"/>
        </w:rPr>
        <w:t xml:space="preserve">y </w:t>
      </w:r>
      <w:r w:rsidRPr="007E666D">
        <w:rPr>
          <w:rFonts w:ascii="Verdana" w:hAnsi="Verdana" w:cs="Arial"/>
          <w:bCs/>
          <w:spacing w:val="-4"/>
          <w:sz w:val="16"/>
          <w:szCs w:val="16"/>
          <w:lang w:val="es-PR"/>
        </w:rPr>
        <w:t xml:space="preserve">Ciencias Forenses, marzo de 2014 (expediente de prueba, folios </w:t>
      </w:r>
      <w:r w:rsidRPr="007E666D">
        <w:rPr>
          <w:rFonts w:ascii="Verdana" w:hAnsi="Verdana"/>
          <w:spacing w:val="-4"/>
          <w:sz w:val="16"/>
          <w:szCs w:val="16"/>
          <w:lang w:val="es-PR"/>
        </w:rPr>
        <w:t>4643 y 4644).</w:t>
      </w:r>
    </w:p>
  </w:footnote>
  <w:footnote w:id="365">
    <w:p w:rsidR="00D57F75" w:rsidRPr="007E666D" w:rsidRDefault="00D57F75" w:rsidP="00AB496F">
      <w:pPr>
        <w:pStyle w:val="CommentText"/>
        <w:spacing w:after="0"/>
        <w:contextualSpacing/>
        <w:jc w:val="both"/>
        <w:rPr>
          <w:rFonts w:ascii="Verdana" w:hAnsi="Verdana" w:cs="Arial"/>
          <w:spacing w:val="-4"/>
          <w:sz w:val="16"/>
          <w:szCs w:val="16"/>
          <w:lang w:val="es-PR"/>
        </w:rPr>
      </w:pPr>
      <w:r w:rsidRPr="007E666D">
        <w:rPr>
          <w:rStyle w:val="FootnoteReference"/>
          <w:rFonts w:eastAsia="Calibr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eastAsiaTheme="minorHAnsi" w:hAnsi="Verdana"/>
          <w:spacing w:val="-4"/>
          <w:sz w:val="16"/>
          <w:szCs w:val="16"/>
          <w:lang w:val="es-PR"/>
        </w:rPr>
        <w:t>Al respecto, el Estado presentó información sobre</w:t>
      </w:r>
      <w:r w:rsidRPr="007E666D">
        <w:rPr>
          <w:rFonts w:ascii="Verdana" w:hAnsi="Verdana"/>
          <w:spacing w:val="-4"/>
          <w:sz w:val="16"/>
          <w:szCs w:val="16"/>
          <w:lang w:val="es-PR"/>
        </w:rPr>
        <w:t xml:space="preserve">: a) la consulta y uso del Manual para la Investigación Eficaz ante el Hallazgo de Fosas con Restos Humanos en el Perú, mayo 2002, elaborado por la Defensoría del Pueblo y el Equipo Peruano de Antropología Forense, y b) la implementación de una Directiva Interna del Ministerio Público de 8 de septiembre de 2001, mediante la cual se regula la investigación fiscal frente al hallazgo de fosas con restos humanos que guardan relación con graves violaciones a los derechos humanos, la cual tiene como base legal, entre otros, el Manual sobre la Prevención e Investigación Eficaces de las Ejecuciones Extralegales, Arbitrarias o Sumarias, año 1991, Naciones Unidas. </w:t>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eastAsiaTheme="minorHAnsi" w:hAnsi="Verdana" w:cs="Arial"/>
          <w:bCs/>
          <w:spacing w:val="-4"/>
          <w:sz w:val="16"/>
          <w:szCs w:val="16"/>
          <w:lang w:val="es-PR"/>
        </w:rPr>
        <w:t xml:space="preserve">Documento elaborado por el Equipo Forense Especializado (EFE) del Instituto de Medicina Legal </w:t>
      </w:r>
      <w:r w:rsidRPr="007E666D">
        <w:rPr>
          <w:rFonts w:ascii="Verdana" w:eastAsiaTheme="minorHAnsi" w:hAnsi="Verdana"/>
          <w:bCs/>
          <w:spacing w:val="-4"/>
          <w:sz w:val="16"/>
          <w:szCs w:val="16"/>
          <w:lang w:val="es-PR"/>
        </w:rPr>
        <w:t xml:space="preserve">y </w:t>
      </w:r>
      <w:r w:rsidRPr="007E666D">
        <w:rPr>
          <w:rFonts w:ascii="Verdana" w:eastAsiaTheme="minorHAnsi" w:hAnsi="Verdana" w:cs="Arial"/>
          <w:bCs/>
          <w:spacing w:val="-4"/>
          <w:sz w:val="16"/>
          <w:szCs w:val="16"/>
          <w:lang w:val="es-PR"/>
        </w:rPr>
        <w:t xml:space="preserve">Ciencias Forenses, marzo de 2014 (expediente de prueba, folio 4639), y </w:t>
      </w:r>
      <w:r w:rsidRPr="007E666D">
        <w:rPr>
          <w:rFonts w:ascii="Verdana" w:hAnsi="Verdana" w:cs="Arial"/>
          <w:spacing w:val="-4"/>
          <w:sz w:val="16"/>
          <w:szCs w:val="16"/>
          <w:lang w:val="es-PR"/>
        </w:rPr>
        <w:t xml:space="preserve">Directiva No. 011-2001-MP-FN que regula la investigación fiscal frente al hallazgo de fosas con restos humanos que guardan relación con graves violaciones a los derechos humanos, Directiva Interna del Ministerio Público de 8 de septiembre de 2001 (expediente de prueba, folio </w:t>
      </w:r>
      <w:r w:rsidRPr="007E666D">
        <w:rPr>
          <w:rFonts w:ascii="Verdana" w:eastAsiaTheme="minorHAnsi" w:hAnsi="Verdana" w:cs="Arial"/>
          <w:bCs/>
          <w:spacing w:val="-4"/>
          <w:sz w:val="16"/>
          <w:szCs w:val="16"/>
          <w:lang w:val="es-PR"/>
        </w:rPr>
        <w:t>4654</w:t>
      </w:r>
      <w:r w:rsidRPr="007E666D">
        <w:rPr>
          <w:rFonts w:ascii="Verdana" w:hAnsi="Verdana" w:cs="Arial"/>
          <w:spacing w:val="-4"/>
          <w:sz w:val="16"/>
          <w:szCs w:val="16"/>
          <w:lang w:val="es-PR"/>
        </w:rPr>
        <w:t>).</w:t>
      </w:r>
    </w:p>
  </w:footnote>
  <w:footnote w:id="366">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iCs/>
          <w:spacing w:val="-4"/>
          <w:sz w:val="16"/>
          <w:szCs w:val="16"/>
          <w:lang w:val="es-PR"/>
        </w:rPr>
        <w:t xml:space="preserve">Caso Claude Reyes y otros Vs. Chile, </w:t>
      </w:r>
      <w:r w:rsidRPr="007E666D">
        <w:rPr>
          <w:rFonts w:ascii="Verdana" w:hAnsi="Verdana"/>
          <w:iCs/>
          <w:spacing w:val="-4"/>
          <w:sz w:val="16"/>
          <w:szCs w:val="16"/>
          <w:lang w:val="es-PR"/>
        </w:rPr>
        <w:t xml:space="preserve">y </w:t>
      </w:r>
      <w:r w:rsidRPr="007E666D">
        <w:rPr>
          <w:rFonts w:ascii="Verdana" w:hAnsi="Verdana"/>
          <w:i/>
          <w:iCs/>
          <w:spacing w:val="-4"/>
          <w:sz w:val="16"/>
          <w:szCs w:val="16"/>
          <w:lang w:val="es-PR"/>
        </w:rPr>
        <w:t xml:space="preserve">Caso </w:t>
      </w:r>
      <w:r w:rsidRPr="007E666D">
        <w:rPr>
          <w:rFonts w:ascii="Verdana" w:hAnsi="Verdana"/>
          <w:i/>
          <w:spacing w:val="-4"/>
          <w:sz w:val="16"/>
          <w:szCs w:val="16"/>
          <w:lang w:val="es-PR"/>
        </w:rPr>
        <w:t>Gutiérrez y familia Vs. Argentina, supra,</w:t>
      </w:r>
      <w:r w:rsidRPr="007E666D">
        <w:rPr>
          <w:rFonts w:ascii="Verdana" w:hAnsi="Verdana"/>
          <w:spacing w:val="-4"/>
          <w:sz w:val="16"/>
          <w:szCs w:val="16"/>
          <w:lang w:val="es-PR"/>
        </w:rPr>
        <w:t xml:space="preserve"> párr. 167. </w:t>
      </w:r>
    </w:p>
  </w:footnote>
  <w:footnote w:id="367">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cs="Verdana"/>
          <w:i/>
          <w:iCs/>
          <w:spacing w:val="-4"/>
          <w:sz w:val="16"/>
          <w:szCs w:val="16"/>
          <w:lang w:val="es-PR"/>
        </w:rPr>
        <w:t xml:space="preserve">Cfr. Caso Escher y otros Vs. Brasil, supra, </w:t>
      </w:r>
      <w:r w:rsidRPr="007E666D">
        <w:rPr>
          <w:rFonts w:ascii="Verdana" w:hAnsi="Verdana" w:cs="Verdana"/>
          <w:spacing w:val="-4"/>
          <w:sz w:val="16"/>
          <w:szCs w:val="16"/>
          <w:lang w:val="es-PR"/>
        </w:rPr>
        <w:t>párr. 251</w:t>
      </w:r>
      <w:r w:rsidRPr="007E666D">
        <w:rPr>
          <w:rFonts w:ascii="Verdana" w:hAnsi="Verdana"/>
          <w:spacing w:val="-4"/>
          <w:sz w:val="16"/>
          <w:szCs w:val="16"/>
          <w:lang w:val="es-PR"/>
        </w:rPr>
        <w:t xml:space="preserve">, y </w:t>
      </w:r>
      <w:r w:rsidRPr="007E666D">
        <w:rPr>
          <w:rFonts w:ascii="Verdana" w:hAnsi="Verdana"/>
          <w:i/>
          <w:spacing w:val="-4"/>
          <w:sz w:val="16"/>
          <w:szCs w:val="16"/>
          <w:lang w:val="es-PR"/>
        </w:rPr>
        <w:t>Caso</w:t>
      </w:r>
      <w:r w:rsidRPr="007E666D">
        <w:rPr>
          <w:rFonts w:ascii="Verdana" w:hAnsi="Verdana"/>
          <w:spacing w:val="-4"/>
          <w:sz w:val="16"/>
          <w:szCs w:val="16"/>
          <w:lang w:val="es-PR"/>
        </w:rPr>
        <w:t xml:space="preserve"> </w:t>
      </w:r>
      <w:r w:rsidRPr="007E666D">
        <w:rPr>
          <w:rFonts w:ascii="Verdana" w:hAnsi="Verdana"/>
          <w:i/>
          <w:spacing w:val="-4"/>
          <w:sz w:val="16"/>
          <w:szCs w:val="16"/>
          <w:lang w:val="es-PR"/>
        </w:rPr>
        <w:t>Espinoza Gonzales Vs. Perú, supra,</w:t>
      </w:r>
      <w:r w:rsidRPr="007E666D">
        <w:rPr>
          <w:rFonts w:ascii="Verdana" w:hAnsi="Verdana"/>
          <w:spacing w:val="-4"/>
          <w:sz w:val="16"/>
          <w:szCs w:val="16"/>
          <w:lang w:val="es-PR"/>
        </w:rPr>
        <w:t xml:space="preserve"> párr. 326.</w:t>
      </w:r>
    </w:p>
  </w:footnote>
  <w:footnote w:id="368">
    <w:p w:rsidR="00D57F75" w:rsidRPr="007E666D" w:rsidRDefault="00D57F75" w:rsidP="00AB496F">
      <w:pPr>
        <w:tabs>
          <w:tab w:val="left" w:pos="720"/>
        </w:tabs>
        <w:spacing w:after="0" w:line="240" w:lineRule="auto"/>
        <w:contextualSpacing/>
        <w:jc w:val="both"/>
        <w:rPr>
          <w:rFonts w:ascii="Verdana" w:hAnsi="Verdana"/>
          <w:sz w:val="16"/>
          <w:szCs w:val="16"/>
          <w:lang w:val="es-PR"/>
        </w:rPr>
      </w:pPr>
      <w:r w:rsidRPr="007E666D">
        <w:rPr>
          <w:rStyle w:val="FootnoteReference"/>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r>
      <w:r w:rsidRPr="007E666D">
        <w:rPr>
          <w:rFonts w:ascii="Verdana" w:hAnsi="Verdana" w:cs="Arial"/>
          <w:i/>
          <w:sz w:val="16"/>
          <w:szCs w:val="16"/>
          <w:lang w:val="es-PR"/>
        </w:rPr>
        <w:t>Cfr.</w:t>
      </w:r>
      <w:r w:rsidRPr="007E666D">
        <w:rPr>
          <w:rFonts w:ascii="Verdana" w:hAnsi="Verdana" w:cs="Arial"/>
          <w:sz w:val="16"/>
          <w:szCs w:val="16"/>
          <w:lang w:val="es-PR"/>
        </w:rPr>
        <w:t xml:space="preserve"> </w:t>
      </w:r>
      <w:r w:rsidRPr="007E666D">
        <w:rPr>
          <w:rFonts w:ascii="Verdana" w:hAnsi="Verdana"/>
          <w:sz w:val="16"/>
          <w:szCs w:val="16"/>
          <w:lang w:val="es-PR"/>
        </w:rPr>
        <w:t xml:space="preserve">Informe Final de la CVR, 2003, tomo VI, capítulo 1.2 </w:t>
      </w:r>
      <w:r w:rsidRPr="007E666D">
        <w:rPr>
          <w:rFonts w:ascii="Verdana" w:hAnsi="Verdana"/>
          <w:i/>
          <w:sz w:val="16"/>
          <w:szCs w:val="16"/>
          <w:lang w:val="es-PR"/>
        </w:rPr>
        <w:t>Desaparición forzada de personas por agentes del Estado</w:t>
      </w:r>
      <w:r w:rsidRPr="007E666D">
        <w:rPr>
          <w:rFonts w:ascii="Verdana" w:hAnsi="Verdana"/>
          <w:sz w:val="16"/>
          <w:szCs w:val="16"/>
          <w:lang w:val="es-PR"/>
        </w:rPr>
        <w:t xml:space="preserve">, págs. 73-81, disponible en </w:t>
      </w:r>
      <w:hyperlink r:id="rId2" w:history="1">
        <w:r w:rsidRPr="007E666D">
          <w:rPr>
            <w:rStyle w:val="Hyperlink"/>
            <w:rFonts w:ascii="Verdana" w:hAnsi="Verdana"/>
            <w:color w:val="auto"/>
            <w:sz w:val="16"/>
            <w:szCs w:val="16"/>
            <w:u w:val="none"/>
            <w:lang w:val="es-PR"/>
          </w:rPr>
          <w:t>http://www.cverdad.org.pe/ifinal/index.php</w:t>
        </w:r>
      </w:hyperlink>
      <w:r w:rsidRPr="007E666D">
        <w:rPr>
          <w:rFonts w:ascii="Verdana" w:hAnsi="Verdana"/>
          <w:sz w:val="16"/>
          <w:szCs w:val="16"/>
          <w:lang w:val="es-PR"/>
        </w:rPr>
        <w:t xml:space="preserve">, y </w:t>
      </w:r>
      <w:r w:rsidRPr="007E666D">
        <w:rPr>
          <w:rFonts w:ascii="Verdana" w:hAnsi="Verdana"/>
          <w:spacing w:val="-4"/>
          <w:sz w:val="16"/>
          <w:szCs w:val="16"/>
          <w:lang w:val="es-PR"/>
        </w:rPr>
        <w:t xml:space="preserve">Declaración del perito </w:t>
      </w:r>
      <w:r w:rsidRPr="007E666D">
        <w:rPr>
          <w:rFonts w:ascii="Verdana" w:hAnsi="Verdana" w:cs="Verdana"/>
          <w:bCs/>
          <w:iCs/>
          <w:sz w:val="16"/>
          <w:szCs w:val="16"/>
          <w:lang w:val="es-PR"/>
        </w:rPr>
        <w:t>José Pablo Baraybar do Carmo</w:t>
      </w:r>
      <w:r w:rsidRPr="007E666D">
        <w:rPr>
          <w:rFonts w:ascii="Verdana" w:hAnsi="Verdana"/>
          <w:spacing w:val="-4"/>
          <w:sz w:val="16"/>
          <w:szCs w:val="16"/>
          <w:lang w:val="es-PR"/>
        </w:rPr>
        <w:t xml:space="preserve"> en la audiencia pública celebrada el </w:t>
      </w:r>
      <w:r w:rsidRPr="007E666D">
        <w:rPr>
          <w:rFonts w:ascii="Verdana" w:hAnsi="Verdana" w:cs="Verdana"/>
          <w:sz w:val="16"/>
          <w:szCs w:val="16"/>
          <w:lang w:val="es-PR"/>
        </w:rPr>
        <w:t>26 de enero de 2015</w:t>
      </w:r>
      <w:r w:rsidRPr="007E666D">
        <w:rPr>
          <w:rFonts w:ascii="Verdana" w:hAnsi="Verdana"/>
          <w:sz w:val="16"/>
          <w:szCs w:val="16"/>
          <w:lang w:val="es-PR"/>
        </w:rPr>
        <w:t xml:space="preserve">. Al respecto, también ver </w:t>
      </w:r>
      <w:r w:rsidRPr="007E666D">
        <w:rPr>
          <w:rFonts w:ascii="Verdana" w:hAnsi="Verdana"/>
          <w:i/>
          <w:sz w:val="16"/>
          <w:szCs w:val="16"/>
          <w:lang w:val="es-PR"/>
        </w:rPr>
        <w:t>Caso Anzualdo Vs. Perú, supra,</w:t>
      </w:r>
      <w:r w:rsidRPr="007E666D">
        <w:rPr>
          <w:rFonts w:ascii="Verdana" w:hAnsi="Verdana"/>
          <w:sz w:val="16"/>
          <w:szCs w:val="16"/>
          <w:lang w:val="es-PR"/>
        </w:rPr>
        <w:t xml:space="preserve"> párr. 188.</w:t>
      </w:r>
    </w:p>
  </w:footnote>
  <w:footnote w:id="369">
    <w:p w:rsidR="00D57F75" w:rsidRPr="007E666D" w:rsidRDefault="00D57F75" w:rsidP="00AB496F">
      <w:pPr>
        <w:pStyle w:val="FootnoteText"/>
        <w:tabs>
          <w:tab w:val="left" w:pos="720"/>
        </w:tabs>
        <w:contextualSpacing/>
        <w:jc w:val="both"/>
        <w:rPr>
          <w:rFonts w:ascii="Verdana" w:hAnsi="Verdana"/>
          <w:i/>
          <w:sz w:val="16"/>
          <w:szCs w:val="16"/>
          <w:lang w:val="es-PR"/>
        </w:rPr>
      </w:pPr>
      <w:r w:rsidRPr="007E666D">
        <w:rPr>
          <w:rStyle w:val="FootnoteReference"/>
          <w:rFonts w:eastAsiaTheme="minorHAnsi"/>
          <w:sz w:val="16"/>
          <w:lang w:val="es-PR"/>
        </w:rPr>
        <w:footnoteRef/>
      </w:r>
      <w:r w:rsidRPr="007E666D">
        <w:rPr>
          <w:rFonts w:ascii="Verdana" w:hAnsi="Verdana"/>
          <w:sz w:val="16"/>
          <w:szCs w:val="16"/>
          <w:lang w:val="es-PR"/>
        </w:rPr>
        <w:t xml:space="preserve"> </w:t>
      </w:r>
      <w:r w:rsidRPr="007E666D">
        <w:rPr>
          <w:rFonts w:ascii="Verdana" w:hAnsi="Verdana"/>
          <w:sz w:val="16"/>
          <w:szCs w:val="16"/>
          <w:lang w:val="es-PR"/>
        </w:rPr>
        <w:tab/>
        <w:t xml:space="preserve">Al respecto, ver </w:t>
      </w:r>
      <w:r w:rsidRPr="007E666D">
        <w:rPr>
          <w:rFonts w:ascii="Verdana" w:hAnsi="Verdana"/>
          <w:i/>
          <w:sz w:val="16"/>
          <w:szCs w:val="16"/>
          <w:lang w:val="es-PR"/>
        </w:rPr>
        <w:t xml:space="preserve">Caso Gómez Palomino Vs. Perú. </w:t>
      </w:r>
      <w:r w:rsidRPr="007E666D">
        <w:rPr>
          <w:rFonts w:ascii="Verdana" w:hAnsi="Verdana"/>
          <w:sz w:val="16"/>
          <w:szCs w:val="16"/>
          <w:lang w:val="es-PR"/>
        </w:rPr>
        <w:t>Supervisión de Cumplimiento de Sentencia.</w:t>
      </w:r>
      <w:r w:rsidRPr="007E666D">
        <w:rPr>
          <w:rFonts w:ascii="Verdana" w:hAnsi="Verdana"/>
          <w:i/>
          <w:sz w:val="16"/>
          <w:szCs w:val="16"/>
          <w:lang w:val="es-PR"/>
        </w:rPr>
        <w:t xml:space="preserve"> </w:t>
      </w:r>
      <w:r w:rsidRPr="007E666D">
        <w:rPr>
          <w:rFonts w:ascii="Verdana" w:hAnsi="Verdana"/>
          <w:sz w:val="16"/>
          <w:szCs w:val="16"/>
          <w:lang w:val="es-PR"/>
        </w:rPr>
        <w:t xml:space="preserve">Resolución </w:t>
      </w:r>
      <w:r w:rsidRPr="007E666D">
        <w:rPr>
          <w:rFonts w:ascii="Verdana" w:hAnsi="Verdana"/>
          <w:color w:val="000000"/>
          <w:sz w:val="16"/>
          <w:szCs w:val="16"/>
          <w:lang w:val="es-PR"/>
        </w:rPr>
        <w:t xml:space="preserve">de la Corte Interamericana de Derechos Humanos </w:t>
      </w:r>
      <w:r w:rsidRPr="007E666D">
        <w:rPr>
          <w:rFonts w:ascii="Verdana" w:hAnsi="Verdana"/>
          <w:sz w:val="16"/>
          <w:szCs w:val="16"/>
          <w:lang w:val="es-PR"/>
        </w:rPr>
        <w:t>de 5 de julio de 2011, Considerando decimoquinto</w:t>
      </w:r>
      <w:r w:rsidRPr="007E666D">
        <w:rPr>
          <w:rFonts w:ascii="Verdana" w:hAnsi="Verdana"/>
          <w:sz w:val="16"/>
          <w:szCs w:val="16"/>
          <w:lang w:val="es-PR" w:bidi="en-US"/>
        </w:rPr>
        <w:t xml:space="preserve">. </w:t>
      </w:r>
    </w:p>
  </w:footnote>
  <w:footnote w:id="370">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Caso La Cantuta Vs. Perú, supra, </w:t>
      </w:r>
      <w:r w:rsidRPr="007E666D">
        <w:rPr>
          <w:rFonts w:ascii="Verdana" w:hAnsi="Verdana"/>
          <w:spacing w:val="-4"/>
          <w:sz w:val="16"/>
          <w:szCs w:val="16"/>
          <w:lang w:val="es-PR"/>
        </w:rPr>
        <w:t xml:space="preserve">párr. 240. </w:t>
      </w:r>
    </w:p>
  </w:footnote>
  <w:footnote w:id="371">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iCs/>
          <w:spacing w:val="-4"/>
          <w:sz w:val="16"/>
          <w:szCs w:val="16"/>
          <w:lang w:val="es-PR"/>
        </w:rPr>
        <w:t>Cfr.</w:t>
      </w:r>
      <w:r w:rsidRPr="007E666D">
        <w:rPr>
          <w:rFonts w:ascii="Verdana" w:hAnsi="Verdana"/>
          <w:i/>
          <w:spacing w:val="-4"/>
          <w:sz w:val="16"/>
          <w:szCs w:val="16"/>
          <w:lang w:val="es-PR"/>
        </w:rPr>
        <w:t xml:space="preserve"> Caso Anzualdo Castro Vs. Perú, supra, </w:t>
      </w:r>
      <w:r w:rsidRPr="007E666D">
        <w:rPr>
          <w:rFonts w:ascii="Verdana" w:hAnsi="Verdana"/>
          <w:spacing w:val="-4"/>
          <w:sz w:val="16"/>
          <w:szCs w:val="16"/>
          <w:lang w:val="es-PR"/>
        </w:rPr>
        <w:t>párr. 193.</w:t>
      </w:r>
    </w:p>
  </w:footnote>
  <w:footnote w:id="372">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Osorio Rivera Vs. Perú</w:t>
      </w:r>
      <w:r w:rsidRPr="007E666D">
        <w:rPr>
          <w:rFonts w:ascii="Verdana" w:hAnsi="Verdana"/>
          <w:spacing w:val="-4"/>
          <w:sz w:val="16"/>
          <w:szCs w:val="16"/>
          <w:lang w:val="es-PR"/>
        </w:rPr>
        <w:t xml:space="preserve">, </w:t>
      </w:r>
      <w:r w:rsidRPr="007E666D">
        <w:rPr>
          <w:rFonts w:ascii="Verdana" w:hAnsi="Verdana"/>
          <w:i/>
          <w:spacing w:val="-4"/>
          <w:sz w:val="16"/>
          <w:szCs w:val="16"/>
          <w:lang w:val="es-PR"/>
        </w:rPr>
        <w:t xml:space="preserve">supra, </w:t>
      </w:r>
      <w:r w:rsidRPr="007E666D">
        <w:rPr>
          <w:rFonts w:ascii="Verdana" w:hAnsi="Verdana"/>
          <w:spacing w:val="-4"/>
          <w:sz w:val="16"/>
          <w:szCs w:val="16"/>
          <w:lang w:val="es-PR"/>
        </w:rPr>
        <w:t xml:space="preserve">párr. 274. </w:t>
      </w:r>
    </w:p>
  </w:footnote>
  <w:footnote w:id="373">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 xml:space="preserve">Cfr. Caso Gómez Palomino Vs. Perú. Fondo, Reparaciones y Costas. </w:t>
      </w:r>
      <w:r w:rsidRPr="007E666D">
        <w:rPr>
          <w:rFonts w:ascii="Verdana" w:hAnsi="Verdana"/>
          <w:spacing w:val="-4"/>
          <w:sz w:val="16"/>
          <w:szCs w:val="16"/>
          <w:lang w:val="es-PR"/>
        </w:rPr>
        <w:t>Sentencia de 22 de noviembre de 2005, párr. 149 y punto resolutivo 12.</w:t>
      </w:r>
    </w:p>
  </w:footnote>
  <w:footnote w:id="374">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eastAsia="Batang" w:hAnsi="Verdana"/>
          <w:i/>
          <w:spacing w:val="-4"/>
          <w:sz w:val="16"/>
          <w:szCs w:val="16"/>
          <w:lang w:val="es-PR"/>
        </w:rPr>
        <w:t xml:space="preserve">Cfr. </w:t>
      </w:r>
      <w:r w:rsidRPr="007E666D">
        <w:rPr>
          <w:rFonts w:ascii="Verdana" w:hAnsi="Verdana"/>
          <w:i/>
          <w:spacing w:val="-4"/>
          <w:sz w:val="16"/>
          <w:szCs w:val="16"/>
          <w:lang w:val="es-PR"/>
        </w:rPr>
        <w:t>Caso Anzualdo Castro Vs. Perú. Excepción Preliminar, Fondo, Reparaciones y Costas.</w:t>
      </w:r>
      <w:r w:rsidRPr="007E666D">
        <w:rPr>
          <w:rFonts w:ascii="Verdana" w:hAnsi="Verdana"/>
          <w:spacing w:val="-4"/>
          <w:sz w:val="16"/>
          <w:szCs w:val="16"/>
          <w:lang w:val="es-PR"/>
        </w:rPr>
        <w:t xml:space="preserve"> Sentencia de 22 de Septiembre de 2009, párr. 191 y punto resolutivo 8.</w:t>
      </w:r>
    </w:p>
  </w:footnote>
  <w:footnote w:id="375">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eastAsia="Batang" w:hAnsi="Verdana"/>
          <w:i/>
          <w:spacing w:val="-4"/>
          <w:sz w:val="16"/>
          <w:szCs w:val="16"/>
          <w:lang w:val="es-PR"/>
        </w:rPr>
        <w:t xml:space="preserve">Cfr. </w:t>
      </w:r>
      <w:r w:rsidRPr="007E666D">
        <w:rPr>
          <w:rFonts w:ascii="Verdana" w:hAnsi="Verdana"/>
          <w:i/>
          <w:spacing w:val="-4"/>
          <w:sz w:val="16"/>
          <w:szCs w:val="16"/>
          <w:lang w:val="es-PR"/>
        </w:rPr>
        <w:t>Caso Osorio Rivera y Familiares Vs. Perú, supra</w:t>
      </w:r>
      <w:r w:rsidRPr="007E666D">
        <w:rPr>
          <w:rFonts w:ascii="Verdana" w:hAnsi="Verdana"/>
          <w:spacing w:val="-4"/>
          <w:sz w:val="16"/>
          <w:szCs w:val="16"/>
          <w:lang w:val="es-PR"/>
        </w:rPr>
        <w:t>, párr. 271 y punto resolutivo 12.</w:t>
      </w:r>
    </w:p>
  </w:footnote>
  <w:footnote w:id="376">
    <w:p w:rsidR="00D57F75" w:rsidRPr="007E666D" w:rsidRDefault="00D57F75" w:rsidP="00AB496F">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Certificados de Acreditación del Consejo de Reparaciones, Registro Único de Víctimas, de 8 de septiembre de 2008 (expediente de prueba, folios 3869 a 3875 y 3877), y Escrito del Secretario Ejecutivo de la Comisión Multisectorial de Alto Nivel encargada de las Acciones y Políticas del Estado en los Ámbitos de la Paz, la Reparación Colectiva y la Reconciliación Nacional (expediente de prueba, folios 4714 y 4715).</w:t>
      </w:r>
    </w:p>
  </w:footnote>
  <w:footnote w:id="377">
    <w:p w:rsidR="00D57F75" w:rsidRPr="007E666D" w:rsidRDefault="00D57F75" w:rsidP="00AB496F">
      <w:pPr>
        <w:pStyle w:val="FootnoteText"/>
        <w:tabs>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Escrito de 7 de enero de 2015 del Segundo Juzgado Penal Nacional (expediente de prueba, folio 5524), y Escrito del Secretario Ejecutivo de la Comisión Multisectorial de Alto Nivel encargada de las Acciones y Políticas del Estado en los Ámbitos de la Paz, la Reparación Colectiva y la Reconciliación Nacional (expediente de prueba, folios 4714 y 4715).</w:t>
      </w:r>
    </w:p>
  </w:footnote>
  <w:footnote w:id="378">
    <w:p w:rsidR="00D57F75" w:rsidRPr="007E666D" w:rsidRDefault="00D57F75" w:rsidP="00AB496F">
      <w:pPr>
        <w:tabs>
          <w:tab w:val="left" w:pos="567"/>
          <w:tab w:val="left" w:pos="720"/>
        </w:tabs>
        <w:autoSpaceDE w:val="0"/>
        <w:autoSpaceDN w:val="0"/>
        <w:adjustRightInd w:val="0"/>
        <w:spacing w:after="0" w:line="240" w:lineRule="auto"/>
        <w:contextualSpacing/>
        <w:jc w:val="both"/>
        <w:rPr>
          <w:rFonts w:ascii="Verdana" w:hAnsi="Verdana"/>
          <w:spacing w:val="-4"/>
          <w:sz w:val="16"/>
          <w:szCs w:val="16"/>
          <w:lang w:val="es-PR"/>
        </w:rPr>
      </w:pPr>
      <w:r w:rsidRPr="007E666D">
        <w:rPr>
          <w:rStyle w:val="FootnoteReference"/>
          <w:rFonts w:eastAsiaTheme="majorEastAsia"/>
          <w:sz w:val="16"/>
          <w:lang w:val="es-PR"/>
        </w:rPr>
        <w:footnoteRef/>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bCs/>
          <w:spacing w:val="-4"/>
          <w:sz w:val="16"/>
          <w:szCs w:val="16"/>
          <w:lang w:val="es-PR"/>
        </w:rPr>
        <w:t xml:space="preserve"> </w:t>
      </w:r>
      <w:r w:rsidRPr="007E666D">
        <w:rPr>
          <w:rFonts w:ascii="Verdana" w:hAnsi="Verdana"/>
          <w:bCs/>
          <w:i/>
          <w:spacing w:val="-4"/>
          <w:sz w:val="16"/>
          <w:szCs w:val="16"/>
          <w:lang w:val="es-PR"/>
        </w:rPr>
        <w:t xml:space="preserve">Caso El Amparo Vs. Venezuela. </w:t>
      </w:r>
      <w:r w:rsidRPr="007E666D">
        <w:rPr>
          <w:rFonts w:ascii="Verdana" w:hAnsi="Verdana"/>
          <w:i/>
          <w:spacing w:val="-4"/>
          <w:sz w:val="16"/>
          <w:szCs w:val="16"/>
          <w:lang w:val="es-PR"/>
        </w:rPr>
        <w:t>Reparaciones y Costas</w:t>
      </w:r>
      <w:r w:rsidRPr="007E666D">
        <w:rPr>
          <w:rFonts w:ascii="Verdana" w:hAnsi="Verdana"/>
          <w:spacing w:val="-4"/>
          <w:sz w:val="16"/>
          <w:szCs w:val="16"/>
          <w:lang w:val="es-PR"/>
        </w:rPr>
        <w:t xml:space="preserve">. Sentencia de 14 de septiembre de 1996. Serie C No. 28, párr. 35, y </w:t>
      </w:r>
      <w:r w:rsidRPr="007E666D">
        <w:rPr>
          <w:rFonts w:ascii="Verdana" w:hAnsi="Verdana"/>
          <w:i/>
          <w:sz w:val="16"/>
          <w:szCs w:val="16"/>
          <w:lang w:val="es-PR"/>
        </w:rPr>
        <w:t>Caso Osorio Rivera y familiares Vs. Perú</w:t>
      </w:r>
      <w:r w:rsidRPr="007E666D">
        <w:rPr>
          <w:rFonts w:ascii="Verdana" w:hAnsi="Verdana"/>
          <w:i/>
          <w:spacing w:val="-4"/>
          <w:sz w:val="16"/>
          <w:szCs w:val="16"/>
          <w:lang w:val="es-PR"/>
        </w:rPr>
        <w:t>, supra</w:t>
      </w:r>
      <w:r w:rsidRPr="007E666D">
        <w:rPr>
          <w:rFonts w:ascii="Verdana" w:hAnsi="Verdana"/>
          <w:spacing w:val="-4"/>
          <w:sz w:val="16"/>
          <w:szCs w:val="16"/>
          <w:lang w:val="es-PR"/>
        </w:rPr>
        <w:t>, párr. 286.</w:t>
      </w:r>
    </w:p>
  </w:footnote>
  <w:footnote w:id="379">
    <w:p w:rsidR="00D57F75" w:rsidRPr="007E666D" w:rsidRDefault="00D57F75" w:rsidP="00AB496F">
      <w:pPr>
        <w:pStyle w:val="FootnoteText"/>
        <w:tabs>
          <w:tab w:val="left" w:pos="567"/>
          <w:tab w:val="left" w:pos="720"/>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Style w:val="FootnoteReference"/>
          <w:rFonts w:eastAsiaTheme="minorHAnsi"/>
          <w:sz w:val="16"/>
          <w:lang w:val="es-PR"/>
        </w:rPr>
        <w:t xml:space="preserve"> </w:t>
      </w:r>
      <w:r w:rsidRPr="007E666D">
        <w:rPr>
          <w:rFonts w:ascii="Verdana" w:hAnsi="Verdana"/>
          <w:spacing w:val="-4"/>
          <w:sz w:val="16"/>
          <w:szCs w:val="16"/>
          <w:lang w:val="es-PR"/>
        </w:rPr>
        <w:tab/>
      </w:r>
      <w:r w:rsidRPr="007E666D">
        <w:rPr>
          <w:rFonts w:ascii="Verdana" w:eastAsia="Batang" w:hAnsi="Verdana"/>
          <w:i/>
          <w:spacing w:val="-4"/>
          <w:sz w:val="16"/>
          <w:szCs w:val="16"/>
          <w:lang w:val="es-PR"/>
        </w:rPr>
        <w:t xml:space="preserve">Cfr. </w:t>
      </w:r>
      <w:r w:rsidRPr="007E666D">
        <w:rPr>
          <w:rFonts w:ascii="Verdana" w:hAnsi="Verdana"/>
          <w:bCs/>
          <w:i/>
          <w:spacing w:val="-4"/>
          <w:sz w:val="16"/>
          <w:szCs w:val="16"/>
          <w:lang w:val="es-PR"/>
        </w:rPr>
        <w:t xml:space="preserve">Caso de los “Niños de la Calle” (Villagrán Morales y otros) Vs. Guatemala. </w:t>
      </w:r>
      <w:r w:rsidRPr="007E666D">
        <w:rPr>
          <w:rFonts w:ascii="Verdana" w:hAnsi="Verdana"/>
          <w:i/>
          <w:spacing w:val="-4"/>
          <w:sz w:val="16"/>
          <w:szCs w:val="16"/>
          <w:lang w:val="es-PR"/>
        </w:rPr>
        <w:t>Reparaciones y Costas</w:t>
      </w:r>
      <w:r w:rsidRPr="007E666D">
        <w:rPr>
          <w:rFonts w:ascii="Verdana" w:hAnsi="Verdana"/>
          <w:spacing w:val="-4"/>
          <w:sz w:val="16"/>
          <w:szCs w:val="16"/>
          <w:lang w:val="es-PR"/>
        </w:rPr>
        <w:t xml:space="preserve">. Sentencia de 26 de mayo de 2001. Serie C No. 77, párr. 84, y </w:t>
      </w:r>
      <w:r w:rsidRPr="007E666D">
        <w:rPr>
          <w:rFonts w:ascii="Verdana" w:hAnsi="Verdana"/>
          <w:i/>
          <w:sz w:val="16"/>
          <w:szCs w:val="16"/>
          <w:lang w:val="es-PR"/>
        </w:rPr>
        <w:t>Caso Osorio Rivera y familiares Vs. Perú</w:t>
      </w:r>
      <w:r w:rsidRPr="007E666D">
        <w:rPr>
          <w:rFonts w:ascii="Verdana" w:hAnsi="Verdana"/>
          <w:i/>
          <w:spacing w:val="-4"/>
          <w:sz w:val="16"/>
          <w:szCs w:val="16"/>
          <w:lang w:val="es-PR"/>
        </w:rPr>
        <w:t>, supra</w:t>
      </w:r>
      <w:r w:rsidRPr="007E666D">
        <w:rPr>
          <w:rFonts w:ascii="Verdana" w:hAnsi="Verdana"/>
          <w:spacing w:val="-4"/>
          <w:sz w:val="16"/>
          <w:szCs w:val="16"/>
          <w:lang w:val="es-PR"/>
        </w:rPr>
        <w:t>, párr. 286.</w:t>
      </w:r>
    </w:p>
  </w:footnote>
  <w:footnote w:id="380">
    <w:p w:rsidR="00D57F75" w:rsidRPr="007E666D" w:rsidRDefault="00D57F75" w:rsidP="00AB496F">
      <w:pPr>
        <w:tabs>
          <w:tab w:val="left" w:pos="720"/>
        </w:tabs>
        <w:spacing w:after="0" w:line="240" w:lineRule="auto"/>
        <w:contextualSpacing/>
        <w:jc w:val="both"/>
        <w:rPr>
          <w:rFonts w:ascii="Verdana" w:hAnsi="Verdana"/>
          <w:spacing w:val="-4"/>
          <w:sz w:val="16"/>
          <w:szCs w:val="16"/>
          <w:lang w:val="es-PR"/>
        </w:rPr>
      </w:pPr>
      <w:r w:rsidRPr="007E666D">
        <w:rPr>
          <w:rStyle w:val="FootnoteReference"/>
          <w:rFonts w:eastAsiaTheme="majorEastAsia"/>
          <w:sz w:val="16"/>
          <w:lang w:val="es-PR"/>
        </w:rPr>
        <w:footnoteRef/>
      </w:r>
      <w:r w:rsidRPr="007E666D">
        <w:rPr>
          <w:rFonts w:ascii="Verdana" w:hAnsi="Verdana"/>
          <w:spacing w:val="-4"/>
          <w:sz w:val="16"/>
          <w:szCs w:val="16"/>
          <w:lang w:val="es-PR"/>
        </w:rPr>
        <w:tab/>
      </w:r>
      <w:r w:rsidRPr="007E666D">
        <w:rPr>
          <w:rFonts w:ascii="Verdana" w:eastAsia="Batang" w:hAnsi="Verdana"/>
          <w:i/>
          <w:spacing w:val="-4"/>
          <w:sz w:val="16"/>
          <w:szCs w:val="16"/>
          <w:lang w:val="es-PR"/>
        </w:rPr>
        <w:t xml:space="preserve">Cfr. </w:t>
      </w:r>
      <w:r w:rsidRPr="007E666D">
        <w:rPr>
          <w:rFonts w:ascii="Verdana" w:hAnsi="Verdana"/>
          <w:bCs/>
          <w:i/>
          <w:spacing w:val="-4"/>
          <w:sz w:val="16"/>
          <w:szCs w:val="16"/>
          <w:lang w:val="es-PR"/>
        </w:rPr>
        <w:t xml:space="preserve">Caso Bámaca Velásquez Vs. Guatemala. </w:t>
      </w:r>
      <w:r w:rsidRPr="007E666D">
        <w:rPr>
          <w:rFonts w:ascii="Verdana" w:hAnsi="Verdana"/>
          <w:i/>
          <w:spacing w:val="-4"/>
          <w:sz w:val="16"/>
          <w:szCs w:val="16"/>
          <w:lang w:val="es-PR"/>
        </w:rPr>
        <w:t>Reparaciones y Costas</w:t>
      </w:r>
      <w:r w:rsidRPr="007E666D">
        <w:rPr>
          <w:rFonts w:ascii="Verdana" w:hAnsi="Verdana"/>
          <w:spacing w:val="-4"/>
          <w:sz w:val="16"/>
          <w:szCs w:val="16"/>
          <w:lang w:val="es-PR"/>
        </w:rPr>
        <w:t xml:space="preserve">. Sentencia de 22 de febrero de 2002. Serie C No. 91, párr. 43, y </w:t>
      </w:r>
      <w:r w:rsidRPr="007E666D">
        <w:rPr>
          <w:rFonts w:ascii="Verdana" w:hAnsi="Verdana"/>
          <w:bCs/>
          <w:i/>
          <w:spacing w:val="-4"/>
          <w:sz w:val="16"/>
          <w:szCs w:val="16"/>
          <w:lang w:val="es-PR"/>
        </w:rPr>
        <w:t>Caso Defensor de Derechos Humanos y otros Vs. Guatemala, supra</w:t>
      </w:r>
      <w:r w:rsidRPr="007E666D">
        <w:rPr>
          <w:rFonts w:ascii="Verdana" w:hAnsi="Verdana"/>
          <w:spacing w:val="-4"/>
          <w:sz w:val="16"/>
          <w:szCs w:val="16"/>
          <w:lang w:val="es-PR"/>
        </w:rPr>
        <w:t>, párr. 266.</w:t>
      </w:r>
    </w:p>
  </w:footnote>
  <w:footnote w:id="381">
    <w:p w:rsidR="00D57F75" w:rsidRPr="007E666D" w:rsidRDefault="00D57F75" w:rsidP="00AB496F">
      <w:pPr>
        <w:pStyle w:val="FootnoteText"/>
        <w:tabs>
          <w:tab w:val="left" w:pos="720"/>
        </w:tabs>
        <w:contextualSpacing/>
        <w:jc w:val="both"/>
        <w:rPr>
          <w:rFonts w:ascii="Verdana" w:eastAsia="Batang" w:hAnsi="Verdana"/>
          <w:spacing w:val="-4"/>
          <w:sz w:val="16"/>
          <w:szCs w:val="16"/>
          <w:lang w:val="es-PR"/>
        </w:rPr>
      </w:pPr>
      <w:r w:rsidRPr="007E666D">
        <w:rPr>
          <w:rStyle w:val="FootnoteReference"/>
          <w:rFonts w:eastAsia="Batang"/>
          <w:sz w:val="16"/>
          <w:lang w:val="es-PR"/>
        </w:rPr>
        <w:footnoteRef/>
      </w:r>
      <w:r w:rsidRPr="007E666D">
        <w:rPr>
          <w:rFonts w:ascii="Verdana" w:eastAsia="Batang" w:hAnsi="Verdana"/>
          <w:spacing w:val="-4"/>
          <w:sz w:val="16"/>
          <w:szCs w:val="16"/>
          <w:lang w:val="es-PR"/>
        </w:rPr>
        <w:t xml:space="preserve"> </w:t>
      </w:r>
      <w:r w:rsidRPr="007E666D">
        <w:rPr>
          <w:rFonts w:ascii="Verdana" w:eastAsia="Batang" w:hAnsi="Verdana"/>
          <w:spacing w:val="-4"/>
          <w:sz w:val="16"/>
          <w:szCs w:val="16"/>
          <w:lang w:val="es-PR"/>
        </w:rPr>
        <w:tab/>
      </w:r>
      <w:r w:rsidRPr="007E666D">
        <w:rPr>
          <w:rFonts w:ascii="Verdana" w:eastAsia="Batang" w:hAnsi="Verdana"/>
          <w:i/>
          <w:spacing w:val="-4"/>
          <w:sz w:val="16"/>
          <w:szCs w:val="16"/>
          <w:lang w:val="es-PR"/>
        </w:rPr>
        <w:t>Cfr. Caso Velásquez Rodríguez Vs. Honduras</w:t>
      </w:r>
      <w:r w:rsidRPr="007E666D">
        <w:rPr>
          <w:rFonts w:ascii="Verdana" w:eastAsia="Batang" w:hAnsi="Verdana" w:cs="Verdana"/>
          <w:iCs/>
          <w:spacing w:val="-4"/>
          <w:sz w:val="16"/>
          <w:szCs w:val="16"/>
          <w:lang w:val="es-PR" w:bidi="en-US"/>
        </w:rPr>
        <w:t xml:space="preserve">. </w:t>
      </w:r>
      <w:r w:rsidRPr="007E666D">
        <w:rPr>
          <w:rFonts w:ascii="Verdana" w:eastAsia="Batang" w:hAnsi="Verdana" w:cs="Verdana"/>
          <w:i/>
          <w:iCs/>
          <w:spacing w:val="-4"/>
          <w:sz w:val="16"/>
          <w:szCs w:val="16"/>
          <w:lang w:val="es-PR" w:bidi="en-US"/>
        </w:rPr>
        <w:t>Reparaciones y Costas</w:t>
      </w:r>
      <w:r w:rsidRPr="007E666D">
        <w:rPr>
          <w:rFonts w:ascii="Verdana" w:eastAsia="Batang" w:hAnsi="Verdana"/>
          <w:i/>
          <w:spacing w:val="-4"/>
          <w:sz w:val="16"/>
          <w:szCs w:val="16"/>
          <w:lang w:val="es-PR"/>
        </w:rPr>
        <w:t>, supra</w:t>
      </w:r>
      <w:r w:rsidRPr="007E666D">
        <w:rPr>
          <w:rFonts w:ascii="Verdana" w:eastAsia="Batang" w:hAnsi="Verdana"/>
          <w:spacing w:val="-4"/>
          <w:sz w:val="16"/>
          <w:szCs w:val="16"/>
          <w:lang w:val="es-PR"/>
        </w:rPr>
        <w:t xml:space="preserve">, párrs. 46 y 47, y </w:t>
      </w:r>
      <w:r w:rsidRPr="007E666D">
        <w:rPr>
          <w:rFonts w:ascii="Verdana" w:hAnsi="Verdana"/>
          <w:i/>
          <w:spacing w:val="-4"/>
          <w:sz w:val="16"/>
          <w:szCs w:val="16"/>
          <w:lang w:val="es-PR"/>
        </w:rPr>
        <w:t xml:space="preserve">Caso Chitay Nech y otros Vs. Guatemala, supra, </w:t>
      </w:r>
      <w:r w:rsidRPr="007E666D">
        <w:rPr>
          <w:rFonts w:ascii="Verdana" w:hAnsi="Verdana"/>
          <w:spacing w:val="-4"/>
          <w:sz w:val="16"/>
          <w:szCs w:val="16"/>
          <w:lang w:val="es-PR"/>
        </w:rPr>
        <w:t>párr. 269.</w:t>
      </w:r>
    </w:p>
  </w:footnote>
  <w:footnote w:id="382">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bCs/>
          <w:i/>
          <w:spacing w:val="-4"/>
          <w:sz w:val="16"/>
          <w:szCs w:val="16"/>
          <w:lang w:val="es-PR"/>
        </w:rPr>
        <w:t>Cfr. Caso Garrido y Baigorria Vs. Argentina, supra</w:t>
      </w:r>
      <w:r w:rsidRPr="007E666D">
        <w:rPr>
          <w:rFonts w:ascii="Verdana" w:hAnsi="Verdana"/>
          <w:spacing w:val="-4"/>
          <w:sz w:val="16"/>
          <w:szCs w:val="16"/>
          <w:lang w:val="es-PR"/>
        </w:rPr>
        <w:t>, párr. 82</w:t>
      </w:r>
      <w:r w:rsidRPr="007E666D">
        <w:rPr>
          <w:rFonts w:ascii="Verdana" w:hAnsi="Verdana"/>
          <w:bCs/>
          <w:spacing w:val="-4"/>
          <w:sz w:val="16"/>
          <w:szCs w:val="16"/>
          <w:lang w:val="es-PR"/>
        </w:rPr>
        <w:t xml:space="preserve">, y </w:t>
      </w:r>
      <w:r w:rsidRPr="007E666D">
        <w:rPr>
          <w:rFonts w:ascii="Verdana" w:hAnsi="Verdana"/>
          <w:bCs/>
          <w:i/>
          <w:spacing w:val="-4"/>
          <w:sz w:val="16"/>
          <w:szCs w:val="16"/>
          <w:lang w:val="es-PR"/>
        </w:rPr>
        <w:t xml:space="preserve">Caso Canales Huapaya y otros Vs. Perú, supra, </w:t>
      </w:r>
      <w:r w:rsidRPr="007E666D">
        <w:rPr>
          <w:rFonts w:ascii="Verdana" w:hAnsi="Verdana"/>
          <w:bCs/>
          <w:spacing w:val="-4"/>
          <w:sz w:val="16"/>
          <w:szCs w:val="16"/>
          <w:lang w:val="es-PR"/>
        </w:rPr>
        <w:t>párr. 200</w:t>
      </w:r>
      <w:r w:rsidRPr="007E666D">
        <w:rPr>
          <w:rFonts w:ascii="Verdana" w:hAnsi="Verdana"/>
          <w:bCs/>
          <w:i/>
          <w:spacing w:val="-4"/>
          <w:sz w:val="16"/>
          <w:szCs w:val="16"/>
          <w:lang w:val="es-PR"/>
        </w:rPr>
        <w:t>.</w:t>
      </w:r>
    </w:p>
  </w:footnote>
  <w:footnote w:id="383">
    <w:p w:rsidR="00D57F75" w:rsidRPr="007E666D" w:rsidRDefault="00D57F75" w:rsidP="00AB496F">
      <w:pPr>
        <w:pStyle w:val="FootnoteText"/>
        <w:tabs>
          <w:tab w:val="left" w:pos="567"/>
        </w:tabs>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r>
      <w:r w:rsidRPr="007E666D">
        <w:rPr>
          <w:rFonts w:ascii="Verdana" w:hAnsi="Verdana"/>
          <w:i/>
          <w:spacing w:val="-4"/>
          <w:sz w:val="16"/>
          <w:szCs w:val="16"/>
          <w:lang w:val="es-PR"/>
        </w:rPr>
        <w:t>Cfr.</w:t>
      </w:r>
      <w:r w:rsidRPr="007E666D">
        <w:rPr>
          <w:rFonts w:ascii="Verdana" w:hAnsi="Verdana"/>
          <w:spacing w:val="-4"/>
          <w:sz w:val="16"/>
          <w:szCs w:val="16"/>
          <w:lang w:val="es-PR"/>
        </w:rPr>
        <w:t xml:space="preserve"> </w:t>
      </w:r>
      <w:r w:rsidRPr="007E666D">
        <w:rPr>
          <w:rFonts w:ascii="Verdana" w:hAnsi="Verdana"/>
          <w:i/>
          <w:spacing w:val="-4"/>
          <w:sz w:val="16"/>
          <w:szCs w:val="16"/>
          <w:lang w:val="es-PR"/>
        </w:rPr>
        <w:t>Caso Chaparro Álvarez y Lapo Íñiguez</w:t>
      </w:r>
      <w:r w:rsidRPr="007E666D">
        <w:rPr>
          <w:rFonts w:ascii="Verdana" w:hAnsi="Verdana"/>
          <w:spacing w:val="-4"/>
          <w:sz w:val="16"/>
          <w:szCs w:val="16"/>
          <w:lang w:val="es-PR"/>
        </w:rPr>
        <w:t>,</w:t>
      </w:r>
      <w:r w:rsidRPr="007E666D">
        <w:rPr>
          <w:rFonts w:ascii="Verdana" w:hAnsi="Verdana"/>
          <w:i/>
          <w:spacing w:val="-4"/>
          <w:sz w:val="16"/>
          <w:szCs w:val="16"/>
          <w:lang w:val="es-PR"/>
        </w:rPr>
        <w:t xml:space="preserve"> supra,</w:t>
      </w:r>
      <w:r w:rsidRPr="007E666D">
        <w:rPr>
          <w:rFonts w:ascii="Verdana" w:hAnsi="Verdana"/>
          <w:spacing w:val="-4"/>
          <w:sz w:val="16"/>
          <w:szCs w:val="16"/>
          <w:lang w:val="es-PR"/>
        </w:rPr>
        <w:t xml:space="preserve"> párr. 275, y </w:t>
      </w:r>
      <w:r w:rsidRPr="007E666D">
        <w:rPr>
          <w:rFonts w:ascii="Verdana" w:hAnsi="Verdana"/>
          <w:i/>
          <w:spacing w:val="-4"/>
          <w:sz w:val="16"/>
          <w:szCs w:val="16"/>
          <w:lang w:val="es-PR"/>
        </w:rPr>
        <w:t xml:space="preserve">Caso </w:t>
      </w:r>
      <w:r w:rsidRPr="007E666D">
        <w:rPr>
          <w:rFonts w:ascii="Verdana" w:hAnsi="Verdana"/>
          <w:bCs/>
          <w:i/>
          <w:spacing w:val="-4"/>
          <w:sz w:val="16"/>
          <w:szCs w:val="16"/>
          <w:lang w:val="es-PR"/>
        </w:rPr>
        <w:t xml:space="preserve">Canales Huapaya y otros Vs. Perú, supra, </w:t>
      </w:r>
      <w:r w:rsidRPr="007E666D">
        <w:rPr>
          <w:rFonts w:ascii="Verdana" w:hAnsi="Verdana"/>
          <w:bCs/>
          <w:spacing w:val="-4"/>
          <w:sz w:val="16"/>
          <w:szCs w:val="16"/>
          <w:lang w:val="es-PR"/>
        </w:rPr>
        <w:t>párr. 200</w:t>
      </w:r>
      <w:r w:rsidRPr="007E666D">
        <w:rPr>
          <w:rFonts w:ascii="Verdana" w:hAnsi="Verdana"/>
          <w:bCs/>
          <w:i/>
          <w:spacing w:val="-4"/>
          <w:sz w:val="16"/>
          <w:szCs w:val="16"/>
          <w:lang w:val="es-PR"/>
        </w:rPr>
        <w:t>.</w:t>
      </w:r>
    </w:p>
  </w:footnote>
  <w:footnote w:id="384">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i/>
          <w:spacing w:val="-4"/>
          <w:sz w:val="16"/>
          <w:szCs w:val="16"/>
          <w:lang w:val="es-PR"/>
        </w:rPr>
        <w:t>Cfr. Caso Comunidad Campesina de Santa Bárbara Vs. Perú</w:t>
      </w:r>
      <w:r w:rsidRPr="007E666D">
        <w:rPr>
          <w:rFonts w:ascii="Verdana" w:hAnsi="Verdana"/>
          <w:spacing w:val="-4"/>
          <w:sz w:val="16"/>
          <w:szCs w:val="16"/>
          <w:lang w:val="es-PR"/>
        </w:rPr>
        <w:t xml:space="preserve">. Resolución del Presidente en ejercicio de la Corte Interamericana de 9 de junio de 2014. Disponible en: </w:t>
      </w:r>
      <w:r w:rsidRPr="009F73A1">
        <w:rPr>
          <w:rFonts w:ascii="Verdana" w:hAnsi="Verdana"/>
          <w:spacing w:val="-4"/>
          <w:sz w:val="16"/>
          <w:szCs w:val="16"/>
          <w:lang w:val="es-PR"/>
        </w:rPr>
        <w:t>http://www.corteidh.or.cr/docs/asuntos/santabarbara_fv_14.pdf</w:t>
      </w:r>
      <w:r w:rsidRPr="007E666D">
        <w:rPr>
          <w:rFonts w:ascii="Verdana" w:hAnsi="Verdana"/>
          <w:spacing w:val="-4"/>
          <w:sz w:val="16"/>
          <w:szCs w:val="16"/>
          <w:lang w:val="es-PR"/>
        </w:rPr>
        <w:t xml:space="preserve"> </w:t>
      </w:r>
    </w:p>
  </w:footnote>
  <w:footnote w:id="385">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i/>
          <w:spacing w:val="-4"/>
          <w:sz w:val="16"/>
          <w:szCs w:val="16"/>
          <w:lang w:val="es-PR"/>
        </w:rPr>
        <w:t>Cfr. Caso Comunidad Campesina de Santa Bárbara Vs. Perú</w:t>
      </w:r>
      <w:r w:rsidRPr="007E666D">
        <w:rPr>
          <w:rFonts w:ascii="Verdana" w:hAnsi="Verdana"/>
          <w:spacing w:val="-4"/>
          <w:sz w:val="16"/>
          <w:szCs w:val="16"/>
          <w:lang w:val="es-PR"/>
        </w:rPr>
        <w:t>. Resolución del Presidente en ejercicio de la Corte Interamericana de 4 de diciembre de 2014. Disponible en:</w:t>
      </w:r>
      <w:r w:rsidRPr="009F73A1">
        <w:t xml:space="preserve"> </w:t>
      </w:r>
      <w:r w:rsidRPr="009F73A1">
        <w:rPr>
          <w:rFonts w:ascii="Verdana" w:hAnsi="Verdana"/>
          <w:spacing w:val="-4"/>
          <w:sz w:val="16"/>
          <w:szCs w:val="16"/>
          <w:lang w:val="es-PR"/>
        </w:rPr>
        <w:t>http://www.corteidh.or.cr/docs/asuntos/comunidadcampesina_04_12_14.pdf</w:t>
      </w:r>
    </w:p>
  </w:footnote>
  <w:footnote w:id="386">
    <w:p w:rsidR="00D57F75" w:rsidRPr="007E666D" w:rsidRDefault="00D57F75" w:rsidP="00AB496F">
      <w:pPr>
        <w:pStyle w:val="FootnoteText"/>
        <w:contextualSpacing/>
        <w:jc w:val="both"/>
        <w:rPr>
          <w:rFonts w:ascii="Verdana" w:hAnsi="Verdana"/>
          <w:spacing w:val="-4"/>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Informe sobre la Aplicación de Asistencia Legal de Víctimas de 25 de mayo de 2015 (expediente de fondo, folios 1584 a 1628)</w:t>
      </w:r>
    </w:p>
  </w:footnote>
  <w:footnote w:id="387">
    <w:p w:rsidR="00D57F75" w:rsidRPr="007E666D" w:rsidRDefault="00D57F75" w:rsidP="00AB496F">
      <w:pPr>
        <w:pStyle w:val="FootnoteText"/>
        <w:contextualSpacing/>
        <w:jc w:val="both"/>
        <w:rPr>
          <w:rFonts w:ascii="Verdana" w:hAnsi="Verdana"/>
          <w:sz w:val="16"/>
          <w:szCs w:val="16"/>
          <w:lang w:val="es-PR"/>
        </w:rPr>
      </w:pPr>
      <w:r w:rsidRPr="007E666D">
        <w:rPr>
          <w:rStyle w:val="FootnoteReference"/>
          <w:rFonts w:eastAsiaTheme="minorHAnsi"/>
          <w:sz w:val="16"/>
          <w:lang w:val="es-PR"/>
        </w:rPr>
        <w:footnoteRef/>
      </w:r>
      <w:r w:rsidRPr="007E666D">
        <w:rPr>
          <w:rFonts w:ascii="Verdana" w:hAnsi="Verdana"/>
          <w:spacing w:val="-4"/>
          <w:sz w:val="16"/>
          <w:szCs w:val="16"/>
          <w:lang w:val="es-PR"/>
        </w:rPr>
        <w:t xml:space="preserve"> </w:t>
      </w:r>
      <w:r w:rsidRPr="007E666D">
        <w:rPr>
          <w:rFonts w:ascii="Verdana" w:hAnsi="Verdana"/>
          <w:spacing w:val="-4"/>
          <w:sz w:val="16"/>
          <w:szCs w:val="16"/>
          <w:lang w:val="es-PR"/>
        </w:rPr>
        <w:tab/>
        <w:t xml:space="preserve">El Fondo de Asistencia de Víctimas fue aplicado por primera vez en el caso </w:t>
      </w:r>
      <w:r w:rsidRPr="007E666D">
        <w:rPr>
          <w:rFonts w:ascii="Verdana" w:hAnsi="Verdana"/>
          <w:i/>
          <w:spacing w:val="-4"/>
          <w:sz w:val="16"/>
          <w:szCs w:val="16"/>
          <w:lang w:val="es-PR"/>
        </w:rPr>
        <w:t>Contreras y Otros Vs. El Salvador</w:t>
      </w:r>
      <w:r w:rsidRPr="007E666D">
        <w:rPr>
          <w:rFonts w:ascii="Verdana" w:hAnsi="Verdana"/>
          <w:spacing w:val="-4"/>
          <w:sz w:val="16"/>
          <w:szCs w:val="16"/>
          <w:lang w:val="es-PR"/>
        </w:rPr>
        <w:t>, cuya Sentencia fue emitida el de 31 de agosto de 2011.</w:t>
      </w:r>
    </w:p>
  </w:footnote>
  <w:footnote w:id="388">
    <w:p w:rsidR="00D57F75" w:rsidRPr="00E85348" w:rsidRDefault="00D57F75" w:rsidP="00250316">
      <w:pPr>
        <w:pStyle w:val="Estilo4"/>
        <w:rPr>
          <w:sz w:val="16"/>
          <w:szCs w:val="16"/>
        </w:rPr>
      </w:pPr>
      <w:r w:rsidRPr="00E85348">
        <w:rPr>
          <w:rStyle w:val="FootnoteReference"/>
          <w:rFonts w:eastAsiaTheme="minorHAnsi"/>
          <w:sz w:val="16"/>
        </w:rPr>
        <w:footnoteRef/>
      </w:r>
      <w:r w:rsidRPr="00E85348">
        <w:rPr>
          <w:sz w:val="16"/>
          <w:szCs w:val="16"/>
        </w:rPr>
        <w:t xml:space="preserve"> Esta descripción es coincidente con la que se hace en la sentencia, con una excepción que se indicará </w:t>
      </w:r>
      <w:r w:rsidRPr="00661880">
        <w:rPr>
          <w:i/>
          <w:sz w:val="16"/>
          <w:szCs w:val="16"/>
        </w:rPr>
        <w:t>infra</w:t>
      </w:r>
      <w:r w:rsidRPr="00E85348">
        <w:rPr>
          <w:sz w:val="16"/>
          <w:szCs w:val="16"/>
        </w:rPr>
        <w:t>, párr. 8.</w:t>
      </w:r>
    </w:p>
  </w:footnote>
  <w:footnote w:id="389">
    <w:p w:rsidR="00D57F75" w:rsidRPr="00E85348" w:rsidRDefault="00D57F75" w:rsidP="00250316">
      <w:pPr>
        <w:pStyle w:val="Estilo4"/>
        <w:rPr>
          <w:sz w:val="16"/>
          <w:szCs w:val="16"/>
        </w:rPr>
      </w:pPr>
      <w:r w:rsidRPr="00E85348">
        <w:rPr>
          <w:rStyle w:val="FootnoteReference"/>
          <w:rFonts w:eastAsiaTheme="minorHAnsi"/>
          <w:sz w:val="16"/>
        </w:rPr>
        <w:footnoteRef/>
      </w:r>
      <w:r w:rsidRPr="00E85348">
        <w:rPr>
          <w:sz w:val="16"/>
          <w:szCs w:val="16"/>
        </w:rPr>
        <w:t xml:space="preserve"> Informe Final de la Comisión de la Verdad y la Reconciliación del Perú, tomo VII, Sección cuarta: los crímenes y violaciones de los derechos humanos, Capítulo 2, Los casos investigados por la CVR, 2.50 Las ejecuciones extrajudiciales en Santa Bárbara (1881), pág. 531.</w:t>
      </w:r>
    </w:p>
  </w:footnote>
  <w:footnote w:id="390">
    <w:p w:rsidR="00D57F75" w:rsidRPr="00250316" w:rsidRDefault="00D57F75" w:rsidP="00250316">
      <w:pPr>
        <w:pStyle w:val="Estilo4"/>
        <w:spacing w:after="0"/>
        <w:rPr>
          <w:rStyle w:val="FootnoteReference"/>
          <w:rFonts w:eastAsiaTheme="minorHAnsi" w:cs="Times New Roman"/>
          <w:spacing w:val="0"/>
          <w:lang w:val="es-UY"/>
        </w:rPr>
      </w:pPr>
      <w:r w:rsidRPr="00250316">
        <w:rPr>
          <w:rStyle w:val="FootnoteReference"/>
          <w:rFonts w:eastAsiaTheme="minorHAnsi" w:cs="Times New Roman"/>
          <w:spacing w:val="0"/>
          <w:sz w:val="16"/>
          <w:lang w:val="es-UY"/>
        </w:rPr>
        <w:footnoteRef/>
      </w:r>
      <w:r w:rsidRPr="00250316">
        <w:rPr>
          <w:rStyle w:val="FootnoteReference"/>
          <w:rFonts w:eastAsiaTheme="minorHAnsi" w:cs="Times New Roman"/>
          <w:spacing w:val="0"/>
          <w:sz w:val="16"/>
          <w:lang w:val="es-UY"/>
        </w:rPr>
        <w:t xml:space="preserve"> </w:t>
      </w:r>
      <w:r w:rsidRPr="00250316">
        <w:rPr>
          <w:rStyle w:val="FootnoteReference"/>
          <w:rFonts w:eastAsiaTheme="minorHAnsi" w:cs="Times New Roman"/>
          <w:spacing w:val="0"/>
          <w:lang w:val="es-UY"/>
        </w:rPr>
        <w:t>Informe de la CVR, tomo VII, pág. 532.</w:t>
      </w:r>
    </w:p>
  </w:footnote>
  <w:footnote w:id="391">
    <w:p w:rsidR="00D57F75" w:rsidRPr="00250316" w:rsidRDefault="00D57F75" w:rsidP="00250316">
      <w:pPr>
        <w:pStyle w:val="Estilo4"/>
        <w:spacing w:after="0"/>
        <w:rPr>
          <w:rStyle w:val="FootnoteReference"/>
          <w:rFonts w:eastAsiaTheme="minorHAnsi" w:cs="Times New Roman"/>
          <w:spacing w:val="0"/>
          <w:lang w:val="es-UY"/>
        </w:rPr>
      </w:pPr>
      <w:r w:rsidRPr="00250316">
        <w:rPr>
          <w:rStyle w:val="FootnoteReference"/>
          <w:rFonts w:eastAsiaTheme="minorHAnsi" w:cs="Times New Roman"/>
          <w:spacing w:val="0"/>
          <w:sz w:val="16"/>
          <w:lang w:val="es-UY"/>
        </w:rPr>
        <w:footnoteRef/>
      </w:r>
      <w:r w:rsidRPr="00250316">
        <w:rPr>
          <w:rStyle w:val="FootnoteReference"/>
          <w:rFonts w:eastAsiaTheme="minorHAnsi" w:cs="Times New Roman"/>
          <w:spacing w:val="0"/>
          <w:lang w:val="es-UY"/>
        </w:rPr>
        <w:t xml:space="preserve"> Que iba junto a él.</w:t>
      </w:r>
    </w:p>
  </w:footnote>
  <w:footnote w:id="392">
    <w:p w:rsidR="00D57F75" w:rsidRPr="00250316" w:rsidRDefault="00D57F75" w:rsidP="00250316">
      <w:pPr>
        <w:pStyle w:val="Estilo4"/>
        <w:spacing w:after="0"/>
        <w:rPr>
          <w:rStyle w:val="FootnoteReference"/>
          <w:rFonts w:eastAsiaTheme="minorHAnsi" w:cs="Times New Roman"/>
          <w:spacing w:val="0"/>
          <w:lang w:val="es-UY"/>
        </w:rPr>
      </w:pPr>
      <w:r w:rsidRPr="00250316">
        <w:rPr>
          <w:rStyle w:val="FootnoteReference"/>
          <w:rFonts w:eastAsiaTheme="minorHAnsi" w:cs="Times New Roman"/>
          <w:spacing w:val="0"/>
          <w:sz w:val="16"/>
          <w:lang w:val="es-UY"/>
        </w:rPr>
        <w:footnoteRef/>
      </w:r>
      <w:r w:rsidRPr="00250316">
        <w:rPr>
          <w:rStyle w:val="FootnoteReference"/>
          <w:rFonts w:eastAsiaTheme="minorHAnsi" w:cs="Times New Roman"/>
          <w:spacing w:val="0"/>
          <w:lang w:val="es-UY"/>
        </w:rPr>
        <w:t xml:space="preserve"> Informe de la CVR, tomo VII, pág. 533.</w:t>
      </w:r>
    </w:p>
  </w:footnote>
  <w:footnote w:id="393">
    <w:p w:rsidR="00D57F75" w:rsidRPr="00E85348" w:rsidRDefault="00D57F75" w:rsidP="00250316">
      <w:pPr>
        <w:pStyle w:val="Estilo4"/>
        <w:spacing w:after="0"/>
        <w:rPr>
          <w:sz w:val="16"/>
          <w:szCs w:val="16"/>
        </w:rPr>
      </w:pPr>
      <w:r w:rsidRPr="00250316">
        <w:rPr>
          <w:rStyle w:val="FootnoteReference"/>
          <w:rFonts w:eastAsiaTheme="minorHAnsi" w:cs="Times New Roman"/>
          <w:spacing w:val="0"/>
          <w:sz w:val="16"/>
          <w:lang w:val="es-UY"/>
        </w:rPr>
        <w:footnoteRef/>
      </w:r>
      <w:r w:rsidRPr="00250316">
        <w:rPr>
          <w:rStyle w:val="FootnoteReference"/>
          <w:rFonts w:eastAsiaTheme="minorHAnsi" w:cs="Times New Roman"/>
          <w:spacing w:val="0"/>
          <w:lang w:val="es-UY"/>
        </w:rPr>
        <w:t xml:space="preserve"> Informe de la CVR, tomo VII, pág. 534.</w:t>
      </w:r>
    </w:p>
  </w:footnote>
  <w:footnote w:id="394">
    <w:p w:rsidR="00D57F75" w:rsidRPr="00250316" w:rsidRDefault="00D57F75" w:rsidP="00250316">
      <w:pPr>
        <w:pStyle w:val="Estilo4"/>
        <w:spacing w:after="0"/>
        <w:rPr>
          <w:rFonts w:cs="Times New Roman"/>
          <w:spacing w:val="0"/>
          <w:sz w:val="16"/>
          <w:szCs w:val="16"/>
          <w:lang w:val="es-UY"/>
        </w:rPr>
      </w:pPr>
      <w:r w:rsidRPr="00250316">
        <w:rPr>
          <w:rStyle w:val="FootnoteReference"/>
          <w:rFonts w:eastAsiaTheme="minorHAnsi"/>
          <w:sz w:val="16"/>
          <w:lang w:val="es-UY"/>
        </w:rPr>
        <w:footnoteRef/>
      </w:r>
      <w:r w:rsidRPr="00250316">
        <w:rPr>
          <w:rStyle w:val="FootnoteReference"/>
          <w:rFonts w:eastAsiaTheme="minorHAnsi"/>
          <w:lang w:val="es-UY"/>
        </w:rPr>
        <w:t xml:space="preserve"> </w:t>
      </w:r>
      <w:r w:rsidRPr="00250316">
        <w:rPr>
          <w:rFonts w:cs="Times New Roman"/>
          <w:spacing w:val="0"/>
          <w:sz w:val="16"/>
          <w:szCs w:val="16"/>
          <w:lang w:val="es-UY"/>
        </w:rPr>
        <w:t>Informe de la CVR, tomo VII, pág. 533.</w:t>
      </w:r>
    </w:p>
  </w:footnote>
  <w:footnote w:id="395">
    <w:p w:rsidR="00D57F75" w:rsidRPr="00E85348" w:rsidRDefault="00D57F75" w:rsidP="00250316">
      <w:pPr>
        <w:pStyle w:val="Estilo4"/>
        <w:spacing w:after="0"/>
        <w:rPr>
          <w:sz w:val="16"/>
          <w:szCs w:val="16"/>
        </w:rPr>
      </w:pPr>
      <w:r w:rsidRPr="00250316">
        <w:rPr>
          <w:rStyle w:val="FootnoteReference"/>
          <w:rFonts w:eastAsiaTheme="minorHAnsi"/>
          <w:sz w:val="16"/>
          <w:lang w:val="es-UY"/>
        </w:rPr>
        <w:footnoteRef/>
      </w:r>
      <w:r w:rsidRPr="00250316">
        <w:rPr>
          <w:rFonts w:cs="Times New Roman"/>
          <w:spacing w:val="0"/>
          <w:sz w:val="16"/>
          <w:szCs w:val="16"/>
          <w:lang w:val="es-UY"/>
        </w:rPr>
        <w:t xml:space="preserve"> Informe de la CVR, tomo VII, págs. 533-534.</w:t>
      </w:r>
    </w:p>
  </w:footnote>
  <w:footnote w:id="396">
    <w:p w:rsidR="00D57F75" w:rsidRPr="00E85348" w:rsidRDefault="00D57F75" w:rsidP="00250316">
      <w:pPr>
        <w:pStyle w:val="Estilo4"/>
        <w:rPr>
          <w:sz w:val="16"/>
          <w:szCs w:val="16"/>
        </w:rPr>
      </w:pPr>
      <w:r w:rsidRPr="00E85348">
        <w:rPr>
          <w:rStyle w:val="FootnoteReference"/>
          <w:rFonts w:eastAsiaTheme="minorHAnsi"/>
          <w:sz w:val="16"/>
        </w:rPr>
        <w:footnoteRef/>
      </w:r>
      <w:r w:rsidRPr="00E85348">
        <w:rPr>
          <w:sz w:val="16"/>
          <w:szCs w:val="16"/>
        </w:rPr>
        <w:t xml:space="preserve"> Informe de la CVR, tomo VII, págs. 534-535.</w:t>
      </w:r>
    </w:p>
  </w:footnote>
  <w:footnote w:id="397">
    <w:p w:rsidR="00D57F75" w:rsidRPr="00E85348" w:rsidRDefault="00D57F75" w:rsidP="00384C35">
      <w:pPr>
        <w:pStyle w:val="Estilo4"/>
        <w:spacing w:after="0"/>
        <w:rPr>
          <w:sz w:val="16"/>
          <w:szCs w:val="16"/>
        </w:rPr>
      </w:pPr>
      <w:r w:rsidRPr="00E85348">
        <w:rPr>
          <w:rStyle w:val="FootnoteReference"/>
          <w:rFonts w:eastAsiaTheme="minorHAnsi"/>
          <w:sz w:val="16"/>
        </w:rPr>
        <w:footnoteRef/>
      </w:r>
      <w:r w:rsidRPr="00E85348">
        <w:rPr>
          <w:sz w:val="16"/>
          <w:szCs w:val="16"/>
        </w:rPr>
        <w:t xml:space="preserve"> Informe de la CVR, tomo VII, págs. 535-536.</w:t>
      </w:r>
    </w:p>
  </w:footnote>
  <w:footnote w:id="398">
    <w:p w:rsidR="00D57F75" w:rsidRPr="00E85348" w:rsidRDefault="00D57F75" w:rsidP="00250316">
      <w:pPr>
        <w:pStyle w:val="Estilo4"/>
        <w:spacing w:after="0"/>
        <w:rPr>
          <w:sz w:val="16"/>
          <w:szCs w:val="16"/>
        </w:rPr>
      </w:pPr>
      <w:r w:rsidRPr="00E85348">
        <w:rPr>
          <w:rStyle w:val="FootnoteReference"/>
          <w:rFonts w:eastAsiaTheme="minorHAnsi"/>
          <w:sz w:val="16"/>
        </w:rPr>
        <w:footnoteRef/>
      </w:r>
      <w:r w:rsidRPr="00E85348">
        <w:rPr>
          <w:sz w:val="16"/>
          <w:szCs w:val="16"/>
        </w:rPr>
        <w:t xml:space="preserve"> </w:t>
      </w:r>
      <w:r w:rsidRPr="00250316">
        <w:rPr>
          <w:rFonts w:cs="Times New Roman"/>
          <w:spacing w:val="0"/>
          <w:sz w:val="16"/>
          <w:szCs w:val="16"/>
          <w:lang w:val="es-UY"/>
        </w:rPr>
        <w:t>Informe de la CVR, tomo VII, pág. 536.</w:t>
      </w:r>
    </w:p>
  </w:footnote>
  <w:footnote w:id="399">
    <w:p w:rsidR="00D57F75" w:rsidRPr="00E85348" w:rsidRDefault="00D57F75" w:rsidP="00250316">
      <w:pPr>
        <w:pStyle w:val="Estilo4"/>
        <w:spacing w:after="0"/>
        <w:rPr>
          <w:sz w:val="16"/>
          <w:szCs w:val="16"/>
        </w:rPr>
      </w:pPr>
      <w:r w:rsidRPr="00E85348">
        <w:rPr>
          <w:rStyle w:val="FootnoteReference"/>
          <w:rFonts w:eastAsiaTheme="minorHAnsi"/>
          <w:sz w:val="16"/>
        </w:rPr>
        <w:footnoteRef/>
      </w:r>
      <w:r w:rsidRPr="00E85348">
        <w:rPr>
          <w:sz w:val="16"/>
          <w:szCs w:val="16"/>
        </w:rPr>
        <w:t xml:space="preserve"> </w:t>
      </w:r>
      <w:r w:rsidRPr="00250316">
        <w:rPr>
          <w:rFonts w:cs="Times New Roman"/>
          <w:spacing w:val="0"/>
          <w:sz w:val="16"/>
          <w:szCs w:val="16"/>
          <w:lang w:val="es-UY"/>
        </w:rPr>
        <w:t xml:space="preserve">Informe de la CVR, tomo VII, Sección cuarta: los crímenes y violaciones de los derechos humanos, Capítulo 2, págs. 538 (Zósimo Hilario Quispe, 29 de noviembre de 1991, “delitos contra la vida, el cuerpo y la salud (Homicidio)”; Sentencia, </w:t>
      </w:r>
      <w:proofErr w:type="spellStart"/>
      <w:r w:rsidRPr="00250316">
        <w:rPr>
          <w:rFonts w:cs="Times New Roman"/>
          <w:spacing w:val="0"/>
          <w:sz w:val="16"/>
          <w:szCs w:val="16"/>
          <w:lang w:val="es-UY"/>
        </w:rPr>
        <w:t>párrs</w:t>
      </w:r>
      <w:proofErr w:type="spellEnd"/>
      <w:r w:rsidRPr="00250316">
        <w:rPr>
          <w:rFonts w:cs="Times New Roman"/>
          <w:spacing w:val="0"/>
          <w:sz w:val="16"/>
          <w:szCs w:val="16"/>
          <w:lang w:val="es-UY"/>
        </w:rPr>
        <w:t>. 97 y 98, (Viviano Hilario Mancha, 12 de julio de 1991, “delito de homicidio”), y Sentencia, párr. 100 (Nicolás Hilario Morán, Presidente del Consejo de Administración de la comunidad campesina de Santa Bárbara, y Máximo Pérez Torres, Tesorero de la Agencia Municipal de la misma comunidad, 17 de julio de 1991, “homicidio”).</w:t>
      </w:r>
    </w:p>
  </w:footnote>
  <w:footnote w:id="400">
    <w:p w:rsidR="00D57F75" w:rsidRPr="00E85348" w:rsidRDefault="00D57F75" w:rsidP="00384C35">
      <w:pPr>
        <w:pStyle w:val="Estilo4"/>
        <w:spacing w:after="0"/>
        <w:rPr>
          <w:sz w:val="16"/>
          <w:szCs w:val="16"/>
        </w:rPr>
      </w:pPr>
      <w:r w:rsidRPr="00E85348">
        <w:rPr>
          <w:rStyle w:val="FootnoteReference"/>
          <w:rFonts w:eastAsiaTheme="minorHAnsi"/>
          <w:sz w:val="16"/>
        </w:rPr>
        <w:footnoteRef/>
      </w:r>
      <w:r w:rsidRPr="00E85348">
        <w:rPr>
          <w:sz w:val="16"/>
          <w:szCs w:val="16"/>
        </w:rPr>
        <w:t xml:space="preserve"> </w:t>
      </w:r>
      <w:r w:rsidRPr="00384C35">
        <w:rPr>
          <w:rFonts w:cs="Times New Roman"/>
          <w:spacing w:val="0"/>
          <w:sz w:val="16"/>
          <w:szCs w:val="16"/>
          <w:lang w:val="es-UY"/>
        </w:rPr>
        <w:t xml:space="preserve">Informe de la CVR, tomo VII, págs. 538 (Fiscalía Provincial de Huancavelica, “delitos contra la vida, el cuerpo y la salud en la modalidad de Genocidio”, así como contra el patrimonio, contra la administración pública y contra la administración de justicia, y en un caso por delito contra la libertad – violación de la libertad sexual); pág. 539 (Auditor de la 2da. Zona Judicial del Ejército, en que se sostiene que hubo “homicidio calificado, abuso de autoridad, negligencia, exacciones y robos, contra el deber y la dignidad de la función y violación sexual”, y “se admite que la masacre de los pobladores se produjo a manos de los militares al mando del Teniente </w:t>
      </w:r>
      <w:proofErr w:type="spellStart"/>
      <w:r w:rsidRPr="00384C35">
        <w:rPr>
          <w:rFonts w:cs="Times New Roman"/>
          <w:spacing w:val="0"/>
          <w:sz w:val="16"/>
          <w:szCs w:val="16"/>
          <w:lang w:val="es-UY"/>
        </w:rPr>
        <w:t>Inf</w:t>
      </w:r>
      <w:proofErr w:type="spellEnd"/>
      <w:r w:rsidRPr="00384C35">
        <w:rPr>
          <w:rFonts w:cs="Times New Roman"/>
          <w:spacing w:val="0"/>
          <w:sz w:val="16"/>
          <w:szCs w:val="16"/>
          <w:lang w:val="es-UY"/>
        </w:rPr>
        <w:t xml:space="preserve">. EP Javier </w:t>
      </w:r>
      <w:proofErr w:type="spellStart"/>
      <w:r w:rsidRPr="00384C35">
        <w:rPr>
          <w:rFonts w:cs="Times New Roman"/>
          <w:spacing w:val="0"/>
          <w:sz w:val="16"/>
          <w:szCs w:val="16"/>
          <w:lang w:val="es-UY"/>
        </w:rPr>
        <w:t>Bendezú</w:t>
      </w:r>
      <w:proofErr w:type="spellEnd"/>
      <w:r w:rsidRPr="00384C35">
        <w:rPr>
          <w:rFonts w:cs="Times New Roman"/>
          <w:spacing w:val="0"/>
          <w:sz w:val="16"/>
          <w:szCs w:val="16"/>
          <w:lang w:val="es-UY"/>
        </w:rPr>
        <w:t xml:space="preserve"> Vargas y tipificando como homicidio calificado el delito cometido por dicho oficial”); pág. 541 (Ministerio Público de Huancavelica, ampliación de denuncia para incluir a varios militares como “coautores intelectuales de la masacre” por ser “jefes responsables de los batallones contrasubversivos” involucrados), y pág. 542 (informe del Juez Penal Provisional de Huancavelica a la Sala Penal, que concluye que se había acreditado la comisión de los delitos de abuso de autoridad, extorsión, genocidio, robo y contra la libertad sexual-violación sexual).</w:t>
      </w:r>
    </w:p>
  </w:footnote>
  <w:footnote w:id="401">
    <w:p w:rsidR="00D57F75" w:rsidRPr="00E85348" w:rsidRDefault="00D57F75" w:rsidP="00384C35">
      <w:pPr>
        <w:pStyle w:val="Estilo4"/>
        <w:spacing w:after="0"/>
        <w:rPr>
          <w:sz w:val="16"/>
          <w:szCs w:val="16"/>
        </w:rPr>
      </w:pPr>
      <w:r w:rsidRPr="00E85348">
        <w:rPr>
          <w:rStyle w:val="FootnoteReference"/>
          <w:rFonts w:eastAsiaTheme="minorHAnsi"/>
          <w:sz w:val="16"/>
        </w:rPr>
        <w:footnoteRef/>
      </w:r>
      <w:r w:rsidRPr="00E85348">
        <w:rPr>
          <w:sz w:val="16"/>
          <w:szCs w:val="16"/>
        </w:rPr>
        <w:t xml:space="preserve"> </w:t>
      </w:r>
      <w:r w:rsidRPr="00384C35">
        <w:rPr>
          <w:rFonts w:cs="Times New Roman"/>
          <w:spacing w:val="0"/>
          <w:sz w:val="16"/>
          <w:szCs w:val="16"/>
          <w:lang w:val="es-UY"/>
        </w:rPr>
        <w:t xml:space="preserve">Ministerio Público, sustitución de la calificación de genocidio por la de “homicidio calificado con las agravantes de ferocidad y gran crueldad con referencia a la muerte de los quince pobladores de </w:t>
      </w:r>
      <w:proofErr w:type="spellStart"/>
      <w:r w:rsidRPr="00384C35">
        <w:rPr>
          <w:rFonts w:cs="Times New Roman"/>
          <w:spacing w:val="0"/>
          <w:sz w:val="16"/>
          <w:szCs w:val="16"/>
          <w:lang w:val="es-UY"/>
        </w:rPr>
        <w:t>Rodeopampa</w:t>
      </w:r>
      <w:proofErr w:type="spellEnd"/>
      <w:r w:rsidRPr="00384C35">
        <w:rPr>
          <w:rFonts w:cs="Times New Roman"/>
          <w:spacing w:val="0"/>
          <w:sz w:val="16"/>
          <w:szCs w:val="16"/>
          <w:lang w:val="es-UY"/>
        </w:rPr>
        <w:t>”; Sala Penal Nacional de la Corte Superior de Justica de Lima, calificación como delito de lesa humanidad y consiguiente imprescriptibilidad de la acción penal, y condena por homicidio calificado por ferocidad y alevosía.</w:t>
      </w:r>
    </w:p>
  </w:footnote>
  <w:footnote w:id="402">
    <w:p w:rsidR="00D57F75" w:rsidRPr="00384C35" w:rsidRDefault="00D57F75" w:rsidP="00250316">
      <w:pPr>
        <w:pStyle w:val="Estilo4"/>
        <w:rPr>
          <w:sz w:val="16"/>
          <w:szCs w:val="16"/>
          <w:lang w:val="es-UY"/>
        </w:rPr>
      </w:pPr>
      <w:r w:rsidRPr="00E85348">
        <w:rPr>
          <w:rStyle w:val="FootnoteReference"/>
          <w:rFonts w:eastAsiaTheme="minorHAnsi"/>
          <w:sz w:val="16"/>
        </w:rPr>
        <w:footnoteRef/>
      </w:r>
      <w:r w:rsidRPr="00E85348">
        <w:rPr>
          <w:sz w:val="16"/>
          <w:szCs w:val="16"/>
        </w:rPr>
        <w:t xml:space="preserve"> </w:t>
      </w:r>
      <w:r w:rsidRPr="00384C35">
        <w:rPr>
          <w:rFonts w:cs="Times New Roman"/>
          <w:spacing w:val="0"/>
          <w:sz w:val="16"/>
          <w:szCs w:val="16"/>
          <w:lang w:val="es-UY"/>
        </w:rPr>
        <w:t>Documento de Naciones Unidas E/CN.4/1994/7/Add.2, del 15 de noviembre de 1993. Informe del Relator Especial sobre las ejecuciones extrajudiciales, sumarias o arbitrarias de la ONU sobre su misión en el Perú del 24 de mayo al 2 de junio de 1993, párr. 53. Este informe no parece haber sido considerado en la sentencia. El informe, de acuerdo con la terminología de Naciones Unidas, se refiere a “la matanza de Santa Bárbara” (párr. 23). En él se hacen numerosas referencias a las desapariciones forzadas, distinguiéndolas claramente de las ejecuciones extrajudiciales pero señalando que en ocasiones lo que comienza como desaparición forzada termina como ejecución extrajudicial. No aplica esta última observación a la matanza de Santa Bárbara.</w:t>
      </w:r>
    </w:p>
  </w:footnote>
  <w:footnote w:id="403">
    <w:p w:rsidR="00D57F75" w:rsidRPr="00E85348" w:rsidRDefault="00D57F75" w:rsidP="00250316">
      <w:pPr>
        <w:pStyle w:val="Estilo4"/>
        <w:rPr>
          <w:sz w:val="16"/>
          <w:szCs w:val="16"/>
        </w:rPr>
      </w:pPr>
      <w:r w:rsidRPr="00E85348">
        <w:rPr>
          <w:rStyle w:val="FootnoteReference"/>
          <w:rFonts w:eastAsiaTheme="minorHAnsi"/>
          <w:sz w:val="16"/>
        </w:rPr>
        <w:footnoteRef/>
      </w:r>
      <w:r w:rsidRPr="00E85348">
        <w:rPr>
          <w:sz w:val="16"/>
          <w:szCs w:val="16"/>
        </w:rPr>
        <w:t xml:space="preserve"> </w:t>
      </w:r>
      <w:r w:rsidRPr="00384C35">
        <w:rPr>
          <w:rFonts w:cs="Times New Roman"/>
          <w:spacing w:val="0"/>
          <w:sz w:val="16"/>
          <w:szCs w:val="16"/>
          <w:lang w:val="es-UY"/>
        </w:rPr>
        <w:t>El texto del párrafo 25 es el siguiente: “Por tanto, ha cesado la controversia respecto a esos hechos. Por otra parte, se mantiene la controversia respecto de: i) los presuntos robos de bienes y quema de viviendas de las víctimas; ii) las denuncias interpuestas con posterioridad a los hechos y las respuestas de las autoridades estatales frente a las mismas; iii) la forma en que se llevaron a cabo las investigaciones realizadas sobre lo sucedido, la recuperación e identificación de los restos y los procedimientos forenses; iv) la supuesta existencia de una serie de mecanismos de encubrimiento que tuvieron un claro carácter deliberado y que incluyen, por lo menos, la negación de las detenciones, el uso de dinamita en múltiples oportunidades y durante los primeros diez días de ocurridos los hechos en la mina abandonada llamada “Misteriosa” o “</w:t>
      </w:r>
      <w:proofErr w:type="spellStart"/>
      <w:r w:rsidRPr="00384C35">
        <w:rPr>
          <w:rFonts w:cs="Times New Roman"/>
          <w:spacing w:val="0"/>
          <w:sz w:val="16"/>
          <w:szCs w:val="16"/>
          <w:lang w:val="es-UY"/>
        </w:rPr>
        <w:t>Vallarón</w:t>
      </w:r>
      <w:proofErr w:type="spellEnd"/>
      <w:r w:rsidRPr="00384C35">
        <w:rPr>
          <w:rFonts w:cs="Times New Roman"/>
          <w:spacing w:val="0"/>
          <w:sz w:val="16"/>
          <w:szCs w:val="16"/>
          <w:lang w:val="es-UY"/>
        </w:rPr>
        <w:t>” como un mecanismo para destruir las evidencias de lo ocurrido, hostigamientos y detenciones de comuneros que denunciaron los hechos, y amenazas a operadores judiciales, y v) la presunta falta de debida diligencia e irregularidades en la captura de los procesados ausentes”.</w:t>
      </w:r>
      <w:r w:rsidRPr="00E85348">
        <w:rPr>
          <w:sz w:val="16"/>
          <w:szCs w:val="16"/>
        </w:rPr>
        <w:t xml:space="preserve"> </w:t>
      </w:r>
    </w:p>
  </w:footnote>
  <w:footnote w:id="404">
    <w:p w:rsidR="00D57F75" w:rsidRPr="00117CCF" w:rsidRDefault="00D57F75" w:rsidP="00250316">
      <w:pPr>
        <w:pStyle w:val="FootnoteText"/>
        <w:rPr>
          <w:rFonts w:ascii="Times New Roman" w:hAnsi="Times New Roman" w:cs="Times New Roman"/>
          <w:sz w:val="18"/>
          <w:szCs w:val="18"/>
        </w:rPr>
      </w:pPr>
      <w:r w:rsidRPr="00117CCF">
        <w:rPr>
          <w:rStyle w:val="FootnoteReference"/>
          <w:rFonts w:ascii="Times New Roman" w:eastAsiaTheme="minorHAnsi" w:hAnsi="Times New Roman" w:cs="Times New Roman"/>
          <w:sz w:val="18"/>
          <w:szCs w:val="18"/>
        </w:rPr>
        <w:footnoteRef/>
      </w:r>
      <w:r w:rsidRPr="00117CCF">
        <w:rPr>
          <w:rFonts w:ascii="Times New Roman" w:hAnsi="Times New Roman" w:cs="Times New Roman"/>
          <w:sz w:val="18"/>
          <w:szCs w:val="18"/>
        </w:rPr>
        <w:t xml:space="preserve"> Informe de la CVR, tomo VII, pág. 532</w:t>
      </w:r>
      <w:r>
        <w:rPr>
          <w:rFonts w:ascii="Times New Roman" w:hAnsi="Times New Roman" w:cs="Times New Roman"/>
          <w:sz w:val="18"/>
          <w:szCs w:val="18"/>
        </w:rPr>
        <w:t>.</w:t>
      </w:r>
    </w:p>
  </w:footnote>
  <w:footnote w:id="405">
    <w:p w:rsidR="00D57F75" w:rsidRPr="00E85348" w:rsidRDefault="00D57F75" w:rsidP="00250316">
      <w:pPr>
        <w:pStyle w:val="Estilo4"/>
        <w:rPr>
          <w:sz w:val="16"/>
          <w:szCs w:val="16"/>
        </w:rPr>
      </w:pPr>
      <w:r w:rsidRPr="00E85348">
        <w:rPr>
          <w:rStyle w:val="FootnoteReference"/>
          <w:rFonts w:eastAsiaTheme="minorHAnsi"/>
          <w:sz w:val="16"/>
        </w:rPr>
        <w:footnoteRef/>
      </w:r>
      <w:r w:rsidRPr="00E85348">
        <w:rPr>
          <w:sz w:val="16"/>
          <w:szCs w:val="16"/>
        </w:rPr>
        <w:t xml:space="preserve"> Informe de la CVR, tomo VI, Sección cuarta: los crímenes y violaciones de los derechos humanos, Capítulo 1: Patrones en la perpetración de los crímenes y de las violaciones de los derechos humanos, pág. 84.</w:t>
      </w:r>
    </w:p>
  </w:footnote>
  <w:footnote w:id="406">
    <w:p w:rsidR="00D57F75" w:rsidRPr="00D57F75" w:rsidRDefault="00D57F75" w:rsidP="00D57F75">
      <w:pPr>
        <w:pStyle w:val="NormalWeb"/>
        <w:rPr>
          <w:lang w:val="es-ES"/>
        </w:rPr>
      </w:pPr>
      <w:r w:rsidRPr="00DE67CE">
        <w:rPr>
          <w:rStyle w:val="FootnoteReference"/>
          <w:rFonts w:cs="Calibri"/>
          <w:sz w:val="16"/>
        </w:rPr>
        <w:footnoteRef/>
      </w:r>
      <w:r w:rsidRPr="00D57F75">
        <w:rPr>
          <w:lang w:val="es-ES"/>
        </w:rPr>
        <w:t xml:space="preserve"> Art. </w:t>
      </w:r>
      <w:r w:rsidRPr="00D57F75">
        <w:rPr>
          <w:bCs w:val="0"/>
          <w:lang w:val="es-ES"/>
        </w:rPr>
        <w:t xml:space="preserve">66.2 de la Convención Americana sobre Derechos Humanos: </w:t>
      </w:r>
      <w:r w:rsidRPr="00D57F75">
        <w:rPr>
          <w:lang w:val="es-ES"/>
        </w:rPr>
        <w:t>“</w:t>
      </w:r>
      <w:r w:rsidRPr="00D57F75">
        <w:rPr>
          <w:i/>
          <w:lang w:val="es-ES"/>
        </w:rPr>
        <w:t>Si el fallo no expresare en todo o en parte la opinión unánime de los jueces, cualquiera de éstos tendrá derecho a que se agregue al fallo su opinión disidente o individual</w:t>
      </w:r>
      <w:r w:rsidRPr="00D57F75">
        <w:rPr>
          <w:lang w:val="es-ES"/>
        </w:rPr>
        <w:t>”; Art. 24.3 del Estatuto de la Corte: “</w:t>
      </w:r>
      <w:r w:rsidRPr="00D57F75">
        <w:rPr>
          <w:i/>
          <w:lang w:val="es-ES"/>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w:t>
      </w:r>
      <w:r w:rsidRPr="00D57F75">
        <w:rPr>
          <w:lang w:val="es-ES"/>
        </w:rPr>
        <w:t>”, y Art. 65.2 del Reglamento de la Corte:</w:t>
      </w:r>
      <w:r w:rsidRPr="00D57F75">
        <w:rPr>
          <w:rFonts w:eastAsia="Calibri"/>
          <w:lang w:val="es-ES"/>
        </w:rPr>
        <w:t xml:space="preserve"> “</w:t>
      </w:r>
      <w:r w:rsidRPr="00D57F75">
        <w:rPr>
          <w:rFonts w:eastAsia="Calibri"/>
          <w:i/>
          <w:lang w:val="es-ES"/>
        </w:rPr>
        <w:t xml:space="preserve">Todo Juez que haya participado en el examen de un caso tiene derecho a unir a la sentencia su voto concurrente o disidente que deberá ser razonado. Estos votos deberán ser </w:t>
      </w:r>
      <w:r w:rsidRPr="00DE67CE">
        <w:rPr>
          <w:rFonts w:eastAsia="Batang"/>
          <w:i/>
          <w:lang w:val="es-CR" w:eastAsia="es-MX"/>
        </w:rPr>
        <w:t>presentados</w:t>
      </w:r>
      <w:r w:rsidRPr="00D57F75">
        <w:rPr>
          <w:rFonts w:eastAsia="Calibri"/>
          <w:i/>
          <w:lang w:val="es-ES"/>
        </w:rPr>
        <w:t xml:space="preserve"> dentro del plazo fijado por la Presidencia, de modo que puedan ser conocidos por los Jueces antes de la notificación de la sentencia. Dichos votos sólo podrán referirse a lo tratado en las sentencias</w:t>
      </w:r>
      <w:r w:rsidRPr="00D57F75">
        <w:rPr>
          <w:rFonts w:eastAsia="Calibri"/>
          <w:lang w:val="es-ES"/>
        </w:rPr>
        <w:t>.”</w:t>
      </w:r>
    </w:p>
  </w:footnote>
  <w:footnote w:id="407">
    <w:p w:rsidR="00D57F75" w:rsidRPr="004A22BA" w:rsidRDefault="00D57F75" w:rsidP="004A22BA">
      <w:pPr>
        <w:pStyle w:val="FootnoteText"/>
        <w:spacing w:after="120"/>
        <w:jc w:val="both"/>
        <w:rPr>
          <w:rStyle w:val="FootnoteReference"/>
          <w:rFonts w:eastAsia="Batang" w:cs="Times New Roman"/>
          <w:spacing w:val="0"/>
          <w:sz w:val="16"/>
          <w:vertAlign w:val="baseline"/>
          <w:lang w:val="es-CR" w:eastAsia="es-MX" w:bidi="ar-SA"/>
        </w:rPr>
      </w:pPr>
      <w:r w:rsidRPr="004A22BA">
        <w:rPr>
          <w:rStyle w:val="FootnoteReference"/>
          <w:rFonts w:eastAsia="Batang" w:cs="Times New Roman"/>
          <w:iCs w:val="0"/>
          <w:spacing w:val="0"/>
          <w:sz w:val="16"/>
          <w:lang w:val="es-CR" w:eastAsia="es-MX" w:bidi="ar-SA"/>
        </w:rPr>
        <w:footnoteRef/>
      </w:r>
      <w:r w:rsidRPr="004A22BA">
        <w:rPr>
          <w:rStyle w:val="FootnoteReference"/>
          <w:rFonts w:eastAsia="Batang" w:cs="Times New Roman"/>
          <w:spacing w:val="0"/>
          <w:sz w:val="16"/>
          <w:vertAlign w:val="baseline"/>
          <w:lang w:val="es-CR" w:eastAsia="es-MX" w:bidi="ar-SA"/>
        </w:rPr>
        <w:t xml:space="preserve"> En adelante la Sentencia.</w:t>
      </w:r>
    </w:p>
  </w:footnote>
  <w:footnote w:id="408">
    <w:p w:rsidR="00D57F75" w:rsidRPr="004A22BA" w:rsidRDefault="00D57F75" w:rsidP="004A22BA">
      <w:pPr>
        <w:pStyle w:val="FootnoteText"/>
        <w:spacing w:after="120"/>
        <w:jc w:val="both"/>
        <w:rPr>
          <w:rStyle w:val="FootnoteReference"/>
          <w:rFonts w:eastAsia="Batang" w:cs="Times New Roman"/>
          <w:spacing w:val="0"/>
          <w:sz w:val="16"/>
          <w:vertAlign w:val="baseline"/>
          <w:lang w:val="es-CR" w:eastAsia="es-MX" w:bidi="ar-SA"/>
        </w:rPr>
      </w:pPr>
      <w:r w:rsidRPr="004A22BA">
        <w:rPr>
          <w:rStyle w:val="FootnoteReference"/>
          <w:rFonts w:eastAsia="Batang" w:cs="Times New Roman"/>
          <w:iCs w:val="0"/>
          <w:spacing w:val="0"/>
          <w:sz w:val="16"/>
          <w:lang w:val="es-CR" w:eastAsia="es-MX" w:bidi="ar-SA"/>
        </w:rPr>
        <w:footnoteRef/>
      </w:r>
      <w:r w:rsidRPr="004A22BA">
        <w:rPr>
          <w:rStyle w:val="FootnoteReference"/>
          <w:rFonts w:eastAsia="Batang" w:cs="Times New Roman"/>
          <w:spacing w:val="0"/>
          <w:sz w:val="16"/>
          <w:vertAlign w:val="baseline"/>
          <w:lang w:val="es-CR" w:eastAsia="es-MX" w:bidi="ar-SA"/>
        </w:rPr>
        <w:t xml:space="preserve"> En adelante la Convención.</w:t>
      </w:r>
    </w:p>
  </w:footnote>
  <w:footnote w:id="409">
    <w:p w:rsidR="00D57F75" w:rsidRPr="004A22BA" w:rsidRDefault="00D57F75" w:rsidP="004A22BA">
      <w:pPr>
        <w:pStyle w:val="FootnoteText"/>
        <w:spacing w:after="120"/>
        <w:jc w:val="both"/>
        <w:rPr>
          <w:rStyle w:val="FootnoteReference"/>
          <w:rFonts w:eastAsia="Batang" w:cs="Times New Roman"/>
          <w:spacing w:val="0"/>
          <w:sz w:val="16"/>
          <w:vertAlign w:val="baseline"/>
          <w:lang w:val="es-CR" w:eastAsia="es-MX" w:bidi="ar-SA"/>
        </w:rPr>
      </w:pPr>
      <w:r w:rsidRPr="004A22BA">
        <w:rPr>
          <w:rStyle w:val="FootnoteReference"/>
          <w:rFonts w:eastAsia="Batang" w:cs="Times New Roman"/>
          <w:iCs w:val="0"/>
          <w:spacing w:val="0"/>
          <w:sz w:val="16"/>
          <w:lang w:val="es-CR" w:eastAsia="es-MX" w:bidi="ar-SA"/>
        </w:rPr>
        <w:footnoteRef/>
      </w:r>
      <w:r w:rsidRPr="004A22BA">
        <w:rPr>
          <w:rStyle w:val="FootnoteReference"/>
          <w:rFonts w:eastAsia="Batang" w:cs="Times New Roman"/>
          <w:spacing w:val="0"/>
          <w:sz w:val="16"/>
          <w:vertAlign w:val="baseline"/>
          <w:lang w:val="es-CR" w:eastAsia="es-MX" w:bidi="ar-SA"/>
        </w:rPr>
        <w:t xml:space="preserve"> En adelante el Estado.</w:t>
      </w:r>
    </w:p>
  </w:footnote>
  <w:footnote w:id="410">
    <w:p w:rsidR="00D57F75" w:rsidRPr="004A22BA" w:rsidRDefault="00D57F75" w:rsidP="004A22BA">
      <w:pPr>
        <w:pStyle w:val="FootnoteText"/>
        <w:spacing w:after="120"/>
        <w:jc w:val="both"/>
        <w:rPr>
          <w:rStyle w:val="FootnoteReference"/>
          <w:rFonts w:eastAsia="Batang" w:cs="Times New Roman"/>
          <w:spacing w:val="0"/>
          <w:sz w:val="16"/>
          <w:vertAlign w:val="baseline"/>
          <w:lang w:val="es-CR" w:eastAsia="es-MX" w:bidi="ar-SA"/>
        </w:rPr>
      </w:pPr>
      <w:r w:rsidRPr="004A22BA">
        <w:rPr>
          <w:rStyle w:val="FootnoteReference"/>
          <w:rFonts w:eastAsia="Batang" w:cs="Times New Roman"/>
          <w:iCs w:val="0"/>
          <w:spacing w:val="0"/>
          <w:sz w:val="16"/>
          <w:lang w:val="es-CR" w:eastAsia="es-MX" w:bidi="ar-SA"/>
        </w:rPr>
        <w:footnoteRef/>
      </w:r>
      <w:r w:rsidRPr="004A22BA">
        <w:rPr>
          <w:rStyle w:val="FootnoteReference"/>
          <w:rFonts w:eastAsia="Batang" w:cs="Times New Roman"/>
          <w:spacing w:val="0"/>
          <w:sz w:val="16"/>
          <w:vertAlign w:val="baseline"/>
          <w:lang w:val="es-CR" w:eastAsia="es-MX" w:bidi="ar-SA"/>
        </w:rPr>
        <w:t xml:space="preserve"> Párr. 45 de la Sentencia. En adelante, cada vez que se indique solo “Párr.” se entenderá que es de la Sentencia.</w:t>
      </w:r>
    </w:p>
  </w:footnote>
  <w:footnote w:id="411">
    <w:p w:rsidR="00D57F75" w:rsidRPr="004A22BA" w:rsidRDefault="00D57F75" w:rsidP="004A22BA">
      <w:pPr>
        <w:pStyle w:val="FootnoteText"/>
        <w:spacing w:after="120"/>
        <w:jc w:val="both"/>
        <w:rPr>
          <w:rStyle w:val="FootnoteReference"/>
          <w:rFonts w:eastAsia="Batang" w:cs="Times New Roman"/>
          <w:spacing w:val="0"/>
          <w:sz w:val="16"/>
          <w:vertAlign w:val="baseline"/>
          <w:lang w:val="es-CR" w:eastAsia="es-MX" w:bidi="ar-SA"/>
        </w:rPr>
      </w:pPr>
      <w:r w:rsidRPr="004A22BA">
        <w:rPr>
          <w:rStyle w:val="FootnoteReference"/>
          <w:rFonts w:eastAsia="Batang" w:cs="Times New Roman"/>
          <w:iCs w:val="0"/>
          <w:spacing w:val="0"/>
          <w:sz w:val="16"/>
          <w:lang w:val="es-CR" w:eastAsia="es-MX" w:bidi="ar-SA"/>
        </w:rPr>
        <w:footnoteRef/>
      </w:r>
      <w:r w:rsidRPr="004A22BA">
        <w:rPr>
          <w:rStyle w:val="FootnoteReference"/>
          <w:rFonts w:eastAsia="Batang" w:cs="Times New Roman"/>
          <w:spacing w:val="0"/>
          <w:sz w:val="16"/>
          <w:vertAlign w:val="baseline"/>
          <w:lang w:val="es-CR" w:eastAsia="es-MX" w:bidi="ar-SA"/>
        </w:rPr>
        <w:t xml:space="preserve"> Párr. 46.</w:t>
      </w:r>
    </w:p>
  </w:footnote>
  <w:footnote w:id="412">
    <w:p w:rsidR="00D57F75" w:rsidRPr="00DE67CE" w:rsidRDefault="00D57F75" w:rsidP="004A22BA">
      <w:pPr>
        <w:pStyle w:val="FootnoteText"/>
        <w:spacing w:after="120"/>
        <w:jc w:val="both"/>
        <w:rPr>
          <w:rFonts w:ascii="Verdana" w:hAnsi="Verdana"/>
          <w:sz w:val="16"/>
          <w:szCs w:val="16"/>
        </w:rPr>
      </w:pPr>
      <w:r w:rsidRPr="004A22BA">
        <w:rPr>
          <w:rStyle w:val="FootnoteReference"/>
          <w:rFonts w:eastAsia="Batang" w:cs="Times New Roman"/>
          <w:iCs w:val="0"/>
          <w:spacing w:val="0"/>
          <w:sz w:val="16"/>
          <w:lang w:val="es-CR" w:eastAsia="es-MX" w:bidi="ar-SA"/>
        </w:rPr>
        <w:footnoteRef/>
      </w:r>
      <w:r w:rsidRPr="004A22BA">
        <w:rPr>
          <w:rStyle w:val="FootnoteReference"/>
          <w:rFonts w:eastAsia="Batang" w:cs="Times New Roman"/>
          <w:spacing w:val="0"/>
          <w:sz w:val="16"/>
          <w:vertAlign w:val="baseline"/>
          <w:lang w:val="es-CR" w:eastAsia="es-MX" w:bidi="ar-SA"/>
        </w:rPr>
        <w:t xml:space="preserve"> En adelante la Comisión.</w:t>
      </w:r>
    </w:p>
  </w:footnote>
  <w:footnote w:id="413">
    <w:p w:rsidR="00D57F75" w:rsidRPr="00DE67CE" w:rsidRDefault="00D57F75" w:rsidP="00D57F75">
      <w:pPr>
        <w:autoSpaceDE w:val="0"/>
        <w:autoSpaceDN w:val="0"/>
        <w:adjustRightInd w:val="0"/>
        <w:spacing w:after="120" w:line="240" w:lineRule="auto"/>
        <w:jc w:val="both"/>
        <w:rPr>
          <w:rFonts w:ascii="Verdana" w:hAnsi="Verdana" w:cs="Verdana"/>
          <w:sz w:val="16"/>
          <w:szCs w:val="16"/>
          <w:lang w:eastAsia="es-CL"/>
        </w:rPr>
      </w:pPr>
      <w:r w:rsidRPr="00DE67CE">
        <w:rPr>
          <w:rStyle w:val="FootnoteReference"/>
          <w:sz w:val="16"/>
        </w:rPr>
        <w:footnoteRef/>
      </w:r>
      <w:r w:rsidRPr="00DE67CE">
        <w:rPr>
          <w:rFonts w:ascii="Verdana" w:hAnsi="Verdana"/>
          <w:sz w:val="16"/>
          <w:szCs w:val="16"/>
        </w:rPr>
        <w:t xml:space="preserve"> Ver nota Nº 1.</w:t>
      </w:r>
    </w:p>
  </w:footnote>
  <w:footnote w:id="414">
    <w:p w:rsidR="00D57F75" w:rsidRPr="00DE67CE" w:rsidRDefault="00D57F75" w:rsidP="00D57F75">
      <w:pPr>
        <w:spacing w:after="0" w:line="240" w:lineRule="auto"/>
        <w:jc w:val="both"/>
        <w:rPr>
          <w:rFonts w:ascii="Verdana" w:hAnsi="Verdana"/>
          <w:sz w:val="16"/>
          <w:szCs w:val="16"/>
        </w:rPr>
      </w:pPr>
      <w:r w:rsidRPr="00DE67CE">
        <w:rPr>
          <w:rStyle w:val="FootnoteReference"/>
          <w:rFonts w:cs="Calibri"/>
          <w:sz w:val="16"/>
        </w:rPr>
        <w:footnoteRef/>
      </w:r>
      <w:r w:rsidRPr="00DE67CE">
        <w:rPr>
          <w:rFonts w:ascii="Verdana" w:hAnsi="Verdana" w:cs="Calibri"/>
          <w:sz w:val="16"/>
          <w:szCs w:val="16"/>
        </w:rPr>
        <w:t xml:space="preserve"> Voto Individual Disidente del Juez Eduardo Vio Grossi, </w:t>
      </w:r>
      <w:r w:rsidRPr="00DE67CE">
        <w:rPr>
          <w:rFonts w:ascii="Verdana" w:hAnsi="Verdana" w:cs="Calibri"/>
          <w:i/>
          <w:sz w:val="16"/>
          <w:szCs w:val="16"/>
        </w:rPr>
        <w:t xml:space="preserve">Caso Wong Ho </w:t>
      </w:r>
      <w:proofErr w:type="spellStart"/>
      <w:r w:rsidRPr="00DE67CE">
        <w:rPr>
          <w:rFonts w:ascii="Verdana" w:hAnsi="Verdana" w:cs="Calibri"/>
          <w:i/>
          <w:sz w:val="16"/>
          <w:szCs w:val="16"/>
        </w:rPr>
        <w:t>Wing</w:t>
      </w:r>
      <w:proofErr w:type="spellEnd"/>
      <w:r w:rsidRPr="00DE67CE">
        <w:rPr>
          <w:rFonts w:ascii="Verdana" w:hAnsi="Verdana" w:cs="Calibri"/>
          <w:i/>
          <w:sz w:val="16"/>
          <w:szCs w:val="16"/>
        </w:rPr>
        <w:t xml:space="preserve"> Vs. Perú</w:t>
      </w:r>
      <w:r w:rsidRPr="00DE67CE">
        <w:rPr>
          <w:rFonts w:ascii="Verdana" w:hAnsi="Verdana" w:cs="Calibri"/>
          <w:sz w:val="16"/>
          <w:szCs w:val="16"/>
        </w:rPr>
        <w:t xml:space="preserve">, Sentencia de 30 de junio de 2015 </w:t>
      </w:r>
      <w:r w:rsidRPr="00DE67CE">
        <w:rPr>
          <w:rFonts w:ascii="Verdana" w:hAnsi="Verdana" w:cs="Calibri"/>
          <w:snapToGrid w:val="0"/>
          <w:sz w:val="16"/>
          <w:szCs w:val="16"/>
        </w:rPr>
        <w:t xml:space="preserve">(Excepción Preliminar, Fondo, Reparaciones y Costas); </w:t>
      </w:r>
      <w:r w:rsidRPr="00DE67CE">
        <w:rPr>
          <w:rFonts w:ascii="Verdana" w:hAnsi="Verdana" w:cs="Calibri"/>
          <w:sz w:val="16"/>
          <w:szCs w:val="16"/>
        </w:rPr>
        <w:t xml:space="preserve">Voto Individual Disidente del Juez Eduardo Vio Grossi, </w:t>
      </w:r>
      <w:r w:rsidRPr="00DE67CE">
        <w:rPr>
          <w:rFonts w:ascii="Verdana" w:hAnsi="Verdana" w:cs="Calibri"/>
          <w:i/>
          <w:sz w:val="16"/>
          <w:szCs w:val="16"/>
        </w:rPr>
        <w:t>Caso Cruz Sánchez y Otros Vs. Perú</w:t>
      </w:r>
      <w:r w:rsidRPr="00DE67CE">
        <w:rPr>
          <w:rFonts w:ascii="Verdana" w:hAnsi="Verdana" w:cs="Calibri"/>
          <w:sz w:val="16"/>
          <w:szCs w:val="16"/>
        </w:rPr>
        <w:t xml:space="preserve">, Sentencia de 17 de abril de 2015 </w:t>
      </w:r>
      <w:r w:rsidRPr="00DE67CE">
        <w:rPr>
          <w:rFonts w:ascii="Verdana" w:hAnsi="Verdana" w:cs="Calibri"/>
          <w:snapToGrid w:val="0"/>
          <w:sz w:val="16"/>
          <w:szCs w:val="16"/>
        </w:rPr>
        <w:t xml:space="preserve">(Excepciones Preliminares, Fondo, Reparaciones y Costas); Voto Individual Disidente del Juez Eduardo Vio Grossi, </w:t>
      </w:r>
      <w:r w:rsidRPr="00DE67CE">
        <w:rPr>
          <w:rFonts w:ascii="Verdana" w:hAnsi="Verdana" w:cs="Calibri"/>
          <w:i/>
          <w:snapToGrid w:val="0"/>
          <w:sz w:val="16"/>
          <w:szCs w:val="16"/>
        </w:rPr>
        <w:t>Caso</w:t>
      </w:r>
      <w:r>
        <w:rPr>
          <w:rFonts w:ascii="Verdana" w:hAnsi="Verdana" w:cs="Calibri"/>
          <w:i/>
          <w:snapToGrid w:val="0"/>
          <w:sz w:val="16"/>
          <w:szCs w:val="16"/>
        </w:rPr>
        <w:t xml:space="preserve"> </w:t>
      </w:r>
      <w:proofErr w:type="spellStart"/>
      <w:r>
        <w:rPr>
          <w:rFonts w:ascii="Verdana" w:hAnsi="Verdana" w:cs="Calibri"/>
          <w:i/>
          <w:snapToGrid w:val="0"/>
          <w:sz w:val="16"/>
          <w:szCs w:val="16"/>
        </w:rPr>
        <w:t>Liakat</w:t>
      </w:r>
      <w:proofErr w:type="spellEnd"/>
      <w:r>
        <w:rPr>
          <w:rFonts w:ascii="Verdana" w:hAnsi="Verdana" w:cs="Calibri"/>
          <w:i/>
          <w:snapToGrid w:val="0"/>
          <w:sz w:val="16"/>
          <w:szCs w:val="16"/>
        </w:rPr>
        <w:t xml:space="preserve"> Ali </w:t>
      </w:r>
      <w:proofErr w:type="spellStart"/>
      <w:r>
        <w:rPr>
          <w:rFonts w:ascii="Verdana" w:hAnsi="Verdana" w:cs="Calibri"/>
          <w:i/>
          <w:snapToGrid w:val="0"/>
          <w:sz w:val="16"/>
          <w:szCs w:val="16"/>
        </w:rPr>
        <w:t>Alibux</w:t>
      </w:r>
      <w:proofErr w:type="spellEnd"/>
      <w:r>
        <w:rPr>
          <w:rFonts w:ascii="Verdana" w:hAnsi="Verdana" w:cs="Calibri"/>
          <w:i/>
          <w:snapToGrid w:val="0"/>
          <w:sz w:val="16"/>
          <w:szCs w:val="16"/>
        </w:rPr>
        <w:t xml:space="preserve"> </w:t>
      </w:r>
      <w:r w:rsidRPr="00DE67CE">
        <w:rPr>
          <w:rFonts w:ascii="Verdana" w:hAnsi="Verdana" w:cs="Calibri"/>
          <w:i/>
          <w:snapToGrid w:val="0"/>
          <w:sz w:val="16"/>
          <w:szCs w:val="16"/>
        </w:rPr>
        <w:t>Vs</w:t>
      </w:r>
      <w:r>
        <w:rPr>
          <w:rFonts w:ascii="Verdana" w:hAnsi="Verdana" w:cs="Calibri"/>
          <w:i/>
          <w:snapToGrid w:val="0"/>
          <w:sz w:val="16"/>
          <w:szCs w:val="16"/>
        </w:rPr>
        <w:t>.</w:t>
      </w:r>
      <w:r w:rsidRPr="00DE67CE">
        <w:rPr>
          <w:rFonts w:ascii="Verdana" w:hAnsi="Verdana" w:cs="Calibri"/>
          <w:i/>
          <w:snapToGrid w:val="0"/>
          <w:sz w:val="16"/>
          <w:szCs w:val="16"/>
        </w:rPr>
        <w:t xml:space="preserve"> </w:t>
      </w:r>
      <w:proofErr w:type="spellStart"/>
      <w:r w:rsidRPr="00DE67CE">
        <w:rPr>
          <w:rFonts w:ascii="Verdana" w:hAnsi="Verdana" w:cs="Calibri"/>
          <w:i/>
          <w:snapToGrid w:val="0"/>
          <w:sz w:val="16"/>
          <w:szCs w:val="16"/>
        </w:rPr>
        <w:t>Suriname</w:t>
      </w:r>
      <w:proofErr w:type="spellEnd"/>
      <w:r w:rsidRPr="00DE67CE">
        <w:rPr>
          <w:rFonts w:ascii="Verdana" w:hAnsi="Verdana" w:cs="Calibri"/>
          <w:snapToGrid w:val="0"/>
          <w:sz w:val="16"/>
          <w:szCs w:val="16"/>
        </w:rPr>
        <w:t>, Sentencia de 30 de enero de 2014 (Excepciones Preliminares, Fondo, Reparaciones y Costas), y</w:t>
      </w:r>
      <w:r w:rsidRPr="00DE67CE">
        <w:rPr>
          <w:rFonts w:ascii="Verdana" w:hAnsi="Verdana" w:cs="Calibri"/>
          <w:caps/>
          <w:snapToGrid w:val="0"/>
          <w:sz w:val="16"/>
          <w:szCs w:val="16"/>
        </w:rPr>
        <w:t xml:space="preserve"> </w:t>
      </w:r>
      <w:r w:rsidRPr="00DE67CE">
        <w:rPr>
          <w:rFonts w:ascii="Verdana" w:hAnsi="Verdana" w:cs="Calibri"/>
          <w:sz w:val="16"/>
          <w:szCs w:val="16"/>
        </w:rPr>
        <w:t xml:space="preserve">Voto Individual Disidente del Juez Eduardo Vio Grossi, </w:t>
      </w:r>
      <w:r w:rsidRPr="00DE67CE">
        <w:rPr>
          <w:rFonts w:ascii="Verdana" w:hAnsi="Verdana" w:cs="Calibri"/>
          <w:i/>
          <w:sz w:val="16"/>
          <w:szCs w:val="16"/>
        </w:rPr>
        <w:t>Caso Díaz Peña Vs. Venezuela,</w:t>
      </w:r>
      <w:r w:rsidRPr="00DE67CE">
        <w:rPr>
          <w:rFonts w:ascii="Verdana" w:hAnsi="Verdana" w:cs="Calibri"/>
          <w:sz w:val="16"/>
          <w:szCs w:val="16"/>
        </w:rPr>
        <w:t xml:space="preserve"> Sentencia de 26 de junio de 2012 (Excepción Preliminar, Fondo, Reparaciones y Costas). </w:t>
      </w:r>
    </w:p>
    <w:p w:rsidR="00D57F75" w:rsidRPr="00DE67CE" w:rsidRDefault="00D57F75" w:rsidP="00D57F75">
      <w:pPr>
        <w:spacing w:after="0" w:line="240" w:lineRule="auto"/>
        <w:jc w:val="both"/>
        <w:rPr>
          <w:rFonts w:ascii="Verdana" w:hAnsi="Verdana" w:cs="Calibri"/>
          <w:b/>
          <w:sz w:val="16"/>
          <w:szCs w:val="16"/>
        </w:rPr>
      </w:pPr>
    </w:p>
    <w:p w:rsidR="00D57F75" w:rsidRPr="00DE67CE" w:rsidRDefault="00D57F75" w:rsidP="00D57F75">
      <w:pPr>
        <w:pStyle w:val="Heading1"/>
        <w:rPr>
          <w:rFonts w:cs="Calibri"/>
          <w:b w:val="0"/>
          <w:sz w:val="16"/>
          <w:szCs w:val="16"/>
          <w:lang w:val="es-CL"/>
        </w:rPr>
      </w:pPr>
    </w:p>
  </w:footnote>
  <w:footnote w:id="415">
    <w:p w:rsidR="00D57F75" w:rsidRPr="00B05CA4" w:rsidRDefault="00D57F75" w:rsidP="00D57F75">
      <w:pPr>
        <w:pStyle w:val="FootnoteText"/>
        <w:rPr>
          <w:rFonts w:ascii="Verdana" w:hAnsi="Verdana"/>
          <w:i/>
          <w:color w:val="000000"/>
          <w:sz w:val="16"/>
          <w:szCs w:val="16"/>
          <w:shd w:val="clear" w:color="auto" w:fill="FFFFFF"/>
        </w:rPr>
      </w:pPr>
      <w:r w:rsidRPr="00DE67CE">
        <w:rPr>
          <w:rStyle w:val="FootnoteReference"/>
          <w:rFonts w:eastAsiaTheme="minorHAnsi"/>
          <w:sz w:val="16"/>
        </w:rPr>
        <w:footnoteRef/>
      </w:r>
      <w:r w:rsidRPr="00DE67CE">
        <w:rPr>
          <w:rFonts w:ascii="Verdana" w:hAnsi="Verdana"/>
          <w:sz w:val="16"/>
          <w:szCs w:val="16"/>
        </w:rPr>
        <w:t xml:space="preserve"> </w:t>
      </w:r>
      <w:r w:rsidRPr="00DE67CE">
        <w:rPr>
          <w:rFonts w:ascii="Verdana" w:hAnsi="Verdana"/>
          <w:sz w:val="16"/>
          <w:szCs w:val="16"/>
          <w:lang w:val="es-ES"/>
        </w:rPr>
        <w:t xml:space="preserve">En el mismo sentido, art. 95.2 del Reglamento de la Corte Internacional de Justicia: </w:t>
      </w:r>
      <w:r w:rsidRPr="00B05CA4">
        <w:rPr>
          <w:rFonts w:ascii="Verdana" w:hAnsi="Verdana"/>
          <w:color w:val="000000"/>
          <w:sz w:val="16"/>
          <w:szCs w:val="16"/>
          <w:lang w:val="es-ES"/>
        </w:rPr>
        <w:t>“</w:t>
      </w:r>
      <w:r w:rsidRPr="00B05CA4">
        <w:rPr>
          <w:rFonts w:ascii="Verdana" w:hAnsi="Verdana"/>
          <w:i/>
          <w:color w:val="000000"/>
          <w:sz w:val="16"/>
          <w:szCs w:val="16"/>
          <w:shd w:val="clear" w:color="auto" w:fill="FFFFFF"/>
        </w:rPr>
        <w:t xml:space="preserve">Cualquier juez podrá, si así lo desea, agregar al fallo su opinión separada o disidente; el juez que desee hacer constar su acuerdo o disentimiento sin explicar los motivos podrá hacerlo en la forma de una declaración.  La misma regla se aplicará a las providencias dictadas por la Corte.” </w:t>
      </w:r>
    </w:p>
    <w:p w:rsidR="00D57F75" w:rsidRPr="00B05CCD" w:rsidRDefault="00D57F75" w:rsidP="00D57F75">
      <w:pPr>
        <w:pStyle w:val="FootnoteText"/>
        <w:rPr>
          <w:rFonts w:ascii="Verdana" w:hAnsi="Verdana"/>
          <w:sz w:val="16"/>
          <w:szCs w:val="16"/>
          <w:shd w:val="clear" w:color="auto" w:fill="FFFFFF"/>
          <w:lang w:val="fr-FR"/>
        </w:rPr>
      </w:pPr>
      <w:proofErr w:type="spellStart"/>
      <w:r w:rsidRPr="00B05CCD">
        <w:rPr>
          <w:rFonts w:ascii="Verdana" w:hAnsi="Verdana"/>
          <w:sz w:val="16"/>
          <w:szCs w:val="16"/>
          <w:shd w:val="clear" w:color="auto" w:fill="FFFFFF"/>
          <w:lang w:val="fr-FR"/>
        </w:rPr>
        <w:t>Igualmente</w:t>
      </w:r>
      <w:proofErr w:type="spellEnd"/>
      <w:r w:rsidRPr="00B05CCD">
        <w:rPr>
          <w:rFonts w:ascii="Verdana" w:hAnsi="Verdana"/>
          <w:sz w:val="16"/>
          <w:szCs w:val="16"/>
          <w:shd w:val="clear" w:color="auto" w:fill="FFFFFF"/>
          <w:lang w:val="fr-FR"/>
        </w:rPr>
        <w:t xml:space="preserve">, el art. 74.2 </w:t>
      </w:r>
      <w:proofErr w:type="spellStart"/>
      <w:proofErr w:type="gramStart"/>
      <w:r w:rsidRPr="00B05CCD">
        <w:rPr>
          <w:rFonts w:ascii="Verdana" w:hAnsi="Verdana"/>
          <w:sz w:val="16"/>
          <w:szCs w:val="16"/>
          <w:shd w:val="clear" w:color="auto" w:fill="FFFFFF"/>
          <w:lang w:val="fr-FR"/>
        </w:rPr>
        <w:t>del</w:t>
      </w:r>
      <w:proofErr w:type="spellEnd"/>
      <w:proofErr w:type="gramEnd"/>
      <w:r w:rsidRPr="00B05CCD">
        <w:rPr>
          <w:rFonts w:ascii="Verdana" w:hAnsi="Verdana"/>
          <w:sz w:val="16"/>
          <w:szCs w:val="16"/>
          <w:shd w:val="clear" w:color="auto" w:fill="FFFFFF"/>
          <w:lang w:val="fr-FR"/>
        </w:rPr>
        <w:t xml:space="preserve"> </w:t>
      </w:r>
      <w:proofErr w:type="spellStart"/>
      <w:r w:rsidRPr="00B05CCD">
        <w:rPr>
          <w:rFonts w:ascii="Verdana" w:hAnsi="Verdana"/>
          <w:sz w:val="16"/>
          <w:szCs w:val="16"/>
          <w:shd w:val="clear" w:color="auto" w:fill="FFFFFF"/>
          <w:lang w:val="fr-FR"/>
        </w:rPr>
        <w:t>Reglamento</w:t>
      </w:r>
      <w:proofErr w:type="spellEnd"/>
      <w:r w:rsidRPr="00B05CCD">
        <w:rPr>
          <w:rFonts w:ascii="Verdana" w:hAnsi="Verdana"/>
          <w:sz w:val="16"/>
          <w:szCs w:val="16"/>
          <w:shd w:val="clear" w:color="auto" w:fill="FFFFFF"/>
          <w:lang w:val="fr-FR"/>
        </w:rPr>
        <w:t xml:space="preserve"> </w:t>
      </w:r>
      <w:proofErr w:type="spellStart"/>
      <w:r w:rsidRPr="00B05CCD">
        <w:rPr>
          <w:rFonts w:ascii="Verdana" w:hAnsi="Verdana"/>
          <w:sz w:val="16"/>
          <w:szCs w:val="16"/>
          <w:shd w:val="clear" w:color="auto" w:fill="FFFFFF"/>
          <w:lang w:val="fr-FR"/>
        </w:rPr>
        <w:t>del</w:t>
      </w:r>
      <w:proofErr w:type="spellEnd"/>
      <w:r w:rsidRPr="00B05CCD">
        <w:rPr>
          <w:rFonts w:ascii="Verdana" w:hAnsi="Verdana"/>
          <w:sz w:val="16"/>
          <w:szCs w:val="16"/>
          <w:shd w:val="clear" w:color="auto" w:fill="FFFFFF"/>
          <w:lang w:val="fr-FR"/>
        </w:rPr>
        <w:t xml:space="preserve"> Tribunal </w:t>
      </w:r>
      <w:proofErr w:type="spellStart"/>
      <w:r w:rsidRPr="00B05CCD">
        <w:rPr>
          <w:rFonts w:ascii="Verdana" w:hAnsi="Verdana"/>
          <w:sz w:val="16"/>
          <w:szCs w:val="16"/>
          <w:shd w:val="clear" w:color="auto" w:fill="FFFFFF"/>
          <w:lang w:val="fr-FR"/>
        </w:rPr>
        <w:t>Europeo</w:t>
      </w:r>
      <w:proofErr w:type="spellEnd"/>
      <w:r w:rsidRPr="00B05CCD">
        <w:rPr>
          <w:rFonts w:ascii="Verdana" w:hAnsi="Verdana"/>
          <w:sz w:val="16"/>
          <w:szCs w:val="16"/>
          <w:shd w:val="clear" w:color="auto" w:fill="FFFFFF"/>
          <w:lang w:val="fr-FR"/>
        </w:rPr>
        <w:t xml:space="preserve"> de </w:t>
      </w:r>
      <w:proofErr w:type="spellStart"/>
      <w:r w:rsidRPr="00B05CCD">
        <w:rPr>
          <w:rFonts w:ascii="Verdana" w:hAnsi="Verdana"/>
          <w:sz w:val="16"/>
          <w:szCs w:val="16"/>
          <w:shd w:val="clear" w:color="auto" w:fill="FFFFFF"/>
          <w:lang w:val="fr-FR"/>
        </w:rPr>
        <w:t>Derechos</w:t>
      </w:r>
      <w:proofErr w:type="spellEnd"/>
      <w:r w:rsidRPr="00B05CCD">
        <w:rPr>
          <w:rFonts w:ascii="Verdana" w:hAnsi="Verdana"/>
          <w:sz w:val="16"/>
          <w:szCs w:val="16"/>
          <w:shd w:val="clear" w:color="auto" w:fill="FFFFFF"/>
          <w:lang w:val="fr-FR"/>
        </w:rPr>
        <w:t xml:space="preserve"> </w:t>
      </w:r>
      <w:proofErr w:type="spellStart"/>
      <w:r w:rsidRPr="00B05CCD">
        <w:rPr>
          <w:rFonts w:ascii="Verdana" w:hAnsi="Verdana"/>
          <w:sz w:val="16"/>
          <w:szCs w:val="16"/>
          <w:shd w:val="clear" w:color="auto" w:fill="FFFFFF"/>
          <w:lang w:val="fr-FR"/>
        </w:rPr>
        <w:t>Humanos</w:t>
      </w:r>
      <w:proofErr w:type="spellEnd"/>
      <w:r w:rsidRPr="00B05CCD">
        <w:rPr>
          <w:rFonts w:ascii="Verdana" w:hAnsi="Verdana"/>
          <w:sz w:val="16"/>
          <w:szCs w:val="16"/>
          <w:shd w:val="clear" w:color="auto" w:fill="FFFFFF"/>
          <w:lang w:val="fr-FR"/>
        </w:rPr>
        <w:t>: “</w:t>
      </w:r>
      <w:r w:rsidRPr="00B05CCD">
        <w:rPr>
          <w:rFonts w:ascii="Verdana" w:hAnsi="Verdana"/>
          <w:sz w:val="16"/>
          <w:szCs w:val="16"/>
          <w:lang w:val="fr-FR"/>
        </w:rPr>
        <w:t>Tout juge qui a pris part à l’examen de l’affaire par une chambre ou par la Grande Chambre a le droit de joindre à l’arrêt soit l’exposé de son opinion séparée, concordante ou dissidente, soit une simple déclaration de dissentiment.”</w:t>
      </w:r>
    </w:p>
  </w:footnote>
  <w:footnote w:id="416">
    <w:p w:rsidR="00D57F75" w:rsidRPr="00D57F75" w:rsidRDefault="00D57F75" w:rsidP="00D57F75">
      <w:pPr>
        <w:pStyle w:val="NormalWeb"/>
        <w:spacing w:after="0"/>
        <w:rPr>
          <w:rFonts w:cs="Tahoma"/>
          <w:i/>
          <w:lang w:val="es-ES"/>
        </w:rPr>
      </w:pPr>
      <w:r w:rsidRPr="00DE67CE">
        <w:rPr>
          <w:rStyle w:val="FootnoteReference"/>
          <w:sz w:val="16"/>
        </w:rPr>
        <w:footnoteRef/>
      </w:r>
      <w:r w:rsidRPr="00D57F75">
        <w:rPr>
          <w:lang w:val="es-ES"/>
        </w:rPr>
        <w:t xml:space="preserve"> Art 33: “</w:t>
      </w:r>
      <w:r w:rsidRPr="00D57F75">
        <w:rPr>
          <w:rFonts w:cs="Tahoma"/>
          <w:i/>
          <w:lang w:val="es-ES"/>
        </w:rPr>
        <w:t xml:space="preserve">Son competentes para conocer de los asuntos relacionados con el cumplimiento de los compromisos contraídos por los Estados Partes en esta Convención: </w:t>
      </w:r>
    </w:p>
    <w:p w:rsidR="00D57F75" w:rsidRPr="00D57F75" w:rsidRDefault="00D57F75" w:rsidP="00D57F75">
      <w:pPr>
        <w:pStyle w:val="NormalWeb"/>
        <w:spacing w:after="0"/>
        <w:rPr>
          <w:rFonts w:cs="Tahoma"/>
          <w:i/>
          <w:lang w:val="es-ES"/>
        </w:rPr>
      </w:pPr>
      <w:r w:rsidRPr="00D57F75">
        <w:rPr>
          <w:rFonts w:cs="Tahoma"/>
          <w:i/>
          <w:lang w:val="es-ES"/>
        </w:rPr>
        <w:t xml:space="preserve">a) la Comisión Interamericana de Derechos Humanos, llamada en adelante la Comisión, y </w:t>
      </w:r>
    </w:p>
    <w:p w:rsidR="00D57F75" w:rsidRPr="00D57F75" w:rsidRDefault="00D57F75" w:rsidP="00D57F75">
      <w:pPr>
        <w:pStyle w:val="NormalWeb"/>
        <w:rPr>
          <w:rFonts w:cs="Tahoma"/>
          <w:lang w:val="es-ES"/>
        </w:rPr>
      </w:pPr>
      <w:r w:rsidRPr="00D57F75">
        <w:rPr>
          <w:rFonts w:cs="Tahoma"/>
          <w:i/>
          <w:lang w:val="es-ES"/>
        </w:rPr>
        <w:t>b) la Corte Interamericana de Derechos Humanos, llamada en adelante la Corte</w:t>
      </w:r>
      <w:r w:rsidRPr="00D57F75">
        <w:rPr>
          <w:rFonts w:cs="Tahoma"/>
          <w:lang w:val="es-ES"/>
        </w:rPr>
        <w:t>.”</w:t>
      </w:r>
    </w:p>
  </w:footnote>
  <w:footnote w:id="417">
    <w:p w:rsidR="00D57F75" w:rsidRPr="00D57F75" w:rsidRDefault="00D57F75" w:rsidP="00D57F75">
      <w:pPr>
        <w:pStyle w:val="NormalWeb"/>
        <w:rPr>
          <w:lang w:val="es-ES"/>
        </w:rPr>
      </w:pPr>
      <w:r w:rsidRPr="00DE67CE">
        <w:rPr>
          <w:rStyle w:val="FootnoteReference"/>
          <w:rFonts w:cs="Calibri"/>
          <w:sz w:val="16"/>
        </w:rPr>
        <w:footnoteRef/>
      </w:r>
      <w:r w:rsidRPr="00D57F75">
        <w:rPr>
          <w:lang w:val="es-ES"/>
        </w:rPr>
        <w:t xml:space="preserve"> </w:t>
      </w:r>
      <w:r w:rsidRPr="00DE67CE">
        <w:rPr>
          <w:lang w:val="es-ES"/>
        </w:rPr>
        <w:t>Art. 62.3 de la Convención</w:t>
      </w:r>
      <w:r w:rsidRPr="00D57F75">
        <w:rPr>
          <w:lang w:val="es-ES"/>
        </w:rPr>
        <w:t>: “</w:t>
      </w:r>
      <w:r w:rsidRPr="00D57F75">
        <w:rPr>
          <w:i/>
          <w:lang w:val="es-ES"/>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r w:rsidRPr="00D57F75">
        <w:rPr>
          <w:lang w:val="es-ES"/>
        </w:rPr>
        <w:t xml:space="preserve">.” </w:t>
      </w:r>
    </w:p>
  </w:footnote>
  <w:footnote w:id="418">
    <w:p w:rsidR="00D57F75" w:rsidRPr="00D57F75" w:rsidRDefault="00D57F75" w:rsidP="00D57F75">
      <w:pPr>
        <w:pStyle w:val="NormalWeb"/>
        <w:spacing w:after="0"/>
        <w:rPr>
          <w:rFonts w:cs="Tahoma"/>
          <w:i/>
          <w:lang w:val="es-ES"/>
        </w:rPr>
      </w:pPr>
      <w:r w:rsidRPr="00DE67CE">
        <w:rPr>
          <w:rStyle w:val="FootnoteReference"/>
          <w:rFonts w:cs="Calibri"/>
          <w:sz w:val="16"/>
        </w:rPr>
        <w:footnoteRef/>
      </w:r>
      <w:r w:rsidRPr="00D57F75">
        <w:rPr>
          <w:lang w:val="es-ES"/>
        </w:rPr>
        <w:t xml:space="preserve"> </w:t>
      </w:r>
      <w:r w:rsidRPr="00DE67CE">
        <w:rPr>
          <w:lang w:val="es-ES"/>
        </w:rPr>
        <w:t>Art. 41 de la Convención: “</w:t>
      </w:r>
      <w:r w:rsidRPr="00D57F75">
        <w:rPr>
          <w:rFonts w:cs="Tahoma"/>
          <w:i/>
          <w:lang w:val="es-ES"/>
        </w:rPr>
        <w:t xml:space="preserve">La Comisión tiene la función principal de promover la observancia y la defensa de los derechos humanos, y en el ejercicio de su mandato tiene las siguientes funciones y atribuciones: </w:t>
      </w:r>
    </w:p>
    <w:p w:rsidR="00D57F75" w:rsidRPr="00D57F75" w:rsidRDefault="00D57F75" w:rsidP="00D57F75">
      <w:pPr>
        <w:pStyle w:val="NormalWeb"/>
        <w:spacing w:after="0"/>
        <w:rPr>
          <w:rFonts w:cs="Tahoma"/>
          <w:i/>
          <w:lang w:val="es-ES"/>
        </w:rPr>
      </w:pPr>
      <w:r w:rsidRPr="00D57F75">
        <w:rPr>
          <w:rFonts w:cs="Tahoma"/>
          <w:i/>
          <w:lang w:val="es-ES"/>
        </w:rPr>
        <w:t xml:space="preserve">a) estimular la conciencia de los derechos humanos en los pueblos de América; </w:t>
      </w:r>
    </w:p>
    <w:p w:rsidR="00D57F75" w:rsidRPr="00D57F75" w:rsidRDefault="00D57F75" w:rsidP="00D57F75">
      <w:pPr>
        <w:pStyle w:val="NormalWeb"/>
        <w:spacing w:after="0"/>
        <w:rPr>
          <w:rFonts w:cs="Tahoma"/>
          <w:i/>
          <w:lang w:val="es-ES"/>
        </w:rPr>
      </w:pPr>
      <w:r w:rsidRPr="00D57F75">
        <w:rPr>
          <w:rFonts w:cs="Tahoma"/>
          <w:i/>
          <w:lang w:val="es-ES"/>
        </w:rPr>
        <w:t xml:space="preserve">b) 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 </w:t>
      </w:r>
    </w:p>
    <w:p w:rsidR="00D57F75" w:rsidRPr="00D57F75" w:rsidRDefault="00D57F75" w:rsidP="00D57F75">
      <w:pPr>
        <w:pStyle w:val="NormalWeb"/>
        <w:spacing w:after="0"/>
        <w:rPr>
          <w:rFonts w:cs="Tahoma"/>
          <w:i/>
          <w:lang w:val="es-ES"/>
        </w:rPr>
      </w:pPr>
      <w:r w:rsidRPr="00D57F75">
        <w:rPr>
          <w:rFonts w:cs="Tahoma"/>
          <w:i/>
          <w:lang w:val="es-ES"/>
        </w:rPr>
        <w:t xml:space="preserve">c) preparar los estudios e informes que considere convenientes para el desempeño de sus funciones; </w:t>
      </w:r>
    </w:p>
    <w:p w:rsidR="00D57F75" w:rsidRPr="00D57F75" w:rsidRDefault="00D57F75" w:rsidP="00D57F75">
      <w:pPr>
        <w:pStyle w:val="NormalWeb"/>
        <w:spacing w:after="0"/>
        <w:rPr>
          <w:rFonts w:cs="Tahoma"/>
          <w:i/>
          <w:lang w:val="es-ES"/>
        </w:rPr>
      </w:pPr>
      <w:r w:rsidRPr="00D57F75">
        <w:rPr>
          <w:rFonts w:cs="Tahoma"/>
          <w:i/>
          <w:lang w:val="es-ES"/>
        </w:rPr>
        <w:t xml:space="preserve">d) solicitar de los gobiernos de los Estados miembros que le proporcionen informes sobre las medidas que adopten en materia de derechos humanos; </w:t>
      </w:r>
    </w:p>
    <w:p w:rsidR="00D57F75" w:rsidRPr="00D57F75" w:rsidRDefault="00D57F75" w:rsidP="00D57F75">
      <w:pPr>
        <w:pStyle w:val="NormalWeb"/>
        <w:spacing w:after="0"/>
        <w:rPr>
          <w:rFonts w:cs="Tahoma"/>
          <w:i/>
          <w:lang w:val="es-ES"/>
        </w:rPr>
      </w:pPr>
      <w:r w:rsidRPr="00D57F75">
        <w:rPr>
          <w:rFonts w:cs="Tahoma"/>
          <w:i/>
          <w:lang w:val="es-ES"/>
        </w:rPr>
        <w:t>e) atender las consultas que, por medio de la Secretaría General de la Organización de los Estados Americanos, le formulen los Estados miembros en cuestiones relacionadas con los derechos humanos y, dentro de sus posibilidades, les prestará el asesoramiento que éstos le soliciten;  </w:t>
      </w:r>
    </w:p>
    <w:p w:rsidR="00D57F75" w:rsidRPr="00D57F75" w:rsidRDefault="00D57F75" w:rsidP="00D57F75">
      <w:pPr>
        <w:pStyle w:val="NormalWeb"/>
        <w:spacing w:after="0"/>
        <w:rPr>
          <w:rFonts w:cs="Tahoma"/>
          <w:i/>
          <w:lang w:val="es-ES"/>
        </w:rPr>
      </w:pPr>
      <w:r w:rsidRPr="00D57F75">
        <w:rPr>
          <w:rFonts w:cs="Tahoma"/>
          <w:i/>
          <w:lang w:val="es-ES"/>
        </w:rPr>
        <w:t xml:space="preserve">f) actuar respecto de las peticiones y otras comunicaciones en ejercicio de su autoridad de conformidad con lo dispuesto en los artículos 44 al 51 de esta Convención, y </w:t>
      </w:r>
    </w:p>
    <w:p w:rsidR="00D57F75" w:rsidRPr="00D57F75" w:rsidRDefault="00D57F75" w:rsidP="00D57F75">
      <w:pPr>
        <w:pStyle w:val="NormalWeb"/>
        <w:rPr>
          <w:rFonts w:cs="Tahoma"/>
          <w:lang w:val="es-ES"/>
        </w:rPr>
      </w:pPr>
      <w:r w:rsidRPr="00D57F75">
        <w:rPr>
          <w:rFonts w:cs="Tahoma"/>
          <w:i/>
          <w:lang w:val="es-ES"/>
        </w:rPr>
        <w:t>g) rendir un informe anual a la Asamblea General de la Organización de los Estados Americanos</w:t>
      </w:r>
      <w:r w:rsidRPr="00D57F75">
        <w:rPr>
          <w:rFonts w:cs="Tahoma"/>
          <w:lang w:val="es-ES"/>
        </w:rPr>
        <w:t>.”</w:t>
      </w:r>
    </w:p>
  </w:footnote>
  <w:footnote w:id="419">
    <w:p w:rsidR="00D57F75" w:rsidRPr="00DE67CE" w:rsidRDefault="00D57F75" w:rsidP="00D57F75">
      <w:pPr>
        <w:spacing w:after="0" w:line="240" w:lineRule="auto"/>
        <w:jc w:val="both"/>
        <w:rPr>
          <w:rFonts w:ascii="Verdana" w:hAnsi="Verdana"/>
          <w:i/>
          <w:color w:val="000000"/>
          <w:sz w:val="16"/>
          <w:szCs w:val="16"/>
          <w:lang w:eastAsia="es-CL"/>
        </w:rPr>
      </w:pPr>
      <w:r w:rsidRPr="00DE67CE">
        <w:rPr>
          <w:rStyle w:val="FootnoteReference"/>
          <w:sz w:val="16"/>
        </w:rPr>
        <w:footnoteRef/>
      </w:r>
      <w:r w:rsidRPr="00DE67CE">
        <w:rPr>
          <w:rFonts w:ascii="Verdana" w:hAnsi="Verdana"/>
          <w:sz w:val="16"/>
          <w:szCs w:val="16"/>
        </w:rPr>
        <w:t xml:space="preserve"> Art. 31 de la Convención de Viena sobre el Derecho de los Tratados: “</w:t>
      </w:r>
      <w:r w:rsidRPr="00DE67CE">
        <w:rPr>
          <w:rFonts w:ascii="Verdana" w:hAnsi="Verdana"/>
          <w:bCs/>
          <w:i/>
          <w:color w:val="000000"/>
          <w:sz w:val="16"/>
          <w:szCs w:val="16"/>
          <w:lang w:eastAsia="es-CL"/>
        </w:rPr>
        <w:t>Regla general de interpretación.</w:t>
      </w:r>
      <w:r w:rsidRPr="00DE67CE">
        <w:rPr>
          <w:rFonts w:ascii="Verdana" w:hAnsi="Verdana"/>
          <w:i/>
          <w:color w:val="000000"/>
          <w:sz w:val="16"/>
          <w:szCs w:val="16"/>
          <w:lang w:eastAsia="es-CL"/>
        </w:rPr>
        <w:t>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1. Un tratado deberá interpretarse de buena fe conforme al sentido corriente que haya de atribuirse a los términos del tratado en el contexto de estos y teniendo en cuenta su objeto y fin. 2. Para los efectos de la interpretación de un tratado</w:t>
      </w:r>
      <w:r>
        <w:rPr>
          <w:rFonts w:ascii="Verdana" w:hAnsi="Verdana"/>
          <w:i/>
          <w:color w:val="000000"/>
          <w:sz w:val="16"/>
          <w:szCs w:val="16"/>
          <w:lang w:eastAsia="es-CL"/>
        </w:rPr>
        <w:t>,</w:t>
      </w:r>
      <w:r w:rsidRPr="00DE67CE">
        <w:rPr>
          <w:rFonts w:ascii="Verdana" w:hAnsi="Verdana"/>
          <w:i/>
          <w:color w:val="000000"/>
          <w:sz w:val="16"/>
          <w:szCs w:val="16"/>
          <w:lang w:eastAsia="es-CL"/>
        </w:rPr>
        <w:t xml:space="preserve"> el contexto comprenderá, además del texto, incluidos su preámbulo y anexos: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a) todo acuerdo que se refiera al tratado y haya sido concertado entre todas las partes con motivo de la celebración del tratado:</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 xml:space="preserve">b) todo instrumento formulado por una o más partes con motivo de la celebración del tratado y aceptado por las demás como instrumento referente al tratado;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 xml:space="preserve">3. Juntamente con el contexto, habrá de tenerse en cuenta: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a) todo acuerdo ulterior entre las partes acerca de la interpretación del tratado o de la aplicación de sus disposiciones;</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b) toda práctica ulteriormente seguida en la aplicación del tratado por la cual conste el acuerdo de las partes acerca de la interpretación del tratado;</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c) toda forma pertinente de derecho internacional aplicable en las relaciones entre las partes.</w:t>
      </w:r>
    </w:p>
    <w:p w:rsidR="00D57F75" w:rsidRPr="00DE67CE" w:rsidRDefault="00D57F75" w:rsidP="00D57F75">
      <w:pPr>
        <w:spacing w:after="120" w:line="240" w:lineRule="auto"/>
        <w:jc w:val="both"/>
        <w:rPr>
          <w:rFonts w:ascii="Verdana" w:hAnsi="Verdana"/>
          <w:color w:val="000000"/>
          <w:sz w:val="16"/>
          <w:szCs w:val="16"/>
          <w:lang w:eastAsia="es-CL"/>
        </w:rPr>
      </w:pPr>
      <w:r w:rsidRPr="00DE67CE">
        <w:rPr>
          <w:rFonts w:ascii="Verdana" w:hAnsi="Verdana"/>
          <w:i/>
          <w:color w:val="000000"/>
          <w:sz w:val="16"/>
          <w:szCs w:val="16"/>
          <w:lang w:eastAsia="es-CL"/>
        </w:rPr>
        <w:t>4. Se dará a un término un sentido especial si consta que tal fue la intención de las partes.</w:t>
      </w:r>
      <w:r w:rsidRPr="00DE67CE">
        <w:rPr>
          <w:rFonts w:ascii="Verdana" w:hAnsi="Verdana"/>
          <w:color w:val="000000"/>
          <w:sz w:val="16"/>
          <w:szCs w:val="16"/>
          <w:lang w:eastAsia="es-CL"/>
        </w:rPr>
        <w:t>”</w:t>
      </w:r>
    </w:p>
  </w:footnote>
  <w:footnote w:id="420">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Ver Nota precedente.</w:t>
      </w:r>
    </w:p>
  </w:footnote>
  <w:footnote w:id="421">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w:t>
      </w:r>
      <w:r w:rsidRPr="00B05CA4">
        <w:rPr>
          <w:rFonts w:ascii="Verdana" w:hAnsi="Verdana"/>
          <w:i/>
          <w:snapToGrid w:val="0"/>
          <w:sz w:val="16"/>
          <w:szCs w:val="16"/>
        </w:rPr>
        <w:t>Caso Cruz Sánchez y Otros Vs. Perú</w:t>
      </w:r>
      <w:r w:rsidRPr="00DE67CE">
        <w:rPr>
          <w:rFonts w:ascii="Verdana" w:hAnsi="Verdana"/>
          <w:snapToGrid w:val="0"/>
          <w:sz w:val="16"/>
          <w:szCs w:val="16"/>
        </w:rPr>
        <w:t>, cit., párr. 37.</w:t>
      </w:r>
    </w:p>
  </w:footnote>
  <w:footnote w:id="422">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w:t>
      </w:r>
      <w:r w:rsidRPr="00B05CA4">
        <w:rPr>
          <w:rFonts w:ascii="Verdana" w:hAnsi="Verdana"/>
          <w:i/>
          <w:sz w:val="16"/>
          <w:szCs w:val="16"/>
        </w:rPr>
        <w:t>Caso Díaz Peña Vs. Venezuela</w:t>
      </w:r>
      <w:r w:rsidRPr="00DE67CE">
        <w:rPr>
          <w:rFonts w:ascii="Verdana" w:hAnsi="Verdana"/>
          <w:sz w:val="16"/>
          <w:szCs w:val="16"/>
        </w:rPr>
        <w:t>, cit., párr. 43.</w:t>
      </w:r>
    </w:p>
  </w:footnote>
  <w:footnote w:id="423">
    <w:p w:rsidR="00D57F75" w:rsidRPr="00D57F75" w:rsidRDefault="00D57F75" w:rsidP="00D57F75">
      <w:pPr>
        <w:pStyle w:val="NormalWeb"/>
        <w:spacing w:after="0"/>
        <w:rPr>
          <w:i/>
          <w:lang w:val="es-ES"/>
        </w:rPr>
      </w:pPr>
      <w:r w:rsidRPr="00DE67CE">
        <w:rPr>
          <w:rStyle w:val="FootnoteReference"/>
          <w:sz w:val="16"/>
        </w:rPr>
        <w:footnoteRef/>
      </w:r>
      <w:r w:rsidRPr="00D57F75">
        <w:rPr>
          <w:lang w:val="es-ES"/>
        </w:rPr>
        <w:t xml:space="preserve"> Convención, </w:t>
      </w:r>
      <w:r w:rsidRPr="00D57F75">
        <w:rPr>
          <w:bCs w:val="0"/>
          <w:lang w:val="es-ES"/>
        </w:rPr>
        <w:t>art. 68: “</w:t>
      </w:r>
      <w:r w:rsidRPr="00D57F75">
        <w:rPr>
          <w:i/>
          <w:lang w:val="es-ES"/>
        </w:rPr>
        <w:t xml:space="preserve">1. Los Estados Partes en la Convención se comprometen a cumplir la decisión de la Corte en todo caso en que sean partes. </w:t>
      </w:r>
    </w:p>
    <w:p w:rsidR="00D57F75" w:rsidRPr="00D57F75" w:rsidRDefault="00D57F75" w:rsidP="00D57F75">
      <w:pPr>
        <w:pStyle w:val="NormalWeb"/>
        <w:spacing w:after="0"/>
        <w:rPr>
          <w:lang w:val="es-ES"/>
        </w:rPr>
      </w:pPr>
      <w:r w:rsidRPr="00D57F75">
        <w:rPr>
          <w:i/>
          <w:lang w:val="es-ES"/>
        </w:rPr>
        <w:t>2. La parte del fallo que disponga indemnización compensatoria se podrá ejecutar en el respectivo país por el procedimiento interno vigente para la ejecución de sentencias contra el Estado</w:t>
      </w:r>
      <w:r w:rsidRPr="00D57F75">
        <w:rPr>
          <w:lang w:val="es-ES"/>
        </w:rPr>
        <w:t xml:space="preserve">.”  </w:t>
      </w:r>
    </w:p>
    <w:p w:rsidR="00D57F75" w:rsidRPr="00D57F75" w:rsidRDefault="00D57F75" w:rsidP="00D57F75">
      <w:pPr>
        <w:pStyle w:val="NormalWeb"/>
        <w:rPr>
          <w:lang w:val="es-ES"/>
        </w:rPr>
      </w:pPr>
      <w:r w:rsidRPr="00D57F75">
        <w:rPr>
          <w:lang w:val="es-ES"/>
        </w:rPr>
        <w:t xml:space="preserve">Y art.65: </w:t>
      </w:r>
      <w:r w:rsidRPr="00D57F75">
        <w:rPr>
          <w:i/>
          <w:lang w:val="es-ES"/>
        </w:rPr>
        <w:t>“</w:t>
      </w:r>
      <w:r w:rsidRPr="00D57F75">
        <w:rPr>
          <w:rFonts w:cs="Tahoma"/>
          <w:i/>
          <w:lang w:val="es-ES"/>
        </w:rP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r w:rsidRPr="00D57F75">
        <w:rPr>
          <w:rFonts w:cs="Tahoma"/>
          <w:lang w:val="es-ES"/>
        </w:rPr>
        <w:t>.”</w:t>
      </w:r>
    </w:p>
  </w:footnote>
  <w:footnote w:id="424">
    <w:p w:rsidR="00D57F75" w:rsidRPr="00D57F75" w:rsidRDefault="00D57F75" w:rsidP="00D57F75">
      <w:pPr>
        <w:pStyle w:val="NormalWeb"/>
        <w:spacing w:after="0"/>
        <w:rPr>
          <w:rFonts w:cs="Tahoma"/>
          <w:bCs w:val="0"/>
          <w:lang w:val="es-ES"/>
        </w:rPr>
      </w:pPr>
      <w:r w:rsidRPr="00DE67CE">
        <w:rPr>
          <w:rStyle w:val="FootnoteReference"/>
          <w:sz w:val="16"/>
        </w:rPr>
        <w:footnoteRef/>
      </w:r>
      <w:r w:rsidRPr="00D57F75">
        <w:rPr>
          <w:lang w:val="es-ES"/>
        </w:rPr>
        <w:t xml:space="preserve"> Convención, </w:t>
      </w:r>
      <w:r w:rsidRPr="00D57F75">
        <w:rPr>
          <w:rFonts w:cs="Tahoma"/>
          <w:lang w:val="es-ES"/>
        </w:rPr>
        <w:t>art. 31: “</w:t>
      </w:r>
      <w:r w:rsidRPr="00D57F75">
        <w:rPr>
          <w:rFonts w:cs="Tahoma"/>
          <w:i/>
          <w:lang w:val="es-ES"/>
        </w:rPr>
        <w:t>Reconocimiento de Otros Derechos. Podrán ser incluidos en el régimen de protección de esta Convención otros derechos y libertades que sean reconocidos de acuerdo con los procedimientos establecidos en los artículos 76 y 77</w:t>
      </w:r>
      <w:r w:rsidRPr="00D57F75">
        <w:rPr>
          <w:lang w:val="es-ES"/>
        </w:rPr>
        <w:t>”;</w:t>
      </w:r>
    </w:p>
    <w:p w:rsidR="00D57F75" w:rsidRPr="00D57F75" w:rsidRDefault="00D57F75" w:rsidP="00D57F75">
      <w:pPr>
        <w:pStyle w:val="NormalWeb"/>
        <w:spacing w:after="0"/>
        <w:rPr>
          <w:rFonts w:cs="Tahoma"/>
          <w:i/>
          <w:lang w:val="es-ES"/>
        </w:rPr>
      </w:pPr>
      <w:r w:rsidRPr="00D57F75">
        <w:rPr>
          <w:rFonts w:cs="Tahoma"/>
          <w:bCs w:val="0"/>
          <w:lang w:val="es-ES"/>
        </w:rPr>
        <w:t>art. 76: “</w:t>
      </w:r>
      <w:r w:rsidRPr="00D57F75">
        <w:rPr>
          <w:rFonts w:cs="Tahoma"/>
          <w:i/>
          <w:lang w:val="es-ES"/>
        </w:rPr>
        <w:t>1. Cualquier Estado parte directamente y la Comisión o la Corte por conducto del Secretario General, pueden someter a la Asamblea General, para lo que estime conveniente, una propuesta de enmienda a esta Convención.  </w:t>
      </w:r>
    </w:p>
    <w:p w:rsidR="00D57F75" w:rsidRPr="00D57F75" w:rsidRDefault="00D57F75" w:rsidP="00D57F75">
      <w:pPr>
        <w:pStyle w:val="NormalWeb"/>
        <w:spacing w:after="0"/>
        <w:rPr>
          <w:lang w:val="es-ES"/>
        </w:rPr>
      </w:pPr>
      <w:r w:rsidRPr="00D57F75">
        <w:rPr>
          <w:rFonts w:cs="Tahoma"/>
          <w:i/>
          <w:lang w:val="es-ES"/>
        </w:rPr>
        <w:t xml:space="preserve">2. Las enmiendas entrarán en  vigor para los Estados </w:t>
      </w:r>
      <w:proofErr w:type="spellStart"/>
      <w:r w:rsidRPr="00D57F75">
        <w:rPr>
          <w:rFonts w:cs="Tahoma"/>
          <w:i/>
          <w:lang w:val="es-ES"/>
        </w:rPr>
        <w:t>ratificantes</w:t>
      </w:r>
      <w:proofErr w:type="spellEnd"/>
      <w:r w:rsidRPr="00D57F75">
        <w:rPr>
          <w:rFonts w:cs="Tahoma"/>
          <w:i/>
          <w:lang w:val="es-ES"/>
        </w:rPr>
        <w:t xml:space="preserve">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r w:rsidRPr="00D57F75">
        <w:rPr>
          <w:rFonts w:cs="Tahoma"/>
          <w:lang w:val="es-ES"/>
        </w:rPr>
        <w:t>”, y</w:t>
      </w:r>
      <w:r w:rsidRPr="00D57F75">
        <w:rPr>
          <w:lang w:val="es-ES"/>
        </w:rPr>
        <w:t xml:space="preserve"> </w:t>
      </w:r>
    </w:p>
    <w:p w:rsidR="00D57F75" w:rsidRPr="00D57F75" w:rsidRDefault="00D57F75" w:rsidP="00D57F75">
      <w:pPr>
        <w:pStyle w:val="NormalWeb"/>
        <w:spacing w:after="0"/>
        <w:rPr>
          <w:rFonts w:cs="Tahoma"/>
          <w:i/>
          <w:lang w:val="es-ES"/>
        </w:rPr>
      </w:pPr>
      <w:r w:rsidRPr="00D57F75">
        <w:rPr>
          <w:rFonts w:cs="Tahoma"/>
          <w:bCs w:val="0"/>
          <w:lang w:val="es-ES"/>
        </w:rPr>
        <w:t>art. 77</w:t>
      </w:r>
      <w:r w:rsidRPr="00D57F75">
        <w:rPr>
          <w:lang w:val="es-ES"/>
        </w:rPr>
        <w:t>:</w:t>
      </w:r>
      <w:r w:rsidRPr="00D57F75">
        <w:rPr>
          <w:rFonts w:cs="Tahoma"/>
          <w:lang w:val="es-ES"/>
        </w:rPr>
        <w:t> “</w:t>
      </w:r>
      <w:r w:rsidRPr="00D57F75">
        <w:rPr>
          <w:rFonts w:cs="Tahoma"/>
          <w:i/>
          <w:lang w:val="es-ES"/>
        </w:rPr>
        <w:t>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rsidR="00D57F75" w:rsidRPr="00D57F75" w:rsidRDefault="00D57F75" w:rsidP="00D57F75">
      <w:pPr>
        <w:pStyle w:val="NormalWeb"/>
        <w:rPr>
          <w:rFonts w:cs="Tahoma"/>
          <w:bCs w:val="0"/>
          <w:lang w:val="es-ES"/>
        </w:rPr>
      </w:pPr>
      <w:r w:rsidRPr="00D57F75">
        <w:rPr>
          <w:rFonts w:cs="Tahoma"/>
          <w:i/>
          <w:lang w:val="es-ES"/>
        </w:rPr>
        <w:t>2. Cada protocolo debe fijar las modalidades de su entrada en vigor, y se aplicará sólo entre los Estados Partes en el mismo</w:t>
      </w:r>
      <w:r w:rsidRPr="00D57F75">
        <w:rPr>
          <w:rFonts w:cs="Tahoma"/>
          <w:lang w:val="es-ES"/>
        </w:rPr>
        <w:t xml:space="preserve">.” </w:t>
      </w:r>
    </w:p>
  </w:footnote>
  <w:footnote w:id="425">
    <w:p w:rsidR="00D57F75" w:rsidRPr="00DE67CE" w:rsidRDefault="00D57F75" w:rsidP="00D57F75">
      <w:pPr>
        <w:spacing w:after="0" w:line="240" w:lineRule="auto"/>
        <w:jc w:val="both"/>
        <w:rPr>
          <w:rFonts w:ascii="Verdana" w:hAnsi="Verdana"/>
          <w:color w:val="000000"/>
          <w:sz w:val="16"/>
          <w:szCs w:val="16"/>
          <w:lang w:eastAsia="es-CL"/>
        </w:rPr>
      </w:pPr>
      <w:r w:rsidRPr="00DE67CE">
        <w:rPr>
          <w:rStyle w:val="FootnoteReference"/>
          <w:sz w:val="16"/>
        </w:rPr>
        <w:footnoteRef/>
      </w:r>
      <w:r w:rsidRPr="00DE67CE">
        <w:rPr>
          <w:rFonts w:ascii="Verdana" w:hAnsi="Verdana"/>
          <w:sz w:val="16"/>
          <w:szCs w:val="16"/>
        </w:rPr>
        <w:t xml:space="preserve"> Convención de Viena sobre el Derecho de los Tratados, art. </w:t>
      </w:r>
      <w:r w:rsidRPr="00DE67CE">
        <w:rPr>
          <w:rFonts w:ascii="Verdana" w:hAnsi="Verdana"/>
          <w:bCs/>
          <w:color w:val="000000"/>
          <w:sz w:val="16"/>
          <w:szCs w:val="16"/>
          <w:lang w:eastAsia="es-CL"/>
        </w:rPr>
        <w:t>39: “</w:t>
      </w:r>
      <w:r w:rsidRPr="00DE67CE">
        <w:rPr>
          <w:rFonts w:ascii="Verdana" w:hAnsi="Verdana"/>
          <w:bCs/>
          <w:i/>
          <w:color w:val="000000"/>
          <w:sz w:val="16"/>
          <w:szCs w:val="16"/>
          <w:lang w:eastAsia="es-CL"/>
        </w:rPr>
        <w:t>Norma general concerniente a la enmienda de los tratados.</w:t>
      </w:r>
      <w:r w:rsidRPr="00DE67CE">
        <w:rPr>
          <w:rFonts w:ascii="Verdana" w:hAnsi="Verdana"/>
          <w:i/>
          <w:color w:val="000000"/>
          <w:sz w:val="16"/>
          <w:szCs w:val="16"/>
          <w:lang w:eastAsia="es-CL"/>
        </w:rPr>
        <w:t> Un tratado podrá ser enmendado por acuerdo entre las partes. Se aplicarán a tal acuerdo las normas enunciadas en la Parte II, salvo en la medida en que el tratado disponga otra cosa</w:t>
      </w:r>
      <w:r w:rsidRPr="00DE67CE">
        <w:rPr>
          <w:rFonts w:ascii="Verdana" w:hAnsi="Verdana"/>
          <w:color w:val="000000"/>
          <w:sz w:val="16"/>
          <w:szCs w:val="16"/>
          <w:lang w:eastAsia="es-CL"/>
        </w:rPr>
        <w:t xml:space="preserve">”;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color w:val="000000"/>
          <w:sz w:val="16"/>
          <w:szCs w:val="16"/>
          <w:lang w:eastAsia="es-CL"/>
        </w:rPr>
        <w:t xml:space="preserve">art </w:t>
      </w:r>
      <w:r w:rsidRPr="00DE67CE">
        <w:rPr>
          <w:rFonts w:ascii="Verdana" w:hAnsi="Verdana"/>
          <w:bCs/>
          <w:color w:val="000000"/>
          <w:sz w:val="16"/>
          <w:szCs w:val="16"/>
          <w:lang w:eastAsia="es-CL"/>
        </w:rPr>
        <w:t>40: “</w:t>
      </w:r>
      <w:r w:rsidRPr="00DE67CE">
        <w:rPr>
          <w:rFonts w:ascii="Verdana" w:hAnsi="Verdana"/>
          <w:bCs/>
          <w:i/>
          <w:color w:val="000000"/>
          <w:sz w:val="16"/>
          <w:szCs w:val="16"/>
          <w:lang w:eastAsia="es-CL"/>
        </w:rPr>
        <w:t>Enmienda de los tratados multilaterales. </w:t>
      </w:r>
      <w:r w:rsidRPr="00DE67CE">
        <w:rPr>
          <w:rFonts w:ascii="Verdana" w:hAnsi="Verdana"/>
          <w:i/>
          <w:color w:val="000000"/>
          <w:sz w:val="16"/>
          <w:szCs w:val="16"/>
          <w:lang w:eastAsia="es-CL"/>
        </w:rPr>
        <w:t xml:space="preserve">1. Salvo que el tratado disponga otra cosa, la enmienda de los tratados multilaterales se regirá por los párrafos siguientes.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 xml:space="preserve">2. Toda propuesta de enmienda de un tratado multilateral en las relaciones entre todas las partes habrá de ser notificada a todos los Estados contratantes, cada uno de los cuales tendrá derecho a participar: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 xml:space="preserve">a) en la decisión sobre las medidas que haya que adoptar con relación a tal propuesta: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 xml:space="preserve">b) en la negociación y la celebración de cualquier acuerdo que tenga por objeto enmendar el tratado.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 xml:space="preserve">3. Todo Estado facultado para llegar a ser parte en el tratado estará también facultado para llegar a ser parte en el tratado en su forma enmendada. </w:t>
      </w:r>
    </w:p>
    <w:p w:rsidR="00D57F75" w:rsidRPr="00DE67CE" w:rsidRDefault="00D57F75" w:rsidP="00D57F75">
      <w:pPr>
        <w:spacing w:after="0" w:line="240" w:lineRule="auto"/>
        <w:jc w:val="both"/>
        <w:rPr>
          <w:rFonts w:ascii="Verdana" w:hAnsi="Verdana"/>
          <w:color w:val="000000"/>
          <w:sz w:val="16"/>
          <w:szCs w:val="16"/>
          <w:lang w:eastAsia="es-CL"/>
        </w:rPr>
      </w:pPr>
      <w:r w:rsidRPr="00DE67CE">
        <w:rPr>
          <w:rFonts w:ascii="Verdana" w:hAnsi="Verdana"/>
          <w:i/>
          <w:color w:val="000000"/>
          <w:sz w:val="16"/>
          <w:szCs w:val="16"/>
          <w:lang w:eastAsia="es-CL"/>
        </w:rPr>
        <w:t>4. El acuerdo en virtud del cual se enmiende el tratado no obligará a ningún Estado que sea ya parte en el tratado que no llegue a serlo en ese acuerdo, con respecto a tal Estado se aplicará el apartado b) del párrafo 4 del artículo 30</w:t>
      </w:r>
      <w:r w:rsidRPr="00DE67CE">
        <w:rPr>
          <w:rFonts w:ascii="Verdana" w:hAnsi="Verdana"/>
          <w:color w:val="000000"/>
          <w:sz w:val="16"/>
          <w:szCs w:val="16"/>
          <w:lang w:eastAsia="es-CL"/>
        </w:rPr>
        <w:t xml:space="preserve">. </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5. Todo Estado que llegue a ser parte en el tratado después de la entrada en vigor del acuerdo en virtud del cual se enmiende el tratado será considerado, de no haber manifestado ese Estado una intención diferente:</w:t>
      </w:r>
    </w:p>
    <w:p w:rsidR="00D57F75" w:rsidRPr="00DE67CE" w:rsidRDefault="00D57F75" w:rsidP="00D57F75">
      <w:pPr>
        <w:spacing w:after="0" w:line="240" w:lineRule="auto"/>
        <w:jc w:val="both"/>
        <w:rPr>
          <w:rFonts w:ascii="Verdana" w:hAnsi="Verdana"/>
          <w:i/>
          <w:color w:val="000000"/>
          <w:sz w:val="16"/>
          <w:szCs w:val="16"/>
          <w:lang w:eastAsia="es-CL"/>
        </w:rPr>
      </w:pPr>
      <w:r w:rsidRPr="00DE67CE">
        <w:rPr>
          <w:rFonts w:ascii="Verdana" w:hAnsi="Verdana"/>
          <w:i/>
          <w:color w:val="000000"/>
          <w:sz w:val="16"/>
          <w:szCs w:val="16"/>
          <w:lang w:eastAsia="es-CL"/>
        </w:rPr>
        <w:t xml:space="preserve">a) parte en el tratado en su forma enmendada; y </w:t>
      </w:r>
    </w:p>
    <w:p w:rsidR="00D57F75" w:rsidRPr="00DE67CE" w:rsidRDefault="00D57F75" w:rsidP="00D57F75">
      <w:pPr>
        <w:spacing w:after="120" w:line="240" w:lineRule="auto"/>
        <w:jc w:val="both"/>
        <w:rPr>
          <w:rFonts w:ascii="Verdana" w:hAnsi="Verdana"/>
          <w:color w:val="000000"/>
          <w:sz w:val="16"/>
          <w:szCs w:val="16"/>
          <w:lang w:eastAsia="es-CL"/>
        </w:rPr>
      </w:pPr>
      <w:r w:rsidRPr="00DE67CE">
        <w:rPr>
          <w:rFonts w:ascii="Verdana" w:hAnsi="Verdana"/>
          <w:i/>
          <w:color w:val="000000"/>
          <w:sz w:val="16"/>
          <w:szCs w:val="16"/>
          <w:lang w:eastAsia="es-CL"/>
        </w:rPr>
        <w:t>b) parte en el tratado no enmendado con respecto a toda parte en el tratado que no esté obligada por el acuerdo en virtud del cual se enmiende el tratado.”</w:t>
      </w:r>
    </w:p>
  </w:footnote>
  <w:footnote w:id="426">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Art. 68 de la Convención, ya citado.</w:t>
      </w:r>
    </w:p>
  </w:footnote>
  <w:footnote w:id="427">
    <w:p w:rsidR="00D57F75" w:rsidRPr="00DE67CE" w:rsidRDefault="00D57F75" w:rsidP="00D57F75">
      <w:pPr>
        <w:spacing w:after="120" w:line="240" w:lineRule="auto"/>
        <w:jc w:val="both"/>
        <w:rPr>
          <w:rFonts w:ascii="Verdana" w:hAnsi="Verdana" w:cs="Calibri"/>
          <w:sz w:val="16"/>
          <w:szCs w:val="16"/>
          <w:lang w:eastAsia="es-CL"/>
        </w:rPr>
      </w:pPr>
      <w:r w:rsidRPr="00DE67CE">
        <w:rPr>
          <w:rStyle w:val="FootnoteReference"/>
          <w:sz w:val="16"/>
        </w:rPr>
        <w:footnoteRef/>
      </w:r>
      <w:r w:rsidRPr="00DE67CE">
        <w:rPr>
          <w:rFonts w:ascii="Verdana" w:hAnsi="Verdana"/>
          <w:sz w:val="16"/>
          <w:szCs w:val="16"/>
        </w:rPr>
        <w:t xml:space="preserve"> </w:t>
      </w:r>
      <w:r w:rsidRPr="00DE67CE">
        <w:rPr>
          <w:rFonts w:ascii="Verdana" w:hAnsi="Verdana" w:cs="Calibri"/>
          <w:bCs/>
          <w:iCs/>
          <w:sz w:val="16"/>
          <w:szCs w:val="16"/>
          <w:lang w:eastAsia="es-CL"/>
        </w:rPr>
        <w:t xml:space="preserve">Art. 59 del Estatuto de la Corte Internacional de Justicia: </w:t>
      </w:r>
      <w:r w:rsidRPr="00DE67CE">
        <w:rPr>
          <w:rFonts w:ascii="Verdana" w:hAnsi="Verdana" w:cs="Calibri"/>
          <w:sz w:val="16"/>
          <w:szCs w:val="16"/>
          <w:lang w:eastAsia="es-CL"/>
        </w:rPr>
        <w:t>“</w:t>
      </w:r>
      <w:r w:rsidRPr="00DE67CE">
        <w:rPr>
          <w:rFonts w:ascii="Verdana" w:hAnsi="Verdana" w:cs="Calibri"/>
          <w:i/>
          <w:sz w:val="16"/>
          <w:szCs w:val="16"/>
          <w:lang w:eastAsia="es-CL"/>
        </w:rPr>
        <w:t>La decisión de la Corte no es obligatoria sino para las partes en litigio y respecto del caso que ha sido decidido.”</w:t>
      </w:r>
    </w:p>
  </w:footnote>
  <w:footnote w:id="428">
    <w:p w:rsidR="00D57F75" w:rsidRPr="00DE67CE" w:rsidRDefault="00D57F75" w:rsidP="00D57F75">
      <w:pPr>
        <w:spacing w:after="0" w:line="240" w:lineRule="auto"/>
        <w:jc w:val="both"/>
        <w:rPr>
          <w:rFonts w:ascii="Verdana" w:hAnsi="Verdana" w:cs="Calibri"/>
          <w:i/>
          <w:sz w:val="16"/>
          <w:szCs w:val="16"/>
          <w:lang w:eastAsia="es-CL"/>
        </w:rPr>
      </w:pPr>
      <w:r w:rsidRPr="00DE67CE">
        <w:rPr>
          <w:rStyle w:val="FootnoteReference"/>
          <w:rFonts w:cs="Calibri"/>
          <w:sz w:val="16"/>
        </w:rPr>
        <w:footnoteRef/>
      </w:r>
      <w:r w:rsidRPr="00DE67CE">
        <w:rPr>
          <w:rFonts w:ascii="Verdana" w:hAnsi="Verdana" w:cs="Calibri"/>
          <w:sz w:val="16"/>
          <w:szCs w:val="16"/>
        </w:rPr>
        <w:t xml:space="preserve"> </w:t>
      </w:r>
      <w:r w:rsidRPr="00DE67CE">
        <w:rPr>
          <w:rFonts w:ascii="Verdana" w:hAnsi="Verdana" w:cs="Calibri"/>
          <w:bCs/>
          <w:iCs/>
          <w:sz w:val="16"/>
          <w:szCs w:val="16"/>
          <w:lang w:eastAsia="es-CL"/>
        </w:rPr>
        <w:t>Art. 38 del mismo Estatuto: “</w:t>
      </w:r>
      <w:r w:rsidRPr="00DE67CE">
        <w:rPr>
          <w:rFonts w:ascii="Verdana" w:hAnsi="Verdana" w:cs="Calibri"/>
          <w:i/>
          <w:sz w:val="16"/>
          <w:szCs w:val="16"/>
          <w:lang w:eastAsia="es-CL"/>
        </w:rPr>
        <w:t xml:space="preserve">1. La Corte, cuya función es decidir conforme al derecho internacional las controversias que le sean sometidas, deberá aplicar: </w:t>
      </w:r>
    </w:p>
    <w:p w:rsidR="00D57F75" w:rsidRPr="00DE67CE" w:rsidRDefault="00D57F75" w:rsidP="00D57F75">
      <w:pPr>
        <w:spacing w:after="0" w:line="240" w:lineRule="auto"/>
        <w:jc w:val="both"/>
        <w:rPr>
          <w:rFonts w:ascii="Verdana" w:hAnsi="Verdana" w:cs="Calibri"/>
          <w:i/>
          <w:sz w:val="16"/>
          <w:szCs w:val="16"/>
          <w:lang w:eastAsia="es-CL"/>
        </w:rPr>
      </w:pPr>
      <w:r w:rsidRPr="00DE67CE">
        <w:rPr>
          <w:rFonts w:ascii="Verdana" w:hAnsi="Verdana" w:cs="Calibri"/>
          <w:i/>
          <w:sz w:val="16"/>
          <w:szCs w:val="16"/>
          <w:lang w:eastAsia="es-CL"/>
        </w:rPr>
        <w:t>a. las convenciones internacionales, sean generales o particulares, que establecen reglas expresamente reconocidas por los Estados litigantes;</w:t>
      </w:r>
    </w:p>
    <w:p w:rsidR="00D57F75" w:rsidRPr="00DE67CE" w:rsidRDefault="00D57F75" w:rsidP="00D57F75">
      <w:pPr>
        <w:spacing w:after="0" w:line="240" w:lineRule="auto"/>
        <w:jc w:val="both"/>
        <w:rPr>
          <w:rFonts w:ascii="Verdana" w:hAnsi="Verdana" w:cs="Calibri"/>
          <w:i/>
          <w:sz w:val="16"/>
          <w:szCs w:val="16"/>
          <w:lang w:eastAsia="es-CL"/>
        </w:rPr>
      </w:pPr>
      <w:r w:rsidRPr="00DE67CE">
        <w:rPr>
          <w:rFonts w:ascii="Verdana" w:hAnsi="Verdana" w:cs="Calibri"/>
          <w:i/>
          <w:sz w:val="16"/>
          <w:szCs w:val="16"/>
          <w:lang w:eastAsia="es-CL"/>
        </w:rPr>
        <w:t xml:space="preserve">b. la costumbre internacional como prueba de una práctica generalmente aceptada como derecho; </w:t>
      </w:r>
    </w:p>
    <w:p w:rsidR="00D57F75" w:rsidRPr="00DE67CE" w:rsidRDefault="00D57F75" w:rsidP="00D57F75">
      <w:pPr>
        <w:spacing w:after="0" w:line="240" w:lineRule="auto"/>
        <w:jc w:val="both"/>
        <w:rPr>
          <w:rFonts w:ascii="Verdana" w:hAnsi="Verdana" w:cs="Calibri"/>
          <w:i/>
          <w:sz w:val="16"/>
          <w:szCs w:val="16"/>
          <w:lang w:eastAsia="es-CL"/>
        </w:rPr>
      </w:pPr>
      <w:r w:rsidRPr="00DE67CE">
        <w:rPr>
          <w:rFonts w:ascii="Verdana" w:hAnsi="Verdana" w:cs="Calibri"/>
          <w:i/>
          <w:sz w:val="16"/>
          <w:szCs w:val="16"/>
          <w:lang w:eastAsia="es-CL"/>
        </w:rPr>
        <w:t xml:space="preserve">c. los principios generales de derecho reconocidos por las naciones civilizadas; </w:t>
      </w:r>
    </w:p>
    <w:p w:rsidR="00D57F75" w:rsidRPr="00DE67CE" w:rsidRDefault="00D57F75" w:rsidP="00D57F75">
      <w:pPr>
        <w:spacing w:after="0" w:line="240" w:lineRule="auto"/>
        <w:jc w:val="both"/>
        <w:rPr>
          <w:rFonts w:ascii="Verdana" w:hAnsi="Verdana" w:cs="Calibri"/>
          <w:i/>
          <w:sz w:val="16"/>
          <w:szCs w:val="16"/>
          <w:lang w:eastAsia="es-CL"/>
        </w:rPr>
      </w:pPr>
      <w:r w:rsidRPr="00DE67CE">
        <w:rPr>
          <w:rFonts w:ascii="Verdana" w:hAnsi="Verdana" w:cs="Calibri"/>
          <w:i/>
          <w:sz w:val="16"/>
          <w:szCs w:val="16"/>
          <w:lang w:eastAsia="es-CL"/>
        </w:rPr>
        <w:t xml:space="preserve">d. las decisiones judiciales y las doctrinas de los publicistas de mayor competencia de las distintas naciones, como medio auxiliar para la determinación de las reglas de derecho, sin perjuicio de lo dispuesto en el Artículo 59. </w:t>
      </w:r>
    </w:p>
    <w:p w:rsidR="00D57F75" w:rsidRPr="00DE67CE" w:rsidRDefault="00D57F75" w:rsidP="00D57F75">
      <w:pPr>
        <w:spacing w:after="120" w:line="240" w:lineRule="auto"/>
        <w:jc w:val="both"/>
        <w:rPr>
          <w:rFonts w:ascii="Verdana" w:hAnsi="Verdana" w:cs="Calibri"/>
          <w:i/>
          <w:sz w:val="16"/>
          <w:szCs w:val="16"/>
          <w:lang w:eastAsia="es-CL"/>
        </w:rPr>
      </w:pPr>
      <w:r w:rsidRPr="00DE67CE">
        <w:rPr>
          <w:rFonts w:ascii="Verdana" w:hAnsi="Verdana" w:cs="Calibri"/>
          <w:i/>
          <w:sz w:val="16"/>
          <w:szCs w:val="16"/>
          <w:lang w:eastAsia="es-CL"/>
        </w:rPr>
        <w:t>2. La presente disposición no restringe la facultad de la Corte para decidir un litigio </w:t>
      </w:r>
      <w:r w:rsidRPr="00DE67CE">
        <w:rPr>
          <w:rFonts w:ascii="Verdana" w:hAnsi="Verdana" w:cs="Calibri"/>
          <w:i/>
          <w:iCs/>
          <w:sz w:val="16"/>
          <w:szCs w:val="16"/>
          <w:lang w:eastAsia="es-CL"/>
        </w:rPr>
        <w:t>ex aequo et bono</w:t>
      </w:r>
      <w:r w:rsidRPr="00DE67CE">
        <w:rPr>
          <w:rFonts w:ascii="Verdana" w:hAnsi="Verdana" w:cs="Calibri"/>
          <w:i/>
          <w:sz w:val="16"/>
          <w:szCs w:val="16"/>
          <w:lang w:eastAsia="es-CL"/>
        </w:rPr>
        <w:t>, si las partes así lo conviniere.”</w:t>
      </w:r>
    </w:p>
  </w:footnote>
  <w:footnote w:id="429">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Ver nota Nº 9.</w:t>
      </w:r>
    </w:p>
  </w:footnote>
  <w:footnote w:id="430">
    <w:p w:rsidR="00D57F75" w:rsidRPr="00DE67CE" w:rsidRDefault="00D57F75" w:rsidP="00D57F75">
      <w:pPr>
        <w:pStyle w:val="FootnoteText"/>
        <w:rPr>
          <w:rFonts w:ascii="Verdana" w:hAnsi="Verdana"/>
          <w:sz w:val="16"/>
          <w:szCs w:val="16"/>
          <w:lang w:val="es-MX"/>
        </w:rPr>
      </w:pPr>
      <w:r w:rsidRPr="00DE67CE">
        <w:rPr>
          <w:rStyle w:val="FootnoteReference"/>
          <w:rFonts w:eastAsiaTheme="minorHAnsi"/>
          <w:sz w:val="16"/>
        </w:rPr>
        <w:footnoteRef/>
      </w:r>
      <w:r w:rsidRPr="00DE67CE">
        <w:rPr>
          <w:rFonts w:ascii="Verdana" w:hAnsi="Verdana"/>
          <w:sz w:val="16"/>
          <w:szCs w:val="16"/>
        </w:rPr>
        <w:t xml:space="preserve"> Tampoco está contemplado en el Estatuto ni en el Reglamento de la Corte Internacional de Justicia. En tal ámbito, sería, por ende, únicamente de carácter jurisprudencial.</w:t>
      </w:r>
    </w:p>
  </w:footnote>
  <w:footnote w:id="431">
    <w:p w:rsidR="00D57F75" w:rsidRPr="00DE67CE" w:rsidRDefault="00D57F75" w:rsidP="00D57F75">
      <w:pPr>
        <w:pStyle w:val="FootnoteText"/>
        <w:spacing w:before="240"/>
        <w:rPr>
          <w:rFonts w:ascii="Verdana" w:hAnsi="Verdana"/>
          <w:i/>
          <w:sz w:val="16"/>
          <w:szCs w:val="16"/>
        </w:rPr>
      </w:pPr>
      <w:r w:rsidRPr="00DE67CE">
        <w:rPr>
          <w:rStyle w:val="FootnoteReference"/>
          <w:rFonts w:eastAsiaTheme="minorHAnsi"/>
          <w:sz w:val="16"/>
        </w:rPr>
        <w:footnoteRef/>
      </w:r>
      <w:r w:rsidRPr="00DE67CE">
        <w:rPr>
          <w:rFonts w:ascii="Verdana" w:hAnsi="Verdana"/>
          <w:sz w:val="16"/>
          <w:szCs w:val="16"/>
        </w:rPr>
        <w:t xml:space="preserve"> “</w:t>
      </w:r>
      <w:r w:rsidRPr="00DE67CE">
        <w:rPr>
          <w:rFonts w:ascii="Verdana" w:hAnsi="Verdana"/>
          <w:i/>
          <w:sz w:val="16"/>
          <w:szCs w:val="16"/>
        </w:rPr>
        <w:t xml:space="preserve">Condiciones de admisibilidad 1. Al Tribunal no podrá recurrirse sino después de agotar las vías de recursos internas, tal como se entiende según los principios de derecho internacional generalmente reconocidos y en el plazo de seis meses a partir de la fecha de la decisión interna definitiva. </w:t>
      </w:r>
    </w:p>
    <w:p w:rsidR="00D57F75" w:rsidRPr="00DE67CE" w:rsidRDefault="00D57F75" w:rsidP="00D57F75">
      <w:pPr>
        <w:pStyle w:val="FootnoteText"/>
        <w:rPr>
          <w:rFonts w:ascii="Verdana" w:hAnsi="Verdana"/>
          <w:i/>
          <w:sz w:val="16"/>
          <w:szCs w:val="16"/>
        </w:rPr>
      </w:pPr>
      <w:r w:rsidRPr="00DE67CE">
        <w:rPr>
          <w:rFonts w:ascii="Verdana" w:hAnsi="Verdana"/>
          <w:i/>
          <w:sz w:val="16"/>
          <w:szCs w:val="16"/>
        </w:rPr>
        <w:t>2. El Tribunal no admitirá ninguna demanda individual entablada en aplicación del artículo 34 cuando:</w:t>
      </w:r>
    </w:p>
    <w:p w:rsidR="00D57F75" w:rsidRPr="00DE67CE" w:rsidRDefault="00D57F75" w:rsidP="00D57F75">
      <w:pPr>
        <w:pStyle w:val="FootnoteText"/>
        <w:rPr>
          <w:rFonts w:ascii="Verdana" w:hAnsi="Verdana"/>
          <w:i/>
          <w:sz w:val="16"/>
          <w:szCs w:val="16"/>
        </w:rPr>
      </w:pPr>
      <w:r w:rsidRPr="00DE67CE">
        <w:rPr>
          <w:rFonts w:ascii="Verdana" w:hAnsi="Verdana"/>
          <w:i/>
          <w:sz w:val="16"/>
          <w:szCs w:val="16"/>
        </w:rPr>
        <w:t xml:space="preserve">a) sea anónima; o </w:t>
      </w:r>
    </w:p>
    <w:p w:rsidR="00D57F75" w:rsidRPr="00DE67CE" w:rsidRDefault="00D57F75" w:rsidP="00D57F75">
      <w:pPr>
        <w:pStyle w:val="FootnoteText"/>
        <w:rPr>
          <w:rFonts w:ascii="Verdana" w:hAnsi="Verdana"/>
          <w:i/>
          <w:sz w:val="16"/>
          <w:szCs w:val="16"/>
        </w:rPr>
      </w:pPr>
      <w:r w:rsidRPr="00DE67CE">
        <w:rPr>
          <w:rFonts w:ascii="Verdana" w:hAnsi="Verdana"/>
          <w:i/>
          <w:sz w:val="16"/>
          <w:szCs w:val="16"/>
        </w:rPr>
        <w:t xml:space="preserve">b) sea esencialmente la misma que una demanda examinada anteriormente por el Tribunal o ya sometida a otra instancia internacional de investigación o de acuerdo, y no contenga hechos nuevos. </w:t>
      </w:r>
    </w:p>
    <w:p w:rsidR="00D57F75" w:rsidRPr="00DE67CE" w:rsidRDefault="00D57F75" w:rsidP="00D57F75">
      <w:pPr>
        <w:pStyle w:val="FootnoteText"/>
        <w:rPr>
          <w:rFonts w:ascii="Verdana" w:hAnsi="Verdana"/>
          <w:i/>
          <w:sz w:val="16"/>
          <w:szCs w:val="16"/>
        </w:rPr>
      </w:pPr>
      <w:r w:rsidRPr="00DE67CE">
        <w:rPr>
          <w:rFonts w:ascii="Verdana" w:hAnsi="Verdana"/>
          <w:i/>
          <w:sz w:val="16"/>
          <w:szCs w:val="16"/>
        </w:rPr>
        <w:t>3. El Tribunal declarará inadmisible cualquier demanda individual presentada en virtud del artículo 34 si considera que: a) la demanda es incompatible con las disposiciones del Convenio o de sus Protocolos, manifiestamente mal fundada o abusiva; o</w:t>
      </w:r>
    </w:p>
    <w:p w:rsidR="00D57F75" w:rsidRPr="00DE67CE" w:rsidRDefault="00D57F75" w:rsidP="00D57F75">
      <w:pPr>
        <w:pStyle w:val="FootnoteText"/>
        <w:rPr>
          <w:rFonts w:ascii="Verdana" w:hAnsi="Verdana"/>
          <w:i/>
          <w:sz w:val="16"/>
          <w:szCs w:val="16"/>
        </w:rPr>
      </w:pPr>
      <w:r w:rsidRPr="00DE67CE">
        <w:rPr>
          <w:rFonts w:ascii="Verdana" w:hAnsi="Verdana"/>
          <w:i/>
          <w:sz w:val="16"/>
          <w:szCs w:val="16"/>
        </w:rPr>
        <w:t xml:space="preserve">b) el demandante no ha sufrido un perjuicio importante, a menos que el respeto de los derechos humanos garantizados por el Convenio y por sus Protocolos exija un examen del fondo de la demanda, y con la condición de que no podrá rechazarse por este motivo ningún asunto que no haya sido debidamente examinado por un Tribunal nacional. </w:t>
      </w:r>
    </w:p>
    <w:p w:rsidR="00D57F75" w:rsidRPr="00DE67CE" w:rsidRDefault="00D57F75" w:rsidP="00D57F75">
      <w:pPr>
        <w:pStyle w:val="FootnoteText"/>
        <w:rPr>
          <w:rFonts w:ascii="Verdana" w:hAnsi="Verdana"/>
          <w:sz w:val="16"/>
          <w:szCs w:val="16"/>
        </w:rPr>
      </w:pPr>
      <w:r w:rsidRPr="00DE67CE">
        <w:rPr>
          <w:rFonts w:ascii="Verdana" w:hAnsi="Verdana"/>
          <w:i/>
          <w:sz w:val="16"/>
          <w:szCs w:val="16"/>
        </w:rPr>
        <w:t>4. El Tribunal rechazará cualquier demanda que considere inadmisible en aplicación del presente artículo. Podrá decidirlo así en cualquier fase del procedimiento</w:t>
      </w:r>
      <w:r w:rsidRPr="00DE67CE">
        <w:rPr>
          <w:rFonts w:ascii="Verdana" w:hAnsi="Verdana"/>
          <w:sz w:val="16"/>
          <w:szCs w:val="16"/>
        </w:rPr>
        <w:t>.”</w:t>
      </w:r>
    </w:p>
  </w:footnote>
  <w:footnote w:id="432">
    <w:p w:rsidR="00D57F75" w:rsidRPr="00DE67CE" w:rsidRDefault="00D57F75" w:rsidP="00D57F75">
      <w:pPr>
        <w:pStyle w:val="FootnoteText"/>
        <w:rPr>
          <w:rFonts w:ascii="Verdana" w:hAnsi="Verdana"/>
          <w:i/>
          <w:sz w:val="16"/>
          <w:szCs w:val="16"/>
          <w:lang w:val="es-MX"/>
        </w:rPr>
      </w:pPr>
      <w:r w:rsidRPr="00DE67CE">
        <w:rPr>
          <w:rStyle w:val="FootnoteReference"/>
          <w:rFonts w:eastAsiaTheme="minorHAnsi"/>
          <w:i/>
          <w:sz w:val="16"/>
        </w:rPr>
        <w:footnoteRef/>
      </w:r>
      <w:r w:rsidRPr="00DE67CE">
        <w:rPr>
          <w:rFonts w:ascii="Verdana" w:hAnsi="Verdana"/>
          <w:sz w:val="16"/>
          <w:szCs w:val="16"/>
        </w:rPr>
        <w:t xml:space="preserve"> Art. 61.1 de la Convención: </w:t>
      </w:r>
      <w:r w:rsidRPr="00DE67CE">
        <w:rPr>
          <w:rFonts w:ascii="Verdana" w:hAnsi="Verdana"/>
          <w:i/>
          <w:sz w:val="16"/>
          <w:szCs w:val="16"/>
        </w:rPr>
        <w:t>“Sólo los Estados Partes y la Comisión tienen derecho a someter un caso a la decisión de la Corte.”</w:t>
      </w:r>
    </w:p>
  </w:footnote>
  <w:footnote w:id="433">
    <w:p w:rsidR="00D57F75" w:rsidRPr="00D57F75" w:rsidRDefault="00D57F75" w:rsidP="00D57F75">
      <w:pPr>
        <w:pStyle w:val="NormalWeb"/>
        <w:spacing w:after="0"/>
        <w:ind w:left="75" w:right="75"/>
        <w:rPr>
          <w:i/>
          <w:lang w:val="es-ES"/>
        </w:rPr>
      </w:pPr>
      <w:r w:rsidRPr="00DE67CE">
        <w:rPr>
          <w:rStyle w:val="FootnoteReference"/>
          <w:sz w:val="16"/>
        </w:rPr>
        <w:footnoteRef/>
      </w:r>
      <w:r w:rsidRPr="00D57F75">
        <w:rPr>
          <w:lang w:val="es-ES"/>
        </w:rPr>
        <w:t xml:space="preserve"> </w:t>
      </w:r>
      <w:proofErr w:type="spellStart"/>
      <w:r w:rsidRPr="00D57F75">
        <w:rPr>
          <w:i/>
          <w:lang w:val="es-ES"/>
        </w:rPr>
        <w:t>Párrs</w:t>
      </w:r>
      <w:proofErr w:type="spellEnd"/>
      <w:r w:rsidRPr="00D57F75">
        <w:rPr>
          <w:i/>
          <w:lang w:val="es-ES"/>
        </w:rPr>
        <w:t>. 1 y 2 :“</w:t>
      </w:r>
      <w:r w:rsidRPr="00D57F75">
        <w:rPr>
          <w:rFonts w:cs="Tahoma"/>
          <w:i/>
          <w:lang w:val="es-ES"/>
        </w:rPr>
        <w:t xml:space="preserve">Reafirmando su propósito de consolidar en este Continente, dentro del cuadro de las instituciones democráticas, un régimen de libertad personal y de justicia social, fundado en el respeto de los derechos esenciales del hombre; </w:t>
      </w:r>
    </w:p>
    <w:p w:rsidR="00D57F75" w:rsidRPr="00D57F75" w:rsidRDefault="00D57F75" w:rsidP="00D57F75">
      <w:pPr>
        <w:pStyle w:val="NormalWeb"/>
        <w:spacing w:after="0"/>
        <w:ind w:left="75" w:right="75"/>
        <w:rPr>
          <w:lang w:val="es-ES"/>
        </w:rPr>
      </w:pPr>
      <w:r w:rsidRPr="00D57F75">
        <w:rPr>
          <w:rFonts w:cs="Tahoma"/>
          <w:i/>
          <w:lang w:val="es-ES"/>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r w:rsidRPr="00D57F75">
        <w:rPr>
          <w:rFonts w:cs="Tahoma"/>
          <w:lang w:val="es-ES"/>
        </w:rPr>
        <w:t xml:space="preserve">;” </w:t>
      </w:r>
    </w:p>
    <w:p w:rsidR="00D57F75" w:rsidRPr="00DE67CE" w:rsidRDefault="00D57F75" w:rsidP="00D57F75">
      <w:pPr>
        <w:pStyle w:val="FootnoteText"/>
        <w:rPr>
          <w:rFonts w:ascii="Verdana" w:hAnsi="Verdana"/>
          <w:sz w:val="16"/>
          <w:szCs w:val="16"/>
          <w:lang w:val="es-CL"/>
        </w:rPr>
      </w:pPr>
    </w:p>
  </w:footnote>
  <w:footnote w:id="434">
    <w:p w:rsidR="00D57F75" w:rsidRPr="00DE67CE" w:rsidRDefault="00D57F75" w:rsidP="00D57F75">
      <w:pPr>
        <w:spacing w:after="0" w:line="240" w:lineRule="auto"/>
        <w:jc w:val="both"/>
        <w:rPr>
          <w:rFonts w:ascii="Verdana" w:hAnsi="Verdana" w:cs="Calibri"/>
          <w:sz w:val="16"/>
          <w:szCs w:val="16"/>
        </w:rPr>
      </w:pPr>
      <w:r w:rsidRPr="00DE67CE">
        <w:rPr>
          <w:rStyle w:val="FootnoteReference"/>
          <w:rFonts w:cs="Calibri"/>
          <w:sz w:val="16"/>
        </w:rPr>
        <w:footnoteRef/>
      </w:r>
      <w:r w:rsidRPr="00DE67CE">
        <w:rPr>
          <w:rFonts w:ascii="Verdana" w:hAnsi="Verdana" w:cs="Calibri"/>
          <w:sz w:val="16"/>
          <w:szCs w:val="16"/>
        </w:rPr>
        <w:t xml:space="preserve"> </w:t>
      </w:r>
      <w:proofErr w:type="spellStart"/>
      <w:r w:rsidRPr="00DE67CE">
        <w:rPr>
          <w:rFonts w:ascii="Verdana" w:hAnsi="Verdana" w:cs="Calibri"/>
          <w:sz w:val="16"/>
          <w:szCs w:val="16"/>
        </w:rPr>
        <w:t>I</w:t>
      </w:r>
      <w:r w:rsidRPr="00DE67CE">
        <w:rPr>
          <w:rFonts w:ascii="Verdana" w:hAnsi="Verdana" w:cs="Calibri"/>
          <w:i/>
          <w:sz w:val="16"/>
          <w:szCs w:val="16"/>
        </w:rPr>
        <w:t>dem</w:t>
      </w:r>
      <w:proofErr w:type="spellEnd"/>
      <w:r w:rsidRPr="00DE67CE">
        <w:rPr>
          <w:rFonts w:ascii="Verdana" w:hAnsi="Verdana" w:cs="Calibri"/>
          <w:sz w:val="16"/>
          <w:szCs w:val="16"/>
        </w:rPr>
        <w:t xml:space="preserve">. </w:t>
      </w:r>
    </w:p>
    <w:p w:rsidR="00D57F75" w:rsidRPr="00DE67CE" w:rsidRDefault="00D57F75" w:rsidP="00D57F75">
      <w:pPr>
        <w:spacing w:after="120" w:line="240" w:lineRule="auto"/>
        <w:jc w:val="both"/>
        <w:rPr>
          <w:rFonts w:ascii="Verdana" w:hAnsi="Verdana" w:cs="Calibri"/>
          <w:sz w:val="16"/>
          <w:szCs w:val="16"/>
        </w:rPr>
      </w:pPr>
      <w:r w:rsidRPr="00DE67CE">
        <w:rPr>
          <w:rFonts w:ascii="Verdana" w:hAnsi="Verdana" w:cs="Calibri"/>
          <w:sz w:val="16"/>
          <w:szCs w:val="16"/>
        </w:rPr>
        <w:t xml:space="preserve">Tal vez el artículo 25.1 de la Convención es el que mejor expresa el carácter subsidiario del Sistema Interamericano de Derechos Humanos, al señalar </w:t>
      </w:r>
      <w:proofErr w:type="spellStart"/>
      <w:r w:rsidRPr="00DE67CE">
        <w:rPr>
          <w:rFonts w:ascii="Verdana" w:hAnsi="Verdana" w:cs="Calibri"/>
          <w:sz w:val="16"/>
          <w:szCs w:val="16"/>
        </w:rPr>
        <w:t>que:“</w:t>
      </w:r>
      <w:r w:rsidRPr="00DE67CE">
        <w:rPr>
          <w:rFonts w:ascii="Verdana" w:hAnsi="Verdana" w:cs="Calibri"/>
          <w:i/>
          <w:sz w:val="16"/>
          <w:szCs w:val="16"/>
        </w:rPr>
        <w:t>Toda</w:t>
      </w:r>
      <w:proofErr w:type="spellEnd"/>
      <w:r w:rsidRPr="00DE67CE">
        <w:rPr>
          <w:rFonts w:ascii="Verdana" w:hAnsi="Verdana" w:cs="Calibri"/>
          <w:i/>
          <w:sz w:val="16"/>
          <w:szCs w:val="16"/>
        </w:rPr>
        <w:t xml:space="preserve">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Pr="00DE67CE">
        <w:rPr>
          <w:rFonts w:ascii="Verdana" w:hAnsi="Verdana" w:cs="Calibri"/>
          <w:sz w:val="16"/>
          <w:szCs w:val="16"/>
        </w:rPr>
        <w:t xml:space="preserve">”. </w:t>
      </w:r>
    </w:p>
  </w:footnote>
  <w:footnote w:id="435">
    <w:p w:rsidR="00D57F75" w:rsidRPr="00D57F75" w:rsidRDefault="00D57F75" w:rsidP="00D57F75">
      <w:pPr>
        <w:pStyle w:val="NormalWeb"/>
        <w:rPr>
          <w:lang w:val="es-ES"/>
        </w:rPr>
      </w:pPr>
      <w:r w:rsidRPr="00DE67CE">
        <w:rPr>
          <w:rStyle w:val="FootnoteReference"/>
          <w:rFonts w:cs="Calibri"/>
          <w:sz w:val="16"/>
        </w:rPr>
        <w:footnoteRef/>
      </w:r>
      <w:r w:rsidRPr="00D57F75">
        <w:rPr>
          <w:lang w:val="es-ES"/>
        </w:rPr>
        <w:t xml:space="preserve"> “</w:t>
      </w:r>
      <w:r w:rsidRPr="00D57F75">
        <w:rPr>
          <w:i/>
          <w:lang w:val="es-ES"/>
        </w:rPr>
        <w:t>Los Estados americanos consagran en esta Carta la organización internacional que han desarrollado para lograr un orden de paz y de justicia, fomentar su solidaridad, robustecer su colaboración y defender su soberanía, su integridad territorial y su independencia. Dentro de las Naciones Unidas, la Organización de los Estados Americanos constituye un organismo regional. (…)</w:t>
      </w:r>
      <w:r w:rsidRPr="00D57F75">
        <w:rPr>
          <w:lang w:val="es-ES"/>
        </w:rPr>
        <w:t>”.</w:t>
      </w:r>
    </w:p>
  </w:footnote>
  <w:footnote w:id="436">
    <w:p w:rsidR="00D57F75" w:rsidRPr="00D57F75" w:rsidRDefault="00D57F75" w:rsidP="00D57F75">
      <w:pPr>
        <w:pStyle w:val="NormalWeb"/>
        <w:rPr>
          <w:lang w:val="es-ES"/>
        </w:rPr>
      </w:pPr>
      <w:r w:rsidRPr="00DE67CE">
        <w:rPr>
          <w:rStyle w:val="FootnoteReference"/>
          <w:rFonts w:cs="Calibri"/>
          <w:sz w:val="16"/>
        </w:rPr>
        <w:footnoteRef/>
      </w:r>
      <w:r w:rsidRPr="00D57F75">
        <w:rPr>
          <w:lang w:val="es-ES"/>
        </w:rPr>
        <w:t xml:space="preserve"> “</w:t>
      </w:r>
      <w:r w:rsidRPr="00D57F75">
        <w:rPr>
          <w:i/>
          <w:lang w:val="es-ES"/>
        </w:rPr>
        <w:t>Los Estados americanos reafirman los siguientes principios: …b) El orden internacional está esencialmente constituido por el respeto a la personalidad, soberanía e independencia de los Estados y por el fiel cumplimiento de las obligaciones emanadas de los tratados y de otras fuentes del derecho internacional.</w:t>
      </w:r>
      <w:r w:rsidRPr="00D57F75">
        <w:rPr>
          <w:lang w:val="es-ES"/>
        </w:rPr>
        <w:t>”</w:t>
      </w:r>
    </w:p>
  </w:footnote>
  <w:footnote w:id="437">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Carta Democrática Interamericana adoptada en el Vigésimo Octavo Período Extraordinario de Sesiones de la Asamblea General de la Organización de  los Estados Americanos, por Resolución de fecha 11 de septiembre de 2001.</w:t>
      </w:r>
    </w:p>
  </w:footnote>
  <w:footnote w:id="438">
    <w:p w:rsidR="00D57F75" w:rsidRPr="00D57F75" w:rsidRDefault="00D57F75" w:rsidP="00D57F75">
      <w:pPr>
        <w:pStyle w:val="NormalWeb"/>
        <w:rPr>
          <w:lang w:val="es-ES"/>
        </w:rPr>
      </w:pPr>
      <w:r w:rsidRPr="00DE67CE">
        <w:rPr>
          <w:rStyle w:val="FootnoteReference"/>
          <w:rFonts w:cs="Calibri"/>
          <w:sz w:val="16"/>
        </w:rPr>
        <w:footnoteRef/>
      </w:r>
      <w:r w:rsidRPr="00D57F75">
        <w:rPr>
          <w:lang w:val="es-ES"/>
        </w:rPr>
        <w:t xml:space="preserve"> </w:t>
      </w:r>
      <w:r w:rsidRPr="00D57F75">
        <w:rPr>
          <w:bCs w:val="0"/>
          <w:lang w:val="es-ES"/>
        </w:rPr>
        <w:t>Art. 44</w:t>
      </w:r>
      <w:r w:rsidRPr="00D57F75">
        <w:rPr>
          <w:lang w:val="es-ES"/>
        </w:rPr>
        <w:t xml:space="preserve"> de la Convención: “</w:t>
      </w:r>
      <w:r w:rsidRPr="00D57F75">
        <w:rPr>
          <w:i/>
          <w:lang w:val="es-ES"/>
        </w:rPr>
        <w:t>Cualquier persona o grupo de personas, o entidad no gubernamental legalmente reconocida en uno o más Estados miembros de la Organización, puede presentar a la Comisión peticiones que contengan denuncias o quejas de violación de esta Convención por un Estado parte</w:t>
      </w:r>
      <w:r w:rsidRPr="00D57F75">
        <w:rPr>
          <w:lang w:val="es-ES"/>
        </w:rPr>
        <w:t>.”</w:t>
      </w:r>
    </w:p>
    <w:p w:rsidR="00D57F75" w:rsidRPr="00D57F75" w:rsidRDefault="00D57F75" w:rsidP="00D57F75">
      <w:pPr>
        <w:pStyle w:val="NormalWeb"/>
        <w:rPr>
          <w:lang w:val="es-ES"/>
        </w:rPr>
      </w:pPr>
      <w:r w:rsidRPr="00D57F75">
        <w:rPr>
          <w:lang w:val="es-ES"/>
        </w:rPr>
        <w:t>Art. 61.1 de la Convención: “</w:t>
      </w:r>
      <w:r w:rsidRPr="00D57F75">
        <w:rPr>
          <w:i/>
          <w:lang w:val="es-ES"/>
        </w:rPr>
        <w:t>Sólo los Estados Partes y la Comisión tienen derecho a someter un caso a la decisión de la Corte.</w:t>
      </w:r>
      <w:r w:rsidRPr="00D57F75">
        <w:rPr>
          <w:lang w:val="es-ES"/>
        </w:rPr>
        <w:t xml:space="preserve">” </w:t>
      </w:r>
    </w:p>
  </w:footnote>
  <w:footnote w:id="439">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En adelante, el Reglamento de la Comisión. </w:t>
      </w:r>
    </w:p>
  </w:footnote>
  <w:footnote w:id="440">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Aprobado por la Comisión en su 660a. sesión, celebrada el 8 de abril de 1980, en adelante el Reglamento de la Comisión.</w:t>
      </w:r>
    </w:p>
  </w:footnote>
  <w:footnote w:id="441">
    <w:p w:rsidR="00D57F75" w:rsidRPr="00BB3301" w:rsidRDefault="00D57F75" w:rsidP="00D57F75">
      <w:pPr>
        <w:pStyle w:val="FootnoteText"/>
        <w:rPr>
          <w:rFonts w:ascii="Verdana" w:hAnsi="Verdana"/>
          <w:sz w:val="16"/>
          <w:szCs w:val="16"/>
          <w:lang w:val="en-US"/>
        </w:rPr>
      </w:pPr>
      <w:r w:rsidRPr="00DE67CE">
        <w:rPr>
          <w:rStyle w:val="FootnoteReference"/>
          <w:rFonts w:eastAsiaTheme="minorHAnsi"/>
          <w:sz w:val="16"/>
        </w:rPr>
        <w:footnoteRef/>
      </w:r>
      <w:r w:rsidRPr="00BB3301">
        <w:rPr>
          <w:rFonts w:ascii="Verdana" w:hAnsi="Verdana"/>
          <w:sz w:val="16"/>
          <w:szCs w:val="16"/>
          <w:lang w:val="en-US"/>
        </w:rPr>
        <w:t xml:space="preserve"> </w:t>
      </w:r>
      <w:proofErr w:type="spellStart"/>
      <w:proofErr w:type="gramStart"/>
      <w:r w:rsidRPr="00BB3301">
        <w:rPr>
          <w:rFonts w:ascii="Verdana" w:hAnsi="Verdana"/>
          <w:sz w:val="16"/>
          <w:szCs w:val="16"/>
          <w:lang w:val="en-US"/>
        </w:rPr>
        <w:t>Párr</w:t>
      </w:r>
      <w:proofErr w:type="spellEnd"/>
      <w:r w:rsidRPr="00BB3301">
        <w:rPr>
          <w:rFonts w:ascii="Verdana" w:hAnsi="Verdana"/>
          <w:sz w:val="16"/>
          <w:szCs w:val="16"/>
          <w:lang w:val="en-US"/>
        </w:rPr>
        <w:t>.</w:t>
      </w:r>
      <w:proofErr w:type="gramEnd"/>
      <w:r w:rsidRPr="00BB3301">
        <w:rPr>
          <w:rFonts w:ascii="Verdana" w:hAnsi="Verdana"/>
          <w:sz w:val="16"/>
          <w:szCs w:val="16"/>
          <w:lang w:val="en-US"/>
        </w:rPr>
        <w:t xml:space="preserve"> 46.  </w:t>
      </w:r>
    </w:p>
  </w:footnote>
  <w:footnote w:id="442">
    <w:p w:rsidR="00D57F75" w:rsidRPr="00BB3301" w:rsidRDefault="00D57F75" w:rsidP="00D57F75">
      <w:pPr>
        <w:pStyle w:val="FootnoteText"/>
        <w:rPr>
          <w:rFonts w:ascii="Verdana" w:hAnsi="Verdana"/>
          <w:sz w:val="16"/>
          <w:szCs w:val="16"/>
          <w:lang w:val="en-US"/>
        </w:rPr>
      </w:pPr>
      <w:r w:rsidRPr="00DE67CE">
        <w:rPr>
          <w:rStyle w:val="FootnoteReference"/>
          <w:rFonts w:eastAsiaTheme="minorHAnsi"/>
          <w:sz w:val="16"/>
        </w:rPr>
        <w:footnoteRef/>
      </w:r>
      <w:r w:rsidRPr="00BB3301">
        <w:rPr>
          <w:rFonts w:ascii="Verdana" w:hAnsi="Verdana"/>
          <w:sz w:val="16"/>
          <w:szCs w:val="16"/>
          <w:lang w:val="en-US"/>
        </w:rPr>
        <w:t xml:space="preserve"> </w:t>
      </w:r>
      <w:proofErr w:type="gramStart"/>
      <w:r w:rsidRPr="00BB3301">
        <w:rPr>
          <w:rFonts w:ascii="Verdana" w:hAnsi="Verdana"/>
          <w:i/>
          <w:sz w:val="16"/>
          <w:szCs w:val="16"/>
          <w:lang w:val="en-US"/>
        </w:rPr>
        <w:t>Idem</w:t>
      </w:r>
      <w:r w:rsidRPr="00BB3301">
        <w:rPr>
          <w:rFonts w:ascii="Verdana" w:hAnsi="Verdana"/>
          <w:sz w:val="16"/>
          <w:szCs w:val="16"/>
          <w:lang w:val="en-US"/>
        </w:rPr>
        <w:t>.</w:t>
      </w:r>
      <w:proofErr w:type="gramEnd"/>
    </w:p>
  </w:footnote>
  <w:footnote w:id="443">
    <w:p w:rsidR="00D57F75" w:rsidRPr="00DE67CE" w:rsidRDefault="00D57F75" w:rsidP="00D57F75">
      <w:pPr>
        <w:spacing w:after="120" w:line="240" w:lineRule="auto"/>
        <w:jc w:val="both"/>
        <w:rPr>
          <w:rFonts w:ascii="Verdana" w:hAnsi="Verdana" w:cs="Calibri"/>
          <w:snapToGrid w:val="0"/>
          <w:sz w:val="16"/>
          <w:szCs w:val="16"/>
          <w:lang w:val="pt-BR"/>
        </w:rPr>
      </w:pPr>
      <w:r w:rsidRPr="00DE67CE">
        <w:rPr>
          <w:rStyle w:val="FootnoteReference"/>
          <w:sz w:val="16"/>
        </w:rPr>
        <w:footnoteRef/>
      </w:r>
      <w:r w:rsidRPr="00DE67CE">
        <w:rPr>
          <w:rFonts w:ascii="Verdana" w:hAnsi="Verdana"/>
          <w:sz w:val="16"/>
          <w:szCs w:val="16"/>
          <w:lang w:val="en-US"/>
        </w:rPr>
        <w:t xml:space="preserve"> </w:t>
      </w:r>
      <w:proofErr w:type="spellStart"/>
      <w:proofErr w:type="gramStart"/>
      <w:r w:rsidRPr="00DE67CE">
        <w:rPr>
          <w:rFonts w:ascii="Verdana" w:hAnsi="Verdana"/>
          <w:sz w:val="16"/>
          <w:szCs w:val="16"/>
          <w:lang w:val="en-US"/>
        </w:rPr>
        <w:t>Párr</w:t>
      </w:r>
      <w:proofErr w:type="spellEnd"/>
      <w:r w:rsidRPr="00DE67CE">
        <w:rPr>
          <w:rFonts w:ascii="Verdana" w:hAnsi="Verdana"/>
          <w:sz w:val="16"/>
          <w:szCs w:val="16"/>
          <w:lang w:val="en-US"/>
        </w:rPr>
        <w:t>.</w:t>
      </w:r>
      <w:proofErr w:type="gramEnd"/>
      <w:r w:rsidRPr="00DE67CE">
        <w:rPr>
          <w:rFonts w:ascii="Verdana" w:hAnsi="Verdana"/>
          <w:sz w:val="16"/>
          <w:szCs w:val="16"/>
          <w:lang w:val="en-US"/>
        </w:rPr>
        <w:t xml:space="preserve"> 43.</w:t>
      </w:r>
    </w:p>
  </w:footnote>
  <w:footnote w:id="444">
    <w:p w:rsidR="00D57F75" w:rsidRPr="00DE67CE" w:rsidRDefault="00D57F75" w:rsidP="00D57F75">
      <w:pPr>
        <w:pStyle w:val="FootnoteText"/>
        <w:rPr>
          <w:rFonts w:ascii="Verdana" w:hAnsi="Verdana"/>
          <w:sz w:val="16"/>
          <w:szCs w:val="16"/>
          <w:lang w:val="es-CL"/>
        </w:rPr>
      </w:pPr>
      <w:r w:rsidRPr="00DE67CE">
        <w:rPr>
          <w:rStyle w:val="FootnoteReference"/>
          <w:rFonts w:eastAsiaTheme="minorHAnsi"/>
          <w:sz w:val="16"/>
        </w:rPr>
        <w:footnoteRef/>
      </w:r>
      <w:r w:rsidRPr="00DE67CE">
        <w:rPr>
          <w:rFonts w:ascii="Verdana" w:hAnsi="Verdana"/>
          <w:sz w:val="16"/>
          <w:szCs w:val="16"/>
          <w:lang w:val="en-US"/>
        </w:rPr>
        <w:t xml:space="preserve"> </w:t>
      </w:r>
      <w:proofErr w:type="spellStart"/>
      <w:r w:rsidRPr="00DE67CE">
        <w:rPr>
          <w:rFonts w:ascii="Verdana" w:hAnsi="Verdana"/>
          <w:i/>
          <w:sz w:val="16"/>
          <w:szCs w:val="16"/>
          <w:lang w:val="en-US"/>
        </w:rPr>
        <w:t>Caso</w:t>
      </w:r>
      <w:proofErr w:type="spellEnd"/>
      <w:r w:rsidRPr="00DE67CE">
        <w:rPr>
          <w:rFonts w:ascii="Verdana" w:hAnsi="Verdana"/>
          <w:i/>
          <w:sz w:val="16"/>
          <w:szCs w:val="16"/>
          <w:lang w:val="en-US"/>
        </w:rPr>
        <w:t xml:space="preserve"> Wong Ho Wing </w:t>
      </w:r>
      <w:proofErr w:type="gramStart"/>
      <w:r w:rsidRPr="00DE67CE">
        <w:rPr>
          <w:rFonts w:ascii="Verdana" w:hAnsi="Verdana"/>
          <w:i/>
          <w:sz w:val="16"/>
          <w:szCs w:val="16"/>
          <w:lang w:val="en-US"/>
        </w:rPr>
        <w:t>Vs</w:t>
      </w:r>
      <w:proofErr w:type="gramEnd"/>
      <w:r w:rsidRPr="00DE67CE">
        <w:rPr>
          <w:rFonts w:ascii="Verdana" w:hAnsi="Verdana"/>
          <w:i/>
          <w:sz w:val="16"/>
          <w:szCs w:val="16"/>
          <w:lang w:val="en-US"/>
        </w:rPr>
        <w:t xml:space="preserve">. </w:t>
      </w:r>
      <w:r w:rsidRPr="00DE67CE">
        <w:rPr>
          <w:rFonts w:ascii="Verdana" w:hAnsi="Verdana"/>
          <w:i/>
          <w:sz w:val="16"/>
          <w:szCs w:val="16"/>
        </w:rPr>
        <w:t>Perú</w:t>
      </w:r>
      <w:r w:rsidRPr="00DE67CE">
        <w:rPr>
          <w:rFonts w:ascii="Verdana" w:hAnsi="Verdana"/>
          <w:sz w:val="16"/>
          <w:szCs w:val="16"/>
        </w:rPr>
        <w:t>, cit., párr. 27.</w:t>
      </w:r>
    </w:p>
  </w:footnote>
  <w:footnote w:id="445">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w:t>
      </w:r>
      <w:r w:rsidRPr="00DE67CE">
        <w:rPr>
          <w:rFonts w:ascii="Verdana" w:hAnsi="Verdana"/>
          <w:sz w:val="16"/>
          <w:szCs w:val="16"/>
          <w:lang w:val="es-ES"/>
        </w:rPr>
        <w:t xml:space="preserve">Art. 1.1 de la Convención: </w:t>
      </w:r>
      <w:r w:rsidRPr="00DE67CE">
        <w:rPr>
          <w:rFonts w:ascii="Verdana" w:hAnsi="Verdana"/>
          <w:i/>
          <w:sz w:val="16"/>
          <w:szCs w:val="16"/>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446">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En adelante la víctima.</w:t>
      </w:r>
    </w:p>
  </w:footnote>
  <w:footnote w:id="447">
    <w:p w:rsidR="00D57F75" w:rsidRPr="00DE67CE" w:rsidRDefault="00D57F75" w:rsidP="00D57F75">
      <w:pPr>
        <w:spacing w:after="120" w:line="240" w:lineRule="auto"/>
        <w:jc w:val="both"/>
        <w:rPr>
          <w:rFonts w:ascii="Verdana" w:hAnsi="Verdana" w:cs="Calibri"/>
          <w:iCs/>
          <w:sz w:val="16"/>
          <w:szCs w:val="16"/>
        </w:rPr>
      </w:pPr>
      <w:r w:rsidRPr="00DE67CE">
        <w:rPr>
          <w:rStyle w:val="FootnoteReference"/>
          <w:rFonts w:cs="Calibri"/>
          <w:sz w:val="16"/>
        </w:rPr>
        <w:footnoteRef/>
      </w:r>
      <w:r w:rsidRPr="00DE67CE">
        <w:rPr>
          <w:rFonts w:ascii="Verdana" w:hAnsi="Verdana" w:cs="Calibri"/>
          <w:sz w:val="16"/>
          <w:szCs w:val="16"/>
        </w:rPr>
        <w:t xml:space="preserve"> Art. 63.1 de la Convención: “</w:t>
      </w:r>
      <w:r w:rsidRPr="00DE67CE">
        <w:rPr>
          <w:rFonts w:ascii="Verdana" w:hAnsi="Verdana" w:cs="Calibri"/>
          <w:i/>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sidRPr="00DE67CE">
        <w:rPr>
          <w:rFonts w:ascii="Verdana" w:hAnsi="Verdana" w:cs="Calibri"/>
          <w:sz w:val="16"/>
          <w:szCs w:val="16"/>
        </w:rPr>
        <w:t>.”</w:t>
      </w:r>
    </w:p>
  </w:footnote>
  <w:footnote w:id="448">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w:t>
      </w:r>
      <w:r w:rsidRPr="00B05CA4">
        <w:rPr>
          <w:rFonts w:ascii="Verdana" w:hAnsi="Verdana"/>
          <w:i/>
          <w:snapToGrid w:val="0"/>
          <w:sz w:val="16"/>
          <w:szCs w:val="16"/>
        </w:rPr>
        <w:t>Caso Cruz Sánchez y Otros Vs. Perú</w:t>
      </w:r>
      <w:r w:rsidRPr="00DE67CE">
        <w:rPr>
          <w:rFonts w:ascii="Verdana" w:hAnsi="Verdana"/>
          <w:snapToGrid w:val="0"/>
          <w:sz w:val="16"/>
          <w:szCs w:val="16"/>
        </w:rPr>
        <w:t>, cit., párr. 37.</w:t>
      </w:r>
      <w:r w:rsidRPr="00DE67CE">
        <w:rPr>
          <w:rFonts w:ascii="Verdana" w:hAnsi="Verdana"/>
          <w:sz w:val="16"/>
          <w:szCs w:val="16"/>
        </w:rPr>
        <w:t xml:space="preserve">  </w:t>
      </w:r>
    </w:p>
  </w:footnote>
  <w:footnote w:id="449">
    <w:p w:rsidR="00D57F75" w:rsidRPr="00DE67CE" w:rsidRDefault="00D57F75" w:rsidP="00D57F75">
      <w:pPr>
        <w:spacing w:after="0" w:line="240" w:lineRule="auto"/>
        <w:jc w:val="both"/>
        <w:rPr>
          <w:rFonts w:ascii="Verdana" w:hAnsi="Verdana" w:cs="Calibri"/>
          <w:snapToGrid w:val="0"/>
          <w:sz w:val="16"/>
          <w:szCs w:val="16"/>
          <w:lang w:val="pt-BR"/>
        </w:rPr>
      </w:pPr>
      <w:r w:rsidRPr="00DE67CE">
        <w:rPr>
          <w:rStyle w:val="FootnoteReference"/>
          <w:sz w:val="16"/>
        </w:rPr>
        <w:footnoteRef/>
      </w:r>
      <w:r w:rsidRPr="00DE67CE">
        <w:rPr>
          <w:rFonts w:ascii="Verdana" w:hAnsi="Verdana"/>
          <w:sz w:val="16"/>
          <w:szCs w:val="16"/>
        </w:rPr>
        <w:t xml:space="preserve"> </w:t>
      </w:r>
      <w:proofErr w:type="spellStart"/>
      <w:r w:rsidRPr="00DE67CE">
        <w:rPr>
          <w:rFonts w:ascii="Verdana" w:hAnsi="Verdana"/>
          <w:i/>
          <w:sz w:val="16"/>
          <w:szCs w:val="16"/>
        </w:rPr>
        <w:t>Idem</w:t>
      </w:r>
      <w:proofErr w:type="spellEnd"/>
      <w:r w:rsidRPr="00DE67CE">
        <w:rPr>
          <w:rFonts w:ascii="Verdana" w:hAnsi="Verdana"/>
          <w:i/>
          <w:sz w:val="16"/>
          <w:szCs w:val="16"/>
        </w:rPr>
        <w:t>,</w:t>
      </w:r>
      <w:r w:rsidRPr="00DE67CE">
        <w:rPr>
          <w:rFonts w:ascii="Verdana" w:hAnsi="Verdana"/>
          <w:sz w:val="16"/>
          <w:szCs w:val="16"/>
        </w:rPr>
        <w:t xml:space="preserve"> párr. 75</w:t>
      </w:r>
      <w:r w:rsidRPr="00DE67CE">
        <w:rPr>
          <w:rFonts w:ascii="Verdana" w:hAnsi="Verdana" w:cs="Calibri"/>
          <w:caps/>
          <w:snapToGrid w:val="0"/>
          <w:sz w:val="16"/>
          <w:szCs w:val="16"/>
        </w:rPr>
        <w:t>.</w:t>
      </w:r>
    </w:p>
    <w:p w:rsidR="00D57F75" w:rsidRPr="00DE67CE" w:rsidRDefault="00D57F75" w:rsidP="00D57F75">
      <w:pPr>
        <w:pStyle w:val="FootnoteText"/>
        <w:rPr>
          <w:rFonts w:ascii="Verdana" w:hAnsi="Verdana"/>
          <w:sz w:val="16"/>
          <w:szCs w:val="16"/>
        </w:rPr>
      </w:pPr>
      <w:r w:rsidRPr="00DE67CE">
        <w:rPr>
          <w:rFonts w:ascii="Verdana" w:hAnsi="Verdana"/>
          <w:sz w:val="16"/>
          <w:szCs w:val="16"/>
        </w:rPr>
        <w:t>.</w:t>
      </w:r>
    </w:p>
  </w:footnote>
  <w:footnote w:id="450">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Párr. 2.</w:t>
      </w:r>
    </w:p>
  </w:footnote>
  <w:footnote w:id="451">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Párr. 1.</w:t>
      </w:r>
    </w:p>
  </w:footnote>
  <w:footnote w:id="452">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Párr. 44.</w:t>
      </w:r>
    </w:p>
  </w:footnote>
  <w:footnote w:id="453">
    <w:p w:rsidR="00D57F75" w:rsidRPr="00DE67CE" w:rsidRDefault="00D57F75" w:rsidP="00D57F75">
      <w:pPr>
        <w:spacing w:after="120" w:line="240" w:lineRule="auto"/>
        <w:contextualSpacing/>
        <w:jc w:val="both"/>
        <w:rPr>
          <w:rFonts w:ascii="Verdana" w:hAnsi="Verdana"/>
          <w:sz w:val="16"/>
          <w:szCs w:val="16"/>
        </w:rPr>
      </w:pPr>
      <w:r w:rsidRPr="00DE67CE">
        <w:rPr>
          <w:rStyle w:val="FootnoteReference"/>
          <w:sz w:val="16"/>
        </w:rPr>
        <w:footnoteRef/>
      </w:r>
      <w:r w:rsidRPr="00DE67CE">
        <w:rPr>
          <w:rFonts w:ascii="Verdana" w:hAnsi="Verdana"/>
          <w:spacing w:val="-4"/>
          <w:sz w:val="16"/>
          <w:szCs w:val="16"/>
        </w:rPr>
        <w:t xml:space="preserve"> Párr. 44.</w:t>
      </w:r>
    </w:p>
  </w:footnote>
  <w:footnote w:id="454">
    <w:p w:rsidR="00D57F75" w:rsidRPr="00DE67CE" w:rsidRDefault="00D57F75" w:rsidP="00D57F75">
      <w:pPr>
        <w:pStyle w:val="FootnoteText"/>
        <w:rPr>
          <w:rFonts w:ascii="Verdana" w:hAnsi="Verdana"/>
          <w:sz w:val="16"/>
          <w:szCs w:val="16"/>
          <w:lang w:val="es-ES"/>
        </w:rPr>
      </w:pPr>
      <w:r w:rsidRPr="00DE67CE">
        <w:rPr>
          <w:rStyle w:val="FootnoteReference"/>
          <w:rFonts w:eastAsiaTheme="minorHAnsi"/>
          <w:sz w:val="16"/>
        </w:rPr>
        <w:footnoteRef/>
      </w:r>
      <w:r w:rsidRPr="00DE67CE">
        <w:rPr>
          <w:rFonts w:ascii="Verdana" w:hAnsi="Verdana"/>
          <w:sz w:val="16"/>
          <w:szCs w:val="16"/>
        </w:rPr>
        <w:t xml:space="preserve"> Párr. 24.</w:t>
      </w:r>
    </w:p>
  </w:footnote>
  <w:footnote w:id="455">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Párr. 26.</w:t>
      </w:r>
    </w:p>
  </w:footnote>
  <w:footnote w:id="456">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w:t>
      </w:r>
      <w:proofErr w:type="spellStart"/>
      <w:r w:rsidRPr="00DE67CE">
        <w:rPr>
          <w:rFonts w:ascii="Verdana" w:hAnsi="Verdana"/>
          <w:sz w:val="16"/>
          <w:szCs w:val="16"/>
        </w:rPr>
        <w:t>Párrs</w:t>
      </w:r>
      <w:proofErr w:type="spellEnd"/>
      <w:r w:rsidRPr="00DE67CE">
        <w:rPr>
          <w:rFonts w:ascii="Verdana" w:hAnsi="Verdana"/>
          <w:sz w:val="16"/>
          <w:szCs w:val="16"/>
        </w:rPr>
        <w:t xml:space="preserve">. 27 y ss. </w:t>
      </w:r>
    </w:p>
  </w:footnote>
  <w:footnote w:id="457">
    <w:p w:rsidR="00D57F75" w:rsidRPr="00DE67CE" w:rsidRDefault="00D57F75" w:rsidP="00D57F75">
      <w:pPr>
        <w:pStyle w:val="FootnoteText"/>
        <w:rPr>
          <w:rFonts w:ascii="Verdana" w:hAnsi="Verdana"/>
          <w:sz w:val="16"/>
          <w:szCs w:val="16"/>
          <w:lang w:val="es-ES"/>
        </w:rPr>
      </w:pPr>
      <w:r w:rsidRPr="00DE67CE">
        <w:rPr>
          <w:rStyle w:val="FootnoteReference"/>
          <w:rFonts w:eastAsiaTheme="minorHAnsi"/>
          <w:sz w:val="16"/>
        </w:rPr>
        <w:footnoteRef/>
      </w:r>
      <w:r w:rsidRPr="00DE67CE">
        <w:rPr>
          <w:rFonts w:ascii="Verdana" w:hAnsi="Verdana"/>
          <w:sz w:val="16"/>
          <w:szCs w:val="16"/>
        </w:rPr>
        <w:t xml:space="preserve"> “</w:t>
      </w:r>
      <w:r w:rsidRPr="00DE67CE">
        <w:rPr>
          <w:rFonts w:ascii="Verdana" w:hAnsi="Verdana"/>
          <w:i/>
          <w:sz w:val="16"/>
          <w:szCs w:val="16"/>
        </w:rPr>
        <w:t>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w:t>
      </w:r>
      <w:r w:rsidRPr="00DE67CE">
        <w:rPr>
          <w:rFonts w:ascii="Verdana" w:hAnsi="Verdana"/>
          <w:sz w:val="16"/>
          <w:szCs w:val="16"/>
        </w:rPr>
        <w:t>”.</w:t>
      </w:r>
    </w:p>
  </w:footnote>
  <w:footnote w:id="458">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Párrs.24 y 25.</w:t>
      </w:r>
    </w:p>
  </w:footnote>
  <w:footnote w:id="459">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Párr. 19.</w:t>
      </w:r>
    </w:p>
  </w:footnote>
  <w:footnote w:id="460">
    <w:p w:rsidR="00D57F75" w:rsidRPr="00DE67CE" w:rsidRDefault="00D57F75" w:rsidP="00D57F75">
      <w:pPr>
        <w:pStyle w:val="FootnoteText"/>
        <w:rPr>
          <w:rFonts w:ascii="Verdana" w:hAnsi="Verdana"/>
          <w:sz w:val="16"/>
          <w:szCs w:val="16"/>
        </w:rPr>
      </w:pPr>
      <w:r w:rsidRPr="00DE67CE">
        <w:rPr>
          <w:rStyle w:val="FootnoteReference"/>
          <w:rFonts w:eastAsiaTheme="minorHAnsi"/>
          <w:sz w:val="16"/>
        </w:rPr>
        <w:footnoteRef/>
      </w:r>
      <w:r w:rsidRPr="00DE67CE">
        <w:rPr>
          <w:rFonts w:ascii="Verdana" w:hAnsi="Verdana"/>
          <w:sz w:val="16"/>
          <w:szCs w:val="16"/>
        </w:rPr>
        <w:t xml:space="preserve"> Párr. 46.</w:t>
      </w:r>
    </w:p>
  </w:footnote>
  <w:footnote w:id="461">
    <w:p w:rsidR="00D57F75" w:rsidRPr="00DE67CE" w:rsidRDefault="00D57F75" w:rsidP="00D57F75">
      <w:pPr>
        <w:pStyle w:val="FootnoteText"/>
        <w:rPr>
          <w:rFonts w:ascii="Verdana" w:hAnsi="Verdana"/>
          <w:sz w:val="16"/>
          <w:szCs w:val="16"/>
          <w:lang w:val="es-ES"/>
        </w:rPr>
      </w:pPr>
      <w:r w:rsidRPr="00DE67CE">
        <w:rPr>
          <w:rStyle w:val="FootnoteReference"/>
          <w:rFonts w:eastAsiaTheme="minorHAnsi"/>
          <w:sz w:val="16"/>
        </w:rPr>
        <w:footnoteRef/>
      </w:r>
      <w:r w:rsidRPr="00DE67CE">
        <w:rPr>
          <w:rFonts w:ascii="Verdana" w:hAnsi="Verdana"/>
          <w:sz w:val="16"/>
          <w:szCs w:val="16"/>
        </w:rPr>
        <w:t xml:space="preserve"> </w:t>
      </w:r>
      <w:proofErr w:type="spellStart"/>
      <w:r w:rsidRPr="00DE67CE">
        <w:rPr>
          <w:rFonts w:ascii="Verdana" w:hAnsi="Verdana"/>
          <w:i/>
          <w:sz w:val="16"/>
          <w:szCs w:val="16"/>
        </w:rPr>
        <w:t>Idem</w:t>
      </w:r>
      <w:proofErr w:type="spellEnd"/>
      <w:r w:rsidRPr="00DE67CE">
        <w:rPr>
          <w:rFonts w:ascii="Verdana" w:hAnsi="Verdana"/>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404347"/>
      <w:docPartObj>
        <w:docPartGallery w:val="Page Numbers (Top of Page)"/>
        <w:docPartUnique/>
      </w:docPartObj>
    </w:sdtPr>
    <w:sdtEndPr>
      <w:rPr>
        <w:rFonts w:ascii="Verdana" w:hAnsi="Verdana"/>
        <w:noProof/>
        <w:sz w:val="20"/>
      </w:rPr>
    </w:sdtEndPr>
    <w:sdtContent>
      <w:p w:rsidR="00D57F75" w:rsidRPr="00CB2948" w:rsidRDefault="00D57F75">
        <w:pPr>
          <w:pStyle w:val="Header"/>
          <w:jc w:val="center"/>
          <w:rPr>
            <w:rFonts w:ascii="Verdana" w:hAnsi="Verdana"/>
            <w:sz w:val="20"/>
          </w:rPr>
        </w:pPr>
        <w:r w:rsidRPr="00CB2948">
          <w:rPr>
            <w:rFonts w:ascii="Verdana" w:hAnsi="Verdana"/>
            <w:sz w:val="20"/>
          </w:rPr>
          <w:fldChar w:fldCharType="begin"/>
        </w:r>
        <w:r w:rsidRPr="00CB2948">
          <w:rPr>
            <w:rFonts w:ascii="Verdana" w:hAnsi="Verdana"/>
            <w:sz w:val="20"/>
          </w:rPr>
          <w:instrText xml:space="preserve"> PAGE   \* MERGEFORMAT </w:instrText>
        </w:r>
        <w:r w:rsidRPr="00CB2948">
          <w:rPr>
            <w:rFonts w:ascii="Verdana" w:hAnsi="Verdana"/>
            <w:sz w:val="20"/>
          </w:rPr>
          <w:fldChar w:fldCharType="separate"/>
        </w:r>
        <w:r w:rsidR="00183A6F">
          <w:rPr>
            <w:rFonts w:ascii="Verdana" w:hAnsi="Verdana"/>
            <w:noProof/>
            <w:sz w:val="20"/>
          </w:rPr>
          <w:t>123</w:t>
        </w:r>
        <w:r w:rsidRPr="00CB2948">
          <w:rPr>
            <w:rFonts w:ascii="Verdana" w:hAnsi="Verdana"/>
            <w:noProof/>
            <w:sz w:val="20"/>
          </w:rPr>
          <w:fldChar w:fldCharType="end"/>
        </w:r>
      </w:p>
    </w:sdtContent>
  </w:sdt>
  <w:p w:rsidR="00D57F75" w:rsidRDefault="00D57F75" w:rsidP="00C34A1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50160"/>
      <w:docPartObj>
        <w:docPartGallery w:val="Page Numbers (Top of Page)"/>
        <w:docPartUnique/>
      </w:docPartObj>
    </w:sdtPr>
    <w:sdtEndPr/>
    <w:sdtContent>
      <w:p w:rsidR="00D57F75" w:rsidRDefault="00D57F75">
        <w:pPr>
          <w:pStyle w:val="Header"/>
          <w:jc w:val="center"/>
        </w:pPr>
        <w:r>
          <w:fldChar w:fldCharType="begin"/>
        </w:r>
        <w:r>
          <w:instrText>PAGE   \* MERGEFORMAT</w:instrText>
        </w:r>
        <w:r>
          <w:fldChar w:fldCharType="separate"/>
        </w:r>
        <w:r w:rsidR="00183A6F" w:rsidRPr="00183A6F">
          <w:rPr>
            <w:noProof/>
            <w:lang w:val="es-ES"/>
          </w:rPr>
          <w:t>11</w:t>
        </w:r>
        <w:r>
          <w:fldChar w:fldCharType="end"/>
        </w:r>
      </w:p>
    </w:sdtContent>
  </w:sdt>
  <w:p w:rsidR="00D57F75" w:rsidRDefault="00D57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75" w:rsidRDefault="00D57F75">
    <w:pPr>
      <w:pStyle w:val="Header"/>
      <w:jc w:val="center"/>
    </w:pPr>
    <w:r>
      <w:fldChar w:fldCharType="begin"/>
    </w:r>
    <w:r>
      <w:instrText>PAGE   \* MERGEFORMAT</w:instrText>
    </w:r>
    <w:r>
      <w:fldChar w:fldCharType="separate"/>
    </w:r>
    <w:r w:rsidR="00183A6F" w:rsidRPr="00183A6F">
      <w:rPr>
        <w:noProof/>
        <w:lang w:val="es-ES"/>
      </w:rPr>
      <w:t>21</w:t>
    </w:r>
    <w:r>
      <w:fldChar w:fldCharType="end"/>
    </w:r>
  </w:p>
  <w:p w:rsidR="00D57F75" w:rsidRDefault="00D57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FA4"/>
    <w:multiLevelType w:val="hybridMultilevel"/>
    <w:tmpl w:val="2580F2AA"/>
    <w:lvl w:ilvl="0" w:tplc="9E280E3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7D40A3"/>
    <w:multiLevelType w:val="hybridMultilevel"/>
    <w:tmpl w:val="AD58A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E45BE"/>
    <w:multiLevelType w:val="hybridMultilevel"/>
    <w:tmpl w:val="1302A5E2"/>
    <w:lvl w:ilvl="0" w:tplc="15EE9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515E9E"/>
    <w:multiLevelType w:val="hybridMultilevel"/>
    <w:tmpl w:val="9DFEB0C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A1906E5"/>
    <w:multiLevelType w:val="hybridMultilevel"/>
    <w:tmpl w:val="489865D4"/>
    <w:lvl w:ilvl="0" w:tplc="6BE469C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A6C01E2"/>
    <w:multiLevelType w:val="hybridMultilevel"/>
    <w:tmpl w:val="0A687B48"/>
    <w:lvl w:ilvl="0" w:tplc="0CB86294">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1A46D19"/>
    <w:multiLevelType w:val="hybridMultilevel"/>
    <w:tmpl w:val="13C016A4"/>
    <w:lvl w:ilvl="0" w:tplc="16A8ADE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C55C5E"/>
    <w:multiLevelType w:val="hybridMultilevel"/>
    <w:tmpl w:val="DD92E9E6"/>
    <w:lvl w:ilvl="0" w:tplc="BFE2C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42302"/>
    <w:multiLevelType w:val="hybridMultilevel"/>
    <w:tmpl w:val="8718154E"/>
    <w:lvl w:ilvl="0" w:tplc="A058FED4">
      <w:start w:val="1"/>
      <w:numFmt w:val="upperLetter"/>
      <w:lvlText w:val="%1)"/>
      <w:lvlJc w:val="left"/>
      <w:pPr>
        <w:ind w:left="720" w:hanging="360"/>
      </w:pPr>
      <w:rPr>
        <w:rFonts w:eastAsiaTheme="minorHAnsi" w:cstheme="minorBidi"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0535A6F"/>
    <w:multiLevelType w:val="hybridMultilevel"/>
    <w:tmpl w:val="ED1627BC"/>
    <w:lvl w:ilvl="0" w:tplc="B5A89E16">
      <w:start w:val="1"/>
      <w:numFmt w:val="decimal"/>
      <w:lvlText w:val="%1."/>
      <w:lvlJc w:val="left"/>
      <w:pPr>
        <w:ind w:left="720" w:hanging="360"/>
      </w:pPr>
      <w:rPr>
        <w:rFonts w:hint="default"/>
        <w:sz w:val="20"/>
        <w:szCs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nsid w:val="23E71A78"/>
    <w:multiLevelType w:val="hybridMultilevel"/>
    <w:tmpl w:val="72A8FF8A"/>
    <w:lvl w:ilvl="0" w:tplc="0B2028EE">
      <w:start w:val="1"/>
      <w:numFmt w:val="upperLetter"/>
      <w:pStyle w:val="Heading2"/>
      <w:lvlText w:val="%1)"/>
      <w:lvlJc w:val="left"/>
      <w:pPr>
        <w:ind w:left="360" w:hanging="360"/>
      </w:pPr>
      <w:rPr>
        <w:rFonts w:cs="Times New Roman"/>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380A0019">
      <w:start w:val="1"/>
      <w:numFmt w:val="lowerLetter"/>
      <w:lvlText w:val="%2."/>
      <w:lvlJc w:val="left"/>
      <w:pPr>
        <w:ind w:left="1080" w:hanging="360"/>
      </w:pPr>
    </w:lvl>
    <w:lvl w:ilvl="2" w:tplc="380A001B">
      <w:start w:val="1"/>
      <w:numFmt w:val="lowerRoman"/>
      <w:lvlText w:val="%3."/>
      <w:lvlJc w:val="right"/>
      <w:pPr>
        <w:ind w:left="1800" w:hanging="180"/>
      </w:pPr>
    </w:lvl>
    <w:lvl w:ilvl="3" w:tplc="380A000F">
      <w:start w:val="1"/>
      <w:numFmt w:val="decimal"/>
      <w:lvlText w:val="%4."/>
      <w:lvlJc w:val="left"/>
      <w:pPr>
        <w:ind w:left="2520" w:hanging="360"/>
      </w:pPr>
    </w:lvl>
    <w:lvl w:ilvl="4" w:tplc="380A0019">
      <w:start w:val="1"/>
      <w:numFmt w:val="lowerLetter"/>
      <w:lvlText w:val="%5."/>
      <w:lvlJc w:val="left"/>
      <w:pPr>
        <w:ind w:left="3240" w:hanging="360"/>
      </w:pPr>
    </w:lvl>
    <w:lvl w:ilvl="5" w:tplc="380A001B">
      <w:start w:val="1"/>
      <w:numFmt w:val="lowerRoman"/>
      <w:lvlText w:val="%6."/>
      <w:lvlJc w:val="right"/>
      <w:pPr>
        <w:ind w:left="3960" w:hanging="180"/>
      </w:pPr>
    </w:lvl>
    <w:lvl w:ilvl="6" w:tplc="380A000F">
      <w:start w:val="1"/>
      <w:numFmt w:val="decimal"/>
      <w:lvlText w:val="%7."/>
      <w:lvlJc w:val="left"/>
      <w:pPr>
        <w:ind w:left="4680" w:hanging="360"/>
      </w:pPr>
    </w:lvl>
    <w:lvl w:ilvl="7" w:tplc="380A0019">
      <w:start w:val="1"/>
      <w:numFmt w:val="lowerLetter"/>
      <w:lvlText w:val="%8."/>
      <w:lvlJc w:val="left"/>
      <w:pPr>
        <w:ind w:left="5400" w:hanging="360"/>
      </w:pPr>
    </w:lvl>
    <w:lvl w:ilvl="8" w:tplc="380A001B">
      <w:start w:val="1"/>
      <w:numFmt w:val="lowerRoman"/>
      <w:lvlText w:val="%9."/>
      <w:lvlJc w:val="right"/>
      <w:pPr>
        <w:ind w:left="6120" w:hanging="180"/>
      </w:pPr>
    </w:lvl>
  </w:abstractNum>
  <w:abstractNum w:abstractNumId="11">
    <w:nsid w:val="243833AE"/>
    <w:multiLevelType w:val="hybridMultilevel"/>
    <w:tmpl w:val="3872F68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53C2859"/>
    <w:multiLevelType w:val="hybridMultilevel"/>
    <w:tmpl w:val="2BDC1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03E5D"/>
    <w:multiLevelType w:val="hybridMultilevel"/>
    <w:tmpl w:val="DE2A9F22"/>
    <w:lvl w:ilvl="0" w:tplc="13B0C7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A85480"/>
    <w:multiLevelType w:val="hybridMultilevel"/>
    <w:tmpl w:val="084EE73C"/>
    <w:lvl w:ilvl="0" w:tplc="4FD64B6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1B43F6"/>
    <w:multiLevelType w:val="hybridMultilevel"/>
    <w:tmpl w:val="53763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E2994"/>
    <w:multiLevelType w:val="hybridMultilevel"/>
    <w:tmpl w:val="D4D81CAE"/>
    <w:lvl w:ilvl="0" w:tplc="CA080E3A">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nsid w:val="478F6C0C"/>
    <w:multiLevelType w:val="hybridMultilevel"/>
    <w:tmpl w:val="1AD84CBE"/>
    <w:lvl w:ilvl="0" w:tplc="726C360C">
      <w:start w:val="1"/>
      <w:numFmt w:val="upperLetter"/>
      <w:lvlText w:val="%1."/>
      <w:lvlJc w:val="left"/>
      <w:pPr>
        <w:ind w:left="644"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8A11EF4"/>
    <w:multiLevelType w:val="hybridMultilevel"/>
    <w:tmpl w:val="4CB88AF2"/>
    <w:lvl w:ilvl="0" w:tplc="FBF48C50">
      <w:start w:val="1"/>
      <w:numFmt w:val="lowerLetter"/>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5469CD"/>
    <w:multiLevelType w:val="hybridMultilevel"/>
    <w:tmpl w:val="271259B6"/>
    <w:lvl w:ilvl="0" w:tplc="264CB88E">
      <w:start w:val="1"/>
      <w:numFmt w:val="decimal"/>
      <w:lvlText w:val="%1."/>
      <w:lvlJc w:val="left"/>
      <w:pPr>
        <w:ind w:left="720" w:hanging="360"/>
      </w:pPr>
      <w:rPr>
        <w:rFonts w:ascii="Verdana" w:eastAsia="Calibri" w:hAnsi="Verdana" w:cs="Times New Roman" w:hint="default"/>
        <w:b w:val="0"/>
        <w:i w:val="0"/>
        <w:strike w:val="0"/>
        <w:dstrike w:val="0"/>
        <w:color w:val="auto"/>
        <w:sz w:val="20"/>
        <w:szCs w:val="20"/>
        <w:u w:val="none"/>
        <w:effect w:val="none"/>
      </w:rPr>
    </w:lvl>
    <w:lvl w:ilvl="1" w:tplc="37BC8232">
      <w:start w:val="1"/>
      <w:numFmt w:val="lowerLetter"/>
      <w:lvlText w:val="%2)"/>
      <w:lvlJc w:val="left"/>
      <w:pPr>
        <w:ind w:left="1440" w:hanging="360"/>
      </w:pPr>
      <w:rPr>
        <w:rFonts w:ascii="Verdana" w:hAnsi="Verdana" w:cs="Times New Roman" w:hint="default"/>
        <w:b w:val="0"/>
        <w:i w:val="0"/>
        <w:caps w:val="0"/>
        <w:strike w:val="0"/>
        <w:dstrike w:val="0"/>
        <w:vanish w:val="0"/>
        <w:webHidden w:val="0"/>
        <w:color w:val="auto"/>
        <w:sz w:val="20"/>
        <w:u w:val="none"/>
        <w:effect w:val="none"/>
        <w:vertAlign w:val="baseline"/>
        <w:lang w:val="es-CR"/>
        <w:specVanish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E4106E"/>
    <w:multiLevelType w:val="hybridMultilevel"/>
    <w:tmpl w:val="F08A9638"/>
    <w:lvl w:ilvl="0" w:tplc="55D67EEA">
      <w:start w:val="1"/>
      <w:numFmt w:val="lowerLetter"/>
      <w:lvlText w:val="%1)"/>
      <w:lvlJc w:val="left"/>
      <w:pPr>
        <w:ind w:left="1260" w:hanging="360"/>
      </w:pPr>
      <w:rPr>
        <w:i/>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1">
    <w:nsid w:val="5D4E3D02"/>
    <w:multiLevelType w:val="hybridMultilevel"/>
    <w:tmpl w:val="DACA1758"/>
    <w:lvl w:ilvl="0" w:tplc="4724B994">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7D65A42"/>
    <w:multiLevelType w:val="hybridMultilevel"/>
    <w:tmpl w:val="2BF24EE8"/>
    <w:lvl w:ilvl="0" w:tplc="C91E402C">
      <w:start w:val="1"/>
      <w:numFmt w:val="bullet"/>
      <w:pStyle w:val="TOC4"/>
      <w:lvlText w:val=""/>
      <w:lvlJc w:val="left"/>
      <w:pPr>
        <w:ind w:left="1392" w:hanging="360"/>
      </w:pPr>
      <w:rPr>
        <w:rFonts w:ascii="Symbol" w:hAnsi="Symbol" w:hint="default"/>
      </w:rPr>
    </w:lvl>
    <w:lvl w:ilvl="1" w:tplc="04090019">
      <w:start w:val="1"/>
      <w:numFmt w:val="bullet"/>
      <w:lvlText w:val="o"/>
      <w:lvlJc w:val="left"/>
      <w:pPr>
        <w:ind w:left="2112" w:hanging="360"/>
      </w:pPr>
      <w:rPr>
        <w:rFonts w:ascii="Courier New" w:hAnsi="Courier New" w:cs="Courier New" w:hint="default"/>
      </w:rPr>
    </w:lvl>
    <w:lvl w:ilvl="2" w:tplc="0409001B">
      <w:start w:val="1"/>
      <w:numFmt w:val="bullet"/>
      <w:lvlText w:val=""/>
      <w:lvlJc w:val="left"/>
      <w:pPr>
        <w:ind w:left="2832" w:hanging="360"/>
      </w:pPr>
      <w:rPr>
        <w:rFonts w:ascii="Wingdings" w:hAnsi="Wingdings" w:hint="default"/>
      </w:rPr>
    </w:lvl>
    <w:lvl w:ilvl="3" w:tplc="0409000F">
      <w:start w:val="1"/>
      <w:numFmt w:val="bullet"/>
      <w:lvlText w:val=""/>
      <w:lvlJc w:val="left"/>
      <w:pPr>
        <w:ind w:left="3552" w:hanging="360"/>
      </w:pPr>
      <w:rPr>
        <w:rFonts w:ascii="Symbol" w:hAnsi="Symbol" w:hint="default"/>
      </w:rPr>
    </w:lvl>
    <w:lvl w:ilvl="4" w:tplc="04090019">
      <w:start w:val="1"/>
      <w:numFmt w:val="bullet"/>
      <w:lvlText w:val="o"/>
      <w:lvlJc w:val="left"/>
      <w:pPr>
        <w:ind w:left="4272" w:hanging="360"/>
      </w:pPr>
      <w:rPr>
        <w:rFonts w:ascii="Courier New" w:hAnsi="Courier New" w:cs="Courier New" w:hint="default"/>
      </w:rPr>
    </w:lvl>
    <w:lvl w:ilvl="5" w:tplc="0409001B">
      <w:start w:val="1"/>
      <w:numFmt w:val="bullet"/>
      <w:lvlText w:val=""/>
      <w:lvlJc w:val="left"/>
      <w:pPr>
        <w:ind w:left="4992" w:hanging="360"/>
      </w:pPr>
      <w:rPr>
        <w:rFonts w:ascii="Wingdings" w:hAnsi="Wingdings" w:hint="default"/>
      </w:rPr>
    </w:lvl>
    <w:lvl w:ilvl="6" w:tplc="0409000F">
      <w:start w:val="1"/>
      <w:numFmt w:val="bullet"/>
      <w:lvlText w:val=""/>
      <w:lvlJc w:val="left"/>
      <w:pPr>
        <w:ind w:left="5712" w:hanging="360"/>
      </w:pPr>
      <w:rPr>
        <w:rFonts w:ascii="Symbol" w:hAnsi="Symbol" w:hint="default"/>
      </w:rPr>
    </w:lvl>
    <w:lvl w:ilvl="7" w:tplc="04090019">
      <w:start w:val="1"/>
      <w:numFmt w:val="bullet"/>
      <w:lvlText w:val="o"/>
      <w:lvlJc w:val="left"/>
      <w:pPr>
        <w:ind w:left="6432" w:hanging="360"/>
      </w:pPr>
      <w:rPr>
        <w:rFonts w:ascii="Courier New" w:hAnsi="Courier New" w:cs="Courier New" w:hint="default"/>
      </w:rPr>
    </w:lvl>
    <w:lvl w:ilvl="8" w:tplc="0409001B">
      <w:start w:val="1"/>
      <w:numFmt w:val="bullet"/>
      <w:lvlText w:val=""/>
      <w:lvlJc w:val="left"/>
      <w:pPr>
        <w:ind w:left="7152" w:hanging="360"/>
      </w:pPr>
      <w:rPr>
        <w:rFonts w:ascii="Wingdings" w:hAnsi="Wingdings" w:hint="default"/>
      </w:rPr>
    </w:lvl>
  </w:abstractNum>
  <w:abstractNum w:abstractNumId="23">
    <w:nsid w:val="69F6457E"/>
    <w:multiLevelType w:val="hybridMultilevel"/>
    <w:tmpl w:val="3306D454"/>
    <w:lvl w:ilvl="0" w:tplc="5ED22C6A">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A5045B0"/>
    <w:multiLevelType w:val="hybridMultilevel"/>
    <w:tmpl w:val="63542876"/>
    <w:lvl w:ilvl="0" w:tplc="C24EBA3C">
      <w:start w:val="1"/>
      <w:numFmt w:val="decimal"/>
      <w:lvlText w:val="%1."/>
      <w:lvlJc w:val="left"/>
      <w:pPr>
        <w:ind w:left="720" w:hanging="360"/>
      </w:pPr>
      <w:rPr>
        <w:rFonts w:ascii="Verdana" w:hAnsi="Verdana" w:cs="Times New Roman"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AAA461F"/>
    <w:multiLevelType w:val="hybridMultilevel"/>
    <w:tmpl w:val="5526F148"/>
    <w:lvl w:ilvl="0" w:tplc="D6AE8EE4">
      <w:start w:val="1"/>
      <w:numFmt w:val="lowerRoman"/>
      <w:lvlText w:val="%1."/>
      <w:lvlJc w:val="left"/>
      <w:pPr>
        <w:ind w:left="1710" w:hanging="720"/>
      </w:pPr>
      <w:rPr>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3623D60"/>
    <w:multiLevelType w:val="hybridMultilevel"/>
    <w:tmpl w:val="032AE0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907E5"/>
    <w:multiLevelType w:val="hybridMultilevel"/>
    <w:tmpl w:val="2D0ED15A"/>
    <w:lvl w:ilvl="0" w:tplc="A0348D0C">
      <w:start w:val="1"/>
      <w:numFmt w:val="decimal"/>
      <w:lvlText w:val="%1."/>
      <w:lvlJc w:val="left"/>
      <w:pPr>
        <w:ind w:left="450" w:hanging="360"/>
      </w:pPr>
      <w:rPr>
        <w:rFonts w:ascii="Verdana" w:eastAsia="Calibri" w:hAnsi="Verdana" w:cs="Times New Roman" w:hint="default"/>
        <w:b w:val="0"/>
        <w:i w:val="0"/>
        <w:strike w:val="0"/>
        <w:color w:val="auto"/>
        <w:sz w:val="20"/>
        <w:szCs w:val="20"/>
        <w:lang w:val="es-CR"/>
      </w:rPr>
    </w:lvl>
    <w:lvl w:ilvl="1" w:tplc="DFB0F1BC">
      <w:start w:val="1"/>
      <w:numFmt w:val="lowerLetter"/>
      <w:lvlText w:val="%2)"/>
      <w:lvlJc w:val="left"/>
      <w:pPr>
        <w:ind w:left="-4050" w:hanging="360"/>
      </w:pPr>
      <w:rPr>
        <w:rFonts w:ascii="Verdana" w:hAnsi="Verdana" w:cs="Times New Roman" w:hint="default"/>
        <w:b w:val="0"/>
        <w:i w:val="0"/>
        <w:caps w:val="0"/>
        <w:strike w:val="0"/>
        <w:dstrike w:val="0"/>
        <w:vanish w:val="0"/>
        <w:color w:val="auto"/>
        <w:sz w:val="18"/>
        <w:vertAlign w:val="baseline"/>
      </w:rPr>
    </w:lvl>
    <w:lvl w:ilvl="2" w:tplc="89C83524">
      <w:start w:val="1"/>
      <w:numFmt w:val="bullet"/>
      <w:lvlText w:val="-"/>
      <w:lvlJc w:val="left"/>
      <w:pPr>
        <w:ind w:left="-3150" w:hanging="360"/>
      </w:pPr>
      <w:rPr>
        <w:rFonts w:ascii="Verdana" w:eastAsia="Times New Roman" w:hAnsi="Verdana" w:cs="Times New Roman"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270" w:hanging="360"/>
      </w:pPr>
    </w:lvl>
    <w:lvl w:ilvl="8" w:tplc="0409001B" w:tentative="1">
      <w:start w:val="1"/>
      <w:numFmt w:val="lowerRoman"/>
      <w:lvlText w:val="%9."/>
      <w:lvlJc w:val="right"/>
      <w:pPr>
        <w:ind w:left="990" w:hanging="180"/>
      </w:pPr>
    </w:lvl>
  </w:abstractNum>
  <w:abstractNum w:abstractNumId="28">
    <w:nsid w:val="7CE64D32"/>
    <w:multiLevelType w:val="hybridMultilevel"/>
    <w:tmpl w:val="E97CB622"/>
    <w:lvl w:ilvl="0" w:tplc="C55CFD50">
      <w:start w:val="1"/>
      <w:numFmt w:val="decimal"/>
      <w:lvlText w:val="%1."/>
      <w:lvlJc w:val="left"/>
      <w:pPr>
        <w:tabs>
          <w:tab w:val="num" w:pos="11028"/>
        </w:tabs>
        <w:ind w:left="0" w:firstLine="0"/>
      </w:pPr>
      <w:rPr>
        <w:rFonts w:ascii="Verdana" w:eastAsia="Times New Roman" w:hAnsi="Verdana"/>
        <w:b w:val="0"/>
        <w:bCs w:val="0"/>
        <w:i w:val="0"/>
        <w:iCs w:val="0"/>
        <w:strike w:val="0"/>
        <w:dstrike w:val="0"/>
        <w:color w:val="auto"/>
        <w:sz w:val="20"/>
        <w:szCs w:val="20"/>
        <w:u w:val="none"/>
        <w:effect w:val="none"/>
        <w:lang w:val="es-ES"/>
      </w:rPr>
    </w:lvl>
    <w:lvl w:ilvl="1" w:tplc="04090019">
      <w:start w:val="1"/>
      <w:numFmt w:val="lowerLetter"/>
      <w:lvlText w:val="%2)"/>
      <w:lvlJc w:val="left"/>
      <w:pPr>
        <w:tabs>
          <w:tab w:val="num" w:pos="1080"/>
        </w:tabs>
        <w:ind w:left="1080" w:hanging="360"/>
      </w:pPr>
      <w:rPr>
        <w:b w:val="0"/>
        <w:bCs w:val="0"/>
        <w:i w:val="0"/>
        <w:iCs w:val="0"/>
        <w:sz w:val="20"/>
        <w:szCs w:val="20"/>
      </w:rPr>
    </w:lvl>
    <w:lvl w:ilvl="2" w:tplc="04090019">
      <w:start w:val="1"/>
      <w:numFmt w:val="lowerRoman"/>
      <w:lvlText w:val="%3."/>
      <w:lvlJc w:val="right"/>
      <w:pPr>
        <w:tabs>
          <w:tab w:val="num" w:pos="1530"/>
        </w:tabs>
        <w:ind w:left="1530" w:hanging="180"/>
      </w:pPr>
      <w:rPr>
        <w:b w:val="0"/>
        <w:strike w:val="0"/>
        <w:dstrike w:val="0"/>
        <w:u w:val="none"/>
        <w:effect w:val="none"/>
      </w:rPr>
    </w:lvl>
    <w:lvl w:ilvl="3" w:tplc="0409000F">
      <w:start w:val="1"/>
      <w:numFmt w:val="decimal"/>
      <w:lvlText w:val="%4."/>
      <w:lvlJc w:val="left"/>
      <w:pPr>
        <w:tabs>
          <w:tab w:val="num" w:pos="2880"/>
        </w:tabs>
        <w:ind w:left="2880" w:hanging="360"/>
      </w:pPr>
    </w:lvl>
    <w:lvl w:ilvl="4" w:tplc="337A4176">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8"/>
  </w:num>
  <w:num w:numId="3">
    <w:abstractNumId w:val="22"/>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
  </w:num>
  <w:num w:numId="9">
    <w:abstractNumId w:val="0"/>
  </w:num>
  <w:num w:numId="10">
    <w:abstractNumId w:val="15"/>
  </w:num>
  <w:num w:numId="11">
    <w:abstractNumId w:val="12"/>
  </w:num>
  <w:num w:numId="12">
    <w:abstractNumId w:val="14"/>
  </w:num>
  <w:num w:numId="13">
    <w:abstractNumId w:val="7"/>
  </w:num>
  <w:num w:numId="14">
    <w:abstractNumId w:val="26"/>
  </w:num>
  <w:num w:numId="15">
    <w:abstractNumId w:val="27"/>
  </w:num>
  <w:num w:numId="16">
    <w:abstractNumId w:val="18"/>
  </w:num>
  <w:num w:numId="17">
    <w:abstractNumId w:val="3"/>
  </w:num>
  <w:num w:numId="18">
    <w:abstractNumId w:val="11"/>
  </w:num>
  <w:num w:numId="19">
    <w:abstractNumId w:val="21"/>
  </w:num>
  <w:num w:numId="20">
    <w:abstractNumId w:val="8"/>
  </w:num>
  <w:num w:numId="21">
    <w:abstractNumId w:val="2"/>
  </w:num>
  <w:num w:numId="22">
    <w:abstractNumId w:val="13"/>
  </w:num>
  <w:num w:numId="23">
    <w:abstractNumId w:val="9"/>
  </w:num>
  <w:num w:numId="24">
    <w:abstractNumId w:val="16"/>
  </w:num>
  <w:num w:numId="25">
    <w:abstractNumId w:val="6"/>
  </w:num>
  <w:num w:numId="26">
    <w:abstractNumId w:val="5"/>
  </w:num>
  <w:num w:numId="27">
    <w:abstractNumId w:val="4"/>
  </w:num>
  <w:num w:numId="28">
    <w:abstractNumId w:val="17"/>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B6"/>
    <w:rsid w:val="00000829"/>
    <w:rsid w:val="00000E8C"/>
    <w:rsid w:val="00001754"/>
    <w:rsid w:val="00001844"/>
    <w:rsid w:val="00001E2A"/>
    <w:rsid w:val="0000517D"/>
    <w:rsid w:val="00006001"/>
    <w:rsid w:val="00007B70"/>
    <w:rsid w:val="0001084C"/>
    <w:rsid w:val="000111DF"/>
    <w:rsid w:val="00012430"/>
    <w:rsid w:val="00013A0D"/>
    <w:rsid w:val="000148C5"/>
    <w:rsid w:val="00015C38"/>
    <w:rsid w:val="00016D26"/>
    <w:rsid w:val="00021685"/>
    <w:rsid w:val="00022B4D"/>
    <w:rsid w:val="000231DA"/>
    <w:rsid w:val="00023606"/>
    <w:rsid w:val="000249CA"/>
    <w:rsid w:val="00025C22"/>
    <w:rsid w:val="00032422"/>
    <w:rsid w:val="0003365B"/>
    <w:rsid w:val="00034B68"/>
    <w:rsid w:val="00036FD1"/>
    <w:rsid w:val="00040A5C"/>
    <w:rsid w:val="00041641"/>
    <w:rsid w:val="00042379"/>
    <w:rsid w:val="000428B4"/>
    <w:rsid w:val="0004676A"/>
    <w:rsid w:val="000510AC"/>
    <w:rsid w:val="00053476"/>
    <w:rsid w:val="000538BA"/>
    <w:rsid w:val="000538CE"/>
    <w:rsid w:val="00056458"/>
    <w:rsid w:val="0005666D"/>
    <w:rsid w:val="000579A7"/>
    <w:rsid w:val="000579E6"/>
    <w:rsid w:val="00057BF6"/>
    <w:rsid w:val="00061883"/>
    <w:rsid w:val="00062549"/>
    <w:rsid w:val="0006325A"/>
    <w:rsid w:val="000632D8"/>
    <w:rsid w:val="00064584"/>
    <w:rsid w:val="000645F5"/>
    <w:rsid w:val="00064A08"/>
    <w:rsid w:val="00064C78"/>
    <w:rsid w:val="00065854"/>
    <w:rsid w:val="00072826"/>
    <w:rsid w:val="0007435D"/>
    <w:rsid w:val="000747F3"/>
    <w:rsid w:val="000749D5"/>
    <w:rsid w:val="00074EEF"/>
    <w:rsid w:val="0007596D"/>
    <w:rsid w:val="00080762"/>
    <w:rsid w:val="0008081B"/>
    <w:rsid w:val="00082D5B"/>
    <w:rsid w:val="00087151"/>
    <w:rsid w:val="00087545"/>
    <w:rsid w:val="00087B42"/>
    <w:rsid w:val="00090EDA"/>
    <w:rsid w:val="000927E3"/>
    <w:rsid w:val="00093749"/>
    <w:rsid w:val="000941ED"/>
    <w:rsid w:val="000954D6"/>
    <w:rsid w:val="00096918"/>
    <w:rsid w:val="000976E3"/>
    <w:rsid w:val="000A007A"/>
    <w:rsid w:val="000A162A"/>
    <w:rsid w:val="000A3300"/>
    <w:rsid w:val="000A38BD"/>
    <w:rsid w:val="000A4E49"/>
    <w:rsid w:val="000A5576"/>
    <w:rsid w:val="000A5CB6"/>
    <w:rsid w:val="000A5CE7"/>
    <w:rsid w:val="000A7347"/>
    <w:rsid w:val="000B41E7"/>
    <w:rsid w:val="000B53A6"/>
    <w:rsid w:val="000B6621"/>
    <w:rsid w:val="000B67A2"/>
    <w:rsid w:val="000B713B"/>
    <w:rsid w:val="000B731C"/>
    <w:rsid w:val="000B7A12"/>
    <w:rsid w:val="000C03FF"/>
    <w:rsid w:val="000C0E27"/>
    <w:rsid w:val="000C1541"/>
    <w:rsid w:val="000C1682"/>
    <w:rsid w:val="000C1D5E"/>
    <w:rsid w:val="000C326D"/>
    <w:rsid w:val="000C577F"/>
    <w:rsid w:val="000C7F62"/>
    <w:rsid w:val="000D05FF"/>
    <w:rsid w:val="000D0FF2"/>
    <w:rsid w:val="000D1315"/>
    <w:rsid w:val="000D2398"/>
    <w:rsid w:val="000D35A5"/>
    <w:rsid w:val="000D3CB7"/>
    <w:rsid w:val="000D3E07"/>
    <w:rsid w:val="000D521B"/>
    <w:rsid w:val="000D7087"/>
    <w:rsid w:val="000E0B29"/>
    <w:rsid w:val="000E0FA9"/>
    <w:rsid w:val="000E1673"/>
    <w:rsid w:val="000E2C7E"/>
    <w:rsid w:val="000E4512"/>
    <w:rsid w:val="000E70CA"/>
    <w:rsid w:val="000F084D"/>
    <w:rsid w:val="000F1C9A"/>
    <w:rsid w:val="000F6CFD"/>
    <w:rsid w:val="000F7637"/>
    <w:rsid w:val="000F7E51"/>
    <w:rsid w:val="00100E10"/>
    <w:rsid w:val="00103AF2"/>
    <w:rsid w:val="00103F1B"/>
    <w:rsid w:val="001042E7"/>
    <w:rsid w:val="00106A1E"/>
    <w:rsid w:val="00107746"/>
    <w:rsid w:val="00107A31"/>
    <w:rsid w:val="00111BB3"/>
    <w:rsid w:val="0011322C"/>
    <w:rsid w:val="00113C67"/>
    <w:rsid w:val="00114BE8"/>
    <w:rsid w:val="001154F9"/>
    <w:rsid w:val="0011734A"/>
    <w:rsid w:val="00125F0A"/>
    <w:rsid w:val="00126A29"/>
    <w:rsid w:val="00130C77"/>
    <w:rsid w:val="00130CCD"/>
    <w:rsid w:val="00132F5D"/>
    <w:rsid w:val="00135704"/>
    <w:rsid w:val="001358F4"/>
    <w:rsid w:val="001369A0"/>
    <w:rsid w:val="00143251"/>
    <w:rsid w:val="001445D3"/>
    <w:rsid w:val="0014465D"/>
    <w:rsid w:val="001458BD"/>
    <w:rsid w:val="00146060"/>
    <w:rsid w:val="0014677A"/>
    <w:rsid w:val="001509BE"/>
    <w:rsid w:val="00151ACA"/>
    <w:rsid w:val="00151F98"/>
    <w:rsid w:val="001523C7"/>
    <w:rsid w:val="00152CBF"/>
    <w:rsid w:val="0015351F"/>
    <w:rsid w:val="00153683"/>
    <w:rsid w:val="00155B08"/>
    <w:rsid w:val="00155F6F"/>
    <w:rsid w:val="00156C74"/>
    <w:rsid w:val="00160E84"/>
    <w:rsid w:val="0016225A"/>
    <w:rsid w:val="001645C6"/>
    <w:rsid w:val="001663E1"/>
    <w:rsid w:val="00166C53"/>
    <w:rsid w:val="0017158F"/>
    <w:rsid w:val="00172CCD"/>
    <w:rsid w:val="00176618"/>
    <w:rsid w:val="0018089A"/>
    <w:rsid w:val="00183916"/>
    <w:rsid w:val="00183A6F"/>
    <w:rsid w:val="0018486D"/>
    <w:rsid w:val="00185092"/>
    <w:rsid w:val="0018582E"/>
    <w:rsid w:val="00190349"/>
    <w:rsid w:val="00192A5F"/>
    <w:rsid w:val="0019306F"/>
    <w:rsid w:val="0019335F"/>
    <w:rsid w:val="00195B02"/>
    <w:rsid w:val="001A058B"/>
    <w:rsid w:val="001A152F"/>
    <w:rsid w:val="001A2889"/>
    <w:rsid w:val="001A291F"/>
    <w:rsid w:val="001A3E29"/>
    <w:rsid w:val="001A5460"/>
    <w:rsid w:val="001A74C0"/>
    <w:rsid w:val="001B0258"/>
    <w:rsid w:val="001B05F9"/>
    <w:rsid w:val="001B0CBE"/>
    <w:rsid w:val="001B2AA7"/>
    <w:rsid w:val="001B353D"/>
    <w:rsid w:val="001B5C7C"/>
    <w:rsid w:val="001B5ECA"/>
    <w:rsid w:val="001B6CA4"/>
    <w:rsid w:val="001C0652"/>
    <w:rsid w:val="001C31F8"/>
    <w:rsid w:val="001C5BC3"/>
    <w:rsid w:val="001C65B8"/>
    <w:rsid w:val="001D12EA"/>
    <w:rsid w:val="001D286F"/>
    <w:rsid w:val="001D2D61"/>
    <w:rsid w:val="001D2E95"/>
    <w:rsid w:val="001D3F9A"/>
    <w:rsid w:val="001D50F2"/>
    <w:rsid w:val="001D51CA"/>
    <w:rsid w:val="001D60F7"/>
    <w:rsid w:val="001D64BC"/>
    <w:rsid w:val="001D742D"/>
    <w:rsid w:val="001E00ED"/>
    <w:rsid w:val="001E242F"/>
    <w:rsid w:val="001E2438"/>
    <w:rsid w:val="001E4863"/>
    <w:rsid w:val="001E48E1"/>
    <w:rsid w:val="001E4B86"/>
    <w:rsid w:val="001E545D"/>
    <w:rsid w:val="001E7DBE"/>
    <w:rsid w:val="001E7F9A"/>
    <w:rsid w:val="001F1BF6"/>
    <w:rsid w:val="001F4A1D"/>
    <w:rsid w:val="001F5DE3"/>
    <w:rsid w:val="001F77ED"/>
    <w:rsid w:val="00200AF5"/>
    <w:rsid w:val="00202D77"/>
    <w:rsid w:val="00204E9A"/>
    <w:rsid w:val="00206B57"/>
    <w:rsid w:val="00206F78"/>
    <w:rsid w:val="00210B4E"/>
    <w:rsid w:val="00210EFA"/>
    <w:rsid w:val="002115E7"/>
    <w:rsid w:val="002124EA"/>
    <w:rsid w:val="00212F76"/>
    <w:rsid w:val="00214366"/>
    <w:rsid w:val="002170E7"/>
    <w:rsid w:val="0021725E"/>
    <w:rsid w:val="00217280"/>
    <w:rsid w:val="0022250D"/>
    <w:rsid w:val="00225C8D"/>
    <w:rsid w:val="0023021C"/>
    <w:rsid w:val="0023053A"/>
    <w:rsid w:val="00232535"/>
    <w:rsid w:val="00232E50"/>
    <w:rsid w:val="00233500"/>
    <w:rsid w:val="00234EC2"/>
    <w:rsid w:val="002353C1"/>
    <w:rsid w:val="00235572"/>
    <w:rsid w:val="00235B40"/>
    <w:rsid w:val="00240850"/>
    <w:rsid w:val="002420D0"/>
    <w:rsid w:val="002427B8"/>
    <w:rsid w:val="00243ADD"/>
    <w:rsid w:val="0024416B"/>
    <w:rsid w:val="00245C52"/>
    <w:rsid w:val="00245D48"/>
    <w:rsid w:val="00245E48"/>
    <w:rsid w:val="00250316"/>
    <w:rsid w:val="00250F1C"/>
    <w:rsid w:val="00251B77"/>
    <w:rsid w:val="002526E2"/>
    <w:rsid w:val="002548FE"/>
    <w:rsid w:val="00255389"/>
    <w:rsid w:val="002611D9"/>
    <w:rsid w:val="0026128F"/>
    <w:rsid w:val="002635FE"/>
    <w:rsid w:val="0026506D"/>
    <w:rsid w:val="00265458"/>
    <w:rsid w:val="002664BB"/>
    <w:rsid w:val="002709D1"/>
    <w:rsid w:val="00271773"/>
    <w:rsid w:val="00271A39"/>
    <w:rsid w:val="00272897"/>
    <w:rsid w:val="00272DFE"/>
    <w:rsid w:val="00274E68"/>
    <w:rsid w:val="00275526"/>
    <w:rsid w:val="0027717C"/>
    <w:rsid w:val="00277252"/>
    <w:rsid w:val="00277560"/>
    <w:rsid w:val="00280CFC"/>
    <w:rsid w:val="0028110B"/>
    <w:rsid w:val="00282F16"/>
    <w:rsid w:val="00283C4C"/>
    <w:rsid w:val="00283D38"/>
    <w:rsid w:val="00286B16"/>
    <w:rsid w:val="00290C1A"/>
    <w:rsid w:val="00291F81"/>
    <w:rsid w:val="00292D3C"/>
    <w:rsid w:val="0029347F"/>
    <w:rsid w:val="00294DD2"/>
    <w:rsid w:val="002964A7"/>
    <w:rsid w:val="002968CE"/>
    <w:rsid w:val="00296B94"/>
    <w:rsid w:val="002A0C6D"/>
    <w:rsid w:val="002A108E"/>
    <w:rsid w:val="002A1959"/>
    <w:rsid w:val="002A2F42"/>
    <w:rsid w:val="002A3F50"/>
    <w:rsid w:val="002A4438"/>
    <w:rsid w:val="002A4711"/>
    <w:rsid w:val="002A58A7"/>
    <w:rsid w:val="002A5BB9"/>
    <w:rsid w:val="002A6908"/>
    <w:rsid w:val="002A76B3"/>
    <w:rsid w:val="002B17BC"/>
    <w:rsid w:val="002B1801"/>
    <w:rsid w:val="002B2A7E"/>
    <w:rsid w:val="002B6830"/>
    <w:rsid w:val="002B6FC7"/>
    <w:rsid w:val="002B7F1D"/>
    <w:rsid w:val="002C069A"/>
    <w:rsid w:val="002C1334"/>
    <w:rsid w:val="002C1737"/>
    <w:rsid w:val="002C2052"/>
    <w:rsid w:val="002C24F1"/>
    <w:rsid w:val="002C3834"/>
    <w:rsid w:val="002C4EF7"/>
    <w:rsid w:val="002C6334"/>
    <w:rsid w:val="002C64AD"/>
    <w:rsid w:val="002C6605"/>
    <w:rsid w:val="002D14FC"/>
    <w:rsid w:val="002D29AA"/>
    <w:rsid w:val="002D30BA"/>
    <w:rsid w:val="002D36FD"/>
    <w:rsid w:val="002D3BFB"/>
    <w:rsid w:val="002D45E4"/>
    <w:rsid w:val="002D4D23"/>
    <w:rsid w:val="002D6904"/>
    <w:rsid w:val="002D7FBE"/>
    <w:rsid w:val="002E2167"/>
    <w:rsid w:val="002E230C"/>
    <w:rsid w:val="002E2F48"/>
    <w:rsid w:val="002E31CE"/>
    <w:rsid w:val="002E43C7"/>
    <w:rsid w:val="002E505B"/>
    <w:rsid w:val="002E520D"/>
    <w:rsid w:val="002E62FC"/>
    <w:rsid w:val="002E667F"/>
    <w:rsid w:val="002F0909"/>
    <w:rsid w:val="002F098E"/>
    <w:rsid w:val="002F1966"/>
    <w:rsid w:val="002F3431"/>
    <w:rsid w:val="002F45DC"/>
    <w:rsid w:val="002F58BE"/>
    <w:rsid w:val="002F64D1"/>
    <w:rsid w:val="002F67A9"/>
    <w:rsid w:val="002F72BB"/>
    <w:rsid w:val="00301DFA"/>
    <w:rsid w:val="00303B47"/>
    <w:rsid w:val="00306CC4"/>
    <w:rsid w:val="00307461"/>
    <w:rsid w:val="00310B19"/>
    <w:rsid w:val="00310CA6"/>
    <w:rsid w:val="003167F4"/>
    <w:rsid w:val="003178F0"/>
    <w:rsid w:val="003219E7"/>
    <w:rsid w:val="003223CB"/>
    <w:rsid w:val="00322729"/>
    <w:rsid w:val="00323370"/>
    <w:rsid w:val="00323E1E"/>
    <w:rsid w:val="003265CA"/>
    <w:rsid w:val="00327239"/>
    <w:rsid w:val="003276FA"/>
    <w:rsid w:val="003309CD"/>
    <w:rsid w:val="003319AF"/>
    <w:rsid w:val="0033418B"/>
    <w:rsid w:val="00334513"/>
    <w:rsid w:val="0033495A"/>
    <w:rsid w:val="00334A09"/>
    <w:rsid w:val="00335E16"/>
    <w:rsid w:val="003361E2"/>
    <w:rsid w:val="00341294"/>
    <w:rsid w:val="003412BB"/>
    <w:rsid w:val="003416BD"/>
    <w:rsid w:val="00342330"/>
    <w:rsid w:val="00343156"/>
    <w:rsid w:val="003434DC"/>
    <w:rsid w:val="00343642"/>
    <w:rsid w:val="003445C5"/>
    <w:rsid w:val="003448B1"/>
    <w:rsid w:val="0034524D"/>
    <w:rsid w:val="00345AD2"/>
    <w:rsid w:val="00345DFF"/>
    <w:rsid w:val="00350F70"/>
    <w:rsid w:val="00351120"/>
    <w:rsid w:val="0035256C"/>
    <w:rsid w:val="0035260E"/>
    <w:rsid w:val="00353B80"/>
    <w:rsid w:val="00355165"/>
    <w:rsid w:val="003558CE"/>
    <w:rsid w:val="0035626F"/>
    <w:rsid w:val="0036159A"/>
    <w:rsid w:val="0036188B"/>
    <w:rsid w:val="00362123"/>
    <w:rsid w:val="00362B7F"/>
    <w:rsid w:val="00362F73"/>
    <w:rsid w:val="00363EB7"/>
    <w:rsid w:val="00364482"/>
    <w:rsid w:val="003679DB"/>
    <w:rsid w:val="00371654"/>
    <w:rsid w:val="00371784"/>
    <w:rsid w:val="00371F7E"/>
    <w:rsid w:val="003732E0"/>
    <w:rsid w:val="003734D2"/>
    <w:rsid w:val="00373535"/>
    <w:rsid w:val="00374ACA"/>
    <w:rsid w:val="00381A99"/>
    <w:rsid w:val="00382469"/>
    <w:rsid w:val="003825B2"/>
    <w:rsid w:val="00384246"/>
    <w:rsid w:val="00384C35"/>
    <w:rsid w:val="00386321"/>
    <w:rsid w:val="0039023E"/>
    <w:rsid w:val="0039181D"/>
    <w:rsid w:val="003923AB"/>
    <w:rsid w:val="003923FA"/>
    <w:rsid w:val="00393EBA"/>
    <w:rsid w:val="00394CA9"/>
    <w:rsid w:val="00394D9D"/>
    <w:rsid w:val="00394F08"/>
    <w:rsid w:val="00397C9E"/>
    <w:rsid w:val="00397DB7"/>
    <w:rsid w:val="003A287D"/>
    <w:rsid w:val="003A3312"/>
    <w:rsid w:val="003A4D8C"/>
    <w:rsid w:val="003A5368"/>
    <w:rsid w:val="003A5CAD"/>
    <w:rsid w:val="003A6263"/>
    <w:rsid w:val="003B2865"/>
    <w:rsid w:val="003B29D3"/>
    <w:rsid w:val="003B32F0"/>
    <w:rsid w:val="003B3399"/>
    <w:rsid w:val="003B3E60"/>
    <w:rsid w:val="003B483D"/>
    <w:rsid w:val="003C076B"/>
    <w:rsid w:val="003C2017"/>
    <w:rsid w:val="003C28CA"/>
    <w:rsid w:val="003C3996"/>
    <w:rsid w:val="003C4235"/>
    <w:rsid w:val="003C4FE5"/>
    <w:rsid w:val="003C6BEB"/>
    <w:rsid w:val="003D05AE"/>
    <w:rsid w:val="003D21E3"/>
    <w:rsid w:val="003D4B6E"/>
    <w:rsid w:val="003E0767"/>
    <w:rsid w:val="003E0B00"/>
    <w:rsid w:val="003E2253"/>
    <w:rsid w:val="003E5E1B"/>
    <w:rsid w:val="003E68C2"/>
    <w:rsid w:val="003E6C3E"/>
    <w:rsid w:val="003E6D70"/>
    <w:rsid w:val="003F0514"/>
    <w:rsid w:val="003F0783"/>
    <w:rsid w:val="003F0E61"/>
    <w:rsid w:val="003F263E"/>
    <w:rsid w:val="003F28C4"/>
    <w:rsid w:val="003F6A37"/>
    <w:rsid w:val="003F7303"/>
    <w:rsid w:val="003F7D08"/>
    <w:rsid w:val="00400758"/>
    <w:rsid w:val="00400B40"/>
    <w:rsid w:val="00401209"/>
    <w:rsid w:val="004040E0"/>
    <w:rsid w:val="00404F2D"/>
    <w:rsid w:val="00405096"/>
    <w:rsid w:val="00407335"/>
    <w:rsid w:val="00407957"/>
    <w:rsid w:val="0041138F"/>
    <w:rsid w:val="004117CE"/>
    <w:rsid w:val="004123AF"/>
    <w:rsid w:val="0041252F"/>
    <w:rsid w:val="00412EE9"/>
    <w:rsid w:val="004135A1"/>
    <w:rsid w:val="0041392B"/>
    <w:rsid w:val="00417057"/>
    <w:rsid w:val="00417B93"/>
    <w:rsid w:val="00421F7C"/>
    <w:rsid w:val="00423A99"/>
    <w:rsid w:val="004274E9"/>
    <w:rsid w:val="00427804"/>
    <w:rsid w:val="00427D9C"/>
    <w:rsid w:val="00430C9B"/>
    <w:rsid w:val="00431FFA"/>
    <w:rsid w:val="0043338B"/>
    <w:rsid w:val="00434ED5"/>
    <w:rsid w:val="00435C51"/>
    <w:rsid w:val="00436272"/>
    <w:rsid w:val="0044254E"/>
    <w:rsid w:val="00442B5D"/>
    <w:rsid w:val="0044308D"/>
    <w:rsid w:val="00443F32"/>
    <w:rsid w:val="0044509B"/>
    <w:rsid w:val="0044637F"/>
    <w:rsid w:val="004472D9"/>
    <w:rsid w:val="004473ED"/>
    <w:rsid w:val="004500E7"/>
    <w:rsid w:val="00450678"/>
    <w:rsid w:val="004552E9"/>
    <w:rsid w:val="00455894"/>
    <w:rsid w:val="004606DE"/>
    <w:rsid w:val="004613F2"/>
    <w:rsid w:val="00465811"/>
    <w:rsid w:val="00465FEA"/>
    <w:rsid w:val="004665E2"/>
    <w:rsid w:val="00466DCC"/>
    <w:rsid w:val="004679A6"/>
    <w:rsid w:val="00475E25"/>
    <w:rsid w:val="00475E89"/>
    <w:rsid w:val="004769DF"/>
    <w:rsid w:val="00483D9D"/>
    <w:rsid w:val="00483DC7"/>
    <w:rsid w:val="004840E2"/>
    <w:rsid w:val="004846AD"/>
    <w:rsid w:val="00485C45"/>
    <w:rsid w:val="00485F7C"/>
    <w:rsid w:val="0049269B"/>
    <w:rsid w:val="0049496A"/>
    <w:rsid w:val="0049511D"/>
    <w:rsid w:val="004A0893"/>
    <w:rsid w:val="004A1BDE"/>
    <w:rsid w:val="004A22BA"/>
    <w:rsid w:val="004A2300"/>
    <w:rsid w:val="004B0332"/>
    <w:rsid w:val="004B18FC"/>
    <w:rsid w:val="004B41FD"/>
    <w:rsid w:val="004B4AC1"/>
    <w:rsid w:val="004B5665"/>
    <w:rsid w:val="004B5F05"/>
    <w:rsid w:val="004B7D6E"/>
    <w:rsid w:val="004C09A4"/>
    <w:rsid w:val="004C2B33"/>
    <w:rsid w:val="004C3FC8"/>
    <w:rsid w:val="004C41C4"/>
    <w:rsid w:val="004C5949"/>
    <w:rsid w:val="004C6DC2"/>
    <w:rsid w:val="004C74EB"/>
    <w:rsid w:val="004D0BB2"/>
    <w:rsid w:val="004D0DEB"/>
    <w:rsid w:val="004D20FA"/>
    <w:rsid w:val="004D2329"/>
    <w:rsid w:val="004D2794"/>
    <w:rsid w:val="004D3C9C"/>
    <w:rsid w:val="004D73E8"/>
    <w:rsid w:val="004D7447"/>
    <w:rsid w:val="004E1B9B"/>
    <w:rsid w:val="004E30DF"/>
    <w:rsid w:val="004E67B6"/>
    <w:rsid w:val="004F03ED"/>
    <w:rsid w:val="004F13DC"/>
    <w:rsid w:val="004F43B7"/>
    <w:rsid w:val="004F6B53"/>
    <w:rsid w:val="005009AC"/>
    <w:rsid w:val="005015DC"/>
    <w:rsid w:val="00501AA4"/>
    <w:rsid w:val="00502506"/>
    <w:rsid w:val="00502AB6"/>
    <w:rsid w:val="00502B92"/>
    <w:rsid w:val="00510102"/>
    <w:rsid w:val="005115BA"/>
    <w:rsid w:val="0051281D"/>
    <w:rsid w:val="00512C12"/>
    <w:rsid w:val="005132FA"/>
    <w:rsid w:val="005142F4"/>
    <w:rsid w:val="005169AC"/>
    <w:rsid w:val="005225A2"/>
    <w:rsid w:val="00522E44"/>
    <w:rsid w:val="0052425A"/>
    <w:rsid w:val="0052661F"/>
    <w:rsid w:val="0052678D"/>
    <w:rsid w:val="00532F2C"/>
    <w:rsid w:val="0053398E"/>
    <w:rsid w:val="00534C39"/>
    <w:rsid w:val="00534FF6"/>
    <w:rsid w:val="005375E3"/>
    <w:rsid w:val="00537D7F"/>
    <w:rsid w:val="005410CD"/>
    <w:rsid w:val="00542612"/>
    <w:rsid w:val="0054262C"/>
    <w:rsid w:val="00545EFE"/>
    <w:rsid w:val="00550E82"/>
    <w:rsid w:val="005520BB"/>
    <w:rsid w:val="00552AA3"/>
    <w:rsid w:val="00552C1C"/>
    <w:rsid w:val="00552E20"/>
    <w:rsid w:val="00555B68"/>
    <w:rsid w:val="005569AD"/>
    <w:rsid w:val="00556BF4"/>
    <w:rsid w:val="00557BC4"/>
    <w:rsid w:val="0056024A"/>
    <w:rsid w:val="005603CE"/>
    <w:rsid w:val="00560714"/>
    <w:rsid w:val="00563D39"/>
    <w:rsid w:val="00563EAB"/>
    <w:rsid w:val="00564281"/>
    <w:rsid w:val="005644B0"/>
    <w:rsid w:val="005649D4"/>
    <w:rsid w:val="00565CD7"/>
    <w:rsid w:val="00566BC5"/>
    <w:rsid w:val="005674A7"/>
    <w:rsid w:val="00571CC6"/>
    <w:rsid w:val="0057261B"/>
    <w:rsid w:val="005758FA"/>
    <w:rsid w:val="00575B27"/>
    <w:rsid w:val="0058099C"/>
    <w:rsid w:val="00582229"/>
    <w:rsid w:val="00582586"/>
    <w:rsid w:val="00583375"/>
    <w:rsid w:val="0058422B"/>
    <w:rsid w:val="005842E5"/>
    <w:rsid w:val="00592D56"/>
    <w:rsid w:val="00593629"/>
    <w:rsid w:val="00593E70"/>
    <w:rsid w:val="00593EDA"/>
    <w:rsid w:val="005968B9"/>
    <w:rsid w:val="00597181"/>
    <w:rsid w:val="00597FE9"/>
    <w:rsid w:val="005A0C6A"/>
    <w:rsid w:val="005A194D"/>
    <w:rsid w:val="005A1A29"/>
    <w:rsid w:val="005A256C"/>
    <w:rsid w:val="005A30B4"/>
    <w:rsid w:val="005A43BF"/>
    <w:rsid w:val="005A617B"/>
    <w:rsid w:val="005A69BF"/>
    <w:rsid w:val="005B21CA"/>
    <w:rsid w:val="005B24CA"/>
    <w:rsid w:val="005B285D"/>
    <w:rsid w:val="005B4263"/>
    <w:rsid w:val="005B6344"/>
    <w:rsid w:val="005B6F26"/>
    <w:rsid w:val="005C0C46"/>
    <w:rsid w:val="005C23EB"/>
    <w:rsid w:val="005C419B"/>
    <w:rsid w:val="005C692B"/>
    <w:rsid w:val="005D1693"/>
    <w:rsid w:val="005D240C"/>
    <w:rsid w:val="005D58A1"/>
    <w:rsid w:val="005D5C0A"/>
    <w:rsid w:val="005D736E"/>
    <w:rsid w:val="005D741D"/>
    <w:rsid w:val="005D7A62"/>
    <w:rsid w:val="005D7C29"/>
    <w:rsid w:val="005E131A"/>
    <w:rsid w:val="005E15C8"/>
    <w:rsid w:val="005E31EF"/>
    <w:rsid w:val="005E337A"/>
    <w:rsid w:val="005E3429"/>
    <w:rsid w:val="005E414F"/>
    <w:rsid w:val="005E434D"/>
    <w:rsid w:val="005F0815"/>
    <w:rsid w:val="005F1BEE"/>
    <w:rsid w:val="005F26BD"/>
    <w:rsid w:val="005F3C2B"/>
    <w:rsid w:val="005F4FFD"/>
    <w:rsid w:val="005F69E1"/>
    <w:rsid w:val="00601222"/>
    <w:rsid w:val="00604028"/>
    <w:rsid w:val="00605081"/>
    <w:rsid w:val="0060623B"/>
    <w:rsid w:val="00607860"/>
    <w:rsid w:val="00607C16"/>
    <w:rsid w:val="00615EDA"/>
    <w:rsid w:val="0061789F"/>
    <w:rsid w:val="00620454"/>
    <w:rsid w:val="00620F6A"/>
    <w:rsid w:val="00624C2A"/>
    <w:rsid w:val="0062648C"/>
    <w:rsid w:val="00630B2E"/>
    <w:rsid w:val="00631AB5"/>
    <w:rsid w:val="00631B03"/>
    <w:rsid w:val="00632035"/>
    <w:rsid w:val="006325D0"/>
    <w:rsid w:val="006338AC"/>
    <w:rsid w:val="00634F5A"/>
    <w:rsid w:val="0063697D"/>
    <w:rsid w:val="00637BF1"/>
    <w:rsid w:val="00641E70"/>
    <w:rsid w:val="006421BF"/>
    <w:rsid w:val="00642C99"/>
    <w:rsid w:val="00647119"/>
    <w:rsid w:val="0064783F"/>
    <w:rsid w:val="00647877"/>
    <w:rsid w:val="00647F78"/>
    <w:rsid w:val="00651388"/>
    <w:rsid w:val="006524B8"/>
    <w:rsid w:val="006526E3"/>
    <w:rsid w:val="00652860"/>
    <w:rsid w:val="0065370B"/>
    <w:rsid w:val="00654B84"/>
    <w:rsid w:val="00655296"/>
    <w:rsid w:val="00656C65"/>
    <w:rsid w:val="00656D80"/>
    <w:rsid w:val="00657265"/>
    <w:rsid w:val="00657E47"/>
    <w:rsid w:val="00660C15"/>
    <w:rsid w:val="00661B68"/>
    <w:rsid w:val="00661D71"/>
    <w:rsid w:val="00663145"/>
    <w:rsid w:val="00664470"/>
    <w:rsid w:val="006703A8"/>
    <w:rsid w:val="00672312"/>
    <w:rsid w:val="00672AE8"/>
    <w:rsid w:val="00672E38"/>
    <w:rsid w:val="00675E94"/>
    <w:rsid w:val="00676FF9"/>
    <w:rsid w:val="00680F02"/>
    <w:rsid w:val="00681BD2"/>
    <w:rsid w:val="00685311"/>
    <w:rsid w:val="00686907"/>
    <w:rsid w:val="006869AF"/>
    <w:rsid w:val="00693D6C"/>
    <w:rsid w:val="00694C9B"/>
    <w:rsid w:val="00697A4C"/>
    <w:rsid w:val="006A07D7"/>
    <w:rsid w:val="006A08AD"/>
    <w:rsid w:val="006A0BFF"/>
    <w:rsid w:val="006A2207"/>
    <w:rsid w:val="006A27C5"/>
    <w:rsid w:val="006A310D"/>
    <w:rsid w:val="006A4429"/>
    <w:rsid w:val="006A47DC"/>
    <w:rsid w:val="006A5616"/>
    <w:rsid w:val="006A684C"/>
    <w:rsid w:val="006A7AF4"/>
    <w:rsid w:val="006B048F"/>
    <w:rsid w:val="006B20C5"/>
    <w:rsid w:val="006B2D51"/>
    <w:rsid w:val="006B2E74"/>
    <w:rsid w:val="006B2E82"/>
    <w:rsid w:val="006B4890"/>
    <w:rsid w:val="006B4BA9"/>
    <w:rsid w:val="006B576A"/>
    <w:rsid w:val="006B640C"/>
    <w:rsid w:val="006B66E5"/>
    <w:rsid w:val="006B7A93"/>
    <w:rsid w:val="006C105A"/>
    <w:rsid w:val="006C11A9"/>
    <w:rsid w:val="006C1924"/>
    <w:rsid w:val="006C1D92"/>
    <w:rsid w:val="006C23B8"/>
    <w:rsid w:val="006C2717"/>
    <w:rsid w:val="006C3BC6"/>
    <w:rsid w:val="006C40EA"/>
    <w:rsid w:val="006C5316"/>
    <w:rsid w:val="006C5458"/>
    <w:rsid w:val="006C6A83"/>
    <w:rsid w:val="006C6CA0"/>
    <w:rsid w:val="006D0810"/>
    <w:rsid w:val="006D1FB4"/>
    <w:rsid w:val="006D2E18"/>
    <w:rsid w:val="006D305C"/>
    <w:rsid w:val="006D5315"/>
    <w:rsid w:val="006D5A62"/>
    <w:rsid w:val="006D5CA3"/>
    <w:rsid w:val="006D5D86"/>
    <w:rsid w:val="006D6652"/>
    <w:rsid w:val="006D76FA"/>
    <w:rsid w:val="006E0AAE"/>
    <w:rsid w:val="006E1F26"/>
    <w:rsid w:val="006E44F5"/>
    <w:rsid w:val="006E5203"/>
    <w:rsid w:val="006E5546"/>
    <w:rsid w:val="006E6B1A"/>
    <w:rsid w:val="006E74B4"/>
    <w:rsid w:val="006F0B66"/>
    <w:rsid w:val="006F224A"/>
    <w:rsid w:val="006F38BE"/>
    <w:rsid w:val="006F3D74"/>
    <w:rsid w:val="006F3EF8"/>
    <w:rsid w:val="006F6D2C"/>
    <w:rsid w:val="006F7696"/>
    <w:rsid w:val="006F79E0"/>
    <w:rsid w:val="00700A4A"/>
    <w:rsid w:val="00700E81"/>
    <w:rsid w:val="0070154E"/>
    <w:rsid w:val="00701C21"/>
    <w:rsid w:val="0070257A"/>
    <w:rsid w:val="00702EA3"/>
    <w:rsid w:val="007031E4"/>
    <w:rsid w:val="007035E5"/>
    <w:rsid w:val="0070401A"/>
    <w:rsid w:val="00704065"/>
    <w:rsid w:val="007044BA"/>
    <w:rsid w:val="00706920"/>
    <w:rsid w:val="00706FA0"/>
    <w:rsid w:val="00707A54"/>
    <w:rsid w:val="00707F81"/>
    <w:rsid w:val="007100FA"/>
    <w:rsid w:val="00711AF4"/>
    <w:rsid w:val="0071324F"/>
    <w:rsid w:val="00725464"/>
    <w:rsid w:val="00726DBA"/>
    <w:rsid w:val="00727B92"/>
    <w:rsid w:val="00730FCE"/>
    <w:rsid w:val="00730FDF"/>
    <w:rsid w:val="007317EF"/>
    <w:rsid w:val="00732094"/>
    <w:rsid w:val="00733441"/>
    <w:rsid w:val="00733928"/>
    <w:rsid w:val="00734503"/>
    <w:rsid w:val="007355AD"/>
    <w:rsid w:val="007367DA"/>
    <w:rsid w:val="00736C9D"/>
    <w:rsid w:val="00736CE1"/>
    <w:rsid w:val="00736DBB"/>
    <w:rsid w:val="00740B51"/>
    <w:rsid w:val="00741942"/>
    <w:rsid w:val="00741D4C"/>
    <w:rsid w:val="0074266F"/>
    <w:rsid w:val="00744A4B"/>
    <w:rsid w:val="007472DD"/>
    <w:rsid w:val="00747EC6"/>
    <w:rsid w:val="0075267F"/>
    <w:rsid w:val="00754996"/>
    <w:rsid w:val="00757BCA"/>
    <w:rsid w:val="0076066E"/>
    <w:rsid w:val="00762413"/>
    <w:rsid w:val="007632CD"/>
    <w:rsid w:val="0076348C"/>
    <w:rsid w:val="00763F03"/>
    <w:rsid w:val="007643FD"/>
    <w:rsid w:val="00765BD2"/>
    <w:rsid w:val="00766720"/>
    <w:rsid w:val="00766B19"/>
    <w:rsid w:val="00766E6F"/>
    <w:rsid w:val="00767727"/>
    <w:rsid w:val="00767B98"/>
    <w:rsid w:val="00767E4D"/>
    <w:rsid w:val="00771626"/>
    <w:rsid w:val="00772159"/>
    <w:rsid w:val="007728C7"/>
    <w:rsid w:val="00772DB4"/>
    <w:rsid w:val="00772F64"/>
    <w:rsid w:val="00775688"/>
    <w:rsid w:val="00775ABA"/>
    <w:rsid w:val="00775B06"/>
    <w:rsid w:val="00776104"/>
    <w:rsid w:val="007775A1"/>
    <w:rsid w:val="00784F5C"/>
    <w:rsid w:val="007872AA"/>
    <w:rsid w:val="007924BD"/>
    <w:rsid w:val="0079289E"/>
    <w:rsid w:val="00792FA0"/>
    <w:rsid w:val="0079370F"/>
    <w:rsid w:val="007938AB"/>
    <w:rsid w:val="00794752"/>
    <w:rsid w:val="0079487E"/>
    <w:rsid w:val="00796D54"/>
    <w:rsid w:val="007972AC"/>
    <w:rsid w:val="007A11AE"/>
    <w:rsid w:val="007A318D"/>
    <w:rsid w:val="007A4B9C"/>
    <w:rsid w:val="007A542D"/>
    <w:rsid w:val="007A6A54"/>
    <w:rsid w:val="007A7743"/>
    <w:rsid w:val="007A7CD7"/>
    <w:rsid w:val="007B06E1"/>
    <w:rsid w:val="007B27F8"/>
    <w:rsid w:val="007B3BB1"/>
    <w:rsid w:val="007B69BB"/>
    <w:rsid w:val="007B6DFF"/>
    <w:rsid w:val="007C0A60"/>
    <w:rsid w:val="007C1255"/>
    <w:rsid w:val="007C1694"/>
    <w:rsid w:val="007C2FC7"/>
    <w:rsid w:val="007C358D"/>
    <w:rsid w:val="007C3EE3"/>
    <w:rsid w:val="007C4104"/>
    <w:rsid w:val="007C4319"/>
    <w:rsid w:val="007C4427"/>
    <w:rsid w:val="007C64CD"/>
    <w:rsid w:val="007C6BB7"/>
    <w:rsid w:val="007C7717"/>
    <w:rsid w:val="007C7CEF"/>
    <w:rsid w:val="007D0A04"/>
    <w:rsid w:val="007D1A05"/>
    <w:rsid w:val="007D38AC"/>
    <w:rsid w:val="007D4B03"/>
    <w:rsid w:val="007D57A2"/>
    <w:rsid w:val="007D5A10"/>
    <w:rsid w:val="007D681E"/>
    <w:rsid w:val="007D6B20"/>
    <w:rsid w:val="007E1E0F"/>
    <w:rsid w:val="007E2C7E"/>
    <w:rsid w:val="007E6203"/>
    <w:rsid w:val="007E666D"/>
    <w:rsid w:val="007E78E6"/>
    <w:rsid w:val="007F0BFA"/>
    <w:rsid w:val="00801035"/>
    <w:rsid w:val="0080225F"/>
    <w:rsid w:val="00804195"/>
    <w:rsid w:val="00804669"/>
    <w:rsid w:val="008059C2"/>
    <w:rsid w:val="00805C0B"/>
    <w:rsid w:val="00806B7F"/>
    <w:rsid w:val="00807E24"/>
    <w:rsid w:val="00807F99"/>
    <w:rsid w:val="0081072C"/>
    <w:rsid w:val="0081152C"/>
    <w:rsid w:val="00812504"/>
    <w:rsid w:val="00812D72"/>
    <w:rsid w:val="00815761"/>
    <w:rsid w:val="00817564"/>
    <w:rsid w:val="00820CF4"/>
    <w:rsid w:val="00822F03"/>
    <w:rsid w:val="0083000A"/>
    <w:rsid w:val="00831266"/>
    <w:rsid w:val="00831669"/>
    <w:rsid w:val="00831D29"/>
    <w:rsid w:val="00832FC1"/>
    <w:rsid w:val="008335FC"/>
    <w:rsid w:val="00833A82"/>
    <w:rsid w:val="00834C7C"/>
    <w:rsid w:val="00836BD4"/>
    <w:rsid w:val="00836D0F"/>
    <w:rsid w:val="00836F59"/>
    <w:rsid w:val="0084044B"/>
    <w:rsid w:val="00841A7C"/>
    <w:rsid w:val="008447C4"/>
    <w:rsid w:val="008448F4"/>
    <w:rsid w:val="00845740"/>
    <w:rsid w:val="00845B4C"/>
    <w:rsid w:val="00846B69"/>
    <w:rsid w:val="008534EA"/>
    <w:rsid w:val="0086113E"/>
    <w:rsid w:val="008619E7"/>
    <w:rsid w:val="00862B9B"/>
    <w:rsid w:val="00870F58"/>
    <w:rsid w:val="008721C3"/>
    <w:rsid w:val="0087243E"/>
    <w:rsid w:val="00872EE4"/>
    <w:rsid w:val="0087308B"/>
    <w:rsid w:val="0087579D"/>
    <w:rsid w:val="00877146"/>
    <w:rsid w:val="00877DD6"/>
    <w:rsid w:val="008828AD"/>
    <w:rsid w:val="00882D17"/>
    <w:rsid w:val="008831B4"/>
    <w:rsid w:val="00883482"/>
    <w:rsid w:val="008839A3"/>
    <w:rsid w:val="00883B7D"/>
    <w:rsid w:val="00884B9C"/>
    <w:rsid w:val="00884E0D"/>
    <w:rsid w:val="0088519C"/>
    <w:rsid w:val="00885A91"/>
    <w:rsid w:val="008877F2"/>
    <w:rsid w:val="00890371"/>
    <w:rsid w:val="008912CC"/>
    <w:rsid w:val="00891B81"/>
    <w:rsid w:val="00893C97"/>
    <w:rsid w:val="00893DC6"/>
    <w:rsid w:val="008950A8"/>
    <w:rsid w:val="00897439"/>
    <w:rsid w:val="008A00BD"/>
    <w:rsid w:val="008A4B07"/>
    <w:rsid w:val="008A6C0E"/>
    <w:rsid w:val="008A704B"/>
    <w:rsid w:val="008B1468"/>
    <w:rsid w:val="008B228A"/>
    <w:rsid w:val="008B2B85"/>
    <w:rsid w:val="008B30FE"/>
    <w:rsid w:val="008B3627"/>
    <w:rsid w:val="008B3C62"/>
    <w:rsid w:val="008B4931"/>
    <w:rsid w:val="008B5869"/>
    <w:rsid w:val="008B5E23"/>
    <w:rsid w:val="008B5F2D"/>
    <w:rsid w:val="008B60C7"/>
    <w:rsid w:val="008B68DF"/>
    <w:rsid w:val="008C1789"/>
    <w:rsid w:val="008C50D6"/>
    <w:rsid w:val="008C6D8C"/>
    <w:rsid w:val="008D32F4"/>
    <w:rsid w:val="008D33E0"/>
    <w:rsid w:val="008D52B3"/>
    <w:rsid w:val="008D652E"/>
    <w:rsid w:val="008E0303"/>
    <w:rsid w:val="008E06F4"/>
    <w:rsid w:val="008E12A5"/>
    <w:rsid w:val="008E4A99"/>
    <w:rsid w:val="008E66C2"/>
    <w:rsid w:val="008E6C43"/>
    <w:rsid w:val="008F0230"/>
    <w:rsid w:val="008F0517"/>
    <w:rsid w:val="008F12DA"/>
    <w:rsid w:val="008F2BED"/>
    <w:rsid w:val="008F34BF"/>
    <w:rsid w:val="008F491C"/>
    <w:rsid w:val="008F55F4"/>
    <w:rsid w:val="008F6058"/>
    <w:rsid w:val="008F6825"/>
    <w:rsid w:val="008F7BA6"/>
    <w:rsid w:val="008F7DD1"/>
    <w:rsid w:val="00902F21"/>
    <w:rsid w:val="00903911"/>
    <w:rsid w:val="00903B83"/>
    <w:rsid w:val="00903F5F"/>
    <w:rsid w:val="009068B1"/>
    <w:rsid w:val="00907E30"/>
    <w:rsid w:val="00910B4F"/>
    <w:rsid w:val="00911B43"/>
    <w:rsid w:val="00912252"/>
    <w:rsid w:val="00913196"/>
    <w:rsid w:val="009136A8"/>
    <w:rsid w:val="0091495A"/>
    <w:rsid w:val="00914D95"/>
    <w:rsid w:val="009152BD"/>
    <w:rsid w:val="00916F47"/>
    <w:rsid w:val="0092349D"/>
    <w:rsid w:val="009234D3"/>
    <w:rsid w:val="009246AB"/>
    <w:rsid w:val="009275B6"/>
    <w:rsid w:val="00927985"/>
    <w:rsid w:val="00931F86"/>
    <w:rsid w:val="00932F63"/>
    <w:rsid w:val="00934498"/>
    <w:rsid w:val="00934DE4"/>
    <w:rsid w:val="009368E7"/>
    <w:rsid w:val="0094107D"/>
    <w:rsid w:val="00944536"/>
    <w:rsid w:val="00945647"/>
    <w:rsid w:val="009468AA"/>
    <w:rsid w:val="00946F19"/>
    <w:rsid w:val="00951137"/>
    <w:rsid w:val="0095185E"/>
    <w:rsid w:val="00952B50"/>
    <w:rsid w:val="0095381A"/>
    <w:rsid w:val="00953D55"/>
    <w:rsid w:val="00953F07"/>
    <w:rsid w:val="0095499F"/>
    <w:rsid w:val="009549C7"/>
    <w:rsid w:val="009565EC"/>
    <w:rsid w:val="0095661F"/>
    <w:rsid w:val="0096021E"/>
    <w:rsid w:val="00960432"/>
    <w:rsid w:val="0096115E"/>
    <w:rsid w:val="00961D9C"/>
    <w:rsid w:val="00961DB5"/>
    <w:rsid w:val="009628E9"/>
    <w:rsid w:val="00962B37"/>
    <w:rsid w:val="00965DBA"/>
    <w:rsid w:val="00966B2D"/>
    <w:rsid w:val="00971B99"/>
    <w:rsid w:val="00973644"/>
    <w:rsid w:val="009754BB"/>
    <w:rsid w:val="00975E9F"/>
    <w:rsid w:val="00977F13"/>
    <w:rsid w:val="00980238"/>
    <w:rsid w:val="0098589B"/>
    <w:rsid w:val="00987D74"/>
    <w:rsid w:val="00994F90"/>
    <w:rsid w:val="00996250"/>
    <w:rsid w:val="00996ADD"/>
    <w:rsid w:val="009A0AA2"/>
    <w:rsid w:val="009A1B4B"/>
    <w:rsid w:val="009A21F5"/>
    <w:rsid w:val="009A23C2"/>
    <w:rsid w:val="009A4D04"/>
    <w:rsid w:val="009A5F42"/>
    <w:rsid w:val="009A7380"/>
    <w:rsid w:val="009B01EE"/>
    <w:rsid w:val="009B172D"/>
    <w:rsid w:val="009B212A"/>
    <w:rsid w:val="009B2834"/>
    <w:rsid w:val="009B2E0A"/>
    <w:rsid w:val="009B3626"/>
    <w:rsid w:val="009B38E7"/>
    <w:rsid w:val="009B4F77"/>
    <w:rsid w:val="009B52DE"/>
    <w:rsid w:val="009B55F3"/>
    <w:rsid w:val="009B6475"/>
    <w:rsid w:val="009B71F2"/>
    <w:rsid w:val="009C0EB0"/>
    <w:rsid w:val="009C16D4"/>
    <w:rsid w:val="009C1EA7"/>
    <w:rsid w:val="009C2D26"/>
    <w:rsid w:val="009C34C7"/>
    <w:rsid w:val="009C3B68"/>
    <w:rsid w:val="009C4733"/>
    <w:rsid w:val="009C5F8F"/>
    <w:rsid w:val="009C6334"/>
    <w:rsid w:val="009C63EB"/>
    <w:rsid w:val="009C6A50"/>
    <w:rsid w:val="009C76FB"/>
    <w:rsid w:val="009D1117"/>
    <w:rsid w:val="009D26FF"/>
    <w:rsid w:val="009D2926"/>
    <w:rsid w:val="009D2B3D"/>
    <w:rsid w:val="009D3F05"/>
    <w:rsid w:val="009D407F"/>
    <w:rsid w:val="009D53F8"/>
    <w:rsid w:val="009D5896"/>
    <w:rsid w:val="009D7B02"/>
    <w:rsid w:val="009D7C61"/>
    <w:rsid w:val="009D7DD9"/>
    <w:rsid w:val="009E1AE6"/>
    <w:rsid w:val="009E5B86"/>
    <w:rsid w:val="009F191A"/>
    <w:rsid w:val="009F2668"/>
    <w:rsid w:val="009F34E5"/>
    <w:rsid w:val="009F40C4"/>
    <w:rsid w:val="009F4566"/>
    <w:rsid w:val="009F73A1"/>
    <w:rsid w:val="009F7860"/>
    <w:rsid w:val="00A00FF0"/>
    <w:rsid w:val="00A01759"/>
    <w:rsid w:val="00A027DB"/>
    <w:rsid w:val="00A112E2"/>
    <w:rsid w:val="00A11EB8"/>
    <w:rsid w:val="00A11F2F"/>
    <w:rsid w:val="00A132D1"/>
    <w:rsid w:val="00A157B8"/>
    <w:rsid w:val="00A175DE"/>
    <w:rsid w:val="00A219C8"/>
    <w:rsid w:val="00A23EC6"/>
    <w:rsid w:val="00A23F55"/>
    <w:rsid w:val="00A252B8"/>
    <w:rsid w:val="00A2542D"/>
    <w:rsid w:val="00A274BF"/>
    <w:rsid w:val="00A27F54"/>
    <w:rsid w:val="00A312BA"/>
    <w:rsid w:val="00A330F0"/>
    <w:rsid w:val="00A3580C"/>
    <w:rsid w:val="00A35990"/>
    <w:rsid w:val="00A36A02"/>
    <w:rsid w:val="00A36D4C"/>
    <w:rsid w:val="00A374CE"/>
    <w:rsid w:val="00A43195"/>
    <w:rsid w:val="00A43D75"/>
    <w:rsid w:val="00A44555"/>
    <w:rsid w:val="00A47CC4"/>
    <w:rsid w:val="00A52696"/>
    <w:rsid w:val="00A52DF3"/>
    <w:rsid w:val="00A53D26"/>
    <w:rsid w:val="00A54FD0"/>
    <w:rsid w:val="00A57E34"/>
    <w:rsid w:val="00A60371"/>
    <w:rsid w:val="00A60FF2"/>
    <w:rsid w:val="00A6194E"/>
    <w:rsid w:val="00A62CF3"/>
    <w:rsid w:val="00A63741"/>
    <w:rsid w:val="00A66B56"/>
    <w:rsid w:val="00A70F22"/>
    <w:rsid w:val="00A71298"/>
    <w:rsid w:val="00A729BD"/>
    <w:rsid w:val="00A72F64"/>
    <w:rsid w:val="00A733A6"/>
    <w:rsid w:val="00A73BBF"/>
    <w:rsid w:val="00A73EB3"/>
    <w:rsid w:val="00A74563"/>
    <w:rsid w:val="00A745C7"/>
    <w:rsid w:val="00A74EF3"/>
    <w:rsid w:val="00A74FE6"/>
    <w:rsid w:val="00A779A0"/>
    <w:rsid w:val="00A802E7"/>
    <w:rsid w:val="00A80BA7"/>
    <w:rsid w:val="00A8277A"/>
    <w:rsid w:val="00A82A31"/>
    <w:rsid w:val="00A83375"/>
    <w:rsid w:val="00A84629"/>
    <w:rsid w:val="00A864E3"/>
    <w:rsid w:val="00A87287"/>
    <w:rsid w:val="00A87F10"/>
    <w:rsid w:val="00A91DC9"/>
    <w:rsid w:val="00A91FBF"/>
    <w:rsid w:val="00A927FD"/>
    <w:rsid w:val="00A92A22"/>
    <w:rsid w:val="00A956BE"/>
    <w:rsid w:val="00A958F7"/>
    <w:rsid w:val="00A97726"/>
    <w:rsid w:val="00AA5DA9"/>
    <w:rsid w:val="00AA647C"/>
    <w:rsid w:val="00AA6F88"/>
    <w:rsid w:val="00AB0AC1"/>
    <w:rsid w:val="00AB0C56"/>
    <w:rsid w:val="00AB18A7"/>
    <w:rsid w:val="00AB2670"/>
    <w:rsid w:val="00AB3B0A"/>
    <w:rsid w:val="00AB496F"/>
    <w:rsid w:val="00AB50A6"/>
    <w:rsid w:val="00AB6357"/>
    <w:rsid w:val="00AC2B09"/>
    <w:rsid w:val="00AC413C"/>
    <w:rsid w:val="00AC7DE6"/>
    <w:rsid w:val="00AD12D3"/>
    <w:rsid w:val="00AD1854"/>
    <w:rsid w:val="00AD1A2A"/>
    <w:rsid w:val="00AD1B34"/>
    <w:rsid w:val="00AD2DC3"/>
    <w:rsid w:val="00AD4BB2"/>
    <w:rsid w:val="00AD59BC"/>
    <w:rsid w:val="00AD6123"/>
    <w:rsid w:val="00AD6B2C"/>
    <w:rsid w:val="00AE0190"/>
    <w:rsid w:val="00AE1169"/>
    <w:rsid w:val="00AE244C"/>
    <w:rsid w:val="00AE2585"/>
    <w:rsid w:val="00AE2592"/>
    <w:rsid w:val="00AE2B05"/>
    <w:rsid w:val="00AE2FEA"/>
    <w:rsid w:val="00AE41B5"/>
    <w:rsid w:val="00AE5805"/>
    <w:rsid w:val="00AE7B43"/>
    <w:rsid w:val="00AE7DBF"/>
    <w:rsid w:val="00AF073F"/>
    <w:rsid w:val="00AF1727"/>
    <w:rsid w:val="00AF174F"/>
    <w:rsid w:val="00AF19F4"/>
    <w:rsid w:val="00AF44D3"/>
    <w:rsid w:val="00AF55CF"/>
    <w:rsid w:val="00AF5F6E"/>
    <w:rsid w:val="00AF64A8"/>
    <w:rsid w:val="00AF78C3"/>
    <w:rsid w:val="00B006E8"/>
    <w:rsid w:val="00B014EE"/>
    <w:rsid w:val="00B02A81"/>
    <w:rsid w:val="00B03AD1"/>
    <w:rsid w:val="00B03C46"/>
    <w:rsid w:val="00B063F2"/>
    <w:rsid w:val="00B06660"/>
    <w:rsid w:val="00B06AD7"/>
    <w:rsid w:val="00B10932"/>
    <w:rsid w:val="00B10E10"/>
    <w:rsid w:val="00B1115C"/>
    <w:rsid w:val="00B13FE7"/>
    <w:rsid w:val="00B16361"/>
    <w:rsid w:val="00B179C8"/>
    <w:rsid w:val="00B21672"/>
    <w:rsid w:val="00B2225E"/>
    <w:rsid w:val="00B26F43"/>
    <w:rsid w:val="00B27331"/>
    <w:rsid w:val="00B2797E"/>
    <w:rsid w:val="00B27F6F"/>
    <w:rsid w:val="00B3432F"/>
    <w:rsid w:val="00B36299"/>
    <w:rsid w:val="00B36F4A"/>
    <w:rsid w:val="00B417D6"/>
    <w:rsid w:val="00B41B71"/>
    <w:rsid w:val="00B45A91"/>
    <w:rsid w:val="00B45C3D"/>
    <w:rsid w:val="00B4638D"/>
    <w:rsid w:val="00B51860"/>
    <w:rsid w:val="00B52CE6"/>
    <w:rsid w:val="00B5439B"/>
    <w:rsid w:val="00B544CE"/>
    <w:rsid w:val="00B55F73"/>
    <w:rsid w:val="00B619EC"/>
    <w:rsid w:val="00B655C6"/>
    <w:rsid w:val="00B6752F"/>
    <w:rsid w:val="00B7000A"/>
    <w:rsid w:val="00B7283D"/>
    <w:rsid w:val="00B74512"/>
    <w:rsid w:val="00B745B0"/>
    <w:rsid w:val="00B74823"/>
    <w:rsid w:val="00B74A88"/>
    <w:rsid w:val="00B756CA"/>
    <w:rsid w:val="00B77301"/>
    <w:rsid w:val="00B77796"/>
    <w:rsid w:val="00B80320"/>
    <w:rsid w:val="00B8083B"/>
    <w:rsid w:val="00B8194A"/>
    <w:rsid w:val="00B85776"/>
    <w:rsid w:val="00B9112A"/>
    <w:rsid w:val="00B913EB"/>
    <w:rsid w:val="00B9271B"/>
    <w:rsid w:val="00B9307D"/>
    <w:rsid w:val="00B93F1D"/>
    <w:rsid w:val="00B96393"/>
    <w:rsid w:val="00B96525"/>
    <w:rsid w:val="00BA196D"/>
    <w:rsid w:val="00BA2B77"/>
    <w:rsid w:val="00BA5E75"/>
    <w:rsid w:val="00BA7CE5"/>
    <w:rsid w:val="00BB0281"/>
    <w:rsid w:val="00BB0B15"/>
    <w:rsid w:val="00BB1011"/>
    <w:rsid w:val="00BB328E"/>
    <w:rsid w:val="00BB3D01"/>
    <w:rsid w:val="00BB6882"/>
    <w:rsid w:val="00BB78F6"/>
    <w:rsid w:val="00BC1037"/>
    <w:rsid w:val="00BC1CA8"/>
    <w:rsid w:val="00BC1CFD"/>
    <w:rsid w:val="00BC3275"/>
    <w:rsid w:val="00BC3B5C"/>
    <w:rsid w:val="00BC435E"/>
    <w:rsid w:val="00BC6068"/>
    <w:rsid w:val="00BC69C5"/>
    <w:rsid w:val="00BC6A89"/>
    <w:rsid w:val="00BC7379"/>
    <w:rsid w:val="00BC7BB5"/>
    <w:rsid w:val="00BD17DA"/>
    <w:rsid w:val="00BD1DD6"/>
    <w:rsid w:val="00BD34B3"/>
    <w:rsid w:val="00BD6099"/>
    <w:rsid w:val="00BD678D"/>
    <w:rsid w:val="00BE0239"/>
    <w:rsid w:val="00BE10D3"/>
    <w:rsid w:val="00BE4705"/>
    <w:rsid w:val="00BE4B97"/>
    <w:rsid w:val="00BE676D"/>
    <w:rsid w:val="00BE74B5"/>
    <w:rsid w:val="00BF2C27"/>
    <w:rsid w:val="00BF50CC"/>
    <w:rsid w:val="00BF55F2"/>
    <w:rsid w:val="00BF6059"/>
    <w:rsid w:val="00BF62A9"/>
    <w:rsid w:val="00BF7F71"/>
    <w:rsid w:val="00C002FC"/>
    <w:rsid w:val="00C015EC"/>
    <w:rsid w:val="00C02A22"/>
    <w:rsid w:val="00C03D15"/>
    <w:rsid w:val="00C048EC"/>
    <w:rsid w:val="00C0492D"/>
    <w:rsid w:val="00C0498B"/>
    <w:rsid w:val="00C0642F"/>
    <w:rsid w:val="00C07E67"/>
    <w:rsid w:val="00C103AD"/>
    <w:rsid w:val="00C11DA6"/>
    <w:rsid w:val="00C136FA"/>
    <w:rsid w:val="00C13BF2"/>
    <w:rsid w:val="00C14502"/>
    <w:rsid w:val="00C14700"/>
    <w:rsid w:val="00C2024E"/>
    <w:rsid w:val="00C2206E"/>
    <w:rsid w:val="00C22CCE"/>
    <w:rsid w:val="00C22F69"/>
    <w:rsid w:val="00C2311E"/>
    <w:rsid w:val="00C2531C"/>
    <w:rsid w:val="00C255C2"/>
    <w:rsid w:val="00C25ECC"/>
    <w:rsid w:val="00C27068"/>
    <w:rsid w:val="00C27B75"/>
    <w:rsid w:val="00C30221"/>
    <w:rsid w:val="00C31D88"/>
    <w:rsid w:val="00C31EED"/>
    <w:rsid w:val="00C33611"/>
    <w:rsid w:val="00C34A1E"/>
    <w:rsid w:val="00C37716"/>
    <w:rsid w:val="00C37AD2"/>
    <w:rsid w:val="00C41E8B"/>
    <w:rsid w:val="00C43C97"/>
    <w:rsid w:val="00C44026"/>
    <w:rsid w:val="00C44EBA"/>
    <w:rsid w:val="00C4581B"/>
    <w:rsid w:val="00C45AB0"/>
    <w:rsid w:val="00C45AD9"/>
    <w:rsid w:val="00C45BD7"/>
    <w:rsid w:val="00C4660D"/>
    <w:rsid w:val="00C4727C"/>
    <w:rsid w:val="00C50DDD"/>
    <w:rsid w:val="00C5140C"/>
    <w:rsid w:val="00C51763"/>
    <w:rsid w:val="00C522A2"/>
    <w:rsid w:val="00C528F4"/>
    <w:rsid w:val="00C56408"/>
    <w:rsid w:val="00C56634"/>
    <w:rsid w:val="00C57760"/>
    <w:rsid w:val="00C6187D"/>
    <w:rsid w:val="00C61E27"/>
    <w:rsid w:val="00C62E5A"/>
    <w:rsid w:val="00C62E96"/>
    <w:rsid w:val="00C632FA"/>
    <w:rsid w:val="00C64969"/>
    <w:rsid w:val="00C71B82"/>
    <w:rsid w:val="00C737D6"/>
    <w:rsid w:val="00C73BD3"/>
    <w:rsid w:val="00C74622"/>
    <w:rsid w:val="00C770CB"/>
    <w:rsid w:val="00C773CA"/>
    <w:rsid w:val="00C7742E"/>
    <w:rsid w:val="00C8161C"/>
    <w:rsid w:val="00C82429"/>
    <w:rsid w:val="00C8250D"/>
    <w:rsid w:val="00C82998"/>
    <w:rsid w:val="00C83100"/>
    <w:rsid w:val="00C85E9A"/>
    <w:rsid w:val="00C8626F"/>
    <w:rsid w:val="00C8643D"/>
    <w:rsid w:val="00C86609"/>
    <w:rsid w:val="00C86F1E"/>
    <w:rsid w:val="00C8736E"/>
    <w:rsid w:val="00C909E0"/>
    <w:rsid w:val="00C93DD3"/>
    <w:rsid w:val="00C94FC4"/>
    <w:rsid w:val="00C95D2D"/>
    <w:rsid w:val="00C96361"/>
    <w:rsid w:val="00C977CA"/>
    <w:rsid w:val="00CA1BED"/>
    <w:rsid w:val="00CA51B1"/>
    <w:rsid w:val="00CA5D0C"/>
    <w:rsid w:val="00CB0577"/>
    <w:rsid w:val="00CB0702"/>
    <w:rsid w:val="00CB25EE"/>
    <w:rsid w:val="00CB2948"/>
    <w:rsid w:val="00CB2A72"/>
    <w:rsid w:val="00CB52C4"/>
    <w:rsid w:val="00CB5FB5"/>
    <w:rsid w:val="00CB71AA"/>
    <w:rsid w:val="00CC0695"/>
    <w:rsid w:val="00CC16D1"/>
    <w:rsid w:val="00CC1B5E"/>
    <w:rsid w:val="00CC1E10"/>
    <w:rsid w:val="00CC23DD"/>
    <w:rsid w:val="00CC2F35"/>
    <w:rsid w:val="00CC3D29"/>
    <w:rsid w:val="00CC4015"/>
    <w:rsid w:val="00CC4E7B"/>
    <w:rsid w:val="00CC4FA0"/>
    <w:rsid w:val="00CC5D87"/>
    <w:rsid w:val="00CC67A5"/>
    <w:rsid w:val="00CD0ECA"/>
    <w:rsid w:val="00CD1229"/>
    <w:rsid w:val="00CD1A3D"/>
    <w:rsid w:val="00CD25EB"/>
    <w:rsid w:val="00CD3141"/>
    <w:rsid w:val="00CD3625"/>
    <w:rsid w:val="00CD3FAB"/>
    <w:rsid w:val="00CD4384"/>
    <w:rsid w:val="00CD5562"/>
    <w:rsid w:val="00CD6082"/>
    <w:rsid w:val="00CD6118"/>
    <w:rsid w:val="00CE3552"/>
    <w:rsid w:val="00CE660C"/>
    <w:rsid w:val="00CE6841"/>
    <w:rsid w:val="00CE7797"/>
    <w:rsid w:val="00CE78A2"/>
    <w:rsid w:val="00CF0FCA"/>
    <w:rsid w:val="00CF182D"/>
    <w:rsid w:val="00CF2A7B"/>
    <w:rsid w:val="00CF3A94"/>
    <w:rsid w:val="00CF4F72"/>
    <w:rsid w:val="00CF55FF"/>
    <w:rsid w:val="00CF5779"/>
    <w:rsid w:val="00CF597C"/>
    <w:rsid w:val="00CF59E4"/>
    <w:rsid w:val="00CF5C31"/>
    <w:rsid w:val="00CF6A53"/>
    <w:rsid w:val="00CF6FA9"/>
    <w:rsid w:val="00CF7155"/>
    <w:rsid w:val="00CF7AA6"/>
    <w:rsid w:val="00D00175"/>
    <w:rsid w:val="00D00FED"/>
    <w:rsid w:val="00D010C6"/>
    <w:rsid w:val="00D02A35"/>
    <w:rsid w:val="00D04C10"/>
    <w:rsid w:val="00D068ED"/>
    <w:rsid w:val="00D069B2"/>
    <w:rsid w:val="00D1000D"/>
    <w:rsid w:val="00D10529"/>
    <w:rsid w:val="00D13F7A"/>
    <w:rsid w:val="00D15476"/>
    <w:rsid w:val="00D1549D"/>
    <w:rsid w:val="00D17A91"/>
    <w:rsid w:val="00D211D1"/>
    <w:rsid w:val="00D21798"/>
    <w:rsid w:val="00D24205"/>
    <w:rsid w:val="00D26133"/>
    <w:rsid w:val="00D272DC"/>
    <w:rsid w:val="00D27D6A"/>
    <w:rsid w:val="00D3019E"/>
    <w:rsid w:val="00D30787"/>
    <w:rsid w:val="00D32658"/>
    <w:rsid w:val="00D32A02"/>
    <w:rsid w:val="00D3361D"/>
    <w:rsid w:val="00D336EF"/>
    <w:rsid w:val="00D34C54"/>
    <w:rsid w:val="00D363DD"/>
    <w:rsid w:val="00D3756E"/>
    <w:rsid w:val="00D375A0"/>
    <w:rsid w:val="00D37AEE"/>
    <w:rsid w:val="00D37E4C"/>
    <w:rsid w:val="00D41DA9"/>
    <w:rsid w:val="00D42375"/>
    <w:rsid w:val="00D44B88"/>
    <w:rsid w:val="00D461DC"/>
    <w:rsid w:val="00D46EC7"/>
    <w:rsid w:val="00D50337"/>
    <w:rsid w:val="00D51939"/>
    <w:rsid w:val="00D520A2"/>
    <w:rsid w:val="00D52BEE"/>
    <w:rsid w:val="00D55DBF"/>
    <w:rsid w:val="00D55F85"/>
    <w:rsid w:val="00D5631C"/>
    <w:rsid w:val="00D568FC"/>
    <w:rsid w:val="00D56D18"/>
    <w:rsid w:val="00D574EA"/>
    <w:rsid w:val="00D57F75"/>
    <w:rsid w:val="00D60354"/>
    <w:rsid w:val="00D6301B"/>
    <w:rsid w:val="00D64A35"/>
    <w:rsid w:val="00D66A67"/>
    <w:rsid w:val="00D66ECD"/>
    <w:rsid w:val="00D67042"/>
    <w:rsid w:val="00D70091"/>
    <w:rsid w:val="00D713B2"/>
    <w:rsid w:val="00D71BAB"/>
    <w:rsid w:val="00D729E3"/>
    <w:rsid w:val="00D72CD4"/>
    <w:rsid w:val="00D72F5B"/>
    <w:rsid w:val="00D749C1"/>
    <w:rsid w:val="00D76C5C"/>
    <w:rsid w:val="00D76FFE"/>
    <w:rsid w:val="00D775F1"/>
    <w:rsid w:val="00D776F3"/>
    <w:rsid w:val="00D77E20"/>
    <w:rsid w:val="00D83262"/>
    <w:rsid w:val="00D84E63"/>
    <w:rsid w:val="00D87530"/>
    <w:rsid w:val="00D9174E"/>
    <w:rsid w:val="00D921DE"/>
    <w:rsid w:val="00D924E3"/>
    <w:rsid w:val="00D93923"/>
    <w:rsid w:val="00D93C37"/>
    <w:rsid w:val="00D93FBB"/>
    <w:rsid w:val="00D9440D"/>
    <w:rsid w:val="00D957E0"/>
    <w:rsid w:val="00D96ABA"/>
    <w:rsid w:val="00D97950"/>
    <w:rsid w:val="00DA2C0E"/>
    <w:rsid w:val="00DA5543"/>
    <w:rsid w:val="00DA6A55"/>
    <w:rsid w:val="00DA77D9"/>
    <w:rsid w:val="00DA7DF9"/>
    <w:rsid w:val="00DB0B07"/>
    <w:rsid w:val="00DB27AE"/>
    <w:rsid w:val="00DB2FAE"/>
    <w:rsid w:val="00DB4357"/>
    <w:rsid w:val="00DB51A6"/>
    <w:rsid w:val="00DB66C1"/>
    <w:rsid w:val="00DC0218"/>
    <w:rsid w:val="00DC2573"/>
    <w:rsid w:val="00DC537E"/>
    <w:rsid w:val="00DC5504"/>
    <w:rsid w:val="00DC5729"/>
    <w:rsid w:val="00DC581C"/>
    <w:rsid w:val="00DC651C"/>
    <w:rsid w:val="00DC73AF"/>
    <w:rsid w:val="00DD0CED"/>
    <w:rsid w:val="00DD0FE7"/>
    <w:rsid w:val="00DD18C4"/>
    <w:rsid w:val="00DD1F83"/>
    <w:rsid w:val="00DD356C"/>
    <w:rsid w:val="00DD3AC8"/>
    <w:rsid w:val="00DD3B16"/>
    <w:rsid w:val="00DD57C4"/>
    <w:rsid w:val="00DD6FCC"/>
    <w:rsid w:val="00DD76D2"/>
    <w:rsid w:val="00DE01E4"/>
    <w:rsid w:val="00DE0CDE"/>
    <w:rsid w:val="00DE3A9D"/>
    <w:rsid w:val="00DE4708"/>
    <w:rsid w:val="00DE536E"/>
    <w:rsid w:val="00DE6E36"/>
    <w:rsid w:val="00DF015D"/>
    <w:rsid w:val="00DF25F7"/>
    <w:rsid w:val="00DF4162"/>
    <w:rsid w:val="00DF4A2E"/>
    <w:rsid w:val="00DF4D3C"/>
    <w:rsid w:val="00DF55A8"/>
    <w:rsid w:val="00DF61E8"/>
    <w:rsid w:val="00E00583"/>
    <w:rsid w:val="00E0065C"/>
    <w:rsid w:val="00E023E5"/>
    <w:rsid w:val="00E03095"/>
    <w:rsid w:val="00E033C2"/>
    <w:rsid w:val="00E041DE"/>
    <w:rsid w:val="00E05542"/>
    <w:rsid w:val="00E05E8B"/>
    <w:rsid w:val="00E11B99"/>
    <w:rsid w:val="00E125A9"/>
    <w:rsid w:val="00E132BF"/>
    <w:rsid w:val="00E14343"/>
    <w:rsid w:val="00E15C93"/>
    <w:rsid w:val="00E203BC"/>
    <w:rsid w:val="00E23DF8"/>
    <w:rsid w:val="00E25B3D"/>
    <w:rsid w:val="00E3037E"/>
    <w:rsid w:val="00E3477A"/>
    <w:rsid w:val="00E360CB"/>
    <w:rsid w:val="00E37FB6"/>
    <w:rsid w:val="00E41A98"/>
    <w:rsid w:val="00E42251"/>
    <w:rsid w:val="00E43A59"/>
    <w:rsid w:val="00E443B5"/>
    <w:rsid w:val="00E4506D"/>
    <w:rsid w:val="00E457EB"/>
    <w:rsid w:val="00E4632E"/>
    <w:rsid w:val="00E50578"/>
    <w:rsid w:val="00E51021"/>
    <w:rsid w:val="00E54BD7"/>
    <w:rsid w:val="00E56B47"/>
    <w:rsid w:val="00E579E8"/>
    <w:rsid w:val="00E57A05"/>
    <w:rsid w:val="00E61B64"/>
    <w:rsid w:val="00E6234E"/>
    <w:rsid w:val="00E63BCA"/>
    <w:rsid w:val="00E64D94"/>
    <w:rsid w:val="00E65D04"/>
    <w:rsid w:val="00E66333"/>
    <w:rsid w:val="00E66892"/>
    <w:rsid w:val="00E66FC9"/>
    <w:rsid w:val="00E67B4E"/>
    <w:rsid w:val="00E70EBF"/>
    <w:rsid w:val="00E734CC"/>
    <w:rsid w:val="00E73E99"/>
    <w:rsid w:val="00E74E95"/>
    <w:rsid w:val="00E754FE"/>
    <w:rsid w:val="00E7625C"/>
    <w:rsid w:val="00E777D7"/>
    <w:rsid w:val="00E8099D"/>
    <w:rsid w:val="00E8171C"/>
    <w:rsid w:val="00E82DB7"/>
    <w:rsid w:val="00E83D16"/>
    <w:rsid w:val="00E844D9"/>
    <w:rsid w:val="00E85D45"/>
    <w:rsid w:val="00E9029D"/>
    <w:rsid w:val="00E907AE"/>
    <w:rsid w:val="00E90ECB"/>
    <w:rsid w:val="00E924E9"/>
    <w:rsid w:val="00E932F1"/>
    <w:rsid w:val="00E949C1"/>
    <w:rsid w:val="00E96EA4"/>
    <w:rsid w:val="00EA0E12"/>
    <w:rsid w:val="00EA10DF"/>
    <w:rsid w:val="00EA2C2F"/>
    <w:rsid w:val="00EA30DE"/>
    <w:rsid w:val="00EA3275"/>
    <w:rsid w:val="00EA34E0"/>
    <w:rsid w:val="00EA61DE"/>
    <w:rsid w:val="00EA6EE3"/>
    <w:rsid w:val="00EB1730"/>
    <w:rsid w:val="00EB44E9"/>
    <w:rsid w:val="00EB4EAB"/>
    <w:rsid w:val="00EB6908"/>
    <w:rsid w:val="00EB6970"/>
    <w:rsid w:val="00EB71AD"/>
    <w:rsid w:val="00EC0DC9"/>
    <w:rsid w:val="00EC0DF7"/>
    <w:rsid w:val="00EC12FD"/>
    <w:rsid w:val="00EC2DC0"/>
    <w:rsid w:val="00EC35D0"/>
    <w:rsid w:val="00EC40A6"/>
    <w:rsid w:val="00EC479A"/>
    <w:rsid w:val="00EC51D3"/>
    <w:rsid w:val="00EC532C"/>
    <w:rsid w:val="00EC60DE"/>
    <w:rsid w:val="00ED0C02"/>
    <w:rsid w:val="00ED0DBC"/>
    <w:rsid w:val="00ED1EDB"/>
    <w:rsid w:val="00ED2BFF"/>
    <w:rsid w:val="00ED6C8A"/>
    <w:rsid w:val="00EE2D10"/>
    <w:rsid w:val="00EE3CD6"/>
    <w:rsid w:val="00EE57FB"/>
    <w:rsid w:val="00EE5F56"/>
    <w:rsid w:val="00EE6B3E"/>
    <w:rsid w:val="00EF08C7"/>
    <w:rsid w:val="00EF1FB2"/>
    <w:rsid w:val="00EF247A"/>
    <w:rsid w:val="00EF26F4"/>
    <w:rsid w:val="00EF3B63"/>
    <w:rsid w:val="00EF3B6A"/>
    <w:rsid w:val="00EF753E"/>
    <w:rsid w:val="00F01E00"/>
    <w:rsid w:val="00F02272"/>
    <w:rsid w:val="00F023D5"/>
    <w:rsid w:val="00F02CDD"/>
    <w:rsid w:val="00F03CC4"/>
    <w:rsid w:val="00F03F16"/>
    <w:rsid w:val="00F04AD0"/>
    <w:rsid w:val="00F050AE"/>
    <w:rsid w:val="00F05C21"/>
    <w:rsid w:val="00F06858"/>
    <w:rsid w:val="00F0761C"/>
    <w:rsid w:val="00F07E4F"/>
    <w:rsid w:val="00F07FAA"/>
    <w:rsid w:val="00F11DD5"/>
    <w:rsid w:val="00F12FCB"/>
    <w:rsid w:val="00F13F0B"/>
    <w:rsid w:val="00F17330"/>
    <w:rsid w:val="00F1796D"/>
    <w:rsid w:val="00F20026"/>
    <w:rsid w:val="00F20CFA"/>
    <w:rsid w:val="00F217A6"/>
    <w:rsid w:val="00F23BF0"/>
    <w:rsid w:val="00F23FA5"/>
    <w:rsid w:val="00F2787B"/>
    <w:rsid w:val="00F30115"/>
    <w:rsid w:val="00F30868"/>
    <w:rsid w:val="00F3130E"/>
    <w:rsid w:val="00F31565"/>
    <w:rsid w:val="00F31C93"/>
    <w:rsid w:val="00F31D74"/>
    <w:rsid w:val="00F35AC6"/>
    <w:rsid w:val="00F35CF6"/>
    <w:rsid w:val="00F3659E"/>
    <w:rsid w:val="00F422E9"/>
    <w:rsid w:val="00F425DF"/>
    <w:rsid w:val="00F437BF"/>
    <w:rsid w:val="00F44777"/>
    <w:rsid w:val="00F4508F"/>
    <w:rsid w:val="00F45ABC"/>
    <w:rsid w:val="00F4621A"/>
    <w:rsid w:val="00F46941"/>
    <w:rsid w:val="00F46C83"/>
    <w:rsid w:val="00F4747B"/>
    <w:rsid w:val="00F50A42"/>
    <w:rsid w:val="00F50F29"/>
    <w:rsid w:val="00F51CEA"/>
    <w:rsid w:val="00F5257A"/>
    <w:rsid w:val="00F52CCC"/>
    <w:rsid w:val="00F54DE8"/>
    <w:rsid w:val="00F55014"/>
    <w:rsid w:val="00F56519"/>
    <w:rsid w:val="00F577FC"/>
    <w:rsid w:val="00F57BF6"/>
    <w:rsid w:val="00F60F2B"/>
    <w:rsid w:val="00F62131"/>
    <w:rsid w:val="00F64360"/>
    <w:rsid w:val="00F71025"/>
    <w:rsid w:val="00F71343"/>
    <w:rsid w:val="00F73A0B"/>
    <w:rsid w:val="00F76943"/>
    <w:rsid w:val="00F76AE1"/>
    <w:rsid w:val="00F77C16"/>
    <w:rsid w:val="00F810A3"/>
    <w:rsid w:val="00F81B2A"/>
    <w:rsid w:val="00F81FF1"/>
    <w:rsid w:val="00F83EA4"/>
    <w:rsid w:val="00F84F69"/>
    <w:rsid w:val="00F851D4"/>
    <w:rsid w:val="00F87979"/>
    <w:rsid w:val="00F9168B"/>
    <w:rsid w:val="00F91E0A"/>
    <w:rsid w:val="00F942F3"/>
    <w:rsid w:val="00F94C55"/>
    <w:rsid w:val="00F961D8"/>
    <w:rsid w:val="00FA01CD"/>
    <w:rsid w:val="00FA1127"/>
    <w:rsid w:val="00FA1238"/>
    <w:rsid w:val="00FA362A"/>
    <w:rsid w:val="00FA3E95"/>
    <w:rsid w:val="00FA5567"/>
    <w:rsid w:val="00FA55D6"/>
    <w:rsid w:val="00FA56DA"/>
    <w:rsid w:val="00FA59B6"/>
    <w:rsid w:val="00FA6A3E"/>
    <w:rsid w:val="00FA7441"/>
    <w:rsid w:val="00FB07D7"/>
    <w:rsid w:val="00FB1CE8"/>
    <w:rsid w:val="00FB206E"/>
    <w:rsid w:val="00FB2EFD"/>
    <w:rsid w:val="00FB5C04"/>
    <w:rsid w:val="00FB7FB9"/>
    <w:rsid w:val="00FC184D"/>
    <w:rsid w:val="00FC1D29"/>
    <w:rsid w:val="00FC2068"/>
    <w:rsid w:val="00FC50D9"/>
    <w:rsid w:val="00FD0083"/>
    <w:rsid w:val="00FD0420"/>
    <w:rsid w:val="00FD1419"/>
    <w:rsid w:val="00FD315B"/>
    <w:rsid w:val="00FD4799"/>
    <w:rsid w:val="00FD4A7C"/>
    <w:rsid w:val="00FD5984"/>
    <w:rsid w:val="00FD6580"/>
    <w:rsid w:val="00FD69F5"/>
    <w:rsid w:val="00FE0FBD"/>
    <w:rsid w:val="00FE2330"/>
    <w:rsid w:val="00FE383A"/>
    <w:rsid w:val="00FE5667"/>
    <w:rsid w:val="00FE57E8"/>
    <w:rsid w:val="00FE737B"/>
    <w:rsid w:val="00FF0B0B"/>
    <w:rsid w:val="00FF0CDB"/>
    <w:rsid w:val="00FF138A"/>
    <w:rsid w:val="00FF29B8"/>
    <w:rsid w:val="00FF33EF"/>
    <w:rsid w:val="00FF3875"/>
    <w:rsid w:val="00FF4259"/>
    <w:rsid w:val="00FF4AE0"/>
    <w:rsid w:val="00FF51DB"/>
    <w:rsid w:val="00FF5CD2"/>
    <w:rsid w:val="00FF6858"/>
    <w:rsid w:val="00FF6F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B6"/>
    <w:rPr>
      <w:rFonts w:ascii="Calibri" w:eastAsia="Times New Roman" w:hAnsi="Calibri" w:cs="Times New Roman"/>
    </w:rPr>
  </w:style>
  <w:style w:type="paragraph" w:styleId="Heading1">
    <w:name w:val="heading 1"/>
    <w:basedOn w:val="Normal"/>
    <w:next w:val="Normal"/>
    <w:link w:val="Heading1Char"/>
    <w:uiPriority w:val="9"/>
    <w:qFormat/>
    <w:rsid w:val="001154F9"/>
    <w:pPr>
      <w:keepNext/>
      <w:spacing w:after="0" w:line="240" w:lineRule="auto"/>
      <w:jc w:val="center"/>
      <w:outlineLvl w:val="0"/>
    </w:pPr>
    <w:rPr>
      <w:rFonts w:ascii="Verdana" w:hAnsi="Verdana"/>
      <w:b/>
      <w:bCs/>
      <w:kern w:val="32"/>
      <w:sz w:val="20"/>
      <w:szCs w:val="32"/>
      <w:lang w:val="es-ES_tradnl"/>
    </w:rPr>
  </w:style>
  <w:style w:type="paragraph" w:styleId="Heading2">
    <w:name w:val="heading 2"/>
    <w:basedOn w:val="Normal"/>
    <w:next w:val="Normal"/>
    <w:link w:val="Heading2Char"/>
    <w:uiPriority w:val="9"/>
    <w:unhideWhenUsed/>
    <w:qFormat/>
    <w:rsid w:val="001154F9"/>
    <w:pPr>
      <w:keepNext/>
      <w:keepLines/>
      <w:numPr>
        <w:numId w:val="1"/>
      </w:numPr>
      <w:spacing w:after="0"/>
      <w:jc w:val="center"/>
      <w:outlineLvl w:val="1"/>
    </w:pPr>
    <w:rPr>
      <w:rFonts w:ascii="Verdana" w:hAnsi="Verdana"/>
      <w:b/>
      <w:bCs/>
      <w:sz w:val="20"/>
      <w:szCs w:val="26"/>
    </w:rPr>
  </w:style>
  <w:style w:type="paragraph" w:styleId="Heading3">
    <w:name w:val="heading 3"/>
    <w:basedOn w:val="Normal"/>
    <w:next w:val="Normal"/>
    <w:link w:val="Heading3Char"/>
    <w:uiPriority w:val="9"/>
    <w:unhideWhenUsed/>
    <w:qFormat/>
    <w:rsid w:val="001154F9"/>
    <w:pPr>
      <w:keepNext/>
      <w:keepLines/>
      <w:spacing w:before="200" w:after="0"/>
      <w:outlineLvl w:val="2"/>
    </w:pPr>
    <w:rPr>
      <w:rFonts w:ascii="Verdana" w:hAnsi="Verdana"/>
      <w:b/>
      <w:bCs/>
      <w:sz w:val="20"/>
      <w:szCs w:val="20"/>
    </w:rPr>
  </w:style>
  <w:style w:type="paragraph" w:styleId="Heading4">
    <w:name w:val="heading 4"/>
    <w:basedOn w:val="Normal"/>
    <w:next w:val="Normal"/>
    <w:link w:val="Heading4Char"/>
    <w:uiPriority w:val="9"/>
    <w:unhideWhenUsed/>
    <w:qFormat/>
    <w:rsid w:val="00502AB6"/>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unhideWhenUsed/>
    <w:qFormat/>
    <w:rsid w:val="00502AB6"/>
    <w:pPr>
      <w:spacing w:before="240" w:after="60"/>
      <w:outlineLvl w:val="4"/>
    </w:pPr>
    <w:rPr>
      <w:b/>
      <w:bCs/>
      <w:i/>
      <w:iCs/>
      <w:sz w:val="26"/>
      <w:szCs w:val="26"/>
    </w:rPr>
  </w:style>
  <w:style w:type="paragraph" w:styleId="Heading6">
    <w:name w:val="heading 6"/>
    <w:basedOn w:val="Heading5"/>
    <w:next w:val="Normal"/>
    <w:link w:val="Heading6Char"/>
    <w:uiPriority w:val="9"/>
    <w:unhideWhenUsed/>
    <w:qFormat/>
    <w:rsid w:val="00502AB6"/>
    <w:pPr>
      <w:numPr>
        <w:ilvl w:val="4"/>
        <w:numId w:val="2"/>
      </w:numPr>
      <w:spacing w:before="0" w:after="0" w:line="240" w:lineRule="auto"/>
      <w:jc w:val="both"/>
      <w:outlineLvl w:val="5"/>
    </w:pPr>
    <w:rPr>
      <w:rFonts w:ascii="Verdana" w:hAnsi="Verdana"/>
      <w:b w:val="0"/>
      <w:bCs w:val="0"/>
      <w:i w:val="0"/>
      <w:iCs w:val="0"/>
      <w:spacing w:val="-2"/>
      <w:sz w:val="20"/>
      <w:szCs w:val="20"/>
      <w:lang w:val="es-ES_tradnl"/>
    </w:rPr>
  </w:style>
  <w:style w:type="paragraph" w:styleId="Heading7">
    <w:name w:val="heading 7"/>
    <w:basedOn w:val="Normal"/>
    <w:next w:val="Normal"/>
    <w:link w:val="Heading7Char"/>
    <w:uiPriority w:val="9"/>
    <w:semiHidden/>
    <w:unhideWhenUsed/>
    <w:qFormat/>
    <w:rsid w:val="00502AB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4F9"/>
    <w:rPr>
      <w:rFonts w:ascii="Verdana" w:eastAsia="Times New Roman" w:hAnsi="Verdana" w:cs="Times New Roman"/>
      <w:b/>
      <w:bCs/>
      <w:kern w:val="32"/>
      <w:sz w:val="20"/>
      <w:szCs w:val="32"/>
      <w:lang w:val="es-ES_tradnl"/>
    </w:rPr>
  </w:style>
  <w:style w:type="character" w:customStyle="1" w:styleId="Heading2Char">
    <w:name w:val="Heading 2 Char"/>
    <w:basedOn w:val="DefaultParagraphFont"/>
    <w:link w:val="Heading2"/>
    <w:uiPriority w:val="9"/>
    <w:rsid w:val="001154F9"/>
    <w:rPr>
      <w:rFonts w:ascii="Verdana" w:eastAsia="Times New Roman" w:hAnsi="Verdana" w:cs="Times New Roman"/>
      <w:b/>
      <w:bCs/>
      <w:sz w:val="20"/>
      <w:szCs w:val="26"/>
    </w:rPr>
  </w:style>
  <w:style w:type="character" w:customStyle="1" w:styleId="Heading3Char">
    <w:name w:val="Heading 3 Char"/>
    <w:basedOn w:val="DefaultParagraphFont"/>
    <w:link w:val="Heading3"/>
    <w:uiPriority w:val="9"/>
    <w:rsid w:val="001154F9"/>
    <w:rPr>
      <w:rFonts w:ascii="Verdana" w:eastAsia="Times New Roman" w:hAnsi="Verdana" w:cs="Times New Roman"/>
      <w:b/>
      <w:bCs/>
      <w:sz w:val="20"/>
      <w:szCs w:val="20"/>
    </w:rPr>
  </w:style>
  <w:style w:type="character" w:customStyle="1" w:styleId="Heading4Char">
    <w:name w:val="Heading 4 Char"/>
    <w:basedOn w:val="DefaultParagraphFont"/>
    <w:link w:val="Heading4"/>
    <w:uiPriority w:val="9"/>
    <w:rsid w:val="00502AB6"/>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rsid w:val="00502AB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02AB6"/>
    <w:rPr>
      <w:rFonts w:ascii="Verdana" w:eastAsia="Times New Roman" w:hAnsi="Verdana" w:cs="Times New Roman"/>
      <w:spacing w:val="-2"/>
      <w:sz w:val="20"/>
      <w:szCs w:val="20"/>
      <w:lang w:val="es-ES_tradnl"/>
    </w:rPr>
  </w:style>
  <w:style w:type="character" w:customStyle="1" w:styleId="Heading7Char">
    <w:name w:val="Heading 7 Char"/>
    <w:basedOn w:val="DefaultParagraphFont"/>
    <w:link w:val="Heading7"/>
    <w:uiPriority w:val="9"/>
    <w:semiHidden/>
    <w:rsid w:val="00502AB6"/>
    <w:rPr>
      <w:rFonts w:asciiTheme="majorHAnsi" w:eastAsiaTheme="majorEastAsia" w:hAnsiTheme="majorHAnsi" w:cstheme="majorBidi"/>
      <w:i/>
      <w:iCs/>
      <w:color w:val="404040" w:themeColor="text1" w:themeTint="BF"/>
    </w:rPr>
  </w:style>
  <w:style w:type="character" w:styleId="Hyperlink">
    <w:name w:val="Hyperlink"/>
    <w:aliases w:val="Heading 3 caso"/>
    <w:uiPriority w:val="99"/>
    <w:unhideWhenUsed/>
    <w:rsid w:val="00502AB6"/>
    <w:rPr>
      <w:color w:val="0000FF"/>
      <w:u w:val="single"/>
    </w:rPr>
  </w:style>
  <w:style w:type="character" w:styleId="FollowedHyperlink">
    <w:name w:val="FollowedHyperlink"/>
    <w:uiPriority w:val="99"/>
    <w:semiHidden/>
    <w:unhideWhenUsed/>
    <w:rsid w:val="00502AB6"/>
    <w:rPr>
      <w:color w:val="800080"/>
      <w:u w:val="single"/>
    </w:rPr>
  </w:style>
  <w:style w:type="paragraph" w:styleId="NormalWeb">
    <w:name w:val="Normal (Web)"/>
    <w:aliases w:val="Normal (Web) Char1,Normal (Web) Char Char,Normal (Web) Char1 Char,Normal (Web) Char Char Char"/>
    <w:basedOn w:val="Heading1"/>
    <w:next w:val="Normal"/>
    <w:autoRedefine/>
    <w:uiPriority w:val="99"/>
    <w:unhideWhenUsed/>
    <w:qFormat/>
    <w:rsid w:val="00400B40"/>
    <w:pPr>
      <w:keepLines/>
      <w:tabs>
        <w:tab w:val="left" w:pos="851"/>
      </w:tabs>
      <w:snapToGrid w:val="0"/>
      <w:spacing w:after="120"/>
      <w:contextualSpacing/>
      <w:jc w:val="both"/>
      <w:outlineLvl w:val="9"/>
    </w:pPr>
    <w:rPr>
      <w:rFonts w:cs="Calibri"/>
      <w:b w:val="0"/>
      <w:kern w:val="0"/>
      <w:sz w:val="16"/>
      <w:szCs w:val="16"/>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C Char"/>
    <w:basedOn w:val="DefaultParagraphFont"/>
    <w:link w:val="FootnoteText"/>
    <w:locked/>
    <w:rsid w:val="00502AB6"/>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FA Fu?notente,Ca,C,ft"/>
    <w:basedOn w:val="Normal"/>
    <w:link w:val="FootnoteTextChar"/>
    <w:unhideWhenUsed/>
    <w:qFormat/>
    <w:rsid w:val="00502AB6"/>
    <w:pPr>
      <w:spacing w:after="0" w:line="240" w:lineRule="auto"/>
    </w:pPr>
    <w:rPr>
      <w:rFonts w:asciiTheme="minorHAnsi" w:eastAsiaTheme="minorHAnsi" w:hAnsiTheme="minorHAnsi" w:cstheme="minorBidi"/>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C Car1"/>
    <w:basedOn w:val="DefaultParagraphFont"/>
    <w:rsid w:val="00502AB6"/>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locked/>
    <w:rsid w:val="00502AB6"/>
    <w:rPr>
      <w:rFonts w:ascii="Calibri" w:eastAsia="Calibri" w:hAnsi="Calibri"/>
    </w:rPr>
  </w:style>
  <w:style w:type="character" w:customStyle="1" w:styleId="HeaderChar">
    <w:name w:val="Header Char"/>
    <w:basedOn w:val="DefaultParagraphFont"/>
    <w:link w:val="Header"/>
    <w:uiPriority w:val="99"/>
    <w:locked/>
    <w:rsid w:val="00502AB6"/>
    <w:rPr>
      <w:rFonts w:ascii="Calibri" w:eastAsia="Calibri" w:hAnsi="Calibri"/>
    </w:rPr>
  </w:style>
  <w:style w:type="character" w:customStyle="1" w:styleId="FooterChar">
    <w:name w:val="Footer Char"/>
    <w:basedOn w:val="DefaultParagraphFont"/>
    <w:link w:val="Footer"/>
    <w:uiPriority w:val="99"/>
    <w:locked/>
    <w:rsid w:val="00502AB6"/>
    <w:rPr>
      <w:rFonts w:ascii="Calibri" w:eastAsia="Calibri" w:hAnsi="Calibri"/>
    </w:rPr>
  </w:style>
  <w:style w:type="character" w:customStyle="1" w:styleId="EndnoteTextChar">
    <w:name w:val="Endnote Text Char"/>
    <w:basedOn w:val="DefaultParagraphFont"/>
    <w:link w:val="EndnoteText"/>
    <w:locked/>
    <w:rsid w:val="00502AB6"/>
    <w:rPr>
      <w:rFonts w:ascii="Calibri" w:eastAsia="Calibri" w:hAnsi="Calibri"/>
    </w:rPr>
  </w:style>
  <w:style w:type="character" w:customStyle="1" w:styleId="BodyTextChar">
    <w:name w:val="Body Text Char"/>
    <w:basedOn w:val="DefaultParagraphFont"/>
    <w:link w:val="BodyText"/>
    <w:locked/>
    <w:rsid w:val="00502AB6"/>
    <w:rPr>
      <w:rFonts w:ascii="Calibri" w:eastAsia="Calibri" w:hAnsi="Calibri"/>
    </w:rPr>
  </w:style>
  <w:style w:type="character" w:customStyle="1" w:styleId="BodyTextIndentChar">
    <w:name w:val="Body Text Indent Char"/>
    <w:basedOn w:val="DefaultParagraphFont"/>
    <w:link w:val="BodyTextIndent"/>
    <w:locked/>
    <w:rsid w:val="00502AB6"/>
    <w:rPr>
      <w:rFonts w:ascii="Univers" w:hAnsi="Univers"/>
      <w:lang w:val="es-CL"/>
    </w:rPr>
  </w:style>
  <w:style w:type="character" w:customStyle="1" w:styleId="SubtitleChar">
    <w:name w:val="Subtitle Char"/>
    <w:basedOn w:val="DefaultParagraphFont"/>
    <w:link w:val="Subtitle"/>
    <w:locked/>
    <w:rsid w:val="00502AB6"/>
    <w:rPr>
      <w:rFonts w:ascii="Cambria" w:hAnsi="Cambria"/>
      <w:sz w:val="24"/>
      <w:szCs w:val="24"/>
    </w:rPr>
  </w:style>
  <w:style w:type="paragraph" w:styleId="CommentText">
    <w:name w:val="annotation text"/>
    <w:basedOn w:val="Normal"/>
    <w:link w:val="CommentTextChar"/>
    <w:uiPriority w:val="99"/>
    <w:unhideWhenUsed/>
    <w:rsid w:val="00502AB6"/>
    <w:pPr>
      <w:spacing w:line="240" w:lineRule="auto"/>
    </w:pPr>
    <w:rPr>
      <w:rFonts w:eastAsia="Calibri" w:cstheme="minorBidi"/>
    </w:rPr>
  </w:style>
  <w:style w:type="character" w:customStyle="1" w:styleId="TextocomentarioCar1">
    <w:name w:val="Texto comentario Car1"/>
    <w:basedOn w:val="DefaultParagraphFont"/>
    <w:uiPriority w:val="99"/>
    <w:semiHidden/>
    <w:rsid w:val="00502AB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locked/>
    <w:rsid w:val="00502AB6"/>
    <w:rPr>
      <w:rFonts w:ascii="Calibri" w:eastAsia="Calibri" w:hAnsi="Calibri"/>
      <w:b/>
      <w:bCs/>
    </w:rPr>
  </w:style>
  <w:style w:type="character" w:customStyle="1" w:styleId="BalloonTextChar">
    <w:name w:val="Balloon Text Char"/>
    <w:basedOn w:val="DefaultParagraphFont"/>
    <w:link w:val="BalloonText"/>
    <w:uiPriority w:val="99"/>
    <w:semiHidden/>
    <w:locked/>
    <w:rsid w:val="00502AB6"/>
    <w:rPr>
      <w:rFonts w:ascii="Tahoma" w:hAnsi="Tahoma" w:cs="Tahoma"/>
      <w:sz w:val="16"/>
      <w:szCs w:val="16"/>
    </w:rPr>
  </w:style>
  <w:style w:type="character" w:customStyle="1" w:styleId="ListParagraphChar">
    <w:name w:val="List Paragraph Char"/>
    <w:aliases w:val="Párrafo de lista1 Char,List Paragraph1 Char,Colorful List - Accent 11 Char,Footnote Char"/>
    <w:link w:val="ListParagraph"/>
    <w:uiPriority w:val="99"/>
    <w:locked/>
    <w:rsid w:val="00502AB6"/>
  </w:style>
  <w:style w:type="paragraph" w:styleId="ListParagraph">
    <w:name w:val="List Paragraph"/>
    <w:aliases w:val="Párrafo de lista1,List Paragraph1,Colorful List - Accent 11,Footnote"/>
    <w:basedOn w:val="Normal"/>
    <w:link w:val="ListParagraphChar"/>
    <w:uiPriority w:val="99"/>
    <w:qFormat/>
    <w:rsid w:val="00502AB6"/>
    <w:pPr>
      <w:ind w:left="720"/>
      <w:contextualSpacing/>
    </w:pPr>
    <w:rPr>
      <w:rFonts w:asciiTheme="minorHAnsi" w:eastAsiaTheme="minorHAnsi" w:hAnsiTheme="minorHAnsi" w:cstheme="minorBidi"/>
    </w:rPr>
  </w:style>
  <w:style w:type="paragraph" w:customStyle="1" w:styleId="citaindirecta">
    <w:name w:val="cita indirecta"/>
    <w:basedOn w:val="Normal"/>
    <w:uiPriority w:val="99"/>
    <w:rsid w:val="00502AB6"/>
    <w:pPr>
      <w:spacing w:after="0" w:line="240" w:lineRule="auto"/>
      <w:ind w:left="708"/>
      <w:jc w:val="both"/>
    </w:pPr>
    <w:rPr>
      <w:rFonts w:ascii="Verdana" w:hAnsi="Verdana"/>
      <w:sz w:val="20"/>
      <w:szCs w:val="20"/>
      <w:lang w:val="es-ES_tradnl"/>
    </w:rPr>
  </w:style>
  <w:style w:type="paragraph" w:customStyle="1" w:styleId="Estilo3">
    <w:name w:val="Estilo3"/>
    <w:basedOn w:val="ListParagraph"/>
    <w:link w:val="Estilo3Car"/>
    <w:qFormat/>
    <w:rsid w:val="00502AB6"/>
    <w:pPr>
      <w:spacing w:after="120" w:line="216" w:lineRule="auto"/>
      <w:ind w:left="0" w:right="17" w:firstLine="357"/>
      <w:contextualSpacing w:val="0"/>
      <w:jc w:val="both"/>
    </w:pPr>
    <w:rPr>
      <w:rFonts w:ascii="Verdana" w:eastAsia="Calibri" w:hAnsi="Verdana"/>
      <w:spacing w:val="-2"/>
      <w:lang w:val="es-MX"/>
    </w:rPr>
  </w:style>
  <w:style w:type="paragraph" w:customStyle="1" w:styleId="Estilo5">
    <w:name w:val="Estilo5"/>
    <w:basedOn w:val="ListParagraph"/>
    <w:link w:val="Estilo5Car"/>
    <w:qFormat/>
    <w:rsid w:val="00502AB6"/>
    <w:pPr>
      <w:spacing w:after="120" w:line="216" w:lineRule="auto"/>
      <w:ind w:left="0" w:right="18"/>
      <w:contextualSpacing w:val="0"/>
      <w:jc w:val="both"/>
    </w:pPr>
    <w:rPr>
      <w:rFonts w:ascii="Verdana" w:eastAsia="Calibri" w:hAnsi="Verdana"/>
      <w:spacing w:val="-2"/>
      <w:lang w:val="es-MX"/>
    </w:rPr>
  </w:style>
  <w:style w:type="character" w:customStyle="1" w:styleId="Estilo8Car">
    <w:name w:val="Estilo8 Car"/>
    <w:link w:val="Estilo8"/>
    <w:locked/>
    <w:rsid w:val="00502AB6"/>
    <w:rPr>
      <w:rFonts w:ascii="Verdana" w:eastAsia="Calibri" w:hAnsi="Verdana"/>
      <w:spacing w:val="-2"/>
      <w:lang w:val="es-MX"/>
    </w:rPr>
  </w:style>
  <w:style w:type="paragraph" w:customStyle="1" w:styleId="Estilo8">
    <w:name w:val="Estilo8"/>
    <w:basedOn w:val="Estilo3"/>
    <w:link w:val="Estilo8Car"/>
    <w:qFormat/>
    <w:rsid w:val="00502AB6"/>
    <w:pPr>
      <w:ind w:left="1080" w:hanging="358"/>
    </w:pPr>
  </w:style>
  <w:style w:type="paragraph" w:customStyle="1" w:styleId="Default">
    <w:name w:val="Default"/>
    <w:rsid w:val="00502AB6"/>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Prrafodelista2">
    <w:name w:val="Párrafo de lista2"/>
    <w:basedOn w:val="Normal"/>
    <w:uiPriority w:val="99"/>
    <w:rsid w:val="00502AB6"/>
    <w:pPr>
      <w:spacing w:after="0" w:line="240" w:lineRule="auto"/>
      <w:ind w:left="720"/>
    </w:pPr>
    <w:rPr>
      <w:rFonts w:ascii="Verdana" w:eastAsia="MS Mincho" w:hAnsi="Verdana"/>
      <w:sz w:val="20"/>
      <w:szCs w:val="20"/>
      <w:lang w:val="es-ES_tradnl"/>
    </w:rPr>
  </w:style>
  <w:style w:type="character" w:customStyle="1" w:styleId="Estilo1Car">
    <w:name w:val="Estilo1 Car"/>
    <w:link w:val="Estilo1"/>
    <w:locked/>
    <w:rsid w:val="001154F9"/>
    <w:rPr>
      <w:rFonts w:ascii="Verdana" w:hAnsi="Verdana"/>
      <w:b/>
      <w:sz w:val="20"/>
    </w:rPr>
  </w:style>
  <w:style w:type="paragraph" w:customStyle="1" w:styleId="Estilo1">
    <w:name w:val="Estilo1"/>
    <w:basedOn w:val="Normal"/>
    <w:next w:val="Normal"/>
    <w:link w:val="Estilo1Car"/>
    <w:qFormat/>
    <w:rsid w:val="001154F9"/>
    <w:pPr>
      <w:tabs>
        <w:tab w:val="left" w:pos="567"/>
        <w:tab w:val="left" w:pos="1134"/>
      </w:tabs>
      <w:spacing w:after="0" w:line="240" w:lineRule="auto"/>
      <w:jc w:val="center"/>
    </w:pPr>
    <w:rPr>
      <w:rFonts w:ascii="Verdana" w:eastAsiaTheme="minorHAnsi" w:hAnsi="Verdana" w:cstheme="minorBidi"/>
      <w:b/>
      <w:sz w:val="20"/>
    </w:rPr>
  </w:style>
  <w:style w:type="paragraph" w:customStyle="1" w:styleId="Estilo7">
    <w:name w:val="Estilo7"/>
    <w:basedOn w:val="Normal"/>
    <w:uiPriority w:val="99"/>
    <w:qFormat/>
    <w:rsid w:val="00502AB6"/>
    <w:pPr>
      <w:tabs>
        <w:tab w:val="left" w:pos="567"/>
        <w:tab w:val="left" w:pos="851"/>
        <w:tab w:val="num" w:pos="2160"/>
      </w:tabs>
      <w:spacing w:before="120" w:after="120" w:line="240" w:lineRule="auto"/>
      <w:ind w:left="2160" w:hanging="180"/>
      <w:jc w:val="both"/>
    </w:pPr>
    <w:rPr>
      <w:rFonts w:ascii="Verdana" w:eastAsia="Batang" w:hAnsi="Verdana"/>
      <w:b/>
      <w:i/>
      <w:sz w:val="20"/>
      <w:szCs w:val="20"/>
      <w:lang w:val="es-ES_tradnl" w:eastAsia="es-MX"/>
    </w:rPr>
  </w:style>
  <w:style w:type="character" w:customStyle="1" w:styleId="PrrafodeSentenciaChar">
    <w:name w:val="*. Párrafo de Sentencia Char"/>
    <w:link w:val="PrrafodeSentencia"/>
    <w:locked/>
    <w:rsid w:val="00502AB6"/>
    <w:rPr>
      <w:rFonts w:ascii="Verdana" w:eastAsia="Batang" w:hAnsi="Verdana"/>
      <w:lang w:eastAsia="es-MX"/>
    </w:rPr>
  </w:style>
  <w:style w:type="paragraph" w:customStyle="1" w:styleId="PrrafodeSentencia">
    <w:name w:val="*. Párrafo de Sentencia"/>
    <w:link w:val="PrrafodeSentenciaChar"/>
    <w:autoRedefine/>
    <w:qFormat/>
    <w:rsid w:val="00502AB6"/>
    <w:pPr>
      <w:tabs>
        <w:tab w:val="num" w:pos="0"/>
        <w:tab w:val="center" w:pos="567"/>
      </w:tabs>
      <w:spacing w:after="0" w:line="240" w:lineRule="auto"/>
      <w:jc w:val="both"/>
    </w:pPr>
    <w:rPr>
      <w:rFonts w:ascii="Verdana" w:eastAsia="Batang" w:hAnsi="Verdana"/>
      <w:lang w:eastAsia="es-MX"/>
    </w:rPr>
  </w:style>
  <w:style w:type="character" w:customStyle="1" w:styleId="Estilo2Car">
    <w:name w:val="Estilo2 Car"/>
    <w:link w:val="Estilo2"/>
    <w:locked/>
    <w:rsid w:val="001154F9"/>
    <w:rPr>
      <w:rFonts w:ascii="Verdana" w:eastAsia="Calibri" w:hAnsi="Verdana"/>
      <w:b/>
      <w:sz w:val="20"/>
    </w:rPr>
  </w:style>
  <w:style w:type="paragraph" w:customStyle="1" w:styleId="Estilo2">
    <w:name w:val="Estilo2"/>
    <w:basedOn w:val="Normal"/>
    <w:next w:val="Normal"/>
    <w:link w:val="Estilo2Car"/>
    <w:qFormat/>
    <w:rsid w:val="001154F9"/>
    <w:pPr>
      <w:tabs>
        <w:tab w:val="left" w:pos="567"/>
        <w:tab w:val="left" w:pos="1134"/>
      </w:tabs>
      <w:spacing w:after="120" w:line="240" w:lineRule="auto"/>
    </w:pPr>
    <w:rPr>
      <w:rFonts w:ascii="Verdana" w:eastAsia="Calibri" w:hAnsi="Verdana" w:cstheme="minorBidi"/>
      <w:b/>
      <w:sz w:val="20"/>
    </w:rPr>
  </w:style>
  <w:style w:type="paragraph" w:customStyle="1" w:styleId="s32b251d">
    <w:name w:val="s32b251d"/>
    <w:basedOn w:val="Normal"/>
    <w:uiPriority w:val="99"/>
    <w:rsid w:val="00502AB6"/>
    <w:pPr>
      <w:spacing w:before="100" w:beforeAutospacing="1" w:after="100" w:afterAutospacing="1" w:line="240" w:lineRule="auto"/>
    </w:pPr>
    <w:rPr>
      <w:rFonts w:ascii="Times New Roman" w:hAnsi="Times New Roman"/>
      <w:sz w:val="24"/>
      <w:szCs w:val="24"/>
    </w:rPr>
  </w:style>
  <w:style w:type="character" w:customStyle="1" w:styleId="Estilo4Car">
    <w:name w:val="Estilo4 Car"/>
    <w:link w:val="Estilo4"/>
    <w:locked/>
    <w:rsid w:val="00502AB6"/>
    <w:rPr>
      <w:rFonts w:ascii="Verdana" w:hAnsi="Verdana"/>
      <w:spacing w:val="-2"/>
    </w:rPr>
  </w:style>
  <w:style w:type="paragraph" w:customStyle="1" w:styleId="Estilo4">
    <w:name w:val="Estilo4"/>
    <w:basedOn w:val="ListParagraph"/>
    <w:link w:val="Estilo4Car"/>
    <w:qFormat/>
    <w:rsid w:val="00502AB6"/>
    <w:pPr>
      <w:spacing w:after="120" w:line="240" w:lineRule="auto"/>
      <w:ind w:left="0"/>
      <w:contextualSpacing w:val="0"/>
      <w:jc w:val="both"/>
    </w:pPr>
    <w:rPr>
      <w:rFonts w:ascii="Verdana" w:hAnsi="Verdana"/>
      <w:spacing w:val="-2"/>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FootnotesChar"/>
    <w:unhideWhenUsed/>
    <w:qFormat/>
    <w:rsid w:val="00400B40"/>
    <w:rPr>
      <w:rFonts w:ascii="Verdana" w:eastAsia="Times New Roman" w:hAnsi="Verdana" w:cs="Palatino-Italic"/>
      <w:iCs/>
      <w:spacing w:val="-4"/>
      <w:sz w:val="20"/>
      <w:szCs w:val="16"/>
      <w:vertAlign w:val="superscript"/>
      <w:lang w:val="es-ES" w:bidi="en-US"/>
    </w:rPr>
  </w:style>
  <w:style w:type="character" w:styleId="CommentReference">
    <w:name w:val="annotation reference"/>
    <w:uiPriority w:val="99"/>
    <w:semiHidden/>
    <w:unhideWhenUsed/>
    <w:rsid w:val="00502AB6"/>
    <w:rPr>
      <w:sz w:val="16"/>
      <w:szCs w:val="16"/>
    </w:rPr>
  </w:style>
  <w:style w:type="character" w:styleId="EndnoteReference">
    <w:name w:val="endnote reference"/>
    <w:semiHidden/>
    <w:unhideWhenUsed/>
    <w:rsid w:val="00502AB6"/>
    <w:rPr>
      <w:vertAlign w:val="superscript"/>
    </w:rPr>
  </w:style>
  <w:style w:type="character" w:customStyle="1" w:styleId="Ttulo7Car1">
    <w:name w:val="Título 7 Car1"/>
    <w:basedOn w:val="DefaultParagraphFont"/>
    <w:uiPriority w:val="9"/>
    <w:semiHidden/>
    <w:rsid w:val="00502AB6"/>
    <w:rPr>
      <w:rFonts w:asciiTheme="majorHAnsi" w:eastAsiaTheme="majorEastAsia" w:hAnsiTheme="majorHAnsi" w:cstheme="majorBidi"/>
      <w:i/>
      <w:iCs/>
      <w:color w:val="404040" w:themeColor="text1" w:themeTint="BF"/>
      <w:sz w:val="22"/>
      <w:szCs w:val="22"/>
      <w:lang w:val="es-CR" w:eastAsia="en-US"/>
    </w:rPr>
  </w:style>
  <w:style w:type="paragraph" w:styleId="BalloonText">
    <w:name w:val="Balloon Text"/>
    <w:basedOn w:val="Normal"/>
    <w:link w:val="BalloonTextChar"/>
    <w:uiPriority w:val="99"/>
    <w:semiHidden/>
    <w:unhideWhenUsed/>
    <w:rsid w:val="00502AB6"/>
    <w:pPr>
      <w:spacing w:after="0" w:line="240" w:lineRule="auto"/>
    </w:pPr>
    <w:rPr>
      <w:rFonts w:ascii="Tahoma" w:eastAsiaTheme="minorHAnsi" w:hAnsi="Tahoma" w:cs="Tahoma"/>
      <w:sz w:val="16"/>
      <w:szCs w:val="16"/>
    </w:rPr>
  </w:style>
  <w:style w:type="character" w:customStyle="1" w:styleId="TextodegloboCar1">
    <w:name w:val="Texto de globo Car1"/>
    <w:basedOn w:val="DefaultParagraphFont"/>
    <w:uiPriority w:val="99"/>
    <w:semiHidden/>
    <w:rsid w:val="00502AB6"/>
    <w:rPr>
      <w:rFonts w:ascii="Tahoma" w:eastAsia="Times New Roman" w:hAnsi="Tahoma" w:cs="Tahoma"/>
      <w:sz w:val="16"/>
      <w:szCs w:val="16"/>
    </w:rPr>
  </w:style>
  <w:style w:type="paragraph" w:styleId="Header">
    <w:name w:val="header"/>
    <w:basedOn w:val="Normal"/>
    <w:link w:val="HeaderChar"/>
    <w:uiPriority w:val="99"/>
    <w:unhideWhenUsed/>
    <w:rsid w:val="00502AB6"/>
    <w:pPr>
      <w:tabs>
        <w:tab w:val="center" w:pos="4419"/>
        <w:tab w:val="right" w:pos="8838"/>
      </w:tabs>
      <w:spacing w:after="0" w:line="240" w:lineRule="auto"/>
    </w:pPr>
    <w:rPr>
      <w:rFonts w:eastAsia="Calibri" w:cstheme="minorBidi"/>
    </w:rPr>
  </w:style>
  <w:style w:type="character" w:customStyle="1" w:styleId="EncabezadoCar1">
    <w:name w:val="Encabezado Car1"/>
    <w:basedOn w:val="DefaultParagraphFont"/>
    <w:uiPriority w:val="99"/>
    <w:semiHidden/>
    <w:rsid w:val="00502AB6"/>
    <w:rPr>
      <w:rFonts w:ascii="Calibri" w:eastAsia="Times New Roman" w:hAnsi="Calibri" w:cs="Times New Roman"/>
    </w:rPr>
  </w:style>
  <w:style w:type="paragraph" w:styleId="Footer">
    <w:name w:val="footer"/>
    <w:basedOn w:val="Normal"/>
    <w:link w:val="FooterChar"/>
    <w:uiPriority w:val="99"/>
    <w:unhideWhenUsed/>
    <w:rsid w:val="00502AB6"/>
    <w:pPr>
      <w:tabs>
        <w:tab w:val="center" w:pos="4419"/>
        <w:tab w:val="right" w:pos="8838"/>
      </w:tabs>
      <w:spacing w:after="0" w:line="240" w:lineRule="auto"/>
    </w:pPr>
    <w:rPr>
      <w:rFonts w:eastAsia="Calibri" w:cstheme="minorBidi"/>
    </w:rPr>
  </w:style>
  <w:style w:type="character" w:customStyle="1" w:styleId="PiedepginaCar1">
    <w:name w:val="Pie de página Car1"/>
    <w:basedOn w:val="DefaultParagraphFont"/>
    <w:uiPriority w:val="99"/>
    <w:semiHidden/>
    <w:rsid w:val="00502AB6"/>
    <w:rPr>
      <w:rFonts w:ascii="Calibri" w:eastAsia="Times New Roman" w:hAnsi="Calibri" w:cs="Times New Roman"/>
    </w:rPr>
  </w:style>
  <w:style w:type="paragraph" w:styleId="BodyText">
    <w:name w:val="Body Text"/>
    <w:basedOn w:val="Normal"/>
    <w:link w:val="BodyTextChar"/>
    <w:unhideWhenUsed/>
    <w:rsid w:val="00502AB6"/>
    <w:pPr>
      <w:spacing w:after="120"/>
    </w:pPr>
    <w:rPr>
      <w:rFonts w:eastAsia="Calibri" w:cstheme="minorBidi"/>
    </w:rPr>
  </w:style>
  <w:style w:type="character" w:customStyle="1" w:styleId="TextoindependienteCar1">
    <w:name w:val="Texto independiente Car1"/>
    <w:basedOn w:val="DefaultParagraphFont"/>
    <w:uiPriority w:val="99"/>
    <w:semiHidden/>
    <w:rsid w:val="00502AB6"/>
    <w:rPr>
      <w:rFonts w:ascii="Calibri" w:eastAsia="Times New Roman" w:hAnsi="Calibri" w:cs="Times New Roman"/>
    </w:rPr>
  </w:style>
  <w:style w:type="character" w:customStyle="1" w:styleId="apple-converted-space">
    <w:name w:val="apple-converted-space"/>
    <w:basedOn w:val="DefaultParagraphFont"/>
    <w:rsid w:val="00502AB6"/>
  </w:style>
  <w:style w:type="paragraph" w:styleId="CommentSubject">
    <w:name w:val="annotation subject"/>
    <w:basedOn w:val="CommentText"/>
    <w:next w:val="CommentText"/>
    <w:link w:val="CommentSubjectChar"/>
    <w:uiPriority w:val="99"/>
    <w:semiHidden/>
    <w:unhideWhenUsed/>
    <w:rsid w:val="00502AB6"/>
    <w:rPr>
      <w:b/>
      <w:bCs/>
    </w:rPr>
  </w:style>
  <w:style w:type="character" w:customStyle="1" w:styleId="AsuntodelcomentarioCar1">
    <w:name w:val="Asunto del comentario Car1"/>
    <w:basedOn w:val="TextocomentarioCar1"/>
    <w:uiPriority w:val="99"/>
    <w:semiHidden/>
    <w:rsid w:val="00502AB6"/>
    <w:rPr>
      <w:rFonts w:ascii="Calibri" w:eastAsia="Times New Roman" w:hAnsi="Calibri" w:cs="Times New Roman"/>
      <w:b/>
      <w:bCs/>
      <w:sz w:val="20"/>
      <w:szCs w:val="20"/>
    </w:rPr>
  </w:style>
  <w:style w:type="paragraph" w:styleId="Subtitle">
    <w:name w:val="Subtitle"/>
    <w:basedOn w:val="Normal"/>
    <w:next w:val="Normal"/>
    <w:link w:val="SubtitleChar"/>
    <w:qFormat/>
    <w:rsid w:val="00502AB6"/>
    <w:pPr>
      <w:numPr>
        <w:ilvl w:val="1"/>
      </w:numPr>
    </w:pPr>
    <w:rPr>
      <w:rFonts w:ascii="Cambria" w:eastAsiaTheme="minorHAnsi" w:hAnsi="Cambria" w:cstheme="minorBidi"/>
      <w:sz w:val="24"/>
      <w:szCs w:val="24"/>
    </w:rPr>
  </w:style>
  <w:style w:type="character" w:customStyle="1" w:styleId="SubttuloCar1">
    <w:name w:val="Subtítulo Car1"/>
    <w:basedOn w:val="DefaultParagraphFont"/>
    <w:rsid w:val="00502AB6"/>
    <w:rPr>
      <w:rFonts w:asciiTheme="majorHAnsi" w:eastAsiaTheme="majorEastAsia" w:hAnsiTheme="majorHAnsi" w:cstheme="majorBidi"/>
      <w:i/>
      <w:iCs/>
      <w:color w:val="4F81BD" w:themeColor="accent1"/>
      <w:spacing w:val="15"/>
      <w:sz w:val="24"/>
      <w:szCs w:val="24"/>
    </w:rPr>
  </w:style>
  <w:style w:type="character" w:customStyle="1" w:styleId="FootnoteCharacters">
    <w:name w:val="Footnote Characters"/>
    <w:rsid w:val="00502AB6"/>
    <w:rPr>
      <w:vertAlign w:val="superscript"/>
    </w:rPr>
  </w:style>
  <w:style w:type="paragraph" w:styleId="BodyTextIndent">
    <w:name w:val="Body Text Indent"/>
    <w:basedOn w:val="Normal"/>
    <w:link w:val="BodyTextIndentChar"/>
    <w:unhideWhenUsed/>
    <w:rsid w:val="00502AB6"/>
    <w:pPr>
      <w:spacing w:after="120"/>
      <w:ind w:left="283"/>
    </w:pPr>
    <w:rPr>
      <w:rFonts w:ascii="Univers" w:eastAsiaTheme="minorHAnsi" w:hAnsi="Univers" w:cstheme="minorBidi"/>
      <w:lang w:val="es-CL"/>
    </w:rPr>
  </w:style>
  <w:style w:type="character" w:customStyle="1" w:styleId="SangradetextonormalCar1">
    <w:name w:val="Sangría de texto normal Car1"/>
    <w:basedOn w:val="DefaultParagraphFont"/>
    <w:semiHidden/>
    <w:rsid w:val="00502AB6"/>
    <w:rPr>
      <w:rFonts w:ascii="Calibri" w:eastAsia="Times New Roman" w:hAnsi="Calibri" w:cs="Times New Roma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rsid w:val="00502AB6"/>
    <w:rPr>
      <w:rFonts w:ascii="Verdana" w:eastAsia="Times New Roman" w:hAnsi="Verdana" w:cs="Verdana" w:hint="default"/>
      <w:sz w:val="16"/>
      <w:szCs w:val="16"/>
      <w:lang w:val="es-ES_tradnl"/>
    </w:rPr>
  </w:style>
  <w:style w:type="character" w:customStyle="1" w:styleId="apple-style-span">
    <w:name w:val="apple-style-span"/>
    <w:basedOn w:val="DefaultParagraphFont"/>
    <w:rsid w:val="00502AB6"/>
  </w:style>
  <w:style w:type="character" w:customStyle="1" w:styleId="shorttext">
    <w:name w:val="shorttext"/>
    <w:basedOn w:val="DefaultParagraphFont"/>
    <w:rsid w:val="00502AB6"/>
  </w:style>
  <w:style w:type="character" w:customStyle="1" w:styleId="ListParagraphChar1">
    <w:name w:val="List Paragraph Char1"/>
    <w:aliases w:val="Colorful List - Accent 11 Char1,Párrafo de lista1 Char1,List Paragraph1 Char2"/>
    <w:uiPriority w:val="34"/>
    <w:rsid w:val="00502AB6"/>
    <w:rPr>
      <w:rFonts w:ascii="Verdana" w:eastAsia="Times New Roman" w:hAnsi="Verdana" w:hint="default"/>
      <w:lang w:val="es-ES_tradnl" w:eastAsia="en-US"/>
    </w:rPr>
  </w:style>
  <w:style w:type="character" w:customStyle="1" w:styleId="A7">
    <w:name w:val="A7"/>
    <w:uiPriority w:val="99"/>
    <w:rsid w:val="00502AB6"/>
    <w:rPr>
      <w:rFonts w:ascii="Futura Md BT" w:hAnsi="Futura Md BT" w:cs="Futura Md BT" w:hint="default"/>
      <w:b/>
      <w:bCs/>
      <w:color w:val="96184D"/>
      <w:sz w:val="17"/>
      <w:szCs w:val="17"/>
    </w:rPr>
  </w:style>
  <w:style w:type="character" w:customStyle="1" w:styleId="sb8d990e2">
    <w:name w:val="sb8d990e2"/>
    <w:basedOn w:val="DefaultParagraphFont"/>
    <w:rsid w:val="00502AB6"/>
  </w:style>
  <w:style w:type="paragraph" w:styleId="EndnoteText">
    <w:name w:val="endnote text"/>
    <w:basedOn w:val="Normal"/>
    <w:link w:val="EndnoteTextChar"/>
    <w:unhideWhenUsed/>
    <w:rsid w:val="00502AB6"/>
    <w:pPr>
      <w:spacing w:after="0" w:line="240" w:lineRule="auto"/>
    </w:pPr>
    <w:rPr>
      <w:rFonts w:eastAsia="Calibri" w:cstheme="minorBidi"/>
    </w:rPr>
  </w:style>
  <w:style w:type="character" w:customStyle="1" w:styleId="TextonotaalfinalCar1">
    <w:name w:val="Texto nota al final Car1"/>
    <w:basedOn w:val="DefaultParagraphFont"/>
    <w:uiPriority w:val="99"/>
    <w:semiHidden/>
    <w:rsid w:val="00502AB6"/>
    <w:rPr>
      <w:rFonts w:ascii="Calibri" w:eastAsia="Times New Roman" w:hAnsi="Calibri" w:cs="Times New Roman"/>
      <w:sz w:val="20"/>
      <w:szCs w:val="20"/>
    </w:rPr>
  </w:style>
  <w:style w:type="table" w:styleId="TableGrid">
    <w:name w:val="Table Grid"/>
    <w:basedOn w:val="TableNormal"/>
    <w:uiPriority w:val="59"/>
    <w:rsid w:val="00502AB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02AB6"/>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51">
    <w:name w:val="Medium List 1 - Accent 51"/>
    <w:basedOn w:val="TableNormal"/>
    <w:uiPriority w:val="65"/>
    <w:rsid w:val="00502AB6"/>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styleId="Strong">
    <w:name w:val="Strong"/>
    <w:basedOn w:val="DefaultParagraphFont"/>
    <w:uiPriority w:val="22"/>
    <w:qFormat/>
    <w:rsid w:val="00502AB6"/>
    <w:rPr>
      <w:b/>
      <w:bCs/>
    </w:rPr>
  </w:style>
  <w:style w:type="paragraph" w:styleId="TOC4">
    <w:name w:val="toc 4"/>
    <w:basedOn w:val="Normal"/>
    <w:next w:val="Normal"/>
    <w:autoRedefine/>
    <w:uiPriority w:val="39"/>
    <w:unhideWhenUsed/>
    <w:rsid w:val="00502AB6"/>
    <w:pPr>
      <w:numPr>
        <w:numId w:val="3"/>
      </w:numPr>
      <w:spacing w:after="100"/>
      <w:ind w:left="660" w:firstLine="0"/>
    </w:pPr>
  </w:style>
  <w:style w:type="paragraph" w:styleId="TOC2">
    <w:name w:val="toc 2"/>
    <w:basedOn w:val="Normal"/>
    <w:next w:val="Normal"/>
    <w:autoRedefine/>
    <w:uiPriority w:val="39"/>
    <w:unhideWhenUsed/>
    <w:qFormat/>
    <w:rsid w:val="004D2329"/>
    <w:pPr>
      <w:tabs>
        <w:tab w:val="left" w:pos="660"/>
        <w:tab w:val="right" w:leader="dot" w:pos="9214"/>
      </w:tabs>
      <w:spacing w:after="100"/>
      <w:ind w:left="220"/>
      <w:jc w:val="both"/>
    </w:pPr>
    <w:rPr>
      <w:rFonts w:ascii="Verdana" w:hAnsi="Verdana"/>
      <w:i/>
      <w:noProof/>
      <w:spacing w:val="-2"/>
      <w:sz w:val="20"/>
      <w:szCs w:val="20"/>
    </w:rPr>
  </w:style>
  <w:style w:type="paragraph" w:customStyle="1" w:styleId="Footnotes">
    <w:name w:val="**. Footnotes"/>
    <w:basedOn w:val="FootnoteText"/>
    <w:link w:val="FootnotesChar"/>
    <w:autoRedefine/>
    <w:qFormat/>
    <w:rsid w:val="00EA6EE3"/>
    <w:pPr>
      <w:tabs>
        <w:tab w:val="left" w:pos="567"/>
      </w:tabs>
      <w:jc w:val="both"/>
    </w:pPr>
    <w:rPr>
      <w:rFonts w:ascii="Verdana" w:eastAsia="Times New Roman" w:hAnsi="Verdana" w:cs="Palatino-Italic"/>
      <w:iCs/>
      <w:spacing w:val="-4"/>
      <w:sz w:val="16"/>
      <w:szCs w:val="16"/>
      <w:lang w:val="es-ES" w:bidi="en-US"/>
    </w:rPr>
  </w:style>
  <w:style w:type="character" w:customStyle="1" w:styleId="FootnotesChar">
    <w:name w:val="**. Footnotes Char"/>
    <w:basedOn w:val="DefaultParagraphFont"/>
    <w:link w:val="Footnotes"/>
    <w:rsid w:val="00EA6EE3"/>
    <w:rPr>
      <w:rFonts w:ascii="Verdana" w:eastAsia="Times New Roman" w:hAnsi="Verdana" w:cs="Palatino-Italic"/>
      <w:iCs/>
      <w:spacing w:val="-4"/>
      <w:sz w:val="16"/>
      <w:szCs w:val="16"/>
      <w:lang w:val="es-ES" w:bidi="en-US"/>
    </w:rPr>
  </w:style>
  <w:style w:type="character" w:customStyle="1" w:styleId="Estilo5Car">
    <w:name w:val="Estilo5 Car"/>
    <w:link w:val="Estilo5"/>
    <w:rsid w:val="00DD356C"/>
    <w:rPr>
      <w:rFonts w:ascii="Verdana" w:eastAsia="Calibri" w:hAnsi="Verdana"/>
      <w:spacing w:val="-2"/>
      <w:lang w:val="es-MX"/>
    </w:rPr>
  </w:style>
  <w:style w:type="character" w:customStyle="1" w:styleId="s6b621b36">
    <w:name w:val="s6b621b36"/>
    <w:basedOn w:val="DefaultParagraphFont"/>
    <w:rsid w:val="00DD356C"/>
  </w:style>
  <w:style w:type="character" w:customStyle="1" w:styleId="sea881cdf">
    <w:name w:val="sea881cdf"/>
    <w:basedOn w:val="DefaultParagraphFont"/>
    <w:rsid w:val="00DD356C"/>
  </w:style>
  <w:style w:type="numbering" w:customStyle="1" w:styleId="NoList1">
    <w:name w:val="No List1"/>
    <w:next w:val="NoList"/>
    <w:uiPriority w:val="99"/>
    <w:semiHidden/>
    <w:unhideWhenUsed/>
    <w:rsid w:val="000D521B"/>
  </w:style>
  <w:style w:type="character" w:customStyle="1" w:styleId="Ttulodelibro">
    <w:name w:val="Título de libro"/>
    <w:uiPriority w:val="33"/>
    <w:qFormat/>
    <w:rsid w:val="000D521B"/>
    <w:rPr>
      <w:b/>
      <w:bCs/>
      <w:smallCaps/>
      <w:spacing w:val="5"/>
    </w:rPr>
  </w:style>
  <w:style w:type="paragraph" w:customStyle="1" w:styleId="Revision1">
    <w:name w:val="Revision1"/>
    <w:next w:val="Revision"/>
    <w:hidden/>
    <w:uiPriority w:val="99"/>
    <w:semiHidden/>
    <w:rsid w:val="000D521B"/>
    <w:pPr>
      <w:spacing w:after="0" w:line="240" w:lineRule="auto"/>
    </w:pPr>
    <w:rPr>
      <w:rFonts w:eastAsia="Times New Roman"/>
    </w:rPr>
  </w:style>
  <w:style w:type="table" w:customStyle="1" w:styleId="ColorfulList-Accent12">
    <w:name w:val="Colorful List - Accent 12"/>
    <w:basedOn w:val="TableNormal"/>
    <w:next w:val="ColorfulList-Accent1"/>
    <w:uiPriority w:val="34"/>
    <w:rsid w:val="000D521B"/>
    <w:pPr>
      <w:spacing w:after="0" w:line="240" w:lineRule="auto"/>
    </w:pPr>
    <w:rPr>
      <w:rFonts w:eastAsia="Times New Roman"/>
      <w:lang w:eastAsia="es-CR"/>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rsid w:val="000D521B"/>
    <w:pPr>
      <w:spacing w:after="0" w:line="240" w:lineRule="auto"/>
    </w:pPr>
    <w:rPr>
      <w:rFonts w:ascii="Calibri" w:eastAsia="Times New Roman" w:hAnsi="Calibri" w:cs="Times New Roman"/>
    </w:rPr>
  </w:style>
  <w:style w:type="table" w:styleId="ColorfulList-Accent1">
    <w:name w:val="Colorful List Accent 1"/>
    <w:basedOn w:val="TableNormal"/>
    <w:uiPriority w:val="72"/>
    <w:rsid w:val="000D521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2">
    <w:name w:val="No List2"/>
    <w:next w:val="NoList"/>
    <w:semiHidden/>
    <w:unhideWhenUsed/>
    <w:rsid w:val="00F3659E"/>
  </w:style>
  <w:style w:type="character" w:customStyle="1" w:styleId="FootnoteReference1">
    <w:name w:val="Footnote Reference1"/>
    <w:aliases w:val="Ref. de nota al pi"/>
    <w:qFormat/>
    <w:rsid w:val="00F3659E"/>
    <w:rPr>
      <w:color w:val="000000"/>
      <w:sz w:val="22"/>
      <w:vertAlign w:val="superscript"/>
    </w:rPr>
  </w:style>
  <w:style w:type="paragraph" w:styleId="BodyText2">
    <w:name w:val="Body Text 2"/>
    <w:basedOn w:val="Normal"/>
    <w:link w:val="BodyText2Char"/>
    <w:uiPriority w:val="99"/>
    <w:unhideWhenUsed/>
    <w:rsid w:val="00F3659E"/>
    <w:pPr>
      <w:spacing w:after="120" w:line="480" w:lineRule="auto"/>
    </w:pPr>
    <w:rPr>
      <w:rFonts w:ascii="Times New Roman" w:eastAsia="MS Mincho" w:hAnsi="Times New Roman"/>
      <w:sz w:val="24"/>
      <w:szCs w:val="24"/>
      <w:lang w:eastAsia="es-CL"/>
    </w:rPr>
  </w:style>
  <w:style w:type="character" w:customStyle="1" w:styleId="BodyText2Char">
    <w:name w:val="Body Text 2 Char"/>
    <w:basedOn w:val="DefaultParagraphFont"/>
    <w:link w:val="BodyText2"/>
    <w:uiPriority w:val="99"/>
    <w:rsid w:val="00F3659E"/>
    <w:rPr>
      <w:rFonts w:ascii="Times New Roman" w:eastAsia="MS Mincho" w:hAnsi="Times New Roman" w:cs="Times New Roman"/>
      <w:sz w:val="24"/>
      <w:szCs w:val="24"/>
      <w:lang w:eastAsia="es-CL"/>
    </w:rPr>
  </w:style>
  <w:style w:type="paragraph" w:customStyle="1" w:styleId="Citacin">
    <w:name w:val="Citación"/>
    <w:basedOn w:val="ListParagraph"/>
    <w:link w:val="CitacinChar"/>
    <w:qFormat/>
    <w:rsid w:val="00F3659E"/>
    <w:pPr>
      <w:spacing w:before="100" w:beforeAutospacing="1" w:after="240" w:line="240" w:lineRule="auto"/>
      <w:ind w:left="1080"/>
      <w:contextualSpacing w:val="0"/>
      <w:jc w:val="both"/>
    </w:pPr>
    <w:rPr>
      <w:rFonts w:ascii="Garamond" w:eastAsia="Times New Roman" w:hAnsi="Garamond" w:cs="Times New Roman"/>
      <w:szCs w:val="24"/>
      <w:lang w:val="es-GT"/>
    </w:rPr>
  </w:style>
  <w:style w:type="character" w:customStyle="1" w:styleId="CitacinChar">
    <w:name w:val="Citación Char"/>
    <w:link w:val="Citacin"/>
    <w:rsid w:val="00F3659E"/>
    <w:rPr>
      <w:rFonts w:ascii="Garamond" w:eastAsia="Times New Roman" w:hAnsi="Garamond" w:cs="Times New Roman"/>
      <w:szCs w:val="24"/>
      <w:lang w:val="es-GT"/>
    </w:rPr>
  </w:style>
  <w:style w:type="table" w:customStyle="1" w:styleId="ColorfulList-Accent13">
    <w:name w:val="Colorful List - Accent 13"/>
    <w:basedOn w:val="TableNormal"/>
    <w:next w:val="ColorfulList-Accent1"/>
    <w:uiPriority w:val="34"/>
    <w:rsid w:val="00F3659E"/>
    <w:pPr>
      <w:spacing w:after="0" w:line="240" w:lineRule="auto"/>
    </w:pPr>
    <w:rPr>
      <w:rFonts w:ascii="Calibri" w:eastAsia="Times New Roman" w:hAnsi="Calibri" w:cs="Times New Roman"/>
      <w:sz w:val="20"/>
      <w:szCs w:val="20"/>
      <w:lang w:eastAsia="es-CR"/>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mmentTextChar1">
    <w:name w:val="Comment Text Char1"/>
    <w:basedOn w:val="DefaultParagraphFont"/>
    <w:uiPriority w:val="99"/>
    <w:semiHidden/>
    <w:rsid w:val="00291F81"/>
    <w:rPr>
      <w:rFonts w:ascii="Calibri" w:eastAsia="Times New Roman" w:hAnsi="Calibri" w:cs="Times New Roman"/>
      <w:sz w:val="20"/>
      <w:szCs w:val="20"/>
    </w:rPr>
  </w:style>
  <w:style w:type="character" w:customStyle="1" w:styleId="BalloonTextChar1">
    <w:name w:val="Balloon Text Char1"/>
    <w:basedOn w:val="DefaultParagraphFont"/>
    <w:uiPriority w:val="99"/>
    <w:semiHidden/>
    <w:rsid w:val="00291F81"/>
    <w:rPr>
      <w:rFonts w:ascii="Tahoma" w:eastAsia="Times New Roman" w:hAnsi="Tahoma" w:cs="Tahoma"/>
      <w:sz w:val="16"/>
      <w:szCs w:val="16"/>
    </w:rPr>
  </w:style>
  <w:style w:type="character" w:customStyle="1" w:styleId="HeaderChar1">
    <w:name w:val="Header Char1"/>
    <w:basedOn w:val="DefaultParagraphFont"/>
    <w:uiPriority w:val="99"/>
    <w:semiHidden/>
    <w:rsid w:val="00291F81"/>
    <w:rPr>
      <w:rFonts w:ascii="Calibri" w:eastAsia="Times New Roman" w:hAnsi="Calibri" w:cs="Times New Roman"/>
    </w:rPr>
  </w:style>
  <w:style w:type="character" w:customStyle="1" w:styleId="FooterChar1">
    <w:name w:val="Footer Char1"/>
    <w:basedOn w:val="DefaultParagraphFont"/>
    <w:uiPriority w:val="99"/>
    <w:semiHidden/>
    <w:rsid w:val="00291F81"/>
    <w:rPr>
      <w:rFonts w:ascii="Calibri" w:eastAsia="Times New Roman" w:hAnsi="Calibri" w:cs="Times New Roman"/>
    </w:rPr>
  </w:style>
  <w:style w:type="character" w:customStyle="1" w:styleId="BodyTextChar1">
    <w:name w:val="Body Text Char1"/>
    <w:basedOn w:val="DefaultParagraphFont"/>
    <w:uiPriority w:val="99"/>
    <w:semiHidden/>
    <w:rsid w:val="00291F81"/>
    <w:rPr>
      <w:rFonts w:ascii="Calibri" w:eastAsia="Times New Roman" w:hAnsi="Calibri" w:cs="Times New Roman"/>
    </w:rPr>
  </w:style>
  <w:style w:type="character" w:customStyle="1" w:styleId="CommentSubjectChar1">
    <w:name w:val="Comment Subject Char1"/>
    <w:basedOn w:val="CommentTextChar1"/>
    <w:uiPriority w:val="99"/>
    <w:semiHidden/>
    <w:rsid w:val="00291F81"/>
    <w:rPr>
      <w:rFonts w:ascii="Calibri" w:eastAsia="Times New Roman" w:hAnsi="Calibri" w:cs="Times New Roman"/>
      <w:b/>
      <w:bCs/>
      <w:sz w:val="20"/>
      <w:szCs w:val="20"/>
    </w:rPr>
  </w:style>
  <w:style w:type="character" w:customStyle="1" w:styleId="SubtitleChar1">
    <w:name w:val="Subtitle Char1"/>
    <w:basedOn w:val="DefaultParagraphFont"/>
    <w:uiPriority w:val="11"/>
    <w:rsid w:val="00291F81"/>
    <w:rPr>
      <w:rFonts w:asciiTheme="majorHAnsi" w:eastAsiaTheme="majorEastAsia" w:hAnsiTheme="majorHAnsi" w:cstheme="majorBidi"/>
      <w:i/>
      <w:iCs/>
      <w:color w:val="4F81BD" w:themeColor="accent1"/>
      <w:spacing w:val="15"/>
      <w:sz w:val="24"/>
      <w:szCs w:val="24"/>
    </w:rPr>
  </w:style>
  <w:style w:type="character" w:customStyle="1" w:styleId="BodyTextIndentChar1">
    <w:name w:val="Body Text Indent Char1"/>
    <w:basedOn w:val="DefaultParagraphFont"/>
    <w:uiPriority w:val="99"/>
    <w:semiHidden/>
    <w:rsid w:val="00291F81"/>
    <w:rPr>
      <w:rFonts w:ascii="Calibri" w:eastAsia="Times New Roman" w:hAnsi="Calibri" w:cs="Times New Roman"/>
    </w:rPr>
  </w:style>
  <w:style w:type="character" w:customStyle="1" w:styleId="EndnoteTextChar1">
    <w:name w:val="Endnote Text Char1"/>
    <w:basedOn w:val="DefaultParagraphFont"/>
    <w:uiPriority w:val="99"/>
    <w:semiHidden/>
    <w:rsid w:val="00291F81"/>
    <w:rPr>
      <w:rFonts w:ascii="Calibri" w:eastAsia="Times New Roman" w:hAnsi="Calibri" w:cs="Times New Roman"/>
      <w:sz w:val="20"/>
      <w:szCs w:val="20"/>
    </w:rPr>
  </w:style>
  <w:style w:type="character" w:styleId="Emphasis">
    <w:name w:val="Emphasis"/>
    <w:uiPriority w:val="20"/>
    <w:qFormat/>
    <w:rsid w:val="009D5896"/>
    <w:rPr>
      <w:i/>
    </w:rPr>
  </w:style>
  <w:style w:type="character" w:customStyle="1" w:styleId="ColorfulList-Accent1Char1">
    <w:name w:val="Colorful List - Accent 1 Char1"/>
    <w:uiPriority w:val="34"/>
    <w:rsid w:val="009D5896"/>
    <w:rPr>
      <w:rFonts w:ascii="Verdana" w:eastAsia="Batang" w:hAnsi="Verdana" w:cs="Times"/>
      <w:sz w:val="16"/>
      <w:szCs w:val="24"/>
      <w:lang w:val="es-ES_tradnl"/>
    </w:rPr>
  </w:style>
  <w:style w:type="paragraph" w:styleId="Title">
    <w:name w:val="Title"/>
    <w:basedOn w:val="Normal"/>
    <w:next w:val="Normal"/>
    <w:link w:val="TitleChar"/>
    <w:uiPriority w:val="10"/>
    <w:qFormat/>
    <w:rsid w:val="009D5896"/>
    <w:pPr>
      <w:jc w:val="center"/>
    </w:pPr>
    <w:rPr>
      <w:rFonts w:ascii="Verdana" w:eastAsiaTheme="minorHAnsi" w:hAnsi="Verdana" w:cstheme="minorBidi"/>
      <w:b/>
      <w:sz w:val="20"/>
    </w:rPr>
  </w:style>
  <w:style w:type="character" w:customStyle="1" w:styleId="TitleChar">
    <w:name w:val="Title Char"/>
    <w:basedOn w:val="DefaultParagraphFont"/>
    <w:link w:val="Title"/>
    <w:uiPriority w:val="10"/>
    <w:rsid w:val="009D5896"/>
    <w:rPr>
      <w:rFonts w:ascii="Verdana" w:hAnsi="Verdana"/>
      <w:b/>
      <w:sz w:val="20"/>
    </w:rPr>
  </w:style>
  <w:style w:type="paragraph" w:styleId="TOC1">
    <w:name w:val="toc 1"/>
    <w:basedOn w:val="Normal"/>
    <w:next w:val="Normal"/>
    <w:autoRedefine/>
    <w:uiPriority w:val="39"/>
    <w:unhideWhenUsed/>
    <w:qFormat/>
    <w:rsid w:val="005169AC"/>
    <w:pPr>
      <w:tabs>
        <w:tab w:val="left" w:pos="9214"/>
      </w:tabs>
      <w:spacing w:after="0" w:line="240" w:lineRule="auto"/>
      <w:jc w:val="center"/>
    </w:pPr>
    <w:rPr>
      <w:rFonts w:ascii="Verdana" w:hAnsi="Verdana"/>
      <w:b/>
      <w:noProof/>
      <w:sz w:val="20"/>
      <w:szCs w:val="20"/>
    </w:rPr>
  </w:style>
  <w:style w:type="paragraph" w:styleId="TOC3">
    <w:name w:val="toc 3"/>
    <w:basedOn w:val="Normal"/>
    <w:next w:val="Normal"/>
    <w:autoRedefine/>
    <w:uiPriority w:val="39"/>
    <w:unhideWhenUsed/>
    <w:qFormat/>
    <w:rsid w:val="00726DBA"/>
    <w:pPr>
      <w:spacing w:after="100"/>
      <w:ind w:left="440"/>
    </w:pPr>
  </w:style>
  <w:style w:type="paragraph" w:customStyle="1" w:styleId="2Footnotes">
    <w:name w:val="2. Footnotes"/>
    <w:basedOn w:val="FootnoteText"/>
    <w:link w:val="2FootnotesChar"/>
    <w:autoRedefine/>
    <w:qFormat/>
    <w:rsid w:val="00B21672"/>
    <w:pPr>
      <w:spacing w:before="120" w:after="120"/>
      <w:jc w:val="both"/>
    </w:pPr>
    <w:rPr>
      <w:rFonts w:ascii="Verdana" w:eastAsia="Times New Roman" w:hAnsi="Verdana" w:cs="Palatino-Italic"/>
      <w:iCs/>
      <w:noProof/>
      <w:sz w:val="16"/>
      <w:szCs w:val="18"/>
      <w:lang w:val="es-ES"/>
    </w:rPr>
  </w:style>
  <w:style w:type="character" w:customStyle="1" w:styleId="2FootnotesChar">
    <w:name w:val="2. Footnotes Char"/>
    <w:link w:val="2Footnotes"/>
    <w:rsid w:val="00B21672"/>
    <w:rPr>
      <w:rFonts w:ascii="Verdana" w:eastAsia="Times New Roman" w:hAnsi="Verdana" w:cs="Palatino-Italic"/>
      <w:iCs/>
      <w:noProof/>
      <w:sz w:val="16"/>
      <w:szCs w:val="18"/>
      <w:lang w:val="es-ES"/>
    </w:rPr>
  </w:style>
  <w:style w:type="character" w:customStyle="1" w:styleId="st1">
    <w:name w:val="st1"/>
    <w:basedOn w:val="DefaultParagraphFont"/>
    <w:rsid w:val="00B21672"/>
  </w:style>
  <w:style w:type="paragraph" w:styleId="TOC5">
    <w:name w:val="toc 5"/>
    <w:basedOn w:val="Normal"/>
    <w:next w:val="Normal"/>
    <w:autoRedefine/>
    <w:uiPriority w:val="39"/>
    <w:unhideWhenUsed/>
    <w:rsid w:val="002964A7"/>
    <w:pPr>
      <w:spacing w:after="100"/>
      <w:ind w:left="880"/>
    </w:pPr>
    <w:rPr>
      <w:rFonts w:asciiTheme="minorHAnsi" w:eastAsiaTheme="minorEastAsia" w:hAnsiTheme="minorHAnsi" w:cstheme="minorBidi"/>
      <w:lang w:eastAsia="es-CR"/>
    </w:rPr>
  </w:style>
  <w:style w:type="paragraph" w:styleId="TOC6">
    <w:name w:val="toc 6"/>
    <w:basedOn w:val="Normal"/>
    <w:next w:val="Normal"/>
    <w:autoRedefine/>
    <w:uiPriority w:val="39"/>
    <w:unhideWhenUsed/>
    <w:rsid w:val="002964A7"/>
    <w:pPr>
      <w:spacing w:after="100"/>
      <w:ind w:left="1100"/>
    </w:pPr>
    <w:rPr>
      <w:rFonts w:asciiTheme="minorHAnsi" w:eastAsiaTheme="minorEastAsia" w:hAnsiTheme="minorHAnsi" w:cstheme="minorBidi"/>
      <w:lang w:eastAsia="es-CR"/>
    </w:rPr>
  </w:style>
  <w:style w:type="paragraph" w:styleId="TOC7">
    <w:name w:val="toc 7"/>
    <w:basedOn w:val="Normal"/>
    <w:next w:val="Normal"/>
    <w:autoRedefine/>
    <w:uiPriority w:val="39"/>
    <w:unhideWhenUsed/>
    <w:rsid w:val="002964A7"/>
    <w:pPr>
      <w:spacing w:after="100"/>
      <w:ind w:left="1320"/>
    </w:pPr>
    <w:rPr>
      <w:rFonts w:asciiTheme="minorHAnsi" w:eastAsiaTheme="minorEastAsia" w:hAnsiTheme="minorHAnsi" w:cstheme="minorBidi"/>
      <w:lang w:eastAsia="es-CR"/>
    </w:rPr>
  </w:style>
  <w:style w:type="paragraph" w:styleId="TOC8">
    <w:name w:val="toc 8"/>
    <w:basedOn w:val="Normal"/>
    <w:next w:val="Normal"/>
    <w:autoRedefine/>
    <w:uiPriority w:val="39"/>
    <w:unhideWhenUsed/>
    <w:rsid w:val="002964A7"/>
    <w:pPr>
      <w:spacing w:after="100"/>
      <w:ind w:left="1540"/>
    </w:pPr>
    <w:rPr>
      <w:rFonts w:asciiTheme="minorHAnsi" w:eastAsiaTheme="minorEastAsia" w:hAnsiTheme="minorHAnsi" w:cstheme="minorBidi"/>
      <w:lang w:eastAsia="es-CR"/>
    </w:rPr>
  </w:style>
  <w:style w:type="paragraph" w:styleId="TOC9">
    <w:name w:val="toc 9"/>
    <w:basedOn w:val="Normal"/>
    <w:next w:val="Normal"/>
    <w:autoRedefine/>
    <w:uiPriority w:val="39"/>
    <w:unhideWhenUsed/>
    <w:rsid w:val="002964A7"/>
    <w:pPr>
      <w:spacing w:after="100"/>
      <w:ind w:left="1760"/>
    </w:pPr>
    <w:rPr>
      <w:rFonts w:asciiTheme="minorHAnsi" w:eastAsiaTheme="minorEastAsia" w:hAnsiTheme="minorHAnsi" w:cstheme="minorBidi"/>
      <w:lang w:eastAsia="es-CR"/>
    </w:rPr>
  </w:style>
  <w:style w:type="character" w:styleId="LineNumber">
    <w:name w:val="line number"/>
    <w:basedOn w:val="DefaultParagraphFont"/>
    <w:uiPriority w:val="99"/>
    <w:semiHidden/>
    <w:unhideWhenUsed/>
    <w:rsid w:val="00103F1B"/>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DefaultParagraphFont"/>
    <w:locked/>
    <w:rsid w:val="00F20026"/>
  </w:style>
  <w:style w:type="paragraph" w:styleId="TOCHeading">
    <w:name w:val="TOC Heading"/>
    <w:basedOn w:val="Heading1"/>
    <w:next w:val="Normal"/>
    <w:uiPriority w:val="39"/>
    <w:semiHidden/>
    <w:unhideWhenUsed/>
    <w:qFormat/>
    <w:rsid w:val="001154F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s-CR" w:eastAsia="es-CR"/>
    </w:rPr>
  </w:style>
  <w:style w:type="character" w:customStyle="1" w:styleId="Estilo3Car">
    <w:name w:val="Estilo3 Car"/>
    <w:basedOn w:val="ListParagraphChar"/>
    <w:link w:val="Estilo3"/>
    <w:rsid w:val="00250316"/>
    <w:rPr>
      <w:rFonts w:ascii="Verdana" w:eastAsia="Calibri" w:hAnsi="Verdana"/>
      <w:spacing w:val="-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B6"/>
    <w:rPr>
      <w:rFonts w:ascii="Calibri" w:eastAsia="Times New Roman" w:hAnsi="Calibri" w:cs="Times New Roman"/>
    </w:rPr>
  </w:style>
  <w:style w:type="paragraph" w:styleId="Heading1">
    <w:name w:val="heading 1"/>
    <w:basedOn w:val="Normal"/>
    <w:next w:val="Normal"/>
    <w:link w:val="Heading1Char"/>
    <w:uiPriority w:val="9"/>
    <w:qFormat/>
    <w:rsid w:val="001154F9"/>
    <w:pPr>
      <w:keepNext/>
      <w:spacing w:after="0" w:line="240" w:lineRule="auto"/>
      <w:jc w:val="center"/>
      <w:outlineLvl w:val="0"/>
    </w:pPr>
    <w:rPr>
      <w:rFonts w:ascii="Verdana" w:hAnsi="Verdana"/>
      <w:b/>
      <w:bCs/>
      <w:kern w:val="32"/>
      <w:sz w:val="20"/>
      <w:szCs w:val="32"/>
      <w:lang w:val="es-ES_tradnl"/>
    </w:rPr>
  </w:style>
  <w:style w:type="paragraph" w:styleId="Heading2">
    <w:name w:val="heading 2"/>
    <w:basedOn w:val="Normal"/>
    <w:next w:val="Normal"/>
    <w:link w:val="Heading2Char"/>
    <w:uiPriority w:val="9"/>
    <w:unhideWhenUsed/>
    <w:qFormat/>
    <w:rsid w:val="001154F9"/>
    <w:pPr>
      <w:keepNext/>
      <w:keepLines/>
      <w:numPr>
        <w:numId w:val="1"/>
      </w:numPr>
      <w:spacing w:after="0"/>
      <w:jc w:val="center"/>
      <w:outlineLvl w:val="1"/>
    </w:pPr>
    <w:rPr>
      <w:rFonts w:ascii="Verdana" w:hAnsi="Verdana"/>
      <w:b/>
      <w:bCs/>
      <w:sz w:val="20"/>
      <w:szCs w:val="26"/>
    </w:rPr>
  </w:style>
  <w:style w:type="paragraph" w:styleId="Heading3">
    <w:name w:val="heading 3"/>
    <w:basedOn w:val="Normal"/>
    <w:next w:val="Normal"/>
    <w:link w:val="Heading3Char"/>
    <w:uiPriority w:val="9"/>
    <w:unhideWhenUsed/>
    <w:qFormat/>
    <w:rsid w:val="001154F9"/>
    <w:pPr>
      <w:keepNext/>
      <w:keepLines/>
      <w:spacing w:before="200" w:after="0"/>
      <w:outlineLvl w:val="2"/>
    </w:pPr>
    <w:rPr>
      <w:rFonts w:ascii="Verdana" w:hAnsi="Verdana"/>
      <w:b/>
      <w:bCs/>
      <w:sz w:val="20"/>
      <w:szCs w:val="20"/>
    </w:rPr>
  </w:style>
  <w:style w:type="paragraph" w:styleId="Heading4">
    <w:name w:val="heading 4"/>
    <w:basedOn w:val="Normal"/>
    <w:next w:val="Normal"/>
    <w:link w:val="Heading4Char"/>
    <w:uiPriority w:val="9"/>
    <w:unhideWhenUsed/>
    <w:qFormat/>
    <w:rsid w:val="00502AB6"/>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unhideWhenUsed/>
    <w:qFormat/>
    <w:rsid w:val="00502AB6"/>
    <w:pPr>
      <w:spacing w:before="240" w:after="60"/>
      <w:outlineLvl w:val="4"/>
    </w:pPr>
    <w:rPr>
      <w:b/>
      <w:bCs/>
      <w:i/>
      <w:iCs/>
      <w:sz w:val="26"/>
      <w:szCs w:val="26"/>
    </w:rPr>
  </w:style>
  <w:style w:type="paragraph" w:styleId="Heading6">
    <w:name w:val="heading 6"/>
    <w:basedOn w:val="Heading5"/>
    <w:next w:val="Normal"/>
    <w:link w:val="Heading6Char"/>
    <w:uiPriority w:val="9"/>
    <w:unhideWhenUsed/>
    <w:qFormat/>
    <w:rsid w:val="00502AB6"/>
    <w:pPr>
      <w:numPr>
        <w:ilvl w:val="4"/>
        <w:numId w:val="2"/>
      </w:numPr>
      <w:spacing w:before="0" w:after="0" w:line="240" w:lineRule="auto"/>
      <w:jc w:val="both"/>
      <w:outlineLvl w:val="5"/>
    </w:pPr>
    <w:rPr>
      <w:rFonts w:ascii="Verdana" w:hAnsi="Verdana"/>
      <w:b w:val="0"/>
      <w:bCs w:val="0"/>
      <w:i w:val="0"/>
      <w:iCs w:val="0"/>
      <w:spacing w:val="-2"/>
      <w:sz w:val="20"/>
      <w:szCs w:val="20"/>
      <w:lang w:val="es-ES_tradnl"/>
    </w:rPr>
  </w:style>
  <w:style w:type="paragraph" w:styleId="Heading7">
    <w:name w:val="heading 7"/>
    <w:basedOn w:val="Normal"/>
    <w:next w:val="Normal"/>
    <w:link w:val="Heading7Char"/>
    <w:uiPriority w:val="9"/>
    <w:semiHidden/>
    <w:unhideWhenUsed/>
    <w:qFormat/>
    <w:rsid w:val="00502AB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4F9"/>
    <w:rPr>
      <w:rFonts w:ascii="Verdana" w:eastAsia="Times New Roman" w:hAnsi="Verdana" w:cs="Times New Roman"/>
      <w:b/>
      <w:bCs/>
      <w:kern w:val="32"/>
      <w:sz w:val="20"/>
      <w:szCs w:val="32"/>
      <w:lang w:val="es-ES_tradnl"/>
    </w:rPr>
  </w:style>
  <w:style w:type="character" w:customStyle="1" w:styleId="Heading2Char">
    <w:name w:val="Heading 2 Char"/>
    <w:basedOn w:val="DefaultParagraphFont"/>
    <w:link w:val="Heading2"/>
    <w:uiPriority w:val="9"/>
    <w:rsid w:val="001154F9"/>
    <w:rPr>
      <w:rFonts w:ascii="Verdana" w:eastAsia="Times New Roman" w:hAnsi="Verdana" w:cs="Times New Roman"/>
      <w:b/>
      <w:bCs/>
      <w:sz w:val="20"/>
      <w:szCs w:val="26"/>
    </w:rPr>
  </w:style>
  <w:style w:type="character" w:customStyle="1" w:styleId="Heading3Char">
    <w:name w:val="Heading 3 Char"/>
    <w:basedOn w:val="DefaultParagraphFont"/>
    <w:link w:val="Heading3"/>
    <w:uiPriority w:val="9"/>
    <w:rsid w:val="001154F9"/>
    <w:rPr>
      <w:rFonts w:ascii="Verdana" w:eastAsia="Times New Roman" w:hAnsi="Verdana" w:cs="Times New Roman"/>
      <w:b/>
      <w:bCs/>
      <w:sz w:val="20"/>
      <w:szCs w:val="20"/>
    </w:rPr>
  </w:style>
  <w:style w:type="character" w:customStyle="1" w:styleId="Heading4Char">
    <w:name w:val="Heading 4 Char"/>
    <w:basedOn w:val="DefaultParagraphFont"/>
    <w:link w:val="Heading4"/>
    <w:uiPriority w:val="9"/>
    <w:rsid w:val="00502AB6"/>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rsid w:val="00502AB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02AB6"/>
    <w:rPr>
      <w:rFonts w:ascii="Verdana" w:eastAsia="Times New Roman" w:hAnsi="Verdana" w:cs="Times New Roman"/>
      <w:spacing w:val="-2"/>
      <w:sz w:val="20"/>
      <w:szCs w:val="20"/>
      <w:lang w:val="es-ES_tradnl"/>
    </w:rPr>
  </w:style>
  <w:style w:type="character" w:customStyle="1" w:styleId="Heading7Char">
    <w:name w:val="Heading 7 Char"/>
    <w:basedOn w:val="DefaultParagraphFont"/>
    <w:link w:val="Heading7"/>
    <w:uiPriority w:val="9"/>
    <w:semiHidden/>
    <w:rsid w:val="00502AB6"/>
    <w:rPr>
      <w:rFonts w:asciiTheme="majorHAnsi" w:eastAsiaTheme="majorEastAsia" w:hAnsiTheme="majorHAnsi" w:cstheme="majorBidi"/>
      <w:i/>
      <w:iCs/>
      <w:color w:val="404040" w:themeColor="text1" w:themeTint="BF"/>
    </w:rPr>
  </w:style>
  <w:style w:type="character" w:styleId="Hyperlink">
    <w:name w:val="Hyperlink"/>
    <w:aliases w:val="Heading 3 caso"/>
    <w:uiPriority w:val="99"/>
    <w:unhideWhenUsed/>
    <w:rsid w:val="00502AB6"/>
    <w:rPr>
      <w:color w:val="0000FF"/>
      <w:u w:val="single"/>
    </w:rPr>
  </w:style>
  <w:style w:type="character" w:styleId="FollowedHyperlink">
    <w:name w:val="FollowedHyperlink"/>
    <w:uiPriority w:val="99"/>
    <w:semiHidden/>
    <w:unhideWhenUsed/>
    <w:rsid w:val="00502AB6"/>
    <w:rPr>
      <w:color w:val="800080"/>
      <w:u w:val="single"/>
    </w:rPr>
  </w:style>
  <w:style w:type="paragraph" w:styleId="NormalWeb">
    <w:name w:val="Normal (Web)"/>
    <w:aliases w:val="Normal (Web) Char1,Normal (Web) Char Char,Normal (Web) Char1 Char,Normal (Web) Char Char Char"/>
    <w:basedOn w:val="Heading1"/>
    <w:next w:val="Normal"/>
    <w:autoRedefine/>
    <w:uiPriority w:val="99"/>
    <w:unhideWhenUsed/>
    <w:qFormat/>
    <w:rsid w:val="00400B40"/>
    <w:pPr>
      <w:keepLines/>
      <w:tabs>
        <w:tab w:val="left" w:pos="851"/>
      </w:tabs>
      <w:snapToGrid w:val="0"/>
      <w:spacing w:after="120"/>
      <w:contextualSpacing/>
      <w:jc w:val="both"/>
      <w:outlineLvl w:val="9"/>
    </w:pPr>
    <w:rPr>
      <w:rFonts w:cs="Calibri"/>
      <w:b w:val="0"/>
      <w:kern w:val="0"/>
      <w:sz w:val="16"/>
      <w:szCs w:val="16"/>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C Char"/>
    <w:basedOn w:val="DefaultParagraphFont"/>
    <w:link w:val="FootnoteText"/>
    <w:locked/>
    <w:rsid w:val="00502AB6"/>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FA Fu?notente,Ca,C,ft"/>
    <w:basedOn w:val="Normal"/>
    <w:link w:val="FootnoteTextChar"/>
    <w:unhideWhenUsed/>
    <w:qFormat/>
    <w:rsid w:val="00502AB6"/>
    <w:pPr>
      <w:spacing w:after="0" w:line="240" w:lineRule="auto"/>
    </w:pPr>
    <w:rPr>
      <w:rFonts w:asciiTheme="minorHAnsi" w:eastAsiaTheme="minorHAnsi" w:hAnsiTheme="minorHAnsi" w:cstheme="minorBidi"/>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C Car1"/>
    <w:basedOn w:val="DefaultParagraphFont"/>
    <w:rsid w:val="00502AB6"/>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locked/>
    <w:rsid w:val="00502AB6"/>
    <w:rPr>
      <w:rFonts w:ascii="Calibri" w:eastAsia="Calibri" w:hAnsi="Calibri"/>
    </w:rPr>
  </w:style>
  <w:style w:type="character" w:customStyle="1" w:styleId="HeaderChar">
    <w:name w:val="Header Char"/>
    <w:basedOn w:val="DefaultParagraphFont"/>
    <w:link w:val="Header"/>
    <w:uiPriority w:val="99"/>
    <w:locked/>
    <w:rsid w:val="00502AB6"/>
    <w:rPr>
      <w:rFonts w:ascii="Calibri" w:eastAsia="Calibri" w:hAnsi="Calibri"/>
    </w:rPr>
  </w:style>
  <w:style w:type="character" w:customStyle="1" w:styleId="FooterChar">
    <w:name w:val="Footer Char"/>
    <w:basedOn w:val="DefaultParagraphFont"/>
    <w:link w:val="Footer"/>
    <w:uiPriority w:val="99"/>
    <w:locked/>
    <w:rsid w:val="00502AB6"/>
    <w:rPr>
      <w:rFonts w:ascii="Calibri" w:eastAsia="Calibri" w:hAnsi="Calibri"/>
    </w:rPr>
  </w:style>
  <w:style w:type="character" w:customStyle="1" w:styleId="EndnoteTextChar">
    <w:name w:val="Endnote Text Char"/>
    <w:basedOn w:val="DefaultParagraphFont"/>
    <w:link w:val="EndnoteText"/>
    <w:locked/>
    <w:rsid w:val="00502AB6"/>
    <w:rPr>
      <w:rFonts w:ascii="Calibri" w:eastAsia="Calibri" w:hAnsi="Calibri"/>
    </w:rPr>
  </w:style>
  <w:style w:type="character" w:customStyle="1" w:styleId="BodyTextChar">
    <w:name w:val="Body Text Char"/>
    <w:basedOn w:val="DefaultParagraphFont"/>
    <w:link w:val="BodyText"/>
    <w:locked/>
    <w:rsid w:val="00502AB6"/>
    <w:rPr>
      <w:rFonts w:ascii="Calibri" w:eastAsia="Calibri" w:hAnsi="Calibri"/>
    </w:rPr>
  </w:style>
  <w:style w:type="character" w:customStyle="1" w:styleId="BodyTextIndentChar">
    <w:name w:val="Body Text Indent Char"/>
    <w:basedOn w:val="DefaultParagraphFont"/>
    <w:link w:val="BodyTextIndent"/>
    <w:locked/>
    <w:rsid w:val="00502AB6"/>
    <w:rPr>
      <w:rFonts w:ascii="Univers" w:hAnsi="Univers"/>
      <w:lang w:val="es-CL"/>
    </w:rPr>
  </w:style>
  <w:style w:type="character" w:customStyle="1" w:styleId="SubtitleChar">
    <w:name w:val="Subtitle Char"/>
    <w:basedOn w:val="DefaultParagraphFont"/>
    <w:link w:val="Subtitle"/>
    <w:locked/>
    <w:rsid w:val="00502AB6"/>
    <w:rPr>
      <w:rFonts w:ascii="Cambria" w:hAnsi="Cambria"/>
      <w:sz w:val="24"/>
      <w:szCs w:val="24"/>
    </w:rPr>
  </w:style>
  <w:style w:type="paragraph" w:styleId="CommentText">
    <w:name w:val="annotation text"/>
    <w:basedOn w:val="Normal"/>
    <w:link w:val="CommentTextChar"/>
    <w:uiPriority w:val="99"/>
    <w:unhideWhenUsed/>
    <w:rsid w:val="00502AB6"/>
    <w:pPr>
      <w:spacing w:line="240" w:lineRule="auto"/>
    </w:pPr>
    <w:rPr>
      <w:rFonts w:eastAsia="Calibri" w:cstheme="minorBidi"/>
    </w:rPr>
  </w:style>
  <w:style w:type="character" w:customStyle="1" w:styleId="TextocomentarioCar1">
    <w:name w:val="Texto comentario Car1"/>
    <w:basedOn w:val="DefaultParagraphFont"/>
    <w:uiPriority w:val="99"/>
    <w:semiHidden/>
    <w:rsid w:val="00502AB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locked/>
    <w:rsid w:val="00502AB6"/>
    <w:rPr>
      <w:rFonts w:ascii="Calibri" w:eastAsia="Calibri" w:hAnsi="Calibri"/>
      <w:b/>
      <w:bCs/>
    </w:rPr>
  </w:style>
  <w:style w:type="character" w:customStyle="1" w:styleId="BalloonTextChar">
    <w:name w:val="Balloon Text Char"/>
    <w:basedOn w:val="DefaultParagraphFont"/>
    <w:link w:val="BalloonText"/>
    <w:uiPriority w:val="99"/>
    <w:semiHidden/>
    <w:locked/>
    <w:rsid w:val="00502AB6"/>
    <w:rPr>
      <w:rFonts w:ascii="Tahoma" w:hAnsi="Tahoma" w:cs="Tahoma"/>
      <w:sz w:val="16"/>
      <w:szCs w:val="16"/>
    </w:rPr>
  </w:style>
  <w:style w:type="character" w:customStyle="1" w:styleId="ListParagraphChar">
    <w:name w:val="List Paragraph Char"/>
    <w:aliases w:val="Párrafo de lista1 Char,List Paragraph1 Char,Colorful List - Accent 11 Char,Footnote Char"/>
    <w:link w:val="ListParagraph"/>
    <w:uiPriority w:val="99"/>
    <w:locked/>
    <w:rsid w:val="00502AB6"/>
  </w:style>
  <w:style w:type="paragraph" w:styleId="ListParagraph">
    <w:name w:val="List Paragraph"/>
    <w:aliases w:val="Párrafo de lista1,List Paragraph1,Colorful List - Accent 11,Footnote"/>
    <w:basedOn w:val="Normal"/>
    <w:link w:val="ListParagraphChar"/>
    <w:uiPriority w:val="99"/>
    <w:qFormat/>
    <w:rsid w:val="00502AB6"/>
    <w:pPr>
      <w:ind w:left="720"/>
      <w:contextualSpacing/>
    </w:pPr>
    <w:rPr>
      <w:rFonts w:asciiTheme="minorHAnsi" w:eastAsiaTheme="minorHAnsi" w:hAnsiTheme="minorHAnsi" w:cstheme="minorBidi"/>
    </w:rPr>
  </w:style>
  <w:style w:type="paragraph" w:customStyle="1" w:styleId="citaindirecta">
    <w:name w:val="cita indirecta"/>
    <w:basedOn w:val="Normal"/>
    <w:uiPriority w:val="99"/>
    <w:rsid w:val="00502AB6"/>
    <w:pPr>
      <w:spacing w:after="0" w:line="240" w:lineRule="auto"/>
      <w:ind w:left="708"/>
      <w:jc w:val="both"/>
    </w:pPr>
    <w:rPr>
      <w:rFonts w:ascii="Verdana" w:hAnsi="Verdana"/>
      <w:sz w:val="20"/>
      <w:szCs w:val="20"/>
      <w:lang w:val="es-ES_tradnl"/>
    </w:rPr>
  </w:style>
  <w:style w:type="paragraph" w:customStyle="1" w:styleId="Estilo3">
    <w:name w:val="Estilo3"/>
    <w:basedOn w:val="ListParagraph"/>
    <w:link w:val="Estilo3Car"/>
    <w:qFormat/>
    <w:rsid w:val="00502AB6"/>
    <w:pPr>
      <w:spacing w:after="120" w:line="216" w:lineRule="auto"/>
      <w:ind w:left="0" w:right="17" w:firstLine="357"/>
      <w:contextualSpacing w:val="0"/>
      <w:jc w:val="both"/>
    </w:pPr>
    <w:rPr>
      <w:rFonts w:ascii="Verdana" w:eastAsia="Calibri" w:hAnsi="Verdana"/>
      <w:spacing w:val="-2"/>
      <w:lang w:val="es-MX"/>
    </w:rPr>
  </w:style>
  <w:style w:type="paragraph" w:customStyle="1" w:styleId="Estilo5">
    <w:name w:val="Estilo5"/>
    <w:basedOn w:val="ListParagraph"/>
    <w:link w:val="Estilo5Car"/>
    <w:qFormat/>
    <w:rsid w:val="00502AB6"/>
    <w:pPr>
      <w:spacing w:after="120" w:line="216" w:lineRule="auto"/>
      <w:ind w:left="0" w:right="18"/>
      <w:contextualSpacing w:val="0"/>
      <w:jc w:val="both"/>
    </w:pPr>
    <w:rPr>
      <w:rFonts w:ascii="Verdana" w:eastAsia="Calibri" w:hAnsi="Verdana"/>
      <w:spacing w:val="-2"/>
      <w:lang w:val="es-MX"/>
    </w:rPr>
  </w:style>
  <w:style w:type="character" w:customStyle="1" w:styleId="Estilo8Car">
    <w:name w:val="Estilo8 Car"/>
    <w:link w:val="Estilo8"/>
    <w:locked/>
    <w:rsid w:val="00502AB6"/>
    <w:rPr>
      <w:rFonts w:ascii="Verdana" w:eastAsia="Calibri" w:hAnsi="Verdana"/>
      <w:spacing w:val="-2"/>
      <w:lang w:val="es-MX"/>
    </w:rPr>
  </w:style>
  <w:style w:type="paragraph" w:customStyle="1" w:styleId="Estilo8">
    <w:name w:val="Estilo8"/>
    <w:basedOn w:val="Estilo3"/>
    <w:link w:val="Estilo8Car"/>
    <w:qFormat/>
    <w:rsid w:val="00502AB6"/>
    <w:pPr>
      <w:ind w:left="1080" w:hanging="358"/>
    </w:pPr>
  </w:style>
  <w:style w:type="paragraph" w:customStyle="1" w:styleId="Default">
    <w:name w:val="Default"/>
    <w:rsid w:val="00502AB6"/>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Prrafodelista2">
    <w:name w:val="Párrafo de lista2"/>
    <w:basedOn w:val="Normal"/>
    <w:uiPriority w:val="99"/>
    <w:rsid w:val="00502AB6"/>
    <w:pPr>
      <w:spacing w:after="0" w:line="240" w:lineRule="auto"/>
      <w:ind w:left="720"/>
    </w:pPr>
    <w:rPr>
      <w:rFonts w:ascii="Verdana" w:eastAsia="MS Mincho" w:hAnsi="Verdana"/>
      <w:sz w:val="20"/>
      <w:szCs w:val="20"/>
      <w:lang w:val="es-ES_tradnl"/>
    </w:rPr>
  </w:style>
  <w:style w:type="character" w:customStyle="1" w:styleId="Estilo1Car">
    <w:name w:val="Estilo1 Car"/>
    <w:link w:val="Estilo1"/>
    <w:locked/>
    <w:rsid w:val="001154F9"/>
    <w:rPr>
      <w:rFonts w:ascii="Verdana" w:hAnsi="Verdana"/>
      <w:b/>
      <w:sz w:val="20"/>
    </w:rPr>
  </w:style>
  <w:style w:type="paragraph" w:customStyle="1" w:styleId="Estilo1">
    <w:name w:val="Estilo1"/>
    <w:basedOn w:val="Normal"/>
    <w:next w:val="Normal"/>
    <w:link w:val="Estilo1Car"/>
    <w:qFormat/>
    <w:rsid w:val="001154F9"/>
    <w:pPr>
      <w:tabs>
        <w:tab w:val="left" w:pos="567"/>
        <w:tab w:val="left" w:pos="1134"/>
      </w:tabs>
      <w:spacing w:after="0" w:line="240" w:lineRule="auto"/>
      <w:jc w:val="center"/>
    </w:pPr>
    <w:rPr>
      <w:rFonts w:ascii="Verdana" w:eastAsiaTheme="minorHAnsi" w:hAnsi="Verdana" w:cstheme="minorBidi"/>
      <w:b/>
      <w:sz w:val="20"/>
    </w:rPr>
  </w:style>
  <w:style w:type="paragraph" w:customStyle="1" w:styleId="Estilo7">
    <w:name w:val="Estilo7"/>
    <w:basedOn w:val="Normal"/>
    <w:uiPriority w:val="99"/>
    <w:qFormat/>
    <w:rsid w:val="00502AB6"/>
    <w:pPr>
      <w:tabs>
        <w:tab w:val="left" w:pos="567"/>
        <w:tab w:val="left" w:pos="851"/>
        <w:tab w:val="num" w:pos="2160"/>
      </w:tabs>
      <w:spacing w:before="120" w:after="120" w:line="240" w:lineRule="auto"/>
      <w:ind w:left="2160" w:hanging="180"/>
      <w:jc w:val="both"/>
    </w:pPr>
    <w:rPr>
      <w:rFonts w:ascii="Verdana" w:eastAsia="Batang" w:hAnsi="Verdana"/>
      <w:b/>
      <w:i/>
      <w:sz w:val="20"/>
      <w:szCs w:val="20"/>
      <w:lang w:val="es-ES_tradnl" w:eastAsia="es-MX"/>
    </w:rPr>
  </w:style>
  <w:style w:type="character" w:customStyle="1" w:styleId="PrrafodeSentenciaChar">
    <w:name w:val="*. Párrafo de Sentencia Char"/>
    <w:link w:val="PrrafodeSentencia"/>
    <w:locked/>
    <w:rsid w:val="00502AB6"/>
    <w:rPr>
      <w:rFonts w:ascii="Verdana" w:eastAsia="Batang" w:hAnsi="Verdana"/>
      <w:lang w:eastAsia="es-MX"/>
    </w:rPr>
  </w:style>
  <w:style w:type="paragraph" w:customStyle="1" w:styleId="PrrafodeSentencia">
    <w:name w:val="*. Párrafo de Sentencia"/>
    <w:link w:val="PrrafodeSentenciaChar"/>
    <w:autoRedefine/>
    <w:qFormat/>
    <w:rsid w:val="00502AB6"/>
    <w:pPr>
      <w:tabs>
        <w:tab w:val="num" w:pos="0"/>
        <w:tab w:val="center" w:pos="567"/>
      </w:tabs>
      <w:spacing w:after="0" w:line="240" w:lineRule="auto"/>
      <w:jc w:val="both"/>
    </w:pPr>
    <w:rPr>
      <w:rFonts w:ascii="Verdana" w:eastAsia="Batang" w:hAnsi="Verdana"/>
      <w:lang w:eastAsia="es-MX"/>
    </w:rPr>
  </w:style>
  <w:style w:type="character" w:customStyle="1" w:styleId="Estilo2Car">
    <w:name w:val="Estilo2 Car"/>
    <w:link w:val="Estilo2"/>
    <w:locked/>
    <w:rsid w:val="001154F9"/>
    <w:rPr>
      <w:rFonts w:ascii="Verdana" w:eastAsia="Calibri" w:hAnsi="Verdana"/>
      <w:b/>
      <w:sz w:val="20"/>
    </w:rPr>
  </w:style>
  <w:style w:type="paragraph" w:customStyle="1" w:styleId="Estilo2">
    <w:name w:val="Estilo2"/>
    <w:basedOn w:val="Normal"/>
    <w:next w:val="Normal"/>
    <w:link w:val="Estilo2Car"/>
    <w:qFormat/>
    <w:rsid w:val="001154F9"/>
    <w:pPr>
      <w:tabs>
        <w:tab w:val="left" w:pos="567"/>
        <w:tab w:val="left" w:pos="1134"/>
      </w:tabs>
      <w:spacing w:after="120" w:line="240" w:lineRule="auto"/>
    </w:pPr>
    <w:rPr>
      <w:rFonts w:ascii="Verdana" w:eastAsia="Calibri" w:hAnsi="Verdana" w:cstheme="minorBidi"/>
      <w:b/>
      <w:sz w:val="20"/>
    </w:rPr>
  </w:style>
  <w:style w:type="paragraph" w:customStyle="1" w:styleId="s32b251d">
    <w:name w:val="s32b251d"/>
    <w:basedOn w:val="Normal"/>
    <w:uiPriority w:val="99"/>
    <w:rsid w:val="00502AB6"/>
    <w:pPr>
      <w:spacing w:before="100" w:beforeAutospacing="1" w:after="100" w:afterAutospacing="1" w:line="240" w:lineRule="auto"/>
    </w:pPr>
    <w:rPr>
      <w:rFonts w:ascii="Times New Roman" w:hAnsi="Times New Roman"/>
      <w:sz w:val="24"/>
      <w:szCs w:val="24"/>
    </w:rPr>
  </w:style>
  <w:style w:type="character" w:customStyle="1" w:styleId="Estilo4Car">
    <w:name w:val="Estilo4 Car"/>
    <w:link w:val="Estilo4"/>
    <w:locked/>
    <w:rsid w:val="00502AB6"/>
    <w:rPr>
      <w:rFonts w:ascii="Verdana" w:hAnsi="Verdana"/>
      <w:spacing w:val="-2"/>
    </w:rPr>
  </w:style>
  <w:style w:type="paragraph" w:customStyle="1" w:styleId="Estilo4">
    <w:name w:val="Estilo4"/>
    <w:basedOn w:val="ListParagraph"/>
    <w:link w:val="Estilo4Car"/>
    <w:qFormat/>
    <w:rsid w:val="00502AB6"/>
    <w:pPr>
      <w:spacing w:after="120" w:line="240" w:lineRule="auto"/>
      <w:ind w:left="0"/>
      <w:contextualSpacing w:val="0"/>
      <w:jc w:val="both"/>
    </w:pPr>
    <w:rPr>
      <w:rFonts w:ascii="Verdana" w:hAnsi="Verdana"/>
      <w:spacing w:val="-2"/>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FootnotesChar"/>
    <w:unhideWhenUsed/>
    <w:qFormat/>
    <w:rsid w:val="00400B40"/>
    <w:rPr>
      <w:rFonts w:ascii="Verdana" w:eastAsia="Times New Roman" w:hAnsi="Verdana" w:cs="Palatino-Italic"/>
      <w:iCs/>
      <w:spacing w:val="-4"/>
      <w:sz w:val="20"/>
      <w:szCs w:val="16"/>
      <w:vertAlign w:val="superscript"/>
      <w:lang w:val="es-ES" w:bidi="en-US"/>
    </w:rPr>
  </w:style>
  <w:style w:type="character" w:styleId="CommentReference">
    <w:name w:val="annotation reference"/>
    <w:uiPriority w:val="99"/>
    <w:semiHidden/>
    <w:unhideWhenUsed/>
    <w:rsid w:val="00502AB6"/>
    <w:rPr>
      <w:sz w:val="16"/>
      <w:szCs w:val="16"/>
    </w:rPr>
  </w:style>
  <w:style w:type="character" w:styleId="EndnoteReference">
    <w:name w:val="endnote reference"/>
    <w:semiHidden/>
    <w:unhideWhenUsed/>
    <w:rsid w:val="00502AB6"/>
    <w:rPr>
      <w:vertAlign w:val="superscript"/>
    </w:rPr>
  </w:style>
  <w:style w:type="character" w:customStyle="1" w:styleId="Ttulo7Car1">
    <w:name w:val="Título 7 Car1"/>
    <w:basedOn w:val="DefaultParagraphFont"/>
    <w:uiPriority w:val="9"/>
    <w:semiHidden/>
    <w:rsid w:val="00502AB6"/>
    <w:rPr>
      <w:rFonts w:asciiTheme="majorHAnsi" w:eastAsiaTheme="majorEastAsia" w:hAnsiTheme="majorHAnsi" w:cstheme="majorBidi"/>
      <w:i/>
      <w:iCs/>
      <w:color w:val="404040" w:themeColor="text1" w:themeTint="BF"/>
      <w:sz w:val="22"/>
      <w:szCs w:val="22"/>
      <w:lang w:val="es-CR" w:eastAsia="en-US"/>
    </w:rPr>
  </w:style>
  <w:style w:type="paragraph" w:styleId="BalloonText">
    <w:name w:val="Balloon Text"/>
    <w:basedOn w:val="Normal"/>
    <w:link w:val="BalloonTextChar"/>
    <w:uiPriority w:val="99"/>
    <w:semiHidden/>
    <w:unhideWhenUsed/>
    <w:rsid w:val="00502AB6"/>
    <w:pPr>
      <w:spacing w:after="0" w:line="240" w:lineRule="auto"/>
    </w:pPr>
    <w:rPr>
      <w:rFonts w:ascii="Tahoma" w:eastAsiaTheme="minorHAnsi" w:hAnsi="Tahoma" w:cs="Tahoma"/>
      <w:sz w:val="16"/>
      <w:szCs w:val="16"/>
    </w:rPr>
  </w:style>
  <w:style w:type="character" w:customStyle="1" w:styleId="TextodegloboCar1">
    <w:name w:val="Texto de globo Car1"/>
    <w:basedOn w:val="DefaultParagraphFont"/>
    <w:uiPriority w:val="99"/>
    <w:semiHidden/>
    <w:rsid w:val="00502AB6"/>
    <w:rPr>
      <w:rFonts w:ascii="Tahoma" w:eastAsia="Times New Roman" w:hAnsi="Tahoma" w:cs="Tahoma"/>
      <w:sz w:val="16"/>
      <w:szCs w:val="16"/>
    </w:rPr>
  </w:style>
  <w:style w:type="paragraph" w:styleId="Header">
    <w:name w:val="header"/>
    <w:basedOn w:val="Normal"/>
    <w:link w:val="HeaderChar"/>
    <w:uiPriority w:val="99"/>
    <w:unhideWhenUsed/>
    <w:rsid w:val="00502AB6"/>
    <w:pPr>
      <w:tabs>
        <w:tab w:val="center" w:pos="4419"/>
        <w:tab w:val="right" w:pos="8838"/>
      </w:tabs>
      <w:spacing w:after="0" w:line="240" w:lineRule="auto"/>
    </w:pPr>
    <w:rPr>
      <w:rFonts w:eastAsia="Calibri" w:cstheme="minorBidi"/>
    </w:rPr>
  </w:style>
  <w:style w:type="character" w:customStyle="1" w:styleId="EncabezadoCar1">
    <w:name w:val="Encabezado Car1"/>
    <w:basedOn w:val="DefaultParagraphFont"/>
    <w:uiPriority w:val="99"/>
    <w:semiHidden/>
    <w:rsid w:val="00502AB6"/>
    <w:rPr>
      <w:rFonts w:ascii="Calibri" w:eastAsia="Times New Roman" w:hAnsi="Calibri" w:cs="Times New Roman"/>
    </w:rPr>
  </w:style>
  <w:style w:type="paragraph" w:styleId="Footer">
    <w:name w:val="footer"/>
    <w:basedOn w:val="Normal"/>
    <w:link w:val="FooterChar"/>
    <w:uiPriority w:val="99"/>
    <w:unhideWhenUsed/>
    <w:rsid w:val="00502AB6"/>
    <w:pPr>
      <w:tabs>
        <w:tab w:val="center" w:pos="4419"/>
        <w:tab w:val="right" w:pos="8838"/>
      </w:tabs>
      <w:spacing w:after="0" w:line="240" w:lineRule="auto"/>
    </w:pPr>
    <w:rPr>
      <w:rFonts w:eastAsia="Calibri" w:cstheme="minorBidi"/>
    </w:rPr>
  </w:style>
  <w:style w:type="character" w:customStyle="1" w:styleId="PiedepginaCar1">
    <w:name w:val="Pie de página Car1"/>
    <w:basedOn w:val="DefaultParagraphFont"/>
    <w:uiPriority w:val="99"/>
    <w:semiHidden/>
    <w:rsid w:val="00502AB6"/>
    <w:rPr>
      <w:rFonts w:ascii="Calibri" w:eastAsia="Times New Roman" w:hAnsi="Calibri" w:cs="Times New Roman"/>
    </w:rPr>
  </w:style>
  <w:style w:type="paragraph" w:styleId="BodyText">
    <w:name w:val="Body Text"/>
    <w:basedOn w:val="Normal"/>
    <w:link w:val="BodyTextChar"/>
    <w:unhideWhenUsed/>
    <w:rsid w:val="00502AB6"/>
    <w:pPr>
      <w:spacing w:after="120"/>
    </w:pPr>
    <w:rPr>
      <w:rFonts w:eastAsia="Calibri" w:cstheme="minorBidi"/>
    </w:rPr>
  </w:style>
  <w:style w:type="character" w:customStyle="1" w:styleId="TextoindependienteCar1">
    <w:name w:val="Texto independiente Car1"/>
    <w:basedOn w:val="DefaultParagraphFont"/>
    <w:uiPriority w:val="99"/>
    <w:semiHidden/>
    <w:rsid w:val="00502AB6"/>
    <w:rPr>
      <w:rFonts w:ascii="Calibri" w:eastAsia="Times New Roman" w:hAnsi="Calibri" w:cs="Times New Roman"/>
    </w:rPr>
  </w:style>
  <w:style w:type="character" w:customStyle="1" w:styleId="apple-converted-space">
    <w:name w:val="apple-converted-space"/>
    <w:basedOn w:val="DefaultParagraphFont"/>
    <w:rsid w:val="00502AB6"/>
  </w:style>
  <w:style w:type="paragraph" w:styleId="CommentSubject">
    <w:name w:val="annotation subject"/>
    <w:basedOn w:val="CommentText"/>
    <w:next w:val="CommentText"/>
    <w:link w:val="CommentSubjectChar"/>
    <w:uiPriority w:val="99"/>
    <w:semiHidden/>
    <w:unhideWhenUsed/>
    <w:rsid w:val="00502AB6"/>
    <w:rPr>
      <w:b/>
      <w:bCs/>
    </w:rPr>
  </w:style>
  <w:style w:type="character" w:customStyle="1" w:styleId="AsuntodelcomentarioCar1">
    <w:name w:val="Asunto del comentario Car1"/>
    <w:basedOn w:val="TextocomentarioCar1"/>
    <w:uiPriority w:val="99"/>
    <w:semiHidden/>
    <w:rsid w:val="00502AB6"/>
    <w:rPr>
      <w:rFonts w:ascii="Calibri" w:eastAsia="Times New Roman" w:hAnsi="Calibri" w:cs="Times New Roman"/>
      <w:b/>
      <w:bCs/>
      <w:sz w:val="20"/>
      <w:szCs w:val="20"/>
    </w:rPr>
  </w:style>
  <w:style w:type="paragraph" w:styleId="Subtitle">
    <w:name w:val="Subtitle"/>
    <w:basedOn w:val="Normal"/>
    <w:next w:val="Normal"/>
    <w:link w:val="SubtitleChar"/>
    <w:qFormat/>
    <w:rsid w:val="00502AB6"/>
    <w:pPr>
      <w:numPr>
        <w:ilvl w:val="1"/>
      </w:numPr>
    </w:pPr>
    <w:rPr>
      <w:rFonts w:ascii="Cambria" w:eastAsiaTheme="minorHAnsi" w:hAnsi="Cambria" w:cstheme="minorBidi"/>
      <w:sz w:val="24"/>
      <w:szCs w:val="24"/>
    </w:rPr>
  </w:style>
  <w:style w:type="character" w:customStyle="1" w:styleId="SubttuloCar1">
    <w:name w:val="Subtítulo Car1"/>
    <w:basedOn w:val="DefaultParagraphFont"/>
    <w:rsid w:val="00502AB6"/>
    <w:rPr>
      <w:rFonts w:asciiTheme="majorHAnsi" w:eastAsiaTheme="majorEastAsia" w:hAnsiTheme="majorHAnsi" w:cstheme="majorBidi"/>
      <w:i/>
      <w:iCs/>
      <w:color w:val="4F81BD" w:themeColor="accent1"/>
      <w:spacing w:val="15"/>
      <w:sz w:val="24"/>
      <w:szCs w:val="24"/>
    </w:rPr>
  </w:style>
  <w:style w:type="character" w:customStyle="1" w:styleId="FootnoteCharacters">
    <w:name w:val="Footnote Characters"/>
    <w:rsid w:val="00502AB6"/>
    <w:rPr>
      <w:vertAlign w:val="superscript"/>
    </w:rPr>
  </w:style>
  <w:style w:type="paragraph" w:styleId="BodyTextIndent">
    <w:name w:val="Body Text Indent"/>
    <w:basedOn w:val="Normal"/>
    <w:link w:val="BodyTextIndentChar"/>
    <w:unhideWhenUsed/>
    <w:rsid w:val="00502AB6"/>
    <w:pPr>
      <w:spacing w:after="120"/>
      <w:ind w:left="283"/>
    </w:pPr>
    <w:rPr>
      <w:rFonts w:ascii="Univers" w:eastAsiaTheme="minorHAnsi" w:hAnsi="Univers" w:cstheme="minorBidi"/>
      <w:lang w:val="es-CL"/>
    </w:rPr>
  </w:style>
  <w:style w:type="character" w:customStyle="1" w:styleId="SangradetextonormalCar1">
    <w:name w:val="Sangría de texto normal Car1"/>
    <w:basedOn w:val="DefaultParagraphFont"/>
    <w:semiHidden/>
    <w:rsid w:val="00502AB6"/>
    <w:rPr>
      <w:rFonts w:ascii="Calibri" w:eastAsia="Times New Roman" w:hAnsi="Calibri" w:cs="Times New Roma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rsid w:val="00502AB6"/>
    <w:rPr>
      <w:rFonts w:ascii="Verdana" w:eastAsia="Times New Roman" w:hAnsi="Verdana" w:cs="Verdana" w:hint="default"/>
      <w:sz w:val="16"/>
      <w:szCs w:val="16"/>
      <w:lang w:val="es-ES_tradnl"/>
    </w:rPr>
  </w:style>
  <w:style w:type="character" w:customStyle="1" w:styleId="apple-style-span">
    <w:name w:val="apple-style-span"/>
    <w:basedOn w:val="DefaultParagraphFont"/>
    <w:rsid w:val="00502AB6"/>
  </w:style>
  <w:style w:type="character" w:customStyle="1" w:styleId="shorttext">
    <w:name w:val="shorttext"/>
    <w:basedOn w:val="DefaultParagraphFont"/>
    <w:rsid w:val="00502AB6"/>
  </w:style>
  <w:style w:type="character" w:customStyle="1" w:styleId="ListParagraphChar1">
    <w:name w:val="List Paragraph Char1"/>
    <w:aliases w:val="Colorful List - Accent 11 Char1,Párrafo de lista1 Char1,List Paragraph1 Char2"/>
    <w:uiPriority w:val="34"/>
    <w:rsid w:val="00502AB6"/>
    <w:rPr>
      <w:rFonts w:ascii="Verdana" w:eastAsia="Times New Roman" w:hAnsi="Verdana" w:hint="default"/>
      <w:lang w:val="es-ES_tradnl" w:eastAsia="en-US"/>
    </w:rPr>
  </w:style>
  <w:style w:type="character" w:customStyle="1" w:styleId="A7">
    <w:name w:val="A7"/>
    <w:uiPriority w:val="99"/>
    <w:rsid w:val="00502AB6"/>
    <w:rPr>
      <w:rFonts w:ascii="Futura Md BT" w:hAnsi="Futura Md BT" w:cs="Futura Md BT" w:hint="default"/>
      <w:b/>
      <w:bCs/>
      <w:color w:val="96184D"/>
      <w:sz w:val="17"/>
      <w:szCs w:val="17"/>
    </w:rPr>
  </w:style>
  <w:style w:type="character" w:customStyle="1" w:styleId="sb8d990e2">
    <w:name w:val="sb8d990e2"/>
    <w:basedOn w:val="DefaultParagraphFont"/>
    <w:rsid w:val="00502AB6"/>
  </w:style>
  <w:style w:type="paragraph" w:styleId="EndnoteText">
    <w:name w:val="endnote text"/>
    <w:basedOn w:val="Normal"/>
    <w:link w:val="EndnoteTextChar"/>
    <w:unhideWhenUsed/>
    <w:rsid w:val="00502AB6"/>
    <w:pPr>
      <w:spacing w:after="0" w:line="240" w:lineRule="auto"/>
    </w:pPr>
    <w:rPr>
      <w:rFonts w:eastAsia="Calibri" w:cstheme="minorBidi"/>
    </w:rPr>
  </w:style>
  <w:style w:type="character" w:customStyle="1" w:styleId="TextonotaalfinalCar1">
    <w:name w:val="Texto nota al final Car1"/>
    <w:basedOn w:val="DefaultParagraphFont"/>
    <w:uiPriority w:val="99"/>
    <w:semiHidden/>
    <w:rsid w:val="00502AB6"/>
    <w:rPr>
      <w:rFonts w:ascii="Calibri" w:eastAsia="Times New Roman" w:hAnsi="Calibri" w:cs="Times New Roman"/>
      <w:sz w:val="20"/>
      <w:szCs w:val="20"/>
    </w:rPr>
  </w:style>
  <w:style w:type="table" w:styleId="TableGrid">
    <w:name w:val="Table Grid"/>
    <w:basedOn w:val="TableNormal"/>
    <w:uiPriority w:val="59"/>
    <w:rsid w:val="00502AB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02AB6"/>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51">
    <w:name w:val="Medium List 1 - Accent 51"/>
    <w:basedOn w:val="TableNormal"/>
    <w:uiPriority w:val="65"/>
    <w:rsid w:val="00502AB6"/>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styleId="Strong">
    <w:name w:val="Strong"/>
    <w:basedOn w:val="DefaultParagraphFont"/>
    <w:uiPriority w:val="22"/>
    <w:qFormat/>
    <w:rsid w:val="00502AB6"/>
    <w:rPr>
      <w:b/>
      <w:bCs/>
    </w:rPr>
  </w:style>
  <w:style w:type="paragraph" w:styleId="TOC4">
    <w:name w:val="toc 4"/>
    <w:basedOn w:val="Normal"/>
    <w:next w:val="Normal"/>
    <w:autoRedefine/>
    <w:uiPriority w:val="39"/>
    <w:unhideWhenUsed/>
    <w:rsid w:val="00502AB6"/>
    <w:pPr>
      <w:numPr>
        <w:numId w:val="3"/>
      </w:numPr>
      <w:spacing w:after="100"/>
      <w:ind w:left="660" w:firstLine="0"/>
    </w:pPr>
  </w:style>
  <w:style w:type="paragraph" w:styleId="TOC2">
    <w:name w:val="toc 2"/>
    <w:basedOn w:val="Normal"/>
    <w:next w:val="Normal"/>
    <w:autoRedefine/>
    <w:uiPriority w:val="39"/>
    <w:unhideWhenUsed/>
    <w:qFormat/>
    <w:rsid w:val="004D2329"/>
    <w:pPr>
      <w:tabs>
        <w:tab w:val="left" w:pos="660"/>
        <w:tab w:val="right" w:leader="dot" w:pos="9214"/>
      </w:tabs>
      <w:spacing w:after="100"/>
      <w:ind w:left="220"/>
      <w:jc w:val="both"/>
    </w:pPr>
    <w:rPr>
      <w:rFonts w:ascii="Verdana" w:hAnsi="Verdana"/>
      <w:i/>
      <w:noProof/>
      <w:spacing w:val="-2"/>
      <w:sz w:val="20"/>
      <w:szCs w:val="20"/>
    </w:rPr>
  </w:style>
  <w:style w:type="paragraph" w:customStyle="1" w:styleId="Footnotes">
    <w:name w:val="**. Footnotes"/>
    <w:basedOn w:val="FootnoteText"/>
    <w:link w:val="FootnotesChar"/>
    <w:autoRedefine/>
    <w:qFormat/>
    <w:rsid w:val="00EA6EE3"/>
    <w:pPr>
      <w:tabs>
        <w:tab w:val="left" w:pos="567"/>
      </w:tabs>
      <w:jc w:val="both"/>
    </w:pPr>
    <w:rPr>
      <w:rFonts w:ascii="Verdana" w:eastAsia="Times New Roman" w:hAnsi="Verdana" w:cs="Palatino-Italic"/>
      <w:iCs/>
      <w:spacing w:val="-4"/>
      <w:sz w:val="16"/>
      <w:szCs w:val="16"/>
      <w:lang w:val="es-ES" w:bidi="en-US"/>
    </w:rPr>
  </w:style>
  <w:style w:type="character" w:customStyle="1" w:styleId="FootnotesChar">
    <w:name w:val="**. Footnotes Char"/>
    <w:basedOn w:val="DefaultParagraphFont"/>
    <w:link w:val="Footnotes"/>
    <w:rsid w:val="00EA6EE3"/>
    <w:rPr>
      <w:rFonts w:ascii="Verdana" w:eastAsia="Times New Roman" w:hAnsi="Verdana" w:cs="Palatino-Italic"/>
      <w:iCs/>
      <w:spacing w:val="-4"/>
      <w:sz w:val="16"/>
      <w:szCs w:val="16"/>
      <w:lang w:val="es-ES" w:bidi="en-US"/>
    </w:rPr>
  </w:style>
  <w:style w:type="character" w:customStyle="1" w:styleId="Estilo5Car">
    <w:name w:val="Estilo5 Car"/>
    <w:link w:val="Estilo5"/>
    <w:rsid w:val="00DD356C"/>
    <w:rPr>
      <w:rFonts w:ascii="Verdana" w:eastAsia="Calibri" w:hAnsi="Verdana"/>
      <w:spacing w:val="-2"/>
      <w:lang w:val="es-MX"/>
    </w:rPr>
  </w:style>
  <w:style w:type="character" w:customStyle="1" w:styleId="s6b621b36">
    <w:name w:val="s6b621b36"/>
    <w:basedOn w:val="DefaultParagraphFont"/>
    <w:rsid w:val="00DD356C"/>
  </w:style>
  <w:style w:type="character" w:customStyle="1" w:styleId="sea881cdf">
    <w:name w:val="sea881cdf"/>
    <w:basedOn w:val="DefaultParagraphFont"/>
    <w:rsid w:val="00DD356C"/>
  </w:style>
  <w:style w:type="numbering" w:customStyle="1" w:styleId="NoList1">
    <w:name w:val="No List1"/>
    <w:next w:val="NoList"/>
    <w:uiPriority w:val="99"/>
    <w:semiHidden/>
    <w:unhideWhenUsed/>
    <w:rsid w:val="000D521B"/>
  </w:style>
  <w:style w:type="character" w:customStyle="1" w:styleId="Ttulodelibro">
    <w:name w:val="Título de libro"/>
    <w:uiPriority w:val="33"/>
    <w:qFormat/>
    <w:rsid w:val="000D521B"/>
    <w:rPr>
      <w:b/>
      <w:bCs/>
      <w:smallCaps/>
      <w:spacing w:val="5"/>
    </w:rPr>
  </w:style>
  <w:style w:type="paragraph" w:customStyle="1" w:styleId="Revision1">
    <w:name w:val="Revision1"/>
    <w:next w:val="Revision"/>
    <w:hidden/>
    <w:uiPriority w:val="99"/>
    <w:semiHidden/>
    <w:rsid w:val="000D521B"/>
    <w:pPr>
      <w:spacing w:after="0" w:line="240" w:lineRule="auto"/>
    </w:pPr>
    <w:rPr>
      <w:rFonts w:eastAsia="Times New Roman"/>
    </w:rPr>
  </w:style>
  <w:style w:type="table" w:customStyle="1" w:styleId="ColorfulList-Accent12">
    <w:name w:val="Colorful List - Accent 12"/>
    <w:basedOn w:val="TableNormal"/>
    <w:next w:val="ColorfulList-Accent1"/>
    <w:uiPriority w:val="34"/>
    <w:rsid w:val="000D521B"/>
    <w:pPr>
      <w:spacing w:after="0" w:line="240" w:lineRule="auto"/>
    </w:pPr>
    <w:rPr>
      <w:rFonts w:eastAsia="Times New Roman"/>
      <w:lang w:eastAsia="es-CR"/>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rsid w:val="000D521B"/>
    <w:pPr>
      <w:spacing w:after="0" w:line="240" w:lineRule="auto"/>
    </w:pPr>
    <w:rPr>
      <w:rFonts w:ascii="Calibri" w:eastAsia="Times New Roman" w:hAnsi="Calibri" w:cs="Times New Roman"/>
    </w:rPr>
  </w:style>
  <w:style w:type="table" w:styleId="ColorfulList-Accent1">
    <w:name w:val="Colorful List Accent 1"/>
    <w:basedOn w:val="TableNormal"/>
    <w:uiPriority w:val="72"/>
    <w:rsid w:val="000D521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2">
    <w:name w:val="No List2"/>
    <w:next w:val="NoList"/>
    <w:semiHidden/>
    <w:unhideWhenUsed/>
    <w:rsid w:val="00F3659E"/>
  </w:style>
  <w:style w:type="character" w:customStyle="1" w:styleId="FootnoteReference1">
    <w:name w:val="Footnote Reference1"/>
    <w:aliases w:val="Ref. de nota al pi"/>
    <w:qFormat/>
    <w:rsid w:val="00F3659E"/>
    <w:rPr>
      <w:color w:val="000000"/>
      <w:sz w:val="22"/>
      <w:vertAlign w:val="superscript"/>
    </w:rPr>
  </w:style>
  <w:style w:type="paragraph" w:styleId="BodyText2">
    <w:name w:val="Body Text 2"/>
    <w:basedOn w:val="Normal"/>
    <w:link w:val="BodyText2Char"/>
    <w:uiPriority w:val="99"/>
    <w:unhideWhenUsed/>
    <w:rsid w:val="00F3659E"/>
    <w:pPr>
      <w:spacing w:after="120" w:line="480" w:lineRule="auto"/>
    </w:pPr>
    <w:rPr>
      <w:rFonts w:ascii="Times New Roman" w:eastAsia="MS Mincho" w:hAnsi="Times New Roman"/>
      <w:sz w:val="24"/>
      <w:szCs w:val="24"/>
      <w:lang w:eastAsia="es-CL"/>
    </w:rPr>
  </w:style>
  <w:style w:type="character" w:customStyle="1" w:styleId="BodyText2Char">
    <w:name w:val="Body Text 2 Char"/>
    <w:basedOn w:val="DefaultParagraphFont"/>
    <w:link w:val="BodyText2"/>
    <w:uiPriority w:val="99"/>
    <w:rsid w:val="00F3659E"/>
    <w:rPr>
      <w:rFonts w:ascii="Times New Roman" w:eastAsia="MS Mincho" w:hAnsi="Times New Roman" w:cs="Times New Roman"/>
      <w:sz w:val="24"/>
      <w:szCs w:val="24"/>
      <w:lang w:eastAsia="es-CL"/>
    </w:rPr>
  </w:style>
  <w:style w:type="paragraph" w:customStyle="1" w:styleId="Citacin">
    <w:name w:val="Citación"/>
    <w:basedOn w:val="ListParagraph"/>
    <w:link w:val="CitacinChar"/>
    <w:qFormat/>
    <w:rsid w:val="00F3659E"/>
    <w:pPr>
      <w:spacing w:before="100" w:beforeAutospacing="1" w:after="240" w:line="240" w:lineRule="auto"/>
      <w:ind w:left="1080"/>
      <w:contextualSpacing w:val="0"/>
      <w:jc w:val="both"/>
    </w:pPr>
    <w:rPr>
      <w:rFonts w:ascii="Garamond" w:eastAsia="Times New Roman" w:hAnsi="Garamond" w:cs="Times New Roman"/>
      <w:szCs w:val="24"/>
      <w:lang w:val="es-GT"/>
    </w:rPr>
  </w:style>
  <w:style w:type="character" w:customStyle="1" w:styleId="CitacinChar">
    <w:name w:val="Citación Char"/>
    <w:link w:val="Citacin"/>
    <w:rsid w:val="00F3659E"/>
    <w:rPr>
      <w:rFonts w:ascii="Garamond" w:eastAsia="Times New Roman" w:hAnsi="Garamond" w:cs="Times New Roman"/>
      <w:szCs w:val="24"/>
      <w:lang w:val="es-GT"/>
    </w:rPr>
  </w:style>
  <w:style w:type="table" w:customStyle="1" w:styleId="ColorfulList-Accent13">
    <w:name w:val="Colorful List - Accent 13"/>
    <w:basedOn w:val="TableNormal"/>
    <w:next w:val="ColorfulList-Accent1"/>
    <w:uiPriority w:val="34"/>
    <w:rsid w:val="00F3659E"/>
    <w:pPr>
      <w:spacing w:after="0" w:line="240" w:lineRule="auto"/>
    </w:pPr>
    <w:rPr>
      <w:rFonts w:ascii="Calibri" w:eastAsia="Times New Roman" w:hAnsi="Calibri" w:cs="Times New Roman"/>
      <w:sz w:val="20"/>
      <w:szCs w:val="20"/>
      <w:lang w:eastAsia="es-CR"/>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mmentTextChar1">
    <w:name w:val="Comment Text Char1"/>
    <w:basedOn w:val="DefaultParagraphFont"/>
    <w:uiPriority w:val="99"/>
    <w:semiHidden/>
    <w:rsid w:val="00291F81"/>
    <w:rPr>
      <w:rFonts w:ascii="Calibri" w:eastAsia="Times New Roman" w:hAnsi="Calibri" w:cs="Times New Roman"/>
      <w:sz w:val="20"/>
      <w:szCs w:val="20"/>
    </w:rPr>
  </w:style>
  <w:style w:type="character" w:customStyle="1" w:styleId="BalloonTextChar1">
    <w:name w:val="Balloon Text Char1"/>
    <w:basedOn w:val="DefaultParagraphFont"/>
    <w:uiPriority w:val="99"/>
    <w:semiHidden/>
    <w:rsid w:val="00291F81"/>
    <w:rPr>
      <w:rFonts w:ascii="Tahoma" w:eastAsia="Times New Roman" w:hAnsi="Tahoma" w:cs="Tahoma"/>
      <w:sz w:val="16"/>
      <w:szCs w:val="16"/>
    </w:rPr>
  </w:style>
  <w:style w:type="character" w:customStyle="1" w:styleId="HeaderChar1">
    <w:name w:val="Header Char1"/>
    <w:basedOn w:val="DefaultParagraphFont"/>
    <w:uiPriority w:val="99"/>
    <w:semiHidden/>
    <w:rsid w:val="00291F81"/>
    <w:rPr>
      <w:rFonts w:ascii="Calibri" w:eastAsia="Times New Roman" w:hAnsi="Calibri" w:cs="Times New Roman"/>
    </w:rPr>
  </w:style>
  <w:style w:type="character" w:customStyle="1" w:styleId="FooterChar1">
    <w:name w:val="Footer Char1"/>
    <w:basedOn w:val="DefaultParagraphFont"/>
    <w:uiPriority w:val="99"/>
    <w:semiHidden/>
    <w:rsid w:val="00291F81"/>
    <w:rPr>
      <w:rFonts w:ascii="Calibri" w:eastAsia="Times New Roman" w:hAnsi="Calibri" w:cs="Times New Roman"/>
    </w:rPr>
  </w:style>
  <w:style w:type="character" w:customStyle="1" w:styleId="BodyTextChar1">
    <w:name w:val="Body Text Char1"/>
    <w:basedOn w:val="DefaultParagraphFont"/>
    <w:uiPriority w:val="99"/>
    <w:semiHidden/>
    <w:rsid w:val="00291F81"/>
    <w:rPr>
      <w:rFonts w:ascii="Calibri" w:eastAsia="Times New Roman" w:hAnsi="Calibri" w:cs="Times New Roman"/>
    </w:rPr>
  </w:style>
  <w:style w:type="character" w:customStyle="1" w:styleId="CommentSubjectChar1">
    <w:name w:val="Comment Subject Char1"/>
    <w:basedOn w:val="CommentTextChar1"/>
    <w:uiPriority w:val="99"/>
    <w:semiHidden/>
    <w:rsid w:val="00291F81"/>
    <w:rPr>
      <w:rFonts w:ascii="Calibri" w:eastAsia="Times New Roman" w:hAnsi="Calibri" w:cs="Times New Roman"/>
      <w:b/>
      <w:bCs/>
      <w:sz w:val="20"/>
      <w:szCs w:val="20"/>
    </w:rPr>
  </w:style>
  <w:style w:type="character" w:customStyle="1" w:styleId="SubtitleChar1">
    <w:name w:val="Subtitle Char1"/>
    <w:basedOn w:val="DefaultParagraphFont"/>
    <w:uiPriority w:val="11"/>
    <w:rsid w:val="00291F81"/>
    <w:rPr>
      <w:rFonts w:asciiTheme="majorHAnsi" w:eastAsiaTheme="majorEastAsia" w:hAnsiTheme="majorHAnsi" w:cstheme="majorBidi"/>
      <w:i/>
      <w:iCs/>
      <w:color w:val="4F81BD" w:themeColor="accent1"/>
      <w:spacing w:val="15"/>
      <w:sz w:val="24"/>
      <w:szCs w:val="24"/>
    </w:rPr>
  </w:style>
  <w:style w:type="character" w:customStyle="1" w:styleId="BodyTextIndentChar1">
    <w:name w:val="Body Text Indent Char1"/>
    <w:basedOn w:val="DefaultParagraphFont"/>
    <w:uiPriority w:val="99"/>
    <w:semiHidden/>
    <w:rsid w:val="00291F81"/>
    <w:rPr>
      <w:rFonts w:ascii="Calibri" w:eastAsia="Times New Roman" w:hAnsi="Calibri" w:cs="Times New Roman"/>
    </w:rPr>
  </w:style>
  <w:style w:type="character" w:customStyle="1" w:styleId="EndnoteTextChar1">
    <w:name w:val="Endnote Text Char1"/>
    <w:basedOn w:val="DefaultParagraphFont"/>
    <w:uiPriority w:val="99"/>
    <w:semiHidden/>
    <w:rsid w:val="00291F81"/>
    <w:rPr>
      <w:rFonts w:ascii="Calibri" w:eastAsia="Times New Roman" w:hAnsi="Calibri" w:cs="Times New Roman"/>
      <w:sz w:val="20"/>
      <w:szCs w:val="20"/>
    </w:rPr>
  </w:style>
  <w:style w:type="character" w:styleId="Emphasis">
    <w:name w:val="Emphasis"/>
    <w:uiPriority w:val="20"/>
    <w:qFormat/>
    <w:rsid w:val="009D5896"/>
    <w:rPr>
      <w:i/>
    </w:rPr>
  </w:style>
  <w:style w:type="character" w:customStyle="1" w:styleId="ColorfulList-Accent1Char1">
    <w:name w:val="Colorful List - Accent 1 Char1"/>
    <w:uiPriority w:val="34"/>
    <w:rsid w:val="009D5896"/>
    <w:rPr>
      <w:rFonts w:ascii="Verdana" w:eastAsia="Batang" w:hAnsi="Verdana" w:cs="Times"/>
      <w:sz w:val="16"/>
      <w:szCs w:val="24"/>
      <w:lang w:val="es-ES_tradnl"/>
    </w:rPr>
  </w:style>
  <w:style w:type="paragraph" w:styleId="Title">
    <w:name w:val="Title"/>
    <w:basedOn w:val="Normal"/>
    <w:next w:val="Normal"/>
    <w:link w:val="TitleChar"/>
    <w:uiPriority w:val="10"/>
    <w:qFormat/>
    <w:rsid w:val="009D5896"/>
    <w:pPr>
      <w:jc w:val="center"/>
    </w:pPr>
    <w:rPr>
      <w:rFonts w:ascii="Verdana" w:eastAsiaTheme="minorHAnsi" w:hAnsi="Verdana" w:cstheme="minorBidi"/>
      <w:b/>
      <w:sz w:val="20"/>
    </w:rPr>
  </w:style>
  <w:style w:type="character" w:customStyle="1" w:styleId="TitleChar">
    <w:name w:val="Title Char"/>
    <w:basedOn w:val="DefaultParagraphFont"/>
    <w:link w:val="Title"/>
    <w:uiPriority w:val="10"/>
    <w:rsid w:val="009D5896"/>
    <w:rPr>
      <w:rFonts w:ascii="Verdana" w:hAnsi="Verdana"/>
      <w:b/>
      <w:sz w:val="20"/>
    </w:rPr>
  </w:style>
  <w:style w:type="paragraph" w:styleId="TOC1">
    <w:name w:val="toc 1"/>
    <w:basedOn w:val="Normal"/>
    <w:next w:val="Normal"/>
    <w:autoRedefine/>
    <w:uiPriority w:val="39"/>
    <w:unhideWhenUsed/>
    <w:qFormat/>
    <w:rsid w:val="005169AC"/>
    <w:pPr>
      <w:tabs>
        <w:tab w:val="left" w:pos="9214"/>
      </w:tabs>
      <w:spacing w:after="0" w:line="240" w:lineRule="auto"/>
      <w:jc w:val="center"/>
    </w:pPr>
    <w:rPr>
      <w:rFonts w:ascii="Verdana" w:hAnsi="Verdana"/>
      <w:b/>
      <w:noProof/>
      <w:sz w:val="20"/>
      <w:szCs w:val="20"/>
    </w:rPr>
  </w:style>
  <w:style w:type="paragraph" w:styleId="TOC3">
    <w:name w:val="toc 3"/>
    <w:basedOn w:val="Normal"/>
    <w:next w:val="Normal"/>
    <w:autoRedefine/>
    <w:uiPriority w:val="39"/>
    <w:unhideWhenUsed/>
    <w:qFormat/>
    <w:rsid w:val="00726DBA"/>
    <w:pPr>
      <w:spacing w:after="100"/>
      <w:ind w:left="440"/>
    </w:pPr>
  </w:style>
  <w:style w:type="paragraph" w:customStyle="1" w:styleId="2Footnotes">
    <w:name w:val="2. Footnotes"/>
    <w:basedOn w:val="FootnoteText"/>
    <w:link w:val="2FootnotesChar"/>
    <w:autoRedefine/>
    <w:qFormat/>
    <w:rsid w:val="00B21672"/>
    <w:pPr>
      <w:spacing w:before="120" w:after="120"/>
      <w:jc w:val="both"/>
    </w:pPr>
    <w:rPr>
      <w:rFonts w:ascii="Verdana" w:eastAsia="Times New Roman" w:hAnsi="Verdana" w:cs="Palatino-Italic"/>
      <w:iCs/>
      <w:noProof/>
      <w:sz w:val="16"/>
      <w:szCs w:val="18"/>
      <w:lang w:val="es-ES"/>
    </w:rPr>
  </w:style>
  <w:style w:type="character" w:customStyle="1" w:styleId="2FootnotesChar">
    <w:name w:val="2. Footnotes Char"/>
    <w:link w:val="2Footnotes"/>
    <w:rsid w:val="00B21672"/>
    <w:rPr>
      <w:rFonts w:ascii="Verdana" w:eastAsia="Times New Roman" w:hAnsi="Verdana" w:cs="Palatino-Italic"/>
      <w:iCs/>
      <w:noProof/>
      <w:sz w:val="16"/>
      <w:szCs w:val="18"/>
      <w:lang w:val="es-ES"/>
    </w:rPr>
  </w:style>
  <w:style w:type="character" w:customStyle="1" w:styleId="st1">
    <w:name w:val="st1"/>
    <w:basedOn w:val="DefaultParagraphFont"/>
    <w:rsid w:val="00B21672"/>
  </w:style>
  <w:style w:type="paragraph" w:styleId="TOC5">
    <w:name w:val="toc 5"/>
    <w:basedOn w:val="Normal"/>
    <w:next w:val="Normal"/>
    <w:autoRedefine/>
    <w:uiPriority w:val="39"/>
    <w:unhideWhenUsed/>
    <w:rsid w:val="002964A7"/>
    <w:pPr>
      <w:spacing w:after="100"/>
      <w:ind w:left="880"/>
    </w:pPr>
    <w:rPr>
      <w:rFonts w:asciiTheme="minorHAnsi" w:eastAsiaTheme="minorEastAsia" w:hAnsiTheme="minorHAnsi" w:cstheme="minorBidi"/>
      <w:lang w:eastAsia="es-CR"/>
    </w:rPr>
  </w:style>
  <w:style w:type="paragraph" w:styleId="TOC6">
    <w:name w:val="toc 6"/>
    <w:basedOn w:val="Normal"/>
    <w:next w:val="Normal"/>
    <w:autoRedefine/>
    <w:uiPriority w:val="39"/>
    <w:unhideWhenUsed/>
    <w:rsid w:val="002964A7"/>
    <w:pPr>
      <w:spacing w:after="100"/>
      <w:ind w:left="1100"/>
    </w:pPr>
    <w:rPr>
      <w:rFonts w:asciiTheme="minorHAnsi" w:eastAsiaTheme="minorEastAsia" w:hAnsiTheme="minorHAnsi" w:cstheme="minorBidi"/>
      <w:lang w:eastAsia="es-CR"/>
    </w:rPr>
  </w:style>
  <w:style w:type="paragraph" w:styleId="TOC7">
    <w:name w:val="toc 7"/>
    <w:basedOn w:val="Normal"/>
    <w:next w:val="Normal"/>
    <w:autoRedefine/>
    <w:uiPriority w:val="39"/>
    <w:unhideWhenUsed/>
    <w:rsid w:val="002964A7"/>
    <w:pPr>
      <w:spacing w:after="100"/>
      <w:ind w:left="1320"/>
    </w:pPr>
    <w:rPr>
      <w:rFonts w:asciiTheme="minorHAnsi" w:eastAsiaTheme="minorEastAsia" w:hAnsiTheme="minorHAnsi" w:cstheme="minorBidi"/>
      <w:lang w:eastAsia="es-CR"/>
    </w:rPr>
  </w:style>
  <w:style w:type="paragraph" w:styleId="TOC8">
    <w:name w:val="toc 8"/>
    <w:basedOn w:val="Normal"/>
    <w:next w:val="Normal"/>
    <w:autoRedefine/>
    <w:uiPriority w:val="39"/>
    <w:unhideWhenUsed/>
    <w:rsid w:val="002964A7"/>
    <w:pPr>
      <w:spacing w:after="100"/>
      <w:ind w:left="1540"/>
    </w:pPr>
    <w:rPr>
      <w:rFonts w:asciiTheme="minorHAnsi" w:eastAsiaTheme="minorEastAsia" w:hAnsiTheme="minorHAnsi" w:cstheme="minorBidi"/>
      <w:lang w:eastAsia="es-CR"/>
    </w:rPr>
  </w:style>
  <w:style w:type="paragraph" w:styleId="TOC9">
    <w:name w:val="toc 9"/>
    <w:basedOn w:val="Normal"/>
    <w:next w:val="Normal"/>
    <w:autoRedefine/>
    <w:uiPriority w:val="39"/>
    <w:unhideWhenUsed/>
    <w:rsid w:val="002964A7"/>
    <w:pPr>
      <w:spacing w:after="100"/>
      <w:ind w:left="1760"/>
    </w:pPr>
    <w:rPr>
      <w:rFonts w:asciiTheme="minorHAnsi" w:eastAsiaTheme="minorEastAsia" w:hAnsiTheme="minorHAnsi" w:cstheme="minorBidi"/>
      <w:lang w:eastAsia="es-CR"/>
    </w:rPr>
  </w:style>
  <w:style w:type="character" w:styleId="LineNumber">
    <w:name w:val="line number"/>
    <w:basedOn w:val="DefaultParagraphFont"/>
    <w:uiPriority w:val="99"/>
    <w:semiHidden/>
    <w:unhideWhenUsed/>
    <w:rsid w:val="00103F1B"/>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DefaultParagraphFont"/>
    <w:locked/>
    <w:rsid w:val="00F20026"/>
  </w:style>
  <w:style w:type="paragraph" w:styleId="TOCHeading">
    <w:name w:val="TOC Heading"/>
    <w:basedOn w:val="Heading1"/>
    <w:next w:val="Normal"/>
    <w:uiPriority w:val="39"/>
    <w:semiHidden/>
    <w:unhideWhenUsed/>
    <w:qFormat/>
    <w:rsid w:val="001154F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s-CR" w:eastAsia="es-CR"/>
    </w:rPr>
  </w:style>
  <w:style w:type="character" w:customStyle="1" w:styleId="Estilo3Car">
    <w:name w:val="Estilo3 Car"/>
    <w:basedOn w:val="ListParagraphChar"/>
    <w:link w:val="Estilo3"/>
    <w:rsid w:val="00250316"/>
    <w:rPr>
      <w:rFonts w:ascii="Verdana" w:eastAsia="Calibri" w:hAnsi="Verdana"/>
      <w:spacing w:val="-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8303">
      <w:bodyDiv w:val="1"/>
      <w:marLeft w:val="0"/>
      <w:marRight w:val="0"/>
      <w:marTop w:val="0"/>
      <w:marBottom w:val="0"/>
      <w:divBdr>
        <w:top w:val="none" w:sz="0" w:space="0" w:color="auto"/>
        <w:left w:val="none" w:sz="0" w:space="0" w:color="auto"/>
        <w:bottom w:val="none" w:sz="0" w:space="0" w:color="auto"/>
        <w:right w:val="none" w:sz="0" w:space="0" w:color="auto"/>
      </w:divBdr>
    </w:div>
    <w:div w:id="412434039">
      <w:bodyDiv w:val="1"/>
      <w:marLeft w:val="0"/>
      <w:marRight w:val="0"/>
      <w:marTop w:val="0"/>
      <w:marBottom w:val="0"/>
      <w:divBdr>
        <w:top w:val="none" w:sz="0" w:space="0" w:color="auto"/>
        <w:left w:val="none" w:sz="0" w:space="0" w:color="auto"/>
        <w:bottom w:val="none" w:sz="0" w:space="0" w:color="auto"/>
        <w:right w:val="none" w:sz="0" w:space="0" w:color="auto"/>
      </w:divBdr>
    </w:div>
    <w:div w:id="456680329">
      <w:bodyDiv w:val="1"/>
      <w:marLeft w:val="0"/>
      <w:marRight w:val="0"/>
      <w:marTop w:val="0"/>
      <w:marBottom w:val="0"/>
      <w:divBdr>
        <w:top w:val="none" w:sz="0" w:space="0" w:color="auto"/>
        <w:left w:val="none" w:sz="0" w:space="0" w:color="auto"/>
        <w:bottom w:val="none" w:sz="0" w:space="0" w:color="auto"/>
        <w:right w:val="none" w:sz="0" w:space="0" w:color="auto"/>
      </w:divBdr>
    </w:div>
    <w:div w:id="497885427">
      <w:bodyDiv w:val="1"/>
      <w:marLeft w:val="0"/>
      <w:marRight w:val="0"/>
      <w:marTop w:val="0"/>
      <w:marBottom w:val="0"/>
      <w:divBdr>
        <w:top w:val="none" w:sz="0" w:space="0" w:color="auto"/>
        <w:left w:val="none" w:sz="0" w:space="0" w:color="auto"/>
        <w:bottom w:val="none" w:sz="0" w:space="0" w:color="auto"/>
        <w:right w:val="none" w:sz="0" w:space="0" w:color="auto"/>
      </w:divBdr>
    </w:div>
    <w:div w:id="510293232">
      <w:bodyDiv w:val="1"/>
      <w:marLeft w:val="0"/>
      <w:marRight w:val="0"/>
      <w:marTop w:val="0"/>
      <w:marBottom w:val="0"/>
      <w:divBdr>
        <w:top w:val="none" w:sz="0" w:space="0" w:color="auto"/>
        <w:left w:val="none" w:sz="0" w:space="0" w:color="auto"/>
        <w:bottom w:val="none" w:sz="0" w:space="0" w:color="auto"/>
        <w:right w:val="none" w:sz="0" w:space="0" w:color="auto"/>
      </w:divBdr>
    </w:div>
    <w:div w:id="510726707">
      <w:bodyDiv w:val="1"/>
      <w:marLeft w:val="0"/>
      <w:marRight w:val="0"/>
      <w:marTop w:val="0"/>
      <w:marBottom w:val="0"/>
      <w:divBdr>
        <w:top w:val="none" w:sz="0" w:space="0" w:color="auto"/>
        <w:left w:val="none" w:sz="0" w:space="0" w:color="auto"/>
        <w:bottom w:val="none" w:sz="0" w:space="0" w:color="auto"/>
        <w:right w:val="none" w:sz="0" w:space="0" w:color="auto"/>
      </w:divBdr>
    </w:div>
    <w:div w:id="671837441">
      <w:bodyDiv w:val="1"/>
      <w:marLeft w:val="0"/>
      <w:marRight w:val="0"/>
      <w:marTop w:val="0"/>
      <w:marBottom w:val="0"/>
      <w:divBdr>
        <w:top w:val="none" w:sz="0" w:space="0" w:color="auto"/>
        <w:left w:val="none" w:sz="0" w:space="0" w:color="auto"/>
        <w:bottom w:val="none" w:sz="0" w:space="0" w:color="auto"/>
        <w:right w:val="none" w:sz="0" w:space="0" w:color="auto"/>
      </w:divBdr>
    </w:div>
    <w:div w:id="828669795">
      <w:bodyDiv w:val="1"/>
      <w:marLeft w:val="0"/>
      <w:marRight w:val="0"/>
      <w:marTop w:val="0"/>
      <w:marBottom w:val="0"/>
      <w:divBdr>
        <w:top w:val="none" w:sz="0" w:space="0" w:color="auto"/>
        <w:left w:val="none" w:sz="0" w:space="0" w:color="auto"/>
        <w:bottom w:val="none" w:sz="0" w:space="0" w:color="auto"/>
        <w:right w:val="none" w:sz="0" w:space="0" w:color="auto"/>
      </w:divBdr>
    </w:div>
    <w:div w:id="842281526">
      <w:bodyDiv w:val="1"/>
      <w:marLeft w:val="0"/>
      <w:marRight w:val="0"/>
      <w:marTop w:val="0"/>
      <w:marBottom w:val="0"/>
      <w:divBdr>
        <w:top w:val="none" w:sz="0" w:space="0" w:color="auto"/>
        <w:left w:val="none" w:sz="0" w:space="0" w:color="auto"/>
        <w:bottom w:val="none" w:sz="0" w:space="0" w:color="auto"/>
        <w:right w:val="none" w:sz="0" w:space="0" w:color="auto"/>
      </w:divBdr>
    </w:div>
    <w:div w:id="919679011">
      <w:bodyDiv w:val="1"/>
      <w:marLeft w:val="0"/>
      <w:marRight w:val="0"/>
      <w:marTop w:val="0"/>
      <w:marBottom w:val="0"/>
      <w:divBdr>
        <w:top w:val="none" w:sz="0" w:space="0" w:color="auto"/>
        <w:left w:val="none" w:sz="0" w:space="0" w:color="auto"/>
        <w:bottom w:val="none" w:sz="0" w:space="0" w:color="auto"/>
        <w:right w:val="none" w:sz="0" w:space="0" w:color="auto"/>
      </w:divBdr>
    </w:div>
    <w:div w:id="1018044272">
      <w:bodyDiv w:val="1"/>
      <w:marLeft w:val="0"/>
      <w:marRight w:val="0"/>
      <w:marTop w:val="0"/>
      <w:marBottom w:val="0"/>
      <w:divBdr>
        <w:top w:val="none" w:sz="0" w:space="0" w:color="auto"/>
        <w:left w:val="none" w:sz="0" w:space="0" w:color="auto"/>
        <w:bottom w:val="none" w:sz="0" w:space="0" w:color="auto"/>
        <w:right w:val="none" w:sz="0" w:space="0" w:color="auto"/>
      </w:divBdr>
    </w:div>
    <w:div w:id="1215658110">
      <w:bodyDiv w:val="1"/>
      <w:marLeft w:val="0"/>
      <w:marRight w:val="0"/>
      <w:marTop w:val="0"/>
      <w:marBottom w:val="0"/>
      <w:divBdr>
        <w:top w:val="none" w:sz="0" w:space="0" w:color="auto"/>
        <w:left w:val="none" w:sz="0" w:space="0" w:color="auto"/>
        <w:bottom w:val="none" w:sz="0" w:space="0" w:color="auto"/>
        <w:right w:val="none" w:sz="0" w:space="0" w:color="auto"/>
      </w:divBdr>
    </w:div>
    <w:div w:id="1266577010">
      <w:bodyDiv w:val="1"/>
      <w:marLeft w:val="0"/>
      <w:marRight w:val="0"/>
      <w:marTop w:val="0"/>
      <w:marBottom w:val="0"/>
      <w:divBdr>
        <w:top w:val="none" w:sz="0" w:space="0" w:color="auto"/>
        <w:left w:val="none" w:sz="0" w:space="0" w:color="auto"/>
        <w:bottom w:val="none" w:sz="0" w:space="0" w:color="auto"/>
        <w:right w:val="none" w:sz="0" w:space="0" w:color="auto"/>
      </w:divBdr>
    </w:div>
    <w:div w:id="1525632677">
      <w:bodyDiv w:val="1"/>
      <w:marLeft w:val="0"/>
      <w:marRight w:val="0"/>
      <w:marTop w:val="0"/>
      <w:marBottom w:val="0"/>
      <w:divBdr>
        <w:top w:val="none" w:sz="0" w:space="0" w:color="auto"/>
        <w:left w:val="none" w:sz="0" w:space="0" w:color="auto"/>
        <w:bottom w:val="none" w:sz="0" w:space="0" w:color="auto"/>
        <w:right w:val="none" w:sz="0" w:space="0" w:color="auto"/>
      </w:divBdr>
    </w:div>
    <w:div w:id="1784423367">
      <w:bodyDiv w:val="1"/>
      <w:marLeft w:val="0"/>
      <w:marRight w:val="0"/>
      <w:marTop w:val="0"/>
      <w:marBottom w:val="0"/>
      <w:divBdr>
        <w:top w:val="none" w:sz="0" w:space="0" w:color="auto"/>
        <w:left w:val="none" w:sz="0" w:space="0" w:color="auto"/>
        <w:bottom w:val="none" w:sz="0" w:space="0" w:color="auto"/>
        <w:right w:val="none" w:sz="0" w:space="0" w:color="auto"/>
      </w:divBdr>
      <w:divsChild>
        <w:div w:id="1712152622">
          <w:marLeft w:val="0"/>
          <w:marRight w:val="0"/>
          <w:marTop w:val="0"/>
          <w:marBottom w:val="0"/>
          <w:divBdr>
            <w:top w:val="none" w:sz="0" w:space="0" w:color="auto"/>
            <w:left w:val="none" w:sz="0" w:space="0" w:color="auto"/>
            <w:bottom w:val="none" w:sz="0" w:space="0" w:color="auto"/>
            <w:right w:val="none" w:sz="0" w:space="0" w:color="auto"/>
          </w:divBdr>
        </w:div>
        <w:div w:id="1678385199">
          <w:marLeft w:val="0"/>
          <w:marRight w:val="0"/>
          <w:marTop w:val="0"/>
          <w:marBottom w:val="0"/>
          <w:divBdr>
            <w:top w:val="none" w:sz="0" w:space="0" w:color="auto"/>
            <w:left w:val="none" w:sz="0" w:space="0" w:color="auto"/>
            <w:bottom w:val="none" w:sz="0" w:space="0" w:color="auto"/>
            <w:right w:val="none" w:sz="0" w:space="0" w:color="auto"/>
          </w:divBdr>
        </w:div>
        <w:div w:id="884293322">
          <w:marLeft w:val="0"/>
          <w:marRight w:val="0"/>
          <w:marTop w:val="0"/>
          <w:marBottom w:val="0"/>
          <w:divBdr>
            <w:top w:val="none" w:sz="0" w:space="0" w:color="auto"/>
            <w:left w:val="none" w:sz="0" w:space="0" w:color="auto"/>
            <w:bottom w:val="none" w:sz="0" w:space="0" w:color="auto"/>
            <w:right w:val="none" w:sz="0" w:space="0" w:color="auto"/>
          </w:divBdr>
        </w:div>
        <w:div w:id="1887065348">
          <w:marLeft w:val="0"/>
          <w:marRight w:val="0"/>
          <w:marTop w:val="0"/>
          <w:marBottom w:val="0"/>
          <w:divBdr>
            <w:top w:val="none" w:sz="0" w:space="0" w:color="auto"/>
            <w:left w:val="none" w:sz="0" w:space="0" w:color="auto"/>
            <w:bottom w:val="none" w:sz="0" w:space="0" w:color="auto"/>
            <w:right w:val="none" w:sz="0" w:space="0" w:color="auto"/>
          </w:divBdr>
        </w:div>
        <w:div w:id="200244184">
          <w:marLeft w:val="0"/>
          <w:marRight w:val="0"/>
          <w:marTop w:val="0"/>
          <w:marBottom w:val="0"/>
          <w:divBdr>
            <w:top w:val="none" w:sz="0" w:space="0" w:color="auto"/>
            <w:left w:val="none" w:sz="0" w:space="0" w:color="auto"/>
            <w:bottom w:val="none" w:sz="0" w:space="0" w:color="auto"/>
            <w:right w:val="none" w:sz="0" w:space="0" w:color="auto"/>
          </w:divBdr>
        </w:div>
        <w:div w:id="1186795927">
          <w:marLeft w:val="0"/>
          <w:marRight w:val="0"/>
          <w:marTop w:val="0"/>
          <w:marBottom w:val="0"/>
          <w:divBdr>
            <w:top w:val="none" w:sz="0" w:space="0" w:color="auto"/>
            <w:left w:val="none" w:sz="0" w:space="0" w:color="auto"/>
            <w:bottom w:val="none" w:sz="0" w:space="0" w:color="auto"/>
            <w:right w:val="none" w:sz="0" w:space="0" w:color="auto"/>
          </w:divBdr>
        </w:div>
        <w:div w:id="1688755046">
          <w:marLeft w:val="0"/>
          <w:marRight w:val="0"/>
          <w:marTop w:val="0"/>
          <w:marBottom w:val="0"/>
          <w:divBdr>
            <w:top w:val="none" w:sz="0" w:space="0" w:color="auto"/>
            <w:left w:val="none" w:sz="0" w:space="0" w:color="auto"/>
            <w:bottom w:val="none" w:sz="0" w:space="0" w:color="auto"/>
            <w:right w:val="none" w:sz="0" w:space="0" w:color="auto"/>
          </w:divBdr>
        </w:div>
      </w:divsChild>
    </w:div>
    <w:div w:id="1844052432">
      <w:bodyDiv w:val="1"/>
      <w:marLeft w:val="0"/>
      <w:marRight w:val="0"/>
      <w:marTop w:val="0"/>
      <w:marBottom w:val="0"/>
      <w:divBdr>
        <w:top w:val="none" w:sz="0" w:space="0" w:color="auto"/>
        <w:left w:val="none" w:sz="0" w:space="0" w:color="auto"/>
        <w:bottom w:val="none" w:sz="0" w:space="0" w:color="auto"/>
        <w:right w:val="none" w:sz="0" w:space="0" w:color="auto"/>
      </w:divBdr>
    </w:div>
    <w:div w:id="1984967852">
      <w:bodyDiv w:val="1"/>
      <w:marLeft w:val="0"/>
      <w:marRight w:val="0"/>
      <w:marTop w:val="0"/>
      <w:marBottom w:val="0"/>
      <w:divBdr>
        <w:top w:val="none" w:sz="0" w:space="0" w:color="auto"/>
        <w:left w:val="none" w:sz="0" w:space="0" w:color="auto"/>
        <w:bottom w:val="none" w:sz="0" w:space="0" w:color="auto"/>
        <w:right w:val="none" w:sz="0" w:space="0" w:color="auto"/>
      </w:divBdr>
    </w:div>
    <w:div w:id="2054114294">
      <w:bodyDiv w:val="1"/>
      <w:marLeft w:val="0"/>
      <w:marRight w:val="0"/>
      <w:marTop w:val="0"/>
      <w:marBottom w:val="0"/>
      <w:divBdr>
        <w:top w:val="none" w:sz="0" w:space="0" w:color="auto"/>
        <w:left w:val="none" w:sz="0" w:space="0" w:color="auto"/>
        <w:bottom w:val="none" w:sz="0" w:space="0" w:color="auto"/>
        <w:right w:val="none" w:sz="0" w:space="0" w:color="auto"/>
      </w:divBdr>
    </w:div>
    <w:div w:id="20977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verdad.org.pe/ifinal/pdf/TOMO%20VII/Casos%20Ilustrativos-UIE/2.50.%20SANTA%20BARBARA.pdf" TargetMode="External"/><Relationship Id="rId22" Type="http://schemas.openxmlformats.org/officeDocument/2006/relationships/hyperlink" Target="https://www.google.cl/search?rlz=1C1GGGE_esCL519CL536&amp;espv=2&amp;biw=1034&amp;bih=595&amp;q=ius+generis&amp;spell=1&amp;sa=X&amp;ei=4j1bVY6ONsidgwTxp4GgAw&amp;ved=0CBgQBSg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verdad.org.pe/ifinal/index.php" TargetMode="External"/><Relationship Id="rId1" Type="http://schemas.openxmlformats.org/officeDocument/2006/relationships/hyperlink" Target="http://www.derechos.org/nizkor/peru/libros/fosas/index.html" TargetMode="Externa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5.52901" units="1/cm"/>
          <inkml:channelProperty channel="Y" name="resolution" value="65.45454" units="1/cm"/>
        </inkml:channelProperties>
      </inkml:inkSource>
      <inkml:timestamp xml:id="ts0" timeString="2015-06-25T16:09:12.181"/>
    </inkml:context>
    <inkml:brush xml:id="br0">
      <inkml:brushProperty name="width" value="0.01764" units="cm"/>
      <inkml:brushProperty name="height" value="0.01764" units="cm"/>
      <inkml:brushProperty name="color" value="#177D36"/>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5.52901" units="1/cm"/>
          <inkml:channelProperty channel="Y" name="resolution" value="65.45454" units="1/cm"/>
        </inkml:channelProperties>
      </inkml:inkSource>
      <inkml:timestamp xml:id="ts0" timeString="2015-03-20T04:02:43.702"/>
    </inkml:context>
    <inkml:brush xml:id="br0">
      <inkml:brushProperty name="width" value="0.0022" units="cm"/>
      <inkml:brushProperty name="height" value="0.00882" units="cm"/>
      <inkml:brushProperty name="color" value="#FFFF00"/>
      <inkml:brushProperty name="transparency" value="170"/>
      <inkml:brushProperty name="tip" value="rectangle"/>
      <inkml:brushProperty name="rasterOp" value="maskPen"/>
      <inkml:brushProperty name="fitToCurve" value="1"/>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3776" units="cm"/>
          <inkml:channel name="Y" type="integer" max="2112" units="cm"/>
        </inkml:traceFormat>
        <inkml:channelProperties>
          <inkml:channelProperty channel="X" name="resolution" value="128.43538" units="1/cm"/>
          <inkml:channelProperty channel="Y" name="resolution" value="127.22891" units="1/cm"/>
        </inkml:channelProperties>
      </inkml:inkSource>
      <inkml:timestamp xml:id="ts0" timeString="2015-03-20T04:03:13.410"/>
    </inkml:context>
    <inkml:brush xml:id="br0">
      <inkml:brushProperty name="width" value="0.03969" units="cm"/>
      <inkml:brushProperty name="height" value="0.15875" units="cm"/>
      <inkml:brushProperty name="color" value="#E5B8B7"/>
      <inkml:brushProperty name="transparency" value="170"/>
      <inkml:brushProperty name="tip" value="rectangle"/>
      <inkml:brushProperty name="rasterOp" value="maskPen"/>
      <inkml:brushProperty name="fitToCurve" value="1"/>
      <inkml:brushProperty name="ignorePressure" value="1"/>
    </inkml:brush>
  </inkml:definitions>
  <inkml:trace contextRef="#ctx0" brushRef="#br0">0 0,'0'0,"0"0,0 0,0 0,0 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65DE0E31EAF2439D287EEF21B08142" ma:contentTypeVersion="0" ma:contentTypeDescription="Create a new document." ma:contentTypeScope="" ma:versionID="01638f88f95378e84390226ee62acf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16FB-F14D-4E88-BB05-290ECC3D1EC6}">
  <ds:schemaRefs>
    <ds:schemaRef ds:uri="http://schemas.microsoft.com/sharepoint/v3/contenttype/forms"/>
  </ds:schemaRefs>
</ds:datastoreItem>
</file>

<file path=customXml/itemProps2.xml><?xml version="1.0" encoding="utf-8"?>
<ds:datastoreItem xmlns:ds="http://schemas.openxmlformats.org/officeDocument/2006/customXml" ds:itemID="{65460FC1-F677-4DB3-841D-E53C2FB7F5A6}">
  <ds:schemaRefs>
    <ds:schemaRef ds:uri="http://schemas.microsoft.com/office/2006/metadata/properties"/>
  </ds:schemaRefs>
</ds:datastoreItem>
</file>

<file path=customXml/itemProps3.xml><?xml version="1.0" encoding="utf-8"?>
<ds:datastoreItem xmlns:ds="http://schemas.openxmlformats.org/officeDocument/2006/customXml" ds:itemID="{A5EB6390-0535-48E9-9D78-3CBC1A05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006BE8-4417-4882-9C33-25AB24CA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73265</Words>
  <Characters>402961</Characters>
  <Application>Microsoft Office Word</Application>
  <DocSecurity>0</DocSecurity>
  <Lines>3358</Lines>
  <Paragraphs>950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475276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12</cp:revision>
  <cp:lastPrinted>2016-01-27T17:15:00Z</cp:lastPrinted>
  <dcterms:created xsi:type="dcterms:W3CDTF">2016-01-26T18:09:00Z</dcterms:created>
  <dcterms:modified xsi:type="dcterms:W3CDTF">2016-01-27T17:15:00Z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0x0101009C65DE0E31EAF2439D287EEF21B08142</vt:lpwstr>
  </property>
</Properties>
</file>