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D4CA5" w14:textId="77777777" w:rsidR="005A65CE" w:rsidRPr="003D5E31" w:rsidRDefault="005A65CE" w:rsidP="005A65CE">
      <w:pPr>
        <w:rPr>
          <w:lang w:val="en-GB"/>
        </w:rPr>
      </w:pPr>
    </w:p>
    <w:p w14:paraId="1692619C" w14:textId="77777777" w:rsidR="005A65CE" w:rsidRPr="00771C5F" w:rsidRDefault="005A65CE" w:rsidP="005A65CE">
      <w:pPr>
        <w:rPr>
          <w:lang w:val="en-US"/>
        </w:rPr>
      </w:pPr>
    </w:p>
    <w:p w14:paraId="08B76755" w14:textId="77777777" w:rsidR="005A65CE" w:rsidRPr="00771C5F" w:rsidRDefault="005A65CE" w:rsidP="005A65CE">
      <w:pPr>
        <w:rPr>
          <w:lang w:val="en-US"/>
        </w:rPr>
      </w:pPr>
    </w:p>
    <w:p w14:paraId="7F03CA31" w14:textId="77777777" w:rsidR="005A65CE" w:rsidRPr="00771C5F" w:rsidRDefault="005A65CE" w:rsidP="005A65CE">
      <w:pPr>
        <w:tabs>
          <w:tab w:val="left" w:pos="6701"/>
        </w:tabs>
        <w:rPr>
          <w:lang w:val="en-US"/>
        </w:rPr>
      </w:pPr>
    </w:p>
    <w:p w14:paraId="4F70C158" w14:textId="77777777" w:rsidR="005A65CE" w:rsidRPr="00771C5F" w:rsidRDefault="005A65CE" w:rsidP="005A65CE">
      <w:pPr>
        <w:rPr>
          <w:lang w:val="en-US"/>
        </w:rPr>
      </w:pPr>
    </w:p>
    <w:p w14:paraId="33B63D70" w14:textId="77777777" w:rsidR="005A65CE" w:rsidRPr="00771C5F" w:rsidRDefault="005A65CE" w:rsidP="005A65CE">
      <w:pPr>
        <w:rPr>
          <w:lang w:val="en-US"/>
        </w:rPr>
      </w:pPr>
    </w:p>
    <w:p w14:paraId="715FBDD0" w14:textId="77777777" w:rsidR="005A65CE" w:rsidRPr="00771C5F" w:rsidRDefault="005A65CE" w:rsidP="005A65CE">
      <w:pPr>
        <w:rPr>
          <w:lang w:val="en-US"/>
        </w:rPr>
      </w:pPr>
    </w:p>
    <w:p w14:paraId="0101C363" w14:textId="77777777" w:rsidR="005A65CE" w:rsidRPr="00771C5F" w:rsidRDefault="005A65CE" w:rsidP="005A65CE">
      <w:pPr>
        <w:rPr>
          <w:lang w:val="en-US"/>
        </w:rPr>
      </w:pPr>
    </w:p>
    <w:p w14:paraId="3BB152F4" w14:textId="77777777" w:rsidR="005A65CE" w:rsidRPr="00771C5F" w:rsidRDefault="005A65CE" w:rsidP="005A65CE">
      <w:pPr>
        <w:rPr>
          <w:lang w:val="en-US"/>
        </w:rPr>
      </w:pPr>
    </w:p>
    <w:p w14:paraId="1CC83801" w14:textId="77777777" w:rsidR="005A65CE" w:rsidRPr="00771C5F" w:rsidRDefault="005A65CE" w:rsidP="005A65CE">
      <w:pPr>
        <w:rPr>
          <w:lang w:val="en-US"/>
        </w:rPr>
      </w:pPr>
    </w:p>
    <w:p w14:paraId="481949BE" w14:textId="77777777" w:rsidR="005A65CE" w:rsidRPr="00771C5F" w:rsidRDefault="005A65CE" w:rsidP="005A65CE">
      <w:pPr>
        <w:jc w:val="center"/>
        <w:rPr>
          <w:b/>
          <w:lang w:val="en-US"/>
        </w:rPr>
      </w:pPr>
    </w:p>
    <w:p w14:paraId="0D2ECD87" w14:textId="77777777" w:rsidR="005A65CE" w:rsidRPr="003171CD" w:rsidRDefault="005A65CE" w:rsidP="005A65CE">
      <w:pPr>
        <w:jc w:val="center"/>
        <w:rPr>
          <w:b/>
          <w:lang w:val="en-US"/>
        </w:rPr>
      </w:pPr>
      <w:r w:rsidRPr="003171CD">
        <w:rPr>
          <w:b/>
          <w:lang w:val="en-US"/>
        </w:rPr>
        <w:t>INTER-AMERICAN COURT OF HUMAN RIGHTS</w:t>
      </w:r>
    </w:p>
    <w:p w14:paraId="578F5CCE" w14:textId="77777777" w:rsidR="005A65CE" w:rsidRPr="003171CD" w:rsidRDefault="005A65CE" w:rsidP="005A65CE">
      <w:pPr>
        <w:jc w:val="center"/>
        <w:rPr>
          <w:b/>
          <w:lang w:val="en-US"/>
        </w:rPr>
      </w:pPr>
    </w:p>
    <w:p w14:paraId="31E81D7C" w14:textId="77777777" w:rsidR="005A65CE" w:rsidRPr="003171CD" w:rsidRDefault="005A65CE" w:rsidP="005A65CE">
      <w:pPr>
        <w:jc w:val="center"/>
        <w:rPr>
          <w:b/>
          <w:lang w:val="en-US"/>
        </w:rPr>
      </w:pPr>
    </w:p>
    <w:p w14:paraId="30BFDEF0" w14:textId="77777777" w:rsidR="005A65CE" w:rsidRPr="003171CD" w:rsidRDefault="005A65CE" w:rsidP="005A65CE">
      <w:pPr>
        <w:jc w:val="center"/>
        <w:rPr>
          <w:b/>
          <w:lang w:val="en-US"/>
        </w:rPr>
      </w:pPr>
      <w:r w:rsidRPr="003171CD">
        <w:rPr>
          <w:b/>
          <w:lang w:val="en-US"/>
        </w:rPr>
        <w:t xml:space="preserve">CASE OF RUANO TORRES ET AL. </w:t>
      </w:r>
      <w:r w:rsidRPr="003171CD">
        <w:rPr>
          <w:b/>
          <w:i/>
          <w:lang w:val="en-US"/>
        </w:rPr>
        <w:t>V.</w:t>
      </w:r>
      <w:r w:rsidRPr="003171CD">
        <w:rPr>
          <w:b/>
          <w:lang w:val="en-US"/>
        </w:rPr>
        <w:t xml:space="preserve"> El Salvador</w:t>
      </w:r>
    </w:p>
    <w:p w14:paraId="4BD85C34" w14:textId="77777777" w:rsidR="005A65CE" w:rsidRPr="003171CD" w:rsidRDefault="005A65CE" w:rsidP="005A65CE">
      <w:pPr>
        <w:jc w:val="center"/>
        <w:rPr>
          <w:b/>
          <w:sz w:val="16"/>
          <w:szCs w:val="16"/>
          <w:lang w:val="en-US"/>
        </w:rPr>
      </w:pPr>
    </w:p>
    <w:p w14:paraId="46560783" w14:textId="77777777" w:rsidR="005A65CE" w:rsidRPr="003171CD" w:rsidRDefault="005A65CE" w:rsidP="005A65CE">
      <w:pPr>
        <w:jc w:val="center"/>
        <w:rPr>
          <w:b/>
          <w:lang w:val="en-US"/>
        </w:rPr>
      </w:pPr>
    </w:p>
    <w:p w14:paraId="6D6B1783" w14:textId="77777777" w:rsidR="005A65CE" w:rsidRPr="003171CD" w:rsidRDefault="005A65CE" w:rsidP="005A65CE">
      <w:pPr>
        <w:jc w:val="center"/>
        <w:rPr>
          <w:b/>
          <w:lang w:val="en-US"/>
        </w:rPr>
      </w:pPr>
      <w:r w:rsidRPr="003171CD">
        <w:rPr>
          <w:b/>
          <w:lang w:val="en-US"/>
        </w:rPr>
        <w:t xml:space="preserve">JUDGMENT OF OCTOBER </w:t>
      </w:r>
      <w:r w:rsidRPr="003171CD">
        <w:rPr>
          <w:rFonts w:eastAsia="MS Mincho"/>
          <w:b/>
          <w:lang w:val="en-US"/>
        </w:rPr>
        <w:t>5, 2015</w:t>
      </w:r>
    </w:p>
    <w:p w14:paraId="4071DE26" w14:textId="77777777" w:rsidR="005A65CE" w:rsidRPr="003171CD" w:rsidRDefault="005A65CE" w:rsidP="005A65CE">
      <w:pPr>
        <w:jc w:val="center"/>
        <w:rPr>
          <w:b/>
          <w:lang w:val="en-US"/>
        </w:rPr>
      </w:pPr>
    </w:p>
    <w:p w14:paraId="6B641E76" w14:textId="77777777" w:rsidR="005A65CE" w:rsidRPr="003171CD" w:rsidRDefault="0074646F" w:rsidP="005A65CE">
      <w:pPr>
        <w:jc w:val="center"/>
        <w:rPr>
          <w:b/>
          <w:i/>
          <w:lang w:val="en-US"/>
        </w:rPr>
      </w:pPr>
      <w:r w:rsidRPr="003171CD">
        <w:rPr>
          <w:b/>
          <w:i/>
          <w:lang w:val="en-US"/>
        </w:rPr>
        <w:t>(Merits, reparations and c</w:t>
      </w:r>
      <w:r w:rsidR="005A65CE" w:rsidRPr="003171CD">
        <w:rPr>
          <w:b/>
          <w:i/>
          <w:lang w:val="en-US"/>
        </w:rPr>
        <w:t>osts)</w:t>
      </w:r>
    </w:p>
    <w:p w14:paraId="7AF179B8" w14:textId="77777777" w:rsidR="005A65CE" w:rsidRPr="003171CD" w:rsidRDefault="005A65CE" w:rsidP="005A65CE">
      <w:pPr>
        <w:jc w:val="center"/>
        <w:rPr>
          <w:b/>
          <w:lang w:val="en-US"/>
        </w:rPr>
      </w:pPr>
    </w:p>
    <w:p w14:paraId="1CD77491" w14:textId="77777777" w:rsidR="005A65CE" w:rsidRPr="003171CD" w:rsidRDefault="005A65CE" w:rsidP="005A65CE">
      <w:pPr>
        <w:rPr>
          <w:lang w:val="en-US"/>
        </w:rPr>
      </w:pPr>
    </w:p>
    <w:p w14:paraId="109FA7BC" w14:textId="77777777" w:rsidR="005A65CE" w:rsidRPr="003171CD" w:rsidRDefault="005A65CE" w:rsidP="005A65CE">
      <w:pPr>
        <w:jc w:val="both"/>
        <w:rPr>
          <w:lang w:val="en-US"/>
        </w:rPr>
      </w:pPr>
    </w:p>
    <w:p w14:paraId="57F28E98" w14:textId="77777777" w:rsidR="005A65CE" w:rsidRPr="003171CD" w:rsidRDefault="005A65CE" w:rsidP="005A65CE">
      <w:pPr>
        <w:jc w:val="both"/>
        <w:rPr>
          <w:lang w:val="en-US"/>
        </w:rPr>
      </w:pPr>
      <w:r w:rsidRPr="003171CD">
        <w:rPr>
          <w:lang w:val="en-US"/>
        </w:rPr>
        <w:t xml:space="preserve">In the case of </w:t>
      </w:r>
      <w:r w:rsidRPr="003171CD">
        <w:rPr>
          <w:i/>
          <w:lang w:val="en-US"/>
        </w:rPr>
        <w:t>Ruano Torres et al.</w:t>
      </w:r>
      <w:r w:rsidR="0074646F" w:rsidRPr="003171CD">
        <w:rPr>
          <w:i/>
          <w:lang w:val="en-US"/>
        </w:rPr>
        <w:t xml:space="preserve"> v. El Salvador</w:t>
      </w:r>
      <w:r w:rsidRPr="003171CD">
        <w:rPr>
          <w:lang w:val="en-US"/>
        </w:rPr>
        <w:t>,</w:t>
      </w:r>
    </w:p>
    <w:p w14:paraId="0F553902" w14:textId="77777777" w:rsidR="005A65CE" w:rsidRPr="003171CD" w:rsidRDefault="005A65CE" w:rsidP="005A65CE">
      <w:pPr>
        <w:jc w:val="both"/>
        <w:rPr>
          <w:lang w:val="en-US"/>
        </w:rPr>
      </w:pPr>
    </w:p>
    <w:p w14:paraId="5378C8C2" w14:textId="77777777" w:rsidR="005A65CE" w:rsidRPr="003171CD" w:rsidRDefault="005A65CE" w:rsidP="005A65CE">
      <w:pPr>
        <w:jc w:val="both"/>
        <w:rPr>
          <w:lang w:val="en-US"/>
        </w:rPr>
      </w:pPr>
      <w:r w:rsidRPr="003171CD">
        <w:rPr>
          <w:lang w:val="en-US"/>
        </w:rPr>
        <w:t>the Inter-American Court of Human Rights (hereinafter “the Inter-American Court” or “the Court”), comp</w:t>
      </w:r>
      <w:r w:rsidR="0074646F" w:rsidRPr="003171CD">
        <w:rPr>
          <w:lang w:val="en-US"/>
        </w:rPr>
        <w:t>osed of the following j</w:t>
      </w:r>
      <w:r w:rsidRPr="003171CD">
        <w:rPr>
          <w:lang w:val="en-US"/>
        </w:rPr>
        <w:t>udges:</w:t>
      </w:r>
    </w:p>
    <w:p w14:paraId="5BBA9BCF" w14:textId="77777777" w:rsidR="005A65CE" w:rsidRPr="003171CD" w:rsidRDefault="005A65CE" w:rsidP="005A65CE">
      <w:pPr>
        <w:jc w:val="both"/>
        <w:rPr>
          <w:lang w:val="en-US"/>
        </w:rPr>
      </w:pPr>
    </w:p>
    <w:p w14:paraId="20F82C2B" w14:textId="77777777" w:rsidR="005A65CE" w:rsidRPr="003171CD" w:rsidRDefault="005A65CE" w:rsidP="005A65CE">
      <w:pPr>
        <w:jc w:val="both"/>
        <w:rPr>
          <w:lang w:val="en-US"/>
        </w:rPr>
      </w:pPr>
      <w:r w:rsidRPr="003171CD">
        <w:rPr>
          <w:lang w:val="en-US"/>
        </w:rPr>
        <w:t>Humberto Antonio Sierra Porto, President;</w:t>
      </w:r>
    </w:p>
    <w:p w14:paraId="6BC32A89" w14:textId="77777777" w:rsidR="005A65CE" w:rsidRPr="003171CD" w:rsidRDefault="005A65CE" w:rsidP="005A65CE">
      <w:pPr>
        <w:jc w:val="both"/>
        <w:rPr>
          <w:lang w:val="en-US"/>
        </w:rPr>
      </w:pPr>
      <w:r w:rsidRPr="003171CD">
        <w:rPr>
          <w:lang w:val="en-US"/>
        </w:rPr>
        <w:t>Roberto F. Caldas, Vice President;</w:t>
      </w:r>
    </w:p>
    <w:p w14:paraId="3943BD76" w14:textId="77777777" w:rsidR="005A65CE" w:rsidRPr="003171CD" w:rsidRDefault="005A65CE" w:rsidP="005A65CE">
      <w:pPr>
        <w:jc w:val="both"/>
        <w:rPr>
          <w:lang w:val="en-US"/>
        </w:rPr>
      </w:pPr>
      <w:r w:rsidRPr="003171CD">
        <w:rPr>
          <w:lang w:val="en-US"/>
        </w:rPr>
        <w:t xml:space="preserve">Manuel E. Ventura Robles, Judge; </w:t>
      </w:r>
    </w:p>
    <w:p w14:paraId="76C81CB9" w14:textId="77777777" w:rsidR="005A65CE" w:rsidRPr="003171CD" w:rsidRDefault="005A65CE" w:rsidP="005A65CE">
      <w:pPr>
        <w:jc w:val="both"/>
        <w:rPr>
          <w:lang w:val="en-US"/>
        </w:rPr>
      </w:pPr>
      <w:r w:rsidRPr="003171CD">
        <w:rPr>
          <w:lang w:val="en-US"/>
        </w:rPr>
        <w:t>Diego García-Sayán, Judge;</w:t>
      </w:r>
    </w:p>
    <w:p w14:paraId="7602E2A2" w14:textId="77777777" w:rsidR="005A65CE" w:rsidRPr="003171CD" w:rsidRDefault="005A65CE" w:rsidP="005A65CE">
      <w:pPr>
        <w:jc w:val="both"/>
        <w:rPr>
          <w:lang w:val="en-US"/>
        </w:rPr>
      </w:pPr>
      <w:r w:rsidRPr="003171CD">
        <w:rPr>
          <w:lang w:val="en-US"/>
        </w:rPr>
        <w:t xml:space="preserve">Alberto Pérez, Judge; </w:t>
      </w:r>
    </w:p>
    <w:p w14:paraId="67BD63C0" w14:textId="77777777" w:rsidR="005A65CE" w:rsidRPr="003171CD" w:rsidRDefault="005A65CE" w:rsidP="005A65CE">
      <w:pPr>
        <w:jc w:val="both"/>
        <w:rPr>
          <w:lang w:val="en-US"/>
        </w:rPr>
      </w:pPr>
      <w:r w:rsidRPr="003171CD">
        <w:rPr>
          <w:lang w:val="en-US"/>
        </w:rPr>
        <w:t>Eduardo Vio Grossi, Judge, and</w:t>
      </w:r>
    </w:p>
    <w:p w14:paraId="67A8A32D" w14:textId="77777777" w:rsidR="005A65CE" w:rsidRPr="003171CD" w:rsidRDefault="005A65CE" w:rsidP="005A65CE">
      <w:pPr>
        <w:jc w:val="both"/>
        <w:rPr>
          <w:lang w:val="en-US"/>
        </w:rPr>
      </w:pPr>
      <w:r w:rsidRPr="003171CD">
        <w:rPr>
          <w:lang w:val="en-US"/>
        </w:rPr>
        <w:t xml:space="preserve">Eduardo Ferrer Mac-Gregor Poisot, Judge; </w:t>
      </w:r>
    </w:p>
    <w:p w14:paraId="4B88DACD" w14:textId="77777777" w:rsidR="005A65CE" w:rsidRPr="003171CD" w:rsidRDefault="005A65CE" w:rsidP="005A65CE">
      <w:pPr>
        <w:jc w:val="both"/>
        <w:rPr>
          <w:lang w:val="en-US"/>
        </w:rPr>
      </w:pPr>
    </w:p>
    <w:p w14:paraId="5C3EC210" w14:textId="77777777" w:rsidR="005A65CE" w:rsidRPr="003171CD" w:rsidRDefault="005A65CE" w:rsidP="005A65CE">
      <w:pPr>
        <w:jc w:val="both"/>
        <w:rPr>
          <w:lang w:val="en-US"/>
        </w:rPr>
      </w:pPr>
      <w:r w:rsidRPr="003171CD">
        <w:rPr>
          <w:lang w:val="en-US"/>
        </w:rPr>
        <w:t xml:space="preserve">also present, </w:t>
      </w:r>
    </w:p>
    <w:p w14:paraId="6EA7C69D" w14:textId="77777777" w:rsidR="005A65CE" w:rsidRPr="003171CD" w:rsidRDefault="005A65CE" w:rsidP="005A65CE">
      <w:pPr>
        <w:jc w:val="both"/>
        <w:rPr>
          <w:lang w:val="en-US"/>
        </w:rPr>
      </w:pPr>
    </w:p>
    <w:p w14:paraId="357B56F8" w14:textId="77777777" w:rsidR="005A65CE" w:rsidRPr="003171CD" w:rsidRDefault="005A65CE" w:rsidP="005A65CE">
      <w:pPr>
        <w:jc w:val="both"/>
        <w:rPr>
          <w:lang w:val="en-US"/>
        </w:rPr>
      </w:pPr>
      <w:r w:rsidRPr="003171CD">
        <w:rPr>
          <w:lang w:val="en-US"/>
        </w:rPr>
        <w:t xml:space="preserve">Pablo Saavedra Alessandri, Secretary, and </w:t>
      </w:r>
    </w:p>
    <w:p w14:paraId="57C42B27" w14:textId="77777777" w:rsidR="005A65CE" w:rsidRPr="003171CD" w:rsidRDefault="005A65CE" w:rsidP="005A65CE">
      <w:pPr>
        <w:jc w:val="both"/>
        <w:rPr>
          <w:lang w:val="en-US"/>
        </w:rPr>
      </w:pPr>
      <w:r w:rsidRPr="003171CD">
        <w:rPr>
          <w:lang w:val="en-US"/>
        </w:rPr>
        <w:t>Emilia Segares Rodríguez, Assistant Secretary,</w:t>
      </w:r>
    </w:p>
    <w:p w14:paraId="1BB866D0" w14:textId="77777777" w:rsidR="005A65CE" w:rsidRPr="003171CD" w:rsidRDefault="005A65CE" w:rsidP="005A65CE">
      <w:pPr>
        <w:jc w:val="both"/>
        <w:rPr>
          <w:lang w:val="en-US"/>
        </w:rPr>
      </w:pPr>
    </w:p>
    <w:p w14:paraId="0C4D05C5" w14:textId="77777777" w:rsidR="005A65CE" w:rsidRPr="003171CD" w:rsidRDefault="0074646F" w:rsidP="005A65CE">
      <w:pPr>
        <w:jc w:val="both"/>
        <w:rPr>
          <w:lang w:val="en-US"/>
        </w:rPr>
      </w:pPr>
      <w:r w:rsidRPr="003171CD">
        <w:rPr>
          <w:lang w:val="en-US"/>
        </w:rPr>
        <w:t>p</w:t>
      </w:r>
      <w:r w:rsidR="005A65CE" w:rsidRPr="003171CD">
        <w:rPr>
          <w:lang w:val="en-US"/>
        </w:rPr>
        <w:t xml:space="preserve">ursuant to Articles 62(3) and 63(1) of the American Convention on Human Rights (hereinafter “the American Convention” or “the Convention”) and Articles 31, 32, 65 and 67 of the Rules of Procedure of the Court (hereinafter “the Rules”), </w:t>
      </w:r>
      <w:r w:rsidRPr="003171CD">
        <w:rPr>
          <w:lang w:val="en-US"/>
        </w:rPr>
        <w:t xml:space="preserve">delivers </w:t>
      </w:r>
      <w:r w:rsidR="005A65CE" w:rsidRPr="003171CD">
        <w:rPr>
          <w:lang w:val="en-US"/>
        </w:rPr>
        <w:t xml:space="preserve">this Judgment, structured as follows: </w:t>
      </w:r>
    </w:p>
    <w:p w14:paraId="01E2FFA2" w14:textId="77777777" w:rsidR="005A65CE" w:rsidRPr="003171CD" w:rsidRDefault="005A65CE" w:rsidP="005A65CE">
      <w:pPr>
        <w:jc w:val="both"/>
        <w:rPr>
          <w:lang w:val="en-US"/>
        </w:rPr>
      </w:pPr>
    </w:p>
    <w:p w14:paraId="7C758BA4" w14:textId="77777777" w:rsidR="006663CD" w:rsidRPr="003171CD" w:rsidRDefault="005A65CE" w:rsidP="005A65CE">
      <w:pPr>
        <w:jc w:val="both"/>
        <w:rPr>
          <w:noProof/>
        </w:rPr>
      </w:pPr>
      <w:r w:rsidRPr="003171CD">
        <w:rPr>
          <w:lang w:val="en-US"/>
        </w:rPr>
        <w:br w:type="page"/>
      </w:r>
      <w:r w:rsidRPr="003171CD">
        <w:rPr>
          <w:sz w:val="16"/>
          <w:szCs w:val="16"/>
          <w:lang w:val="en-US"/>
        </w:rPr>
        <w:fldChar w:fldCharType="begin"/>
      </w:r>
      <w:r w:rsidRPr="003171CD">
        <w:rPr>
          <w:sz w:val="16"/>
          <w:szCs w:val="16"/>
          <w:lang w:val="en-US"/>
        </w:rPr>
        <w:instrText xml:space="preserve"> TOC \o "1-3" \h \z \t "Balloon Text,1" </w:instrText>
      </w:r>
      <w:r w:rsidRPr="003171CD">
        <w:rPr>
          <w:sz w:val="16"/>
          <w:szCs w:val="16"/>
          <w:lang w:val="en-US"/>
        </w:rPr>
        <w:fldChar w:fldCharType="separate"/>
      </w:r>
    </w:p>
    <w:p w14:paraId="447B0FB6" w14:textId="77777777" w:rsidR="006663CD" w:rsidRPr="003171CD" w:rsidRDefault="006663CD">
      <w:pPr>
        <w:pStyle w:val="TDC1"/>
        <w:rPr>
          <w:rFonts w:asciiTheme="minorHAnsi" w:eastAsiaTheme="minorEastAsia" w:hAnsiTheme="minorHAnsi" w:cstheme="minorBidi"/>
          <w:b w:val="0"/>
          <w:bCs w:val="0"/>
          <w:caps w:val="0"/>
          <w:snapToGrid/>
          <w:sz w:val="22"/>
          <w:szCs w:val="22"/>
          <w:lang w:val="en-GB" w:eastAsia="en-GB"/>
        </w:rPr>
      </w:pPr>
    </w:p>
    <w:p w14:paraId="401690B5" w14:textId="77777777" w:rsidR="005A65CE" w:rsidRPr="003171CD" w:rsidRDefault="005A65CE" w:rsidP="005A65CE">
      <w:pPr>
        <w:jc w:val="both"/>
        <w:rPr>
          <w:lang w:val="en-US"/>
        </w:rPr>
      </w:pPr>
      <w:r w:rsidRPr="003171CD">
        <w:rPr>
          <w:sz w:val="16"/>
          <w:szCs w:val="16"/>
          <w:lang w:val="en-US"/>
        </w:rPr>
        <w:fldChar w:fldCharType="end"/>
      </w:r>
    </w:p>
    <w:sdt>
      <w:sdtPr>
        <w:rPr>
          <w:rFonts w:ascii="Verdana" w:eastAsia="Calibri" w:hAnsi="Verdana" w:cs="Verdana"/>
          <w:b w:val="0"/>
          <w:bCs w:val="0"/>
          <w:snapToGrid w:val="0"/>
          <w:color w:val="auto"/>
          <w:sz w:val="16"/>
          <w:szCs w:val="16"/>
          <w:lang w:val="es-ES" w:eastAsia="es-ES"/>
        </w:rPr>
        <w:id w:val="29115388"/>
        <w:docPartObj>
          <w:docPartGallery w:val="Table of Contents"/>
          <w:docPartUnique/>
        </w:docPartObj>
      </w:sdtPr>
      <w:sdtEndPr>
        <w:rPr>
          <w:sz w:val="20"/>
          <w:szCs w:val="20"/>
        </w:rPr>
      </w:sdtEndPr>
      <w:sdtContent>
        <w:p w14:paraId="3CBA568E" w14:textId="77777777" w:rsidR="005A65CE" w:rsidRPr="003171CD" w:rsidRDefault="008B30D8" w:rsidP="005A65CE">
          <w:pPr>
            <w:pStyle w:val="TtuloTDC"/>
            <w:spacing w:before="0" w:after="120" w:line="240" w:lineRule="auto"/>
            <w:jc w:val="both"/>
            <w:rPr>
              <w:rFonts w:ascii="Verdana" w:hAnsi="Verdana"/>
              <w:color w:val="auto"/>
              <w:sz w:val="16"/>
              <w:szCs w:val="16"/>
            </w:rPr>
          </w:pPr>
          <w:r w:rsidRPr="003171CD">
            <w:rPr>
              <w:rFonts w:ascii="Verdana" w:hAnsi="Verdana"/>
              <w:color w:val="auto"/>
              <w:sz w:val="16"/>
              <w:szCs w:val="16"/>
            </w:rPr>
            <w:t>CONTENTS</w:t>
          </w:r>
        </w:p>
        <w:p w14:paraId="53976784" w14:textId="572ED1E4" w:rsidR="00AF1C33" w:rsidRPr="003171CD" w:rsidRDefault="005A65CE">
          <w:pPr>
            <w:pStyle w:val="TDC1"/>
            <w:rPr>
              <w:rFonts w:asciiTheme="minorHAnsi" w:eastAsiaTheme="minorEastAsia" w:hAnsiTheme="minorHAnsi" w:cstheme="minorBidi"/>
              <w:b w:val="0"/>
              <w:bCs w:val="0"/>
              <w:caps w:val="0"/>
              <w:noProof w:val="0"/>
              <w:snapToGrid/>
              <w:sz w:val="22"/>
              <w:szCs w:val="22"/>
              <w:lang w:val="en-US" w:eastAsia="en-GB"/>
            </w:rPr>
          </w:pPr>
          <w:r w:rsidRPr="003171CD">
            <w:rPr>
              <w:noProof w:val="0"/>
              <w:lang w:val="en-US"/>
            </w:rPr>
            <w:fldChar w:fldCharType="begin"/>
          </w:r>
          <w:r w:rsidRPr="003171CD">
            <w:rPr>
              <w:noProof w:val="0"/>
              <w:lang w:val="en-US"/>
            </w:rPr>
            <w:instrText xml:space="preserve"> TOC \o "1-3" \h \z \u </w:instrText>
          </w:r>
          <w:r w:rsidRPr="003171CD">
            <w:rPr>
              <w:noProof w:val="0"/>
              <w:lang w:val="en-US"/>
            </w:rPr>
            <w:fldChar w:fldCharType="separate"/>
          </w:r>
          <w:hyperlink w:anchor="_Toc45186688" w:history="1">
            <w:r w:rsidR="00AF1C33" w:rsidRPr="003171CD">
              <w:rPr>
                <w:rStyle w:val="Hipervnculo"/>
                <w:noProof w:val="0"/>
                <w:lang w:val="en-US"/>
              </w:rPr>
              <w:t>I INTRODUCTION OF THE CASE</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_Toc45186688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4</w:t>
            </w:r>
            <w:r w:rsidR="00AF1C33" w:rsidRPr="003171CD">
              <w:rPr>
                <w:noProof w:val="0"/>
                <w:webHidden/>
                <w:lang w:val="en-US"/>
              </w:rPr>
              <w:fldChar w:fldCharType="end"/>
            </w:r>
          </w:hyperlink>
        </w:p>
        <w:p w14:paraId="726B1C4D" w14:textId="37075044"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689" w:history="1">
            <w:r w:rsidR="00AF1C33" w:rsidRPr="003171CD">
              <w:rPr>
                <w:rStyle w:val="Hipervnculo"/>
                <w:noProof w:val="0"/>
                <w:lang w:val="en-US"/>
              </w:rPr>
              <w:t>II PROCEEDING</w:t>
            </w:r>
            <w:r w:rsidR="0074646F" w:rsidRPr="003171CD">
              <w:rPr>
                <w:rStyle w:val="Hipervnculo"/>
                <w:noProof w:val="0"/>
                <w:lang w:val="en-US"/>
              </w:rPr>
              <w:t>S</w:t>
            </w:r>
            <w:r w:rsidR="00AF1C33" w:rsidRPr="003171CD">
              <w:rPr>
                <w:rStyle w:val="Hipervnculo"/>
                <w:noProof w:val="0"/>
                <w:lang w:val="en-US"/>
              </w:rPr>
              <w:t xml:space="preserve"> BEFORE THE COURT</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_Toc45186689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5</w:t>
            </w:r>
            <w:r w:rsidR="00AF1C33" w:rsidRPr="003171CD">
              <w:rPr>
                <w:noProof w:val="0"/>
                <w:webHidden/>
                <w:lang w:val="en-US"/>
              </w:rPr>
              <w:fldChar w:fldCharType="end"/>
            </w:r>
          </w:hyperlink>
        </w:p>
        <w:p w14:paraId="12299EA7" w14:textId="27BEC432"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690" w:history="1">
            <w:r w:rsidR="00AF1C33" w:rsidRPr="003171CD">
              <w:rPr>
                <w:rStyle w:val="Hipervnculo"/>
                <w:noProof w:val="0"/>
                <w:lang w:val="en-US"/>
              </w:rPr>
              <w:t>III JURISDICTION</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_Toc45186690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7</w:t>
            </w:r>
            <w:r w:rsidR="00AF1C33" w:rsidRPr="003171CD">
              <w:rPr>
                <w:noProof w:val="0"/>
                <w:webHidden/>
                <w:lang w:val="en-US"/>
              </w:rPr>
              <w:fldChar w:fldCharType="end"/>
            </w:r>
          </w:hyperlink>
        </w:p>
        <w:p w14:paraId="61B816B3" w14:textId="3DDD3575"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691" w:history="1">
            <w:r w:rsidR="00AF1C33" w:rsidRPr="003171CD">
              <w:rPr>
                <w:rStyle w:val="Hipervnculo"/>
                <w:noProof w:val="0"/>
                <w:lang w:val="en-US"/>
              </w:rPr>
              <w:t>IV ACKNOWLEDGMENT OF INTERNATIONAL RESPONSIBILITY</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_Toc45186691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7</w:t>
            </w:r>
            <w:r w:rsidR="00AF1C33" w:rsidRPr="003171CD">
              <w:rPr>
                <w:noProof w:val="0"/>
                <w:webHidden/>
                <w:lang w:val="en-US"/>
              </w:rPr>
              <w:fldChar w:fldCharType="end"/>
            </w:r>
          </w:hyperlink>
        </w:p>
        <w:p w14:paraId="6E4BCD68" w14:textId="66794D63"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692" w:history="1">
            <w:r w:rsidR="00AF1C33" w:rsidRPr="003171CD">
              <w:rPr>
                <w:rStyle w:val="Hipervnculo"/>
                <w:noProof w:val="0"/>
                <w:lang w:val="en-US"/>
              </w:rPr>
              <w:t>V EVIDENCE</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_Toc45186692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14</w:t>
            </w:r>
            <w:r w:rsidR="00AF1C33" w:rsidRPr="003171CD">
              <w:rPr>
                <w:noProof w:val="0"/>
                <w:webHidden/>
                <w:lang w:val="en-US"/>
              </w:rPr>
              <w:fldChar w:fldCharType="end"/>
            </w:r>
          </w:hyperlink>
        </w:p>
        <w:p w14:paraId="6D13FCB3" w14:textId="09FC6DF7"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693" w:history="1">
            <w:r w:rsidR="00AF1C33" w:rsidRPr="003171CD">
              <w:rPr>
                <w:rStyle w:val="Hipervnculo"/>
                <w:rFonts w:eastAsia="MS Mincho"/>
                <w:b/>
                <w:bCs/>
                <w:i/>
                <w:lang w:val="en-US"/>
              </w:rPr>
              <w:t>A.</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eastAsia="MS Mincho"/>
                <w:b/>
                <w:bCs/>
                <w:i/>
                <w:lang w:val="en-US"/>
              </w:rPr>
              <w:t>Documentary, testimonial and expert evidence</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_Toc45186693 \h </w:instrText>
            </w:r>
            <w:r w:rsidR="00AF1C33" w:rsidRPr="003171CD">
              <w:rPr>
                <w:webHidden/>
                <w:lang w:val="en-US"/>
              </w:rPr>
            </w:r>
            <w:r w:rsidR="00AF1C33" w:rsidRPr="003171CD">
              <w:rPr>
                <w:webHidden/>
                <w:lang w:val="en-US"/>
              </w:rPr>
              <w:fldChar w:fldCharType="separate"/>
            </w:r>
            <w:r w:rsidR="00D94640">
              <w:rPr>
                <w:noProof/>
                <w:webHidden/>
                <w:lang w:val="en-US"/>
              </w:rPr>
              <w:t>14</w:t>
            </w:r>
            <w:r w:rsidR="00AF1C33" w:rsidRPr="003171CD">
              <w:rPr>
                <w:webHidden/>
                <w:lang w:val="en-US"/>
              </w:rPr>
              <w:fldChar w:fldCharType="end"/>
            </w:r>
          </w:hyperlink>
        </w:p>
        <w:p w14:paraId="32D24ADA" w14:textId="61F08A55" w:rsidR="00AF1C33" w:rsidRPr="003171CD" w:rsidRDefault="00096DCF">
          <w:pPr>
            <w:pStyle w:val="TDC2"/>
            <w:tabs>
              <w:tab w:val="left" w:pos="880"/>
              <w:tab w:val="right" w:leader="dot" w:pos="10070"/>
            </w:tabs>
            <w:rPr>
              <w:rFonts w:asciiTheme="minorHAnsi" w:eastAsiaTheme="minorEastAsia" w:hAnsiTheme="minorHAnsi" w:cstheme="minorBidi"/>
              <w:snapToGrid/>
              <w:sz w:val="22"/>
              <w:szCs w:val="22"/>
              <w:lang w:val="en-US" w:eastAsia="en-GB"/>
            </w:rPr>
          </w:pPr>
          <w:hyperlink w:anchor="_Toc45186694" w:history="1">
            <w:r w:rsidR="00AF1C33" w:rsidRPr="003171CD">
              <w:rPr>
                <w:rStyle w:val="Hipervnculo"/>
                <w:rFonts w:eastAsia="MS Mincho"/>
                <w:b/>
                <w:bCs/>
                <w:i/>
                <w:lang w:val="en-US"/>
              </w:rPr>
              <w:t xml:space="preserve">B. </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eastAsia="MS Mincho"/>
                <w:b/>
                <w:bCs/>
                <w:i/>
                <w:lang w:val="en-US"/>
              </w:rPr>
              <w:t>Admission of the evidence</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_Toc45186694 \h </w:instrText>
            </w:r>
            <w:r w:rsidR="00AF1C33" w:rsidRPr="003171CD">
              <w:rPr>
                <w:webHidden/>
                <w:lang w:val="en-US"/>
              </w:rPr>
            </w:r>
            <w:r w:rsidR="00AF1C33" w:rsidRPr="003171CD">
              <w:rPr>
                <w:webHidden/>
                <w:lang w:val="en-US"/>
              </w:rPr>
              <w:fldChar w:fldCharType="separate"/>
            </w:r>
            <w:r w:rsidR="00D94640">
              <w:rPr>
                <w:noProof/>
                <w:webHidden/>
                <w:lang w:val="en-US"/>
              </w:rPr>
              <w:t>14</w:t>
            </w:r>
            <w:r w:rsidR="00AF1C33" w:rsidRPr="003171CD">
              <w:rPr>
                <w:webHidden/>
                <w:lang w:val="en-US"/>
              </w:rPr>
              <w:fldChar w:fldCharType="end"/>
            </w:r>
          </w:hyperlink>
        </w:p>
        <w:p w14:paraId="488E4F5B" w14:textId="33F17FF0" w:rsidR="00AF1C33" w:rsidRPr="003171CD" w:rsidRDefault="00096DCF">
          <w:pPr>
            <w:pStyle w:val="TDC3"/>
            <w:tabs>
              <w:tab w:val="left" w:pos="1100"/>
              <w:tab w:val="right" w:leader="dot" w:pos="10070"/>
            </w:tabs>
            <w:rPr>
              <w:rFonts w:asciiTheme="minorHAnsi" w:eastAsiaTheme="minorEastAsia" w:hAnsiTheme="minorHAnsi" w:cstheme="minorBidi"/>
              <w:snapToGrid/>
              <w:sz w:val="22"/>
              <w:szCs w:val="22"/>
              <w:lang w:val="en-US" w:eastAsia="en-GB"/>
            </w:rPr>
          </w:pPr>
          <w:hyperlink w:anchor="_Toc45186695" w:history="1">
            <w:r w:rsidR="00AF1C33" w:rsidRPr="003171CD">
              <w:rPr>
                <w:rStyle w:val="Hipervnculo"/>
                <w:rFonts w:eastAsia="Times New Roman"/>
                <w:bCs/>
                <w:i/>
                <w:lang w:val="en-US"/>
              </w:rPr>
              <w:t xml:space="preserve">B.1 </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eastAsia="Times New Roman"/>
                <w:bCs/>
                <w:i/>
                <w:lang w:val="en-US"/>
              </w:rPr>
              <w:t>Admission of the documentary evidence</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_Toc45186695 \h </w:instrText>
            </w:r>
            <w:r w:rsidR="00AF1C33" w:rsidRPr="003171CD">
              <w:rPr>
                <w:webHidden/>
                <w:lang w:val="en-US"/>
              </w:rPr>
            </w:r>
            <w:r w:rsidR="00AF1C33" w:rsidRPr="003171CD">
              <w:rPr>
                <w:webHidden/>
                <w:lang w:val="en-US"/>
              </w:rPr>
              <w:fldChar w:fldCharType="separate"/>
            </w:r>
            <w:r w:rsidR="00D94640">
              <w:rPr>
                <w:noProof/>
                <w:webHidden/>
                <w:lang w:val="en-US"/>
              </w:rPr>
              <w:t>14</w:t>
            </w:r>
            <w:r w:rsidR="00AF1C33" w:rsidRPr="003171CD">
              <w:rPr>
                <w:webHidden/>
                <w:lang w:val="en-US"/>
              </w:rPr>
              <w:fldChar w:fldCharType="end"/>
            </w:r>
          </w:hyperlink>
        </w:p>
        <w:p w14:paraId="16873ED0" w14:textId="0ADCD402" w:rsidR="00AF1C33" w:rsidRPr="003171CD" w:rsidRDefault="00096DCF">
          <w:pPr>
            <w:pStyle w:val="TDC3"/>
            <w:tabs>
              <w:tab w:val="left" w:pos="1100"/>
              <w:tab w:val="right" w:leader="dot" w:pos="10070"/>
            </w:tabs>
            <w:rPr>
              <w:rFonts w:asciiTheme="minorHAnsi" w:eastAsiaTheme="minorEastAsia" w:hAnsiTheme="minorHAnsi" w:cstheme="minorBidi"/>
              <w:snapToGrid/>
              <w:sz w:val="22"/>
              <w:szCs w:val="22"/>
              <w:lang w:val="en-US" w:eastAsia="en-GB"/>
            </w:rPr>
          </w:pPr>
          <w:hyperlink w:anchor="_Toc45186696" w:history="1">
            <w:r w:rsidR="00AF1C33" w:rsidRPr="003171CD">
              <w:rPr>
                <w:rStyle w:val="Hipervnculo"/>
                <w:rFonts w:eastAsia="Times New Roman"/>
                <w:bCs/>
                <w:i/>
                <w:lang w:val="en-US"/>
              </w:rPr>
              <w:t xml:space="preserve">B.2 </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eastAsia="Times New Roman"/>
                <w:bCs/>
                <w:i/>
                <w:lang w:val="en-US"/>
              </w:rPr>
              <w:t>Admission of the statements and of the expert opinions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_Toc45186696 \h </w:instrText>
            </w:r>
            <w:r w:rsidR="00AF1C33" w:rsidRPr="003171CD">
              <w:rPr>
                <w:webHidden/>
                <w:lang w:val="en-US"/>
              </w:rPr>
            </w:r>
            <w:r w:rsidR="00AF1C33" w:rsidRPr="003171CD">
              <w:rPr>
                <w:webHidden/>
                <w:lang w:val="en-US"/>
              </w:rPr>
              <w:fldChar w:fldCharType="separate"/>
            </w:r>
            <w:r w:rsidR="00D94640">
              <w:rPr>
                <w:noProof/>
                <w:webHidden/>
                <w:lang w:val="en-US"/>
              </w:rPr>
              <w:t>15</w:t>
            </w:r>
            <w:r w:rsidR="00AF1C33" w:rsidRPr="003171CD">
              <w:rPr>
                <w:webHidden/>
                <w:lang w:val="en-US"/>
              </w:rPr>
              <w:fldChar w:fldCharType="end"/>
            </w:r>
          </w:hyperlink>
        </w:p>
        <w:p w14:paraId="5D81627D" w14:textId="1AB0D9AD" w:rsidR="00AF1C33" w:rsidRPr="003171CD" w:rsidRDefault="00096DCF">
          <w:pPr>
            <w:pStyle w:val="TDC2"/>
            <w:tabs>
              <w:tab w:val="left" w:pos="880"/>
              <w:tab w:val="right" w:leader="dot" w:pos="10070"/>
            </w:tabs>
            <w:rPr>
              <w:rFonts w:asciiTheme="minorHAnsi" w:eastAsiaTheme="minorEastAsia" w:hAnsiTheme="minorHAnsi" w:cstheme="minorBidi"/>
              <w:snapToGrid/>
              <w:sz w:val="22"/>
              <w:szCs w:val="22"/>
              <w:lang w:val="en-US" w:eastAsia="en-GB"/>
            </w:rPr>
          </w:pPr>
          <w:hyperlink w:anchor="_Toc45186697" w:history="1">
            <w:r w:rsidR="00AF1C33" w:rsidRPr="003171CD">
              <w:rPr>
                <w:rStyle w:val="Hipervnculo"/>
                <w:rFonts w:eastAsia="MS Mincho"/>
                <w:b/>
                <w:bCs/>
                <w:i/>
                <w:lang w:val="en-US"/>
              </w:rPr>
              <w:t xml:space="preserve">C. </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eastAsia="MS Mincho"/>
                <w:b/>
                <w:bCs/>
                <w:i/>
                <w:lang w:val="en-US"/>
              </w:rPr>
              <w:t>Assessment of the evidence</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_Toc45186697 \h </w:instrText>
            </w:r>
            <w:r w:rsidR="00AF1C33" w:rsidRPr="003171CD">
              <w:rPr>
                <w:webHidden/>
                <w:lang w:val="en-US"/>
              </w:rPr>
            </w:r>
            <w:r w:rsidR="00AF1C33" w:rsidRPr="003171CD">
              <w:rPr>
                <w:webHidden/>
                <w:lang w:val="en-US"/>
              </w:rPr>
              <w:fldChar w:fldCharType="separate"/>
            </w:r>
            <w:r w:rsidR="00D94640">
              <w:rPr>
                <w:noProof/>
                <w:webHidden/>
                <w:lang w:val="en-US"/>
              </w:rPr>
              <w:t>15</w:t>
            </w:r>
            <w:r w:rsidR="00AF1C33" w:rsidRPr="003171CD">
              <w:rPr>
                <w:webHidden/>
                <w:lang w:val="en-US"/>
              </w:rPr>
              <w:fldChar w:fldCharType="end"/>
            </w:r>
          </w:hyperlink>
        </w:p>
        <w:p w14:paraId="47AC46B4" w14:textId="1FCB6482"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698" w:history="1">
            <w:r w:rsidR="00AF1C33" w:rsidRPr="003171CD">
              <w:rPr>
                <w:rStyle w:val="Hipervnculo"/>
                <w:noProof w:val="0"/>
                <w:lang w:val="en-US"/>
              </w:rPr>
              <w:t>VI FACTS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_Toc45186698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16</w:t>
            </w:r>
            <w:r w:rsidR="00AF1C33" w:rsidRPr="003171CD">
              <w:rPr>
                <w:noProof w:val="0"/>
                <w:webHidden/>
                <w:lang w:val="en-US"/>
              </w:rPr>
              <w:fldChar w:fldCharType="end"/>
            </w:r>
          </w:hyperlink>
        </w:p>
        <w:p w14:paraId="37213372" w14:textId="7A684B95"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699" w:history="1">
            <w:r w:rsidR="00AF1C33" w:rsidRPr="003171CD">
              <w:rPr>
                <w:rStyle w:val="Hipervnculo"/>
                <w:rFonts w:cs="Arial"/>
                <w:b/>
                <w:i/>
                <w:lang w:val="en-US"/>
              </w:rPr>
              <w:t>A.</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Background to the case</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_Toc45186699 \h </w:instrText>
            </w:r>
            <w:r w:rsidR="00AF1C33" w:rsidRPr="003171CD">
              <w:rPr>
                <w:webHidden/>
                <w:lang w:val="en-US"/>
              </w:rPr>
            </w:r>
            <w:r w:rsidR="00AF1C33" w:rsidRPr="003171CD">
              <w:rPr>
                <w:webHidden/>
                <w:lang w:val="en-US"/>
              </w:rPr>
              <w:fldChar w:fldCharType="separate"/>
            </w:r>
            <w:r w:rsidR="00D94640">
              <w:rPr>
                <w:noProof/>
                <w:webHidden/>
                <w:lang w:val="en-US"/>
              </w:rPr>
              <w:t>16</w:t>
            </w:r>
            <w:r w:rsidR="00AF1C33" w:rsidRPr="003171CD">
              <w:rPr>
                <w:webHidden/>
                <w:lang w:val="en-US"/>
              </w:rPr>
              <w:fldChar w:fldCharType="end"/>
            </w:r>
          </w:hyperlink>
        </w:p>
        <w:p w14:paraId="0FBF5DE8" w14:textId="44A92136"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0" w:history="1">
            <w:r w:rsidR="00AF1C33" w:rsidRPr="003171CD">
              <w:rPr>
                <w:rStyle w:val="Hipervnculo"/>
                <w:rFonts w:cs="Arial"/>
                <w:b/>
                <w:i/>
                <w:lang w:val="en-US"/>
              </w:rPr>
              <w:t>B.</w:t>
            </w:r>
            <w:r w:rsidR="00AF1C33" w:rsidRPr="003171CD">
              <w:rPr>
                <w:rFonts w:asciiTheme="minorHAnsi" w:eastAsiaTheme="minorEastAsia" w:hAnsiTheme="minorHAnsi" w:cstheme="minorBidi"/>
                <w:snapToGrid/>
                <w:sz w:val="22"/>
                <w:szCs w:val="22"/>
                <w:lang w:val="en-US" w:eastAsia="en-GB"/>
              </w:rPr>
              <w:tab/>
            </w:r>
            <w:r w:rsidR="003D5E31" w:rsidRPr="003171CD">
              <w:rPr>
                <w:rStyle w:val="Hipervnculo"/>
                <w:rFonts w:cs="Arial"/>
                <w:b/>
                <w:i/>
                <w:lang w:val="en-US"/>
              </w:rPr>
              <w:t>Link</w:t>
            </w:r>
            <w:r w:rsidR="00106261" w:rsidRPr="003171CD">
              <w:rPr>
                <w:rStyle w:val="Hipervnculo"/>
                <w:rFonts w:cs="Arial"/>
                <w:b/>
                <w:i/>
                <w:lang w:val="en-US"/>
              </w:rPr>
              <w:t xml:space="preserve">ing of </w:t>
            </w:r>
            <w:r w:rsidR="00AF1C33" w:rsidRPr="003171CD">
              <w:rPr>
                <w:rStyle w:val="Hipervnculo"/>
                <w:rFonts w:cs="Arial"/>
                <w:b/>
                <w:i/>
                <w:lang w:val="en-US"/>
              </w:rPr>
              <w:t>José Agapito Ruano Torres to the criminal investigation</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_Toc45186700 \h </w:instrText>
            </w:r>
            <w:r w:rsidR="00AF1C33" w:rsidRPr="003171CD">
              <w:rPr>
                <w:webHidden/>
                <w:lang w:val="en-US"/>
              </w:rPr>
            </w:r>
            <w:r w:rsidR="00AF1C33" w:rsidRPr="003171CD">
              <w:rPr>
                <w:webHidden/>
                <w:lang w:val="en-US"/>
              </w:rPr>
              <w:fldChar w:fldCharType="separate"/>
            </w:r>
            <w:r w:rsidR="00D94640">
              <w:rPr>
                <w:noProof/>
                <w:webHidden/>
                <w:lang w:val="en-US"/>
              </w:rPr>
              <w:t>17</w:t>
            </w:r>
            <w:r w:rsidR="00AF1C33" w:rsidRPr="003171CD">
              <w:rPr>
                <w:webHidden/>
                <w:lang w:val="en-US"/>
              </w:rPr>
              <w:fldChar w:fldCharType="end"/>
            </w:r>
          </w:hyperlink>
        </w:p>
        <w:p w14:paraId="3B823751" w14:textId="722675FE"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1" w:history="1">
            <w:r w:rsidR="00AF1C33" w:rsidRPr="003171CD">
              <w:rPr>
                <w:rStyle w:val="Hipervnculo"/>
                <w:rFonts w:cs="Arial"/>
                <w:b/>
                <w:i/>
                <w:lang w:val="en-US"/>
              </w:rPr>
              <w:t>C.</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Arrest of José Agapito Ruano Torres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_Toc45186701 \h </w:instrText>
            </w:r>
            <w:r w:rsidR="00AF1C33" w:rsidRPr="003171CD">
              <w:rPr>
                <w:webHidden/>
                <w:lang w:val="en-US"/>
              </w:rPr>
            </w:r>
            <w:r w:rsidR="00AF1C33" w:rsidRPr="003171CD">
              <w:rPr>
                <w:webHidden/>
                <w:lang w:val="en-US"/>
              </w:rPr>
              <w:fldChar w:fldCharType="separate"/>
            </w:r>
            <w:r w:rsidR="00D94640">
              <w:rPr>
                <w:noProof/>
                <w:webHidden/>
                <w:lang w:val="en-US"/>
              </w:rPr>
              <w:t>18</w:t>
            </w:r>
            <w:r w:rsidR="00AF1C33" w:rsidRPr="003171CD">
              <w:rPr>
                <w:webHidden/>
                <w:lang w:val="en-US"/>
              </w:rPr>
              <w:fldChar w:fldCharType="end"/>
            </w:r>
          </w:hyperlink>
        </w:p>
        <w:p w14:paraId="0D90F472" w14:textId="5F9932C2"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2" w:history="1">
            <w:r w:rsidR="00AF1C33" w:rsidRPr="003171CD">
              <w:rPr>
                <w:rStyle w:val="Hipervnculo"/>
                <w:rFonts w:cs="Arial"/>
                <w:b/>
                <w:i/>
                <w:lang w:val="en-US"/>
              </w:rPr>
              <w:t>D.</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Criminal proceeding</w:t>
            </w:r>
            <w:r w:rsidR="004A250A" w:rsidRPr="003171CD">
              <w:rPr>
                <w:rStyle w:val="Hipervnculo"/>
                <w:rFonts w:cs="Arial"/>
                <w:b/>
                <w:i/>
                <w:lang w:val="en-US"/>
              </w:rPr>
              <w:t>s</w:t>
            </w:r>
            <w:r w:rsidR="00AF1C33" w:rsidRPr="003171CD">
              <w:rPr>
                <w:rStyle w:val="Hipervnculo"/>
                <w:rFonts w:cs="Arial"/>
                <w:b/>
                <w:i/>
                <w:lang w:val="en-US"/>
              </w:rPr>
              <w:t xml:space="preserve"> against José Agapito Ruano Torres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_Toc45186702 \h </w:instrText>
            </w:r>
            <w:r w:rsidR="00AF1C33" w:rsidRPr="003171CD">
              <w:rPr>
                <w:webHidden/>
                <w:lang w:val="en-US"/>
              </w:rPr>
            </w:r>
            <w:r w:rsidR="00AF1C33" w:rsidRPr="003171CD">
              <w:rPr>
                <w:webHidden/>
                <w:lang w:val="en-US"/>
              </w:rPr>
              <w:fldChar w:fldCharType="separate"/>
            </w:r>
            <w:r w:rsidR="00D94640">
              <w:rPr>
                <w:noProof/>
                <w:webHidden/>
                <w:lang w:val="en-US"/>
              </w:rPr>
              <w:t>22</w:t>
            </w:r>
            <w:r w:rsidR="00AF1C33" w:rsidRPr="003171CD">
              <w:rPr>
                <w:webHidden/>
                <w:lang w:val="en-US"/>
              </w:rPr>
              <w:fldChar w:fldCharType="end"/>
            </w:r>
          </w:hyperlink>
        </w:p>
        <w:p w14:paraId="0CFE80F9" w14:textId="2DF1E088"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3" w:history="1">
            <w:r w:rsidR="00AF1C33" w:rsidRPr="003171CD">
              <w:rPr>
                <w:rStyle w:val="Hipervnculo"/>
                <w:rFonts w:cs="Arial"/>
                <w:b/>
                <w:i/>
                <w:lang w:val="en-US"/>
              </w:rPr>
              <w:t>E.</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Application for habeas corpus before the Constitutional Chamber</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_Toc45186703 \h </w:instrText>
            </w:r>
            <w:r w:rsidR="00AF1C33" w:rsidRPr="003171CD">
              <w:rPr>
                <w:webHidden/>
                <w:lang w:val="en-US"/>
              </w:rPr>
            </w:r>
            <w:r w:rsidR="00AF1C33" w:rsidRPr="003171CD">
              <w:rPr>
                <w:webHidden/>
                <w:lang w:val="en-US"/>
              </w:rPr>
              <w:fldChar w:fldCharType="separate"/>
            </w:r>
            <w:r w:rsidR="00D94640">
              <w:rPr>
                <w:noProof/>
                <w:webHidden/>
                <w:lang w:val="en-US"/>
              </w:rPr>
              <w:t>31</w:t>
            </w:r>
            <w:r w:rsidR="00AF1C33" w:rsidRPr="003171CD">
              <w:rPr>
                <w:webHidden/>
                <w:lang w:val="en-US"/>
              </w:rPr>
              <w:fldChar w:fldCharType="end"/>
            </w:r>
          </w:hyperlink>
        </w:p>
        <w:p w14:paraId="1AA695D8" w14:textId="2A1F7277"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4" w:history="1">
            <w:r w:rsidR="00AF1C33" w:rsidRPr="003171CD">
              <w:rPr>
                <w:rStyle w:val="Hipervnculo"/>
                <w:rFonts w:cs="Arial"/>
                <w:b/>
                <w:i/>
                <w:lang w:val="en-US"/>
              </w:rPr>
              <w:t>F.</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Proceeding before the Office of the Human Rights Ombudsman</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_Toc45186704 \h </w:instrText>
            </w:r>
            <w:r w:rsidR="00AF1C33" w:rsidRPr="003171CD">
              <w:rPr>
                <w:webHidden/>
                <w:lang w:val="en-US"/>
              </w:rPr>
            </w:r>
            <w:r w:rsidR="00AF1C33" w:rsidRPr="003171CD">
              <w:rPr>
                <w:webHidden/>
                <w:lang w:val="en-US"/>
              </w:rPr>
              <w:fldChar w:fldCharType="separate"/>
            </w:r>
            <w:r w:rsidR="00D94640">
              <w:rPr>
                <w:noProof/>
                <w:webHidden/>
                <w:lang w:val="en-US"/>
              </w:rPr>
              <w:t>32</w:t>
            </w:r>
            <w:r w:rsidR="00AF1C33" w:rsidRPr="003171CD">
              <w:rPr>
                <w:webHidden/>
                <w:lang w:val="en-US"/>
              </w:rPr>
              <w:fldChar w:fldCharType="end"/>
            </w:r>
          </w:hyperlink>
        </w:p>
        <w:p w14:paraId="03CF3A97" w14:textId="598B4A69"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05" w:history="1">
            <w:r w:rsidR="00AF1C33" w:rsidRPr="003171CD">
              <w:rPr>
                <w:rStyle w:val="Hipervnculo"/>
                <w:noProof w:val="0"/>
                <w:lang w:val="en-US"/>
              </w:rPr>
              <w:t>VII MERITS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_Toc45186705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33</w:t>
            </w:r>
            <w:r w:rsidR="00AF1C33" w:rsidRPr="003171CD">
              <w:rPr>
                <w:noProof w:val="0"/>
                <w:webHidden/>
                <w:lang w:val="en-US"/>
              </w:rPr>
              <w:fldChar w:fldCharType="end"/>
            </w:r>
          </w:hyperlink>
        </w:p>
        <w:p w14:paraId="40077265" w14:textId="0E471DFD"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06" w:history="1">
            <w:r w:rsidR="00AF1C33" w:rsidRPr="003171CD">
              <w:rPr>
                <w:rStyle w:val="Hipervnculo"/>
                <w:noProof w:val="0"/>
                <w:lang w:val="en-US"/>
              </w:rPr>
              <w:t>VII-1 rights to personal integ</w:t>
            </w:r>
            <w:r w:rsidR="0074646F" w:rsidRPr="003171CD">
              <w:rPr>
                <w:rStyle w:val="Hipervnculo"/>
                <w:noProof w:val="0"/>
                <w:lang w:val="en-US"/>
              </w:rPr>
              <w:t xml:space="preserve">rity and the PROHIBITION of </w:t>
            </w:r>
            <w:r w:rsidR="00AF1C33" w:rsidRPr="003171CD">
              <w:rPr>
                <w:rStyle w:val="Hipervnculo"/>
                <w:noProof w:val="0"/>
                <w:lang w:val="en-US"/>
              </w:rPr>
              <w:t>TORTURE, personal LIBERTY, presumption of innocence and JUDICIAL PROTECTION in relation to the obligation TO RESPECT AND GUARANTEE RIGHTS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_Toc45186706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34</w:t>
            </w:r>
            <w:r w:rsidR="00AF1C33" w:rsidRPr="003171CD">
              <w:rPr>
                <w:noProof w:val="0"/>
                <w:webHidden/>
                <w:lang w:val="en-US"/>
              </w:rPr>
              <w:fldChar w:fldCharType="end"/>
            </w:r>
          </w:hyperlink>
        </w:p>
        <w:p w14:paraId="78BC67BA" w14:textId="5822A01C"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7" w:history="1">
            <w:r w:rsidR="00AF1C33" w:rsidRPr="003171CD">
              <w:rPr>
                <w:rStyle w:val="Hipervnculo"/>
                <w:rFonts w:cs="Arial"/>
                <w:b/>
                <w:i/>
                <w:lang w:val="en-US"/>
              </w:rPr>
              <w:t>A.</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Violation of the right to personal integrity and prohibition of torture to the detriment of  José Agapito Ruano Torres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_Toc45186707 \h </w:instrText>
            </w:r>
            <w:r w:rsidR="00AF1C33" w:rsidRPr="003171CD">
              <w:rPr>
                <w:webHidden/>
                <w:lang w:val="en-US"/>
              </w:rPr>
            </w:r>
            <w:r w:rsidR="00AF1C33" w:rsidRPr="003171CD">
              <w:rPr>
                <w:webHidden/>
                <w:lang w:val="en-US"/>
              </w:rPr>
              <w:fldChar w:fldCharType="separate"/>
            </w:r>
            <w:r w:rsidR="00D94640">
              <w:rPr>
                <w:noProof/>
                <w:webHidden/>
                <w:lang w:val="en-US"/>
              </w:rPr>
              <w:t>34</w:t>
            </w:r>
            <w:r w:rsidR="00AF1C33" w:rsidRPr="003171CD">
              <w:rPr>
                <w:webHidden/>
                <w:lang w:val="en-US"/>
              </w:rPr>
              <w:fldChar w:fldCharType="end"/>
            </w:r>
          </w:hyperlink>
        </w:p>
        <w:p w14:paraId="6EE43F02" w14:textId="1F4CF31D"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8" w:history="1">
            <w:r w:rsidR="00AF1C33" w:rsidRPr="003171CD">
              <w:rPr>
                <w:rStyle w:val="Hipervnculo"/>
                <w:rFonts w:cs="Arial"/>
                <w:b/>
                <w:i/>
                <w:lang w:val="en-US"/>
              </w:rPr>
              <w:t>B.</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 xml:space="preserve">Violation of the </w:t>
            </w:r>
            <w:r w:rsidR="0074646F" w:rsidRPr="003171CD">
              <w:rPr>
                <w:rStyle w:val="Hipervnculo"/>
                <w:rFonts w:cs="Arial"/>
                <w:b/>
                <w:i/>
                <w:lang w:val="en-US"/>
              </w:rPr>
              <w:t xml:space="preserve">right to </w:t>
            </w:r>
            <w:r w:rsidR="0072421D" w:rsidRPr="003171CD">
              <w:rPr>
                <w:rStyle w:val="Hipervnculo"/>
                <w:rFonts w:cs="Arial"/>
                <w:b/>
                <w:i/>
                <w:lang w:val="en-US"/>
              </w:rPr>
              <w:t xml:space="preserve">presumption of </w:t>
            </w:r>
            <w:r w:rsidR="00AF1C33" w:rsidRPr="003171CD">
              <w:rPr>
                <w:rStyle w:val="Hipervnculo"/>
                <w:rFonts w:cs="Arial"/>
                <w:b/>
                <w:i/>
                <w:lang w:val="en-US"/>
              </w:rPr>
              <w:t xml:space="preserve">innocence </w:t>
            </w:r>
            <w:r w:rsidR="0074646F" w:rsidRPr="003171CD">
              <w:rPr>
                <w:rStyle w:val="Hipervnculo"/>
                <w:rFonts w:cs="Arial"/>
                <w:b/>
                <w:i/>
                <w:lang w:val="en-US"/>
              </w:rPr>
              <w:t>of</w:t>
            </w:r>
            <w:r w:rsidR="00AF1C33" w:rsidRPr="003171CD">
              <w:rPr>
                <w:rStyle w:val="Hipervnculo"/>
                <w:rFonts w:cs="Arial"/>
                <w:b/>
                <w:i/>
                <w:lang w:val="en-US"/>
              </w:rPr>
              <w:t xml:space="preserve">  José Agapito Ruano Torres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_Toc45186708 \h </w:instrText>
            </w:r>
            <w:r w:rsidR="00AF1C33" w:rsidRPr="003171CD">
              <w:rPr>
                <w:webHidden/>
                <w:lang w:val="en-US"/>
              </w:rPr>
            </w:r>
            <w:r w:rsidR="00AF1C33" w:rsidRPr="003171CD">
              <w:rPr>
                <w:webHidden/>
                <w:lang w:val="en-US"/>
              </w:rPr>
              <w:fldChar w:fldCharType="separate"/>
            </w:r>
            <w:r w:rsidR="00D94640">
              <w:rPr>
                <w:noProof/>
                <w:webHidden/>
                <w:lang w:val="en-US"/>
              </w:rPr>
              <w:t>36</w:t>
            </w:r>
            <w:r w:rsidR="00AF1C33" w:rsidRPr="003171CD">
              <w:rPr>
                <w:webHidden/>
                <w:lang w:val="en-US"/>
              </w:rPr>
              <w:fldChar w:fldCharType="end"/>
            </w:r>
          </w:hyperlink>
        </w:p>
        <w:p w14:paraId="4552140E" w14:textId="283D073D"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09" w:history="1">
            <w:r w:rsidR="00AF1C33" w:rsidRPr="003171CD">
              <w:rPr>
                <w:rStyle w:val="Hipervnculo"/>
                <w:rFonts w:cs="Arial"/>
                <w:b/>
                <w:i/>
                <w:lang w:val="en-US"/>
              </w:rPr>
              <w:t>C.</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 xml:space="preserve">Violation </w:t>
            </w:r>
            <w:r w:rsidR="0074646F" w:rsidRPr="003171CD">
              <w:rPr>
                <w:rStyle w:val="Hipervnculo"/>
                <w:rFonts w:cs="Arial"/>
                <w:b/>
                <w:i/>
                <w:lang w:val="en-US"/>
              </w:rPr>
              <w:t xml:space="preserve">of the </w:t>
            </w:r>
            <w:r w:rsidR="00AF1C33" w:rsidRPr="003171CD">
              <w:rPr>
                <w:rStyle w:val="Hipervnculo"/>
                <w:rFonts w:cs="Arial"/>
                <w:b/>
                <w:i/>
                <w:lang w:val="en-US"/>
              </w:rPr>
              <w:t xml:space="preserve">right to judicial protection </w:t>
            </w:r>
            <w:r w:rsidR="0074646F" w:rsidRPr="003171CD">
              <w:rPr>
                <w:rStyle w:val="Hipervnculo"/>
                <w:rFonts w:cs="Arial"/>
                <w:b/>
                <w:i/>
                <w:lang w:val="en-US"/>
              </w:rPr>
              <w:t xml:space="preserve">of </w:t>
            </w:r>
            <w:r w:rsidR="00AF1C33" w:rsidRPr="003171CD">
              <w:rPr>
                <w:rStyle w:val="Hipervnculo"/>
                <w:rFonts w:cs="Arial"/>
                <w:b/>
                <w:i/>
                <w:lang w:val="en-US"/>
              </w:rPr>
              <w:t>José Agapito Ruano Torres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_Toc45186709 \h </w:instrText>
            </w:r>
            <w:r w:rsidR="00AF1C33" w:rsidRPr="003171CD">
              <w:rPr>
                <w:webHidden/>
                <w:lang w:val="en-US"/>
              </w:rPr>
            </w:r>
            <w:r w:rsidR="00AF1C33" w:rsidRPr="003171CD">
              <w:rPr>
                <w:webHidden/>
                <w:lang w:val="en-US"/>
              </w:rPr>
              <w:fldChar w:fldCharType="separate"/>
            </w:r>
            <w:r w:rsidR="00D94640">
              <w:rPr>
                <w:noProof/>
                <w:webHidden/>
                <w:lang w:val="en-US"/>
              </w:rPr>
              <w:t>39</w:t>
            </w:r>
            <w:r w:rsidR="00AF1C33" w:rsidRPr="003171CD">
              <w:rPr>
                <w:webHidden/>
                <w:lang w:val="en-US"/>
              </w:rPr>
              <w:fldChar w:fldCharType="end"/>
            </w:r>
          </w:hyperlink>
        </w:p>
        <w:p w14:paraId="78D83F50" w14:textId="106429C2"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10" w:history="1">
            <w:r w:rsidR="00AF1C33" w:rsidRPr="003171CD">
              <w:rPr>
                <w:rStyle w:val="Hipervnculo"/>
                <w:rFonts w:cs="Arial"/>
                <w:b/>
                <w:i/>
                <w:lang w:val="en-US"/>
              </w:rPr>
              <w:t>D.</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Violation of the right to personal liberty of José Agapito Ruano Torres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_Toc45186710 \h </w:instrText>
            </w:r>
            <w:r w:rsidR="00AF1C33" w:rsidRPr="003171CD">
              <w:rPr>
                <w:webHidden/>
                <w:lang w:val="en-US"/>
              </w:rPr>
            </w:r>
            <w:r w:rsidR="00AF1C33" w:rsidRPr="003171CD">
              <w:rPr>
                <w:webHidden/>
                <w:lang w:val="en-US"/>
              </w:rPr>
              <w:fldChar w:fldCharType="separate"/>
            </w:r>
            <w:r w:rsidR="00D94640">
              <w:rPr>
                <w:noProof/>
                <w:webHidden/>
                <w:lang w:val="en-US"/>
              </w:rPr>
              <w:t>40</w:t>
            </w:r>
            <w:r w:rsidR="00AF1C33" w:rsidRPr="003171CD">
              <w:rPr>
                <w:webHidden/>
                <w:lang w:val="en-US"/>
              </w:rPr>
              <w:fldChar w:fldCharType="end"/>
            </w:r>
          </w:hyperlink>
        </w:p>
        <w:p w14:paraId="1B01E54A" w14:textId="16EF2883"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11" w:history="1">
            <w:r w:rsidR="00AF1C33" w:rsidRPr="003171CD">
              <w:rPr>
                <w:rStyle w:val="Hipervnculo"/>
                <w:noProof w:val="0"/>
                <w:lang w:val="en-US"/>
              </w:rPr>
              <w:t>VII-2 right to DEFENSE in relation to the obligation TO RESPECT</w:t>
            </w:r>
            <w:r w:rsidR="0074646F" w:rsidRPr="003171CD">
              <w:rPr>
                <w:rStyle w:val="Hipervnculo"/>
                <w:noProof w:val="0"/>
                <w:lang w:val="en-US"/>
              </w:rPr>
              <w:t xml:space="preserve"> </w:t>
            </w:r>
            <w:r w:rsidR="0096434E" w:rsidRPr="003171CD">
              <w:rPr>
                <w:rStyle w:val="Hipervnculo"/>
                <w:noProof w:val="0"/>
                <w:lang w:val="en-US"/>
              </w:rPr>
              <w:t>AND GUARANTEE RIGHTS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_Toc45186711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41</w:t>
            </w:r>
            <w:r w:rsidR="00AF1C33" w:rsidRPr="003171CD">
              <w:rPr>
                <w:noProof w:val="0"/>
                <w:webHidden/>
                <w:lang w:val="en-US"/>
              </w:rPr>
              <w:fldChar w:fldCharType="end"/>
            </w:r>
          </w:hyperlink>
        </w:p>
        <w:p w14:paraId="32C5F9DC" w14:textId="2C1F6DD5"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13" w:history="1">
            <w:r w:rsidR="00AF1C33" w:rsidRPr="003171CD">
              <w:rPr>
                <w:rStyle w:val="Hipervnculo"/>
                <w:rFonts w:cs="Arial"/>
                <w:b/>
                <w:i/>
                <w:lang w:val="en-US"/>
              </w:rPr>
              <w:t>A.</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Arguments of the parties and of the Commission</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_Toc45186713 \h </w:instrText>
            </w:r>
            <w:r w:rsidR="00AF1C33" w:rsidRPr="003171CD">
              <w:rPr>
                <w:webHidden/>
                <w:lang w:val="en-US"/>
              </w:rPr>
            </w:r>
            <w:r w:rsidR="00AF1C33" w:rsidRPr="003171CD">
              <w:rPr>
                <w:webHidden/>
                <w:lang w:val="en-US"/>
              </w:rPr>
              <w:fldChar w:fldCharType="separate"/>
            </w:r>
            <w:r w:rsidR="00D94640">
              <w:rPr>
                <w:noProof/>
                <w:webHidden/>
                <w:lang w:val="en-US"/>
              </w:rPr>
              <w:t>42</w:t>
            </w:r>
            <w:r w:rsidR="00AF1C33" w:rsidRPr="003171CD">
              <w:rPr>
                <w:webHidden/>
                <w:lang w:val="en-US"/>
              </w:rPr>
              <w:fldChar w:fldCharType="end"/>
            </w:r>
          </w:hyperlink>
        </w:p>
        <w:p w14:paraId="700F4CAD" w14:textId="4985E9FC"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14" w:history="1">
            <w:r w:rsidR="00AF1C33" w:rsidRPr="003171CD">
              <w:rPr>
                <w:rStyle w:val="Hipervnculo"/>
                <w:rFonts w:cs="Arial"/>
                <w:b/>
                <w:i/>
                <w:lang w:val="en-US"/>
              </w:rPr>
              <w:t>B.</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Considerations of the Court</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_Toc45186714 \h </w:instrText>
            </w:r>
            <w:r w:rsidR="00AF1C33" w:rsidRPr="003171CD">
              <w:rPr>
                <w:webHidden/>
                <w:lang w:val="en-US"/>
              </w:rPr>
            </w:r>
            <w:r w:rsidR="00AF1C33" w:rsidRPr="003171CD">
              <w:rPr>
                <w:webHidden/>
                <w:lang w:val="en-US"/>
              </w:rPr>
              <w:fldChar w:fldCharType="separate"/>
            </w:r>
            <w:r w:rsidR="00D94640">
              <w:rPr>
                <w:noProof/>
                <w:webHidden/>
                <w:lang w:val="en-US"/>
              </w:rPr>
              <w:t>42</w:t>
            </w:r>
            <w:r w:rsidR="00AF1C33" w:rsidRPr="003171CD">
              <w:rPr>
                <w:webHidden/>
                <w:lang w:val="en-US"/>
              </w:rPr>
              <w:fldChar w:fldCharType="end"/>
            </w:r>
          </w:hyperlink>
        </w:p>
        <w:p w14:paraId="15FD8E4C" w14:textId="6B99FCCB"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15" w:history="1">
            <w:r w:rsidR="00AF1C33" w:rsidRPr="003171CD">
              <w:rPr>
                <w:rStyle w:val="Hipervnculo"/>
                <w:noProof w:val="0"/>
                <w:lang w:val="en-US"/>
              </w:rPr>
              <w:t>VII-3 RIGHT TO PERSONAL INTEGRITY of THE FAMILY of JOSÉ AGAPITO RUANO TORRES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_Toc45186715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51</w:t>
            </w:r>
            <w:r w:rsidR="00AF1C33" w:rsidRPr="003171CD">
              <w:rPr>
                <w:noProof w:val="0"/>
                <w:webHidden/>
                <w:lang w:val="en-US"/>
              </w:rPr>
              <w:fldChar w:fldCharType="end"/>
            </w:r>
          </w:hyperlink>
        </w:p>
        <w:p w14:paraId="3B48C06B" w14:textId="18311508"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16" w:history="1">
            <w:r w:rsidR="00AF1C33" w:rsidRPr="003171CD">
              <w:rPr>
                <w:rStyle w:val="Hipervnculo"/>
                <w:noProof w:val="0"/>
                <w:lang w:val="en-US"/>
              </w:rPr>
              <w:t>VIII REPARATIONS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_Toc45186716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54</w:t>
            </w:r>
            <w:r w:rsidR="00AF1C33" w:rsidRPr="003171CD">
              <w:rPr>
                <w:noProof w:val="0"/>
                <w:webHidden/>
                <w:lang w:val="en-US"/>
              </w:rPr>
              <w:fldChar w:fldCharType="end"/>
            </w:r>
          </w:hyperlink>
        </w:p>
        <w:p w14:paraId="710A954C" w14:textId="65DDA631"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17" w:history="1">
            <w:r w:rsidR="00AF1C33" w:rsidRPr="003171CD">
              <w:rPr>
                <w:rStyle w:val="Hipervnculo"/>
                <w:rFonts w:cs="Arial"/>
                <w:b/>
                <w:i/>
                <w:lang w:val="en-US"/>
              </w:rPr>
              <w:t>A.</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Injured party</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_Toc45186717 \h </w:instrText>
            </w:r>
            <w:r w:rsidR="00AF1C33" w:rsidRPr="003171CD">
              <w:rPr>
                <w:webHidden/>
                <w:lang w:val="en-US"/>
              </w:rPr>
            </w:r>
            <w:r w:rsidR="00AF1C33" w:rsidRPr="003171CD">
              <w:rPr>
                <w:webHidden/>
                <w:lang w:val="en-US"/>
              </w:rPr>
              <w:fldChar w:fldCharType="separate"/>
            </w:r>
            <w:r w:rsidR="00D94640">
              <w:rPr>
                <w:noProof/>
                <w:webHidden/>
                <w:lang w:val="en-US"/>
              </w:rPr>
              <w:t>55</w:t>
            </w:r>
            <w:r w:rsidR="00AF1C33" w:rsidRPr="003171CD">
              <w:rPr>
                <w:webHidden/>
                <w:lang w:val="en-US"/>
              </w:rPr>
              <w:fldChar w:fldCharType="end"/>
            </w:r>
          </w:hyperlink>
        </w:p>
        <w:p w14:paraId="3E0E68F0" w14:textId="6EBD2A0B"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18" w:history="1">
            <w:r w:rsidR="00AF1C33" w:rsidRPr="003171CD">
              <w:rPr>
                <w:rStyle w:val="Hipervnculo"/>
                <w:rFonts w:cs="Arial"/>
                <w:b/>
                <w:i/>
                <w:lang w:val="en-US"/>
              </w:rPr>
              <w:t>B.</w:t>
            </w:r>
            <w:r w:rsidR="00AF1C33" w:rsidRPr="003171CD">
              <w:rPr>
                <w:rFonts w:asciiTheme="minorHAnsi" w:eastAsiaTheme="minorEastAsia" w:hAnsiTheme="minorHAnsi" w:cstheme="minorBidi"/>
                <w:snapToGrid/>
                <w:sz w:val="22"/>
                <w:szCs w:val="22"/>
                <w:lang w:val="en-US" w:eastAsia="en-GB"/>
              </w:rPr>
              <w:tab/>
            </w:r>
            <w:r w:rsidR="0096434E" w:rsidRPr="003171CD">
              <w:rPr>
                <w:rStyle w:val="Hipervnculo"/>
                <w:rFonts w:cs="Arial"/>
                <w:b/>
                <w:i/>
                <w:lang w:val="en-US"/>
              </w:rPr>
              <w:t>Obligation to</w:t>
            </w:r>
            <w:r w:rsidR="00AF1C33" w:rsidRPr="003171CD">
              <w:rPr>
                <w:rStyle w:val="Hipervnculo"/>
                <w:rFonts w:cs="Arial"/>
                <w:b/>
                <w:i/>
                <w:lang w:val="en-US"/>
              </w:rPr>
              <w:t xml:space="preserve"> investigate the facts that </w:t>
            </w:r>
            <w:r w:rsidR="0096434E" w:rsidRPr="003171CD">
              <w:rPr>
                <w:rStyle w:val="Hipervnculo"/>
                <w:rFonts w:cs="Arial"/>
                <w:b/>
                <w:i/>
                <w:lang w:val="en-US"/>
              </w:rPr>
              <w:t>caused the violations and</w:t>
            </w:r>
            <w:r w:rsidR="00AF1C33" w:rsidRPr="003171CD">
              <w:rPr>
                <w:rStyle w:val="Hipervnculo"/>
                <w:rFonts w:cs="Arial"/>
                <w:b/>
                <w:i/>
                <w:lang w:val="en-US"/>
              </w:rPr>
              <w:t xml:space="preserve"> </w:t>
            </w:r>
            <w:r w:rsidR="0096434E" w:rsidRPr="003171CD">
              <w:rPr>
                <w:rStyle w:val="Hipervnculo"/>
                <w:rFonts w:cs="Arial"/>
                <w:b/>
                <w:i/>
                <w:lang w:val="en-US"/>
              </w:rPr>
              <w:t xml:space="preserve">to </w:t>
            </w:r>
            <w:r w:rsidR="00AF1C33" w:rsidRPr="003171CD">
              <w:rPr>
                <w:rStyle w:val="Hipervnculo"/>
                <w:rFonts w:cs="Arial"/>
                <w:b/>
                <w:i/>
                <w:lang w:val="en-US"/>
              </w:rPr>
              <w:t xml:space="preserve">identify, </w:t>
            </w:r>
            <w:r w:rsidR="0072421D" w:rsidRPr="003171CD">
              <w:rPr>
                <w:rStyle w:val="Hipervnculo"/>
                <w:rFonts w:cs="Arial"/>
                <w:b/>
                <w:i/>
                <w:lang w:val="en-US"/>
              </w:rPr>
              <w:t>prosecut</w:t>
            </w:r>
            <w:r w:rsidR="0096434E" w:rsidRPr="003171CD">
              <w:rPr>
                <w:rStyle w:val="Hipervnculo"/>
                <w:rFonts w:cs="Arial"/>
                <w:b/>
                <w:i/>
                <w:lang w:val="en-US"/>
              </w:rPr>
              <w:t xml:space="preserve">e </w:t>
            </w:r>
            <w:r w:rsidR="00AF1C33" w:rsidRPr="003171CD">
              <w:rPr>
                <w:rStyle w:val="Hipervnculo"/>
                <w:rFonts w:cs="Arial"/>
                <w:b/>
                <w:i/>
                <w:lang w:val="en-US"/>
              </w:rPr>
              <w:t>and, if appropriate, punish those responsible</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_Toc45186718 \h </w:instrText>
            </w:r>
            <w:r w:rsidR="00AF1C33" w:rsidRPr="003171CD">
              <w:rPr>
                <w:webHidden/>
                <w:lang w:val="en-US"/>
              </w:rPr>
            </w:r>
            <w:r w:rsidR="00AF1C33" w:rsidRPr="003171CD">
              <w:rPr>
                <w:webHidden/>
                <w:lang w:val="en-US"/>
              </w:rPr>
              <w:fldChar w:fldCharType="separate"/>
            </w:r>
            <w:r w:rsidR="00D94640">
              <w:rPr>
                <w:noProof/>
                <w:webHidden/>
                <w:lang w:val="en-US"/>
              </w:rPr>
              <w:t>55</w:t>
            </w:r>
            <w:r w:rsidR="00AF1C33" w:rsidRPr="003171CD">
              <w:rPr>
                <w:webHidden/>
                <w:lang w:val="en-US"/>
              </w:rPr>
              <w:fldChar w:fldCharType="end"/>
            </w:r>
          </w:hyperlink>
        </w:p>
        <w:p w14:paraId="49DCA16B" w14:textId="08A7A26A"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19" w:history="1">
            <w:r w:rsidR="00AF1C33" w:rsidRPr="003171CD">
              <w:rPr>
                <w:rStyle w:val="Hipervnculo"/>
                <w:rFonts w:cs="Arial"/>
                <w:b/>
                <w:i/>
                <w:lang w:val="en-US"/>
              </w:rPr>
              <w:t>C.</w:t>
            </w:r>
            <w:r w:rsidR="00AF1C33" w:rsidRPr="003171CD">
              <w:rPr>
                <w:rFonts w:asciiTheme="minorHAnsi" w:eastAsiaTheme="minorEastAsia" w:hAnsiTheme="minorHAnsi" w:cstheme="minorBidi"/>
                <w:snapToGrid/>
                <w:sz w:val="22"/>
                <w:szCs w:val="22"/>
                <w:lang w:val="en-US" w:eastAsia="en-GB"/>
              </w:rPr>
              <w:tab/>
            </w:r>
            <w:r w:rsidR="0096434E" w:rsidRPr="003171CD">
              <w:rPr>
                <w:rStyle w:val="Hipervnculo"/>
                <w:rFonts w:cs="Arial"/>
                <w:b/>
                <w:i/>
                <w:lang w:val="en-US"/>
              </w:rPr>
              <w:t xml:space="preserve">Measures of </w:t>
            </w:r>
            <w:r w:rsidR="00AF1C33" w:rsidRPr="003171CD">
              <w:rPr>
                <w:rStyle w:val="Hipervnculo"/>
                <w:rFonts w:cs="Arial"/>
                <w:b/>
                <w:i/>
                <w:lang w:val="en-US"/>
              </w:rPr>
              <w:t>restitution, rehabilitation, satisfaction and guarantees of no</w:t>
            </w:r>
            <w:r w:rsidR="00137C61" w:rsidRPr="003171CD">
              <w:rPr>
                <w:rStyle w:val="Hipervnculo"/>
                <w:rFonts w:cs="Arial"/>
                <w:b/>
                <w:i/>
                <w:lang w:val="en-US"/>
              </w:rPr>
              <w:t>n-</w:t>
            </w:r>
            <w:r w:rsidR="00AF1C33" w:rsidRPr="003171CD">
              <w:rPr>
                <w:rStyle w:val="Hipervnculo"/>
                <w:rFonts w:cs="Arial"/>
                <w:b/>
                <w:i/>
                <w:lang w:val="en-US"/>
              </w:rPr>
              <w:t xml:space="preserve"> repetition</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_Toc45186719 \h </w:instrText>
            </w:r>
            <w:r w:rsidR="00AF1C33" w:rsidRPr="003171CD">
              <w:rPr>
                <w:webHidden/>
                <w:lang w:val="en-US"/>
              </w:rPr>
            </w:r>
            <w:r w:rsidR="00AF1C33" w:rsidRPr="003171CD">
              <w:rPr>
                <w:webHidden/>
                <w:lang w:val="en-US"/>
              </w:rPr>
              <w:fldChar w:fldCharType="separate"/>
            </w:r>
            <w:r w:rsidR="00D94640">
              <w:rPr>
                <w:noProof/>
                <w:webHidden/>
                <w:lang w:val="en-US"/>
              </w:rPr>
              <w:t>57</w:t>
            </w:r>
            <w:r w:rsidR="00AF1C33" w:rsidRPr="003171CD">
              <w:rPr>
                <w:webHidden/>
                <w:lang w:val="en-US"/>
              </w:rPr>
              <w:fldChar w:fldCharType="end"/>
            </w:r>
          </w:hyperlink>
        </w:p>
        <w:p w14:paraId="302964BB" w14:textId="215AAC28"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20" w:history="1">
            <w:r w:rsidR="00AF1C33" w:rsidRPr="003171CD">
              <w:rPr>
                <w:rStyle w:val="Hipervnculo"/>
                <w:rFonts w:cs="Arial"/>
                <w:b/>
                <w:i/>
                <w:lang w:val="en-US"/>
              </w:rPr>
              <w:t>D.</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Compensation</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_Toc45186720 \h </w:instrText>
            </w:r>
            <w:r w:rsidR="00AF1C33" w:rsidRPr="003171CD">
              <w:rPr>
                <w:webHidden/>
                <w:lang w:val="en-US"/>
              </w:rPr>
            </w:r>
            <w:r w:rsidR="00AF1C33" w:rsidRPr="003171CD">
              <w:rPr>
                <w:webHidden/>
                <w:lang w:val="en-US"/>
              </w:rPr>
              <w:fldChar w:fldCharType="separate"/>
            </w:r>
            <w:r w:rsidR="00D94640">
              <w:rPr>
                <w:noProof/>
                <w:webHidden/>
                <w:lang w:val="en-US"/>
              </w:rPr>
              <w:t>63</w:t>
            </w:r>
            <w:r w:rsidR="00AF1C33" w:rsidRPr="003171CD">
              <w:rPr>
                <w:webHidden/>
                <w:lang w:val="en-US"/>
              </w:rPr>
              <w:fldChar w:fldCharType="end"/>
            </w:r>
          </w:hyperlink>
        </w:p>
        <w:p w14:paraId="3F0A3220" w14:textId="30564786"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21" w:history="1">
            <w:r w:rsidR="00AF1C33" w:rsidRPr="003171CD">
              <w:rPr>
                <w:rStyle w:val="Hipervnculo"/>
                <w:rFonts w:cs="Arial"/>
                <w:b/>
                <w:i/>
                <w:lang w:val="en-US"/>
              </w:rPr>
              <w:t>E.</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Costs and expenses</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_Toc45186721 \h </w:instrText>
            </w:r>
            <w:r w:rsidR="00AF1C33" w:rsidRPr="003171CD">
              <w:rPr>
                <w:webHidden/>
                <w:lang w:val="en-US"/>
              </w:rPr>
            </w:r>
            <w:r w:rsidR="00AF1C33" w:rsidRPr="003171CD">
              <w:rPr>
                <w:webHidden/>
                <w:lang w:val="en-US"/>
              </w:rPr>
              <w:fldChar w:fldCharType="separate"/>
            </w:r>
            <w:r w:rsidR="00D94640">
              <w:rPr>
                <w:noProof/>
                <w:webHidden/>
                <w:lang w:val="en-US"/>
              </w:rPr>
              <w:t>66</w:t>
            </w:r>
            <w:r w:rsidR="00AF1C33" w:rsidRPr="003171CD">
              <w:rPr>
                <w:webHidden/>
                <w:lang w:val="en-US"/>
              </w:rPr>
              <w:fldChar w:fldCharType="end"/>
            </w:r>
          </w:hyperlink>
        </w:p>
        <w:p w14:paraId="0531C773" w14:textId="76ED67FF"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22" w:history="1">
            <w:r w:rsidR="00AF1C33" w:rsidRPr="003171CD">
              <w:rPr>
                <w:rStyle w:val="Hipervnculo"/>
                <w:rFonts w:cs="Arial"/>
                <w:b/>
                <w:i/>
                <w:lang w:val="en-US"/>
              </w:rPr>
              <w:t>F.</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Victims’ Legal Assistance Fund</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_Toc45186722 \h </w:instrText>
            </w:r>
            <w:r w:rsidR="00AF1C33" w:rsidRPr="003171CD">
              <w:rPr>
                <w:webHidden/>
                <w:lang w:val="en-US"/>
              </w:rPr>
            </w:r>
            <w:r w:rsidR="00AF1C33" w:rsidRPr="003171CD">
              <w:rPr>
                <w:webHidden/>
                <w:lang w:val="en-US"/>
              </w:rPr>
              <w:fldChar w:fldCharType="separate"/>
            </w:r>
            <w:r w:rsidR="00D94640">
              <w:rPr>
                <w:noProof/>
                <w:webHidden/>
                <w:lang w:val="en-US"/>
              </w:rPr>
              <w:t>67</w:t>
            </w:r>
            <w:r w:rsidR="00AF1C33" w:rsidRPr="003171CD">
              <w:rPr>
                <w:webHidden/>
                <w:lang w:val="en-US"/>
              </w:rPr>
              <w:fldChar w:fldCharType="end"/>
            </w:r>
          </w:hyperlink>
        </w:p>
        <w:p w14:paraId="61BD47BD" w14:textId="13FA9557" w:rsidR="00AF1C33" w:rsidRPr="003171CD" w:rsidRDefault="00096DCF">
          <w:pPr>
            <w:pStyle w:val="TDC2"/>
            <w:tabs>
              <w:tab w:val="left" w:pos="660"/>
              <w:tab w:val="right" w:leader="dot" w:pos="10070"/>
            </w:tabs>
            <w:rPr>
              <w:rFonts w:asciiTheme="minorHAnsi" w:eastAsiaTheme="minorEastAsia" w:hAnsiTheme="minorHAnsi" w:cstheme="minorBidi"/>
              <w:snapToGrid/>
              <w:sz w:val="22"/>
              <w:szCs w:val="22"/>
              <w:lang w:val="en-US" w:eastAsia="en-GB"/>
            </w:rPr>
          </w:pPr>
          <w:hyperlink w:anchor="_Toc45186723" w:history="1">
            <w:r w:rsidR="00AF1C33" w:rsidRPr="003171CD">
              <w:rPr>
                <w:rStyle w:val="Hipervnculo"/>
                <w:rFonts w:cs="Arial"/>
                <w:b/>
                <w:i/>
                <w:lang w:val="en-US"/>
              </w:rPr>
              <w:t>G.</w:t>
            </w:r>
            <w:r w:rsidR="00AF1C33" w:rsidRPr="003171CD">
              <w:rPr>
                <w:rFonts w:asciiTheme="minorHAnsi" w:eastAsiaTheme="minorEastAsia" w:hAnsiTheme="minorHAnsi" w:cstheme="minorBidi"/>
                <w:snapToGrid/>
                <w:sz w:val="22"/>
                <w:szCs w:val="22"/>
                <w:lang w:val="en-US" w:eastAsia="en-GB"/>
              </w:rPr>
              <w:tab/>
            </w:r>
            <w:r w:rsidR="00AF1C33" w:rsidRPr="003171CD">
              <w:rPr>
                <w:rStyle w:val="Hipervnculo"/>
                <w:rFonts w:cs="Arial"/>
                <w:b/>
                <w:i/>
                <w:lang w:val="en-US"/>
              </w:rPr>
              <w:t>Method of compliance with the payments ordered</w:t>
            </w:r>
            <w:r w:rsidR="00AF1C33" w:rsidRPr="003171CD">
              <w:rPr>
                <w:webHidden/>
                <w:lang w:val="en-US"/>
              </w:rPr>
              <w:tab/>
            </w:r>
            <w:r w:rsidR="00AF1C33" w:rsidRPr="003171CD">
              <w:rPr>
                <w:webHidden/>
                <w:lang w:val="en-US"/>
              </w:rPr>
              <w:fldChar w:fldCharType="begin"/>
            </w:r>
            <w:r w:rsidR="00AF1C33" w:rsidRPr="003171CD">
              <w:rPr>
                <w:webHidden/>
                <w:lang w:val="en-US"/>
              </w:rPr>
              <w:instrText xml:space="preserve"> PAGEREF _Toc45186723 \h </w:instrText>
            </w:r>
            <w:r w:rsidR="00AF1C33" w:rsidRPr="003171CD">
              <w:rPr>
                <w:webHidden/>
                <w:lang w:val="en-US"/>
              </w:rPr>
            </w:r>
            <w:r w:rsidR="00AF1C33" w:rsidRPr="003171CD">
              <w:rPr>
                <w:webHidden/>
                <w:lang w:val="en-US"/>
              </w:rPr>
              <w:fldChar w:fldCharType="separate"/>
            </w:r>
            <w:r w:rsidR="00D94640">
              <w:rPr>
                <w:noProof/>
                <w:webHidden/>
                <w:lang w:val="en-US"/>
              </w:rPr>
              <w:t>67</w:t>
            </w:r>
            <w:r w:rsidR="00AF1C33" w:rsidRPr="003171CD">
              <w:rPr>
                <w:webHidden/>
                <w:lang w:val="en-US"/>
              </w:rPr>
              <w:fldChar w:fldCharType="end"/>
            </w:r>
          </w:hyperlink>
        </w:p>
        <w:p w14:paraId="35760A02" w14:textId="215FAFFB"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24" w:history="1">
            <w:r w:rsidR="00AF1C33" w:rsidRPr="003171CD">
              <w:rPr>
                <w:rStyle w:val="Hipervnculo"/>
                <w:noProof w:val="0"/>
                <w:lang w:val="en-US"/>
              </w:rPr>
              <w:t>IX OPERATIVE PARAGRAPHS</w:t>
            </w:r>
            <w:r w:rsidR="00AF1C33" w:rsidRPr="003171CD">
              <w:rPr>
                <w:noProof w:val="0"/>
                <w:webHidden/>
                <w:lang w:val="en-US"/>
              </w:rPr>
              <w:tab/>
            </w:r>
            <w:r w:rsidR="00AF1C33" w:rsidRPr="003171CD">
              <w:rPr>
                <w:noProof w:val="0"/>
                <w:webHidden/>
                <w:lang w:val="en-US"/>
              </w:rPr>
              <w:fldChar w:fldCharType="begin"/>
            </w:r>
            <w:r w:rsidR="00AF1C33" w:rsidRPr="003171CD">
              <w:rPr>
                <w:noProof w:val="0"/>
                <w:webHidden/>
                <w:lang w:val="en-US"/>
              </w:rPr>
              <w:instrText xml:space="preserve"> PAGEREF _Toc45186724 \h </w:instrText>
            </w:r>
            <w:r w:rsidR="00AF1C33" w:rsidRPr="003171CD">
              <w:rPr>
                <w:noProof w:val="0"/>
                <w:webHidden/>
                <w:lang w:val="en-US"/>
              </w:rPr>
            </w:r>
            <w:r w:rsidR="00AF1C33" w:rsidRPr="003171CD">
              <w:rPr>
                <w:noProof w:val="0"/>
                <w:webHidden/>
                <w:lang w:val="en-US"/>
              </w:rPr>
              <w:fldChar w:fldCharType="separate"/>
            </w:r>
            <w:r w:rsidR="00D94640">
              <w:rPr>
                <w:webHidden/>
                <w:lang w:val="en-US"/>
              </w:rPr>
              <w:t>68</w:t>
            </w:r>
            <w:r w:rsidR="00AF1C33" w:rsidRPr="003171CD">
              <w:rPr>
                <w:noProof w:val="0"/>
                <w:webHidden/>
                <w:lang w:val="en-US"/>
              </w:rPr>
              <w:fldChar w:fldCharType="end"/>
            </w:r>
          </w:hyperlink>
        </w:p>
        <w:p w14:paraId="0C6ABB3B" w14:textId="77777777" w:rsidR="00AF1C33" w:rsidRPr="003171CD" w:rsidRDefault="00AF1C33">
          <w:pPr>
            <w:pStyle w:val="TDC1"/>
            <w:rPr>
              <w:rFonts w:asciiTheme="minorHAnsi" w:eastAsiaTheme="minorEastAsia" w:hAnsiTheme="minorHAnsi" w:cstheme="minorBidi"/>
              <w:b w:val="0"/>
              <w:bCs w:val="0"/>
              <w:caps w:val="0"/>
              <w:noProof w:val="0"/>
              <w:snapToGrid/>
              <w:sz w:val="22"/>
              <w:szCs w:val="22"/>
              <w:lang w:val="en-US" w:eastAsia="en-GB"/>
            </w:rPr>
          </w:pPr>
        </w:p>
        <w:p w14:paraId="759D8B5D" w14:textId="77777777" w:rsidR="00AF1C33" w:rsidRPr="003171CD" w:rsidRDefault="00096DCF">
          <w:pPr>
            <w:pStyle w:val="TDC1"/>
            <w:rPr>
              <w:rFonts w:asciiTheme="minorHAnsi" w:eastAsiaTheme="minorEastAsia" w:hAnsiTheme="minorHAnsi" w:cstheme="minorBidi"/>
              <w:b w:val="0"/>
              <w:bCs w:val="0"/>
              <w:caps w:val="0"/>
              <w:noProof w:val="0"/>
              <w:snapToGrid/>
              <w:sz w:val="22"/>
              <w:szCs w:val="22"/>
              <w:lang w:val="en-US" w:eastAsia="en-GB"/>
            </w:rPr>
          </w:pPr>
          <w:hyperlink w:anchor="_Toc45186726" w:history="1"/>
        </w:p>
        <w:p w14:paraId="37F8732F" w14:textId="77777777" w:rsidR="005A65CE" w:rsidRPr="003171CD" w:rsidRDefault="005A65CE" w:rsidP="005A65CE">
          <w:pPr>
            <w:spacing w:after="120"/>
            <w:jc w:val="both"/>
            <w:rPr>
              <w:lang w:val="en-US"/>
            </w:rPr>
          </w:pPr>
          <w:r w:rsidRPr="003171CD">
            <w:rPr>
              <w:sz w:val="16"/>
              <w:szCs w:val="16"/>
              <w:lang w:val="en-US"/>
            </w:rPr>
            <w:fldChar w:fldCharType="end"/>
          </w:r>
        </w:p>
      </w:sdtContent>
    </w:sdt>
    <w:p w14:paraId="5167AA6A"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r w:rsidRPr="003171CD">
        <w:rPr>
          <w:lang w:val="en-US"/>
        </w:rPr>
        <w:br w:type="page"/>
      </w:r>
      <w:bookmarkStart w:id="0" w:name="_Toc45186688"/>
      <w:bookmarkStart w:id="1" w:name="_Toc425869833"/>
      <w:r w:rsidRPr="003171CD">
        <w:rPr>
          <w:rFonts w:eastAsia="Times New Roman" w:cs="Arial"/>
          <w:b/>
          <w:bCs/>
          <w:caps/>
          <w:snapToGrid/>
          <w:lang w:val="en-US" w:eastAsia="en-US"/>
        </w:rPr>
        <w:lastRenderedPageBreak/>
        <w:t>I</w:t>
      </w:r>
      <w:r w:rsidRPr="003171CD">
        <w:rPr>
          <w:rFonts w:eastAsia="Times New Roman" w:cs="Arial"/>
          <w:b/>
          <w:bCs/>
          <w:caps/>
          <w:snapToGrid/>
          <w:lang w:val="en-US" w:eastAsia="en-US"/>
        </w:rPr>
        <w:br/>
        <w:t>INTRODUCTION OF THE CASE</w:t>
      </w:r>
      <w:bookmarkEnd w:id="0"/>
      <w:r w:rsidRPr="003171CD">
        <w:rPr>
          <w:rFonts w:eastAsia="Times New Roman" w:cs="Arial"/>
          <w:b/>
          <w:bCs/>
          <w:caps/>
          <w:snapToGrid/>
          <w:lang w:val="en-US" w:eastAsia="en-US"/>
        </w:rPr>
        <w:t xml:space="preserve"> </w:t>
      </w:r>
      <w:bookmarkEnd w:id="1"/>
    </w:p>
    <w:p w14:paraId="11018445" w14:textId="77777777" w:rsidR="005A65CE" w:rsidRPr="003171CD" w:rsidRDefault="005A65CE" w:rsidP="005A65CE">
      <w:pPr>
        <w:rPr>
          <w:lang w:val="en-US"/>
        </w:rPr>
      </w:pPr>
    </w:p>
    <w:p w14:paraId="023C03CB" w14:textId="77777777" w:rsidR="005A65CE" w:rsidRPr="003171CD" w:rsidRDefault="005A65CE" w:rsidP="005A65CE">
      <w:pPr>
        <w:numPr>
          <w:ilvl w:val="0"/>
          <w:numId w:val="1"/>
        </w:numPr>
        <w:jc w:val="both"/>
        <w:rPr>
          <w:lang w:val="en-US"/>
        </w:rPr>
      </w:pPr>
      <w:r w:rsidRPr="003171CD">
        <w:rPr>
          <w:i/>
          <w:lang w:val="en-US"/>
        </w:rPr>
        <w:t>The case submitted to the Court</w:t>
      </w:r>
      <w:r w:rsidR="0096434E" w:rsidRPr="003171CD">
        <w:rPr>
          <w:lang w:val="en-US"/>
        </w:rPr>
        <w:t xml:space="preserve">. </w:t>
      </w:r>
      <w:r w:rsidRPr="003171CD">
        <w:rPr>
          <w:lang w:val="en-US"/>
        </w:rPr>
        <w:t>On February 13, 2014</w:t>
      </w:r>
      <w:r w:rsidR="0096434E" w:rsidRPr="003171CD">
        <w:rPr>
          <w:lang w:val="en-US"/>
        </w:rPr>
        <w:t>,</w:t>
      </w:r>
      <w:r w:rsidRPr="003171CD">
        <w:rPr>
          <w:lang w:val="en-US"/>
        </w:rPr>
        <w:t xml:space="preserve"> the Inter-American Commission on Human Rights (hereinafter “the Inter-American Commission” or “the Commission”) </w:t>
      </w:r>
      <w:r w:rsidR="0096434E" w:rsidRPr="003171CD">
        <w:rPr>
          <w:lang w:val="en-US"/>
        </w:rPr>
        <w:t xml:space="preserve">submitted </w:t>
      </w:r>
      <w:r w:rsidRPr="003171CD">
        <w:rPr>
          <w:lang w:val="en-US"/>
        </w:rPr>
        <w:t xml:space="preserve">a brief (hereinafter “submission brief”) to the </w:t>
      </w:r>
      <w:r w:rsidR="0096434E" w:rsidRPr="003171CD">
        <w:rPr>
          <w:lang w:val="en-US"/>
        </w:rPr>
        <w:t>jurisdiction of the Court, in the</w:t>
      </w:r>
      <w:r w:rsidRPr="003171CD">
        <w:rPr>
          <w:lang w:val="en-US"/>
        </w:rPr>
        <w:t xml:space="preserve"> case of “José Agapito Ruano Torres and Family”</w:t>
      </w:r>
      <w:r w:rsidRPr="003171CD">
        <w:rPr>
          <w:rStyle w:val="Refdenotaalpie"/>
          <w:lang w:val="en-US"/>
        </w:rPr>
        <w:footnoteReference w:id="1"/>
      </w:r>
      <w:r w:rsidRPr="003171CD">
        <w:rPr>
          <w:lang w:val="en-US"/>
        </w:rPr>
        <w:t xml:space="preserve"> against the Republic of El Salvador (hereinafter “the State” or “El Salvador”). According to the Commission, this case </w:t>
      </w:r>
      <w:r w:rsidR="0072421D" w:rsidRPr="003171CD">
        <w:rPr>
          <w:lang w:val="en-US"/>
        </w:rPr>
        <w:t xml:space="preserve">is </w:t>
      </w:r>
      <w:r w:rsidR="0096434E" w:rsidRPr="003171CD">
        <w:rPr>
          <w:lang w:val="en-US"/>
        </w:rPr>
        <w:t>related to</w:t>
      </w:r>
      <w:r w:rsidRPr="003171CD">
        <w:rPr>
          <w:lang w:val="en-US"/>
        </w:rPr>
        <w:t xml:space="preserve">: </w:t>
      </w:r>
    </w:p>
    <w:p w14:paraId="536A231D" w14:textId="77777777" w:rsidR="005A65CE" w:rsidRPr="003171CD" w:rsidRDefault="005A65CE" w:rsidP="005A65CE">
      <w:pPr>
        <w:tabs>
          <w:tab w:val="left" w:pos="2800"/>
        </w:tabs>
        <w:jc w:val="both"/>
        <w:rPr>
          <w:lang w:val="en-US"/>
        </w:rPr>
      </w:pPr>
      <w:r w:rsidRPr="003171CD">
        <w:rPr>
          <w:lang w:val="en-US"/>
        </w:rPr>
        <w:tab/>
      </w:r>
    </w:p>
    <w:p w14:paraId="29D1FB5C" w14:textId="77777777" w:rsidR="005A65CE" w:rsidRPr="003171CD" w:rsidRDefault="0096789E" w:rsidP="005A65CE">
      <w:pPr>
        <w:numPr>
          <w:ilvl w:val="0"/>
          <w:numId w:val="2"/>
        </w:numPr>
        <w:spacing w:after="120"/>
        <w:ind w:left="709"/>
        <w:jc w:val="both"/>
        <w:rPr>
          <w:sz w:val="16"/>
          <w:szCs w:val="16"/>
          <w:lang w:val="en-US"/>
        </w:rPr>
      </w:pPr>
      <w:r w:rsidRPr="003171CD">
        <w:rPr>
          <w:rFonts w:cs="Arial"/>
          <w:sz w:val="16"/>
          <w:szCs w:val="16"/>
          <w:lang w:val="en-US"/>
        </w:rPr>
        <w:t>T</w:t>
      </w:r>
      <w:r w:rsidR="005A65CE" w:rsidRPr="003171CD">
        <w:rPr>
          <w:rFonts w:cs="Arial"/>
          <w:sz w:val="16"/>
          <w:szCs w:val="16"/>
          <w:lang w:val="en-US"/>
        </w:rPr>
        <w:t>he detention of Mr. Ruano Torres in the early hours of the morning on October 17, 2000, at his home, where he was allegedly mistreated in front of his family; the Commission concluded that the physical and verbal abuse to which he was subjected constituted torture;</w:t>
      </w:r>
    </w:p>
    <w:p w14:paraId="77A4D182" w14:textId="77777777" w:rsidR="005A65CE" w:rsidRPr="003171CD" w:rsidRDefault="0096789E" w:rsidP="005A65CE">
      <w:pPr>
        <w:numPr>
          <w:ilvl w:val="0"/>
          <w:numId w:val="2"/>
        </w:numPr>
        <w:spacing w:after="120"/>
        <w:ind w:left="709"/>
        <w:jc w:val="both"/>
        <w:rPr>
          <w:sz w:val="16"/>
          <w:szCs w:val="16"/>
          <w:lang w:val="en-US"/>
        </w:rPr>
      </w:pPr>
      <w:r w:rsidRPr="003171CD">
        <w:rPr>
          <w:rFonts w:cs="Arial"/>
          <w:sz w:val="16"/>
          <w:szCs w:val="16"/>
          <w:lang w:val="en-US"/>
        </w:rPr>
        <w:t>t</w:t>
      </w:r>
      <w:r w:rsidR="005A65CE" w:rsidRPr="003171CD">
        <w:rPr>
          <w:rFonts w:cs="Arial"/>
          <w:sz w:val="16"/>
          <w:szCs w:val="16"/>
          <w:lang w:val="en-US"/>
        </w:rPr>
        <w:t xml:space="preserve">he alleged violation of the minimum guarantees of due process given that Mr. Ruano Torres was criminally tried and convicted for the crime of kidnapping with serious doubts as to whether he was indeed the person nicknamed </w:t>
      </w:r>
      <w:r w:rsidR="00A96DF3" w:rsidRPr="003171CD">
        <w:rPr>
          <w:rFonts w:cs="Arial"/>
          <w:i/>
          <w:sz w:val="16"/>
          <w:szCs w:val="16"/>
          <w:lang w:val="en-US"/>
        </w:rPr>
        <w:t>Chopo</w:t>
      </w:r>
      <w:r w:rsidR="005A65CE" w:rsidRPr="003171CD">
        <w:rPr>
          <w:rFonts w:cs="Arial"/>
          <w:i/>
          <w:sz w:val="16"/>
          <w:szCs w:val="16"/>
          <w:lang w:val="en-US"/>
        </w:rPr>
        <w:t xml:space="preserve">, </w:t>
      </w:r>
      <w:r w:rsidR="005A65CE" w:rsidRPr="003171CD">
        <w:rPr>
          <w:rFonts w:cs="Arial"/>
          <w:sz w:val="16"/>
          <w:szCs w:val="16"/>
          <w:lang w:val="en-US"/>
        </w:rPr>
        <w:t>who was alleged to have participated in the crime, and without the minimum steps being taken to verify his identity;</w:t>
      </w:r>
    </w:p>
    <w:p w14:paraId="0906674F" w14:textId="77777777" w:rsidR="005A65CE" w:rsidRPr="003171CD" w:rsidRDefault="005A65CE" w:rsidP="005A65CE">
      <w:pPr>
        <w:numPr>
          <w:ilvl w:val="0"/>
          <w:numId w:val="2"/>
        </w:numPr>
        <w:spacing w:after="120"/>
        <w:ind w:left="709"/>
        <w:jc w:val="both"/>
        <w:rPr>
          <w:sz w:val="16"/>
          <w:szCs w:val="16"/>
          <w:lang w:val="en-US"/>
        </w:rPr>
      </w:pPr>
      <w:r w:rsidRPr="003171CD">
        <w:rPr>
          <w:rFonts w:cs="Arial"/>
          <w:sz w:val="16"/>
          <w:szCs w:val="16"/>
          <w:lang w:val="en-US"/>
        </w:rPr>
        <w:t>the alleged violation of the right to the presumption of innocence, given that the only two pieces of evidence upon which the conviction was based were gathered using several irregular methods;</w:t>
      </w:r>
    </w:p>
    <w:p w14:paraId="55B5F792" w14:textId="77777777" w:rsidR="005A65CE" w:rsidRPr="003171CD" w:rsidRDefault="005A65CE" w:rsidP="005A65CE">
      <w:pPr>
        <w:numPr>
          <w:ilvl w:val="0"/>
          <w:numId w:val="2"/>
        </w:numPr>
        <w:spacing w:after="120"/>
        <w:ind w:left="709"/>
        <w:jc w:val="both"/>
        <w:rPr>
          <w:sz w:val="16"/>
          <w:szCs w:val="16"/>
          <w:lang w:val="en-US"/>
        </w:rPr>
      </w:pPr>
      <w:r w:rsidRPr="003171CD">
        <w:rPr>
          <w:rFonts w:cs="Arial"/>
          <w:sz w:val="16"/>
          <w:szCs w:val="16"/>
          <w:lang w:val="en-US"/>
        </w:rPr>
        <w:t>the alleged failure by the Office of the Public Defender to adequately perform its duties;</w:t>
      </w:r>
    </w:p>
    <w:p w14:paraId="40E78CE2" w14:textId="77777777" w:rsidR="005A65CE" w:rsidRPr="003171CD" w:rsidRDefault="005A65CE" w:rsidP="005A65CE">
      <w:pPr>
        <w:numPr>
          <w:ilvl w:val="0"/>
          <w:numId w:val="2"/>
        </w:numPr>
        <w:spacing w:after="120"/>
        <w:ind w:left="709"/>
        <w:jc w:val="both"/>
        <w:rPr>
          <w:sz w:val="16"/>
          <w:szCs w:val="16"/>
          <w:lang w:val="en-US"/>
        </w:rPr>
      </w:pPr>
      <w:r w:rsidRPr="003171CD">
        <w:rPr>
          <w:sz w:val="16"/>
          <w:szCs w:val="16"/>
          <w:lang w:val="en-US"/>
        </w:rPr>
        <w:t xml:space="preserve">the alleged arbitrary sentence of deprivation of liberty imposed as a result of the conviction, which was handed down in violation of </w:t>
      </w:r>
      <w:r w:rsidR="0072421D" w:rsidRPr="003171CD">
        <w:rPr>
          <w:sz w:val="16"/>
          <w:szCs w:val="16"/>
          <w:lang w:val="en-US"/>
        </w:rPr>
        <w:t xml:space="preserve">the </w:t>
      </w:r>
      <w:r w:rsidRPr="003171CD">
        <w:rPr>
          <w:sz w:val="16"/>
          <w:szCs w:val="16"/>
          <w:lang w:val="en-US"/>
        </w:rPr>
        <w:t>guarantees of due process</w:t>
      </w:r>
      <w:r w:rsidRPr="003171CD">
        <w:rPr>
          <w:rFonts w:cs="Arial"/>
          <w:sz w:val="16"/>
          <w:szCs w:val="16"/>
          <w:lang w:val="en-US"/>
        </w:rPr>
        <w:t>, and</w:t>
      </w:r>
    </w:p>
    <w:p w14:paraId="0E1482B6" w14:textId="77777777" w:rsidR="005A65CE" w:rsidRPr="003171CD" w:rsidRDefault="005A65CE" w:rsidP="005A65CE">
      <w:pPr>
        <w:numPr>
          <w:ilvl w:val="0"/>
          <w:numId w:val="2"/>
        </w:numPr>
        <w:spacing w:after="120"/>
        <w:ind w:left="709"/>
        <w:jc w:val="both"/>
        <w:rPr>
          <w:sz w:val="16"/>
          <w:szCs w:val="16"/>
          <w:lang w:val="en-US"/>
        </w:rPr>
      </w:pPr>
      <w:r w:rsidRPr="003171CD">
        <w:rPr>
          <w:rFonts w:cs="Arial"/>
          <w:sz w:val="16"/>
          <w:szCs w:val="16"/>
          <w:lang w:val="en-US"/>
        </w:rPr>
        <w:t xml:space="preserve">the supposed lack of effective remedies </w:t>
      </w:r>
      <w:r w:rsidRPr="003171CD">
        <w:rPr>
          <w:sz w:val="16"/>
          <w:szCs w:val="16"/>
          <w:lang w:val="en-US"/>
        </w:rPr>
        <w:t>to investigate the torture inflicted upon the victim, protect him from due process violations, or to review the deprivation of liberty</w:t>
      </w:r>
      <w:r w:rsidRPr="003171CD">
        <w:rPr>
          <w:rFonts w:cs="Arial"/>
          <w:sz w:val="16"/>
          <w:szCs w:val="16"/>
          <w:lang w:val="en-US"/>
        </w:rPr>
        <w:t xml:space="preserve">. </w:t>
      </w:r>
    </w:p>
    <w:p w14:paraId="43E733F8" w14:textId="77777777" w:rsidR="005A65CE" w:rsidRPr="003171CD" w:rsidRDefault="005A65CE" w:rsidP="005A65CE">
      <w:pPr>
        <w:jc w:val="both"/>
        <w:rPr>
          <w:lang w:val="en-US"/>
        </w:rPr>
      </w:pPr>
    </w:p>
    <w:p w14:paraId="17C17F3F" w14:textId="77777777" w:rsidR="005A65CE" w:rsidRPr="003171CD" w:rsidRDefault="0096789E" w:rsidP="005A65CE">
      <w:pPr>
        <w:numPr>
          <w:ilvl w:val="0"/>
          <w:numId w:val="1"/>
        </w:numPr>
        <w:jc w:val="both"/>
        <w:rPr>
          <w:lang w:val="en-US"/>
        </w:rPr>
      </w:pPr>
      <w:r w:rsidRPr="003171CD">
        <w:rPr>
          <w:i/>
          <w:lang w:val="en-US"/>
        </w:rPr>
        <w:t>Proce</w:t>
      </w:r>
      <w:r w:rsidR="00D07D61" w:rsidRPr="003171CD">
        <w:rPr>
          <w:i/>
          <w:lang w:val="en-US"/>
        </w:rPr>
        <w:t>e</w:t>
      </w:r>
      <w:r w:rsidR="005A65CE" w:rsidRPr="003171CD">
        <w:rPr>
          <w:i/>
          <w:lang w:val="en-US"/>
        </w:rPr>
        <w:t>d</w:t>
      </w:r>
      <w:r w:rsidR="0072421D" w:rsidRPr="003171CD">
        <w:rPr>
          <w:i/>
          <w:lang w:val="en-US"/>
        </w:rPr>
        <w:t>ing</w:t>
      </w:r>
      <w:r w:rsidRPr="003171CD">
        <w:rPr>
          <w:i/>
          <w:lang w:val="en-US"/>
        </w:rPr>
        <w:t xml:space="preserve"> </w:t>
      </w:r>
      <w:r w:rsidR="005A65CE" w:rsidRPr="003171CD">
        <w:rPr>
          <w:i/>
          <w:lang w:val="en-US"/>
        </w:rPr>
        <w:t>before the Commission</w:t>
      </w:r>
      <w:r w:rsidR="005A65CE" w:rsidRPr="003171CD">
        <w:rPr>
          <w:lang w:val="en-US"/>
        </w:rPr>
        <w:t>. The proce</w:t>
      </w:r>
      <w:r w:rsidR="0072421D" w:rsidRPr="003171CD">
        <w:rPr>
          <w:lang w:val="en-US"/>
        </w:rPr>
        <w:t>eding</w:t>
      </w:r>
      <w:r w:rsidR="00D07D61" w:rsidRPr="003171CD">
        <w:rPr>
          <w:lang w:val="en-US"/>
        </w:rPr>
        <w:t xml:space="preserve"> </w:t>
      </w:r>
      <w:r w:rsidR="005A65CE" w:rsidRPr="003171CD">
        <w:rPr>
          <w:lang w:val="en-US"/>
        </w:rPr>
        <w:t>before the Commission was as follows:</w:t>
      </w:r>
    </w:p>
    <w:p w14:paraId="753B58AB" w14:textId="77777777" w:rsidR="005A65CE" w:rsidRPr="003171CD" w:rsidRDefault="005A65CE" w:rsidP="005A65CE">
      <w:pPr>
        <w:jc w:val="both"/>
        <w:rPr>
          <w:lang w:val="en-US"/>
        </w:rPr>
      </w:pPr>
    </w:p>
    <w:p w14:paraId="00C58E96" w14:textId="77777777" w:rsidR="005A65CE" w:rsidRPr="003171CD" w:rsidRDefault="005A65CE" w:rsidP="005A65CE">
      <w:pPr>
        <w:numPr>
          <w:ilvl w:val="0"/>
          <w:numId w:val="3"/>
        </w:numPr>
        <w:spacing w:after="120"/>
        <w:jc w:val="both"/>
        <w:rPr>
          <w:lang w:val="en-US"/>
        </w:rPr>
      </w:pPr>
      <w:r w:rsidRPr="003171CD">
        <w:rPr>
          <w:i/>
          <w:lang w:val="en-US"/>
        </w:rPr>
        <w:t>Petition</w:t>
      </w:r>
      <w:r w:rsidRPr="003171CD">
        <w:rPr>
          <w:lang w:val="en-US"/>
        </w:rPr>
        <w:t>. On December 12, 2003 Mr. Ped</w:t>
      </w:r>
      <w:r w:rsidR="0096789E" w:rsidRPr="003171CD">
        <w:rPr>
          <w:lang w:val="en-US"/>
        </w:rPr>
        <w:t xml:space="preserve">ro Torres Hércules (hereinafter </w:t>
      </w:r>
      <w:r w:rsidRPr="003171CD">
        <w:rPr>
          <w:lang w:val="en-US"/>
        </w:rPr>
        <w:t xml:space="preserve">“the petitioner”), cousin of Mr. José Agapito Ruano Torres (hereinafter “the </w:t>
      </w:r>
      <w:r w:rsidR="0072421D" w:rsidRPr="003171CD">
        <w:rPr>
          <w:lang w:val="en-US"/>
        </w:rPr>
        <w:t xml:space="preserve">alleged </w:t>
      </w:r>
      <w:r w:rsidRPr="003171CD">
        <w:rPr>
          <w:lang w:val="en-US"/>
        </w:rPr>
        <w:t xml:space="preserve">victim”), </w:t>
      </w:r>
      <w:r w:rsidR="0096789E" w:rsidRPr="003171CD">
        <w:rPr>
          <w:lang w:val="en-US"/>
        </w:rPr>
        <w:t xml:space="preserve">lodged </w:t>
      </w:r>
      <w:r w:rsidRPr="003171CD">
        <w:rPr>
          <w:lang w:val="en-US"/>
        </w:rPr>
        <w:t xml:space="preserve">the initial petition </w:t>
      </w:r>
      <w:r w:rsidR="0096789E" w:rsidRPr="003171CD">
        <w:rPr>
          <w:lang w:val="en-US"/>
        </w:rPr>
        <w:t xml:space="preserve">with </w:t>
      </w:r>
      <w:r w:rsidRPr="003171CD">
        <w:rPr>
          <w:lang w:val="en-US"/>
        </w:rPr>
        <w:t>the Commission.</w:t>
      </w:r>
    </w:p>
    <w:p w14:paraId="35FBCAB6" w14:textId="77777777" w:rsidR="005A65CE" w:rsidRPr="003171CD" w:rsidRDefault="005A65CE" w:rsidP="005A65CE">
      <w:pPr>
        <w:numPr>
          <w:ilvl w:val="0"/>
          <w:numId w:val="3"/>
        </w:numPr>
        <w:spacing w:after="120"/>
        <w:jc w:val="both"/>
        <w:rPr>
          <w:lang w:val="en-US"/>
        </w:rPr>
      </w:pPr>
      <w:r w:rsidRPr="003171CD">
        <w:rPr>
          <w:i/>
          <w:lang w:val="en-US"/>
        </w:rPr>
        <w:t>Admissibility</w:t>
      </w:r>
      <w:r w:rsidR="0096789E" w:rsidRPr="003171CD">
        <w:rPr>
          <w:i/>
          <w:lang w:val="en-US"/>
        </w:rPr>
        <w:t xml:space="preserve"> Report</w:t>
      </w:r>
      <w:r w:rsidRPr="003171CD">
        <w:rPr>
          <w:lang w:val="en-US"/>
        </w:rPr>
        <w:t>. On October 17, 2008</w:t>
      </w:r>
      <w:r w:rsidR="0072421D" w:rsidRPr="003171CD">
        <w:rPr>
          <w:lang w:val="en-US"/>
        </w:rPr>
        <w:t>,</w:t>
      </w:r>
      <w:r w:rsidRPr="003171CD">
        <w:rPr>
          <w:lang w:val="en-US"/>
        </w:rPr>
        <w:t xml:space="preserve"> the Commission approved Admissibility Report No. 77/08 in which it concluded that Petition 1094-03 was admissible</w:t>
      </w:r>
      <w:r w:rsidR="0096789E" w:rsidRPr="003171CD">
        <w:rPr>
          <w:lang w:val="en-US"/>
        </w:rPr>
        <w:t>.</w:t>
      </w:r>
      <w:r w:rsidRPr="003171CD">
        <w:rPr>
          <w:rStyle w:val="Refdenotaalpie"/>
          <w:lang w:val="en-US"/>
        </w:rPr>
        <w:footnoteReference w:id="2"/>
      </w:r>
    </w:p>
    <w:p w14:paraId="179C8721" w14:textId="77777777" w:rsidR="005A65CE" w:rsidRPr="003171CD" w:rsidRDefault="0096789E" w:rsidP="005A65CE">
      <w:pPr>
        <w:numPr>
          <w:ilvl w:val="0"/>
          <w:numId w:val="3"/>
        </w:numPr>
        <w:spacing w:after="120"/>
        <w:jc w:val="both"/>
        <w:rPr>
          <w:lang w:val="en-US"/>
        </w:rPr>
      </w:pPr>
      <w:r w:rsidRPr="003171CD">
        <w:rPr>
          <w:i/>
          <w:lang w:val="en-US"/>
        </w:rPr>
        <w:t xml:space="preserve">Merits </w:t>
      </w:r>
      <w:r w:rsidR="005A65CE" w:rsidRPr="003171CD">
        <w:rPr>
          <w:i/>
          <w:lang w:val="en-US"/>
        </w:rPr>
        <w:t>Report</w:t>
      </w:r>
      <w:r w:rsidR="005A65CE" w:rsidRPr="003171CD">
        <w:rPr>
          <w:lang w:val="en-US"/>
        </w:rPr>
        <w:t xml:space="preserve">. On November 4, 2013, the Commission approved Merits Report No. 82/13, pursuant to Article 50 of the Convention (hereinafter </w:t>
      </w:r>
      <w:r w:rsidRPr="003171CD">
        <w:rPr>
          <w:lang w:val="en-US"/>
        </w:rPr>
        <w:t xml:space="preserve">also </w:t>
      </w:r>
      <w:r w:rsidR="005A65CE" w:rsidRPr="003171CD">
        <w:rPr>
          <w:lang w:val="en-US"/>
        </w:rPr>
        <w:t xml:space="preserve">“the Merits Report” or “Report No. 82/13”), in which it </w:t>
      </w:r>
      <w:r w:rsidR="002D50FC" w:rsidRPr="003171CD">
        <w:rPr>
          <w:lang w:val="en-US"/>
        </w:rPr>
        <w:t>reached a series of conclusions</w:t>
      </w:r>
      <w:r w:rsidR="005A65CE" w:rsidRPr="003171CD">
        <w:rPr>
          <w:lang w:val="en-US"/>
        </w:rPr>
        <w:t xml:space="preserve"> and made several recommendations to the State:</w:t>
      </w:r>
    </w:p>
    <w:p w14:paraId="6AF8C837" w14:textId="77777777" w:rsidR="005A65CE" w:rsidRPr="003171CD" w:rsidRDefault="005A65CE" w:rsidP="005A65CE">
      <w:pPr>
        <w:numPr>
          <w:ilvl w:val="0"/>
          <w:numId w:val="4"/>
        </w:numPr>
        <w:spacing w:after="120"/>
        <w:ind w:left="1771"/>
        <w:jc w:val="both"/>
        <w:rPr>
          <w:lang w:val="en-US"/>
        </w:rPr>
      </w:pPr>
      <w:r w:rsidRPr="003171CD">
        <w:rPr>
          <w:i/>
          <w:lang w:val="en-US"/>
        </w:rPr>
        <w:t>Conclusions</w:t>
      </w:r>
      <w:r w:rsidR="00E16DC1" w:rsidRPr="003171CD">
        <w:rPr>
          <w:lang w:val="en-US"/>
        </w:rPr>
        <w:t xml:space="preserve">. </w:t>
      </w:r>
      <w:r w:rsidRPr="003171CD">
        <w:rPr>
          <w:lang w:val="en-US"/>
        </w:rPr>
        <w:t xml:space="preserve">The Commission concluded that the State of El Salvador was responsible for </w:t>
      </w:r>
      <w:r w:rsidR="00E16DC1" w:rsidRPr="003171CD">
        <w:rPr>
          <w:lang w:val="en-US"/>
        </w:rPr>
        <w:t xml:space="preserve">the violation of </w:t>
      </w:r>
      <w:r w:rsidRPr="003171CD">
        <w:rPr>
          <w:lang w:val="en-US"/>
        </w:rPr>
        <w:t>the following rights:</w:t>
      </w:r>
    </w:p>
    <w:p w14:paraId="6525CDE7" w14:textId="77777777" w:rsidR="005A65CE" w:rsidRPr="003171CD" w:rsidRDefault="00E16DC1" w:rsidP="005A65CE">
      <w:pPr>
        <w:numPr>
          <w:ilvl w:val="0"/>
          <w:numId w:val="5"/>
        </w:numPr>
        <w:spacing w:after="120"/>
        <w:jc w:val="both"/>
        <w:rPr>
          <w:sz w:val="16"/>
          <w:szCs w:val="16"/>
          <w:lang w:val="en-US"/>
        </w:rPr>
      </w:pPr>
      <w:r w:rsidRPr="003171CD">
        <w:rPr>
          <w:sz w:val="16"/>
          <w:szCs w:val="16"/>
          <w:lang w:val="en-US"/>
        </w:rPr>
        <w:t xml:space="preserve">The rights </w:t>
      </w:r>
      <w:r w:rsidR="005A65CE" w:rsidRPr="003171CD">
        <w:rPr>
          <w:sz w:val="16"/>
          <w:szCs w:val="16"/>
          <w:lang w:val="en-US"/>
        </w:rPr>
        <w:t xml:space="preserve">to judicial guarantees and judicial protection, personal </w:t>
      </w:r>
      <w:r w:rsidR="004343C0" w:rsidRPr="003171CD">
        <w:rPr>
          <w:sz w:val="16"/>
          <w:szCs w:val="16"/>
          <w:lang w:val="en-US"/>
        </w:rPr>
        <w:t xml:space="preserve">liberty </w:t>
      </w:r>
      <w:r w:rsidR="005A65CE" w:rsidRPr="003171CD">
        <w:rPr>
          <w:sz w:val="16"/>
          <w:szCs w:val="16"/>
          <w:lang w:val="en-US"/>
        </w:rPr>
        <w:t>and personal integrity to the detriment of  Mr. José Agapito Ruano Torres, and</w:t>
      </w:r>
    </w:p>
    <w:p w14:paraId="765914B8" w14:textId="77777777" w:rsidR="005A65CE" w:rsidRPr="003171CD" w:rsidRDefault="00E16DC1" w:rsidP="005A65CE">
      <w:pPr>
        <w:numPr>
          <w:ilvl w:val="0"/>
          <w:numId w:val="5"/>
        </w:numPr>
        <w:spacing w:after="120"/>
        <w:jc w:val="both"/>
        <w:rPr>
          <w:sz w:val="16"/>
          <w:szCs w:val="16"/>
          <w:lang w:val="en-US"/>
        </w:rPr>
      </w:pPr>
      <w:r w:rsidRPr="003171CD">
        <w:rPr>
          <w:sz w:val="16"/>
          <w:szCs w:val="16"/>
          <w:lang w:val="en-US"/>
        </w:rPr>
        <w:t xml:space="preserve">The rights </w:t>
      </w:r>
      <w:r w:rsidR="005A65CE" w:rsidRPr="003171CD">
        <w:rPr>
          <w:sz w:val="16"/>
          <w:szCs w:val="16"/>
          <w:lang w:val="en-US"/>
        </w:rPr>
        <w:t>to mental and moral integrity to the detriment of his wife María Maribel Guevara de Ruano, his son Oscar Manuel Ruano</w:t>
      </w:r>
      <w:r w:rsidR="00614B55" w:rsidRPr="003171CD">
        <w:rPr>
          <w:sz w:val="16"/>
          <w:szCs w:val="16"/>
          <w:lang w:val="en-US"/>
        </w:rPr>
        <w:t xml:space="preserve"> Guevara, his daughter Keily Lisbeth</w:t>
      </w:r>
      <w:r w:rsidR="005A65CE" w:rsidRPr="003171CD">
        <w:rPr>
          <w:sz w:val="16"/>
          <w:szCs w:val="16"/>
          <w:lang w:val="en-US"/>
        </w:rPr>
        <w:t xml:space="preserve"> Ruano Guevara, and his cousin Pedro Torres Hércules.</w:t>
      </w:r>
    </w:p>
    <w:p w14:paraId="527CD612" w14:textId="77777777" w:rsidR="005A65CE" w:rsidRPr="003171CD" w:rsidRDefault="005A65CE" w:rsidP="005A65CE">
      <w:pPr>
        <w:numPr>
          <w:ilvl w:val="0"/>
          <w:numId w:val="4"/>
        </w:numPr>
        <w:spacing w:after="120"/>
        <w:ind w:left="1771"/>
        <w:jc w:val="both"/>
        <w:rPr>
          <w:lang w:val="en-US"/>
        </w:rPr>
      </w:pPr>
      <w:r w:rsidRPr="003171CD">
        <w:rPr>
          <w:i/>
          <w:lang w:val="en-US"/>
        </w:rPr>
        <w:t>Recommendations</w:t>
      </w:r>
      <w:r w:rsidR="00E16DC1" w:rsidRPr="003171CD">
        <w:rPr>
          <w:lang w:val="en-US"/>
        </w:rPr>
        <w:t>. T</w:t>
      </w:r>
      <w:r w:rsidRPr="003171CD">
        <w:rPr>
          <w:lang w:val="en-US"/>
        </w:rPr>
        <w:t xml:space="preserve">he Commission </w:t>
      </w:r>
      <w:r w:rsidR="00E16DC1" w:rsidRPr="003171CD">
        <w:rPr>
          <w:lang w:val="en-US"/>
        </w:rPr>
        <w:t xml:space="preserve">also </w:t>
      </w:r>
      <w:r w:rsidRPr="003171CD">
        <w:rPr>
          <w:lang w:val="en-US"/>
        </w:rPr>
        <w:t xml:space="preserve">made a series of recommendations to the State: </w:t>
      </w:r>
    </w:p>
    <w:p w14:paraId="1A2D5ADD" w14:textId="77777777" w:rsidR="005A65CE" w:rsidRPr="003171CD" w:rsidRDefault="005A65CE" w:rsidP="005A65CE">
      <w:pPr>
        <w:numPr>
          <w:ilvl w:val="0"/>
          <w:numId w:val="6"/>
        </w:numPr>
        <w:spacing w:after="120"/>
        <w:jc w:val="both"/>
        <w:rPr>
          <w:sz w:val="16"/>
          <w:szCs w:val="16"/>
          <w:lang w:val="en-US"/>
        </w:rPr>
      </w:pPr>
      <w:r w:rsidRPr="003171CD">
        <w:rPr>
          <w:sz w:val="16"/>
          <w:szCs w:val="16"/>
          <w:lang w:val="en-US"/>
        </w:rPr>
        <w:lastRenderedPageBreak/>
        <w:t>Adopt, as promptly as possible, the measures necessary to cancel the effects of Mr. [José Agapito] Ruano Torres’s conviction, including the alternative measures to incarceration which remain in force[;]</w:t>
      </w:r>
    </w:p>
    <w:p w14:paraId="5903A075" w14:textId="77777777" w:rsidR="005A65CE" w:rsidRPr="003171CD" w:rsidRDefault="005A65CE" w:rsidP="005A65CE">
      <w:pPr>
        <w:numPr>
          <w:ilvl w:val="0"/>
          <w:numId w:val="6"/>
        </w:numPr>
        <w:spacing w:after="120"/>
        <w:jc w:val="both"/>
        <w:rPr>
          <w:sz w:val="16"/>
          <w:szCs w:val="16"/>
          <w:lang w:val="en-US"/>
        </w:rPr>
      </w:pPr>
      <w:r w:rsidRPr="003171CD">
        <w:rPr>
          <w:sz w:val="16"/>
          <w:szCs w:val="16"/>
          <w:lang w:val="en-US"/>
        </w:rPr>
        <w:t>In light of the time that Mr. [José Agapito] Ruano Torres has been deprived of his liberty under the sentence imposed, the Commission recommends that, should the victim so desire, the sentence be revised to bring it into line with the standards governing the presumption of innocence and the right of defense in the terms set out in [the] report [;]</w:t>
      </w:r>
    </w:p>
    <w:p w14:paraId="7B2F8FFA" w14:textId="77777777" w:rsidR="005A65CE" w:rsidRPr="003171CD" w:rsidRDefault="005A65CE" w:rsidP="005A65CE">
      <w:pPr>
        <w:numPr>
          <w:ilvl w:val="0"/>
          <w:numId w:val="6"/>
        </w:numPr>
        <w:spacing w:after="120"/>
        <w:jc w:val="both"/>
        <w:rPr>
          <w:sz w:val="16"/>
          <w:szCs w:val="16"/>
          <w:lang w:val="en-US"/>
        </w:rPr>
      </w:pPr>
      <w:r w:rsidRPr="003171CD">
        <w:rPr>
          <w:sz w:val="16"/>
          <w:szCs w:val="16"/>
          <w:lang w:val="en-US"/>
        </w:rPr>
        <w:t>Provide the victims in this case with integral reparation, including both the material and nonmaterial aspects</w:t>
      </w:r>
      <w:r w:rsidRPr="003171CD">
        <w:rPr>
          <w:sz w:val="22"/>
          <w:szCs w:val="22"/>
          <w:lang w:val="en-US"/>
        </w:rPr>
        <w:t xml:space="preserve"> </w:t>
      </w:r>
      <w:r w:rsidRPr="003171CD">
        <w:rPr>
          <w:sz w:val="16"/>
          <w:szCs w:val="16"/>
          <w:lang w:val="en-US"/>
        </w:rPr>
        <w:t>[;]</w:t>
      </w:r>
    </w:p>
    <w:p w14:paraId="6AB3641A" w14:textId="77777777" w:rsidR="005A65CE" w:rsidRPr="003171CD" w:rsidRDefault="005A65CE" w:rsidP="005A65CE">
      <w:pPr>
        <w:numPr>
          <w:ilvl w:val="0"/>
          <w:numId w:val="6"/>
        </w:numPr>
        <w:spacing w:after="120"/>
        <w:jc w:val="both"/>
        <w:rPr>
          <w:sz w:val="16"/>
          <w:szCs w:val="16"/>
          <w:lang w:val="en-US"/>
        </w:rPr>
      </w:pPr>
      <w:r w:rsidRPr="003171CD">
        <w:rPr>
          <w:sz w:val="16"/>
          <w:szCs w:val="16"/>
          <w:lang w:val="en-US"/>
        </w:rPr>
        <w:t>Conduct a serious, diligent, and effective investigation, within a reasonable time, to cast light on the acts of torture described by Mr. Ruano Torres, identify the guilty, and impose the corresponding penalties</w:t>
      </w:r>
      <w:r w:rsidRPr="003171CD">
        <w:rPr>
          <w:sz w:val="22"/>
          <w:szCs w:val="22"/>
          <w:lang w:val="en-US"/>
        </w:rPr>
        <w:t xml:space="preserve"> </w:t>
      </w:r>
      <w:r w:rsidRPr="003171CD">
        <w:rPr>
          <w:sz w:val="16"/>
          <w:szCs w:val="16"/>
          <w:lang w:val="en-US"/>
        </w:rPr>
        <w:t>[;]</w:t>
      </w:r>
    </w:p>
    <w:p w14:paraId="7F142411" w14:textId="77777777" w:rsidR="005A65CE" w:rsidRPr="003171CD" w:rsidRDefault="005A65CE" w:rsidP="005A65CE">
      <w:pPr>
        <w:numPr>
          <w:ilvl w:val="0"/>
          <w:numId w:val="6"/>
        </w:numPr>
        <w:spacing w:after="120"/>
        <w:jc w:val="both"/>
        <w:rPr>
          <w:sz w:val="16"/>
          <w:szCs w:val="16"/>
          <w:lang w:val="en-US"/>
        </w:rPr>
      </w:pPr>
      <w:r w:rsidRPr="003171CD">
        <w:rPr>
          <w:sz w:val="16"/>
          <w:szCs w:val="16"/>
          <w:lang w:val="en-US"/>
        </w:rPr>
        <w:t>Take the applicable administrative, disciplinary, and criminal steps in connection with th</w:t>
      </w:r>
      <w:r w:rsidR="0072421D" w:rsidRPr="003171CD">
        <w:rPr>
          <w:sz w:val="16"/>
          <w:szCs w:val="16"/>
          <w:lang w:val="en-US"/>
        </w:rPr>
        <w:t>e actions and omissions of the S</w:t>
      </w:r>
      <w:r w:rsidRPr="003171CD">
        <w:rPr>
          <w:sz w:val="16"/>
          <w:szCs w:val="16"/>
          <w:lang w:val="en-US"/>
        </w:rPr>
        <w:t>tate agents (police officers, prosecutors, public defenders, and judges of the various courts) whose actions contributed to the violations of José Agapito Ruano Torres’s rights</w:t>
      </w:r>
      <w:r w:rsidRPr="003171CD">
        <w:rPr>
          <w:sz w:val="22"/>
          <w:szCs w:val="22"/>
          <w:lang w:val="en-US"/>
        </w:rPr>
        <w:t xml:space="preserve"> </w:t>
      </w:r>
      <w:r w:rsidRPr="003171CD">
        <w:rPr>
          <w:sz w:val="16"/>
          <w:szCs w:val="16"/>
          <w:lang w:val="en-US"/>
        </w:rPr>
        <w:t>[, and]</w:t>
      </w:r>
    </w:p>
    <w:p w14:paraId="42B88C39" w14:textId="77777777" w:rsidR="005A65CE" w:rsidRPr="003171CD" w:rsidRDefault="005A65CE" w:rsidP="005A65CE">
      <w:pPr>
        <w:numPr>
          <w:ilvl w:val="0"/>
          <w:numId w:val="6"/>
        </w:numPr>
        <w:spacing w:after="120"/>
        <w:jc w:val="both"/>
        <w:rPr>
          <w:sz w:val="16"/>
          <w:szCs w:val="16"/>
          <w:lang w:val="en-US"/>
        </w:rPr>
      </w:pPr>
      <w:r w:rsidRPr="003171CD">
        <w:rPr>
          <w:sz w:val="16"/>
          <w:szCs w:val="16"/>
          <w:lang w:val="en-US"/>
        </w:rPr>
        <w:t>Take the necessary steps to prevent similar incidents in the future, in compliance with the duty of preventing and guaranteeing the fundamental rights enshrined in the American Convention.</w:t>
      </w:r>
      <w:r w:rsidRPr="003171CD">
        <w:rPr>
          <w:sz w:val="22"/>
          <w:szCs w:val="22"/>
          <w:lang w:val="en-US"/>
        </w:rPr>
        <w:t xml:space="preserve"> </w:t>
      </w:r>
      <w:r w:rsidRPr="003171CD">
        <w:rPr>
          <w:sz w:val="16"/>
          <w:szCs w:val="16"/>
          <w:lang w:val="en-US"/>
        </w:rPr>
        <w:t>Specifically, de</w:t>
      </w:r>
      <w:r w:rsidR="0072421D" w:rsidRPr="003171CD">
        <w:rPr>
          <w:sz w:val="16"/>
          <w:szCs w:val="16"/>
          <w:lang w:val="en-US"/>
        </w:rPr>
        <w:t>velop training programs for S</w:t>
      </w:r>
      <w:r w:rsidRPr="003171CD">
        <w:rPr>
          <w:sz w:val="16"/>
          <w:szCs w:val="16"/>
          <w:lang w:val="en-US"/>
        </w:rPr>
        <w:t>tate officials that include the international provisions established in the Principles on the Effective Investigation and Documentation of Torture and Other Cruel, Inhuman or Degrading Treatment or Punishment and the Istanbul Protocol.</w:t>
      </w:r>
    </w:p>
    <w:p w14:paraId="3CE83DD9" w14:textId="77777777" w:rsidR="005A65CE" w:rsidRPr="003171CD" w:rsidRDefault="005A65CE" w:rsidP="005A65CE">
      <w:pPr>
        <w:numPr>
          <w:ilvl w:val="0"/>
          <w:numId w:val="4"/>
        </w:numPr>
        <w:spacing w:after="120"/>
        <w:ind w:left="1771"/>
        <w:jc w:val="both"/>
        <w:rPr>
          <w:lang w:val="en-US"/>
        </w:rPr>
      </w:pPr>
      <w:r w:rsidRPr="003171CD">
        <w:rPr>
          <w:i/>
          <w:lang w:val="en-US"/>
        </w:rPr>
        <w:t>Notification to the State</w:t>
      </w:r>
      <w:r w:rsidR="0072421D" w:rsidRPr="003171CD">
        <w:rPr>
          <w:lang w:val="en-US"/>
        </w:rPr>
        <w:t>. The Merits R</w:t>
      </w:r>
      <w:r w:rsidRPr="003171CD">
        <w:rPr>
          <w:lang w:val="en-US"/>
        </w:rPr>
        <w:t>eport was notified to</w:t>
      </w:r>
      <w:r w:rsidR="00E16DC1" w:rsidRPr="003171CD">
        <w:rPr>
          <w:lang w:val="en-US"/>
        </w:rPr>
        <w:t xml:space="preserve"> the State on November 13, 2013. The State</w:t>
      </w:r>
      <w:r w:rsidRPr="003171CD">
        <w:rPr>
          <w:lang w:val="en-US"/>
        </w:rPr>
        <w:t xml:space="preserve"> was granted two months to report on compliance with the recommendations.</w:t>
      </w:r>
    </w:p>
    <w:p w14:paraId="34999130" w14:textId="77777777" w:rsidR="005A65CE" w:rsidRPr="003171CD" w:rsidRDefault="005A65CE" w:rsidP="005A65CE">
      <w:pPr>
        <w:numPr>
          <w:ilvl w:val="0"/>
          <w:numId w:val="3"/>
        </w:numPr>
        <w:ind w:left="709"/>
        <w:jc w:val="both"/>
        <w:rPr>
          <w:rFonts w:cs="Arial"/>
          <w:b/>
          <w:lang w:val="en-US"/>
        </w:rPr>
      </w:pPr>
      <w:r w:rsidRPr="003171CD">
        <w:rPr>
          <w:i/>
          <w:lang w:val="en-US"/>
        </w:rPr>
        <w:t xml:space="preserve">Report on the </w:t>
      </w:r>
      <w:r w:rsidR="00E16DC1" w:rsidRPr="003171CD">
        <w:rPr>
          <w:i/>
          <w:lang w:val="en-US"/>
        </w:rPr>
        <w:t xml:space="preserve">Commission’s </w:t>
      </w:r>
      <w:r w:rsidRPr="003171CD">
        <w:rPr>
          <w:i/>
          <w:lang w:val="en-US"/>
        </w:rPr>
        <w:t xml:space="preserve">recommendations. </w:t>
      </w:r>
      <w:r w:rsidRPr="003171CD">
        <w:rPr>
          <w:lang w:val="en-US"/>
        </w:rPr>
        <w:t>On January 22, 2014</w:t>
      </w:r>
      <w:r w:rsidR="0072421D" w:rsidRPr="003171CD">
        <w:rPr>
          <w:lang w:val="en-US"/>
        </w:rPr>
        <w:t>,</w:t>
      </w:r>
      <w:r w:rsidRPr="003171CD">
        <w:rPr>
          <w:lang w:val="en-US"/>
        </w:rPr>
        <w:t xml:space="preserve"> </w:t>
      </w:r>
      <w:r w:rsidRPr="003171CD">
        <w:rPr>
          <w:iCs/>
          <w:lang w:val="en-US"/>
        </w:rPr>
        <w:t>the Sta</w:t>
      </w:r>
      <w:r w:rsidR="0072421D" w:rsidRPr="003171CD">
        <w:rPr>
          <w:iCs/>
          <w:lang w:val="en-US"/>
        </w:rPr>
        <w:t>te forwarded information on its</w:t>
      </w:r>
      <w:r w:rsidRPr="003171CD">
        <w:rPr>
          <w:iCs/>
          <w:lang w:val="en-US"/>
        </w:rPr>
        <w:t xml:space="preserve"> </w:t>
      </w:r>
      <w:r w:rsidRPr="003171CD">
        <w:rPr>
          <w:lang w:val="en-US"/>
        </w:rPr>
        <w:t xml:space="preserve">implementation of the recommendations </w:t>
      </w:r>
      <w:r w:rsidR="0093611F" w:rsidRPr="003171CD">
        <w:rPr>
          <w:lang w:val="en-US"/>
        </w:rPr>
        <w:t xml:space="preserve">made </w:t>
      </w:r>
      <w:r w:rsidRPr="003171CD">
        <w:rPr>
          <w:lang w:val="en-US"/>
        </w:rPr>
        <w:t>by the Commission in Report No. 82/13 and requested that an extension be granted. However, the Commission noted that the State refrained from expressly renouncing the right to file preliminary objections based on the term</w:t>
      </w:r>
      <w:r w:rsidR="0093611F" w:rsidRPr="003171CD">
        <w:rPr>
          <w:lang w:val="en-US"/>
        </w:rPr>
        <w:t>s</w:t>
      </w:r>
      <w:r w:rsidRPr="003171CD">
        <w:rPr>
          <w:lang w:val="en-US"/>
        </w:rPr>
        <w:t xml:space="preserve"> established in Article 51 of the American Convention, for which reason it was not possible to grant the extension requested. </w:t>
      </w:r>
      <w:r w:rsidR="0093611F" w:rsidRPr="003171CD">
        <w:rPr>
          <w:lang w:val="en-US"/>
        </w:rPr>
        <w:t>O</w:t>
      </w:r>
      <w:r w:rsidRPr="003171CD">
        <w:rPr>
          <w:lang w:val="en-US"/>
        </w:rPr>
        <w:t>n February 14, 2014,</w:t>
      </w:r>
      <w:r w:rsidRPr="003171CD">
        <w:rPr>
          <w:iCs/>
          <w:lang w:val="en-US"/>
        </w:rPr>
        <w:t xml:space="preserve"> the State forwarded additional information.</w:t>
      </w:r>
      <w:r w:rsidRPr="003171CD">
        <w:rPr>
          <w:sz w:val="16"/>
          <w:szCs w:val="16"/>
          <w:lang w:val="en-US"/>
        </w:rPr>
        <w:t xml:space="preserve"> </w:t>
      </w:r>
    </w:p>
    <w:p w14:paraId="0263B2BC" w14:textId="77777777" w:rsidR="005A65CE" w:rsidRPr="003171CD" w:rsidRDefault="005A65CE" w:rsidP="005A65CE">
      <w:pPr>
        <w:ind w:left="709"/>
        <w:jc w:val="both"/>
        <w:rPr>
          <w:lang w:val="en-US"/>
        </w:rPr>
      </w:pPr>
    </w:p>
    <w:p w14:paraId="45CC9709" w14:textId="77777777" w:rsidR="005A65CE" w:rsidRPr="003171CD" w:rsidRDefault="005A65CE" w:rsidP="005A65CE">
      <w:pPr>
        <w:numPr>
          <w:ilvl w:val="0"/>
          <w:numId w:val="3"/>
        </w:numPr>
        <w:ind w:left="709"/>
        <w:jc w:val="both"/>
        <w:rPr>
          <w:lang w:val="en-US"/>
        </w:rPr>
      </w:pPr>
      <w:r w:rsidRPr="003171CD">
        <w:rPr>
          <w:i/>
          <w:lang w:val="en-US"/>
        </w:rPr>
        <w:t>Submission to the Court</w:t>
      </w:r>
      <w:r w:rsidR="0093611F" w:rsidRPr="003171CD">
        <w:rPr>
          <w:lang w:val="en-US"/>
        </w:rPr>
        <w:t xml:space="preserve">. </w:t>
      </w:r>
      <w:r w:rsidRPr="003171CD">
        <w:rPr>
          <w:lang w:val="en-US"/>
        </w:rPr>
        <w:t>On February 13, 2014</w:t>
      </w:r>
      <w:r w:rsidR="00AD2781" w:rsidRPr="003171CD">
        <w:rPr>
          <w:lang w:val="en-US"/>
        </w:rPr>
        <w:t>,</w:t>
      </w:r>
      <w:r w:rsidRPr="003171CD">
        <w:rPr>
          <w:lang w:val="en-US"/>
        </w:rPr>
        <w:t xml:space="preserve"> the Commission submitted to the jurisdiction of the Inter-American Court </w:t>
      </w:r>
      <w:r w:rsidR="00C505D0" w:rsidRPr="003171CD">
        <w:rPr>
          <w:lang w:val="en-US"/>
        </w:rPr>
        <w:t xml:space="preserve">all </w:t>
      </w:r>
      <w:r w:rsidRPr="003171CD">
        <w:rPr>
          <w:iCs/>
          <w:lang w:val="en-US"/>
        </w:rPr>
        <w:t>the facts and human righ</w:t>
      </w:r>
      <w:r w:rsidR="00C505D0" w:rsidRPr="003171CD">
        <w:rPr>
          <w:iCs/>
          <w:lang w:val="en-US"/>
        </w:rPr>
        <w:t>ts violations described in the Merits R</w:t>
      </w:r>
      <w:r w:rsidRPr="003171CD">
        <w:rPr>
          <w:iCs/>
          <w:lang w:val="en-US"/>
        </w:rPr>
        <w:t>eport</w:t>
      </w:r>
      <w:r w:rsidR="00C505D0" w:rsidRPr="003171CD">
        <w:rPr>
          <w:iCs/>
          <w:lang w:val="en-US"/>
        </w:rPr>
        <w:t>,</w:t>
      </w:r>
      <w:r w:rsidRPr="003171CD">
        <w:rPr>
          <w:iCs/>
          <w:lang w:val="en-US"/>
        </w:rPr>
        <w:t xml:space="preserve"> “given the need to obtain justice for the [</w:t>
      </w:r>
      <w:r w:rsidR="00C505D0" w:rsidRPr="003171CD">
        <w:rPr>
          <w:iCs/>
          <w:lang w:val="en-US"/>
        </w:rPr>
        <w:t>alleged</w:t>
      </w:r>
      <w:r w:rsidRPr="003171CD">
        <w:rPr>
          <w:iCs/>
          <w:lang w:val="en-US"/>
        </w:rPr>
        <w:t xml:space="preserve">] victim and his family” and “considering the impossibility of granting an extension </w:t>
      </w:r>
      <w:r w:rsidR="00C505D0" w:rsidRPr="003171CD">
        <w:rPr>
          <w:iCs/>
          <w:lang w:val="en-US"/>
        </w:rPr>
        <w:t xml:space="preserve">to </w:t>
      </w:r>
      <w:r w:rsidRPr="003171CD">
        <w:rPr>
          <w:iCs/>
          <w:lang w:val="en-US"/>
        </w:rPr>
        <w:t xml:space="preserve">the State of El Salvador and </w:t>
      </w:r>
      <w:r w:rsidR="00C505D0" w:rsidRPr="003171CD">
        <w:rPr>
          <w:iCs/>
          <w:lang w:val="en-US"/>
        </w:rPr>
        <w:t xml:space="preserve">the lack </w:t>
      </w:r>
      <w:r w:rsidRPr="003171CD">
        <w:rPr>
          <w:iCs/>
          <w:lang w:val="en-US"/>
        </w:rPr>
        <w:t xml:space="preserve">of information </w:t>
      </w:r>
      <w:r w:rsidR="00C505D0" w:rsidRPr="003171CD">
        <w:rPr>
          <w:iCs/>
          <w:lang w:val="en-US"/>
        </w:rPr>
        <w:t xml:space="preserve">regarding </w:t>
      </w:r>
      <w:r w:rsidRPr="003171CD">
        <w:rPr>
          <w:iCs/>
          <w:lang w:val="en-US"/>
        </w:rPr>
        <w:t xml:space="preserve">specific and substantive </w:t>
      </w:r>
      <w:r w:rsidR="00C505D0" w:rsidRPr="003171CD">
        <w:rPr>
          <w:iCs/>
          <w:lang w:val="en-US"/>
        </w:rPr>
        <w:t xml:space="preserve">progress in complying with </w:t>
      </w:r>
      <w:r w:rsidRPr="003171CD">
        <w:rPr>
          <w:iCs/>
          <w:lang w:val="en-US"/>
        </w:rPr>
        <w:t>the reparations.”</w:t>
      </w:r>
      <w:r w:rsidRPr="003171CD">
        <w:rPr>
          <w:lang w:val="en-US"/>
        </w:rPr>
        <w:t xml:space="preserve"> </w:t>
      </w:r>
      <w:r w:rsidRPr="003171CD">
        <w:rPr>
          <w:iCs/>
          <w:lang w:val="en-US"/>
        </w:rPr>
        <w:t>The Commission appointed Commissioner Rosa María Ortiz and Executive Secretary Emilio Álvarez Icaza L. as its delegates before the Court</w:t>
      </w:r>
      <w:r w:rsidR="00C505D0" w:rsidRPr="003171CD">
        <w:rPr>
          <w:iCs/>
          <w:lang w:val="en-US"/>
        </w:rPr>
        <w:t>. It also</w:t>
      </w:r>
      <w:r w:rsidRPr="003171CD">
        <w:rPr>
          <w:iCs/>
          <w:lang w:val="en-US"/>
        </w:rPr>
        <w:t xml:space="preserve"> </w:t>
      </w:r>
      <w:r w:rsidR="00C505D0" w:rsidRPr="003171CD">
        <w:rPr>
          <w:iCs/>
          <w:lang w:val="en-US"/>
        </w:rPr>
        <w:t xml:space="preserve">indicated that </w:t>
      </w:r>
      <w:r w:rsidRPr="003171CD">
        <w:rPr>
          <w:iCs/>
          <w:lang w:val="en-US"/>
        </w:rPr>
        <w:t>Elizabeth Abi-Mershed, Assistant Executive Secre</w:t>
      </w:r>
      <w:r w:rsidR="00C505D0" w:rsidRPr="003171CD">
        <w:rPr>
          <w:iCs/>
          <w:lang w:val="en-US"/>
        </w:rPr>
        <w:t>tary, and the lawyers Silvia Serrano Guzmán and</w:t>
      </w:r>
      <w:r w:rsidRPr="003171CD">
        <w:rPr>
          <w:iCs/>
          <w:lang w:val="en-US"/>
        </w:rPr>
        <w:t xml:space="preserve"> Erick Acuña Pereda</w:t>
      </w:r>
      <w:r w:rsidR="00C505D0" w:rsidRPr="003171CD">
        <w:rPr>
          <w:iCs/>
          <w:lang w:val="en-US"/>
        </w:rPr>
        <w:t xml:space="preserve"> would act</w:t>
      </w:r>
      <w:r w:rsidRPr="003171CD">
        <w:rPr>
          <w:iCs/>
          <w:lang w:val="en-US"/>
        </w:rPr>
        <w:t xml:space="preserve"> as legal advisers.</w:t>
      </w:r>
    </w:p>
    <w:p w14:paraId="54CB0BB6" w14:textId="77777777" w:rsidR="005A65CE" w:rsidRPr="003171CD" w:rsidRDefault="005A65CE" w:rsidP="005A65CE">
      <w:pPr>
        <w:jc w:val="both"/>
        <w:rPr>
          <w:lang w:val="en-US"/>
        </w:rPr>
      </w:pPr>
    </w:p>
    <w:p w14:paraId="0C8D34FD" w14:textId="77777777" w:rsidR="005A65CE" w:rsidRPr="003171CD" w:rsidRDefault="005A65CE" w:rsidP="005A65CE">
      <w:pPr>
        <w:numPr>
          <w:ilvl w:val="0"/>
          <w:numId w:val="1"/>
        </w:numPr>
        <w:jc w:val="both"/>
        <w:rPr>
          <w:lang w:val="en-US"/>
        </w:rPr>
      </w:pPr>
      <w:r w:rsidRPr="003171CD">
        <w:rPr>
          <w:i/>
          <w:lang w:val="en-US"/>
        </w:rPr>
        <w:t>Requests of the Inter-American Commission</w:t>
      </w:r>
      <w:r w:rsidRPr="003171CD">
        <w:rPr>
          <w:lang w:val="en-US"/>
        </w:rPr>
        <w:t xml:space="preserve">. Based on the foregoing, the Commission asked the Court to declare </w:t>
      </w:r>
      <w:r w:rsidR="00C505D0" w:rsidRPr="003171CD">
        <w:rPr>
          <w:rFonts w:eastAsia="Times New Roman"/>
          <w:lang w:val="en-US"/>
        </w:rPr>
        <w:t xml:space="preserve">the State’s </w:t>
      </w:r>
      <w:r w:rsidRPr="003171CD">
        <w:rPr>
          <w:rFonts w:eastAsia="Times New Roman"/>
          <w:lang w:val="en-US"/>
        </w:rPr>
        <w:t xml:space="preserve">international responsibility for the violations </w:t>
      </w:r>
      <w:r w:rsidR="00C505D0" w:rsidRPr="003171CD">
        <w:rPr>
          <w:rFonts w:eastAsia="Times New Roman"/>
          <w:lang w:val="en-US"/>
        </w:rPr>
        <w:t xml:space="preserve">described </w:t>
      </w:r>
      <w:r w:rsidRPr="003171CD">
        <w:rPr>
          <w:lang w:val="en-US"/>
        </w:rPr>
        <w:t xml:space="preserve">in </w:t>
      </w:r>
      <w:r w:rsidR="00C505D0" w:rsidRPr="003171CD">
        <w:rPr>
          <w:lang w:val="en-US"/>
        </w:rPr>
        <w:t xml:space="preserve">the Merits Report </w:t>
      </w:r>
      <w:r w:rsidRPr="003171CD">
        <w:rPr>
          <w:lang w:val="en-US"/>
        </w:rPr>
        <w:t>(</w:t>
      </w:r>
      <w:r w:rsidRPr="003171CD">
        <w:rPr>
          <w:i/>
          <w:lang w:val="en-US"/>
        </w:rPr>
        <w:t>supra</w:t>
      </w:r>
      <w:r w:rsidRPr="003171CD">
        <w:rPr>
          <w:lang w:val="en-US"/>
        </w:rPr>
        <w:t xml:space="preserve"> para.</w:t>
      </w:r>
      <w:r w:rsidR="00C505D0" w:rsidRPr="003171CD">
        <w:rPr>
          <w:lang w:val="en-US"/>
        </w:rPr>
        <w:t xml:space="preserve"> 2(c)</w:t>
      </w:r>
      <w:r w:rsidRPr="003171CD">
        <w:rPr>
          <w:lang w:val="en-US"/>
        </w:rPr>
        <w:t xml:space="preserve">(a). </w:t>
      </w:r>
      <w:r w:rsidR="00C505D0" w:rsidRPr="003171CD">
        <w:rPr>
          <w:lang w:val="en-US"/>
        </w:rPr>
        <w:t>T</w:t>
      </w:r>
      <w:r w:rsidRPr="003171CD">
        <w:rPr>
          <w:rFonts w:eastAsia="Times New Roman"/>
          <w:lang w:val="en-US"/>
        </w:rPr>
        <w:t>he Commission a</w:t>
      </w:r>
      <w:r w:rsidR="00C505D0" w:rsidRPr="003171CD">
        <w:rPr>
          <w:rFonts w:eastAsia="Times New Roman"/>
          <w:lang w:val="en-US"/>
        </w:rPr>
        <w:t>lso a</w:t>
      </w:r>
      <w:r w:rsidRPr="003171CD">
        <w:rPr>
          <w:rFonts w:eastAsia="Times New Roman"/>
          <w:lang w:val="en-US"/>
        </w:rPr>
        <w:t xml:space="preserve">sked the Court to </w:t>
      </w:r>
      <w:r w:rsidR="00C505D0" w:rsidRPr="003171CD">
        <w:rPr>
          <w:rFonts w:eastAsia="Times New Roman"/>
          <w:lang w:val="en-US"/>
        </w:rPr>
        <w:t xml:space="preserve">require </w:t>
      </w:r>
      <w:r w:rsidRPr="003171CD">
        <w:rPr>
          <w:rFonts w:eastAsia="Times New Roman"/>
          <w:lang w:val="en-US"/>
        </w:rPr>
        <w:t>the State to implement certain measures of reparation, which are described and analyzed in Chapter VIII of this Judgment.</w:t>
      </w:r>
    </w:p>
    <w:p w14:paraId="203688A8" w14:textId="77777777" w:rsidR="005A65CE" w:rsidRPr="003171CD" w:rsidRDefault="005A65CE" w:rsidP="005A65CE">
      <w:pPr>
        <w:rPr>
          <w:lang w:val="en-US"/>
        </w:rPr>
      </w:pPr>
    </w:p>
    <w:p w14:paraId="67255817" w14:textId="77777777" w:rsidR="005A65CE" w:rsidRPr="003171CD" w:rsidRDefault="005A65CE" w:rsidP="005A65CE">
      <w:pPr>
        <w:rPr>
          <w:lang w:val="en-US"/>
        </w:rPr>
      </w:pPr>
    </w:p>
    <w:p w14:paraId="1EB15A00" w14:textId="77777777" w:rsidR="005A65CE" w:rsidRPr="003171CD" w:rsidRDefault="005A65CE" w:rsidP="005A65CE">
      <w:pPr>
        <w:rPr>
          <w:lang w:val="en-US"/>
        </w:rPr>
      </w:pPr>
    </w:p>
    <w:p w14:paraId="14D67E34"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2" w:name="_Toc425869834"/>
      <w:bookmarkStart w:id="3" w:name="_Toc45186689"/>
      <w:r w:rsidRPr="003171CD">
        <w:rPr>
          <w:rFonts w:eastAsia="Times New Roman" w:cs="Arial"/>
          <w:b/>
          <w:bCs/>
          <w:caps/>
          <w:snapToGrid/>
          <w:lang w:val="en-US" w:eastAsia="en-US"/>
        </w:rPr>
        <w:t>II</w:t>
      </w:r>
      <w:r w:rsidRPr="003171CD">
        <w:rPr>
          <w:rFonts w:eastAsia="Times New Roman" w:cs="Arial"/>
          <w:b/>
          <w:bCs/>
          <w:caps/>
          <w:snapToGrid/>
          <w:lang w:val="en-US" w:eastAsia="en-US"/>
        </w:rPr>
        <w:br/>
        <w:t>PROCEEDING</w:t>
      </w:r>
      <w:r w:rsidR="00C505D0" w:rsidRPr="003171CD">
        <w:rPr>
          <w:rFonts w:eastAsia="Times New Roman" w:cs="Arial"/>
          <w:b/>
          <w:bCs/>
          <w:caps/>
          <w:snapToGrid/>
          <w:lang w:val="en-US" w:eastAsia="en-US"/>
        </w:rPr>
        <w:t>S</w:t>
      </w:r>
      <w:r w:rsidRPr="003171CD">
        <w:rPr>
          <w:rFonts w:eastAsia="Times New Roman" w:cs="Arial"/>
          <w:b/>
          <w:bCs/>
          <w:caps/>
          <w:snapToGrid/>
          <w:lang w:val="en-US" w:eastAsia="en-US"/>
        </w:rPr>
        <w:t xml:space="preserve"> BEFORE THE COURT</w:t>
      </w:r>
      <w:bookmarkEnd w:id="2"/>
      <w:bookmarkEnd w:id="3"/>
    </w:p>
    <w:p w14:paraId="03B46052" w14:textId="77777777" w:rsidR="005A65CE" w:rsidRPr="003171CD" w:rsidRDefault="005A65CE" w:rsidP="005A65CE">
      <w:pPr>
        <w:rPr>
          <w:lang w:val="en-US"/>
        </w:rPr>
      </w:pPr>
    </w:p>
    <w:p w14:paraId="39DFCB95" w14:textId="77777777" w:rsidR="005A65CE" w:rsidRPr="003171CD" w:rsidRDefault="005A65CE" w:rsidP="005A65CE">
      <w:pPr>
        <w:numPr>
          <w:ilvl w:val="0"/>
          <w:numId w:val="1"/>
        </w:numPr>
        <w:jc w:val="both"/>
        <w:rPr>
          <w:lang w:val="en-US"/>
        </w:rPr>
      </w:pPr>
      <w:r w:rsidRPr="003171CD">
        <w:rPr>
          <w:i/>
          <w:lang w:val="en-US"/>
        </w:rPr>
        <w:t>Appointment of Inter-American Public Defenders</w:t>
      </w:r>
      <w:r w:rsidRPr="003171CD">
        <w:rPr>
          <w:lang w:val="en-US"/>
        </w:rPr>
        <w:t xml:space="preserve">. In the brief </w:t>
      </w:r>
      <w:r w:rsidR="00C505D0" w:rsidRPr="003171CD">
        <w:rPr>
          <w:lang w:val="en-US"/>
        </w:rPr>
        <w:t xml:space="preserve">submitting </w:t>
      </w:r>
      <w:r w:rsidRPr="003171CD">
        <w:rPr>
          <w:lang w:val="en-US"/>
        </w:rPr>
        <w:t>the case, the Commission indicated that Mr. Pedro Torres Hércules and the association “Human R</w:t>
      </w:r>
      <w:r w:rsidR="00C505D0" w:rsidRPr="003171CD">
        <w:rPr>
          <w:lang w:val="en-US"/>
        </w:rPr>
        <w:t xml:space="preserve">ights Commission </w:t>
      </w:r>
      <w:r w:rsidR="00C505D0" w:rsidRPr="003171CD">
        <w:rPr>
          <w:lang w:val="en-US"/>
        </w:rPr>
        <w:lastRenderedPageBreak/>
        <w:t>of El Salvador</w:t>
      </w:r>
      <w:r w:rsidRPr="003171CD">
        <w:rPr>
          <w:lang w:val="en-US"/>
        </w:rPr>
        <w:t xml:space="preserve">” </w:t>
      </w:r>
      <w:r w:rsidR="00C505D0" w:rsidRPr="003171CD">
        <w:rPr>
          <w:lang w:val="en-US"/>
        </w:rPr>
        <w:t xml:space="preserve">had acted as petitioners throughout the proceedings. In </w:t>
      </w:r>
      <w:r w:rsidRPr="003171CD">
        <w:rPr>
          <w:lang w:val="en-US"/>
        </w:rPr>
        <w:t>a communication forwarded by the Secretariat</w:t>
      </w:r>
      <w:r w:rsidR="00C505D0" w:rsidRPr="003171CD">
        <w:rPr>
          <w:lang w:val="en-US"/>
        </w:rPr>
        <w:t>,</w:t>
      </w:r>
      <w:r w:rsidRPr="003171CD">
        <w:rPr>
          <w:rStyle w:val="Refdenotaalpie"/>
          <w:lang w:val="en-US"/>
        </w:rPr>
        <w:footnoteReference w:id="3"/>
      </w:r>
      <w:r w:rsidRPr="003171CD">
        <w:rPr>
          <w:lang w:val="en-US"/>
        </w:rPr>
        <w:t xml:space="preserve"> following the instructions of the President of the Court during the preliminary </w:t>
      </w:r>
      <w:r w:rsidR="00AA486A" w:rsidRPr="003171CD">
        <w:rPr>
          <w:lang w:val="en-US"/>
        </w:rPr>
        <w:t xml:space="preserve">hearing for </w:t>
      </w:r>
      <w:r w:rsidRPr="003171CD">
        <w:rPr>
          <w:lang w:val="en-US"/>
        </w:rPr>
        <w:t xml:space="preserve">the submission of the case, on April 24, 2014, Mr. Pedro Torres Hércules requested </w:t>
      </w:r>
      <w:r w:rsidR="00842E92" w:rsidRPr="003171CD">
        <w:rPr>
          <w:lang w:val="en-US"/>
        </w:rPr>
        <w:t>th</w:t>
      </w:r>
      <w:r w:rsidR="00AA486A" w:rsidRPr="003171CD">
        <w:rPr>
          <w:lang w:val="en-US"/>
        </w:rPr>
        <w:t xml:space="preserve">at </w:t>
      </w:r>
      <w:r w:rsidR="00CD69F5" w:rsidRPr="003171CD">
        <w:rPr>
          <w:lang w:val="en-US"/>
        </w:rPr>
        <w:t>an Inter-American Defender</w:t>
      </w:r>
      <w:r w:rsidR="00AA486A" w:rsidRPr="003171CD">
        <w:rPr>
          <w:lang w:val="en-US"/>
        </w:rPr>
        <w:t xml:space="preserve"> be appointed</w:t>
      </w:r>
      <w:r w:rsidR="00CD69F5" w:rsidRPr="003171CD">
        <w:rPr>
          <w:lang w:val="en-US"/>
        </w:rPr>
        <w:t>. O</w:t>
      </w:r>
      <w:r w:rsidRPr="003171CD">
        <w:rPr>
          <w:lang w:val="en-US"/>
        </w:rPr>
        <w:t>n April 30, 2014</w:t>
      </w:r>
      <w:r w:rsidR="00842E92" w:rsidRPr="003171CD">
        <w:rPr>
          <w:lang w:val="en-US"/>
        </w:rPr>
        <w:t>,</w:t>
      </w:r>
      <w:r w:rsidRPr="003171CD">
        <w:rPr>
          <w:lang w:val="en-US"/>
        </w:rPr>
        <w:t xml:space="preserve"> the Human Rights Commission of El Salvador </w:t>
      </w:r>
      <w:r w:rsidR="00842E92" w:rsidRPr="003171CD">
        <w:rPr>
          <w:lang w:val="en-US"/>
        </w:rPr>
        <w:t>announced that it would no longer</w:t>
      </w:r>
      <w:r w:rsidRPr="003171CD">
        <w:rPr>
          <w:lang w:val="en-US"/>
        </w:rPr>
        <w:t xml:space="preserve"> continue </w:t>
      </w:r>
      <w:r w:rsidR="00842E92" w:rsidRPr="003171CD">
        <w:rPr>
          <w:lang w:val="en-US"/>
        </w:rPr>
        <w:t>to act</w:t>
      </w:r>
      <w:r w:rsidRPr="003171CD">
        <w:rPr>
          <w:lang w:val="en-US"/>
        </w:rPr>
        <w:t xml:space="preserve"> </w:t>
      </w:r>
      <w:r w:rsidR="00AA486A" w:rsidRPr="003171CD">
        <w:rPr>
          <w:lang w:val="en-US"/>
        </w:rPr>
        <w:t xml:space="preserve">as </w:t>
      </w:r>
      <w:r w:rsidR="0061321E" w:rsidRPr="003171CD">
        <w:rPr>
          <w:lang w:val="en-US"/>
        </w:rPr>
        <w:t xml:space="preserve">a </w:t>
      </w:r>
      <w:r w:rsidRPr="003171CD">
        <w:rPr>
          <w:lang w:val="en-US"/>
        </w:rPr>
        <w:t>representati</w:t>
      </w:r>
      <w:r w:rsidR="0061321E" w:rsidRPr="003171CD">
        <w:rPr>
          <w:lang w:val="en-US"/>
        </w:rPr>
        <w:t>ve</w:t>
      </w:r>
      <w:r w:rsidR="00AA486A" w:rsidRPr="003171CD">
        <w:rPr>
          <w:lang w:val="en-US"/>
        </w:rPr>
        <w:t xml:space="preserve"> in this</w:t>
      </w:r>
      <w:r w:rsidRPr="003171CD">
        <w:rPr>
          <w:lang w:val="en-US"/>
        </w:rPr>
        <w:t xml:space="preserve"> case. </w:t>
      </w:r>
      <w:r w:rsidR="00AA486A" w:rsidRPr="003171CD">
        <w:rPr>
          <w:lang w:val="en-US"/>
        </w:rPr>
        <w:t xml:space="preserve">Following </w:t>
      </w:r>
      <w:r w:rsidRPr="003171CD">
        <w:rPr>
          <w:lang w:val="en-US"/>
        </w:rPr>
        <w:t xml:space="preserve">the respective communications with the </w:t>
      </w:r>
      <w:r w:rsidRPr="003171CD">
        <w:rPr>
          <w:rStyle w:val="nfasis"/>
          <w:rFonts w:cs="Arial"/>
          <w:bCs/>
          <w:i w:val="0"/>
          <w:iCs w:val="0"/>
          <w:shd w:val="clear" w:color="auto" w:fill="FFFFFF"/>
          <w:lang w:val="en-US"/>
        </w:rPr>
        <w:t>Inter</w:t>
      </w:r>
      <w:r w:rsidRPr="003171CD">
        <w:rPr>
          <w:rFonts w:cs="Arial"/>
          <w:shd w:val="clear" w:color="auto" w:fill="FFFFFF"/>
          <w:lang w:val="en-US"/>
        </w:rPr>
        <w:t>-</w:t>
      </w:r>
      <w:r w:rsidRPr="003171CD">
        <w:rPr>
          <w:rStyle w:val="nfasis"/>
          <w:rFonts w:cs="Arial"/>
          <w:bCs/>
          <w:i w:val="0"/>
          <w:iCs w:val="0"/>
          <w:shd w:val="clear" w:color="auto" w:fill="FFFFFF"/>
          <w:lang w:val="en-US"/>
        </w:rPr>
        <w:t>American</w:t>
      </w:r>
      <w:r w:rsidRPr="003171CD">
        <w:rPr>
          <w:rFonts w:cs="Arial"/>
          <w:shd w:val="clear" w:color="auto" w:fill="FFFFFF"/>
          <w:lang w:val="en-US"/>
        </w:rPr>
        <w:t> Association of </w:t>
      </w:r>
      <w:r w:rsidRPr="003171CD">
        <w:rPr>
          <w:rStyle w:val="nfasis"/>
          <w:rFonts w:cs="Arial"/>
          <w:bCs/>
          <w:i w:val="0"/>
          <w:iCs w:val="0"/>
          <w:shd w:val="clear" w:color="auto" w:fill="FFFFFF"/>
          <w:lang w:val="en-US"/>
        </w:rPr>
        <w:t>Public Defender</w:t>
      </w:r>
      <w:r w:rsidRPr="003171CD">
        <w:rPr>
          <w:rFonts w:cs="Arial"/>
          <w:shd w:val="clear" w:color="auto" w:fill="FFFFFF"/>
          <w:lang w:val="en-US"/>
        </w:rPr>
        <w:t>s (AIDEF)</w:t>
      </w:r>
      <w:r w:rsidRPr="003171CD">
        <w:rPr>
          <w:rStyle w:val="Refdenotaalpie"/>
          <w:lang w:val="en-US"/>
        </w:rPr>
        <w:footnoteReference w:id="4"/>
      </w:r>
      <w:r w:rsidRPr="003171CD">
        <w:rPr>
          <w:lang w:val="en-US"/>
        </w:rPr>
        <w:t>, on May 14, 2014</w:t>
      </w:r>
      <w:r w:rsidR="00842E92" w:rsidRPr="003171CD">
        <w:rPr>
          <w:lang w:val="en-US"/>
        </w:rPr>
        <w:t>,</w:t>
      </w:r>
      <w:r w:rsidRPr="003171CD">
        <w:rPr>
          <w:lang w:val="en-US"/>
        </w:rPr>
        <w:t xml:space="preserve"> the Coordinator General of the Association informed the Court that Mr. </w:t>
      </w:r>
      <w:r w:rsidR="0061321E" w:rsidRPr="003171CD">
        <w:rPr>
          <w:lang w:val="en-US"/>
        </w:rPr>
        <w:t>Ru</w:t>
      </w:r>
      <w:r w:rsidRPr="003171CD">
        <w:rPr>
          <w:lang w:val="en-US"/>
        </w:rPr>
        <w:t>dy Orlando Arreola Higueros (Guatemala) and Mr. Alberto Hassim González Herrera (Panama) had be</w:t>
      </w:r>
      <w:r w:rsidR="0061321E" w:rsidRPr="003171CD">
        <w:rPr>
          <w:lang w:val="en-US"/>
        </w:rPr>
        <w:t>en appointed as inter-American public d</w:t>
      </w:r>
      <w:r w:rsidRPr="003171CD">
        <w:rPr>
          <w:lang w:val="en-US"/>
        </w:rPr>
        <w:t xml:space="preserve">efenders </w:t>
      </w:r>
      <w:r w:rsidR="00842E92" w:rsidRPr="003171CD">
        <w:rPr>
          <w:lang w:val="en-US"/>
        </w:rPr>
        <w:t xml:space="preserve">to act as </w:t>
      </w:r>
      <w:r w:rsidRPr="003171CD">
        <w:rPr>
          <w:lang w:val="en-US"/>
        </w:rPr>
        <w:t>legal representati</w:t>
      </w:r>
      <w:r w:rsidR="00842E92" w:rsidRPr="003171CD">
        <w:rPr>
          <w:lang w:val="en-US"/>
        </w:rPr>
        <w:t xml:space="preserve">ves </w:t>
      </w:r>
      <w:r w:rsidRPr="003171CD">
        <w:rPr>
          <w:lang w:val="en-US"/>
        </w:rPr>
        <w:t>of the alleged victims in this case (hereinafter “the representatives”)</w:t>
      </w:r>
      <w:r w:rsidR="00842E92" w:rsidRPr="003171CD">
        <w:rPr>
          <w:lang w:val="en-US"/>
        </w:rPr>
        <w:t>.</w:t>
      </w:r>
      <w:r w:rsidRPr="003171CD">
        <w:rPr>
          <w:rStyle w:val="Refdenotaalpie"/>
          <w:color w:val="000000"/>
          <w:lang w:val="en-US"/>
        </w:rPr>
        <w:footnoteReference w:id="5"/>
      </w:r>
    </w:p>
    <w:p w14:paraId="5991E9E5" w14:textId="77777777" w:rsidR="005A65CE" w:rsidRPr="003171CD" w:rsidRDefault="005A65CE" w:rsidP="005A65CE">
      <w:pPr>
        <w:ind w:left="360"/>
        <w:jc w:val="both"/>
        <w:rPr>
          <w:lang w:val="en-US"/>
        </w:rPr>
      </w:pPr>
    </w:p>
    <w:p w14:paraId="4DC6DD11" w14:textId="77777777" w:rsidR="005A65CE" w:rsidRPr="003171CD" w:rsidRDefault="005A65CE" w:rsidP="005A65CE">
      <w:pPr>
        <w:numPr>
          <w:ilvl w:val="0"/>
          <w:numId w:val="1"/>
        </w:numPr>
        <w:jc w:val="both"/>
        <w:rPr>
          <w:lang w:val="en-US"/>
        </w:rPr>
      </w:pPr>
      <w:r w:rsidRPr="003171CD">
        <w:rPr>
          <w:i/>
          <w:lang w:val="en-US"/>
        </w:rPr>
        <w:t>Notification to the representatives and the State</w:t>
      </w:r>
      <w:r w:rsidRPr="003171CD">
        <w:rPr>
          <w:lang w:val="en-US"/>
        </w:rPr>
        <w:t xml:space="preserve">. </w:t>
      </w:r>
      <w:r w:rsidR="00842E92" w:rsidRPr="003171CD">
        <w:rPr>
          <w:rFonts w:eastAsia="Verdana"/>
          <w:lang w:val="en-US" w:eastAsia="es-CR"/>
        </w:rPr>
        <w:t xml:space="preserve">The Court notified the submission of the case </w:t>
      </w:r>
      <w:r w:rsidR="0061321E" w:rsidRPr="003171CD">
        <w:rPr>
          <w:rFonts w:eastAsia="Verdana"/>
          <w:lang w:val="en-US" w:eastAsia="es-CR"/>
        </w:rPr>
        <w:t xml:space="preserve">by the Commission </w:t>
      </w:r>
      <w:r w:rsidR="00842E92" w:rsidRPr="003171CD">
        <w:rPr>
          <w:rFonts w:eastAsia="Verdana"/>
          <w:lang w:val="en-US" w:eastAsia="es-CR"/>
        </w:rPr>
        <w:t xml:space="preserve">to the </w:t>
      </w:r>
      <w:r w:rsidR="00842E92" w:rsidRPr="003171CD">
        <w:rPr>
          <w:lang w:val="en-US"/>
        </w:rPr>
        <w:t>i</w:t>
      </w:r>
      <w:r w:rsidRPr="003171CD">
        <w:rPr>
          <w:lang w:val="en-US"/>
        </w:rPr>
        <w:t xml:space="preserve">nter-American public defenders acting on behalf of the alleged victims </w:t>
      </w:r>
      <w:r w:rsidR="00842E92" w:rsidRPr="003171CD">
        <w:rPr>
          <w:lang w:val="en-US"/>
        </w:rPr>
        <w:t xml:space="preserve">on </w:t>
      </w:r>
      <w:r w:rsidRPr="003171CD">
        <w:rPr>
          <w:lang w:val="en-US"/>
        </w:rPr>
        <w:t>June 6, 2014</w:t>
      </w:r>
      <w:r w:rsidR="00842E92" w:rsidRPr="003171CD">
        <w:rPr>
          <w:lang w:val="en-US"/>
        </w:rPr>
        <w:t>,</w:t>
      </w:r>
      <w:r w:rsidRPr="003171CD">
        <w:rPr>
          <w:lang w:val="en-US"/>
        </w:rPr>
        <w:t xml:space="preserve"> and </w:t>
      </w:r>
      <w:r w:rsidR="00842E92" w:rsidRPr="003171CD">
        <w:rPr>
          <w:lang w:val="en-US"/>
        </w:rPr>
        <w:t>to the State on</w:t>
      </w:r>
      <w:r w:rsidRPr="003171CD">
        <w:rPr>
          <w:lang w:val="en-US"/>
        </w:rPr>
        <w:t xml:space="preserve"> June 30, 2014.</w:t>
      </w:r>
    </w:p>
    <w:p w14:paraId="611BBE13" w14:textId="77777777" w:rsidR="005A65CE" w:rsidRPr="003171CD" w:rsidRDefault="005A65CE" w:rsidP="005A65CE">
      <w:pPr>
        <w:jc w:val="both"/>
        <w:rPr>
          <w:lang w:val="en-US"/>
        </w:rPr>
      </w:pPr>
    </w:p>
    <w:p w14:paraId="0057C422" w14:textId="77777777" w:rsidR="005A65CE" w:rsidRPr="003171CD" w:rsidRDefault="00FB191E" w:rsidP="005A65CE">
      <w:pPr>
        <w:numPr>
          <w:ilvl w:val="0"/>
          <w:numId w:val="1"/>
        </w:numPr>
        <w:jc w:val="both"/>
        <w:rPr>
          <w:lang w:val="en-US"/>
        </w:rPr>
      </w:pPr>
      <w:r w:rsidRPr="003171CD">
        <w:rPr>
          <w:i/>
          <w:lang w:val="en-US"/>
        </w:rPr>
        <w:t>Brief with</w:t>
      </w:r>
      <w:r w:rsidR="005A65CE" w:rsidRPr="003171CD">
        <w:rPr>
          <w:i/>
          <w:lang w:val="en-US"/>
        </w:rPr>
        <w:t xml:space="preserve"> pleadings, motions and evidence. </w:t>
      </w:r>
      <w:r w:rsidR="005A65CE" w:rsidRPr="003171CD">
        <w:rPr>
          <w:lang w:val="en-US"/>
        </w:rPr>
        <w:t xml:space="preserve">On August 7, 2014, the representatives of the alleged victims </w:t>
      </w:r>
      <w:r w:rsidRPr="003171CD">
        <w:rPr>
          <w:lang w:val="en-US"/>
        </w:rPr>
        <w:t xml:space="preserve">submitted </w:t>
      </w:r>
      <w:r w:rsidR="005A65CE" w:rsidRPr="003171CD">
        <w:rPr>
          <w:lang w:val="en-US"/>
        </w:rPr>
        <w:t>the</w:t>
      </w:r>
      <w:r w:rsidRPr="003171CD">
        <w:rPr>
          <w:lang w:val="en-US"/>
        </w:rPr>
        <w:t>ir</w:t>
      </w:r>
      <w:r w:rsidR="005A65CE" w:rsidRPr="003171CD">
        <w:rPr>
          <w:lang w:val="en-US"/>
        </w:rPr>
        <w:t xml:space="preserve"> brief </w:t>
      </w:r>
      <w:r w:rsidRPr="003171CD">
        <w:rPr>
          <w:lang w:val="en-US"/>
        </w:rPr>
        <w:t xml:space="preserve">with </w:t>
      </w:r>
      <w:r w:rsidR="005A65CE" w:rsidRPr="003171CD">
        <w:rPr>
          <w:lang w:val="en-US"/>
        </w:rPr>
        <w:t>pleadings, motions and evidence (hereinafter “pleadings and motions brief”)</w:t>
      </w:r>
      <w:r w:rsidRPr="003171CD">
        <w:rPr>
          <w:lang w:val="en-US"/>
        </w:rPr>
        <w:t xml:space="preserve"> to the Court</w:t>
      </w:r>
      <w:r w:rsidR="005A65CE" w:rsidRPr="003171CD">
        <w:rPr>
          <w:lang w:val="en-US"/>
        </w:rPr>
        <w:t xml:space="preserve">. The representatives </w:t>
      </w:r>
      <w:r w:rsidRPr="003171CD">
        <w:rPr>
          <w:lang w:val="en-US"/>
        </w:rPr>
        <w:t xml:space="preserve">substantially endorsed </w:t>
      </w:r>
      <w:r w:rsidR="005A65CE" w:rsidRPr="003171CD">
        <w:rPr>
          <w:lang w:val="en-US"/>
        </w:rPr>
        <w:t xml:space="preserve">the </w:t>
      </w:r>
      <w:r w:rsidRPr="003171CD">
        <w:rPr>
          <w:lang w:val="en-US"/>
        </w:rPr>
        <w:t xml:space="preserve">Commission’s </w:t>
      </w:r>
      <w:r w:rsidR="005A65CE" w:rsidRPr="003171CD">
        <w:rPr>
          <w:lang w:val="en-US"/>
        </w:rPr>
        <w:t>arguments and asked the Court to declare the international responsibility of the State for the violation of the same articles of the American Convention alleged by the Commission</w:t>
      </w:r>
      <w:r w:rsidRPr="003171CD">
        <w:rPr>
          <w:lang w:val="en-US"/>
        </w:rPr>
        <w:t>.</w:t>
      </w:r>
      <w:r w:rsidR="005A65CE" w:rsidRPr="003171CD">
        <w:rPr>
          <w:lang w:val="en-US"/>
        </w:rPr>
        <w:t xml:space="preserve"> </w:t>
      </w:r>
      <w:r w:rsidRPr="003171CD">
        <w:rPr>
          <w:lang w:val="en-US"/>
        </w:rPr>
        <w:t>I</w:t>
      </w:r>
      <w:r w:rsidR="005A65CE" w:rsidRPr="003171CD">
        <w:rPr>
          <w:lang w:val="en-US"/>
        </w:rPr>
        <w:t xml:space="preserve">n addition, </w:t>
      </w:r>
      <w:r w:rsidRPr="003171CD">
        <w:rPr>
          <w:lang w:val="en-US"/>
        </w:rPr>
        <w:t xml:space="preserve">they alleged </w:t>
      </w:r>
      <w:r w:rsidR="005A65CE" w:rsidRPr="003171CD">
        <w:rPr>
          <w:lang w:val="en-US"/>
        </w:rPr>
        <w:t xml:space="preserve">the violation of Articles 7(1), 7(2), 8(1) and 8(2)(e) of the American Convention. </w:t>
      </w:r>
      <w:r w:rsidRPr="003171CD">
        <w:rPr>
          <w:lang w:val="en-US"/>
        </w:rPr>
        <w:t>Furthermore</w:t>
      </w:r>
      <w:r w:rsidR="005A65CE" w:rsidRPr="003171CD">
        <w:rPr>
          <w:lang w:val="en-US"/>
        </w:rPr>
        <w:t xml:space="preserve">, they </w:t>
      </w:r>
      <w:r w:rsidRPr="003171CD">
        <w:rPr>
          <w:lang w:val="en-US"/>
        </w:rPr>
        <w:t xml:space="preserve">included </w:t>
      </w:r>
      <w:r w:rsidR="005A65CE" w:rsidRPr="003171CD">
        <w:rPr>
          <w:lang w:val="en-US"/>
        </w:rPr>
        <w:t>arguments re</w:t>
      </w:r>
      <w:r w:rsidRPr="003171CD">
        <w:rPr>
          <w:lang w:val="en-US"/>
        </w:rPr>
        <w:t xml:space="preserve">lated to the </w:t>
      </w:r>
      <w:r w:rsidR="005A65CE" w:rsidRPr="003171CD">
        <w:rPr>
          <w:lang w:val="en-US"/>
        </w:rPr>
        <w:t xml:space="preserve">corresponding articles of the American Declaration on the Rights and Duties of Man (hereinafter “the American Declaration”), that is, Articles I, XVIII, XXV and XXVI. Likewise, in their brief, the representatives </w:t>
      </w:r>
      <w:r w:rsidR="0061321E" w:rsidRPr="003171CD">
        <w:rPr>
          <w:lang w:val="en-US"/>
        </w:rPr>
        <w:t xml:space="preserve">linked </w:t>
      </w:r>
      <w:r w:rsidR="005A65CE" w:rsidRPr="003171CD">
        <w:rPr>
          <w:lang w:val="en-US"/>
        </w:rPr>
        <w:t xml:space="preserve">the alleged violation of each substantive right with Articles 1(1) and 2 of the American Convention. Finally, the inter-American defenders requested the use of the Victims’ Legal Assistance Fund of the Inter-American Court (hereinafter the “Assistance Fund of the Court” or the “Fund”) “both for the exercise of the defense in the inter-American proceeding and </w:t>
      </w:r>
      <w:r w:rsidR="000C0102" w:rsidRPr="003171CD">
        <w:rPr>
          <w:lang w:val="en-US"/>
        </w:rPr>
        <w:t>[for</w:t>
      </w:r>
      <w:r w:rsidR="005A65CE" w:rsidRPr="003171CD">
        <w:rPr>
          <w:lang w:val="en-US"/>
        </w:rPr>
        <w:t xml:space="preserve">] all the expenses incurred in any activity </w:t>
      </w:r>
      <w:r w:rsidR="000C0102" w:rsidRPr="003171CD">
        <w:rPr>
          <w:lang w:val="en-US"/>
        </w:rPr>
        <w:t xml:space="preserve">related to </w:t>
      </w:r>
      <w:r w:rsidR="005A65CE" w:rsidRPr="003171CD">
        <w:rPr>
          <w:lang w:val="en-US"/>
        </w:rPr>
        <w:t>it.”</w:t>
      </w:r>
    </w:p>
    <w:p w14:paraId="420C0F0A" w14:textId="77777777" w:rsidR="005A65CE" w:rsidRPr="003171CD" w:rsidRDefault="005A65CE" w:rsidP="005A65CE">
      <w:pPr>
        <w:jc w:val="both"/>
        <w:rPr>
          <w:lang w:val="en-US"/>
        </w:rPr>
      </w:pPr>
    </w:p>
    <w:p w14:paraId="63A9BF6F" w14:textId="77777777" w:rsidR="005A65CE" w:rsidRPr="003171CD" w:rsidRDefault="005A65CE" w:rsidP="005A65CE">
      <w:pPr>
        <w:pStyle w:val="Prrafodelista"/>
        <w:numPr>
          <w:ilvl w:val="0"/>
          <w:numId w:val="1"/>
        </w:numPr>
        <w:jc w:val="both"/>
        <w:rPr>
          <w:lang w:val="en-US"/>
        </w:rPr>
      </w:pPr>
      <w:r w:rsidRPr="003171CD">
        <w:rPr>
          <w:i/>
          <w:lang w:val="en-US"/>
        </w:rPr>
        <w:t>Answering brief</w:t>
      </w:r>
      <w:r w:rsidRPr="003171CD">
        <w:rPr>
          <w:lang w:val="en-US"/>
        </w:rPr>
        <w:t>. On November 18, 2014</w:t>
      </w:r>
      <w:r w:rsidR="008B0B05" w:rsidRPr="003171CD">
        <w:rPr>
          <w:lang w:val="en-US"/>
        </w:rPr>
        <w:t>,</w:t>
      </w:r>
      <w:r w:rsidRPr="003171CD">
        <w:rPr>
          <w:lang w:val="en-US"/>
        </w:rPr>
        <w:t xml:space="preserve"> the State submitted to the Court its </w:t>
      </w:r>
      <w:r w:rsidR="008B0B05" w:rsidRPr="003171CD">
        <w:rPr>
          <w:lang w:val="en-US"/>
        </w:rPr>
        <w:t xml:space="preserve">brief answering </w:t>
      </w:r>
      <w:r w:rsidRPr="003171CD">
        <w:rPr>
          <w:lang w:val="en-US"/>
        </w:rPr>
        <w:t xml:space="preserve">the </w:t>
      </w:r>
      <w:r w:rsidR="008B0B05" w:rsidRPr="003171CD">
        <w:rPr>
          <w:lang w:val="en-US"/>
        </w:rPr>
        <w:t xml:space="preserve">submission of </w:t>
      </w:r>
      <w:r w:rsidRPr="003171CD">
        <w:rPr>
          <w:lang w:val="en-US"/>
        </w:rPr>
        <w:t>the case and its observations to the pleadings and motions brief</w:t>
      </w:r>
      <w:r w:rsidR="008B0B05" w:rsidRPr="003171CD">
        <w:rPr>
          <w:lang w:val="en-US"/>
        </w:rPr>
        <w:t xml:space="preserve"> </w:t>
      </w:r>
      <w:r w:rsidR="008B0B05" w:rsidRPr="003171CD">
        <w:rPr>
          <w:rFonts w:eastAsia="Verdana" w:cs="Verdana"/>
          <w:szCs w:val="20"/>
          <w:lang w:val="en-US" w:eastAsia="es-CR"/>
        </w:rPr>
        <w:t>(hereinafter “answering brief”)</w:t>
      </w:r>
      <w:r w:rsidR="008B0B05" w:rsidRPr="003171CD">
        <w:rPr>
          <w:lang w:val="en-US"/>
        </w:rPr>
        <w:t>. I</w:t>
      </w:r>
      <w:r w:rsidRPr="003171CD">
        <w:rPr>
          <w:lang w:val="en-US"/>
        </w:rPr>
        <w:t xml:space="preserve">n </w:t>
      </w:r>
      <w:r w:rsidR="008B0B05" w:rsidRPr="003171CD">
        <w:rPr>
          <w:lang w:val="en-US"/>
        </w:rPr>
        <w:t xml:space="preserve">its answering brief the State </w:t>
      </w:r>
      <w:r w:rsidRPr="003171CD">
        <w:rPr>
          <w:lang w:val="en-US"/>
        </w:rPr>
        <w:t>acknowledg</w:t>
      </w:r>
      <w:r w:rsidR="009D26AB" w:rsidRPr="003171CD">
        <w:rPr>
          <w:lang w:val="en-US"/>
        </w:rPr>
        <w:t xml:space="preserve">ed its </w:t>
      </w:r>
      <w:r w:rsidRPr="003171CD">
        <w:rPr>
          <w:lang w:val="en-US"/>
        </w:rPr>
        <w:t xml:space="preserve">international responsibility. The State </w:t>
      </w:r>
      <w:r w:rsidR="008B0B05" w:rsidRPr="003171CD">
        <w:rPr>
          <w:lang w:val="en-US"/>
        </w:rPr>
        <w:t xml:space="preserve">appointed </w:t>
      </w:r>
      <w:r w:rsidRPr="003171CD">
        <w:rPr>
          <w:lang w:val="en-US"/>
        </w:rPr>
        <w:t xml:space="preserve">Mrs. Tania Camila Rosa, </w:t>
      </w:r>
      <w:r w:rsidR="008B0B05" w:rsidRPr="003171CD">
        <w:rPr>
          <w:lang w:val="en-US"/>
        </w:rPr>
        <w:t xml:space="preserve">the Foreign Ministry’s </w:t>
      </w:r>
      <w:r w:rsidRPr="003171CD">
        <w:rPr>
          <w:lang w:val="en-US"/>
        </w:rPr>
        <w:t>Director General of Human Rights, and Mr. Sebastián Vaquerano López, Ambassad</w:t>
      </w:r>
      <w:r w:rsidR="008B0B05" w:rsidRPr="003171CD">
        <w:rPr>
          <w:lang w:val="en-US"/>
        </w:rPr>
        <w:t>or of El Salvador in Costa Rica, as its Agents.</w:t>
      </w:r>
    </w:p>
    <w:p w14:paraId="0221F486" w14:textId="77777777" w:rsidR="005A65CE" w:rsidRPr="003171CD" w:rsidRDefault="005A65CE" w:rsidP="005A65CE">
      <w:pPr>
        <w:jc w:val="both"/>
        <w:rPr>
          <w:lang w:val="en-US"/>
        </w:rPr>
      </w:pPr>
    </w:p>
    <w:p w14:paraId="6BAE5B12" w14:textId="77777777" w:rsidR="005A65CE" w:rsidRPr="003171CD" w:rsidRDefault="005A65CE" w:rsidP="005A65CE">
      <w:pPr>
        <w:numPr>
          <w:ilvl w:val="0"/>
          <w:numId w:val="1"/>
        </w:numPr>
        <w:jc w:val="both"/>
        <w:rPr>
          <w:lang w:val="en-US"/>
        </w:rPr>
      </w:pPr>
      <w:r w:rsidRPr="003171CD">
        <w:rPr>
          <w:i/>
          <w:lang w:val="en-US"/>
        </w:rPr>
        <w:t>Observations on the State’s acknowledgment of international responsibility</w:t>
      </w:r>
      <w:r w:rsidRPr="003171CD">
        <w:rPr>
          <w:lang w:val="en-US"/>
        </w:rPr>
        <w:t>. On January 5, 2015, the representatives and the Commission</w:t>
      </w:r>
      <w:r w:rsidR="00DE62A5" w:rsidRPr="003171CD">
        <w:rPr>
          <w:lang w:val="en-US"/>
        </w:rPr>
        <w:t>, respectively,</w:t>
      </w:r>
      <w:r w:rsidRPr="003171CD">
        <w:rPr>
          <w:lang w:val="en-US"/>
        </w:rPr>
        <w:t xml:space="preserve"> </w:t>
      </w:r>
      <w:r w:rsidR="00DE62A5" w:rsidRPr="003171CD">
        <w:rPr>
          <w:lang w:val="en-US"/>
        </w:rPr>
        <w:t xml:space="preserve">presented </w:t>
      </w:r>
      <w:r w:rsidRPr="003171CD">
        <w:rPr>
          <w:lang w:val="en-US"/>
        </w:rPr>
        <w:t xml:space="preserve">their observations </w:t>
      </w:r>
      <w:r w:rsidR="0061321E" w:rsidRPr="003171CD">
        <w:rPr>
          <w:lang w:val="en-US"/>
        </w:rPr>
        <w:t xml:space="preserve">regarding </w:t>
      </w:r>
      <w:r w:rsidRPr="003171CD">
        <w:rPr>
          <w:lang w:val="en-US"/>
        </w:rPr>
        <w:t>the State’s acknowledgment of responsibility.</w:t>
      </w:r>
    </w:p>
    <w:p w14:paraId="1AE8A9B2" w14:textId="77777777" w:rsidR="005A65CE" w:rsidRPr="003171CD" w:rsidRDefault="005A65CE" w:rsidP="005A65CE">
      <w:pPr>
        <w:jc w:val="both"/>
        <w:rPr>
          <w:lang w:val="en-US"/>
        </w:rPr>
      </w:pPr>
    </w:p>
    <w:p w14:paraId="6AC2C849" w14:textId="77777777" w:rsidR="005A65CE" w:rsidRPr="003171CD" w:rsidRDefault="005A65CE" w:rsidP="005A65CE">
      <w:pPr>
        <w:numPr>
          <w:ilvl w:val="0"/>
          <w:numId w:val="1"/>
        </w:numPr>
        <w:jc w:val="both"/>
        <w:rPr>
          <w:lang w:val="en-US"/>
        </w:rPr>
      </w:pPr>
      <w:r w:rsidRPr="003171CD">
        <w:rPr>
          <w:i/>
          <w:lang w:val="en-US"/>
        </w:rPr>
        <w:t>Public hearing.</w:t>
      </w:r>
      <w:r w:rsidRPr="003171CD">
        <w:rPr>
          <w:lang w:val="en-US"/>
        </w:rPr>
        <w:t xml:space="preserve"> </w:t>
      </w:r>
      <w:r w:rsidR="002918FC" w:rsidRPr="003171CD">
        <w:rPr>
          <w:rFonts w:eastAsia="Verdana"/>
          <w:position w:val="-1"/>
          <w:lang w:val="en-US" w:eastAsia="es-CR"/>
        </w:rPr>
        <w:t>In an Order of the President of the Court</w:t>
      </w:r>
      <w:r w:rsidR="0061321E" w:rsidRPr="003171CD">
        <w:rPr>
          <w:rFonts w:eastAsia="Verdana"/>
          <w:position w:val="-1"/>
          <w:lang w:val="en-US" w:eastAsia="es-CR"/>
        </w:rPr>
        <w:t>,</w:t>
      </w:r>
      <w:r w:rsidR="002918FC" w:rsidRPr="003171CD">
        <w:rPr>
          <w:lang w:val="en-US"/>
        </w:rPr>
        <w:t xml:space="preserve"> </w:t>
      </w:r>
      <w:r w:rsidR="0061321E" w:rsidRPr="003171CD">
        <w:rPr>
          <w:lang w:val="en-US"/>
        </w:rPr>
        <w:t xml:space="preserve">dated </w:t>
      </w:r>
      <w:r w:rsidRPr="003171CD">
        <w:rPr>
          <w:lang w:val="en-US"/>
        </w:rPr>
        <w:t>March 11, 2015,</w:t>
      </w:r>
      <w:r w:rsidRPr="003171CD">
        <w:rPr>
          <w:vertAlign w:val="superscript"/>
          <w:lang w:val="en-US"/>
        </w:rPr>
        <w:footnoteReference w:id="6"/>
      </w:r>
      <w:r w:rsidRPr="003171CD">
        <w:rPr>
          <w:lang w:val="en-US"/>
        </w:rPr>
        <w:t xml:space="preserve"> </w:t>
      </w:r>
      <w:r w:rsidR="002918FC" w:rsidRPr="003171CD">
        <w:rPr>
          <w:rFonts w:eastAsia="Verdana"/>
          <w:position w:val="-1"/>
          <w:lang w:val="en-US" w:eastAsia="es-CR"/>
        </w:rPr>
        <w:t xml:space="preserve">the parties </w:t>
      </w:r>
      <w:r w:rsidR="00162F35" w:rsidRPr="003171CD">
        <w:rPr>
          <w:rFonts w:eastAsia="Verdana"/>
          <w:position w:val="-1"/>
          <w:lang w:val="en-US" w:eastAsia="es-CR"/>
        </w:rPr>
        <w:t>and the</w:t>
      </w:r>
      <w:r w:rsidR="002918FC" w:rsidRPr="003171CD">
        <w:rPr>
          <w:rFonts w:eastAsia="Verdana"/>
          <w:position w:val="-1"/>
          <w:lang w:val="en-US" w:eastAsia="es-CR"/>
        </w:rPr>
        <w:t xml:space="preserve"> Inter-American Commission were </w:t>
      </w:r>
      <w:r w:rsidRPr="003171CD">
        <w:rPr>
          <w:lang w:val="en-US"/>
        </w:rPr>
        <w:t xml:space="preserve">summoned to a public hearing to receive </w:t>
      </w:r>
      <w:r w:rsidRPr="003171CD">
        <w:rPr>
          <w:rFonts w:cs="Arial"/>
          <w:lang w:val="en-US"/>
        </w:rPr>
        <w:t>their final oral arguments and observations on the merits and eventual reparations and costs</w:t>
      </w:r>
      <w:r w:rsidR="002918FC" w:rsidRPr="003171CD">
        <w:rPr>
          <w:rFonts w:cs="Arial"/>
          <w:lang w:val="en-US"/>
        </w:rPr>
        <w:t>, respectively, in this case.</w:t>
      </w:r>
      <w:r w:rsidRPr="003171CD">
        <w:rPr>
          <w:rFonts w:cs="Arial"/>
          <w:lang w:val="en-US"/>
        </w:rPr>
        <w:t xml:space="preserve"> </w:t>
      </w:r>
      <w:r w:rsidR="002918FC" w:rsidRPr="003171CD">
        <w:rPr>
          <w:rFonts w:cs="Arial"/>
          <w:lang w:val="en-US"/>
        </w:rPr>
        <w:t xml:space="preserve"> T</w:t>
      </w:r>
      <w:r w:rsidRPr="003171CD">
        <w:rPr>
          <w:lang w:val="en-US"/>
        </w:rPr>
        <w:t xml:space="preserve">he President </w:t>
      </w:r>
      <w:r w:rsidR="002918FC" w:rsidRPr="003171CD">
        <w:rPr>
          <w:lang w:val="en-US"/>
        </w:rPr>
        <w:t xml:space="preserve">also </w:t>
      </w:r>
      <w:r w:rsidRPr="003171CD">
        <w:rPr>
          <w:lang w:val="en-US"/>
        </w:rPr>
        <w:t xml:space="preserve">declared admissible the application </w:t>
      </w:r>
      <w:r w:rsidR="002918FC" w:rsidRPr="003171CD">
        <w:rPr>
          <w:lang w:val="en-US"/>
        </w:rPr>
        <w:t xml:space="preserve">made </w:t>
      </w:r>
      <w:r w:rsidRPr="003171CD">
        <w:rPr>
          <w:lang w:val="en-US"/>
        </w:rPr>
        <w:t xml:space="preserve">to the </w:t>
      </w:r>
      <w:r w:rsidR="002918FC" w:rsidRPr="003171CD">
        <w:rPr>
          <w:lang w:val="en-US"/>
        </w:rPr>
        <w:t>Victim’s Legal</w:t>
      </w:r>
      <w:r w:rsidRPr="003171CD">
        <w:rPr>
          <w:lang w:val="en-US"/>
        </w:rPr>
        <w:t xml:space="preserve"> Assistance Fund to cover the expenses incurred by the inter-American defenders in </w:t>
      </w:r>
      <w:r w:rsidR="002918FC" w:rsidRPr="003171CD">
        <w:rPr>
          <w:lang w:val="en-US"/>
        </w:rPr>
        <w:t xml:space="preserve">representing </w:t>
      </w:r>
      <w:r w:rsidRPr="003171CD">
        <w:rPr>
          <w:lang w:val="en-US"/>
        </w:rPr>
        <w:t xml:space="preserve">the alleged victims. The </w:t>
      </w:r>
      <w:r w:rsidR="002918FC" w:rsidRPr="003171CD">
        <w:rPr>
          <w:lang w:val="en-US"/>
        </w:rPr>
        <w:t xml:space="preserve">public </w:t>
      </w:r>
      <w:r w:rsidRPr="003171CD">
        <w:rPr>
          <w:lang w:val="en-US"/>
        </w:rPr>
        <w:t>hearing took place on April 23, 2015, during the 52</w:t>
      </w:r>
      <w:r w:rsidRPr="003171CD">
        <w:rPr>
          <w:vertAlign w:val="superscript"/>
          <w:lang w:val="en-US"/>
        </w:rPr>
        <w:t>nd</w:t>
      </w:r>
      <w:r w:rsidRPr="003171CD">
        <w:rPr>
          <w:lang w:val="en-US"/>
        </w:rPr>
        <w:t xml:space="preserve"> Special Session</w:t>
      </w:r>
      <w:r w:rsidR="002918FC" w:rsidRPr="003171CD">
        <w:rPr>
          <w:lang w:val="en-US"/>
        </w:rPr>
        <w:t xml:space="preserve"> of the Court</w:t>
      </w:r>
      <w:r w:rsidRPr="003171CD">
        <w:rPr>
          <w:lang w:val="en-US"/>
        </w:rPr>
        <w:t xml:space="preserve"> </w:t>
      </w:r>
      <w:r w:rsidR="002918FC" w:rsidRPr="003171CD">
        <w:rPr>
          <w:lang w:val="en-US"/>
        </w:rPr>
        <w:t xml:space="preserve">held </w:t>
      </w:r>
      <w:r w:rsidRPr="003171CD">
        <w:rPr>
          <w:lang w:val="en-US"/>
        </w:rPr>
        <w:t>in Cartagena, Colombia.</w:t>
      </w:r>
      <w:r w:rsidRPr="003171CD">
        <w:rPr>
          <w:rStyle w:val="Refdenotaalpie"/>
          <w:lang w:val="en-US"/>
        </w:rPr>
        <w:footnoteReference w:id="7"/>
      </w:r>
      <w:r w:rsidRPr="003171CD">
        <w:rPr>
          <w:lang w:val="en-US"/>
        </w:rPr>
        <w:t xml:space="preserve"> During that hearing,</w:t>
      </w:r>
      <w:r w:rsidRPr="003171CD">
        <w:rPr>
          <w:b/>
          <w:sz w:val="16"/>
          <w:szCs w:val="16"/>
          <w:lang w:val="en-US"/>
        </w:rPr>
        <w:t xml:space="preserve"> </w:t>
      </w:r>
      <w:r w:rsidRPr="003171CD">
        <w:rPr>
          <w:lang w:val="en-US"/>
        </w:rPr>
        <w:t>the Court received the statement of the alleged victim</w:t>
      </w:r>
      <w:r w:rsidR="0061321E" w:rsidRPr="003171CD">
        <w:rPr>
          <w:lang w:val="en-US"/>
        </w:rPr>
        <w:t>,</w:t>
      </w:r>
      <w:r w:rsidRPr="003171CD">
        <w:rPr>
          <w:lang w:val="en-US"/>
        </w:rPr>
        <w:t xml:space="preserve"> José Agapito Ruano Torres. </w:t>
      </w:r>
      <w:r w:rsidR="002918FC" w:rsidRPr="003171CD">
        <w:rPr>
          <w:lang w:val="en-US"/>
        </w:rPr>
        <w:t>In addition, t</w:t>
      </w:r>
      <w:r w:rsidRPr="003171CD">
        <w:rPr>
          <w:lang w:val="en-US"/>
        </w:rPr>
        <w:t xml:space="preserve">he Court received the </w:t>
      </w:r>
      <w:r w:rsidR="0061321E" w:rsidRPr="003171CD">
        <w:rPr>
          <w:lang w:val="en-US"/>
        </w:rPr>
        <w:t xml:space="preserve">affidavits </w:t>
      </w:r>
      <w:r w:rsidRPr="003171CD">
        <w:rPr>
          <w:lang w:val="en-US"/>
        </w:rPr>
        <w:t>requested in that Order.</w:t>
      </w:r>
    </w:p>
    <w:p w14:paraId="4D8A8251" w14:textId="77777777" w:rsidR="005A65CE" w:rsidRPr="003171CD" w:rsidRDefault="005A65CE" w:rsidP="005A65CE">
      <w:pPr>
        <w:rPr>
          <w:lang w:val="en-US"/>
        </w:rPr>
      </w:pPr>
    </w:p>
    <w:p w14:paraId="55B6498C" w14:textId="77777777" w:rsidR="005A65CE" w:rsidRPr="003171CD" w:rsidRDefault="005A65CE" w:rsidP="005A65CE">
      <w:pPr>
        <w:numPr>
          <w:ilvl w:val="0"/>
          <w:numId w:val="1"/>
        </w:numPr>
        <w:jc w:val="both"/>
        <w:rPr>
          <w:lang w:val="en-US"/>
        </w:rPr>
      </w:pPr>
      <w:r w:rsidRPr="003171CD">
        <w:rPr>
          <w:i/>
          <w:lang w:val="en-US"/>
        </w:rPr>
        <w:t>Final written arguments and observations</w:t>
      </w:r>
      <w:r w:rsidRPr="003171CD">
        <w:rPr>
          <w:lang w:val="en-US"/>
        </w:rPr>
        <w:t>. On May 21 and 22, 2015, the representatives and the State</w:t>
      </w:r>
      <w:r w:rsidR="006F5D99" w:rsidRPr="003171CD">
        <w:rPr>
          <w:lang w:val="en-US"/>
        </w:rPr>
        <w:t>, respectively,</w:t>
      </w:r>
      <w:r w:rsidRPr="003171CD">
        <w:rPr>
          <w:lang w:val="en-US"/>
        </w:rPr>
        <w:t xml:space="preserve"> forwarded their final written arguments</w:t>
      </w:r>
      <w:r w:rsidR="006F5D99" w:rsidRPr="003171CD">
        <w:rPr>
          <w:lang w:val="en-US"/>
        </w:rPr>
        <w:t>.</w:t>
      </w:r>
      <w:r w:rsidRPr="003171CD">
        <w:rPr>
          <w:lang w:val="en-US"/>
        </w:rPr>
        <w:t xml:space="preserve"> </w:t>
      </w:r>
      <w:r w:rsidR="006F5D99" w:rsidRPr="003171CD">
        <w:rPr>
          <w:lang w:val="en-US"/>
        </w:rPr>
        <w:t>O</w:t>
      </w:r>
      <w:r w:rsidRPr="003171CD">
        <w:rPr>
          <w:lang w:val="en-US"/>
        </w:rPr>
        <w:t>n May 24, 2015, the Commission presented its final written observations.</w:t>
      </w:r>
    </w:p>
    <w:p w14:paraId="4D305DD2" w14:textId="77777777" w:rsidR="005A65CE" w:rsidRPr="003171CD" w:rsidRDefault="005A65CE" w:rsidP="005A65CE">
      <w:pPr>
        <w:pStyle w:val="Prrafodelista"/>
        <w:ind w:left="0"/>
        <w:rPr>
          <w:lang w:val="en-US"/>
        </w:rPr>
      </w:pPr>
    </w:p>
    <w:p w14:paraId="538C1296" w14:textId="77777777" w:rsidR="005A65CE" w:rsidRPr="003171CD" w:rsidRDefault="005A65CE" w:rsidP="005A65CE">
      <w:pPr>
        <w:numPr>
          <w:ilvl w:val="0"/>
          <w:numId w:val="1"/>
        </w:numPr>
        <w:jc w:val="both"/>
        <w:rPr>
          <w:lang w:val="en-US"/>
        </w:rPr>
      </w:pPr>
      <w:bookmarkStart w:id="4" w:name="_Ref313990861"/>
      <w:r w:rsidRPr="003171CD">
        <w:rPr>
          <w:i/>
          <w:lang w:val="en-US"/>
        </w:rPr>
        <w:t xml:space="preserve">Observations of the parties and the Commission. </w:t>
      </w:r>
      <w:r w:rsidRPr="003171CD">
        <w:rPr>
          <w:lang w:val="en-US"/>
        </w:rPr>
        <w:t>The</w:t>
      </w:r>
      <w:r w:rsidRPr="003171CD">
        <w:rPr>
          <w:i/>
          <w:lang w:val="en-US"/>
        </w:rPr>
        <w:t xml:space="preserve"> </w:t>
      </w:r>
      <w:r w:rsidRPr="003171CD">
        <w:rPr>
          <w:lang w:val="en-US"/>
        </w:rPr>
        <w:t xml:space="preserve">President granted the parties and the Commission a period of time to present any observations deemed pertinent to the annexes forwarded by the State with its final written arguments. </w:t>
      </w:r>
      <w:bookmarkStart w:id="5" w:name="_Ref303582878"/>
      <w:bookmarkEnd w:id="4"/>
      <w:r w:rsidRPr="003171CD">
        <w:rPr>
          <w:lang w:val="en-US"/>
        </w:rPr>
        <w:t>On June 22, 2015, the representatives and the Commission forwarded the observations requested.</w:t>
      </w:r>
      <w:bookmarkEnd w:id="5"/>
    </w:p>
    <w:p w14:paraId="3FB1E167" w14:textId="77777777" w:rsidR="005A65CE" w:rsidRPr="003171CD" w:rsidRDefault="005A65CE" w:rsidP="005A65CE">
      <w:pPr>
        <w:tabs>
          <w:tab w:val="left" w:pos="567"/>
          <w:tab w:val="left" w:pos="1134"/>
          <w:tab w:val="num" w:pos="6042"/>
        </w:tabs>
        <w:jc w:val="both"/>
        <w:rPr>
          <w:lang w:val="en-US"/>
        </w:rPr>
      </w:pPr>
    </w:p>
    <w:p w14:paraId="26210F40" w14:textId="77777777" w:rsidR="005A65CE" w:rsidRPr="003171CD" w:rsidRDefault="005A65CE" w:rsidP="005A65CE">
      <w:pPr>
        <w:numPr>
          <w:ilvl w:val="0"/>
          <w:numId w:val="1"/>
        </w:numPr>
        <w:jc w:val="both"/>
        <w:rPr>
          <w:lang w:val="en-US"/>
        </w:rPr>
      </w:pPr>
      <w:r w:rsidRPr="003171CD">
        <w:rPr>
          <w:i/>
          <w:lang w:val="en-US"/>
        </w:rPr>
        <w:t>Disbursements in application of the Victims’ Legal Assistance Fund.</w:t>
      </w:r>
      <w:r w:rsidRPr="003171CD">
        <w:rPr>
          <w:lang w:val="en-US"/>
        </w:rPr>
        <w:t xml:space="preserve"> On June 8, 2015, the Secretariat, following the instructions of the President of the Court, forwarded information to the State regarding the disbursements made in application of the Victims’ Legal Assistance Fund in th</w:t>
      </w:r>
      <w:r w:rsidR="00DA0466" w:rsidRPr="003171CD">
        <w:rPr>
          <w:lang w:val="en-US"/>
        </w:rPr>
        <w:t xml:space="preserve">is </w:t>
      </w:r>
      <w:r w:rsidRPr="003171CD">
        <w:rPr>
          <w:lang w:val="en-US"/>
        </w:rPr>
        <w:t xml:space="preserve">case and, pursuant to Article 5 (f) of the Rules for the Operation of the Fund, granted it a period to present any observations deemed pertinent. The State did not present </w:t>
      </w:r>
      <w:r w:rsidR="00D07D61" w:rsidRPr="003171CD">
        <w:rPr>
          <w:lang w:val="en-US"/>
        </w:rPr>
        <w:t xml:space="preserve">any </w:t>
      </w:r>
      <w:r w:rsidRPr="003171CD">
        <w:rPr>
          <w:lang w:val="en-US"/>
        </w:rPr>
        <w:t xml:space="preserve">observations </w:t>
      </w:r>
      <w:r w:rsidR="00D07D61" w:rsidRPr="003171CD">
        <w:rPr>
          <w:lang w:val="en-US"/>
        </w:rPr>
        <w:t>with</w:t>
      </w:r>
      <w:r w:rsidRPr="003171CD">
        <w:rPr>
          <w:lang w:val="en-US"/>
        </w:rPr>
        <w:t>in the period granted.</w:t>
      </w:r>
    </w:p>
    <w:p w14:paraId="5D52D421" w14:textId="77777777" w:rsidR="005A65CE" w:rsidRPr="003171CD" w:rsidRDefault="005A65CE" w:rsidP="005A65CE">
      <w:pPr>
        <w:tabs>
          <w:tab w:val="left" w:pos="567"/>
          <w:tab w:val="left" w:pos="1134"/>
          <w:tab w:val="num" w:pos="6042"/>
        </w:tabs>
        <w:jc w:val="both"/>
        <w:rPr>
          <w:lang w:val="en-US"/>
        </w:rPr>
      </w:pPr>
    </w:p>
    <w:p w14:paraId="4DA0D393" w14:textId="77777777" w:rsidR="005A65CE" w:rsidRPr="003171CD" w:rsidRDefault="005A65CE" w:rsidP="005A65CE">
      <w:pPr>
        <w:numPr>
          <w:ilvl w:val="0"/>
          <w:numId w:val="1"/>
        </w:numPr>
        <w:jc w:val="both"/>
        <w:rPr>
          <w:lang w:val="en-US"/>
        </w:rPr>
      </w:pPr>
      <w:r w:rsidRPr="003171CD">
        <w:rPr>
          <w:i/>
          <w:lang w:val="en-US"/>
        </w:rPr>
        <w:t>Deliberation</w:t>
      </w:r>
      <w:r w:rsidRPr="003171CD">
        <w:rPr>
          <w:i/>
          <w:iCs/>
          <w:lang w:val="en-US"/>
        </w:rPr>
        <w:t xml:space="preserve"> of the </w:t>
      </w:r>
      <w:r w:rsidR="00E5641F" w:rsidRPr="003171CD">
        <w:rPr>
          <w:i/>
          <w:iCs/>
          <w:lang w:val="en-US"/>
        </w:rPr>
        <w:t xml:space="preserve">case. </w:t>
      </w:r>
      <w:r w:rsidR="00E5641F" w:rsidRPr="003171CD">
        <w:rPr>
          <w:lang w:val="en-US"/>
        </w:rPr>
        <w:t>The Court began deliberation of this J</w:t>
      </w:r>
      <w:r w:rsidRPr="003171CD">
        <w:rPr>
          <w:lang w:val="en-US"/>
        </w:rPr>
        <w:t>udgment on September 30, 2015.</w:t>
      </w:r>
    </w:p>
    <w:p w14:paraId="2DE18339" w14:textId="77777777" w:rsidR="005A65CE" w:rsidRPr="003171CD" w:rsidRDefault="005A65CE" w:rsidP="005A65CE">
      <w:pPr>
        <w:pStyle w:val="Prrafodelista"/>
        <w:ind w:left="0"/>
        <w:rPr>
          <w:lang w:val="en-US"/>
        </w:rPr>
      </w:pPr>
    </w:p>
    <w:p w14:paraId="3F73ECDC"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6" w:name="_Toc425869835"/>
    </w:p>
    <w:p w14:paraId="5D5294E1"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p>
    <w:p w14:paraId="4426573A"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7" w:name="_Toc45186690"/>
      <w:r w:rsidRPr="003171CD">
        <w:rPr>
          <w:rFonts w:eastAsia="Times New Roman" w:cs="Arial"/>
          <w:b/>
          <w:bCs/>
          <w:caps/>
          <w:snapToGrid/>
          <w:lang w:val="en-US" w:eastAsia="en-US"/>
        </w:rPr>
        <w:t>III</w:t>
      </w:r>
      <w:r w:rsidRPr="003171CD">
        <w:rPr>
          <w:rFonts w:eastAsia="Times New Roman" w:cs="Arial"/>
          <w:b/>
          <w:bCs/>
          <w:caps/>
          <w:snapToGrid/>
          <w:lang w:val="en-US" w:eastAsia="en-US"/>
        </w:rPr>
        <w:br/>
        <w:t>JURISDICTION</w:t>
      </w:r>
      <w:bookmarkEnd w:id="7"/>
      <w:r w:rsidRPr="003171CD">
        <w:rPr>
          <w:rFonts w:eastAsia="Times New Roman" w:cs="Arial"/>
          <w:b/>
          <w:bCs/>
          <w:caps/>
          <w:snapToGrid/>
          <w:lang w:val="en-US" w:eastAsia="en-US"/>
        </w:rPr>
        <w:t xml:space="preserve"> </w:t>
      </w:r>
      <w:bookmarkEnd w:id="6"/>
    </w:p>
    <w:p w14:paraId="0DED1D98" w14:textId="77777777" w:rsidR="005A65CE" w:rsidRPr="003171CD" w:rsidRDefault="005A65CE" w:rsidP="005A65CE">
      <w:pPr>
        <w:rPr>
          <w:lang w:val="en-US"/>
        </w:rPr>
      </w:pPr>
    </w:p>
    <w:p w14:paraId="5C951BAC" w14:textId="77777777" w:rsidR="005A65CE" w:rsidRPr="003171CD" w:rsidRDefault="005A65CE" w:rsidP="005A65CE">
      <w:pPr>
        <w:numPr>
          <w:ilvl w:val="0"/>
          <w:numId w:val="1"/>
        </w:numPr>
        <w:jc w:val="both"/>
        <w:rPr>
          <w:lang w:val="en-US"/>
        </w:rPr>
      </w:pPr>
      <w:r w:rsidRPr="003171CD">
        <w:rPr>
          <w:lang w:val="en-US"/>
        </w:rPr>
        <w:t xml:space="preserve">The Inter-American Court </w:t>
      </w:r>
      <w:r w:rsidR="00D07D61" w:rsidRPr="003171CD">
        <w:rPr>
          <w:lang w:val="en-US"/>
        </w:rPr>
        <w:t>has jurisdiction to hear this case</w:t>
      </w:r>
      <w:r w:rsidRPr="003171CD">
        <w:rPr>
          <w:lang w:val="en-US"/>
        </w:rPr>
        <w:t xml:space="preserve"> pursuant to Article 62(3) of the Convention, given that E</w:t>
      </w:r>
      <w:r w:rsidR="00D07D61" w:rsidRPr="003171CD">
        <w:rPr>
          <w:lang w:val="en-US"/>
        </w:rPr>
        <w:t>l Salvador ha</w:t>
      </w:r>
      <w:r w:rsidRPr="003171CD">
        <w:rPr>
          <w:lang w:val="en-US"/>
        </w:rPr>
        <w:t xml:space="preserve">s </w:t>
      </w:r>
      <w:r w:rsidR="00D07D61" w:rsidRPr="003171CD">
        <w:rPr>
          <w:lang w:val="en-US"/>
        </w:rPr>
        <w:t xml:space="preserve">been </w:t>
      </w:r>
      <w:r w:rsidRPr="003171CD">
        <w:rPr>
          <w:lang w:val="en-US"/>
        </w:rPr>
        <w:t xml:space="preserve">a State Party to the American Convention since June 23, 1978, and </w:t>
      </w:r>
      <w:r w:rsidR="00D07D61" w:rsidRPr="003171CD">
        <w:rPr>
          <w:lang w:val="en-US"/>
        </w:rPr>
        <w:t xml:space="preserve">accepted </w:t>
      </w:r>
      <w:r w:rsidRPr="003171CD">
        <w:rPr>
          <w:lang w:val="en-US"/>
        </w:rPr>
        <w:t>the Court’s contentious jurisdiction on June 6, 1995.</w:t>
      </w:r>
    </w:p>
    <w:p w14:paraId="5F536BF3" w14:textId="77777777" w:rsidR="005A65CE" w:rsidRPr="003171CD" w:rsidRDefault="005A65CE" w:rsidP="005A65CE">
      <w:pPr>
        <w:rPr>
          <w:lang w:val="en-US"/>
        </w:rPr>
      </w:pPr>
    </w:p>
    <w:p w14:paraId="1E613AA5"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8" w:name="_Toc425869836"/>
      <w:bookmarkStart w:id="9" w:name="_Toc45186691"/>
      <w:r w:rsidRPr="003171CD">
        <w:rPr>
          <w:rFonts w:eastAsia="Times New Roman" w:cs="Arial"/>
          <w:b/>
          <w:bCs/>
          <w:caps/>
          <w:snapToGrid/>
          <w:lang w:val="en-US" w:eastAsia="en-US"/>
        </w:rPr>
        <w:t>IV</w:t>
      </w:r>
      <w:r w:rsidRPr="003171CD">
        <w:rPr>
          <w:rFonts w:eastAsia="Times New Roman" w:cs="Arial"/>
          <w:b/>
          <w:bCs/>
          <w:caps/>
          <w:snapToGrid/>
          <w:lang w:val="en-US" w:eastAsia="en-US"/>
        </w:rPr>
        <w:br/>
        <w:t>ACKNOWLEDGMENT OF INTERNATIONAL RESPONSIBILITY</w:t>
      </w:r>
      <w:bookmarkEnd w:id="8"/>
      <w:bookmarkEnd w:id="9"/>
    </w:p>
    <w:p w14:paraId="13139EF7" w14:textId="77777777" w:rsidR="005A65CE" w:rsidRPr="003171CD" w:rsidRDefault="005A65CE" w:rsidP="005A65CE">
      <w:pPr>
        <w:rPr>
          <w:lang w:val="en-US"/>
        </w:rPr>
      </w:pPr>
    </w:p>
    <w:p w14:paraId="72C62718" w14:textId="77777777" w:rsidR="005A65CE" w:rsidRPr="003171CD" w:rsidRDefault="005A65CE" w:rsidP="005A65CE">
      <w:pPr>
        <w:ind w:left="708"/>
        <w:jc w:val="both"/>
        <w:rPr>
          <w:i/>
          <w:lang w:val="en-US"/>
        </w:rPr>
      </w:pPr>
      <w:r w:rsidRPr="003171CD">
        <w:rPr>
          <w:i/>
          <w:lang w:val="en-US"/>
        </w:rPr>
        <w:t>A</w:t>
      </w:r>
      <w:r w:rsidR="003A75D8" w:rsidRPr="003171CD">
        <w:rPr>
          <w:i/>
          <w:lang w:val="en-US"/>
        </w:rPr>
        <w:t xml:space="preserve">cquiescence of </w:t>
      </w:r>
      <w:r w:rsidRPr="003171CD">
        <w:rPr>
          <w:i/>
          <w:lang w:val="en-US"/>
        </w:rPr>
        <w:t>the State and observations of the Commission and the representatives</w:t>
      </w:r>
    </w:p>
    <w:p w14:paraId="36D6BADB" w14:textId="77777777" w:rsidR="005A65CE" w:rsidRPr="003171CD" w:rsidRDefault="005A65CE" w:rsidP="005A65CE">
      <w:pPr>
        <w:jc w:val="both"/>
        <w:rPr>
          <w:lang w:val="en-US"/>
        </w:rPr>
      </w:pPr>
    </w:p>
    <w:p w14:paraId="66CB3634" w14:textId="77777777" w:rsidR="005A65CE" w:rsidRPr="003171CD" w:rsidRDefault="005A65CE" w:rsidP="005A65CE">
      <w:pPr>
        <w:pStyle w:val="Prrafodelista"/>
        <w:numPr>
          <w:ilvl w:val="0"/>
          <w:numId w:val="1"/>
        </w:numPr>
        <w:jc w:val="both"/>
        <w:rPr>
          <w:lang w:val="en-US"/>
        </w:rPr>
      </w:pPr>
      <w:r w:rsidRPr="003171CD">
        <w:rPr>
          <w:szCs w:val="20"/>
          <w:lang w:val="en-US"/>
        </w:rPr>
        <w:lastRenderedPageBreak/>
        <w:t xml:space="preserve">The </w:t>
      </w:r>
      <w:r w:rsidRPr="003171CD">
        <w:rPr>
          <w:b/>
          <w:i/>
          <w:szCs w:val="20"/>
          <w:lang w:val="en-US"/>
        </w:rPr>
        <w:t>State</w:t>
      </w:r>
      <w:r w:rsidRPr="003171CD">
        <w:rPr>
          <w:szCs w:val="20"/>
          <w:lang w:val="en-US"/>
        </w:rPr>
        <w:t xml:space="preserve"> declared before the Inter-American Cour</w:t>
      </w:r>
      <w:r w:rsidR="00AA486A" w:rsidRPr="003171CD">
        <w:rPr>
          <w:szCs w:val="20"/>
          <w:lang w:val="en-US"/>
        </w:rPr>
        <w:t>t that, pursuant to Articles 41(</w:t>
      </w:r>
      <w:r w:rsidRPr="003171CD">
        <w:rPr>
          <w:szCs w:val="20"/>
          <w:lang w:val="en-US"/>
        </w:rPr>
        <w:t>1</w:t>
      </w:r>
      <w:r w:rsidR="00AA486A" w:rsidRPr="003171CD">
        <w:rPr>
          <w:szCs w:val="20"/>
          <w:lang w:val="en-US"/>
        </w:rPr>
        <w:t>)(</w:t>
      </w:r>
      <w:r w:rsidRPr="003171CD">
        <w:rPr>
          <w:szCs w:val="20"/>
          <w:lang w:val="en-US"/>
        </w:rPr>
        <w:t>a) a</w:t>
      </w:r>
      <w:r w:rsidR="00AA486A" w:rsidRPr="003171CD">
        <w:rPr>
          <w:szCs w:val="20"/>
          <w:lang w:val="en-US"/>
        </w:rPr>
        <w:t>nd 62 of the Rules of the Court, it</w:t>
      </w:r>
      <w:r w:rsidRPr="003171CD">
        <w:rPr>
          <w:szCs w:val="20"/>
          <w:lang w:val="en-US"/>
        </w:rPr>
        <w:t xml:space="preserve"> “recogniz[ed] and accept[ed] the facts alleged by the Commi</w:t>
      </w:r>
      <w:r w:rsidR="00AA486A" w:rsidRPr="003171CD">
        <w:rPr>
          <w:szCs w:val="20"/>
          <w:lang w:val="en-US"/>
        </w:rPr>
        <w:t>ssion […] in Merits R</w:t>
      </w:r>
      <w:r w:rsidRPr="003171CD">
        <w:rPr>
          <w:szCs w:val="20"/>
          <w:lang w:val="en-US"/>
        </w:rPr>
        <w:t>eport No. 82/13</w:t>
      </w:r>
      <w:r w:rsidR="00AA486A" w:rsidRPr="003171CD">
        <w:rPr>
          <w:szCs w:val="20"/>
          <w:lang w:val="en-US"/>
        </w:rPr>
        <w:t>,”</w:t>
      </w:r>
      <w:r w:rsidRPr="003171CD">
        <w:rPr>
          <w:szCs w:val="20"/>
          <w:lang w:val="en-US"/>
        </w:rPr>
        <w:t xml:space="preserve"> particularly</w:t>
      </w:r>
      <w:r w:rsidRPr="003171CD">
        <w:rPr>
          <w:lang w:val="en-US"/>
        </w:rPr>
        <w:t xml:space="preserve"> the facts </w:t>
      </w:r>
      <w:r w:rsidR="00AA486A" w:rsidRPr="003171CD">
        <w:rPr>
          <w:lang w:val="en-US"/>
        </w:rPr>
        <w:t xml:space="preserve">described </w:t>
      </w:r>
      <w:r w:rsidRPr="003171CD">
        <w:rPr>
          <w:lang w:val="en-US"/>
        </w:rPr>
        <w:t xml:space="preserve">in “Chapter IV, </w:t>
      </w:r>
      <w:r w:rsidR="00AA486A" w:rsidRPr="003171CD">
        <w:rPr>
          <w:lang w:val="en-US"/>
        </w:rPr>
        <w:t xml:space="preserve">which </w:t>
      </w:r>
      <w:r w:rsidRPr="003171CD">
        <w:rPr>
          <w:lang w:val="en-US"/>
        </w:rPr>
        <w:t>the Commission considers prove</w:t>
      </w:r>
      <w:r w:rsidR="003A75D8" w:rsidRPr="003171CD">
        <w:rPr>
          <w:lang w:val="en-US"/>
        </w:rPr>
        <w:t>n</w:t>
      </w:r>
      <w:r w:rsidR="00AA486A" w:rsidRPr="003171CD">
        <w:rPr>
          <w:lang w:val="en-US"/>
        </w:rPr>
        <w:t>, including</w:t>
      </w:r>
      <w:r w:rsidRPr="003171CD">
        <w:rPr>
          <w:lang w:val="en-US"/>
        </w:rPr>
        <w:t xml:space="preserve"> the circumstances in which the identification and detention of Mr. José Agapito Ruano Torres was conducted, as well as the criminal proce</w:t>
      </w:r>
      <w:r w:rsidR="00AA486A" w:rsidRPr="003171CD">
        <w:rPr>
          <w:lang w:val="en-US"/>
        </w:rPr>
        <w:t xml:space="preserve">edings </w:t>
      </w:r>
      <w:r w:rsidRPr="003171CD">
        <w:rPr>
          <w:lang w:val="en-US"/>
        </w:rPr>
        <w:t>followed against him for the crime of kidnapping</w:t>
      </w:r>
      <w:r w:rsidR="00AA486A" w:rsidRPr="003171CD">
        <w:rPr>
          <w:lang w:val="en-US"/>
        </w:rPr>
        <w:t>.”</w:t>
      </w:r>
      <w:r w:rsidRPr="003171CD">
        <w:rPr>
          <w:lang w:val="en-US"/>
        </w:rPr>
        <w:t xml:space="preserve"> </w:t>
      </w:r>
      <w:r w:rsidR="00AA486A" w:rsidRPr="003171CD">
        <w:rPr>
          <w:lang w:val="en-US"/>
        </w:rPr>
        <w:t xml:space="preserve">Regarding </w:t>
      </w:r>
      <w:r w:rsidRPr="003171CD">
        <w:rPr>
          <w:lang w:val="en-US"/>
        </w:rPr>
        <w:t xml:space="preserve">the facts described in the pleadings and motions </w:t>
      </w:r>
      <w:r w:rsidR="00AA486A" w:rsidRPr="003171CD">
        <w:rPr>
          <w:lang w:val="en-US"/>
        </w:rPr>
        <w:t xml:space="preserve">brief </w:t>
      </w:r>
      <w:r w:rsidRPr="003171CD">
        <w:rPr>
          <w:lang w:val="en-US"/>
        </w:rPr>
        <w:t xml:space="preserve">of the representatives, the State considered that these were “within the factual framework established in the presentation of the case by the Commission </w:t>
      </w:r>
      <w:r w:rsidRPr="003171CD">
        <w:rPr>
          <w:szCs w:val="20"/>
          <w:lang w:val="en-US"/>
        </w:rPr>
        <w:t xml:space="preserve">[…] and </w:t>
      </w:r>
      <w:r w:rsidR="00AA486A" w:rsidRPr="003171CD">
        <w:rPr>
          <w:lang w:val="en-US"/>
        </w:rPr>
        <w:t>contained in Section IV of the Merits R</w:t>
      </w:r>
      <w:r w:rsidRPr="003171CD">
        <w:rPr>
          <w:lang w:val="en-US"/>
        </w:rPr>
        <w:t xml:space="preserve">eport.” During the public hearing, the State recognized and accepted the </w:t>
      </w:r>
      <w:r w:rsidR="002F5D7E" w:rsidRPr="003171CD">
        <w:rPr>
          <w:lang w:val="en-US"/>
        </w:rPr>
        <w:t xml:space="preserve">alleged </w:t>
      </w:r>
      <w:r w:rsidRPr="003171CD">
        <w:rPr>
          <w:lang w:val="en-US"/>
        </w:rPr>
        <w:t xml:space="preserve">facts and </w:t>
      </w:r>
      <w:r w:rsidR="00FB3AB5" w:rsidRPr="003171CD">
        <w:rPr>
          <w:lang w:val="en-US"/>
        </w:rPr>
        <w:t xml:space="preserve">confirmed </w:t>
      </w:r>
      <w:r w:rsidRPr="003171CD">
        <w:rPr>
          <w:lang w:val="en-US"/>
        </w:rPr>
        <w:t xml:space="preserve">its acknowledgment of responsibility </w:t>
      </w:r>
      <w:r w:rsidR="001507B8" w:rsidRPr="003171CD">
        <w:rPr>
          <w:lang w:val="en-US"/>
        </w:rPr>
        <w:t xml:space="preserve">for </w:t>
      </w:r>
      <w:r w:rsidR="003A75D8" w:rsidRPr="003171CD">
        <w:rPr>
          <w:lang w:val="en-US"/>
        </w:rPr>
        <w:t xml:space="preserve">the facts </w:t>
      </w:r>
      <w:r w:rsidRPr="003171CD">
        <w:rPr>
          <w:lang w:val="en-US"/>
        </w:rPr>
        <w:t>described and considered p</w:t>
      </w:r>
      <w:r w:rsidR="00CD65F8" w:rsidRPr="003171CD">
        <w:rPr>
          <w:lang w:val="en-US"/>
        </w:rPr>
        <w:t>roven by the Commission in its Merits R</w:t>
      </w:r>
      <w:r w:rsidRPr="003171CD">
        <w:rPr>
          <w:lang w:val="en-US"/>
        </w:rPr>
        <w:t>eport</w:t>
      </w:r>
      <w:r w:rsidR="00CD65F8" w:rsidRPr="003171CD">
        <w:rPr>
          <w:lang w:val="en-US"/>
        </w:rPr>
        <w:t>.</w:t>
      </w:r>
      <w:r w:rsidRPr="003171CD">
        <w:rPr>
          <w:lang w:val="en-US"/>
        </w:rPr>
        <w:t xml:space="preserve"> </w:t>
      </w:r>
      <w:r w:rsidR="00CD65F8" w:rsidRPr="003171CD">
        <w:rPr>
          <w:lang w:val="en-US"/>
        </w:rPr>
        <w:t xml:space="preserve">It </w:t>
      </w:r>
      <w:r w:rsidR="00FB3AB5" w:rsidRPr="003171CD">
        <w:rPr>
          <w:lang w:val="en-US"/>
        </w:rPr>
        <w:t xml:space="preserve">also specified </w:t>
      </w:r>
      <w:r w:rsidR="003A75D8" w:rsidRPr="003171CD">
        <w:rPr>
          <w:lang w:val="en-US"/>
        </w:rPr>
        <w:t>t</w:t>
      </w:r>
      <w:r w:rsidRPr="003171CD">
        <w:rPr>
          <w:lang w:val="en-US"/>
        </w:rPr>
        <w:t xml:space="preserve">hat </w:t>
      </w:r>
      <w:r w:rsidR="003A75D8" w:rsidRPr="003171CD">
        <w:rPr>
          <w:lang w:val="en-US"/>
        </w:rPr>
        <w:t xml:space="preserve">its acquiescence </w:t>
      </w:r>
      <w:r w:rsidRPr="003171CD">
        <w:rPr>
          <w:lang w:val="en-US"/>
        </w:rPr>
        <w:t>included the circumstances in which</w:t>
      </w:r>
      <w:r w:rsidR="00FB3AB5" w:rsidRPr="003171CD">
        <w:rPr>
          <w:lang w:val="en-US"/>
        </w:rPr>
        <w:t xml:space="preserve"> Mr. José Agapito Ruano Torres’ </w:t>
      </w:r>
      <w:r w:rsidRPr="003171CD">
        <w:rPr>
          <w:lang w:val="en-US"/>
        </w:rPr>
        <w:t xml:space="preserve">identification </w:t>
      </w:r>
      <w:r w:rsidR="00FB3AB5" w:rsidRPr="003171CD">
        <w:rPr>
          <w:lang w:val="en-US"/>
        </w:rPr>
        <w:t xml:space="preserve">took place </w:t>
      </w:r>
      <w:r w:rsidRPr="003171CD">
        <w:rPr>
          <w:lang w:val="en-US"/>
        </w:rPr>
        <w:t xml:space="preserve">and </w:t>
      </w:r>
      <w:r w:rsidR="00FB3AB5" w:rsidRPr="003171CD">
        <w:rPr>
          <w:lang w:val="en-US"/>
        </w:rPr>
        <w:t xml:space="preserve">his </w:t>
      </w:r>
      <w:r w:rsidRPr="003171CD">
        <w:rPr>
          <w:lang w:val="en-US"/>
        </w:rPr>
        <w:t xml:space="preserve">arrest in </w:t>
      </w:r>
      <w:r w:rsidR="003A75D8" w:rsidRPr="003171CD">
        <w:rPr>
          <w:lang w:val="en-US"/>
        </w:rPr>
        <w:t xml:space="preserve">the </w:t>
      </w:r>
      <w:r w:rsidRPr="003171CD">
        <w:rPr>
          <w:lang w:val="en-US"/>
        </w:rPr>
        <w:t xml:space="preserve">early hours of October 17, 2000, as a </w:t>
      </w:r>
      <w:r w:rsidR="00FB3AB5" w:rsidRPr="003171CD">
        <w:rPr>
          <w:lang w:val="en-US"/>
        </w:rPr>
        <w:t xml:space="preserve">result </w:t>
      </w:r>
      <w:r w:rsidRPr="003171CD">
        <w:rPr>
          <w:lang w:val="en-US"/>
        </w:rPr>
        <w:t xml:space="preserve">of which Mr. Ruano Torres’ personal integrity was </w:t>
      </w:r>
      <w:r w:rsidR="00FB3AB5" w:rsidRPr="003171CD">
        <w:rPr>
          <w:lang w:val="en-US"/>
        </w:rPr>
        <w:t>violated</w:t>
      </w:r>
      <w:r w:rsidRPr="003171CD">
        <w:rPr>
          <w:lang w:val="en-US"/>
        </w:rPr>
        <w:t>. The State also acknowledged the irregularities observed during the criminal proceeding</w:t>
      </w:r>
      <w:r w:rsidR="00FB3AB5" w:rsidRPr="003171CD">
        <w:rPr>
          <w:lang w:val="en-US"/>
        </w:rPr>
        <w:t>s</w:t>
      </w:r>
      <w:r w:rsidRPr="003171CD">
        <w:rPr>
          <w:lang w:val="en-US"/>
        </w:rPr>
        <w:t xml:space="preserve"> </w:t>
      </w:r>
      <w:r w:rsidR="00FB3AB5" w:rsidRPr="003171CD">
        <w:rPr>
          <w:lang w:val="en-US"/>
        </w:rPr>
        <w:t xml:space="preserve">followed </w:t>
      </w:r>
      <w:r w:rsidRPr="003171CD">
        <w:rPr>
          <w:lang w:val="en-US"/>
        </w:rPr>
        <w:t>against Mr. José Agapito Ruano Torres for the crime of kidnapping</w:t>
      </w:r>
      <w:r w:rsidR="00FB3AB5" w:rsidRPr="003171CD">
        <w:rPr>
          <w:lang w:val="en-US"/>
        </w:rPr>
        <w:t>,</w:t>
      </w:r>
      <w:r w:rsidRPr="003171CD">
        <w:rPr>
          <w:lang w:val="en-US"/>
        </w:rPr>
        <w:t xml:space="preserve"> especially those related to the deficient </w:t>
      </w:r>
      <w:r w:rsidR="00FB3AB5" w:rsidRPr="003171CD">
        <w:rPr>
          <w:lang w:val="en-US"/>
        </w:rPr>
        <w:t xml:space="preserve">performance </w:t>
      </w:r>
      <w:r w:rsidRPr="003171CD">
        <w:rPr>
          <w:lang w:val="en-US"/>
        </w:rPr>
        <w:t>of the public defen</w:t>
      </w:r>
      <w:r w:rsidR="00FB3AB5" w:rsidRPr="003171CD">
        <w:rPr>
          <w:lang w:val="en-US"/>
        </w:rPr>
        <w:t xml:space="preserve">ders </w:t>
      </w:r>
      <w:r w:rsidRPr="003171CD">
        <w:rPr>
          <w:lang w:val="en-US"/>
        </w:rPr>
        <w:t xml:space="preserve">in this case. The State admitted </w:t>
      </w:r>
      <w:r w:rsidR="000634C2" w:rsidRPr="003171CD">
        <w:rPr>
          <w:lang w:val="en-US"/>
        </w:rPr>
        <w:t>that</w:t>
      </w:r>
      <w:r w:rsidRPr="003171CD">
        <w:rPr>
          <w:lang w:val="en-US"/>
        </w:rPr>
        <w:t xml:space="preserve"> due process </w:t>
      </w:r>
      <w:r w:rsidR="000634C2" w:rsidRPr="003171CD">
        <w:rPr>
          <w:lang w:val="en-US"/>
        </w:rPr>
        <w:t xml:space="preserve">guarantees, including the right to judicial protection, were not observed in this case, </w:t>
      </w:r>
      <w:r w:rsidRPr="003171CD">
        <w:rPr>
          <w:lang w:val="en-US"/>
        </w:rPr>
        <w:t>to th</w:t>
      </w:r>
      <w:r w:rsidR="000634C2" w:rsidRPr="003171CD">
        <w:rPr>
          <w:lang w:val="en-US"/>
        </w:rPr>
        <w:t>e detriment of Mr. Ruano Torres</w:t>
      </w:r>
      <w:r w:rsidRPr="003171CD">
        <w:rPr>
          <w:lang w:val="en-US"/>
        </w:rPr>
        <w:t xml:space="preserve">. The State </w:t>
      </w:r>
      <w:r w:rsidR="000634C2" w:rsidRPr="003171CD">
        <w:rPr>
          <w:lang w:val="en-US"/>
        </w:rPr>
        <w:t xml:space="preserve">further acknowledged </w:t>
      </w:r>
      <w:r w:rsidRPr="003171CD">
        <w:rPr>
          <w:lang w:val="en-US"/>
        </w:rPr>
        <w:t xml:space="preserve">that these circumstances, together with the </w:t>
      </w:r>
      <w:r w:rsidR="003A75D8" w:rsidRPr="003171CD">
        <w:rPr>
          <w:lang w:val="en-US"/>
        </w:rPr>
        <w:t xml:space="preserve">imprisonment of </w:t>
      </w:r>
      <w:r w:rsidRPr="003171CD">
        <w:rPr>
          <w:lang w:val="en-US"/>
        </w:rPr>
        <w:t xml:space="preserve">the </w:t>
      </w:r>
      <w:r w:rsidR="000634C2" w:rsidRPr="003171CD">
        <w:rPr>
          <w:lang w:val="en-US"/>
        </w:rPr>
        <w:t xml:space="preserve">alleged </w:t>
      </w:r>
      <w:r w:rsidRPr="003171CD">
        <w:rPr>
          <w:lang w:val="en-US"/>
        </w:rPr>
        <w:t xml:space="preserve">victim </w:t>
      </w:r>
      <w:r w:rsidR="000634C2" w:rsidRPr="003171CD">
        <w:rPr>
          <w:lang w:val="en-US"/>
        </w:rPr>
        <w:t xml:space="preserve">for </w:t>
      </w:r>
      <w:r w:rsidRPr="003171CD">
        <w:rPr>
          <w:lang w:val="en-US"/>
        </w:rPr>
        <w:t xml:space="preserve">13 years, had an impact on his wife and children, who suffered the absence of Mr. Ruano Torres. </w:t>
      </w:r>
      <w:r w:rsidR="000634C2" w:rsidRPr="003171CD">
        <w:rPr>
          <w:lang w:val="en-US"/>
        </w:rPr>
        <w:t>T</w:t>
      </w:r>
      <w:r w:rsidRPr="003171CD">
        <w:rPr>
          <w:lang w:val="en-US"/>
        </w:rPr>
        <w:t xml:space="preserve">he State </w:t>
      </w:r>
      <w:r w:rsidR="000634C2" w:rsidRPr="003171CD">
        <w:rPr>
          <w:lang w:val="en-US"/>
        </w:rPr>
        <w:t xml:space="preserve">also </w:t>
      </w:r>
      <w:r w:rsidRPr="003171CD">
        <w:rPr>
          <w:lang w:val="en-US"/>
        </w:rPr>
        <w:t xml:space="preserve">referred to </w:t>
      </w:r>
      <w:r w:rsidR="00C03CAC" w:rsidRPr="003171CD">
        <w:rPr>
          <w:lang w:val="en-US"/>
        </w:rPr>
        <w:t>the testimony given by the petitioner and cousin of the alleged victim,</w:t>
      </w:r>
      <w:r w:rsidRPr="003171CD">
        <w:rPr>
          <w:lang w:val="en-US"/>
        </w:rPr>
        <w:t xml:space="preserve"> Mr. Pedro Torres Hércules</w:t>
      </w:r>
      <w:r w:rsidR="00C03CAC" w:rsidRPr="003171CD">
        <w:rPr>
          <w:lang w:val="en-US"/>
        </w:rPr>
        <w:t>,</w:t>
      </w:r>
      <w:r w:rsidRPr="003171CD">
        <w:rPr>
          <w:lang w:val="en-US"/>
        </w:rPr>
        <w:t xml:space="preserve"> who, according to the State’s representatives, “personifies </w:t>
      </w:r>
      <w:r w:rsidR="00C03CAC" w:rsidRPr="003171CD">
        <w:rPr>
          <w:lang w:val="en-US"/>
        </w:rPr>
        <w:t xml:space="preserve">the </w:t>
      </w:r>
      <w:r w:rsidRPr="003171CD">
        <w:rPr>
          <w:lang w:val="en-US"/>
        </w:rPr>
        <w:t xml:space="preserve">essence </w:t>
      </w:r>
      <w:r w:rsidR="00C03CAC" w:rsidRPr="003171CD">
        <w:rPr>
          <w:lang w:val="en-US"/>
        </w:rPr>
        <w:t xml:space="preserve">of </w:t>
      </w:r>
      <w:r w:rsidRPr="003171CD">
        <w:rPr>
          <w:lang w:val="en-US"/>
        </w:rPr>
        <w:t xml:space="preserve">a defender of human rights.” The State recalled that Mr. Pedro Torres Hércules </w:t>
      </w:r>
      <w:r w:rsidR="007D391E" w:rsidRPr="003171CD">
        <w:rPr>
          <w:lang w:val="en-US"/>
        </w:rPr>
        <w:t xml:space="preserve">prepared </w:t>
      </w:r>
      <w:r w:rsidR="00AC0CC5" w:rsidRPr="003171CD">
        <w:rPr>
          <w:lang w:val="en-US"/>
        </w:rPr>
        <w:t xml:space="preserve">and </w:t>
      </w:r>
      <w:r w:rsidRPr="003171CD">
        <w:rPr>
          <w:lang w:val="en-US"/>
        </w:rPr>
        <w:t>presented each of the arguments in the case, which was first heard by the Commission an</w:t>
      </w:r>
      <w:r w:rsidR="00F501B4" w:rsidRPr="003171CD">
        <w:rPr>
          <w:lang w:val="en-US"/>
        </w:rPr>
        <w:t>d then by the Court, before the legal representation was assumed by inter-American Public D</w:t>
      </w:r>
      <w:r w:rsidRPr="003171CD">
        <w:rPr>
          <w:lang w:val="en-US"/>
        </w:rPr>
        <w:t xml:space="preserve">efenders. </w:t>
      </w:r>
      <w:r w:rsidR="007E3336" w:rsidRPr="003171CD">
        <w:rPr>
          <w:lang w:val="en-US"/>
        </w:rPr>
        <w:t>I</w:t>
      </w:r>
      <w:r w:rsidRPr="003171CD">
        <w:rPr>
          <w:lang w:val="en-US"/>
        </w:rPr>
        <w:t>n addition to confirming it</w:t>
      </w:r>
      <w:r w:rsidR="007E3336" w:rsidRPr="003171CD">
        <w:rPr>
          <w:lang w:val="en-US"/>
        </w:rPr>
        <w:t>s</w:t>
      </w:r>
      <w:r w:rsidRPr="003171CD">
        <w:rPr>
          <w:lang w:val="en-US"/>
        </w:rPr>
        <w:t xml:space="preserve"> acknowledgement an</w:t>
      </w:r>
      <w:r w:rsidR="007E3336" w:rsidRPr="003171CD">
        <w:rPr>
          <w:lang w:val="en-US"/>
        </w:rPr>
        <w:t>d</w:t>
      </w:r>
      <w:r w:rsidRPr="003171CD">
        <w:rPr>
          <w:lang w:val="en-US"/>
        </w:rPr>
        <w:t xml:space="preserve"> acceptance of the facts alleged by the Commission, </w:t>
      </w:r>
      <w:r w:rsidR="007E3336" w:rsidRPr="003171CD">
        <w:rPr>
          <w:lang w:val="en-US"/>
        </w:rPr>
        <w:t>in its final arguments the State</w:t>
      </w:r>
      <w:r w:rsidR="00A80CD0" w:rsidRPr="003171CD">
        <w:rPr>
          <w:lang w:val="en-US"/>
        </w:rPr>
        <w:t xml:space="preserve">, in </w:t>
      </w:r>
      <w:r w:rsidRPr="003171CD">
        <w:rPr>
          <w:lang w:val="en-US"/>
        </w:rPr>
        <w:t>present</w:t>
      </w:r>
      <w:r w:rsidR="00A80CD0" w:rsidRPr="003171CD">
        <w:rPr>
          <w:lang w:val="en-US"/>
        </w:rPr>
        <w:t xml:space="preserve">ing </w:t>
      </w:r>
      <w:r w:rsidRPr="003171CD">
        <w:rPr>
          <w:lang w:val="en-US"/>
        </w:rPr>
        <w:t xml:space="preserve">its observations on the statements and expert opinions provided by affidavit, explained </w:t>
      </w:r>
      <w:r w:rsidR="00A80CD0" w:rsidRPr="003171CD">
        <w:rPr>
          <w:lang w:val="en-US"/>
        </w:rPr>
        <w:t xml:space="preserve">its </w:t>
      </w:r>
      <w:r w:rsidRPr="003171CD">
        <w:rPr>
          <w:lang w:val="en-US"/>
        </w:rPr>
        <w:t xml:space="preserve">understanding of certain facts </w:t>
      </w:r>
      <w:r w:rsidR="00A80CD0" w:rsidRPr="003171CD">
        <w:rPr>
          <w:lang w:val="en-US"/>
        </w:rPr>
        <w:t xml:space="preserve">based on </w:t>
      </w:r>
      <w:r w:rsidRPr="003171CD">
        <w:rPr>
          <w:lang w:val="en-US"/>
        </w:rPr>
        <w:t xml:space="preserve">the position </w:t>
      </w:r>
      <w:r w:rsidR="003A75D8" w:rsidRPr="003171CD">
        <w:rPr>
          <w:lang w:val="en-US"/>
        </w:rPr>
        <w:t xml:space="preserve">adopted by </w:t>
      </w:r>
      <w:r w:rsidRPr="003171CD">
        <w:rPr>
          <w:lang w:val="en-US"/>
        </w:rPr>
        <w:t>the Office of the Attorney General of the Republic (</w:t>
      </w:r>
      <w:r w:rsidRPr="003171CD">
        <w:rPr>
          <w:i/>
          <w:lang w:val="en-US"/>
        </w:rPr>
        <w:t xml:space="preserve">infra </w:t>
      </w:r>
      <w:r w:rsidRPr="003171CD">
        <w:rPr>
          <w:lang w:val="en-US"/>
        </w:rPr>
        <w:t>para. 23).</w:t>
      </w:r>
    </w:p>
    <w:p w14:paraId="1CEB5025" w14:textId="77777777" w:rsidR="005A65CE" w:rsidRPr="003171CD" w:rsidRDefault="005A65CE" w:rsidP="005A65CE">
      <w:pPr>
        <w:pStyle w:val="Prrafodelista"/>
        <w:ind w:left="0"/>
        <w:jc w:val="both"/>
        <w:rPr>
          <w:lang w:val="en-US"/>
        </w:rPr>
      </w:pPr>
    </w:p>
    <w:p w14:paraId="0A6E5A76" w14:textId="77777777" w:rsidR="005A65CE" w:rsidRPr="003171CD" w:rsidRDefault="005A65CE" w:rsidP="005A65CE">
      <w:pPr>
        <w:numPr>
          <w:ilvl w:val="0"/>
          <w:numId w:val="1"/>
        </w:numPr>
        <w:jc w:val="both"/>
        <w:rPr>
          <w:lang w:val="en-US"/>
        </w:rPr>
      </w:pPr>
      <w:r w:rsidRPr="003171CD">
        <w:rPr>
          <w:lang w:val="en-US"/>
        </w:rPr>
        <w:t xml:space="preserve">With regard to the </w:t>
      </w:r>
      <w:r w:rsidR="00A80CD0" w:rsidRPr="003171CD">
        <w:rPr>
          <w:rFonts w:cs="Calibri"/>
          <w:color w:val="000000"/>
          <w:lang w:val="en-US"/>
        </w:rPr>
        <w:t>violation</w:t>
      </w:r>
      <w:r w:rsidRPr="003171CD">
        <w:rPr>
          <w:rFonts w:cs="Calibri"/>
          <w:color w:val="000000"/>
          <w:lang w:val="en-US"/>
        </w:rPr>
        <w:t xml:space="preserve"> of rights </w:t>
      </w:r>
      <w:r w:rsidR="00A80CD0" w:rsidRPr="003171CD">
        <w:rPr>
          <w:rFonts w:cs="Calibri"/>
          <w:color w:val="000000"/>
          <w:lang w:val="en-US"/>
        </w:rPr>
        <w:t xml:space="preserve">alleged </w:t>
      </w:r>
      <w:r w:rsidRPr="003171CD">
        <w:rPr>
          <w:rFonts w:cs="Calibri"/>
          <w:color w:val="000000"/>
          <w:lang w:val="en-US"/>
        </w:rPr>
        <w:t>in the Commission</w:t>
      </w:r>
      <w:r w:rsidR="00A80CD0" w:rsidRPr="003171CD">
        <w:rPr>
          <w:rFonts w:cs="Calibri"/>
          <w:color w:val="000000"/>
          <w:lang w:val="en-US"/>
        </w:rPr>
        <w:t>’s report</w:t>
      </w:r>
      <w:r w:rsidRPr="003171CD">
        <w:rPr>
          <w:rFonts w:cs="Calibri"/>
          <w:color w:val="000000"/>
          <w:lang w:val="en-US"/>
        </w:rPr>
        <w:t xml:space="preserve"> and the brief of the representatives</w:t>
      </w:r>
      <w:r w:rsidRPr="003171CD">
        <w:rPr>
          <w:lang w:val="en-US"/>
        </w:rPr>
        <w:t xml:space="preserve">, </w:t>
      </w:r>
      <w:r w:rsidRPr="003171CD">
        <w:rPr>
          <w:rFonts w:cs="Calibri"/>
          <w:color w:val="000000"/>
          <w:lang w:val="en-US"/>
        </w:rPr>
        <w:t xml:space="preserve">the State did not refer </w:t>
      </w:r>
      <w:r w:rsidR="003A75D8" w:rsidRPr="003171CD">
        <w:rPr>
          <w:rFonts w:cs="Calibri"/>
          <w:color w:val="000000"/>
          <w:lang w:val="en-US"/>
        </w:rPr>
        <w:t xml:space="preserve">to these </w:t>
      </w:r>
      <w:r w:rsidRPr="003171CD">
        <w:rPr>
          <w:rFonts w:cs="Calibri"/>
          <w:color w:val="000000"/>
          <w:lang w:val="en-US"/>
        </w:rPr>
        <w:t>explicitly in its answer.</w:t>
      </w:r>
      <w:r w:rsidRPr="003171CD">
        <w:rPr>
          <w:lang w:val="en-US"/>
        </w:rPr>
        <w:t xml:space="preserve"> However, during the public hearing it said it recognized its responsibility for the “human rights violations” described and p</w:t>
      </w:r>
      <w:r w:rsidR="00A80CD0" w:rsidRPr="003171CD">
        <w:rPr>
          <w:lang w:val="en-US"/>
        </w:rPr>
        <w:t>roven by the Commission in its Merits R</w:t>
      </w:r>
      <w:r w:rsidRPr="003171CD">
        <w:rPr>
          <w:lang w:val="en-US"/>
        </w:rPr>
        <w:t xml:space="preserve">eport. In its final arguments, the State </w:t>
      </w:r>
      <w:r w:rsidR="00750F20" w:rsidRPr="003171CD">
        <w:rPr>
          <w:lang w:val="en-US"/>
        </w:rPr>
        <w:t xml:space="preserve">also </w:t>
      </w:r>
      <w:r w:rsidRPr="003171CD">
        <w:rPr>
          <w:lang w:val="en-US"/>
        </w:rPr>
        <w:t>recognized “the concl</w:t>
      </w:r>
      <w:r w:rsidR="00A80CD0" w:rsidRPr="003171CD">
        <w:rPr>
          <w:lang w:val="en-US"/>
        </w:rPr>
        <w:t xml:space="preserve">usions </w:t>
      </w:r>
      <w:r w:rsidR="00750F20" w:rsidRPr="003171CD">
        <w:rPr>
          <w:lang w:val="en-US"/>
        </w:rPr>
        <w:t xml:space="preserve">reached </w:t>
      </w:r>
      <w:r w:rsidR="00A80CD0" w:rsidRPr="003171CD">
        <w:rPr>
          <w:lang w:val="en-US"/>
        </w:rPr>
        <w:t xml:space="preserve">in the </w:t>
      </w:r>
      <w:r w:rsidR="00750F20" w:rsidRPr="003171CD">
        <w:rPr>
          <w:lang w:val="en-US"/>
        </w:rPr>
        <w:t xml:space="preserve">Commission’s </w:t>
      </w:r>
      <w:r w:rsidR="00A80CD0" w:rsidRPr="003171CD">
        <w:rPr>
          <w:lang w:val="en-US"/>
        </w:rPr>
        <w:t>Merits R</w:t>
      </w:r>
      <w:r w:rsidRPr="003171CD">
        <w:rPr>
          <w:lang w:val="en-US"/>
        </w:rPr>
        <w:t xml:space="preserve">eport </w:t>
      </w:r>
      <w:r w:rsidR="00750F20" w:rsidRPr="003171CD">
        <w:rPr>
          <w:lang w:val="en-US"/>
        </w:rPr>
        <w:t xml:space="preserve">regarding </w:t>
      </w:r>
      <w:r w:rsidRPr="003171CD">
        <w:rPr>
          <w:lang w:val="en-US"/>
        </w:rPr>
        <w:t xml:space="preserve">the violations </w:t>
      </w:r>
      <w:r w:rsidR="00750F20" w:rsidRPr="003171CD">
        <w:rPr>
          <w:lang w:val="en-US"/>
        </w:rPr>
        <w:t xml:space="preserve">committed </w:t>
      </w:r>
      <w:r w:rsidRPr="003171CD">
        <w:rPr>
          <w:lang w:val="en-US"/>
        </w:rPr>
        <w:t>to the detriment of Mr. José Agapito Ruano Torres and his family.”</w:t>
      </w:r>
    </w:p>
    <w:p w14:paraId="46910B20" w14:textId="77777777" w:rsidR="005A65CE" w:rsidRPr="003171CD" w:rsidRDefault="005A65CE" w:rsidP="005A65CE">
      <w:pPr>
        <w:rPr>
          <w:lang w:val="en-US"/>
        </w:rPr>
      </w:pPr>
    </w:p>
    <w:p w14:paraId="4564B58C" w14:textId="77777777" w:rsidR="005A65CE" w:rsidRPr="003171CD" w:rsidRDefault="00750F20" w:rsidP="005A65CE">
      <w:pPr>
        <w:numPr>
          <w:ilvl w:val="0"/>
          <w:numId w:val="1"/>
        </w:numPr>
        <w:jc w:val="both"/>
        <w:rPr>
          <w:b/>
          <w:sz w:val="16"/>
          <w:szCs w:val="16"/>
          <w:lang w:val="en-US"/>
        </w:rPr>
      </w:pPr>
      <w:r w:rsidRPr="003171CD">
        <w:rPr>
          <w:lang w:val="en-US"/>
        </w:rPr>
        <w:t xml:space="preserve">As to </w:t>
      </w:r>
      <w:r w:rsidR="005A65CE" w:rsidRPr="003171CD">
        <w:rPr>
          <w:lang w:val="en-US"/>
        </w:rPr>
        <w:t>the reparations, the State described the actions i</w:t>
      </w:r>
      <w:r w:rsidRPr="003171CD">
        <w:rPr>
          <w:lang w:val="en-US"/>
        </w:rPr>
        <w:t xml:space="preserve">mplemented in </w:t>
      </w:r>
      <w:r w:rsidR="00E73DD6" w:rsidRPr="003171CD">
        <w:rPr>
          <w:lang w:val="en-US"/>
        </w:rPr>
        <w:t xml:space="preserve">response </w:t>
      </w:r>
      <w:r w:rsidRPr="003171CD">
        <w:rPr>
          <w:lang w:val="en-US"/>
        </w:rPr>
        <w:t>to the Commission’s Merits Report</w:t>
      </w:r>
      <w:r w:rsidR="005A65CE" w:rsidRPr="003171CD">
        <w:rPr>
          <w:lang w:val="en-US"/>
        </w:rPr>
        <w:t xml:space="preserve">. </w:t>
      </w:r>
      <w:r w:rsidR="003A75D8" w:rsidRPr="003171CD">
        <w:rPr>
          <w:lang w:val="en-US"/>
        </w:rPr>
        <w:t xml:space="preserve">It </w:t>
      </w:r>
      <w:r w:rsidR="005A65CE" w:rsidRPr="003171CD">
        <w:rPr>
          <w:lang w:val="en-US"/>
        </w:rPr>
        <w:t xml:space="preserve">pointed out that the Second Trial Court of San Salvador had </w:t>
      </w:r>
      <w:r w:rsidR="00E73DD6" w:rsidRPr="003171CD">
        <w:rPr>
          <w:lang w:val="en-US"/>
        </w:rPr>
        <w:t xml:space="preserve">convened </w:t>
      </w:r>
      <w:r w:rsidR="005A65CE" w:rsidRPr="003171CD">
        <w:rPr>
          <w:lang w:val="en-US"/>
        </w:rPr>
        <w:t>a special hearing to review the final judgment on September 2, 2014</w:t>
      </w:r>
      <w:r w:rsidR="00E73DD6" w:rsidRPr="003171CD">
        <w:rPr>
          <w:lang w:val="en-US"/>
        </w:rPr>
        <w:t>,</w:t>
      </w:r>
      <w:r w:rsidR="005A65CE" w:rsidRPr="003171CD">
        <w:rPr>
          <w:lang w:val="en-US"/>
        </w:rPr>
        <w:t xml:space="preserve"> and had decided to </w:t>
      </w:r>
      <w:r w:rsidR="000037C0" w:rsidRPr="003171CD">
        <w:rPr>
          <w:lang w:val="en-US"/>
        </w:rPr>
        <w:t xml:space="preserve">uphold </w:t>
      </w:r>
      <w:r w:rsidR="005A65CE" w:rsidRPr="003171CD">
        <w:rPr>
          <w:lang w:val="en-US"/>
        </w:rPr>
        <w:t>the conviction. The State indica</w:t>
      </w:r>
      <w:r w:rsidR="000037C0" w:rsidRPr="003171CD">
        <w:rPr>
          <w:lang w:val="en-US"/>
        </w:rPr>
        <w:t xml:space="preserve">ted that it understood that </w:t>
      </w:r>
      <w:r w:rsidR="005A65CE" w:rsidRPr="003171CD">
        <w:rPr>
          <w:lang w:val="en-US"/>
        </w:rPr>
        <w:t>reparation</w:t>
      </w:r>
      <w:r w:rsidR="000037C0" w:rsidRPr="003171CD">
        <w:rPr>
          <w:lang w:val="en-US"/>
        </w:rPr>
        <w:t>s</w:t>
      </w:r>
      <w:r w:rsidR="005A65CE" w:rsidRPr="003171CD">
        <w:rPr>
          <w:lang w:val="en-US"/>
        </w:rPr>
        <w:t xml:space="preserve"> </w:t>
      </w:r>
      <w:r w:rsidR="006319FE" w:rsidRPr="003171CD">
        <w:rPr>
          <w:lang w:val="en-US"/>
        </w:rPr>
        <w:t xml:space="preserve">had value </w:t>
      </w:r>
      <w:r w:rsidR="000037C0" w:rsidRPr="003171CD">
        <w:rPr>
          <w:lang w:val="en-US"/>
        </w:rPr>
        <w:t xml:space="preserve">in terms of the progress achieved in implementing </w:t>
      </w:r>
      <w:r w:rsidR="005A65CE" w:rsidRPr="003171CD">
        <w:rPr>
          <w:lang w:val="en-US"/>
        </w:rPr>
        <w:t>the recommendations</w:t>
      </w:r>
      <w:r w:rsidR="000037C0" w:rsidRPr="003171CD">
        <w:rPr>
          <w:lang w:val="en-US"/>
        </w:rPr>
        <w:t>.</w:t>
      </w:r>
      <w:r w:rsidR="005A65CE" w:rsidRPr="003171CD">
        <w:rPr>
          <w:lang w:val="en-US"/>
        </w:rPr>
        <w:t xml:space="preserve"> </w:t>
      </w:r>
      <w:r w:rsidR="000037C0" w:rsidRPr="003171CD">
        <w:rPr>
          <w:lang w:val="en-US"/>
        </w:rPr>
        <w:t>However, it argued that</w:t>
      </w:r>
      <w:r w:rsidR="005A65CE" w:rsidRPr="003171CD">
        <w:rPr>
          <w:lang w:val="en-US"/>
        </w:rPr>
        <w:t xml:space="preserve"> given the complexity </w:t>
      </w:r>
      <w:r w:rsidR="000037C0" w:rsidRPr="003171CD">
        <w:rPr>
          <w:lang w:val="en-US"/>
        </w:rPr>
        <w:t xml:space="preserve">involved in </w:t>
      </w:r>
      <w:r w:rsidR="005A65CE" w:rsidRPr="003171CD">
        <w:rPr>
          <w:lang w:val="en-US"/>
        </w:rPr>
        <w:t xml:space="preserve">observing the legal norms and procedures established in El Salvador’s domestic law, </w:t>
      </w:r>
      <w:r w:rsidR="000037C0" w:rsidRPr="003171CD">
        <w:rPr>
          <w:lang w:val="en-US"/>
        </w:rPr>
        <w:t xml:space="preserve">any advances </w:t>
      </w:r>
      <w:r w:rsidR="005A65CE" w:rsidRPr="003171CD">
        <w:rPr>
          <w:lang w:val="en-US"/>
        </w:rPr>
        <w:t xml:space="preserve">in the implementation </w:t>
      </w:r>
      <w:r w:rsidR="006319FE" w:rsidRPr="003171CD">
        <w:rPr>
          <w:lang w:val="en-US"/>
        </w:rPr>
        <w:t>of th</w:t>
      </w:r>
      <w:r w:rsidR="000037C0" w:rsidRPr="003171CD">
        <w:rPr>
          <w:lang w:val="en-US"/>
        </w:rPr>
        <w:t>os</w:t>
      </w:r>
      <w:r w:rsidR="006319FE" w:rsidRPr="003171CD">
        <w:rPr>
          <w:lang w:val="en-US"/>
        </w:rPr>
        <w:t xml:space="preserve">e </w:t>
      </w:r>
      <w:r w:rsidR="005A65CE" w:rsidRPr="003171CD">
        <w:rPr>
          <w:lang w:val="en-US"/>
        </w:rPr>
        <w:t xml:space="preserve">recommendations were subject to that </w:t>
      </w:r>
      <w:r w:rsidR="000037C0" w:rsidRPr="003171CD">
        <w:rPr>
          <w:lang w:val="en-US"/>
        </w:rPr>
        <w:t>consideration</w:t>
      </w:r>
      <w:r w:rsidR="005A65CE" w:rsidRPr="003171CD">
        <w:rPr>
          <w:lang w:val="en-US"/>
        </w:rPr>
        <w:t xml:space="preserve">. </w:t>
      </w:r>
      <w:r w:rsidR="000037C0" w:rsidRPr="003171CD">
        <w:rPr>
          <w:lang w:val="en-US"/>
        </w:rPr>
        <w:t>Nevertheless, t</w:t>
      </w:r>
      <w:r w:rsidR="005A65CE" w:rsidRPr="003171CD">
        <w:rPr>
          <w:lang w:val="en-US"/>
        </w:rPr>
        <w:t xml:space="preserve">he State reiterated its willingness to find the means necessary to comply with </w:t>
      </w:r>
      <w:r w:rsidR="00025AAE" w:rsidRPr="003171CD">
        <w:rPr>
          <w:lang w:val="en-US"/>
        </w:rPr>
        <w:t xml:space="preserve">the </w:t>
      </w:r>
      <w:r w:rsidR="005A65CE" w:rsidRPr="003171CD">
        <w:rPr>
          <w:lang w:val="en-US"/>
        </w:rPr>
        <w:t>reparations ordered in this case. The State did not comment explicitly on the measures of reparation requested in th</w:t>
      </w:r>
      <w:r w:rsidR="00025AAE" w:rsidRPr="003171CD">
        <w:rPr>
          <w:lang w:val="en-US"/>
        </w:rPr>
        <w:t>e representatives’ pleadings and motions brief.</w:t>
      </w:r>
      <w:r w:rsidR="005A65CE" w:rsidRPr="003171CD">
        <w:rPr>
          <w:lang w:val="en-US"/>
        </w:rPr>
        <w:t xml:space="preserve"> However, during the public hearing, the State asked Mr. Ruano Torres how the State could help to </w:t>
      </w:r>
      <w:r w:rsidR="00025AAE" w:rsidRPr="003171CD">
        <w:rPr>
          <w:lang w:val="en-US"/>
        </w:rPr>
        <w:t>rebuild the fabric of his</w:t>
      </w:r>
      <w:r w:rsidR="005A65CE" w:rsidRPr="003171CD">
        <w:rPr>
          <w:lang w:val="en-US"/>
        </w:rPr>
        <w:t xml:space="preserve"> family</w:t>
      </w:r>
      <w:r w:rsidR="00377A8B" w:rsidRPr="003171CD">
        <w:rPr>
          <w:lang w:val="en-US"/>
        </w:rPr>
        <w:t>,</w:t>
      </w:r>
      <w:r w:rsidR="005A65CE" w:rsidRPr="003171CD">
        <w:rPr>
          <w:lang w:val="en-US"/>
        </w:rPr>
        <w:t xml:space="preserve"> which was separated during the 13 years that he was deprived of his liberty. The State recognized that the damage </w:t>
      </w:r>
      <w:r w:rsidR="00025AAE" w:rsidRPr="003171CD">
        <w:rPr>
          <w:lang w:val="en-US"/>
        </w:rPr>
        <w:t xml:space="preserve">caused </w:t>
      </w:r>
      <w:r w:rsidR="005A65CE" w:rsidRPr="003171CD">
        <w:rPr>
          <w:lang w:val="en-US"/>
        </w:rPr>
        <w:t xml:space="preserve">to the victim was irreparable and </w:t>
      </w:r>
      <w:r w:rsidR="00025AAE" w:rsidRPr="003171CD">
        <w:rPr>
          <w:lang w:val="en-US"/>
        </w:rPr>
        <w:t>offered to provide support to alleviate the pain</w:t>
      </w:r>
      <w:r w:rsidR="005A65CE" w:rsidRPr="003171CD">
        <w:rPr>
          <w:lang w:val="en-US"/>
        </w:rPr>
        <w:t xml:space="preserve"> </w:t>
      </w:r>
      <w:r w:rsidR="003A75D8" w:rsidRPr="003171CD">
        <w:rPr>
          <w:lang w:val="en-US"/>
        </w:rPr>
        <w:t xml:space="preserve">through </w:t>
      </w:r>
      <w:r w:rsidR="005A65CE" w:rsidRPr="003171CD">
        <w:rPr>
          <w:lang w:val="en-US"/>
        </w:rPr>
        <w:t xml:space="preserve">a </w:t>
      </w:r>
      <w:r w:rsidR="00025AAE" w:rsidRPr="003171CD">
        <w:rPr>
          <w:lang w:val="en-US"/>
        </w:rPr>
        <w:t>psychosocial assistance program, referring also</w:t>
      </w:r>
      <w:r w:rsidR="005A65CE" w:rsidRPr="003171CD">
        <w:rPr>
          <w:lang w:val="en-US"/>
        </w:rPr>
        <w:t xml:space="preserve"> to </w:t>
      </w:r>
      <w:r w:rsidR="00025AAE" w:rsidRPr="003171CD">
        <w:rPr>
          <w:lang w:val="en-US"/>
        </w:rPr>
        <w:t xml:space="preserve">other </w:t>
      </w:r>
      <w:r w:rsidR="005A65CE" w:rsidRPr="003171CD">
        <w:rPr>
          <w:lang w:val="en-US"/>
        </w:rPr>
        <w:t xml:space="preserve">specific measures that </w:t>
      </w:r>
      <w:r w:rsidR="00025AAE" w:rsidRPr="003171CD">
        <w:rPr>
          <w:lang w:val="en-US"/>
        </w:rPr>
        <w:t>could be implemented</w:t>
      </w:r>
      <w:r w:rsidR="005A65CE" w:rsidRPr="003171CD">
        <w:rPr>
          <w:lang w:val="en-US"/>
        </w:rPr>
        <w:t>. In its final written arguments, the State confirmed its “</w:t>
      </w:r>
      <w:r w:rsidR="006319FE" w:rsidRPr="003171CD">
        <w:rPr>
          <w:lang w:val="en-US"/>
        </w:rPr>
        <w:t xml:space="preserve">firm </w:t>
      </w:r>
      <w:r w:rsidR="00025AAE" w:rsidRPr="003171CD">
        <w:rPr>
          <w:lang w:val="en-US"/>
        </w:rPr>
        <w:t xml:space="preserve">intention </w:t>
      </w:r>
      <w:r w:rsidR="005A65CE" w:rsidRPr="003171CD">
        <w:rPr>
          <w:lang w:val="en-US"/>
        </w:rPr>
        <w:t xml:space="preserve">to promote </w:t>
      </w:r>
      <w:r w:rsidR="00025AAE" w:rsidRPr="003171CD">
        <w:rPr>
          <w:lang w:val="en-US"/>
        </w:rPr>
        <w:t xml:space="preserve">the </w:t>
      </w:r>
      <w:r w:rsidR="005A65CE" w:rsidRPr="003171CD">
        <w:rPr>
          <w:lang w:val="en-US"/>
        </w:rPr>
        <w:t>measures of reparation requested by the representatives” and acknowle</w:t>
      </w:r>
      <w:r w:rsidR="006319FE" w:rsidRPr="003171CD">
        <w:rPr>
          <w:lang w:val="en-US"/>
        </w:rPr>
        <w:t>d</w:t>
      </w:r>
      <w:r w:rsidR="005A65CE" w:rsidRPr="003171CD">
        <w:rPr>
          <w:lang w:val="en-US"/>
        </w:rPr>
        <w:t xml:space="preserve">ged its obligation to pay </w:t>
      </w:r>
      <w:r w:rsidR="005A65CE" w:rsidRPr="003171CD">
        <w:rPr>
          <w:lang w:val="en-US"/>
        </w:rPr>
        <w:lastRenderedPageBreak/>
        <w:t xml:space="preserve">the costs and expenses once </w:t>
      </w:r>
      <w:r w:rsidR="00DE1E45" w:rsidRPr="003171CD">
        <w:rPr>
          <w:lang w:val="en-US"/>
        </w:rPr>
        <w:t xml:space="preserve">these had been </w:t>
      </w:r>
      <w:r w:rsidR="005A65CE" w:rsidRPr="003171CD">
        <w:rPr>
          <w:lang w:val="en-US"/>
        </w:rPr>
        <w:t>established and its international responsibility for the facts of this case</w:t>
      </w:r>
      <w:r w:rsidR="00DE1E45" w:rsidRPr="003171CD">
        <w:rPr>
          <w:lang w:val="en-US"/>
        </w:rPr>
        <w:t xml:space="preserve"> had been declared</w:t>
      </w:r>
      <w:r w:rsidR="005A65CE" w:rsidRPr="003171CD">
        <w:rPr>
          <w:lang w:val="en-US"/>
        </w:rPr>
        <w:t>.</w:t>
      </w:r>
    </w:p>
    <w:p w14:paraId="43959D6B" w14:textId="77777777" w:rsidR="005A65CE" w:rsidRPr="003171CD" w:rsidRDefault="005A65CE" w:rsidP="005A65CE">
      <w:pPr>
        <w:pStyle w:val="Prrafodelista"/>
        <w:ind w:left="0"/>
        <w:jc w:val="both"/>
        <w:rPr>
          <w:szCs w:val="20"/>
          <w:lang w:val="en-US"/>
        </w:rPr>
      </w:pPr>
    </w:p>
    <w:p w14:paraId="5DC4D861" w14:textId="77777777" w:rsidR="005A65CE" w:rsidRPr="003171CD" w:rsidRDefault="005A65CE" w:rsidP="005A65CE">
      <w:pPr>
        <w:numPr>
          <w:ilvl w:val="0"/>
          <w:numId w:val="1"/>
        </w:numPr>
        <w:jc w:val="both"/>
        <w:rPr>
          <w:lang w:val="en-US"/>
        </w:rPr>
      </w:pPr>
      <w:r w:rsidRPr="003171CD">
        <w:rPr>
          <w:lang w:val="en-US"/>
        </w:rPr>
        <w:t xml:space="preserve">The </w:t>
      </w:r>
      <w:r w:rsidRPr="003171CD">
        <w:rPr>
          <w:b/>
          <w:i/>
          <w:lang w:val="en-US"/>
        </w:rPr>
        <w:t>Commission</w:t>
      </w:r>
      <w:r w:rsidR="003A75D8" w:rsidRPr="003171CD">
        <w:rPr>
          <w:lang w:val="en-US"/>
        </w:rPr>
        <w:t xml:space="preserve"> welcomed </w:t>
      </w:r>
      <w:r w:rsidRPr="003171CD">
        <w:rPr>
          <w:lang w:val="en-US"/>
        </w:rPr>
        <w:t xml:space="preserve">the State’s acknowledgment of responsibility, </w:t>
      </w:r>
      <w:r w:rsidR="00DE1E45" w:rsidRPr="003171CD">
        <w:rPr>
          <w:lang w:val="en-US"/>
        </w:rPr>
        <w:t xml:space="preserve">considering it </w:t>
      </w:r>
      <w:r w:rsidRPr="003171CD">
        <w:rPr>
          <w:lang w:val="en-US"/>
        </w:rPr>
        <w:t>a positive contribution to the proce</w:t>
      </w:r>
      <w:r w:rsidR="00DE1E45" w:rsidRPr="003171CD">
        <w:rPr>
          <w:lang w:val="en-US"/>
        </w:rPr>
        <w:t xml:space="preserve">edings </w:t>
      </w:r>
      <w:r w:rsidRPr="003171CD">
        <w:rPr>
          <w:lang w:val="en-US"/>
        </w:rPr>
        <w:t xml:space="preserve">and to the </w:t>
      </w:r>
      <w:r w:rsidR="006319FE" w:rsidRPr="003171CD">
        <w:rPr>
          <w:lang w:val="en-US"/>
        </w:rPr>
        <w:t xml:space="preserve">effective exercise </w:t>
      </w:r>
      <w:r w:rsidRPr="003171CD">
        <w:rPr>
          <w:lang w:val="en-US"/>
        </w:rPr>
        <w:t xml:space="preserve">of </w:t>
      </w:r>
      <w:r w:rsidR="00A725A5" w:rsidRPr="003171CD">
        <w:rPr>
          <w:lang w:val="en-US"/>
        </w:rPr>
        <w:t xml:space="preserve">the </w:t>
      </w:r>
      <w:r w:rsidRPr="003171CD">
        <w:rPr>
          <w:lang w:val="en-US"/>
        </w:rPr>
        <w:t xml:space="preserve">human rights established in the American Convention. As to the scope of the acknowledgment of responsibility </w:t>
      </w:r>
      <w:r w:rsidR="00C36583" w:rsidRPr="003171CD">
        <w:rPr>
          <w:lang w:val="en-US"/>
        </w:rPr>
        <w:t xml:space="preserve">in relation to </w:t>
      </w:r>
      <w:r w:rsidRPr="003171CD">
        <w:rPr>
          <w:lang w:val="en-US"/>
        </w:rPr>
        <w:t xml:space="preserve">the facts, the Commission noted that, </w:t>
      </w:r>
      <w:r w:rsidR="006319FE" w:rsidRPr="003171CD">
        <w:rPr>
          <w:lang w:val="en-US"/>
        </w:rPr>
        <w:t xml:space="preserve">according to </w:t>
      </w:r>
      <w:r w:rsidRPr="003171CD">
        <w:rPr>
          <w:lang w:val="en-US"/>
        </w:rPr>
        <w:t>the literal meaning of its brief, the State acknowledged and accepted the facts al</w:t>
      </w:r>
      <w:r w:rsidR="00A725A5" w:rsidRPr="003171CD">
        <w:rPr>
          <w:lang w:val="en-US"/>
        </w:rPr>
        <w:t>leged by the Commission in its Merits R</w:t>
      </w:r>
      <w:r w:rsidRPr="003171CD">
        <w:rPr>
          <w:lang w:val="en-US"/>
        </w:rPr>
        <w:t xml:space="preserve">eport. The Commission </w:t>
      </w:r>
      <w:r w:rsidR="00C36583" w:rsidRPr="003171CD">
        <w:rPr>
          <w:lang w:val="en-US"/>
        </w:rPr>
        <w:t xml:space="preserve">also </w:t>
      </w:r>
      <w:r w:rsidRPr="003171CD">
        <w:rPr>
          <w:lang w:val="en-US"/>
        </w:rPr>
        <w:t>understood that</w:t>
      </w:r>
      <w:r w:rsidR="00C36583" w:rsidRPr="003171CD">
        <w:rPr>
          <w:lang w:val="en-US"/>
        </w:rPr>
        <w:t>,</w:t>
      </w:r>
      <w:r w:rsidRPr="003171CD">
        <w:rPr>
          <w:lang w:val="en-US"/>
        </w:rPr>
        <w:t xml:space="preserve"> in the absence of </w:t>
      </w:r>
      <w:r w:rsidR="00C36583" w:rsidRPr="003171CD">
        <w:rPr>
          <w:lang w:val="en-US"/>
        </w:rPr>
        <w:t>any indication</w:t>
      </w:r>
      <w:r w:rsidRPr="003171CD">
        <w:rPr>
          <w:lang w:val="en-US"/>
        </w:rPr>
        <w:t xml:space="preserve"> to the </w:t>
      </w:r>
      <w:r w:rsidR="00AC0CC5" w:rsidRPr="003171CD">
        <w:rPr>
          <w:lang w:val="en-US"/>
        </w:rPr>
        <w:t>contrary</w:t>
      </w:r>
      <w:r w:rsidRPr="003171CD">
        <w:rPr>
          <w:lang w:val="en-US"/>
        </w:rPr>
        <w:t xml:space="preserve">, </w:t>
      </w:r>
      <w:r w:rsidR="00C36583" w:rsidRPr="003171CD">
        <w:rPr>
          <w:lang w:val="en-US"/>
        </w:rPr>
        <w:t xml:space="preserve">and given its </w:t>
      </w:r>
      <w:r w:rsidRPr="003171CD">
        <w:rPr>
          <w:lang w:val="en-US"/>
        </w:rPr>
        <w:t>decision not to present evidence, the State was also acknowledging the legal consequences of th</w:t>
      </w:r>
      <w:r w:rsidR="00C36583" w:rsidRPr="003171CD">
        <w:rPr>
          <w:lang w:val="en-US"/>
        </w:rPr>
        <w:t>os</w:t>
      </w:r>
      <w:r w:rsidRPr="003171CD">
        <w:rPr>
          <w:lang w:val="en-US"/>
        </w:rPr>
        <w:t>e facts in</w:t>
      </w:r>
      <w:r w:rsidR="00C36583" w:rsidRPr="003171CD">
        <w:rPr>
          <w:lang w:val="en-US"/>
        </w:rPr>
        <w:t xml:space="preserve"> the terms of the Commission’s Merits R</w:t>
      </w:r>
      <w:r w:rsidRPr="003171CD">
        <w:rPr>
          <w:lang w:val="en-US"/>
        </w:rPr>
        <w:t>eport, a</w:t>
      </w:r>
      <w:r w:rsidR="00C36583" w:rsidRPr="003171CD">
        <w:rPr>
          <w:lang w:val="en-US"/>
        </w:rPr>
        <w:t xml:space="preserve">s well as </w:t>
      </w:r>
      <w:r w:rsidRPr="003171CD">
        <w:rPr>
          <w:lang w:val="en-US"/>
        </w:rPr>
        <w:t xml:space="preserve">the reparations. In its final written observations, the Commission asked the Court to accept the State’s acknowledgment of international responsibility and </w:t>
      </w:r>
      <w:r w:rsidR="00C36583" w:rsidRPr="003171CD">
        <w:rPr>
          <w:lang w:val="en-US"/>
        </w:rPr>
        <w:t xml:space="preserve">to </w:t>
      </w:r>
      <w:r w:rsidRPr="003171CD">
        <w:rPr>
          <w:lang w:val="en-US"/>
        </w:rPr>
        <w:t>establ</w:t>
      </w:r>
      <w:r w:rsidR="006319FE" w:rsidRPr="003171CD">
        <w:rPr>
          <w:lang w:val="en-US"/>
        </w:rPr>
        <w:t xml:space="preserve">ish </w:t>
      </w:r>
      <w:r w:rsidRPr="003171CD">
        <w:rPr>
          <w:lang w:val="en-US"/>
        </w:rPr>
        <w:t xml:space="preserve">that </w:t>
      </w:r>
      <w:r w:rsidR="00C36583" w:rsidRPr="003171CD">
        <w:rPr>
          <w:lang w:val="en-US"/>
        </w:rPr>
        <w:t xml:space="preserve">the latter encompasses all </w:t>
      </w:r>
      <w:r w:rsidR="006319FE" w:rsidRPr="003171CD">
        <w:rPr>
          <w:lang w:val="en-US"/>
        </w:rPr>
        <w:t xml:space="preserve">the </w:t>
      </w:r>
      <w:r w:rsidRPr="003171CD">
        <w:rPr>
          <w:lang w:val="en-US"/>
        </w:rPr>
        <w:t>facts and vi</w:t>
      </w:r>
      <w:r w:rsidR="00C36583" w:rsidRPr="003171CD">
        <w:rPr>
          <w:lang w:val="en-US"/>
        </w:rPr>
        <w:t>olations committed in this case</w:t>
      </w:r>
      <w:r w:rsidRPr="003171CD">
        <w:rPr>
          <w:lang w:val="en-US"/>
        </w:rPr>
        <w:t xml:space="preserve"> and included in Merits Report No. 82/13. The Commission also </w:t>
      </w:r>
      <w:r w:rsidR="00C36583" w:rsidRPr="003171CD">
        <w:rPr>
          <w:lang w:val="en-US"/>
        </w:rPr>
        <w:t xml:space="preserve">requested that </w:t>
      </w:r>
      <w:r w:rsidRPr="003171CD">
        <w:rPr>
          <w:lang w:val="en-US"/>
        </w:rPr>
        <w:t>the Court make a detailed</w:t>
      </w:r>
      <w:r w:rsidR="005644C2" w:rsidRPr="003171CD">
        <w:rPr>
          <w:lang w:val="en-US"/>
        </w:rPr>
        <w:t xml:space="preserve"> assessment </w:t>
      </w:r>
      <w:r w:rsidRPr="003171CD">
        <w:rPr>
          <w:lang w:val="en-US"/>
        </w:rPr>
        <w:t>of the facts, the applicable law and the corresponding reparations.</w:t>
      </w:r>
    </w:p>
    <w:p w14:paraId="63ADD827" w14:textId="77777777" w:rsidR="005A65CE" w:rsidRPr="003171CD" w:rsidRDefault="005A65CE" w:rsidP="005A65CE">
      <w:pPr>
        <w:rPr>
          <w:lang w:val="en-US"/>
        </w:rPr>
      </w:pPr>
    </w:p>
    <w:p w14:paraId="1F4A44FC" w14:textId="77777777" w:rsidR="005A65CE" w:rsidRPr="003171CD" w:rsidRDefault="005A65CE" w:rsidP="005A65CE">
      <w:pPr>
        <w:numPr>
          <w:ilvl w:val="0"/>
          <w:numId w:val="1"/>
        </w:numPr>
        <w:jc w:val="both"/>
        <w:rPr>
          <w:b/>
          <w:sz w:val="16"/>
          <w:szCs w:val="16"/>
          <w:lang w:val="en-US"/>
        </w:rPr>
      </w:pPr>
      <w:r w:rsidRPr="003171CD">
        <w:rPr>
          <w:lang w:val="en-US"/>
        </w:rPr>
        <w:t xml:space="preserve">In particular, </w:t>
      </w:r>
      <w:r w:rsidR="00C36583" w:rsidRPr="003171CD">
        <w:rPr>
          <w:lang w:val="en-US"/>
        </w:rPr>
        <w:t xml:space="preserve">with regard </w:t>
      </w:r>
      <w:r w:rsidRPr="003171CD">
        <w:rPr>
          <w:lang w:val="en-US"/>
        </w:rPr>
        <w:t xml:space="preserve">to the reparations, the Commission noted that the </w:t>
      </w:r>
      <w:r w:rsidR="00C36583" w:rsidRPr="003171CD">
        <w:rPr>
          <w:lang w:val="en-US"/>
        </w:rPr>
        <w:t xml:space="preserve">ruling </w:t>
      </w:r>
      <w:r w:rsidRPr="003171CD">
        <w:rPr>
          <w:lang w:val="en-US"/>
        </w:rPr>
        <w:t>of the Second Trial Court of San Salvador, on September 19, 2014, did not take into account the su</w:t>
      </w:r>
      <w:r w:rsidR="006319FE" w:rsidRPr="003171CD">
        <w:rPr>
          <w:lang w:val="en-US"/>
        </w:rPr>
        <w:t>bstantive</w:t>
      </w:r>
      <w:r w:rsidRPr="003171CD">
        <w:rPr>
          <w:lang w:val="en-US"/>
        </w:rPr>
        <w:t xml:space="preserve"> and proc</w:t>
      </w:r>
      <w:r w:rsidR="00C36583" w:rsidRPr="003171CD">
        <w:rPr>
          <w:lang w:val="en-US"/>
        </w:rPr>
        <w:t>edural matters analyzed in the Merits R</w:t>
      </w:r>
      <w:r w:rsidRPr="003171CD">
        <w:rPr>
          <w:lang w:val="en-US"/>
        </w:rPr>
        <w:t>eport,</w:t>
      </w:r>
      <w:r w:rsidR="00B9408E" w:rsidRPr="003171CD">
        <w:rPr>
          <w:lang w:val="en-US"/>
        </w:rPr>
        <w:t xml:space="preserve"> </w:t>
      </w:r>
      <w:r w:rsidR="00AF0995" w:rsidRPr="003171CD">
        <w:rPr>
          <w:lang w:val="en-US"/>
        </w:rPr>
        <w:t xml:space="preserve">but </w:t>
      </w:r>
      <w:r w:rsidRPr="003171CD">
        <w:rPr>
          <w:lang w:val="en-US"/>
        </w:rPr>
        <w:t xml:space="preserve">only the </w:t>
      </w:r>
      <w:r w:rsidR="00377A8B" w:rsidRPr="003171CD">
        <w:rPr>
          <w:lang w:val="en-US"/>
        </w:rPr>
        <w:t xml:space="preserve">grounds </w:t>
      </w:r>
      <w:r w:rsidRPr="003171CD">
        <w:rPr>
          <w:lang w:val="en-US"/>
        </w:rPr>
        <w:t>exhaustively specified in El Salvador’s rules of criminal pr</w:t>
      </w:r>
      <w:r w:rsidR="00377A8B" w:rsidRPr="003171CD">
        <w:rPr>
          <w:lang w:val="en-US"/>
        </w:rPr>
        <w:t xml:space="preserve">ocedure, </w:t>
      </w:r>
      <w:r w:rsidR="00B9408E" w:rsidRPr="003171CD">
        <w:rPr>
          <w:lang w:val="en-US"/>
        </w:rPr>
        <w:t>concluding</w:t>
      </w:r>
      <w:r w:rsidR="00377A8B" w:rsidRPr="003171CD">
        <w:rPr>
          <w:lang w:val="en-US"/>
        </w:rPr>
        <w:t xml:space="preserve"> that in this</w:t>
      </w:r>
      <w:r w:rsidRPr="003171CD">
        <w:rPr>
          <w:lang w:val="en-US"/>
        </w:rPr>
        <w:t xml:space="preserve"> case those </w:t>
      </w:r>
      <w:r w:rsidR="00377A8B" w:rsidRPr="003171CD">
        <w:rPr>
          <w:lang w:val="en-US"/>
        </w:rPr>
        <w:t xml:space="preserve">grounds </w:t>
      </w:r>
      <w:r w:rsidRPr="003171CD">
        <w:rPr>
          <w:lang w:val="en-US"/>
        </w:rPr>
        <w:t xml:space="preserve">were not applicable. In this sense, the Commission considered that the judgment </w:t>
      </w:r>
      <w:r w:rsidR="00B9408E" w:rsidRPr="003171CD">
        <w:rPr>
          <w:lang w:val="en-US"/>
        </w:rPr>
        <w:t>d</w:t>
      </w:r>
      <w:r w:rsidR="003D5E31" w:rsidRPr="003171CD">
        <w:rPr>
          <w:lang w:val="en-US"/>
        </w:rPr>
        <w:t xml:space="preserve">oes </w:t>
      </w:r>
      <w:r w:rsidR="00B9408E" w:rsidRPr="003171CD">
        <w:rPr>
          <w:lang w:val="en-US"/>
        </w:rPr>
        <w:t>not appear</w:t>
      </w:r>
      <w:r w:rsidR="00022AD9" w:rsidRPr="003171CD">
        <w:rPr>
          <w:lang w:val="en-US"/>
        </w:rPr>
        <w:t xml:space="preserve"> to </w:t>
      </w:r>
      <w:r w:rsidRPr="003171CD">
        <w:rPr>
          <w:lang w:val="en-US"/>
        </w:rPr>
        <w:t>satisfy the main reparation</w:t>
      </w:r>
      <w:r w:rsidR="00AF0995" w:rsidRPr="003171CD">
        <w:rPr>
          <w:lang w:val="en-US"/>
        </w:rPr>
        <w:t xml:space="preserve"> requested</w:t>
      </w:r>
      <w:r w:rsidR="00B9408E" w:rsidRPr="003171CD">
        <w:rPr>
          <w:lang w:val="en-US"/>
        </w:rPr>
        <w:t>, namely,</w:t>
      </w:r>
      <w:r w:rsidRPr="003171CD">
        <w:rPr>
          <w:lang w:val="en-US"/>
        </w:rPr>
        <w:t xml:space="preserve"> the review of the conviction in light of the inter-American standards of due process, </w:t>
      </w:r>
      <w:r w:rsidR="003D5E31" w:rsidRPr="003171CD">
        <w:rPr>
          <w:lang w:val="en-US"/>
        </w:rPr>
        <w:t xml:space="preserve">and </w:t>
      </w:r>
      <w:r w:rsidRPr="003171CD">
        <w:rPr>
          <w:lang w:val="en-US"/>
        </w:rPr>
        <w:t>especially the principle</w:t>
      </w:r>
      <w:r w:rsidR="00316C8F" w:rsidRPr="003171CD">
        <w:rPr>
          <w:lang w:val="en-US"/>
        </w:rPr>
        <w:t xml:space="preserve"> of presumption of </w:t>
      </w:r>
      <w:r w:rsidRPr="003171CD">
        <w:rPr>
          <w:lang w:val="en-US"/>
        </w:rPr>
        <w:t>innocence and right of defense.</w:t>
      </w:r>
      <w:r w:rsidR="00B9408E" w:rsidRPr="003171CD">
        <w:rPr>
          <w:lang w:val="en-US"/>
        </w:rPr>
        <w:t xml:space="preserve"> The Commission advised that this</w:t>
      </w:r>
      <w:r w:rsidRPr="003171CD">
        <w:rPr>
          <w:lang w:val="en-US"/>
        </w:rPr>
        <w:t xml:space="preserve"> decision </w:t>
      </w:r>
      <w:r w:rsidR="00AF0995" w:rsidRPr="003171CD">
        <w:rPr>
          <w:lang w:val="en-US"/>
        </w:rPr>
        <w:t xml:space="preserve">could </w:t>
      </w:r>
      <w:r w:rsidR="00B9408E" w:rsidRPr="003171CD">
        <w:rPr>
          <w:lang w:val="en-US"/>
        </w:rPr>
        <w:t xml:space="preserve">conflict </w:t>
      </w:r>
      <w:r w:rsidRPr="003171CD">
        <w:rPr>
          <w:lang w:val="en-US"/>
        </w:rPr>
        <w:t xml:space="preserve">with the State’s acknowledgment of responsibility. The Commission appreciated the State’s willingness to publish the Judgment in order to give it visibility and </w:t>
      </w:r>
      <w:r w:rsidR="005644C2" w:rsidRPr="003171CD">
        <w:rPr>
          <w:lang w:val="en-US"/>
        </w:rPr>
        <w:t xml:space="preserve">to </w:t>
      </w:r>
      <w:r w:rsidRPr="003171CD">
        <w:rPr>
          <w:lang w:val="en-US"/>
        </w:rPr>
        <w:t xml:space="preserve">use it as a </w:t>
      </w:r>
      <w:r w:rsidR="00B9408E" w:rsidRPr="003171CD">
        <w:rPr>
          <w:lang w:val="en-US"/>
        </w:rPr>
        <w:t xml:space="preserve">means to </w:t>
      </w:r>
      <w:r w:rsidRPr="003171CD">
        <w:rPr>
          <w:lang w:val="en-US"/>
        </w:rPr>
        <w:t xml:space="preserve">guide the actions of </w:t>
      </w:r>
      <w:r w:rsidR="00B9408E" w:rsidRPr="003171CD">
        <w:rPr>
          <w:lang w:val="en-US"/>
        </w:rPr>
        <w:t xml:space="preserve">the country’s </w:t>
      </w:r>
      <w:r w:rsidRPr="003171CD">
        <w:rPr>
          <w:lang w:val="en-US"/>
        </w:rPr>
        <w:t xml:space="preserve">various judicial and police authorities and </w:t>
      </w:r>
      <w:r w:rsidR="00AF0995" w:rsidRPr="003171CD">
        <w:rPr>
          <w:lang w:val="en-US"/>
        </w:rPr>
        <w:t xml:space="preserve">those </w:t>
      </w:r>
      <w:r w:rsidR="00B9408E" w:rsidRPr="003171CD">
        <w:rPr>
          <w:lang w:val="en-US"/>
        </w:rPr>
        <w:t xml:space="preserve">of the </w:t>
      </w:r>
      <w:r w:rsidRPr="003171CD">
        <w:rPr>
          <w:lang w:val="en-US"/>
        </w:rPr>
        <w:t xml:space="preserve">Office of the Attorney General. </w:t>
      </w:r>
      <w:r w:rsidR="00AF0995" w:rsidRPr="003171CD">
        <w:rPr>
          <w:lang w:val="en-US"/>
        </w:rPr>
        <w:t>However</w:t>
      </w:r>
      <w:r w:rsidRPr="003171CD">
        <w:rPr>
          <w:lang w:val="en-US"/>
        </w:rPr>
        <w:t xml:space="preserve">, </w:t>
      </w:r>
      <w:r w:rsidR="003D5E31" w:rsidRPr="003171CD">
        <w:rPr>
          <w:lang w:val="en-US"/>
        </w:rPr>
        <w:t xml:space="preserve">it </w:t>
      </w:r>
      <w:r w:rsidRPr="003171CD">
        <w:rPr>
          <w:lang w:val="en-US"/>
        </w:rPr>
        <w:t xml:space="preserve">reiterated </w:t>
      </w:r>
      <w:r w:rsidR="00B9408E" w:rsidRPr="003171CD">
        <w:rPr>
          <w:lang w:val="en-US"/>
        </w:rPr>
        <w:t xml:space="preserve">to the State the need to set aside </w:t>
      </w:r>
      <w:r w:rsidRPr="003171CD">
        <w:rPr>
          <w:lang w:val="en-US"/>
        </w:rPr>
        <w:t xml:space="preserve">the conviction and, consequently, </w:t>
      </w:r>
      <w:r w:rsidR="00B9408E" w:rsidRPr="003171CD">
        <w:rPr>
          <w:lang w:val="en-US"/>
        </w:rPr>
        <w:t xml:space="preserve">to annul any </w:t>
      </w:r>
      <w:r w:rsidRPr="003171CD">
        <w:rPr>
          <w:lang w:val="en-US"/>
        </w:rPr>
        <w:t>judicial or other type</w:t>
      </w:r>
      <w:r w:rsidR="00B9408E" w:rsidRPr="003171CD">
        <w:rPr>
          <w:lang w:val="en-US"/>
        </w:rPr>
        <w:t>s</w:t>
      </w:r>
      <w:r w:rsidRPr="003171CD">
        <w:rPr>
          <w:lang w:val="en-US"/>
        </w:rPr>
        <w:t xml:space="preserve"> of records existing against José Agapito Ruano Torres in relation to the facts of this case.</w:t>
      </w:r>
    </w:p>
    <w:p w14:paraId="7F4531D6" w14:textId="77777777" w:rsidR="005A65CE" w:rsidRPr="003171CD" w:rsidRDefault="005A65CE" w:rsidP="005A65CE">
      <w:pPr>
        <w:rPr>
          <w:lang w:val="en-US"/>
        </w:rPr>
      </w:pPr>
    </w:p>
    <w:p w14:paraId="1C95EB16" w14:textId="77777777" w:rsidR="005A65CE" w:rsidRPr="003171CD" w:rsidRDefault="005A65CE" w:rsidP="005A65CE">
      <w:pPr>
        <w:numPr>
          <w:ilvl w:val="0"/>
          <w:numId w:val="1"/>
        </w:numPr>
        <w:jc w:val="both"/>
        <w:rPr>
          <w:lang w:val="en-US"/>
        </w:rPr>
      </w:pPr>
      <w:r w:rsidRPr="003171CD">
        <w:rPr>
          <w:lang w:val="en-US"/>
        </w:rPr>
        <w:t xml:space="preserve">The </w:t>
      </w:r>
      <w:r w:rsidRPr="003171CD">
        <w:rPr>
          <w:b/>
          <w:i/>
          <w:lang w:val="en-US"/>
        </w:rPr>
        <w:t>representatives</w:t>
      </w:r>
      <w:r w:rsidRPr="003171CD">
        <w:rPr>
          <w:lang w:val="en-US"/>
        </w:rPr>
        <w:t xml:space="preserve"> pointed out that at the beginning of its answer</w:t>
      </w:r>
      <w:r w:rsidR="005644C2" w:rsidRPr="003171CD">
        <w:rPr>
          <w:lang w:val="en-US"/>
        </w:rPr>
        <w:t>ing</w:t>
      </w:r>
      <w:r w:rsidR="00B9408E" w:rsidRPr="003171CD">
        <w:rPr>
          <w:lang w:val="en-US"/>
        </w:rPr>
        <w:t xml:space="preserve"> brief</w:t>
      </w:r>
      <w:r w:rsidRPr="003171CD">
        <w:rPr>
          <w:lang w:val="en-US"/>
        </w:rPr>
        <w:t xml:space="preserve">, </w:t>
      </w:r>
      <w:r w:rsidR="00B9408E" w:rsidRPr="003171CD">
        <w:rPr>
          <w:lang w:val="en-US"/>
        </w:rPr>
        <w:t xml:space="preserve">the State </w:t>
      </w:r>
      <w:r w:rsidRPr="003171CD">
        <w:rPr>
          <w:lang w:val="en-US"/>
        </w:rPr>
        <w:t>referred to its argument</w:t>
      </w:r>
      <w:r w:rsidR="003D5E31" w:rsidRPr="003171CD">
        <w:rPr>
          <w:lang w:val="en-US"/>
        </w:rPr>
        <w:t xml:space="preserve"> in</w:t>
      </w:r>
      <w:r w:rsidRPr="003171CD">
        <w:rPr>
          <w:lang w:val="en-US"/>
        </w:rPr>
        <w:t xml:space="preserve"> the proceeding</w:t>
      </w:r>
      <w:r w:rsidR="0088136D" w:rsidRPr="003171CD">
        <w:rPr>
          <w:lang w:val="en-US"/>
        </w:rPr>
        <w:t>s</w:t>
      </w:r>
      <w:r w:rsidRPr="003171CD">
        <w:rPr>
          <w:lang w:val="en-US"/>
        </w:rPr>
        <w:t xml:space="preserve"> before the Commission, which </w:t>
      </w:r>
      <w:r w:rsidR="004343C0" w:rsidRPr="003171CD">
        <w:rPr>
          <w:lang w:val="en-US"/>
        </w:rPr>
        <w:t xml:space="preserve">contrasted </w:t>
      </w:r>
      <w:r w:rsidRPr="003171CD">
        <w:rPr>
          <w:lang w:val="en-US"/>
        </w:rPr>
        <w:t xml:space="preserve">with the </w:t>
      </w:r>
      <w:r w:rsidR="00AF0995" w:rsidRPr="003171CD">
        <w:rPr>
          <w:lang w:val="en-US"/>
        </w:rPr>
        <w:t xml:space="preserve">position </w:t>
      </w:r>
      <w:r w:rsidR="003D5E31" w:rsidRPr="003171CD">
        <w:rPr>
          <w:lang w:val="en-US"/>
        </w:rPr>
        <w:t xml:space="preserve">adopted </w:t>
      </w:r>
      <w:r w:rsidRPr="003171CD">
        <w:rPr>
          <w:lang w:val="en-US"/>
        </w:rPr>
        <w:t xml:space="preserve">at the end of its answer, </w:t>
      </w:r>
      <w:r w:rsidR="00B9408E" w:rsidRPr="003171CD">
        <w:rPr>
          <w:lang w:val="en-US"/>
        </w:rPr>
        <w:t xml:space="preserve">namely, </w:t>
      </w:r>
      <w:r w:rsidRPr="003171CD">
        <w:rPr>
          <w:lang w:val="en-US"/>
        </w:rPr>
        <w:t>the acknowledgment of its international responsibility in this case. Regarding reparations, the representatives pointed out that this was more of a formal acknowledgment, rather than a monetary one, in</w:t>
      </w:r>
      <w:r w:rsidR="003D5E31" w:rsidRPr="003171CD">
        <w:rPr>
          <w:lang w:val="en-US"/>
        </w:rPr>
        <w:t>asmuch as the</w:t>
      </w:r>
      <w:r w:rsidRPr="003171CD">
        <w:rPr>
          <w:lang w:val="en-US"/>
        </w:rPr>
        <w:t xml:space="preserve"> actions </w:t>
      </w:r>
      <w:r w:rsidR="003D5E31" w:rsidRPr="003171CD">
        <w:rPr>
          <w:lang w:val="en-US"/>
        </w:rPr>
        <w:t xml:space="preserve">undertaken by the State </w:t>
      </w:r>
      <w:r w:rsidRPr="003171CD">
        <w:rPr>
          <w:lang w:val="en-US"/>
        </w:rPr>
        <w:t xml:space="preserve">in relation to the </w:t>
      </w:r>
      <w:r w:rsidR="00AF0995" w:rsidRPr="003171CD">
        <w:rPr>
          <w:lang w:val="en-US"/>
        </w:rPr>
        <w:t xml:space="preserve">Commission’s </w:t>
      </w:r>
      <w:r w:rsidRPr="003171CD">
        <w:rPr>
          <w:lang w:val="en-US"/>
        </w:rPr>
        <w:t>recommendations had not produced a substanti</w:t>
      </w:r>
      <w:r w:rsidR="00AF0995" w:rsidRPr="003171CD">
        <w:rPr>
          <w:lang w:val="en-US"/>
        </w:rPr>
        <w:t xml:space="preserve">ve </w:t>
      </w:r>
      <w:r w:rsidRPr="003171CD">
        <w:rPr>
          <w:lang w:val="en-US"/>
        </w:rPr>
        <w:t xml:space="preserve">or </w:t>
      </w:r>
      <w:r w:rsidR="00A33CB1" w:rsidRPr="003171CD">
        <w:rPr>
          <w:lang w:val="en-US"/>
        </w:rPr>
        <w:t xml:space="preserve">significant </w:t>
      </w:r>
      <w:r w:rsidR="00D63E77" w:rsidRPr="003171CD">
        <w:rPr>
          <w:lang w:val="en-US"/>
        </w:rPr>
        <w:t>effect</w:t>
      </w:r>
      <w:r w:rsidRPr="003171CD">
        <w:rPr>
          <w:lang w:val="en-US"/>
        </w:rPr>
        <w:t>. In the opinion of the representatives,</w:t>
      </w:r>
      <w:r w:rsidR="00AF0995" w:rsidRPr="003171CD">
        <w:rPr>
          <w:lang w:val="en-US"/>
        </w:rPr>
        <w:t xml:space="preserve"> the decision adopted by the </w:t>
      </w:r>
      <w:r w:rsidR="00C8502F" w:rsidRPr="003171CD">
        <w:rPr>
          <w:lang w:val="en-US"/>
        </w:rPr>
        <w:t xml:space="preserve">domestic </w:t>
      </w:r>
      <w:r w:rsidR="00AF0995" w:rsidRPr="003171CD">
        <w:rPr>
          <w:lang w:val="en-US"/>
        </w:rPr>
        <w:t>c</w:t>
      </w:r>
      <w:r w:rsidRPr="003171CD">
        <w:rPr>
          <w:lang w:val="en-US"/>
        </w:rPr>
        <w:t xml:space="preserve">ourt </w:t>
      </w:r>
      <w:r w:rsidR="00AF0995" w:rsidRPr="003171CD">
        <w:rPr>
          <w:lang w:val="en-US"/>
        </w:rPr>
        <w:t xml:space="preserve">following </w:t>
      </w:r>
      <w:r w:rsidRPr="003171CD">
        <w:rPr>
          <w:lang w:val="en-US"/>
        </w:rPr>
        <w:t xml:space="preserve">the special review hearing had </w:t>
      </w:r>
      <w:r w:rsidR="00AF0995" w:rsidRPr="003171CD">
        <w:rPr>
          <w:lang w:val="en-US"/>
        </w:rPr>
        <w:t xml:space="preserve">proven ineffective in terms of annulling </w:t>
      </w:r>
      <w:r w:rsidRPr="003171CD">
        <w:rPr>
          <w:lang w:val="en-US"/>
        </w:rPr>
        <w:t xml:space="preserve">the conviction as recommended by the Commission. </w:t>
      </w:r>
      <w:r w:rsidR="00AF0995" w:rsidRPr="003171CD">
        <w:rPr>
          <w:lang w:val="en-US"/>
        </w:rPr>
        <w:t>T</w:t>
      </w:r>
      <w:r w:rsidRPr="003171CD">
        <w:rPr>
          <w:lang w:val="en-US"/>
        </w:rPr>
        <w:t xml:space="preserve">he representatives </w:t>
      </w:r>
      <w:r w:rsidR="00AF0995" w:rsidRPr="003171CD">
        <w:rPr>
          <w:lang w:val="en-US"/>
        </w:rPr>
        <w:t xml:space="preserve">also called for </w:t>
      </w:r>
      <w:r w:rsidRPr="003171CD">
        <w:rPr>
          <w:lang w:val="en-US"/>
        </w:rPr>
        <w:t xml:space="preserve">a review of the judgment and </w:t>
      </w:r>
      <w:r w:rsidR="004021A7" w:rsidRPr="003171CD">
        <w:rPr>
          <w:lang w:val="en-US"/>
        </w:rPr>
        <w:t xml:space="preserve">adherence to </w:t>
      </w:r>
      <w:r w:rsidR="00022AD9" w:rsidRPr="003171CD">
        <w:rPr>
          <w:lang w:val="en-US"/>
        </w:rPr>
        <w:t xml:space="preserve">international standards </w:t>
      </w:r>
      <w:r w:rsidR="0088136D" w:rsidRPr="003171CD">
        <w:rPr>
          <w:lang w:val="en-US"/>
        </w:rPr>
        <w:t xml:space="preserve">regarding the </w:t>
      </w:r>
      <w:r w:rsidRPr="003171CD">
        <w:rPr>
          <w:lang w:val="en-US"/>
        </w:rPr>
        <w:t xml:space="preserve">presumption of innocence and </w:t>
      </w:r>
      <w:r w:rsidR="00A40F4F" w:rsidRPr="003171CD">
        <w:rPr>
          <w:lang w:val="en-US"/>
        </w:rPr>
        <w:t xml:space="preserve">the </w:t>
      </w:r>
      <w:r w:rsidRPr="003171CD">
        <w:rPr>
          <w:lang w:val="en-US"/>
        </w:rPr>
        <w:t xml:space="preserve">right of defense, </w:t>
      </w:r>
      <w:r w:rsidR="00A40F4F" w:rsidRPr="003171CD">
        <w:rPr>
          <w:lang w:val="en-US"/>
        </w:rPr>
        <w:t xml:space="preserve">something that </w:t>
      </w:r>
      <w:r w:rsidRPr="003171CD">
        <w:rPr>
          <w:lang w:val="en-US"/>
        </w:rPr>
        <w:t xml:space="preserve">could not occur </w:t>
      </w:r>
      <w:r w:rsidR="00A40F4F" w:rsidRPr="003171CD">
        <w:rPr>
          <w:lang w:val="en-US"/>
        </w:rPr>
        <w:t xml:space="preserve">because the </w:t>
      </w:r>
      <w:r w:rsidRPr="003171CD">
        <w:rPr>
          <w:lang w:val="en-US"/>
        </w:rPr>
        <w:t xml:space="preserve">conviction </w:t>
      </w:r>
      <w:r w:rsidR="00A40F4F" w:rsidRPr="003171CD">
        <w:rPr>
          <w:lang w:val="en-US"/>
        </w:rPr>
        <w:t>had been upheld</w:t>
      </w:r>
      <w:r w:rsidRPr="003171CD">
        <w:rPr>
          <w:lang w:val="en-US"/>
        </w:rPr>
        <w:t xml:space="preserve">. Finally, the representatives accepted the State’s offer to </w:t>
      </w:r>
      <w:r w:rsidR="00A40F4F" w:rsidRPr="003171CD">
        <w:rPr>
          <w:lang w:val="en-US"/>
        </w:rPr>
        <w:t xml:space="preserve">help </w:t>
      </w:r>
      <w:r w:rsidRPr="003171CD">
        <w:rPr>
          <w:lang w:val="en-US"/>
        </w:rPr>
        <w:t>re</w:t>
      </w:r>
      <w:r w:rsidR="00A40F4F" w:rsidRPr="003171CD">
        <w:rPr>
          <w:lang w:val="en-US"/>
        </w:rPr>
        <w:t xml:space="preserve">build </w:t>
      </w:r>
      <w:r w:rsidRPr="003171CD">
        <w:rPr>
          <w:lang w:val="en-US"/>
        </w:rPr>
        <w:t xml:space="preserve">the fabric of family life by </w:t>
      </w:r>
      <w:r w:rsidR="00C36583" w:rsidRPr="003171CD">
        <w:rPr>
          <w:lang w:val="en-US"/>
        </w:rPr>
        <w:t xml:space="preserve">assuming </w:t>
      </w:r>
      <w:r w:rsidRPr="003171CD">
        <w:rPr>
          <w:lang w:val="en-US"/>
        </w:rPr>
        <w:t xml:space="preserve">responsibility for the psychosocial treatment of José Agapito Ruano Torres and his </w:t>
      </w:r>
      <w:r w:rsidR="00A40F4F" w:rsidRPr="003171CD">
        <w:rPr>
          <w:lang w:val="en-US"/>
        </w:rPr>
        <w:t>next of kin</w:t>
      </w:r>
      <w:r w:rsidRPr="003171CD">
        <w:rPr>
          <w:lang w:val="en-US"/>
        </w:rPr>
        <w:t>.</w:t>
      </w:r>
    </w:p>
    <w:p w14:paraId="3E6866B6" w14:textId="77777777" w:rsidR="005A65CE" w:rsidRPr="003171CD" w:rsidRDefault="005A65CE" w:rsidP="005A65CE">
      <w:pPr>
        <w:tabs>
          <w:tab w:val="left" w:pos="2355"/>
        </w:tabs>
        <w:rPr>
          <w:i/>
          <w:lang w:val="en-US"/>
        </w:rPr>
      </w:pPr>
    </w:p>
    <w:p w14:paraId="4639250A" w14:textId="77777777" w:rsidR="005A65CE" w:rsidRPr="003171CD" w:rsidRDefault="00C36583" w:rsidP="00C36583">
      <w:pPr>
        <w:pStyle w:val="Prrafodelista"/>
        <w:rPr>
          <w:i/>
          <w:lang w:val="en-US"/>
        </w:rPr>
      </w:pPr>
      <w:r w:rsidRPr="003171CD">
        <w:rPr>
          <w:i/>
          <w:lang w:val="en-US"/>
        </w:rPr>
        <w:t>Considerations of the Court</w:t>
      </w:r>
    </w:p>
    <w:p w14:paraId="194ED111" w14:textId="77777777" w:rsidR="005A65CE" w:rsidRPr="003171CD" w:rsidRDefault="005A65CE" w:rsidP="005A65CE">
      <w:pPr>
        <w:numPr>
          <w:ilvl w:val="0"/>
          <w:numId w:val="1"/>
        </w:numPr>
        <w:jc w:val="both"/>
        <w:rPr>
          <w:rFonts w:eastAsia="Times"/>
          <w:lang w:val="en-US"/>
        </w:rPr>
      </w:pPr>
      <w:r w:rsidRPr="003171CD">
        <w:rPr>
          <w:lang w:val="en-US"/>
        </w:rPr>
        <w:lastRenderedPageBreak/>
        <w:t>Pursuant to Articles 62</w:t>
      </w:r>
      <w:r w:rsidRPr="003171CD">
        <w:rPr>
          <w:rStyle w:val="Refdenotaalpie"/>
          <w:lang w:val="en-US"/>
        </w:rPr>
        <w:footnoteReference w:id="8"/>
      </w:r>
      <w:r w:rsidRPr="003171CD">
        <w:rPr>
          <w:lang w:val="en-US"/>
        </w:rPr>
        <w:t xml:space="preserve"> and 64</w:t>
      </w:r>
      <w:r w:rsidRPr="003171CD">
        <w:rPr>
          <w:rStyle w:val="Refdenotaalpie"/>
          <w:lang w:val="en-US"/>
        </w:rPr>
        <w:footnoteReference w:id="9"/>
      </w:r>
      <w:r w:rsidRPr="003171CD">
        <w:rPr>
          <w:lang w:val="en-US"/>
        </w:rPr>
        <w:t xml:space="preserve"> of the Rules of Procedure, and in exercise of its </w:t>
      </w:r>
      <w:r w:rsidR="00EC3C50" w:rsidRPr="003171CD">
        <w:rPr>
          <w:lang w:val="en-US"/>
        </w:rPr>
        <w:t xml:space="preserve">powers for the </w:t>
      </w:r>
      <w:r w:rsidRPr="003171CD">
        <w:rPr>
          <w:lang w:val="en-US"/>
        </w:rPr>
        <w:t xml:space="preserve">international </w:t>
      </w:r>
      <w:r w:rsidR="00EC3C50" w:rsidRPr="003171CD">
        <w:rPr>
          <w:lang w:val="en-US"/>
        </w:rPr>
        <w:t xml:space="preserve">judicial </w:t>
      </w:r>
      <w:r w:rsidRPr="003171CD">
        <w:rPr>
          <w:lang w:val="en-US"/>
        </w:rPr>
        <w:t>protectio</w:t>
      </w:r>
      <w:r w:rsidR="00EC3C50" w:rsidRPr="003171CD">
        <w:rPr>
          <w:lang w:val="en-US"/>
        </w:rPr>
        <w:t xml:space="preserve">n of human rights, </w:t>
      </w:r>
      <w:r w:rsidRPr="003171CD">
        <w:rPr>
          <w:lang w:val="en-US"/>
        </w:rPr>
        <w:t xml:space="preserve">a matter of international public order </w:t>
      </w:r>
      <w:r w:rsidR="00EC3C50" w:rsidRPr="003171CD">
        <w:rPr>
          <w:lang w:val="en-US"/>
        </w:rPr>
        <w:t xml:space="preserve">that transcends the will of the parties, it is incumbent on this Court to ensure that acts of acquiescence are acceptable for the objectives sought by the inter-American system. In this task, it is not restricted to merely confirming, recording or taking note of the </w:t>
      </w:r>
      <w:r w:rsidR="00C8502F" w:rsidRPr="003171CD">
        <w:rPr>
          <w:lang w:val="en-US"/>
        </w:rPr>
        <w:t xml:space="preserve">State’s </w:t>
      </w:r>
      <w:r w:rsidR="00EC3C50" w:rsidRPr="003171CD">
        <w:rPr>
          <w:lang w:val="en-US"/>
        </w:rPr>
        <w:t>ac</w:t>
      </w:r>
      <w:r w:rsidR="00C8502F" w:rsidRPr="003171CD">
        <w:rPr>
          <w:lang w:val="en-US"/>
        </w:rPr>
        <w:t>quiescence</w:t>
      </w:r>
      <w:r w:rsidR="00EC3C50" w:rsidRPr="003171CD">
        <w:rPr>
          <w:lang w:val="en-US"/>
        </w:rPr>
        <w:t>, or to verifying the formal conditions of the said acts, but it must relate them to the nature and severity of the violations that have been alleged, the demands and interests of justice, the particular circumstances of the specific case, and the attitude and position of the parties</w:t>
      </w:r>
      <w:r w:rsidRPr="003171CD">
        <w:rPr>
          <w:lang w:val="en-US"/>
        </w:rPr>
        <w:t>,</w:t>
      </w:r>
      <w:r w:rsidRPr="003171CD">
        <w:rPr>
          <w:rStyle w:val="Refdenotaalpie"/>
          <w:lang w:val="en-US"/>
        </w:rPr>
        <w:footnoteReference w:id="10"/>
      </w:r>
      <w:r w:rsidRPr="003171CD">
        <w:rPr>
          <w:lang w:val="en-US"/>
        </w:rPr>
        <w:t xml:space="preserve"> in order to clarify, to the extent possible and in the exercise of its jurisdiction, the truth of what happened.</w:t>
      </w:r>
      <w:r w:rsidRPr="003171CD">
        <w:rPr>
          <w:rStyle w:val="Refdenotaalpie"/>
          <w:lang w:val="en-US"/>
        </w:rPr>
        <w:footnoteReference w:id="11"/>
      </w:r>
      <w:r w:rsidRPr="003171CD">
        <w:rPr>
          <w:lang w:val="en-US"/>
        </w:rPr>
        <w:t xml:space="preserve"> Thus, an acknowledgement cannot limit, either directly or indirectly, the Court’s </w:t>
      </w:r>
      <w:r w:rsidR="00A33CB1" w:rsidRPr="003171CD">
        <w:rPr>
          <w:lang w:val="en-US"/>
        </w:rPr>
        <w:t xml:space="preserve">exercise of its </w:t>
      </w:r>
      <w:r w:rsidRPr="003171CD">
        <w:rPr>
          <w:lang w:val="en-US"/>
        </w:rPr>
        <w:t>powers to hear the case that has been submitted to it</w:t>
      </w:r>
      <w:r w:rsidRPr="003171CD">
        <w:rPr>
          <w:rStyle w:val="Refdenotaalpie"/>
          <w:lang w:val="en-US"/>
        </w:rPr>
        <w:footnoteReference w:id="12"/>
      </w:r>
      <w:r w:rsidRPr="003171CD">
        <w:rPr>
          <w:lang w:val="en-US"/>
        </w:rPr>
        <w:t xml:space="preserve"> and to decide whether there has been a violation of a right or freedom protected by the Convention.</w:t>
      </w:r>
      <w:r w:rsidRPr="003171CD">
        <w:rPr>
          <w:rStyle w:val="Refdenotaalpie"/>
          <w:lang w:val="en-US"/>
        </w:rPr>
        <w:footnoteReference w:id="13"/>
      </w:r>
      <w:r w:rsidRPr="003171CD">
        <w:rPr>
          <w:lang w:val="en-US"/>
        </w:rPr>
        <w:t xml:space="preserve"> </w:t>
      </w:r>
      <w:r w:rsidR="00A33CB1" w:rsidRPr="003171CD">
        <w:rPr>
          <w:lang w:val="en-US"/>
        </w:rPr>
        <w:t>To this end, the Court will analyze what has been stated in the specific case</w:t>
      </w:r>
      <w:r w:rsidRPr="003171CD">
        <w:rPr>
          <w:rFonts w:eastAsia="Times"/>
          <w:lang w:val="en-US"/>
        </w:rPr>
        <w:t>.</w:t>
      </w:r>
      <w:r w:rsidRPr="003171CD">
        <w:rPr>
          <w:rStyle w:val="Refdenotaalpie"/>
          <w:color w:val="000000"/>
          <w:lang w:val="en-US"/>
        </w:rPr>
        <w:footnoteReference w:id="14"/>
      </w:r>
    </w:p>
    <w:p w14:paraId="7FB74A3F" w14:textId="77777777" w:rsidR="005A65CE" w:rsidRPr="003171CD" w:rsidRDefault="005A65CE" w:rsidP="005A65CE">
      <w:pPr>
        <w:jc w:val="both"/>
        <w:rPr>
          <w:lang w:val="en-US"/>
        </w:rPr>
      </w:pPr>
    </w:p>
    <w:p w14:paraId="35A84142" w14:textId="77777777" w:rsidR="005A65CE" w:rsidRPr="003171CD" w:rsidRDefault="00BD2DC1" w:rsidP="005A65CE">
      <w:pPr>
        <w:pStyle w:val="Prrafodelista"/>
        <w:numPr>
          <w:ilvl w:val="0"/>
          <w:numId w:val="1"/>
        </w:numPr>
        <w:jc w:val="both"/>
        <w:rPr>
          <w:lang w:val="en-US"/>
        </w:rPr>
      </w:pPr>
      <w:r w:rsidRPr="003171CD">
        <w:rPr>
          <w:lang w:val="en-US"/>
        </w:rPr>
        <w:t xml:space="preserve">With regard </w:t>
      </w:r>
      <w:r w:rsidR="005A65CE" w:rsidRPr="003171CD">
        <w:rPr>
          <w:lang w:val="en-US"/>
        </w:rPr>
        <w:t>to the facts of th</w:t>
      </w:r>
      <w:r w:rsidR="00856228" w:rsidRPr="003171CD">
        <w:rPr>
          <w:lang w:val="en-US"/>
        </w:rPr>
        <w:t xml:space="preserve">is </w:t>
      </w:r>
      <w:r w:rsidR="005A65CE" w:rsidRPr="003171CD">
        <w:rPr>
          <w:lang w:val="en-US"/>
        </w:rPr>
        <w:t xml:space="preserve">case, the Court confirms that the State repeatedly expressed its </w:t>
      </w:r>
      <w:r w:rsidRPr="003171CD">
        <w:rPr>
          <w:lang w:val="en-US"/>
        </w:rPr>
        <w:t xml:space="preserve">acknowledgement </w:t>
      </w:r>
      <w:r w:rsidR="005A65CE" w:rsidRPr="003171CD">
        <w:rPr>
          <w:lang w:val="en-US"/>
        </w:rPr>
        <w:t>and acceptance of the facts presented by the Inter-American Commission in Chapter IV of Merits Report No. 82/13</w:t>
      </w:r>
      <w:r w:rsidRPr="003171CD">
        <w:rPr>
          <w:lang w:val="en-US"/>
        </w:rPr>
        <w:t>, entitled “Established Facts,”</w:t>
      </w:r>
      <w:r w:rsidR="005A65CE" w:rsidRPr="003171CD">
        <w:rPr>
          <w:lang w:val="en-US"/>
        </w:rPr>
        <w:t xml:space="preserve"> which are </w:t>
      </w:r>
      <w:r w:rsidRPr="003171CD">
        <w:rPr>
          <w:lang w:val="en-US"/>
        </w:rPr>
        <w:t xml:space="preserve">further </w:t>
      </w:r>
      <w:r w:rsidR="005A65CE" w:rsidRPr="003171CD">
        <w:rPr>
          <w:lang w:val="en-US"/>
        </w:rPr>
        <w:t xml:space="preserve">developed in the sections entitled “A. Identification and </w:t>
      </w:r>
      <w:r w:rsidRPr="003171CD">
        <w:rPr>
          <w:lang w:val="en-US"/>
        </w:rPr>
        <w:t xml:space="preserve">arrest </w:t>
      </w:r>
      <w:r w:rsidR="005A65CE" w:rsidRPr="003171CD">
        <w:rPr>
          <w:lang w:val="en-US"/>
        </w:rPr>
        <w:t xml:space="preserve">of José Agapito Ruano Torres” and “B. </w:t>
      </w:r>
      <w:r w:rsidR="004021A7" w:rsidRPr="003171CD">
        <w:rPr>
          <w:lang w:val="en-US"/>
        </w:rPr>
        <w:t>Criminal proceeding</w:t>
      </w:r>
      <w:r w:rsidRPr="003171CD">
        <w:rPr>
          <w:lang w:val="en-US"/>
        </w:rPr>
        <w:t>s</w:t>
      </w:r>
      <w:r w:rsidR="004021A7" w:rsidRPr="003171CD">
        <w:rPr>
          <w:lang w:val="en-US"/>
        </w:rPr>
        <w:t xml:space="preserve"> </w:t>
      </w:r>
      <w:r w:rsidR="005A65CE" w:rsidRPr="003171CD">
        <w:rPr>
          <w:lang w:val="en-US"/>
        </w:rPr>
        <w:t>again</w:t>
      </w:r>
      <w:r w:rsidR="004021A7" w:rsidRPr="003171CD">
        <w:rPr>
          <w:lang w:val="en-US"/>
        </w:rPr>
        <w:t>s</w:t>
      </w:r>
      <w:r w:rsidR="005A65CE" w:rsidRPr="003171CD">
        <w:rPr>
          <w:lang w:val="en-US"/>
        </w:rPr>
        <w:t>t José Agapito Ruano Torres.” Consequently</w:t>
      </w:r>
      <w:r w:rsidR="005A65CE" w:rsidRPr="003171CD">
        <w:rPr>
          <w:szCs w:val="20"/>
          <w:lang w:val="en-US"/>
        </w:rPr>
        <w:t>, the Cou</w:t>
      </w:r>
      <w:r w:rsidRPr="003171CD">
        <w:rPr>
          <w:szCs w:val="20"/>
          <w:lang w:val="en-US"/>
        </w:rPr>
        <w:t>rt considers that the State’s</w:t>
      </w:r>
      <w:r w:rsidR="005A65CE" w:rsidRPr="003171CD">
        <w:rPr>
          <w:szCs w:val="20"/>
          <w:lang w:val="en-US"/>
        </w:rPr>
        <w:t xml:space="preserve"> ac</w:t>
      </w:r>
      <w:r w:rsidRPr="003171CD">
        <w:rPr>
          <w:szCs w:val="20"/>
          <w:lang w:val="en-US"/>
        </w:rPr>
        <w:t xml:space="preserve">quiescence </w:t>
      </w:r>
      <w:r w:rsidR="005A65CE" w:rsidRPr="003171CD">
        <w:rPr>
          <w:szCs w:val="20"/>
          <w:lang w:val="en-US"/>
        </w:rPr>
        <w:t xml:space="preserve">encompasses the facts </w:t>
      </w:r>
      <w:r w:rsidR="00A47405" w:rsidRPr="003171CD">
        <w:rPr>
          <w:szCs w:val="20"/>
          <w:lang w:val="en-US"/>
        </w:rPr>
        <w:t xml:space="preserve">that took place </w:t>
      </w:r>
      <w:r w:rsidR="005A65CE" w:rsidRPr="003171CD">
        <w:rPr>
          <w:szCs w:val="20"/>
          <w:lang w:val="en-US"/>
        </w:rPr>
        <w:t xml:space="preserve">from August </w:t>
      </w:r>
      <w:r w:rsidR="00856228" w:rsidRPr="003171CD">
        <w:rPr>
          <w:szCs w:val="20"/>
          <w:lang w:val="en-US"/>
        </w:rPr>
        <w:t xml:space="preserve">22, 2000, as </w:t>
      </w:r>
      <w:r w:rsidRPr="003171CD">
        <w:rPr>
          <w:szCs w:val="20"/>
          <w:lang w:val="en-US"/>
        </w:rPr>
        <w:t>described in the Merits R</w:t>
      </w:r>
      <w:r w:rsidR="005A65CE" w:rsidRPr="003171CD">
        <w:rPr>
          <w:szCs w:val="20"/>
          <w:lang w:val="en-US"/>
        </w:rPr>
        <w:t xml:space="preserve">eport in the terms in </w:t>
      </w:r>
      <w:r w:rsidR="00A47405" w:rsidRPr="003171CD">
        <w:rPr>
          <w:szCs w:val="20"/>
          <w:lang w:val="en-US"/>
        </w:rPr>
        <w:t xml:space="preserve">which </w:t>
      </w:r>
      <w:r w:rsidR="005A65CE" w:rsidRPr="003171CD">
        <w:rPr>
          <w:szCs w:val="20"/>
          <w:lang w:val="en-US"/>
        </w:rPr>
        <w:t>the case was submitted to this Court. Therefore, the Court considers that the</w:t>
      </w:r>
      <w:r w:rsidR="00856228" w:rsidRPr="003171CD">
        <w:rPr>
          <w:szCs w:val="20"/>
          <w:lang w:val="en-US"/>
        </w:rPr>
        <w:t>re is no</w:t>
      </w:r>
      <w:r w:rsidR="005A65CE" w:rsidRPr="003171CD">
        <w:rPr>
          <w:szCs w:val="20"/>
          <w:lang w:val="en-US"/>
        </w:rPr>
        <w:t xml:space="preserve"> dispute </w:t>
      </w:r>
      <w:r w:rsidR="00A47405" w:rsidRPr="003171CD">
        <w:rPr>
          <w:szCs w:val="20"/>
          <w:lang w:val="en-US"/>
        </w:rPr>
        <w:t xml:space="preserve">regarding </w:t>
      </w:r>
      <w:r w:rsidR="00137C61" w:rsidRPr="003171CD">
        <w:rPr>
          <w:szCs w:val="20"/>
          <w:lang w:val="en-US"/>
        </w:rPr>
        <w:t>t</w:t>
      </w:r>
      <w:r w:rsidR="005A65CE" w:rsidRPr="003171CD">
        <w:rPr>
          <w:szCs w:val="20"/>
          <w:lang w:val="en-US"/>
        </w:rPr>
        <w:t xml:space="preserve">he facts that constitute the factual basis of this </w:t>
      </w:r>
      <w:r w:rsidR="00856228" w:rsidRPr="003171CD">
        <w:rPr>
          <w:szCs w:val="20"/>
          <w:lang w:val="en-US"/>
        </w:rPr>
        <w:t>case</w:t>
      </w:r>
      <w:r w:rsidR="005A65CE" w:rsidRPr="003171CD">
        <w:rPr>
          <w:szCs w:val="20"/>
          <w:lang w:val="en-US"/>
        </w:rPr>
        <w:t>.</w:t>
      </w:r>
      <w:r w:rsidR="005A65CE" w:rsidRPr="003171CD">
        <w:rPr>
          <w:lang w:val="en-US"/>
        </w:rPr>
        <w:t xml:space="preserve"> </w:t>
      </w:r>
      <w:r w:rsidR="00F26F7D" w:rsidRPr="003171CD">
        <w:rPr>
          <w:lang w:val="en-US"/>
        </w:rPr>
        <w:t xml:space="preserve">As </w:t>
      </w:r>
      <w:r w:rsidR="005A65CE" w:rsidRPr="003171CD">
        <w:rPr>
          <w:lang w:val="en-US"/>
        </w:rPr>
        <w:t xml:space="preserve">to the </w:t>
      </w:r>
      <w:r w:rsidR="005A65CE" w:rsidRPr="003171CD">
        <w:rPr>
          <w:szCs w:val="20"/>
          <w:lang w:val="en-US"/>
        </w:rPr>
        <w:t xml:space="preserve">facts presented in the representatives’ pleadings and motions brief, the Court </w:t>
      </w:r>
      <w:r w:rsidR="00F26F7D" w:rsidRPr="003171CD">
        <w:rPr>
          <w:szCs w:val="20"/>
          <w:lang w:val="en-US"/>
        </w:rPr>
        <w:t>notes that the</w:t>
      </w:r>
      <w:r w:rsidR="005A65CE" w:rsidRPr="003171CD">
        <w:rPr>
          <w:szCs w:val="20"/>
          <w:lang w:val="en-US"/>
        </w:rPr>
        <w:t xml:space="preserve"> </w:t>
      </w:r>
      <w:r w:rsidRPr="003171CD">
        <w:rPr>
          <w:szCs w:val="20"/>
          <w:lang w:val="en-US"/>
        </w:rPr>
        <w:t>position expressed by the State</w:t>
      </w:r>
      <w:r w:rsidR="005A65CE" w:rsidRPr="003171CD">
        <w:rPr>
          <w:szCs w:val="20"/>
          <w:lang w:val="en-US"/>
        </w:rPr>
        <w:t xml:space="preserve"> </w:t>
      </w:r>
      <w:r w:rsidRPr="003171CD">
        <w:rPr>
          <w:szCs w:val="20"/>
          <w:lang w:val="en-US"/>
        </w:rPr>
        <w:t xml:space="preserve">is limited to </w:t>
      </w:r>
      <w:r w:rsidR="004021A7" w:rsidRPr="003171CD">
        <w:rPr>
          <w:szCs w:val="20"/>
          <w:lang w:val="en-US"/>
        </w:rPr>
        <w:t>the</w:t>
      </w:r>
      <w:r w:rsidR="005A65CE" w:rsidRPr="003171CD">
        <w:rPr>
          <w:szCs w:val="20"/>
          <w:lang w:val="en-US"/>
        </w:rPr>
        <w:t xml:space="preserve"> factual framework presented by the Commission.</w:t>
      </w:r>
    </w:p>
    <w:p w14:paraId="12DC49E3" w14:textId="77777777" w:rsidR="005A65CE" w:rsidRPr="003171CD" w:rsidRDefault="005A65CE" w:rsidP="005A65CE">
      <w:pPr>
        <w:pStyle w:val="Prrafodelista"/>
        <w:ind w:left="0"/>
        <w:jc w:val="both"/>
        <w:rPr>
          <w:b/>
          <w:szCs w:val="20"/>
          <w:lang w:val="en-US"/>
        </w:rPr>
      </w:pPr>
    </w:p>
    <w:p w14:paraId="280B32D4" w14:textId="77777777" w:rsidR="005A65CE" w:rsidRPr="003171CD" w:rsidRDefault="005A65CE" w:rsidP="005A65CE">
      <w:pPr>
        <w:pStyle w:val="Prrafodelista"/>
        <w:numPr>
          <w:ilvl w:val="0"/>
          <w:numId w:val="1"/>
        </w:numPr>
        <w:jc w:val="both"/>
        <w:rPr>
          <w:lang w:val="en-US"/>
        </w:rPr>
      </w:pPr>
      <w:r w:rsidRPr="003171CD">
        <w:rPr>
          <w:szCs w:val="20"/>
          <w:lang w:val="en-US"/>
        </w:rPr>
        <w:t xml:space="preserve">However, the Court </w:t>
      </w:r>
      <w:r w:rsidR="00F26F7D" w:rsidRPr="003171CD">
        <w:rPr>
          <w:szCs w:val="20"/>
          <w:lang w:val="en-US"/>
        </w:rPr>
        <w:t xml:space="preserve">advises </w:t>
      </w:r>
      <w:r w:rsidRPr="003171CD">
        <w:rPr>
          <w:szCs w:val="20"/>
          <w:lang w:val="en-US"/>
        </w:rPr>
        <w:t xml:space="preserve">that discrepancies </w:t>
      </w:r>
      <w:r w:rsidR="004021A7" w:rsidRPr="003171CD">
        <w:rPr>
          <w:szCs w:val="20"/>
          <w:lang w:val="en-US"/>
        </w:rPr>
        <w:t xml:space="preserve">could exist </w:t>
      </w:r>
      <w:r w:rsidRPr="003171CD">
        <w:rPr>
          <w:szCs w:val="20"/>
          <w:lang w:val="en-US"/>
        </w:rPr>
        <w:t xml:space="preserve">between the </w:t>
      </w:r>
      <w:r w:rsidR="00F26F7D" w:rsidRPr="003171CD">
        <w:rPr>
          <w:szCs w:val="20"/>
          <w:lang w:val="en-US"/>
        </w:rPr>
        <w:t xml:space="preserve">State’s </w:t>
      </w:r>
      <w:r w:rsidRPr="003171CD">
        <w:rPr>
          <w:szCs w:val="20"/>
          <w:lang w:val="en-US"/>
        </w:rPr>
        <w:t xml:space="preserve">acceptance of the facts and its </w:t>
      </w:r>
      <w:r w:rsidR="004021A7" w:rsidRPr="003171CD">
        <w:rPr>
          <w:szCs w:val="20"/>
          <w:lang w:val="en-US"/>
        </w:rPr>
        <w:t>understanding</w:t>
      </w:r>
      <w:r w:rsidRPr="003171CD">
        <w:rPr>
          <w:szCs w:val="20"/>
          <w:lang w:val="en-US"/>
        </w:rPr>
        <w:t xml:space="preserve"> of certain </w:t>
      </w:r>
      <w:r w:rsidR="00F26F7D" w:rsidRPr="003171CD">
        <w:rPr>
          <w:szCs w:val="20"/>
          <w:lang w:val="en-US"/>
        </w:rPr>
        <w:t xml:space="preserve">matters </w:t>
      </w:r>
      <w:r w:rsidRPr="003171CD">
        <w:rPr>
          <w:szCs w:val="20"/>
          <w:lang w:val="en-US"/>
        </w:rPr>
        <w:t xml:space="preserve">according to the </w:t>
      </w:r>
      <w:r w:rsidRPr="003171CD">
        <w:rPr>
          <w:lang w:val="en-US"/>
        </w:rPr>
        <w:t xml:space="preserve">Office of the Attorney General of the Republic, </w:t>
      </w:r>
      <w:r w:rsidR="00F26F7D" w:rsidRPr="003171CD">
        <w:rPr>
          <w:lang w:val="en-US"/>
        </w:rPr>
        <w:t xml:space="preserve">as presented </w:t>
      </w:r>
      <w:r w:rsidRPr="003171CD">
        <w:rPr>
          <w:szCs w:val="20"/>
          <w:lang w:val="en-US"/>
        </w:rPr>
        <w:t>in its final arguments (</w:t>
      </w:r>
      <w:r w:rsidRPr="003171CD">
        <w:rPr>
          <w:i/>
          <w:szCs w:val="20"/>
          <w:lang w:val="en-US"/>
        </w:rPr>
        <w:t>supra</w:t>
      </w:r>
      <w:r w:rsidRPr="003171CD">
        <w:rPr>
          <w:szCs w:val="20"/>
          <w:lang w:val="en-US"/>
        </w:rPr>
        <w:t xml:space="preserve"> para. 15). </w:t>
      </w:r>
      <w:r w:rsidR="004021A7" w:rsidRPr="003171CD">
        <w:rPr>
          <w:szCs w:val="20"/>
          <w:lang w:val="en-US"/>
        </w:rPr>
        <w:t>Indeed</w:t>
      </w:r>
      <w:r w:rsidRPr="003171CD">
        <w:rPr>
          <w:lang w:val="en-US"/>
        </w:rPr>
        <w:t xml:space="preserve">, the State </w:t>
      </w:r>
      <w:r w:rsidR="00F26F7D" w:rsidRPr="003171CD">
        <w:rPr>
          <w:lang w:val="en-US"/>
        </w:rPr>
        <w:t xml:space="preserve">argued </w:t>
      </w:r>
      <w:r w:rsidRPr="003171CD">
        <w:rPr>
          <w:lang w:val="en-US"/>
        </w:rPr>
        <w:t xml:space="preserve">that, </w:t>
      </w:r>
      <w:r w:rsidR="00345308" w:rsidRPr="003171CD">
        <w:rPr>
          <w:lang w:val="en-US"/>
        </w:rPr>
        <w:t xml:space="preserve">according to </w:t>
      </w:r>
      <w:r w:rsidRPr="003171CD">
        <w:rPr>
          <w:lang w:val="en-US"/>
        </w:rPr>
        <w:t>the Office of the Attorney General</w:t>
      </w:r>
      <w:r w:rsidR="00345308" w:rsidRPr="003171CD">
        <w:rPr>
          <w:lang w:val="en-US"/>
        </w:rPr>
        <w:t xml:space="preserve">: i) </w:t>
      </w:r>
      <w:r w:rsidR="00FD638E" w:rsidRPr="003171CD">
        <w:rPr>
          <w:lang w:val="en-US"/>
        </w:rPr>
        <w:t>the record</w:t>
      </w:r>
      <w:r w:rsidR="00C85BF5" w:rsidRPr="003171CD">
        <w:rPr>
          <w:lang w:val="en-US"/>
        </w:rPr>
        <w:t>s</w:t>
      </w:r>
      <w:r w:rsidR="00FD638E" w:rsidRPr="003171CD">
        <w:rPr>
          <w:lang w:val="en-US"/>
        </w:rPr>
        <w:t xml:space="preserve"> </w:t>
      </w:r>
      <w:r w:rsidR="00C85BF5" w:rsidRPr="003171CD">
        <w:rPr>
          <w:lang w:val="en-US"/>
        </w:rPr>
        <w:t>show</w:t>
      </w:r>
      <w:r w:rsidR="00FD638E" w:rsidRPr="003171CD">
        <w:rPr>
          <w:lang w:val="en-US"/>
        </w:rPr>
        <w:t xml:space="preserve"> that </w:t>
      </w:r>
      <w:r w:rsidR="00856228" w:rsidRPr="003171CD">
        <w:rPr>
          <w:lang w:val="en-US"/>
        </w:rPr>
        <w:t xml:space="preserve">steps were taken </w:t>
      </w:r>
      <w:r w:rsidR="00FD638E" w:rsidRPr="003171CD">
        <w:rPr>
          <w:lang w:val="en-US"/>
        </w:rPr>
        <w:t>to identify</w:t>
      </w:r>
      <w:r w:rsidR="00345308" w:rsidRPr="003171CD">
        <w:rPr>
          <w:lang w:val="en-US"/>
        </w:rPr>
        <w:t xml:space="preserve"> </w:t>
      </w:r>
      <w:r w:rsidRPr="003171CD">
        <w:rPr>
          <w:lang w:val="en-US"/>
        </w:rPr>
        <w:t xml:space="preserve">Mr. Ruano Torres, such as the identification parade, </w:t>
      </w:r>
      <w:r w:rsidR="00FD638E" w:rsidRPr="003171CD">
        <w:rPr>
          <w:lang w:val="en-US"/>
        </w:rPr>
        <w:t xml:space="preserve">which </w:t>
      </w:r>
      <w:r w:rsidRPr="003171CD">
        <w:rPr>
          <w:lang w:val="en-US"/>
        </w:rPr>
        <w:t xml:space="preserve">has been disputed before this Court, but </w:t>
      </w:r>
      <w:r w:rsidRPr="003171CD">
        <w:rPr>
          <w:lang w:val="en-US"/>
        </w:rPr>
        <w:lastRenderedPageBreak/>
        <w:t xml:space="preserve">that </w:t>
      </w:r>
      <w:r w:rsidR="00C81D33" w:rsidRPr="003171CD">
        <w:rPr>
          <w:lang w:val="en-US"/>
        </w:rPr>
        <w:t xml:space="preserve">this procedure </w:t>
      </w:r>
      <w:r w:rsidR="00FD638E" w:rsidRPr="003171CD">
        <w:rPr>
          <w:lang w:val="en-US"/>
        </w:rPr>
        <w:t xml:space="preserve">was </w:t>
      </w:r>
      <w:r w:rsidR="004343C0" w:rsidRPr="003171CD">
        <w:rPr>
          <w:lang w:val="en-US"/>
        </w:rPr>
        <w:t xml:space="preserve">carried out </w:t>
      </w:r>
      <w:r w:rsidRPr="003171CD">
        <w:rPr>
          <w:lang w:val="en-US"/>
        </w:rPr>
        <w:t>with authorization and judicial</w:t>
      </w:r>
      <w:r w:rsidR="00345308" w:rsidRPr="003171CD">
        <w:rPr>
          <w:lang w:val="en-US"/>
        </w:rPr>
        <w:t xml:space="preserve"> control</w:t>
      </w:r>
      <w:r w:rsidRPr="003171CD">
        <w:rPr>
          <w:lang w:val="en-US"/>
        </w:rPr>
        <w:t xml:space="preserve">; ii) </w:t>
      </w:r>
      <w:r w:rsidR="00651D97" w:rsidRPr="003171CD">
        <w:rPr>
          <w:lang w:val="en-US"/>
        </w:rPr>
        <w:t xml:space="preserve">neither the </w:t>
      </w:r>
      <w:r w:rsidR="002F1D1E" w:rsidRPr="003171CD">
        <w:rPr>
          <w:lang w:val="en-US"/>
        </w:rPr>
        <w:t xml:space="preserve">victim’s </w:t>
      </w:r>
      <w:r w:rsidR="00651D97" w:rsidRPr="003171CD">
        <w:rPr>
          <w:lang w:val="en-US"/>
        </w:rPr>
        <w:t xml:space="preserve">family nor his defense </w:t>
      </w:r>
      <w:r w:rsidR="00C81D33" w:rsidRPr="003171CD">
        <w:rPr>
          <w:lang w:val="en-US"/>
        </w:rPr>
        <w:t xml:space="preserve">counsel </w:t>
      </w:r>
      <w:r w:rsidR="00651D97" w:rsidRPr="003171CD">
        <w:rPr>
          <w:lang w:val="en-US"/>
        </w:rPr>
        <w:t xml:space="preserve">approached the </w:t>
      </w:r>
      <w:r w:rsidRPr="003171CD">
        <w:rPr>
          <w:lang w:val="en-US"/>
        </w:rPr>
        <w:t xml:space="preserve">Office of the Attorney General </w:t>
      </w:r>
      <w:r w:rsidR="002F1D1E" w:rsidRPr="003171CD">
        <w:rPr>
          <w:lang w:val="en-US"/>
        </w:rPr>
        <w:t>to request</w:t>
      </w:r>
      <w:r w:rsidR="00651D97" w:rsidRPr="003171CD">
        <w:rPr>
          <w:lang w:val="en-US"/>
        </w:rPr>
        <w:t xml:space="preserve"> that </w:t>
      </w:r>
      <w:r w:rsidRPr="003171CD">
        <w:rPr>
          <w:lang w:val="en-US"/>
        </w:rPr>
        <w:t xml:space="preserve">witnesses </w:t>
      </w:r>
      <w:r w:rsidR="00651D97" w:rsidRPr="003171CD">
        <w:rPr>
          <w:lang w:val="en-US"/>
        </w:rPr>
        <w:t xml:space="preserve">be interviewed </w:t>
      </w:r>
      <w:r w:rsidRPr="003171CD">
        <w:rPr>
          <w:lang w:val="en-US"/>
        </w:rPr>
        <w:t xml:space="preserve">in order to establish that the nickname </w:t>
      </w:r>
      <w:r w:rsidR="00A96DF3" w:rsidRPr="003171CD">
        <w:rPr>
          <w:i/>
          <w:lang w:val="en-US"/>
        </w:rPr>
        <w:t>Chopo</w:t>
      </w:r>
      <w:r w:rsidRPr="003171CD">
        <w:rPr>
          <w:i/>
          <w:iCs/>
          <w:lang w:val="en-US"/>
        </w:rPr>
        <w:t xml:space="preserve"> </w:t>
      </w:r>
      <w:r w:rsidRPr="003171CD">
        <w:rPr>
          <w:iCs/>
          <w:lang w:val="en-US"/>
        </w:rPr>
        <w:t>did not belong</w:t>
      </w:r>
      <w:r w:rsidRPr="003171CD">
        <w:rPr>
          <w:i/>
          <w:iCs/>
          <w:lang w:val="en-US"/>
        </w:rPr>
        <w:t xml:space="preserve"> </w:t>
      </w:r>
      <w:r w:rsidRPr="003171CD">
        <w:rPr>
          <w:lang w:val="en-US"/>
        </w:rPr>
        <w:t>to Mr. Ruano Torres</w:t>
      </w:r>
      <w:r w:rsidRPr="003171CD">
        <w:rPr>
          <w:iCs/>
          <w:lang w:val="en-US"/>
        </w:rPr>
        <w:t>;</w:t>
      </w:r>
      <w:r w:rsidRPr="003171CD">
        <w:rPr>
          <w:lang w:val="en-US"/>
        </w:rPr>
        <w:t xml:space="preserve"> and iii) the credibility of Rodolfo Ruano Torres </w:t>
      </w:r>
      <w:r w:rsidR="00651D97" w:rsidRPr="003171CD">
        <w:rPr>
          <w:lang w:val="en-US"/>
        </w:rPr>
        <w:t xml:space="preserve">seemed </w:t>
      </w:r>
      <w:r w:rsidR="00345308" w:rsidRPr="003171CD">
        <w:rPr>
          <w:lang w:val="en-US"/>
        </w:rPr>
        <w:t xml:space="preserve">questionable </w:t>
      </w:r>
      <w:r w:rsidRPr="003171CD">
        <w:rPr>
          <w:lang w:val="en-US"/>
        </w:rPr>
        <w:t>a</w:t>
      </w:r>
      <w:r w:rsidR="00651D97" w:rsidRPr="003171CD">
        <w:rPr>
          <w:lang w:val="en-US"/>
        </w:rPr>
        <w:t xml:space="preserve">s did </w:t>
      </w:r>
      <w:r w:rsidRPr="003171CD">
        <w:rPr>
          <w:lang w:val="en-US"/>
        </w:rPr>
        <w:t xml:space="preserve">his interest in clarifying the </w:t>
      </w:r>
      <w:r w:rsidR="00B81D51" w:rsidRPr="003171CD">
        <w:rPr>
          <w:lang w:val="en-US"/>
        </w:rPr>
        <w:t xml:space="preserve">accusation </w:t>
      </w:r>
      <w:r w:rsidR="00345308" w:rsidRPr="003171CD">
        <w:rPr>
          <w:lang w:val="en-US"/>
        </w:rPr>
        <w:t xml:space="preserve">against </w:t>
      </w:r>
      <w:r w:rsidR="00311D44" w:rsidRPr="003171CD">
        <w:rPr>
          <w:lang w:val="en-US"/>
        </w:rPr>
        <w:t>José Agapito Ruano Torres</w:t>
      </w:r>
      <w:r w:rsidRPr="003171CD">
        <w:rPr>
          <w:lang w:val="en-US"/>
        </w:rPr>
        <w:t xml:space="preserve"> a</w:t>
      </w:r>
      <w:r w:rsidR="00C81D33" w:rsidRPr="003171CD">
        <w:rPr>
          <w:lang w:val="en-US"/>
        </w:rPr>
        <w:t>nd</w:t>
      </w:r>
      <w:r w:rsidR="00311D44" w:rsidRPr="003171CD">
        <w:rPr>
          <w:lang w:val="en-US"/>
        </w:rPr>
        <w:t>,</w:t>
      </w:r>
      <w:r w:rsidR="00C81D33" w:rsidRPr="003171CD">
        <w:rPr>
          <w:lang w:val="en-US"/>
        </w:rPr>
        <w:t xml:space="preserve"> furthermore, </w:t>
      </w:r>
      <w:r w:rsidRPr="003171CD">
        <w:rPr>
          <w:lang w:val="en-US"/>
        </w:rPr>
        <w:t xml:space="preserve">Mr. Rodolfo Ruano Torres </w:t>
      </w:r>
      <w:r w:rsidR="00C81D33" w:rsidRPr="003171CD">
        <w:rPr>
          <w:lang w:val="en-US"/>
        </w:rPr>
        <w:t xml:space="preserve">did </w:t>
      </w:r>
      <w:r w:rsidRPr="003171CD">
        <w:rPr>
          <w:lang w:val="en-US"/>
        </w:rPr>
        <w:t>no</w:t>
      </w:r>
      <w:r w:rsidR="00316C8F" w:rsidRPr="003171CD">
        <w:rPr>
          <w:lang w:val="en-US"/>
        </w:rPr>
        <w:t>t</w:t>
      </w:r>
      <w:r w:rsidR="00C81D33" w:rsidRPr="003171CD">
        <w:rPr>
          <w:lang w:val="en-US"/>
        </w:rPr>
        <w:t xml:space="preserve"> appear</w:t>
      </w:r>
      <w:r w:rsidRPr="003171CD">
        <w:rPr>
          <w:lang w:val="en-US"/>
        </w:rPr>
        <w:t xml:space="preserve"> at the review of judgment</w:t>
      </w:r>
      <w:r w:rsidR="00C81D33" w:rsidRPr="003171CD">
        <w:rPr>
          <w:lang w:val="en-US"/>
        </w:rPr>
        <w:t xml:space="preserve"> hearing</w:t>
      </w:r>
      <w:r w:rsidRPr="003171CD">
        <w:rPr>
          <w:lang w:val="en-US"/>
        </w:rPr>
        <w:t xml:space="preserve">. The State asked the Court to consider the arguments </w:t>
      </w:r>
      <w:r w:rsidR="00345308" w:rsidRPr="003171CD">
        <w:rPr>
          <w:lang w:val="en-US"/>
        </w:rPr>
        <w:t>presented</w:t>
      </w:r>
      <w:r w:rsidRPr="003171CD">
        <w:rPr>
          <w:lang w:val="en-US"/>
        </w:rPr>
        <w:t xml:space="preserve"> a</w:t>
      </w:r>
      <w:r w:rsidR="00C81D33" w:rsidRPr="003171CD">
        <w:rPr>
          <w:lang w:val="en-US"/>
        </w:rPr>
        <w:t xml:space="preserve">nd </w:t>
      </w:r>
      <w:r w:rsidR="00311D44" w:rsidRPr="003171CD">
        <w:rPr>
          <w:lang w:val="en-US"/>
        </w:rPr>
        <w:t xml:space="preserve">argued </w:t>
      </w:r>
      <w:r w:rsidR="002F1D1E" w:rsidRPr="003171CD">
        <w:rPr>
          <w:lang w:val="en-US"/>
        </w:rPr>
        <w:t>th</w:t>
      </w:r>
      <w:r w:rsidR="00C81D33" w:rsidRPr="003171CD">
        <w:rPr>
          <w:lang w:val="en-US"/>
        </w:rPr>
        <w:t xml:space="preserve">at </w:t>
      </w:r>
      <w:r w:rsidR="00345308" w:rsidRPr="003171CD">
        <w:rPr>
          <w:lang w:val="en-US"/>
        </w:rPr>
        <w:t xml:space="preserve">its attitude </w:t>
      </w:r>
      <w:r w:rsidR="00C81D33" w:rsidRPr="003171CD">
        <w:rPr>
          <w:lang w:val="en-US"/>
        </w:rPr>
        <w:t xml:space="preserve">was </w:t>
      </w:r>
      <w:r w:rsidR="00345308" w:rsidRPr="003171CD">
        <w:rPr>
          <w:lang w:val="en-US"/>
        </w:rPr>
        <w:t xml:space="preserve">consistent </w:t>
      </w:r>
      <w:r w:rsidRPr="003171CD">
        <w:rPr>
          <w:lang w:val="en-US"/>
        </w:rPr>
        <w:t xml:space="preserve">with </w:t>
      </w:r>
      <w:r w:rsidR="002F1D1E" w:rsidRPr="003171CD">
        <w:rPr>
          <w:lang w:val="en-US"/>
        </w:rPr>
        <w:t xml:space="preserve">its </w:t>
      </w:r>
      <w:r w:rsidRPr="003171CD">
        <w:rPr>
          <w:lang w:val="en-US"/>
        </w:rPr>
        <w:t>acknowledgment of international responsibility.</w:t>
      </w:r>
    </w:p>
    <w:p w14:paraId="50A9ACAE" w14:textId="77777777" w:rsidR="005A65CE" w:rsidRPr="003171CD" w:rsidRDefault="005A65CE" w:rsidP="005A65CE">
      <w:pPr>
        <w:pStyle w:val="Prrafodelista"/>
        <w:ind w:left="0"/>
        <w:jc w:val="both"/>
        <w:rPr>
          <w:lang w:val="en-US"/>
        </w:rPr>
      </w:pPr>
    </w:p>
    <w:p w14:paraId="18527BDC" w14:textId="77777777" w:rsidR="005A65CE" w:rsidRPr="003171CD" w:rsidRDefault="002F1D1E" w:rsidP="005A65CE">
      <w:pPr>
        <w:pStyle w:val="Prrafodelista"/>
        <w:numPr>
          <w:ilvl w:val="0"/>
          <w:numId w:val="1"/>
        </w:numPr>
        <w:jc w:val="both"/>
        <w:rPr>
          <w:lang w:val="en-US"/>
        </w:rPr>
      </w:pPr>
      <w:r w:rsidRPr="003171CD">
        <w:rPr>
          <w:szCs w:val="20"/>
          <w:lang w:val="en-US"/>
        </w:rPr>
        <w:t xml:space="preserve">The Court </w:t>
      </w:r>
      <w:r w:rsidR="0085177B" w:rsidRPr="003171CD">
        <w:rPr>
          <w:szCs w:val="20"/>
          <w:lang w:val="en-US"/>
        </w:rPr>
        <w:t xml:space="preserve">notes </w:t>
      </w:r>
      <w:r w:rsidRPr="003171CD">
        <w:rPr>
          <w:szCs w:val="20"/>
          <w:lang w:val="en-US"/>
        </w:rPr>
        <w:t>that the</w:t>
      </w:r>
      <w:r w:rsidR="000A4B42" w:rsidRPr="003171CD">
        <w:rPr>
          <w:szCs w:val="20"/>
          <w:lang w:val="en-US"/>
        </w:rPr>
        <w:t xml:space="preserve"> State’s</w:t>
      </w:r>
      <w:r w:rsidR="005A65CE" w:rsidRPr="003171CD">
        <w:rPr>
          <w:szCs w:val="20"/>
          <w:lang w:val="en-US"/>
        </w:rPr>
        <w:t xml:space="preserve"> arguments</w:t>
      </w:r>
      <w:r w:rsidR="00345308" w:rsidRPr="003171CD">
        <w:rPr>
          <w:szCs w:val="20"/>
          <w:lang w:val="en-US"/>
        </w:rPr>
        <w:t xml:space="preserve"> are within </w:t>
      </w:r>
      <w:r w:rsidR="005A65CE" w:rsidRPr="003171CD">
        <w:rPr>
          <w:lang w:val="en-US"/>
        </w:rPr>
        <w:t xml:space="preserve">the </w:t>
      </w:r>
      <w:r w:rsidR="00345308" w:rsidRPr="003171CD">
        <w:rPr>
          <w:lang w:val="en-US"/>
        </w:rPr>
        <w:t xml:space="preserve">framework of the </w:t>
      </w:r>
      <w:r w:rsidR="005A65CE" w:rsidRPr="003171CD">
        <w:rPr>
          <w:lang w:val="en-US"/>
        </w:rPr>
        <w:t xml:space="preserve">principle of </w:t>
      </w:r>
      <w:r w:rsidR="005A65CE" w:rsidRPr="003171CD">
        <w:rPr>
          <w:i/>
          <w:lang w:val="en-US"/>
        </w:rPr>
        <w:t>estoppel</w:t>
      </w:r>
      <w:r w:rsidRPr="003171CD">
        <w:rPr>
          <w:lang w:val="en-US"/>
        </w:rPr>
        <w:t xml:space="preserve"> </w:t>
      </w:r>
      <w:r w:rsidR="005A65CE" w:rsidRPr="003171CD">
        <w:rPr>
          <w:lang w:val="en-US"/>
        </w:rPr>
        <w:t xml:space="preserve">which, </w:t>
      </w:r>
      <w:r w:rsidR="00927BEC" w:rsidRPr="003171CD">
        <w:rPr>
          <w:lang w:val="en-US"/>
        </w:rPr>
        <w:t>a</w:t>
      </w:r>
      <w:r w:rsidR="000A4B42" w:rsidRPr="003171CD">
        <w:rPr>
          <w:lang w:val="en-US"/>
        </w:rPr>
        <w:t xml:space="preserve">ccording to </w:t>
      </w:r>
      <w:r w:rsidR="005A65CE" w:rsidRPr="003171CD">
        <w:rPr>
          <w:lang w:val="en-US"/>
        </w:rPr>
        <w:t xml:space="preserve">international practice and its own case law, </w:t>
      </w:r>
      <w:r w:rsidR="000A4B42" w:rsidRPr="003171CD">
        <w:rPr>
          <w:lang w:val="en-US"/>
        </w:rPr>
        <w:t xml:space="preserve">means that when a party to a litigation has adopted a specific position to its own benefit or to the detriment of the other party, under the </w:t>
      </w:r>
      <w:r w:rsidR="000A4B42" w:rsidRPr="003171CD">
        <w:rPr>
          <w:i/>
          <w:lang w:val="en-US"/>
        </w:rPr>
        <w:t>estoppel</w:t>
      </w:r>
      <w:r w:rsidR="000A4B42" w:rsidRPr="003171CD">
        <w:rPr>
          <w:lang w:val="en-US"/>
        </w:rPr>
        <w:t xml:space="preserve"> principle it cannot later take a different position that contradicts the first one</w:t>
      </w:r>
      <w:r w:rsidR="005A65CE" w:rsidRPr="003171CD">
        <w:rPr>
          <w:lang w:val="en-US"/>
        </w:rPr>
        <w:t>.</w:t>
      </w:r>
      <w:r w:rsidR="005A65CE" w:rsidRPr="003171CD">
        <w:rPr>
          <w:rStyle w:val="Refdenotaalpie"/>
          <w:lang w:val="en-US"/>
        </w:rPr>
        <w:footnoteReference w:id="15"/>
      </w:r>
      <w:r w:rsidR="005A65CE" w:rsidRPr="003171CD">
        <w:rPr>
          <w:lang w:val="en-US"/>
        </w:rPr>
        <w:t xml:space="preserve"> </w:t>
      </w:r>
      <w:r w:rsidR="0085177B" w:rsidRPr="003171CD">
        <w:rPr>
          <w:lang w:val="en-US"/>
        </w:rPr>
        <w:t xml:space="preserve">Thus, </w:t>
      </w:r>
      <w:r w:rsidR="00E81087" w:rsidRPr="003171CD">
        <w:rPr>
          <w:lang w:val="en-US"/>
        </w:rPr>
        <w:t xml:space="preserve">in its </w:t>
      </w:r>
      <w:r w:rsidR="005A65CE" w:rsidRPr="003171CD">
        <w:rPr>
          <w:lang w:val="en-US"/>
        </w:rPr>
        <w:t>answering brief</w:t>
      </w:r>
      <w:r w:rsidR="000A4B42" w:rsidRPr="003171CD">
        <w:rPr>
          <w:lang w:val="en-US"/>
        </w:rPr>
        <w:t>,</w:t>
      </w:r>
      <w:r w:rsidR="005A65CE" w:rsidRPr="003171CD">
        <w:rPr>
          <w:lang w:val="en-US"/>
        </w:rPr>
        <w:t xml:space="preserve"> </w:t>
      </w:r>
      <w:r w:rsidR="000A4B42" w:rsidRPr="003171CD">
        <w:rPr>
          <w:lang w:val="en-US"/>
        </w:rPr>
        <w:t xml:space="preserve">the State </w:t>
      </w:r>
      <w:r w:rsidR="005A65CE" w:rsidRPr="003171CD">
        <w:rPr>
          <w:lang w:val="en-US"/>
        </w:rPr>
        <w:t>accept</w:t>
      </w:r>
      <w:r w:rsidR="00E81087" w:rsidRPr="003171CD">
        <w:rPr>
          <w:lang w:val="en-US"/>
        </w:rPr>
        <w:t xml:space="preserve">ed </w:t>
      </w:r>
      <w:r w:rsidR="005A65CE" w:rsidRPr="003171CD">
        <w:rPr>
          <w:lang w:val="en-US"/>
        </w:rPr>
        <w:t>the facts</w:t>
      </w:r>
      <w:r w:rsidR="00927BEC" w:rsidRPr="003171CD">
        <w:rPr>
          <w:lang w:val="en-US"/>
        </w:rPr>
        <w:t xml:space="preserve"> described in the Commission’s Merits R</w:t>
      </w:r>
      <w:r w:rsidR="005A65CE" w:rsidRPr="003171CD">
        <w:rPr>
          <w:lang w:val="en-US"/>
        </w:rPr>
        <w:t xml:space="preserve">eport </w:t>
      </w:r>
      <w:r w:rsidR="00F55EC8" w:rsidRPr="003171CD">
        <w:rPr>
          <w:lang w:val="en-US"/>
        </w:rPr>
        <w:t xml:space="preserve">without </w:t>
      </w:r>
      <w:r w:rsidR="00E81087" w:rsidRPr="003171CD">
        <w:rPr>
          <w:lang w:val="en-US"/>
        </w:rPr>
        <w:t>objection</w:t>
      </w:r>
      <w:r w:rsidR="0085177B" w:rsidRPr="003171CD">
        <w:rPr>
          <w:lang w:val="en-US"/>
        </w:rPr>
        <w:t>; therefore,</w:t>
      </w:r>
      <w:r w:rsidR="005A65CE" w:rsidRPr="003171CD">
        <w:rPr>
          <w:lang w:val="en-US"/>
        </w:rPr>
        <w:t xml:space="preserve"> </w:t>
      </w:r>
      <w:r w:rsidR="000A4B42" w:rsidRPr="003171CD">
        <w:rPr>
          <w:lang w:val="en-US"/>
        </w:rPr>
        <w:t xml:space="preserve">the final written arguments are not the appropriate procedural moment for </w:t>
      </w:r>
      <w:r w:rsidR="004343C0" w:rsidRPr="003171CD">
        <w:rPr>
          <w:lang w:val="en-US"/>
        </w:rPr>
        <w:t>contra</w:t>
      </w:r>
      <w:r w:rsidR="005A65CE" w:rsidRPr="003171CD">
        <w:rPr>
          <w:lang w:val="en-US"/>
        </w:rPr>
        <w:t>dict</w:t>
      </w:r>
      <w:r w:rsidR="000A4B42" w:rsidRPr="003171CD">
        <w:rPr>
          <w:lang w:val="en-US"/>
        </w:rPr>
        <w:t>ing</w:t>
      </w:r>
      <w:r w:rsidR="005A65CE" w:rsidRPr="003171CD">
        <w:rPr>
          <w:lang w:val="en-US"/>
        </w:rPr>
        <w:t xml:space="preserve"> or limit</w:t>
      </w:r>
      <w:r w:rsidR="000A4B42" w:rsidRPr="003171CD">
        <w:rPr>
          <w:lang w:val="en-US"/>
        </w:rPr>
        <w:t>ing</w:t>
      </w:r>
      <w:r w:rsidR="005A65CE" w:rsidRPr="003171CD">
        <w:rPr>
          <w:lang w:val="en-US"/>
        </w:rPr>
        <w:t xml:space="preserve"> the effect of </w:t>
      </w:r>
      <w:r w:rsidR="009F6ACF" w:rsidRPr="003171CD">
        <w:rPr>
          <w:lang w:val="en-US"/>
        </w:rPr>
        <w:t xml:space="preserve">its </w:t>
      </w:r>
      <w:r w:rsidR="005A65CE" w:rsidRPr="003171CD">
        <w:rPr>
          <w:lang w:val="en-US"/>
        </w:rPr>
        <w:t>ac</w:t>
      </w:r>
      <w:r w:rsidR="0037332A" w:rsidRPr="003171CD">
        <w:rPr>
          <w:lang w:val="en-US"/>
        </w:rPr>
        <w:t>quiescence</w:t>
      </w:r>
      <w:r w:rsidR="009F6ACF" w:rsidRPr="003171CD">
        <w:rPr>
          <w:lang w:val="en-US"/>
        </w:rPr>
        <w:t>,</w:t>
      </w:r>
      <w:r w:rsidR="005A65CE" w:rsidRPr="003171CD">
        <w:rPr>
          <w:rStyle w:val="Refdenotaalpie"/>
          <w:lang w:val="en-US"/>
        </w:rPr>
        <w:footnoteReference w:id="16"/>
      </w:r>
      <w:r w:rsidR="005A65CE" w:rsidRPr="003171CD">
        <w:rPr>
          <w:lang w:val="en-US"/>
        </w:rPr>
        <w:t xml:space="preserve"> particularly </w:t>
      </w:r>
      <w:r w:rsidR="000A4B42" w:rsidRPr="003171CD">
        <w:rPr>
          <w:lang w:val="en-US"/>
        </w:rPr>
        <w:t xml:space="preserve">in relation to </w:t>
      </w:r>
      <w:r w:rsidR="00E81087" w:rsidRPr="003171CD">
        <w:rPr>
          <w:lang w:val="en-US"/>
        </w:rPr>
        <w:t xml:space="preserve">the scope of the </w:t>
      </w:r>
      <w:r w:rsidR="009F6ACF" w:rsidRPr="003171CD">
        <w:rPr>
          <w:lang w:val="en-US"/>
        </w:rPr>
        <w:t xml:space="preserve">description </w:t>
      </w:r>
      <w:r w:rsidR="005A65CE" w:rsidRPr="003171CD">
        <w:rPr>
          <w:lang w:val="en-US"/>
        </w:rPr>
        <w:t xml:space="preserve">of the facts. Consequently, the Court will not </w:t>
      </w:r>
      <w:r w:rsidR="009F6ACF" w:rsidRPr="003171CD">
        <w:rPr>
          <w:lang w:val="en-US"/>
        </w:rPr>
        <w:t xml:space="preserve">give legal </w:t>
      </w:r>
      <w:r w:rsidR="00C81D33" w:rsidRPr="003171CD">
        <w:rPr>
          <w:lang w:val="en-US"/>
        </w:rPr>
        <w:t>effect</w:t>
      </w:r>
      <w:r w:rsidR="005A65CE" w:rsidRPr="003171CD">
        <w:rPr>
          <w:lang w:val="en-US"/>
        </w:rPr>
        <w:t xml:space="preserve"> </w:t>
      </w:r>
      <w:r w:rsidR="009F6ACF" w:rsidRPr="003171CD">
        <w:rPr>
          <w:lang w:val="en-US"/>
        </w:rPr>
        <w:t xml:space="preserve">to the </w:t>
      </w:r>
      <w:r w:rsidR="005A65CE" w:rsidRPr="003171CD">
        <w:rPr>
          <w:lang w:val="en-US"/>
        </w:rPr>
        <w:t xml:space="preserve">position </w:t>
      </w:r>
      <w:r w:rsidR="0085177B" w:rsidRPr="003171CD">
        <w:rPr>
          <w:lang w:val="en-US"/>
        </w:rPr>
        <w:t xml:space="preserve">adopted by </w:t>
      </w:r>
      <w:r w:rsidR="005A65CE" w:rsidRPr="003171CD">
        <w:rPr>
          <w:lang w:val="en-US"/>
        </w:rPr>
        <w:t>the Office of the Attorney General re</w:t>
      </w:r>
      <w:r w:rsidR="00E81087" w:rsidRPr="003171CD">
        <w:rPr>
          <w:lang w:val="en-US"/>
        </w:rPr>
        <w:t xml:space="preserve">garding </w:t>
      </w:r>
      <w:r w:rsidR="005A65CE" w:rsidRPr="003171CD">
        <w:rPr>
          <w:lang w:val="en-US"/>
        </w:rPr>
        <w:t xml:space="preserve">some of the facts described in the </w:t>
      </w:r>
      <w:r w:rsidR="00E81087" w:rsidRPr="003171CD">
        <w:rPr>
          <w:lang w:val="en-US"/>
        </w:rPr>
        <w:t xml:space="preserve">Commission’s </w:t>
      </w:r>
      <w:r w:rsidR="0085177B" w:rsidRPr="003171CD">
        <w:rPr>
          <w:lang w:val="en-US"/>
        </w:rPr>
        <w:t>Merits R</w:t>
      </w:r>
      <w:r w:rsidR="005A65CE" w:rsidRPr="003171CD">
        <w:rPr>
          <w:lang w:val="en-US"/>
        </w:rPr>
        <w:t>eport.</w:t>
      </w:r>
    </w:p>
    <w:p w14:paraId="2F6668EF" w14:textId="77777777" w:rsidR="005A65CE" w:rsidRPr="003171CD" w:rsidRDefault="005A65CE" w:rsidP="005A65CE">
      <w:pPr>
        <w:jc w:val="both"/>
        <w:rPr>
          <w:lang w:val="en-US"/>
        </w:rPr>
      </w:pPr>
    </w:p>
    <w:p w14:paraId="06D473A4" w14:textId="77777777" w:rsidR="005A65CE" w:rsidRPr="003171CD" w:rsidRDefault="005A65CE" w:rsidP="005A65CE">
      <w:pPr>
        <w:pStyle w:val="Prrafodelista"/>
        <w:numPr>
          <w:ilvl w:val="0"/>
          <w:numId w:val="1"/>
        </w:numPr>
        <w:jc w:val="both"/>
        <w:rPr>
          <w:lang w:val="en-US"/>
        </w:rPr>
      </w:pPr>
      <w:r w:rsidRPr="003171CD">
        <w:rPr>
          <w:lang w:val="en-US"/>
        </w:rPr>
        <w:t xml:space="preserve">The State acknowledged its international responsibility </w:t>
      </w:r>
      <w:r w:rsidR="0037332A" w:rsidRPr="003171CD">
        <w:rPr>
          <w:lang w:val="en-US"/>
        </w:rPr>
        <w:t xml:space="preserve">with regard to </w:t>
      </w:r>
      <w:r w:rsidRPr="003171CD">
        <w:rPr>
          <w:lang w:val="en-US"/>
        </w:rPr>
        <w:t xml:space="preserve">the conclusions </w:t>
      </w:r>
      <w:r w:rsidR="00AD08E8" w:rsidRPr="003171CD">
        <w:rPr>
          <w:lang w:val="en-US"/>
        </w:rPr>
        <w:t xml:space="preserve">reached by </w:t>
      </w:r>
      <w:r w:rsidRPr="003171CD">
        <w:rPr>
          <w:lang w:val="en-US"/>
        </w:rPr>
        <w:t xml:space="preserve">the Commission in </w:t>
      </w:r>
      <w:r w:rsidR="009F6ACF" w:rsidRPr="003171CD">
        <w:rPr>
          <w:lang w:val="en-US"/>
        </w:rPr>
        <w:t xml:space="preserve">its </w:t>
      </w:r>
      <w:r w:rsidR="0085177B" w:rsidRPr="003171CD">
        <w:rPr>
          <w:lang w:val="en-US"/>
        </w:rPr>
        <w:t>Merits R</w:t>
      </w:r>
      <w:r w:rsidRPr="003171CD">
        <w:rPr>
          <w:lang w:val="en-US"/>
        </w:rPr>
        <w:t>eport (</w:t>
      </w:r>
      <w:r w:rsidRPr="003171CD">
        <w:rPr>
          <w:i/>
          <w:lang w:val="en-US"/>
        </w:rPr>
        <w:t>supra</w:t>
      </w:r>
      <w:r w:rsidRPr="003171CD">
        <w:rPr>
          <w:lang w:val="en-US"/>
        </w:rPr>
        <w:t xml:space="preserve"> para. 2(c)(a). This Court considers that </w:t>
      </w:r>
      <w:r w:rsidR="00AD08E8" w:rsidRPr="003171CD">
        <w:rPr>
          <w:lang w:val="en-US"/>
        </w:rPr>
        <w:t xml:space="preserve">such acknowledgement also constitutes acquiescence, on the part of the State, </w:t>
      </w:r>
      <w:r w:rsidR="00B81D51" w:rsidRPr="003171CD">
        <w:rPr>
          <w:lang w:val="en-US"/>
        </w:rPr>
        <w:t xml:space="preserve"> to </w:t>
      </w:r>
      <w:r w:rsidRPr="003171CD">
        <w:rPr>
          <w:lang w:val="en-US"/>
        </w:rPr>
        <w:t>the legal claims</w:t>
      </w:r>
      <w:r w:rsidR="00AD08E8" w:rsidRPr="003171CD">
        <w:rPr>
          <w:lang w:val="en-US"/>
        </w:rPr>
        <w:t xml:space="preserve"> made by </w:t>
      </w:r>
      <w:r w:rsidRPr="003171CD">
        <w:rPr>
          <w:lang w:val="en-US"/>
        </w:rPr>
        <w:t>the Commission</w:t>
      </w:r>
      <w:r w:rsidR="00AD08E8" w:rsidRPr="003171CD">
        <w:rPr>
          <w:lang w:val="en-US"/>
        </w:rPr>
        <w:t xml:space="preserve"> regarding</w:t>
      </w:r>
      <w:r w:rsidR="004A250A" w:rsidRPr="003171CD">
        <w:rPr>
          <w:lang w:val="en-US"/>
        </w:rPr>
        <w:t xml:space="preserve"> </w:t>
      </w:r>
      <w:r w:rsidRPr="003171CD">
        <w:rPr>
          <w:lang w:val="en-US"/>
        </w:rPr>
        <w:t>the violation of the rights to judicial guarantees</w:t>
      </w:r>
      <w:r w:rsidR="00AD08E8" w:rsidRPr="003171CD">
        <w:rPr>
          <w:lang w:val="en-US"/>
        </w:rPr>
        <w:t>,</w:t>
      </w:r>
      <w:r w:rsidRPr="003171CD">
        <w:rPr>
          <w:lang w:val="en-US"/>
        </w:rPr>
        <w:t xml:space="preserve"> judicial prote</w:t>
      </w:r>
      <w:r w:rsidR="00AD08E8" w:rsidRPr="003171CD">
        <w:rPr>
          <w:lang w:val="en-US"/>
        </w:rPr>
        <w:t xml:space="preserve">ction, </w:t>
      </w:r>
      <w:r w:rsidRPr="003171CD">
        <w:rPr>
          <w:lang w:val="en-US"/>
        </w:rPr>
        <w:t xml:space="preserve">personal </w:t>
      </w:r>
      <w:r w:rsidR="004A250A" w:rsidRPr="003171CD">
        <w:rPr>
          <w:lang w:val="en-US"/>
        </w:rPr>
        <w:t xml:space="preserve">liberty </w:t>
      </w:r>
      <w:r w:rsidRPr="003171CD">
        <w:rPr>
          <w:lang w:val="en-US"/>
        </w:rPr>
        <w:t xml:space="preserve">and personal integrity </w:t>
      </w:r>
      <w:r w:rsidR="0037332A" w:rsidRPr="003171CD">
        <w:rPr>
          <w:lang w:val="en-US"/>
        </w:rPr>
        <w:t xml:space="preserve">of </w:t>
      </w:r>
      <w:r w:rsidRPr="003171CD">
        <w:rPr>
          <w:lang w:val="en-US"/>
        </w:rPr>
        <w:t>Mr. Ruano Torres, a</w:t>
      </w:r>
      <w:r w:rsidR="009F6ACF" w:rsidRPr="003171CD">
        <w:rPr>
          <w:lang w:val="en-US"/>
        </w:rPr>
        <w:t xml:space="preserve">nd for </w:t>
      </w:r>
      <w:r w:rsidRPr="003171CD">
        <w:rPr>
          <w:lang w:val="en-US"/>
        </w:rPr>
        <w:t xml:space="preserve">the violation of the right to mental and moral integrity </w:t>
      </w:r>
      <w:r w:rsidR="0037332A" w:rsidRPr="003171CD">
        <w:rPr>
          <w:lang w:val="en-US"/>
        </w:rPr>
        <w:t xml:space="preserve">of </w:t>
      </w:r>
      <w:r w:rsidRPr="003171CD">
        <w:rPr>
          <w:lang w:val="en-US"/>
        </w:rPr>
        <w:t xml:space="preserve">his </w:t>
      </w:r>
      <w:r w:rsidR="004A250A" w:rsidRPr="003171CD">
        <w:rPr>
          <w:lang w:val="en-US"/>
        </w:rPr>
        <w:t xml:space="preserve">wife </w:t>
      </w:r>
      <w:r w:rsidRPr="003171CD">
        <w:rPr>
          <w:lang w:val="en-US"/>
        </w:rPr>
        <w:t>María Maribel Guevara de</w:t>
      </w:r>
      <w:r w:rsidRPr="003171CD">
        <w:rPr>
          <w:sz w:val="22"/>
          <w:szCs w:val="22"/>
          <w:lang w:val="en-US"/>
        </w:rPr>
        <w:t xml:space="preserve"> </w:t>
      </w:r>
      <w:r w:rsidRPr="003171CD">
        <w:rPr>
          <w:lang w:val="en-US"/>
        </w:rPr>
        <w:t>Ruano, his son Oscar Manuel Ruano Guevara, his daughter Keily Lisbeth Ruano Guevara, and his cousin Pedro Torres Hércules.</w:t>
      </w:r>
    </w:p>
    <w:p w14:paraId="1F6513C0" w14:textId="77777777" w:rsidR="005A65CE" w:rsidRPr="003171CD" w:rsidRDefault="005A65CE" w:rsidP="005A65CE">
      <w:pPr>
        <w:pStyle w:val="Prrafodelista"/>
        <w:ind w:left="0"/>
        <w:jc w:val="both"/>
        <w:rPr>
          <w:lang w:val="en-US"/>
        </w:rPr>
      </w:pPr>
    </w:p>
    <w:p w14:paraId="03B376EF" w14:textId="77777777" w:rsidR="005A65CE" w:rsidRPr="003171CD" w:rsidRDefault="00612AE2" w:rsidP="005A65CE">
      <w:pPr>
        <w:pStyle w:val="Prrafodelista"/>
        <w:numPr>
          <w:ilvl w:val="0"/>
          <w:numId w:val="1"/>
        </w:numPr>
        <w:jc w:val="both"/>
        <w:rPr>
          <w:rFonts w:eastAsia="Calibri"/>
          <w:szCs w:val="20"/>
          <w:lang w:val="en-US"/>
        </w:rPr>
      </w:pPr>
      <w:r w:rsidRPr="003171CD">
        <w:rPr>
          <w:lang w:val="en-US"/>
        </w:rPr>
        <w:t>In their pleadings and motions brief, t</w:t>
      </w:r>
      <w:r w:rsidR="005A65CE" w:rsidRPr="003171CD">
        <w:rPr>
          <w:lang w:val="en-US"/>
        </w:rPr>
        <w:t>he representatives</w:t>
      </w:r>
      <w:r w:rsidRPr="003171CD">
        <w:rPr>
          <w:lang w:val="en-US"/>
        </w:rPr>
        <w:t xml:space="preserve">, alleged additional violations of </w:t>
      </w:r>
      <w:r w:rsidR="005A65CE" w:rsidRPr="003171CD">
        <w:rPr>
          <w:lang w:val="en-US"/>
        </w:rPr>
        <w:t>Articles 7(1), 7(2), 8(1) and 8(2)(e) of the Convention (</w:t>
      </w:r>
      <w:r w:rsidR="005A65CE" w:rsidRPr="003171CD">
        <w:rPr>
          <w:i/>
          <w:lang w:val="en-US"/>
        </w:rPr>
        <w:t>supra</w:t>
      </w:r>
      <w:r w:rsidR="005A65CE" w:rsidRPr="003171CD">
        <w:rPr>
          <w:lang w:val="en-US"/>
        </w:rPr>
        <w:t xml:space="preserve"> para. 6). </w:t>
      </w:r>
      <w:r w:rsidR="00FD638E" w:rsidRPr="003171CD">
        <w:rPr>
          <w:lang w:val="en-US"/>
        </w:rPr>
        <w:t>In this regard</w:t>
      </w:r>
      <w:r w:rsidR="005A65CE" w:rsidRPr="003171CD">
        <w:rPr>
          <w:szCs w:val="20"/>
          <w:lang w:val="en-US"/>
        </w:rPr>
        <w:t xml:space="preserve">, the Court recalls that </w:t>
      </w:r>
      <w:r w:rsidRPr="003171CD">
        <w:rPr>
          <w:szCs w:val="20"/>
          <w:lang w:val="en-US"/>
        </w:rPr>
        <w:t xml:space="preserve">such legal claims may be presented </w:t>
      </w:r>
      <w:r w:rsidR="005A65CE" w:rsidRPr="003171CD">
        <w:rPr>
          <w:szCs w:val="20"/>
          <w:lang w:val="en-US"/>
        </w:rPr>
        <w:t>autonomously based on the factual framework. Therefore, c</w:t>
      </w:r>
      <w:r w:rsidR="005A65CE" w:rsidRPr="003171CD">
        <w:rPr>
          <w:lang w:val="en-US"/>
        </w:rPr>
        <w:t xml:space="preserve">onsidering that the State did not </w:t>
      </w:r>
      <w:r w:rsidRPr="003171CD">
        <w:rPr>
          <w:lang w:val="en-US"/>
        </w:rPr>
        <w:t xml:space="preserve">comment </w:t>
      </w:r>
      <w:r w:rsidR="005A65CE" w:rsidRPr="003171CD">
        <w:rPr>
          <w:lang w:val="en-US"/>
        </w:rPr>
        <w:t xml:space="preserve">on those legal claims </w:t>
      </w:r>
      <w:r w:rsidR="005A65CE" w:rsidRPr="003171CD">
        <w:rPr>
          <w:szCs w:val="20"/>
          <w:lang w:val="en-US"/>
        </w:rPr>
        <w:t>made by the representatives, the Court conclu</w:t>
      </w:r>
      <w:r w:rsidRPr="003171CD">
        <w:rPr>
          <w:szCs w:val="20"/>
          <w:lang w:val="en-US"/>
        </w:rPr>
        <w:t>des they</w:t>
      </w:r>
      <w:r w:rsidR="009F6ACF" w:rsidRPr="003171CD">
        <w:rPr>
          <w:szCs w:val="20"/>
          <w:lang w:val="en-US"/>
        </w:rPr>
        <w:t xml:space="preserve"> </w:t>
      </w:r>
      <w:r w:rsidR="005A65CE" w:rsidRPr="003171CD">
        <w:rPr>
          <w:szCs w:val="20"/>
          <w:lang w:val="en-US"/>
        </w:rPr>
        <w:t xml:space="preserve">that </w:t>
      </w:r>
      <w:r w:rsidR="0037332A" w:rsidRPr="003171CD">
        <w:rPr>
          <w:szCs w:val="20"/>
          <w:lang w:val="en-US"/>
        </w:rPr>
        <w:t xml:space="preserve">are not included in </w:t>
      </w:r>
      <w:r w:rsidR="005A65CE" w:rsidRPr="003171CD">
        <w:rPr>
          <w:szCs w:val="20"/>
          <w:lang w:val="en-US"/>
        </w:rPr>
        <w:t xml:space="preserve">the State’s </w:t>
      </w:r>
      <w:r w:rsidRPr="003171CD">
        <w:rPr>
          <w:szCs w:val="20"/>
          <w:lang w:val="en-US"/>
        </w:rPr>
        <w:t>acquiescence</w:t>
      </w:r>
      <w:r w:rsidR="005A65CE" w:rsidRPr="003171CD">
        <w:rPr>
          <w:lang w:val="en-US"/>
        </w:rPr>
        <w:t>.</w:t>
      </w:r>
    </w:p>
    <w:p w14:paraId="16E65B8F" w14:textId="77777777" w:rsidR="005A65CE" w:rsidRPr="003171CD" w:rsidRDefault="005A65CE" w:rsidP="005A65CE">
      <w:pPr>
        <w:rPr>
          <w:lang w:val="en-US"/>
        </w:rPr>
      </w:pPr>
    </w:p>
    <w:p w14:paraId="1E534149" w14:textId="77777777" w:rsidR="005A65CE" w:rsidRPr="003171CD" w:rsidRDefault="00576404" w:rsidP="005A65CE">
      <w:pPr>
        <w:pStyle w:val="Prrafodelista"/>
        <w:numPr>
          <w:ilvl w:val="0"/>
          <w:numId w:val="1"/>
        </w:numPr>
        <w:jc w:val="both"/>
        <w:rPr>
          <w:rFonts w:eastAsia="Calibri"/>
          <w:szCs w:val="20"/>
          <w:lang w:val="en-US"/>
        </w:rPr>
      </w:pPr>
      <w:r w:rsidRPr="003171CD">
        <w:rPr>
          <w:rFonts w:eastAsia="Calibri"/>
          <w:szCs w:val="20"/>
          <w:lang w:val="en-US"/>
        </w:rPr>
        <w:t>Furthermore, t</w:t>
      </w:r>
      <w:r w:rsidR="005A65CE" w:rsidRPr="003171CD">
        <w:rPr>
          <w:rFonts w:eastAsia="Calibri"/>
          <w:szCs w:val="20"/>
          <w:lang w:val="en-US"/>
        </w:rPr>
        <w:t xml:space="preserve">he Court notes that in </w:t>
      </w:r>
      <w:r w:rsidR="009F6ACF" w:rsidRPr="003171CD">
        <w:rPr>
          <w:rFonts w:eastAsia="Calibri"/>
          <w:szCs w:val="20"/>
          <w:lang w:val="en-US"/>
        </w:rPr>
        <w:t xml:space="preserve">their </w:t>
      </w:r>
      <w:r w:rsidR="005A65CE" w:rsidRPr="003171CD">
        <w:rPr>
          <w:rFonts w:eastAsia="Calibri"/>
          <w:szCs w:val="20"/>
          <w:lang w:val="en-US"/>
        </w:rPr>
        <w:t xml:space="preserve">pleadings and motions </w:t>
      </w:r>
      <w:r w:rsidR="009F6ACF" w:rsidRPr="003171CD">
        <w:rPr>
          <w:rFonts w:eastAsia="Calibri"/>
          <w:szCs w:val="20"/>
          <w:lang w:val="en-US"/>
        </w:rPr>
        <w:t xml:space="preserve">brief </w:t>
      </w:r>
      <w:r w:rsidR="005A65CE" w:rsidRPr="003171CD">
        <w:rPr>
          <w:rFonts w:eastAsia="Calibri"/>
          <w:szCs w:val="20"/>
          <w:lang w:val="en-US"/>
        </w:rPr>
        <w:t>the representatives rela</w:t>
      </w:r>
      <w:r w:rsidR="009F6ACF" w:rsidRPr="003171CD">
        <w:rPr>
          <w:rFonts w:eastAsia="Calibri"/>
          <w:szCs w:val="20"/>
          <w:lang w:val="en-US"/>
        </w:rPr>
        <w:t xml:space="preserve">ted </w:t>
      </w:r>
      <w:r w:rsidR="00612AE2" w:rsidRPr="003171CD">
        <w:rPr>
          <w:rFonts w:eastAsia="Calibri"/>
          <w:szCs w:val="20"/>
          <w:lang w:val="en-US"/>
        </w:rPr>
        <w:t>each substantive right to</w:t>
      </w:r>
      <w:r w:rsidR="005A65CE" w:rsidRPr="003171CD">
        <w:rPr>
          <w:rFonts w:eastAsia="Calibri"/>
          <w:szCs w:val="20"/>
          <w:lang w:val="en-US"/>
        </w:rPr>
        <w:t xml:space="preserve"> Articles 1(1) and 2 of the American Convention. Given that the representatives did not</w:t>
      </w:r>
      <w:r w:rsidRPr="003171CD">
        <w:rPr>
          <w:rFonts w:eastAsia="Calibri"/>
          <w:szCs w:val="20"/>
          <w:lang w:val="en-US"/>
        </w:rPr>
        <w:t xml:space="preserve"> describe </w:t>
      </w:r>
      <w:r w:rsidR="005A65CE" w:rsidRPr="003171CD">
        <w:rPr>
          <w:rFonts w:eastAsia="Calibri"/>
          <w:szCs w:val="20"/>
          <w:lang w:val="en-US"/>
        </w:rPr>
        <w:t xml:space="preserve">the facts or develop legal arguments upon which to base the violation of Article 2 of the Convention, </w:t>
      </w:r>
      <w:r w:rsidRPr="003171CD">
        <w:rPr>
          <w:rFonts w:eastAsia="Calibri"/>
          <w:szCs w:val="20"/>
          <w:lang w:val="en-US"/>
        </w:rPr>
        <w:t xml:space="preserve">namely </w:t>
      </w:r>
      <w:r w:rsidR="005A65CE" w:rsidRPr="003171CD">
        <w:rPr>
          <w:rFonts w:eastAsia="Calibri"/>
          <w:szCs w:val="20"/>
          <w:lang w:val="en-US"/>
        </w:rPr>
        <w:t>the duty to adopt provisions of domestic law, the Court will not rule on this matter.</w:t>
      </w:r>
    </w:p>
    <w:p w14:paraId="7AFC5A2B" w14:textId="77777777" w:rsidR="005A65CE" w:rsidRPr="003171CD" w:rsidRDefault="005A65CE" w:rsidP="005A65CE">
      <w:pPr>
        <w:rPr>
          <w:lang w:val="en-US"/>
        </w:rPr>
      </w:pPr>
    </w:p>
    <w:p w14:paraId="3E1C1CDB" w14:textId="77777777" w:rsidR="005A65CE" w:rsidRPr="003171CD" w:rsidRDefault="005A65CE" w:rsidP="005A65CE">
      <w:pPr>
        <w:pStyle w:val="Prrafodelista"/>
        <w:numPr>
          <w:ilvl w:val="0"/>
          <w:numId w:val="1"/>
        </w:numPr>
        <w:jc w:val="both"/>
        <w:rPr>
          <w:szCs w:val="20"/>
          <w:lang w:val="en-US"/>
        </w:rPr>
      </w:pPr>
      <w:r w:rsidRPr="003171CD">
        <w:rPr>
          <w:lang w:val="en-US"/>
        </w:rPr>
        <w:lastRenderedPageBreak/>
        <w:t>The Court also advises that in their pleadings and motions brief, the representatives alleged violations of Articles I</w:t>
      </w:r>
      <w:r w:rsidRPr="003171CD">
        <w:rPr>
          <w:rStyle w:val="Refdenotaalpie"/>
          <w:lang w:val="en-US"/>
        </w:rPr>
        <w:footnoteReference w:id="17"/>
      </w:r>
      <w:r w:rsidRPr="003171CD">
        <w:rPr>
          <w:lang w:val="en-US"/>
        </w:rPr>
        <w:t>, XVIII</w:t>
      </w:r>
      <w:r w:rsidRPr="003171CD">
        <w:rPr>
          <w:rStyle w:val="Refdenotaalpie"/>
          <w:lang w:val="en-US"/>
        </w:rPr>
        <w:footnoteReference w:id="18"/>
      </w:r>
      <w:r w:rsidRPr="003171CD">
        <w:rPr>
          <w:lang w:val="en-US"/>
        </w:rPr>
        <w:t>, XXV</w:t>
      </w:r>
      <w:r w:rsidRPr="003171CD">
        <w:rPr>
          <w:rStyle w:val="Refdenotaalpie"/>
          <w:lang w:val="en-US"/>
        </w:rPr>
        <w:footnoteReference w:id="19"/>
      </w:r>
      <w:r w:rsidRPr="003171CD">
        <w:rPr>
          <w:lang w:val="en-US"/>
        </w:rPr>
        <w:t xml:space="preserve"> and XXVI</w:t>
      </w:r>
      <w:r w:rsidRPr="003171CD">
        <w:rPr>
          <w:rStyle w:val="Refdenotaalpie"/>
          <w:lang w:val="en-US"/>
        </w:rPr>
        <w:footnoteReference w:id="20"/>
      </w:r>
      <w:r w:rsidRPr="003171CD">
        <w:rPr>
          <w:lang w:val="en-US"/>
        </w:rPr>
        <w:t xml:space="preserve"> of the American Declaration, t</w:t>
      </w:r>
      <w:r w:rsidR="00576404" w:rsidRPr="003171CD">
        <w:rPr>
          <w:lang w:val="en-US"/>
        </w:rPr>
        <w:t xml:space="preserve">ogether with the violations of </w:t>
      </w:r>
      <w:r w:rsidR="0037332A" w:rsidRPr="003171CD">
        <w:rPr>
          <w:lang w:val="en-US"/>
        </w:rPr>
        <w:t xml:space="preserve">the </w:t>
      </w:r>
      <w:r w:rsidRPr="003171CD">
        <w:rPr>
          <w:lang w:val="en-US"/>
        </w:rPr>
        <w:t xml:space="preserve">corresponding </w:t>
      </w:r>
      <w:r w:rsidR="00576404" w:rsidRPr="003171CD">
        <w:rPr>
          <w:lang w:val="en-US"/>
        </w:rPr>
        <w:t xml:space="preserve">articles </w:t>
      </w:r>
      <w:r w:rsidRPr="003171CD">
        <w:rPr>
          <w:lang w:val="en-US"/>
        </w:rPr>
        <w:t xml:space="preserve">of the American Convention on Human Rights. The State did not comment on this </w:t>
      </w:r>
      <w:r w:rsidR="0037332A" w:rsidRPr="003171CD">
        <w:rPr>
          <w:lang w:val="en-US"/>
        </w:rPr>
        <w:t xml:space="preserve">matter </w:t>
      </w:r>
      <w:r w:rsidRPr="003171CD">
        <w:rPr>
          <w:lang w:val="en-US"/>
        </w:rPr>
        <w:t>in its answer</w:t>
      </w:r>
      <w:r w:rsidR="00576404" w:rsidRPr="003171CD">
        <w:rPr>
          <w:lang w:val="en-US"/>
        </w:rPr>
        <w:t>ing brief</w:t>
      </w:r>
      <w:r w:rsidRPr="003171CD">
        <w:rPr>
          <w:lang w:val="en-US"/>
        </w:rPr>
        <w:t>.</w:t>
      </w:r>
    </w:p>
    <w:p w14:paraId="578BD380" w14:textId="77777777" w:rsidR="005A65CE" w:rsidRPr="003171CD" w:rsidRDefault="005A65CE" w:rsidP="005A65CE">
      <w:pPr>
        <w:rPr>
          <w:lang w:val="en-US"/>
        </w:rPr>
      </w:pPr>
    </w:p>
    <w:p w14:paraId="2A3DBC74" w14:textId="77777777" w:rsidR="005A65CE" w:rsidRPr="003171CD" w:rsidRDefault="00732433" w:rsidP="005A65CE">
      <w:pPr>
        <w:pStyle w:val="Prrafodelista"/>
        <w:numPr>
          <w:ilvl w:val="0"/>
          <w:numId w:val="1"/>
        </w:numPr>
        <w:jc w:val="both"/>
        <w:rPr>
          <w:lang w:val="en-US"/>
        </w:rPr>
      </w:pPr>
      <w:r w:rsidRPr="003171CD">
        <w:rPr>
          <w:szCs w:val="20"/>
          <w:lang w:val="en-US"/>
        </w:rPr>
        <w:t xml:space="preserve">On this </w:t>
      </w:r>
      <w:r w:rsidR="005A65CE" w:rsidRPr="003171CD">
        <w:rPr>
          <w:szCs w:val="20"/>
          <w:lang w:val="en-US"/>
        </w:rPr>
        <w:t>p</w:t>
      </w:r>
      <w:r w:rsidRPr="003171CD">
        <w:rPr>
          <w:szCs w:val="20"/>
          <w:lang w:val="en-US"/>
        </w:rPr>
        <w:t>oint</w:t>
      </w:r>
      <w:r w:rsidR="005A65CE" w:rsidRPr="003171CD">
        <w:rPr>
          <w:szCs w:val="20"/>
          <w:lang w:val="en-US"/>
        </w:rPr>
        <w:t xml:space="preserve">, the Court notes, in </w:t>
      </w:r>
      <w:r w:rsidR="00CC19AD" w:rsidRPr="003171CD">
        <w:rPr>
          <w:szCs w:val="20"/>
          <w:lang w:val="en-US"/>
        </w:rPr>
        <w:t xml:space="preserve">the </w:t>
      </w:r>
      <w:r w:rsidR="005A65CE" w:rsidRPr="003171CD">
        <w:rPr>
          <w:szCs w:val="20"/>
          <w:lang w:val="en-US"/>
        </w:rPr>
        <w:t xml:space="preserve">first place, that the facts that </w:t>
      </w:r>
      <w:r w:rsidRPr="003171CD">
        <w:rPr>
          <w:szCs w:val="20"/>
          <w:lang w:val="en-US"/>
        </w:rPr>
        <w:t xml:space="preserve">form the basis of </w:t>
      </w:r>
      <w:r w:rsidR="005A65CE" w:rsidRPr="003171CD">
        <w:rPr>
          <w:szCs w:val="20"/>
          <w:lang w:val="en-US"/>
        </w:rPr>
        <w:t xml:space="preserve">the alleged human </w:t>
      </w:r>
      <w:r w:rsidRPr="003171CD">
        <w:rPr>
          <w:szCs w:val="20"/>
          <w:lang w:val="en-US"/>
        </w:rPr>
        <w:t xml:space="preserve">rights violations in this case occurred </w:t>
      </w:r>
      <w:r w:rsidR="005A65CE" w:rsidRPr="003171CD">
        <w:rPr>
          <w:szCs w:val="20"/>
          <w:lang w:val="en-US"/>
        </w:rPr>
        <w:t xml:space="preserve">after the date </w:t>
      </w:r>
      <w:r w:rsidR="00576404" w:rsidRPr="003171CD">
        <w:rPr>
          <w:szCs w:val="20"/>
          <w:lang w:val="en-US"/>
        </w:rPr>
        <w:t xml:space="preserve">on which El Salvador ratified </w:t>
      </w:r>
      <w:r w:rsidR="005A65CE" w:rsidRPr="003171CD">
        <w:rPr>
          <w:szCs w:val="20"/>
          <w:lang w:val="en-US"/>
        </w:rPr>
        <w:t xml:space="preserve">the American Convention </w:t>
      </w:r>
      <w:r w:rsidR="00FD638E" w:rsidRPr="003171CD">
        <w:rPr>
          <w:szCs w:val="20"/>
          <w:lang w:val="en-US"/>
        </w:rPr>
        <w:t>(</w:t>
      </w:r>
      <w:r w:rsidR="00FD638E" w:rsidRPr="003171CD">
        <w:rPr>
          <w:i/>
          <w:szCs w:val="20"/>
          <w:lang w:val="en-US"/>
        </w:rPr>
        <w:t>supra</w:t>
      </w:r>
      <w:r w:rsidR="00FD638E" w:rsidRPr="003171CD">
        <w:rPr>
          <w:szCs w:val="20"/>
          <w:lang w:val="en-US"/>
        </w:rPr>
        <w:t xml:space="preserve"> para.14)</w:t>
      </w:r>
      <w:r w:rsidR="005A65CE" w:rsidRPr="003171CD">
        <w:rPr>
          <w:szCs w:val="20"/>
          <w:lang w:val="en-US"/>
        </w:rPr>
        <w:t xml:space="preserve">. Therefore, although </w:t>
      </w:r>
      <w:r w:rsidR="00316C8F" w:rsidRPr="003171CD">
        <w:rPr>
          <w:szCs w:val="20"/>
          <w:lang w:val="en-US"/>
        </w:rPr>
        <w:t xml:space="preserve">it is </w:t>
      </w:r>
      <w:r w:rsidR="00AF2186" w:rsidRPr="003171CD">
        <w:rPr>
          <w:szCs w:val="20"/>
          <w:lang w:val="en-US"/>
        </w:rPr>
        <w:t xml:space="preserve">up to </w:t>
      </w:r>
      <w:r w:rsidR="005A65CE" w:rsidRPr="003171CD">
        <w:rPr>
          <w:szCs w:val="20"/>
          <w:lang w:val="en-US"/>
        </w:rPr>
        <w:t xml:space="preserve">the Court </w:t>
      </w:r>
      <w:r w:rsidR="00316C8F" w:rsidRPr="003171CD">
        <w:rPr>
          <w:szCs w:val="20"/>
          <w:lang w:val="en-US"/>
        </w:rPr>
        <w:t xml:space="preserve">to </w:t>
      </w:r>
      <w:r w:rsidR="005A65CE" w:rsidRPr="003171CD">
        <w:rPr>
          <w:szCs w:val="20"/>
          <w:lang w:val="en-US"/>
        </w:rPr>
        <w:t>consider the provisions of the American Declaration when exercising its co</w:t>
      </w:r>
      <w:r w:rsidRPr="003171CD">
        <w:rPr>
          <w:szCs w:val="20"/>
          <w:lang w:val="en-US"/>
        </w:rPr>
        <w:t xml:space="preserve">ntentious jurisdiction </w:t>
      </w:r>
      <w:r w:rsidR="00CC19AD" w:rsidRPr="003171CD">
        <w:rPr>
          <w:szCs w:val="20"/>
          <w:lang w:val="en-US"/>
        </w:rPr>
        <w:t>in</w:t>
      </w:r>
      <w:r w:rsidR="005A65CE" w:rsidRPr="003171CD">
        <w:rPr>
          <w:szCs w:val="20"/>
          <w:lang w:val="en-US"/>
        </w:rPr>
        <w:t xml:space="preserve"> interpreting and applying the American Convention</w:t>
      </w:r>
      <w:r w:rsidR="00437A9E" w:rsidRPr="003171CD">
        <w:rPr>
          <w:szCs w:val="20"/>
          <w:lang w:val="en-US"/>
        </w:rPr>
        <w:t>,</w:t>
      </w:r>
      <w:r w:rsidR="005A65CE" w:rsidRPr="003171CD">
        <w:rPr>
          <w:rStyle w:val="Refdenotaalpie"/>
          <w:lang w:val="en-US"/>
        </w:rPr>
        <w:footnoteReference w:id="21"/>
      </w:r>
      <w:r w:rsidR="005A65CE" w:rsidRPr="003171CD">
        <w:rPr>
          <w:szCs w:val="20"/>
          <w:lang w:val="en-US"/>
        </w:rPr>
        <w:t xml:space="preserve"> </w:t>
      </w:r>
      <w:r w:rsidR="00437A9E" w:rsidRPr="003171CD">
        <w:rPr>
          <w:szCs w:val="20"/>
          <w:lang w:val="en-US"/>
        </w:rPr>
        <w:t xml:space="preserve">pursuant to </w:t>
      </w:r>
      <w:r w:rsidR="005A65CE" w:rsidRPr="003171CD">
        <w:rPr>
          <w:szCs w:val="20"/>
          <w:lang w:val="en-US"/>
        </w:rPr>
        <w:t>Article 29(d)</w:t>
      </w:r>
      <w:r w:rsidR="005A65CE" w:rsidRPr="003171CD">
        <w:rPr>
          <w:rStyle w:val="Refdenotaalpie"/>
          <w:lang w:val="en-US"/>
        </w:rPr>
        <w:footnoteReference w:id="22"/>
      </w:r>
      <w:r w:rsidR="005A65CE" w:rsidRPr="003171CD">
        <w:rPr>
          <w:szCs w:val="20"/>
          <w:lang w:val="en-US"/>
        </w:rPr>
        <w:t xml:space="preserve"> thereof, </w:t>
      </w:r>
      <w:r w:rsidRPr="003171CD">
        <w:rPr>
          <w:szCs w:val="20"/>
          <w:lang w:val="en-US"/>
        </w:rPr>
        <w:t xml:space="preserve">the truth is </w:t>
      </w:r>
      <w:r w:rsidR="005A65CE" w:rsidRPr="003171CD">
        <w:rPr>
          <w:lang w:val="en-US"/>
        </w:rPr>
        <w:t xml:space="preserve">that </w:t>
      </w:r>
      <w:r w:rsidR="005A65CE" w:rsidRPr="003171CD">
        <w:rPr>
          <w:szCs w:val="20"/>
          <w:lang w:val="en-US"/>
        </w:rPr>
        <w:t>“</w:t>
      </w:r>
      <w:r w:rsidRPr="003171CD">
        <w:rPr>
          <w:lang w:val="en-US"/>
        </w:rPr>
        <w:t>[f</w:t>
      </w:r>
      <w:r w:rsidR="005A65CE" w:rsidRPr="003171CD">
        <w:rPr>
          <w:lang w:val="en-US"/>
        </w:rPr>
        <w:t>]</w:t>
      </w:r>
      <w:r w:rsidRPr="003171CD">
        <w:rPr>
          <w:lang w:val="en-US"/>
        </w:rPr>
        <w:t>or</w:t>
      </w:r>
      <w:r w:rsidR="005A65CE" w:rsidRPr="003171CD">
        <w:rPr>
          <w:lang w:val="en-US"/>
        </w:rPr>
        <w:t xml:space="preserve"> the States Parties to the Convention the specific source of their obligations</w:t>
      </w:r>
      <w:r w:rsidR="00437A9E" w:rsidRPr="003171CD">
        <w:rPr>
          <w:lang w:val="en-US"/>
        </w:rPr>
        <w:t xml:space="preserve"> related to </w:t>
      </w:r>
      <w:r w:rsidR="005A65CE" w:rsidRPr="003171CD">
        <w:rPr>
          <w:lang w:val="en-US"/>
        </w:rPr>
        <w:t>the protection of human rights is, in principle, the Convention</w:t>
      </w:r>
      <w:r w:rsidRPr="003171CD">
        <w:rPr>
          <w:lang w:val="en-US"/>
        </w:rPr>
        <w:t xml:space="preserve"> itself</w:t>
      </w:r>
      <w:r w:rsidR="005A65CE" w:rsidRPr="003171CD">
        <w:rPr>
          <w:lang w:val="en-US"/>
        </w:rPr>
        <w:t>.”</w:t>
      </w:r>
      <w:r w:rsidR="005A65CE" w:rsidRPr="003171CD">
        <w:rPr>
          <w:rStyle w:val="Refdenotaalpie"/>
          <w:lang w:val="en-US"/>
        </w:rPr>
        <w:footnoteReference w:id="23"/>
      </w:r>
      <w:r w:rsidR="005A65CE" w:rsidRPr="003171CD">
        <w:rPr>
          <w:lang w:val="en-US"/>
        </w:rPr>
        <w:t xml:space="preserve"> As </w:t>
      </w:r>
      <w:r w:rsidR="005A65CE" w:rsidRPr="003171CD">
        <w:rPr>
          <w:szCs w:val="20"/>
          <w:lang w:val="en-US"/>
        </w:rPr>
        <w:t xml:space="preserve">this Court has </w:t>
      </w:r>
      <w:r w:rsidR="00437A9E" w:rsidRPr="003171CD">
        <w:rPr>
          <w:szCs w:val="20"/>
          <w:lang w:val="en-US"/>
        </w:rPr>
        <w:t xml:space="preserve">stated </w:t>
      </w:r>
      <w:r w:rsidR="005A65CE" w:rsidRPr="003171CD">
        <w:rPr>
          <w:szCs w:val="20"/>
          <w:lang w:val="en-US"/>
        </w:rPr>
        <w:t xml:space="preserve">previously, this does not imply that the States Parties to the Convention </w:t>
      </w:r>
      <w:r w:rsidR="006D1A1E" w:rsidRPr="003171CD">
        <w:rPr>
          <w:szCs w:val="20"/>
          <w:lang w:val="en-US"/>
        </w:rPr>
        <w:t xml:space="preserve">are released </w:t>
      </w:r>
      <w:r w:rsidR="005A65CE" w:rsidRPr="003171CD">
        <w:rPr>
          <w:szCs w:val="20"/>
          <w:lang w:val="en-US"/>
        </w:rPr>
        <w:t>from the</w:t>
      </w:r>
      <w:r w:rsidR="006D1A1E" w:rsidRPr="003171CD">
        <w:rPr>
          <w:szCs w:val="20"/>
          <w:lang w:val="en-US"/>
        </w:rPr>
        <w:t>ir</w:t>
      </w:r>
      <w:r w:rsidR="005A65CE" w:rsidRPr="003171CD">
        <w:rPr>
          <w:szCs w:val="20"/>
          <w:lang w:val="en-US"/>
        </w:rPr>
        <w:t xml:space="preserve"> obligations derived </w:t>
      </w:r>
      <w:r w:rsidR="006D1A1E" w:rsidRPr="003171CD">
        <w:rPr>
          <w:szCs w:val="20"/>
          <w:lang w:val="en-US"/>
        </w:rPr>
        <w:t xml:space="preserve">from </w:t>
      </w:r>
      <w:r w:rsidR="005A65CE" w:rsidRPr="003171CD">
        <w:rPr>
          <w:szCs w:val="20"/>
          <w:lang w:val="en-US"/>
        </w:rPr>
        <w:t>the Declaration by the fact of being members of the OAS.</w:t>
      </w:r>
      <w:r w:rsidR="005A65CE" w:rsidRPr="003171CD">
        <w:rPr>
          <w:rStyle w:val="Refdenotaalpie"/>
          <w:lang w:val="en-US"/>
        </w:rPr>
        <w:footnoteReference w:id="24"/>
      </w:r>
      <w:r w:rsidR="005A65CE" w:rsidRPr="003171CD">
        <w:rPr>
          <w:szCs w:val="20"/>
          <w:lang w:val="en-US"/>
        </w:rPr>
        <w:t xml:space="preserve"> However, in the </w:t>
      </w:r>
      <w:r w:rsidR="006D1A1E" w:rsidRPr="003171CD">
        <w:rPr>
          <w:szCs w:val="20"/>
          <w:lang w:val="en-US"/>
        </w:rPr>
        <w:t xml:space="preserve">instant </w:t>
      </w:r>
      <w:r w:rsidR="005A65CE" w:rsidRPr="003171CD">
        <w:rPr>
          <w:szCs w:val="20"/>
          <w:lang w:val="en-US"/>
        </w:rPr>
        <w:t xml:space="preserve">case the specific and primary source of the State’s international obligations is the American Convention. </w:t>
      </w:r>
      <w:r w:rsidR="006D1A1E" w:rsidRPr="003171CD">
        <w:rPr>
          <w:szCs w:val="20"/>
          <w:lang w:val="en-US"/>
        </w:rPr>
        <w:t>Furthermore</w:t>
      </w:r>
      <w:r w:rsidR="005A65CE" w:rsidRPr="003171CD">
        <w:rPr>
          <w:szCs w:val="20"/>
          <w:lang w:val="en-US"/>
        </w:rPr>
        <w:t xml:space="preserve">, it is pertinent </w:t>
      </w:r>
      <w:r w:rsidR="006C539A" w:rsidRPr="003171CD">
        <w:rPr>
          <w:szCs w:val="20"/>
          <w:lang w:val="en-US"/>
        </w:rPr>
        <w:t xml:space="preserve">to point out </w:t>
      </w:r>
      <w:r w:rsidR="005A65CE" w:rsidRPr="003171CD">
        <w:rPr>
          <w:szCs w:val="20"/>
          <w:lang w:val="en-US"/>
        </w:rPr>
        <w:t xml:space="preserve">that, although the representatives </w:t>
      </w:r>
      <w:r w:rsidR="005A65CE" w:rsidRPr="003171CD">
        <w:rPr>
          <w:rFonts w:cs="Verdana"/>
          <w:szCs w:val="20"/>
          <w:lang w:val="en-US"/>
        </w:rPr>
        <w:t xml:space="preserve">included the </w:t>
      </w:r>
      <w:r w:rsidR="003D0FBE" w:rsidRPr="003171CD">
        <w:rPr>
          <w:rFonts w:cs="Verdana"/>
          <w:szCs w:val="20"/>
          <w:lang w:val="en-US"/>
        </w:rPr>
        <w:t xml:space="preserve">alleged </w:t>
      </w:r>
      <w:r w:rsidR="005A65CE" w:rsidRPr="003171CD">
        <w:rPr>
          <w:rFonts w:cs="Verdana"/>
          <w:szCs w:val="20"/>
          <w:lang w:val="en-US"/>
        </w:rPr>
        <w:t xml:space="preserve">violation of various articles of the American Declaration, </w:t>
      </w:r>
      <w:r w:rsidR="00AF2186" w:rsidRPr="003171CD">
        <w:rPr>
          <w:rFonts w:cs="Verdana"/>
          <w:szCs w:val="20"/>
          <w:lang w:val="en-US"/>
        </w:rPr>
        <w:t xml:space="preserve">they </w:t>
      </w:r>
      <w:r w:rsidR="005A65CE" w:rsidRPr="003171CD">
        <w:rPr>
          <w:rFonts w:cs="Verdana"/>
          <w:szCs w:val="20"/>
          <w:lang w:val="en-US"/>
        </w:rPr>
        <w:t>did not formulate such arguments pursuant to Article 29(d)</w:t>
      </w:r>
      <w:r w:rsidR="005A65CE" w:rsidRPr="003171CD">
        <w:rPr>
          <w:szCs w:val="20"/>
          <w:lang w:val="en-US"/>
        </w:rPr>
        <w:t xml:space="preserve"> of the Convention</w:t>
      </w:r>
      <w:r w:rsidR="003D0FBE" w:rsidRPr="003171CD">
        <w:rPr>
          <w:szCs w:val="20"/>
          <w:lang w:val="en-US"/>
        </w:rPr>
        <w:t xml:space="preserve">; rather, these were </w:t>
      </w:r>
      <w:r w:rsidR="005A65CE" w:rsidRPr="003171CD">
        <w:rPr>
          <w:szCs w:val="20"/>
          <w:lang w:val="en-US"/>
        </w:rPr>
        <w:t xml:space="preserve">invoked “in correspondence” with the rights and freedoms recognized in the American </w:t>
      </w:r>
      <w:r w:rsidR="003D0FBE" w:rsidRPr="003171CD">
        <w:rPr>
          <w:szCs w:val="20"/>
          <w:lang w:val="en-US"/>
        </w:rPr>
        <w:t>Convention. In other words, the representatives</w:t>
      </w:r>
      <w:r w:rsidR="005A65CE" w:rsidRPr="003171CD">
        <w:rPr>
          <w:szCs w:val="20"/>
          <w:lang w:val="en-US"/>
        </w:rPr>
        <w:t xml:space="preserve"> did not argue that the provisions of the Convention that </w:t>
      </w:r>
      <w:r w:rsidR="006C539A" w:rsidRPr="003171CD">
        <w:rPr>
          <w:szCs w:val="20"/>
          <w:lang w:val="en-US"/>
        </w:rPr>
        <w:t xml:space="preserve">were allegedly </w:t>
      </w:r>
      <w:r w:rsidR="005A65CE" w:rsidRPr="003171CD">
        <w:rPr>
          <w:szCs w:val="20"/>
          <w:lang w:val="en-US"/>
        </w:rPr>
        <w:t xml:space="preserve">violated in this case </w:t>
      </w:r>
      <w:r w:rsidR="00897B7E" w:rsidRPr="003171CD">
        <w:rPr>
          <w:szCs w:val="20"/>
          <w:lang w:val="en-US"/>
        </w:rPr>
        <w:t xml:space="preserve">imply </w:t>
      </w:r>
      <w:r w:rsidR="005A65CE" w:rsidRPr="003171CD">
        <w:rPr>
          <w:szCs w:val="20"/>
          <w:lang w:val="en-US"/>
        </w:rPr>
        <w:t>“</w:t>
      </w:r>
      <w:r w:rsidR="00897B7E" w:rsidRPr="003171CD">
        <w:rPr>
          <w:color w:val="000000"/>
          <w:lang w:val="en-US"/>
        </w:rPr>
        <w:t>excluding or limiting the effect that the American Declaration</w:t>
      </w:r>
      <w:r w:rsidR="00897B7E" w:rsidRPr="003171CD">
        <w:rPr>
          <w:lang w:val="en-US"/>
        </w:rPr>
        <w:t xml:space="preserve"> […] may have</w:t>
      </w:r>
      <w:r w:rsidR="005A65CE" w:rsidRPr="003171CD">
        <w:rPr>
          <w:lang w:val="en-US"/>
        </w:rPr>
        <w:t xml:space="preserve">.” </w:t>
      </w:r>
      <w:r w:rsidR="003D0FBE" w:rsidRPr="003171CD">
        <w:rPr>
          <w:lang w:val="en-US"/>
        </w:rPr>
        <w:t xml:space="preserve">Therefore, </w:t>
      </w:r>
      <w:r w:rsidR="005A65CE" w:rsidRPr="003171CD">
        <w:rPr>
          <w:lang w:val="en-US"/>
        </w:rPr>
        <w:t>the Court considers that in th</w:t>
      </w:r>
      <w:r w:rsidR="00437A9E" w:rsidRPr="003171CD">
        <w:rPr>
          <w:lang w:val="en-US"/>
        </w:rPr>
        <w:t xml:space="preserve">is </w:t>
      </w:r>
      <w:r w:rsidR="005A65CE" w:rsidRPr="003171CD">
        <w:rPr>
          <w:lang w:val="en-US"/>
        </w:rPr>
        <w:t xml:space="preserve">case it is not appropriate to rule on </w:t>
      </w:r>
      <w:r w:rsidR="00437A9E" w:rsidRPr="003171CD">
        <w:rPr>
          <w:lang w:val="en-US"/>
        </w:rPr>
        <w:t>the a</w:t>
      </w:r>
      <w:r w:rsidR="005A65CE" w:rsidRPr="003171CD">
        <w:rPr>
          <w:lang w:val="en-US"/>
        </w:rPr>
        <w:t>rticles of the American Declaration that were invoked</w:t>
      </w:r>
      <w:r w:rsidR="005A65CE" w:rsidRPr="003171CD">
        <w:rPr>
          <w:rFonts w:eastAsiaTheme="minorHAnsi" w:cs="Verdana"/>
          <w:sz w:val="19"/>
          <w:szCs w:val="19"/>
          <w:lang w:val="en-US"/>
        </w:rPr>
        <w:t>.</w:t>
      </w:r>
    </w:p>
    <w:p w14:paraId="1D7377A6" w14:textId="77777777" w:rsidR="005A65CE" w:rsidRPr="003171CD" w:rsidRDefault="005A65CE" w:rsidP="005A65CE">
      <w:pPr>
        <w:rPr>
          <w:lang w:val="en-US"/>
        </w:rPr>
      </w:pPr>
    </w:p>
    <w:p w14:paraId="71C1D60C" w14:textId="77777777" w:rsidR="005A65CE" w:rsidRPr="003171CD" w:rsidRDefault="005A65CE" w:rsidP="005A65CE">
      <w:pPr>
        <w:pStyle w:val="Prrafodelista"/>
        <w:numPr>
          <w:ilvl w:val="0"/>
          <w:numId w:val="1"/>
        </w:numPr>
        <w:jc w:val="both"/>
        <w:rPr>
          <w:szCs w:val="20"/>
          <w:lang w:val="en-US"/>
        </w:rPr>
      </w:pPr>
      <w:r w:rsidRPr="003171CD">
        <w:rPr>
          <w:lang w:val="en-US"/>
        </w:rPr>
        <w:lastRenderedPageBreak/>
        <w:t>As to the measures of reparation, the Court confirms that the State</w:t>
      </w:r>
      <w:r w:rsidRPr="003171CD">
        <w:rPr>
          <w:szCs w:val="20"/>
          <w:lang w:val="en-US"/>
        </w:rPr>
        <w:t xml:space="preserve">, </w:t>
      </w:r>
      <w:r w:rsidR="003D0FBE" w:rsidRPr="003171CD">
        <w:rPr>
          <w:szCs w:val="20"/>
          <w:lang w:val="en-US"/>
        </w:rPr>
        <w:t xml:space="preserve">in accepting </w:t>
      </w:r>
      <w:r w:rsidRPr="003171CD">
        <w:rPr>
          <w:szCs w:val="20"/>
          <w:lang w:val="en-US"/>
        </w:rPr>
        <w:t xml:space="preserve">the conclusions </w:t>
      </w:r>
      <w:r w:rsidR="003D0FBE" w:rsidRPr="003171CD">
        <w:rPr>
          <w:szCs w:val="20"/>
          <w:lang w:val="en-US"/>
        </w:rPr>
        <w:t xml:space="preserve">reached in </w:t>
      </w:r>
      <w:r w:rsidRPr="003171CD">
        <w:rPr>
          <w:szCs w:val="20"/>
          <w:lang w:val="en-US"/>
        </w:rPr>
        <w:t xml:space="preserve">Report No. </w:t>
      </w:r>
      <w:r w:rsidRPr="003171CD">
        <w:rPr>
          <w:lang w:val="en-US"/>
        </w:rPr>
        <w:t>82/13</w:t>
      </w:r>
      <w:r w:rsidRPr="003171CD">
        <w:rPr>
          <w:szCs w:val="20"/>
          <w:lang w:val="en-US"/>
        </w:rPr>
        <w:t xml:space="preserve"> and some </w:t>
      </w:r>
      <w:r w:rsidRPr="003171CD">
        <w:rPr>
          <w:lang w:val="en-US"/>
        </w:rPr>
        <w:t xml:space="preserve">of the proposed reparations, </w:t>
      </w:r>
      <w:r w:rsidRPr="003171CD">
        <w:rPr>
          <w:szCs w:val="20"/>
          <w:lang w:val="en-US"/>
        </w:rPr>
        <w:t xml:space="preserve">recognized its obligation to </w:t>
      </w:r>
      <w:r w:rsidR="00437A9E" w:rsidRPr="003171CD">
        <w:rPr>
          <w:szCs w:val="20"/>
          <w:lang w:val="en-US"/>
        </w:rPr>
        <w:t xml:space="preserve">provide </w:t>
      </w:r>
      <w:r w:rsidRPr="003171CD">
        <w:rPr>
          <w:szCs w:val="20"/>
          <w:lang w:val="en-US"/>
        </w:rPr>
        <w:t xml:space="preserve">redress </w:t>
      </w:r>
      <w:r w:rsidR="00437A9E" w:rsidRPr="003171CD">
        <w:rPr>
          <w:szCs w:val="20"/>
          <w:lang w:val="en-US"/>
        </w:rPr>
        <w:t xml:space="preserve">for </w:t>
      </w:r>
      <w:r w:rsidRPr="003171CD">
        <w:rPr>
          <w:szCs w:val="20"/>
          <w:lang w:val="en-US"/>
        </w:rPr>
        <w:t xml:space="preserve">the violations </w:t>
      </w:r>
      <w:r w:rsidR="00437A9E" w:rsidRPr="003171CD">
        <w:rPr>
          <w:szCs w:val="20"/>
          <w:lang w:val="en-US"/>
        </w:rPr>
        <w:t>suffered by the victims</w:t>
      </w:r>
      <w:r w:rsidRPr="003171CD">
        <w:rPr>
          <w:szCs w:val="20"/>
          <w:lang w:val="en-US"/>
        </w:rPr>
        <w:t xml:space="preserve">. The disagreement lies in the </w:t>
      </w:r>
      <w:r w:rsidR="00437A9E" w:rsidRPr="003171CD">
        <w:rPr>
          <w:szCs w:val="20"/>
          <w:lang w:val="en-US"/>
        </w:rPr>
        <w:t xml:space="preserve">nature </w:t>
      </w:r>
      <w:r w:rsidRPr="003171CD">
        <w:rPr>
          <w:szCs w:val="20"/>
          <w:lang w:val="en-US"/>
        </w:rPr>
        <w:t>and scope of th</w:t>
      </w:r>
      <w:r w:rsidR="00576404" w:rsidRPr="003171CD">
        <w:rPr>
          <w:szCs w:val="20"/>
          <w:lang w:val="en-US"/>
        </w:rPr>
        <w:t>os</w:t>
      </w:r>
      <w:r w:rsidRPr="003171CD">
        <w:rPr>
          <w:szCs w:val="20"/>
          <w:lang w:val="en-US"/>
        </w:rPr>
        <w:t xml:space="preserve">e measures, </w:t>
      </w:r>
      <w:r w:rsidR="00437A9E" w:rsidRPr="003171CD">
        <w:rPr>
          <w:szCs w:val="20"/>
          <w:lang w:val="en-US"/>
        </w:rPr>
        <w:t xml:space="preserve">as well as </w:t>
      </w:r>
      <w:r w:rsidRPr="003171CD">
        <w:rPr>
          <w:szCs w:val="20"/>
          <w:lang w:val="en-US"/>
        </w:rPr>
        <w:t>the amount of the compensation</w:t>
      </w:r>
      <w:r w:rsidR="00437A9E" w:rsidRPr="003171CD">
        <w:rPr>
          <w:szCs w:val="20"/>
          <w:lang w:val="en-US"/>
        </w:rPr>
        <w:t xml:space="preserve"> </w:t>
      </w:r>
      <w:r w:rsidR="00576404" w:rsidRPr="003171CD">
        <w:rPr>
          <w:szCs w:val="20"/>
          <w:lang w:val="en-US"/>
        </w:rPr>
        <w:t>owed</w:t>
      </w:r>
      <w:r w:rsidRPr="003171CD">
        <w:rPr>
          <w:szCs w:val="20"/>
          <w:lang w:val="en-US"/>
        </w:rPr>
        <w:t>.</w:t>
      </w:r>
    </w:p>
    <w:p w14:paraId="343D73C9" w14:textId="77777777" w:rsidR="005A65CE" w:rsidRPr="003171CD" w:rsidRDefault="005A65CE" w:rsidP="005A65CE">
      <w:pPr>
        <w:pStyle w:val="Prrafodelista"/>
        <w:ind w:left="0"/>
        <w:jc w:val="both"/>
        <w:rPr>
          <w:lang w:val="en-US"/>
        </w:rPr>
      </w:pPr>
    </w:p>
    <w:p w14:paraId="348FAF60" w14:textId="77777777" w:rsidR="005A65CE" w:rsidRPr="003171CD" w:rsidRDefault="005A65CE" w:rsidP="005A65CE">
      <w:pPr>
        <w:pStyle w:val="Prrafodelista"/>
        <w:numPr>
          <w:ilvl w:val="0"/>
          <w:numId w:val="1"/>
        </w:numPr>
        <w:jc w:val="both"/>
        <w:rPr>
          <w:lang w:val="en-US"/>
        </w:rPr>
      </w:pPr>
      <w:r w:rsidRPr="003171CD">
        <w:rPr>
          <w:szCs w:val="20"/>
          <w:lang w:val="en-US"/>
        </w:rPr>
        <w:t xml:space="preserve">In the Court´s view, </w:t>
      </w:r>
      <w:r w:rsidR="00437A9E" w:rsidRPr="003171CD">
        <w:rPr>
          <w:szCs w:val="20"/>
          <w:lang w:val="en-US"/>
        </w:rPr>
        <w:t xml:space="preserve">the </w:t>
      </w:r>
      <w:r w:rsidR="00CB30D3" w:rsidRPr="003171CD">
        <w:rPr>
          <w:szCs w:val="20"/>
          <w:lang w:val="en-US"/>
        </w:rPr>
        <w:t xml:space="preserve">position expressed </w:t>
      </w:r>
      <w:r w:rsidR="00437A9E" w:rsidRPr="003171CD">
        <w:rPr>
          <w:szCs w:val="20"/>
          <w:lang w:val="en-US"/>
        </w:rPr>
        <w:t xml:space="preserve">by the State during </w:t>
      </w:r>
      <w:r w:rsidRPr="003171CD">
        <w:rPr>
          <w:szCs w:val="20"/>
          <w:lang w:val="en-US"/>
        </w:rPr>
        <w:t xml:space="preserve">the different procedural stages </w:t>
      </w:r>
      <w:r w:rsidR="003D0FBE" w:rsidRPr="003171CD">
        <w:rPr>
          <w:szCs w:val="20"/>
          <w:lang w:val="en-US"/>
        </w:rPr>
        <w:t>before this Court constitutes</w:t>
      </w:r>
      <w:r w:rsidRPr="003171CD">
        <w:rPr>
          <w:szCs w:val="20"/>
          <w:lang w:val="en-US"/>
        </w:rPr>
        <w:t xml:space="preserve"> an acknowledgment of international responsibility </w:t>
      </w:r>
      <w:r w:rsidR="00437A9E" w:rsidRPr="003171CD">
        <w:rPr>
          <w:szCs w:val="20"/>
          <w:lang w:val="en-US"/>
        </w:rPr>
        <w:t xml:space="preserve">for </w:t>
      </w:r>
      <w:r w:rsidRPr="003171CD">
        <w:rPr>
          <w:szCs w:val="20"/>
          <w:lang w:val="en-US"/>
        </w:rPr>
        <w:t>the facts and the violations indicated by the Inter-American Commi</w:t>
      </w:r>
      <w:r w:rsidR="00CC19AD" w:rsidRPr="003171CD">
        <w:rPr>
          <w:szCs w:val="20"/>
          <w:lang w:val="en-US"/>
        </w:rPr>
        <w:t xml:space="preserve">ssion in </w:t>
      </w:r>
      <w:r w:rsidR="003D0FBE" w:rsidRPr="003171CD">
        <w:rPr>
          <w:szCs w:val="20"/>
          <w:lang w:val="en-US"/>
        </w:rPr>
        <w:t>Merits R</w:t>
      </w:r>
      <w:r w:rsidRPr="003171CD">
        <w:rPr>
          <w:szCs w:val="20"/>
          <w:lang w:val="en-US"/>
        </w:rPr>
        <w:t xml:space="preserve">eport </w:t>
      </w:r>
      <w:r w:rsidRPr="003171CD">
        <w:rPr>
          <w:lang w:val="en-US"/>
        </w:rPr>
        <w:t>No. 82/13</w:t>
      </w:r>
      <w:r w:rsidRPr="003171CD">
        <w:rPr>
          <w:szCs w:val="20"/>
          <w:lang w:val="en-US"/>
        </w:rPr>
        <w:t>. Thus</w:t>
      </w:r>
      <w:r w:rsidRPr="003171CD">
        <w:rPr>
          <w:lang w:val="en-US"/>
        </w:rPr>
        <w:t xml:space="preserve">, the </w:t>
      </w:r>
      <w:r w:rsidR="00437A9E" w:rsidRPr="003171CD">
        <w:rPr>
          <w:lang w:val="en-US"/>
        </w:rPr>
        <w:t xml:space="preserve">State’s </w:t>
      </w:r>
      <w:r w:rsidRPr="003171CD">
        <w:rPr>
          <w:lang w:val="en-US"/>
        </w:rPr>
        <w:t>ac</w:t>
      </w:r>
      <w:r w:rsidR="003D0FBE" w:rsidRPr="003171CD">
        <w:rPr>
          <w:lang w:val="en-US"/>
        </w:rPr>
        <w:t xml:space="preserve">quiescence amounts to </w:t>
      </w:r>
      <w:r w:rsidR="00437A9E" w:rsidRPr="003171CD">
        <w:rPr>
          <w:lang w:val="en-US"/>
        </w:rPr>
        <w:t xml:space="preserve">a </w:t>
      </w:r>
      <w:r w:rsidRPr="003171CD">
        <w:rPr>
          <w:lang w:val="en-US"/>
        </w:rPr>
        <w:t xml:space="preserve">full acceptance of the facts and a partial </w:t>
      </w:r>
      <w:r w:rsidR="00437A9E" w:rsidRPr="003171CD">
        <w:rPr>
          <w:lang w:val="en-US"/>
        </w:rPr>
        <w:t xml:space="preserve">recognition </w:t>
      </w:r>
      <w:r w:rsidRPr="003171CD">
        <w:rPr>
          <w:lang w:val="en-US"/>
        </w:rPr>
        <w:t xml:space="preserve">of the </w:t>
      </w:r>
      <w:r w:rsidR="00437A9E" w:rsidRPr="003171CD">
        <w:rPr>
          <w:lang w:val="en-US"/>
        </w:rPr>
        <w:t xml:space="preserve">alleged </w:t>
      </w:r>
      <w:r w:rsidRPr="003171CD">
        <w:rPr>
          <w:lang w:val="en-US"/>
        </w:rPr>
        <w:t xml:space="preserve">violations </w:t>
      </w:r>
      <w:r w:rsidR="002B6167" w:rsidRPr="003171CD">
        <w:rPr>
          <w:lang w:val="en-US"/>
        </w:rPr>
        <w:t xml:space="preserve">committed </w:t>
      </w:r>
      <w:r w:rsidRPr="003171CD">
        <w:rPr>
          <w:lang w:val="en-US"/>
        </w:rPr>
        <w:t xml:space="preserve">to the detriment of Mr. José Agapito Ruano Torres and his </w:t>
      </w:r>
      <w:r w:rsidR="00437A9E" w:rsidRPr="003171CD">
        <w:rPr>
          <w:lang w:val="en-US"/>
        </w:rPr>
        <w:t>next of kin</w:t>
      </w:r>
      <w:r w:rsidRPr="003171CD">
        <w:rPr>
          <w:lang w:val="en-US"/>
        </w:rPr>
        <w:t xml:space="preserve">, namely: </w:t>
      </w:r>
      <w:r w:rsidRPr="003171CD">
        <w:rPr>
          <w:rFonts w:cs="Times"/>
          <w:lang w:val="en-US"/>
        </w:rPr>
        <w:t>María Maribel Guevara de Ruano, Oscar Manuel Ruano Guevara, Keily Lisbeth Ruano Guevara and Pedro Torres Hércules</w:t>
      </w:r>
      <w:r w:rsidRPr="003171CD">
        <w:rPr>
          <w:lang w:val="en-US"/>
        </w:rPr>
        <w:t xml:space="preserve">, which </w:t>
      </w:r>
      <w:r w:rsidR="003D0FBE" w:rsidRPr="003171CD">
        <w:rPr>
          <w:lang w:val="en-US"/>
        </w:rPr>
        <w:t xml:space="preserve">produces </w:t>
      </w:r>
      <w:r w:rsidRPr="003171CD">
        <w:rPr>
          <w:lang w:val="en-US"/>
        </w:rPr>
        <w:t xml:space="preserve">full </w:t>
      </w:r>
      <w:r w:rsidR="00842ABA" w:rsidRPr="003171CD">
        <w:rPr>
          <w:lang w:val="en-US"/>
        </w:rPr>
        <w:t xml:space="preserve">juridical </w:t>
      </w:r>
      <w:r w:rsidRPr="003171CD">
        <w:rPr>
          <w:lang w:val="en-US"/>
        </w:rPr>
        <w:t xml:space="preserve">effects </w:t>
      </w:r>
      <w:r w:rsidR="00437A9E" w:rsidRPr="003171CD">
        <w:rPr>
          <w:lang w:val="en-US"/>
        </w:rPr>
        <w:t xml:space="preserve">under </w:t>
      </w:r>
      <w:r w:rsidRPr="003171CD">
        <w:rPr>
          <w:lang w:val="en-US"/>
        </w:rPr>
        <w:t xml:space="preserve">Articles 62 and 64 of the </w:t>
      </w:r>
      <w:r w:rsidR="003D0FBE" w:rsidRPr="003171CD">
        <w:rPr>
          <w:lang w:val="en-US"/>
        </w:rPr>
        <w:t xml:space="preserve">Court’s </w:t>
      </w:r>
      <w:r w:rsidRPr="003171CD">
        <w:rPr>
          <w:lang w:val="en-US"/>
        </w:rPr>
        <w:t xml:space="preserve">Rules of </w:t>
      </w:r>
      <w:r w:rsidR="003D0FBE" w:rsidRPr="003171CD">
        <w:rPr>
          <w:lang w:val="en-US"/>
        </w:rPr>
        <w:t>Procedure</w:t>
      </w:r>
      <w:r w:rsidRPr="003171CD">
        <w:rPr>
          <w:lang w:val="en-US"/>
        </w:rPr>
        <w:t>.</w:t>
      </w:r>
    </w:p>
    <w:p w14:paraId="0747C90D" w14:textId="77777777" w:rsidR="005A65CE" w:rsidRPr="003171CD" w:rsidRDefault="005A65CE" w:rsidP="005A65CE">
      <w:pPr>
        <w:pStyle w:val="Prrafodelista"/>
        <w:ind w:left="0"/>
        <w:jc w:val="both"/>
        <w:rPr>
          <w:lang w:val="en-US"/>
        </w:rPr>
      </w:pPr>
    </w:p>
    <w:p w14:paraId="67F89CA9" w14:textId="77777777" w:rsidR="005A65CE" w:rsidRPr="003171CD" w:rsidRDefault="005A65CE" w:rsidP="005A65CE">
      <w:pPr>
        <w:pStyle w:val="Prrafodelista"/>
        <w:numPr>
          <w:ilvl w:val="0"/>
          <w:numId w:val="1"/>
        </w:numPr>
        <w:jc w:val="both"/>
        <w:rPr>
          <w:lang w:val="en-US"/>
        </w:rPr>
      </w:pPr>
      <w:r w:rsidRPr="003171CD">
        <w:rPr>
          <w:lang w:val="en-US"/>
        </w:rPr>
        <w:t>The State’s ac</w:t>
      </w:r>
      <w:r w:rsidR="003D0FBE" w:rsidRPr="003171CD">
        <w:rPr>
          <w:lang w:val="en-US"/>
        </w:rPr>
        <w:t>quiescence</w:t>
      </w:r>
      <w:r w:rsidRPr="003171CD">
        <w:rPr>
          <w:lang w:val="en-US"/>
        </w:rPr>
        <w:t xml:space="preserve">, together with </w:t>
      </w:r>
      <w:r w:rsidR="003728E3" w:rsidRPr="003171CD">
        <w:rPr>
          <w:lang w:val="en-US"/>
        </w:rPr>
        <w:t xml:space="preserve">its expressed </w:t>
      </w:r>
      <w:r w:rsidRPr="003171CD">
        <w:rPr>
          <w:lang w:val="en-US"/>
        </w:rPr>
        <w:t xml:space="preserve">commitment </w:t>
      </w:r>
      <w:r w:rsidR="003728E3" w:rsidRPr="003171CD">
        <w:rPr>
          <w:lang w:val="en-US"/>
        </w:rPr>
        <w:t xml:space="preserve">to implement the necessary </w:t>
      </w:r>
      <w:r w:rsidRPr="003171CD">
        <w:rPr>
          <w:lang w:val="en-US"/>
        </w:rPr>
        <w:t>measures of reparation</w:t>
      </w:r>
      <w:r w:rsidR="00497EE7" w:rsidRPr="003171CD">
        <w:rPr>
          <w:lang w:val="en-US"/>
        </w:rPr>
        <w:t>,</w:t>
      </w:r>
      <w:r w:rsidRPr="003171CD">
        <w:rPr>
          <w:lang w:val="en-US"/>
        </w:rPr>
        <w:t xml:space="preserve"> in permanent dialogue with the representatives and under the criteria </w:t>
      </w:r>
      <w:r w:rsidR="00CB30D3" w:rsidRPr="003171CD">
        <w:rPr>
          <w:lang w:val="en-US"/>
        </w:rPr>
        <w:t xml:space="preserve">established by </w:t>
      </w:r>
      <w:r w:rsidRPr="003171CD">
        <w:rPr>
          <w:lang w:val="en-US"/>
        </w:rPr>
        <w:t>the Court,</w:t>
      </w:r>
      <w:r w:rsidRPr="003171CD">
        <w:rPr>
          <w:szCs w:val="20"/>
          <w:lang w:val="en-US"/>
        </w:rPr>
        <w:t xml:space="preserve"> constitute</w:t>
      </w:r>
      <w:r w:rsidR="003D0FBE" w:rsidRPr="003171CD">
        <w:rPr>
          <w:szCs w:val="20"/>
          <w:lang w:val="en-US"/>
        </w:rPr>
        <w:t>s</w:t>
      </w:r>
      <w:r w:rsidRPr="003171CD">
        <w:rPr>
          <w:szCs w:val="20"/>
          <w:lang w:val="en-US"/>
        </w:rPr>
        <w:t xml:space="preserve"> a </w:t>
      </w:r>
      <w:r w:rsidR="00A35489" w:rsidRPr="003171CD">
        <w:rPr>
          <w:szCs w:val="20"/>
          <w:lang w:val="en-US"/>
        </w:rPr>
        <w:t xml:space="preserve">positive </w:t>
      </w:r>
      <w:r w:rsidRPr="003171CD">
        <w:rPr>
          <w:szCs w:val="20"/>
          <w:lang w:val="en-US"/>
        </w:rPr>
        <w:t xml:space="preserve">contribution </w:t>
      </w:r>
      <w:r w:rsidR="00A35489" w:rsidRPr="003171CD">
        <w:rPr>
          <w:szCs w:val="20"/>
          <w:lang w:val="en-US"/>
        </w:rPr>
        <w:t>to th</w:t>
      </w:r>
      <w:r w:rsidR="00772033" w:rsidRPr="003171CD">
        <w:rPr>
          <w:szCs w:val="20"/>
          <w:lang w:val="en-US"/>
        </w:rPr>
        <w:t>is proceeding</w:t>
      </w:r>
      <w:r w:rsidRPr="003171CD">
        <w:rPr>
          <w:szCs w:val="20"/>
          <w:lang w:val="en-US"/>
        </w:rPr>
        <w:t xml:space="preserve">, </w:t>
      </w:r>
      <w:r w:rsidR="00A35489" w:rsidRPr="003171CD">
        <w:rPr>
          <w:szCs w:val="20"/>
          <w:lang w:val="en-US"/>
        </w:rPr>
        <w:t xml:space="preserve">to the </w:t>
      </w:r>
      <w:r w:rsidR="00FD638E" w:rsidRPr="003171CD">
        <w:rPr>
          <w:szCs w:val="20"/>
          <w:lang w:val="en-US"/>
        </w:rPr>
        <w:t xml:space="preserve">observance </w:t>
      </w:r>
      <w:r w:rsidRPr="003171CD">
        <w:rPr>
          <w:szCs w:val="20"/>
          <w:lang w:val="en-US"/>
        </w:rPr>
        <w:t>of the principles that inspir</w:t>
      </w:r>
      <w:r w:rsidR="00497EE7" w:rsidRPr="003171CD">
        <w:rPr>
          <w:szCs w:val="20"/>
          <w:lang w:val="en-US"/>
        </w:rPr>
        <w:t xml:space="preserve">e the </w:t>
      </w:r>
      <w:r w:rsidR="003D0FBE" w:rsidRPr="003171CD">
        <w:rPr>
          <w:szCs w:val="20"/>
          <w:lang w:val="en-US"/>
        </w:rPr>
        <w:t>Convention and, in part, satisfies</w:t>
      </w:r>
      <w:r w:rsidR="00497EE7" w:rsidRPr="003171CD">
        <w:rPr>
          <w:szCs w:val="20"/>
          <w:lang w:val="en-US"/>
        </w:rPr>
        <w:t xml:space="preserve"> </w:t>
      </w:r>
      <w:r w:rsidRPr="003171CD">
        <w:rPr>
          <w:szCs w:val="20"/>
          <w:lang w:val="en-US"/>
        </w:rPr>
        <w:t xml:space="preserve">the need </w:t>
      </w:r>
      <w:r w:rsidR="00497EE7" w:rsidRPr="003171CD">
        <w:rPr>
          <w:szCs w:val="20"/>
          <w:lang w:val="en-US"/>
        </w:rPr>
        <w:t>to re</w:t>
      </w:r>
      <w:r w:rsidR="006863F1" w:rsidRPr="003171CD">
        <w:rPr>
          <w:szCs w:val="20"/>
          <w:lang w:val="en-GB"/>
        </w:rPr>
        <w:t xml:space="preserve">dress </w:t>
      </w:r>
      <w:r w:rsidR="00497EE7" w:rsidRPr="003171CD">
        <w:rPr>
          <w:szCs w:val="20"/>
          <w:lang w:val="en-US"/>
        </w:rPr>
        <w:t xml:space="preserve">the harm caused to </w:t>
      </w:r>
      <w:r w:rsidRPr="003171CD">
        <w:rPr>
          <w:szCs w:val="20"/>
          <w:lang w:val="en-US"/>
        </w:rPr>
        <w:t>the victims of human rights violations.</w:t>
      </w:r>
      <w:r w:rsidRPr="003171CD">
        <w:rPr>
          <w:rStyle w:val="Refdenotaalpie"/>
          <w:lang w:val="en-US"/>
        </w:rPr>
        <w:footnoteReference w:id="25"/>
      </w:r>
    </w:p>
    <w:p w14:paraId="479EEE4A" w14:textId="77777777" w:rsidR="005A65CE" w:rsidRPr="003171CD" w:rsidRDefault="005A65CE" w:rsidP="005A65CE">
      <w:pPr>
        <w:pStyle w:val="Prrafodelista"/>
        <w:ind w:left="0"/>
        <w:jc w:val="both"/>
        <w:rPr>
          <w:lang w:val="en-US"/>
        </w:rPr>
      </w:pPr>
    </w:p>
    <w:p w14:paraId="37286021" w14:textId="77777777" w:rsidR="005A65CE" w:rsidRPr="003171CD" w:rsidRDefault="005A65CE" w:rsidP="005A65CE">
      <w:pPr>
        <w:numPr>
          <w:ilvl w:val="0"/>
          <w:numId w:val="1"/>
        </w:numPr>
        <w:jc w:val="both"/>
        <w:rPr>
          <w:rFonts w:cs="Times"/>
          <w:lang w:val="en-US" w:eastAsia="en-US"/>
        </w:rPr>
      </w:pPr>
      <w:r w:rsidRPr="003171CD">
        <w:rPr>
          <w:rFonts w:cs="Times"/>
          <w:lang w:val="en-US" w:eastAsia="en-US"/>
        </w:rPr>
        <w:t xml:space="preserve">In the case </w:t>
      </w:r>
      <w:r w:rsidRPr="003171CD">
        <w:rPr>
          <w:rFonts w:cs="Times"/>
          <w:i/>
          <w:lang w:val="en-US" w:eastAsia="en-US"/>
        </w:rPr>
        <w:t>sub judice</w:t>
      </w:r>
      <w:r w:rsidRPr="003171CD">
        <w:rPr>
          <w:rFonts w:cs="Times"/>
          <w:lang w:val="en-US" w:eastAsia="en-US"/>
        </w:rPr>
        <w:t xml:space="preserve">, the Commission </w:t>
      </w:r>
      <w:r w:rsidR="006863F1" w:rsidRPr="003171CD">
        <w:rPr>
          <w:rFonts w:cs="Times"/>
          <w:lang w:val="en-US" w:eastAsia="en-US"/>
        </w:rPr>
        <w:t xml:space="preserve">requested that </w:t>
      </w:r>
      <w:r w:rsidRPr="003171CD">
        <w:rPr>
          <w:rFonts w:cs="Times"/>
          <w:lang w:val="en-US" w:eastAsia="en-US"/>
        </w:rPr>
        <w:t xml:space="preserve">the Court issue a judgment </w:t>
      </w:r>
      <w:r w:rsidR="00497EE7" w:rsidRPr="003171CD">
        <w:rPr>
          <w:rFonts w:cs="Times"/>
          <w:lang w:val="en-US" w:eastAsia="en-US"/>
        </w:rPr>
        <w:t xml:space="preserve">containing </w:t>
      </w:r>
      <w:r w:rsidRPr="003171CD">
        <w:rPr>
          <w:rFonts w:cs="Times"/>
          <w:lang w:val="en-US" w:eastAsia="en-US"/>
        </w:rPr>
        <w:t xml:space="preserve">a detailed assessment of the facts, the applicable </w:t>
      </w:r>
      <w:r w:rsidR="00497EE7" w:rsidRPr="003171CD">
        <w:rPr>
          <w:rFonts w:cs="Times"/>
          <w:lang w:val="en-US" w:eastAsia="en-US"/>
        </w:rPr>
        <w:t xml:space="preserve">law </w:t>
      </w:r>
      <w:r w:rsidRPr="003171CD">
        <w:rPr>
          <w:rFonts w:cs="Times"/>
          <w:lang w:val="en-US" w:eastAsia="en-US"/>
        </w:rPr>
        <w:t>and the corresponding</w:t>
      </w:r>
      <w:r w:rsidR="00497EE7" w:rsidRPr="003171CD">
        <w:rPr>
          <w:rFonts w:cs="Times"/>
          <w:lang w:val="en-US" w:eastAsia="en-US"/>
        </w:rPr>
        <w:t xml:space="preserve"> reparations,</w:t>
      </w:r>
      <w:r w:rsidRPr="003171CD">
        <w:rPr>
          <w:rFonts w:cs="Times"/>
          <w:lang w:val="en-US" w:eastAsia="en-US"/>
        </w:rPr>
        <w:t xml:space="preserve"> “taking into account the need </w:t>
      </w:r>
      <w:r w:rsidR="00497EE7" w:rsidRPr="003171CD">
        <w:rPr>
          <w:rFonts w:cs="Times"/>
          <w:lang w:val="en-US" w:eastAsia="en-US"/>
        </w:rPr>
        <w:t xml:space="preserve">to obtain </w:t>
      </w:r>
      <w:r w:rsidRPr="003171CD">
        <w:rPr>
          <w:rFonts w:cs="Times"/>
          <w:lang w:val="en-US" w:eastAsia="en-US"/>
        </w:rPr>
        <w:t>truth and justice for the victim and his family, a</w:t>
      </w:r>
      <w:r w:rsidR="002B6167" w:rsidRPr="003171CD">
        <w:rPr>
          <w:rFonts w:cs="Times"/>
          <w:lang w:val="en-US" w:eastAsia="en-US"/>
        </w:rPr>
        <w:t xml:space="preserve">nd addressing </w:t>
      </w:r>
      <w:r w:rsidRPr="003171CD">
        <w:rPr>
          <w:rFonts w:cs="Times"/>
          <w:lang w:val="en-US" w:eastAsia="en-US"/>
        </w:rPr>
        <w:t>the new points that this case raises for the development of inter-A</w:t>
      </w:r>
      <w:r w:rsidR="00497EE7" w:rsidRPr="003171CD">
        <w:rPr>
          <w:rFonts w:cs="Times"/>
          <w:lang w:val="en-US" w:eastAsia="en-US"/>
        </w:rPr>
        <w:t>merican case law on the right to</w:t>
      </w:r>
      <w:r w:rsidRPr="003171CD">
        <w:rPr>
          <w:rFonts w:cs="Times"/>
          <w:lang w:val="en-US" w:eastAsia="en-US"/>
        </w:rPr>
        <w:t xml:space="preserve"> defense and presumption of innocence.”</w:t>
      </w:r>
    </w:p>
    <w:p w14:paraId="22FCA443" w14:textId="77777777" w:rsidR="005A65CE" w:rsidRPr="003171CD" w:rsidRDefault="005A65CE" w:rsidP="005A65CE">
      <w:pPr>
        <w:jc w:val="both"/>
        <w:rPr>
          <w:rFonts w:cs="Times"/>
          <w:lang w:val="en-US" w:eastAsia="en-US"/>
        </w:rPr>
      </w:pPr>
    </w:p>
    <w:p w14:paraId="513662C0" w14:textId="77777777" w:rsidR="005A65CE" w:rsidRPr="003171CD" w:rsidRDefault="004A250A" w:rsidP="005A65CE">
      <w:pPr>
        <w:pStyle w:val="Prrafodelista"/>
        <w:numPr>
          <w:ilvl w:val="0"/>
          <w:numId w:val="1"/>
        </w:numPr>
        <w:jc w:val="both"/>
        <w:rPr>
          <w:bCs/>
          <w:lang w:val="en-US"/>
        </w:rPr>
      </w:pPr>
      <w:r w:rsidRPr="003171CD">
        <w:rPr>
          <w:szCs w:val="20"/>
          <w:lang w:val="en-US"/>
        </w:rPr>
        <w:t xml:space="preserve">By virtue of the </w:t>
      </w:r>
      <w:r w:rsidR="00A35489" w:rsidRPr="003171CD">
        <w:rPr>
          <w:szCs w:val="20"/>
          <w:lang w:val="en-US"/>
        </w:rPr>
        <w:t xml:space="preserve">authority </w:t>
      </w:r>
      <w:r w:rsidRPr="003171CD">
        <w:rPr>
          <w:szCs w:val="20"/>
          <w:lang w:val="en-US"/>
        </w:rPr>
        <w:t xml:space="preserve">vested in </w:t>
      </w:r>
      <w:r w:rsidR="00CD727E" w:rsidRPr="003171CD">
        <w:rPr>
          <w:szCs w:val="20"/>
          <w:lang w:val="en-US"/>
        </w:rPr>
        <w:t>this Court as an</w:t>
      </w:r>
      <w:r w:rsidR="005A65CE" w:rsidRPr="003171CD">
        <w:rPr>
          <w:szCs w:val="20"/>
          <w:lang w:val="en-US"/>
        </w:rPr>
        <w:t xml:space="preserve"> international body responsible for the protection of human rights</w:t>
      </w:r>
      <w:r w:rsidR="00A34F1F" w:rsidRPr="003171CD">
        <w:rPr>
          <w:szCs w:val="20"/>
          <w:lang w:val="en-US"/>
        </w:rPr>
        <w:t>,</w:t>
      </w:r>
      <w:r w:rsidR="005A65CE" w:rsidRPr="003171CD">
        <w:rPr>
          <w:szCs w:val="20"/>
          <w:lang w:val="en-US"/>
        </w:rPr>
        <w:t xml:space="preserve"> and having regard to the </w:t>
      </w:r>
      <w:r w:rsidR="00A34F1F" w:rsidRPr="003171CD">
        <w:rPr>
          <w:szCs w:val="20"/>
          <w:lang w:val="en-US"/>
        </w:rPr>
        <w:t xml:space="preserve">specific </w:t>
      </w:r>
      <w:r w:rsidR="00AE0742" w:rsidRPr="003171CD">
        <w:rPr>
          <w:lang w:val="en-US"/>
        </w:rPr>
        <w:t>facts of</w:t>
      </w:r>
      <w:r w:rsidR="005A65CE" w:rsidRPr="003171CD">
        <w:rPr>
          <w:lang w:val="en-US"/>
        </w:rPr>
        <w:t xml:space="preserve"> this case and the violations </w:t>
      </w:r>
      <w:r w:rsidR="00AE0742" w:rsidRPr="003171CD">
        <w:rPr>
          <w:lang w:val="en-US"/>
        </w:rPr>
        <w:t xml:space="preserve">acknowledged </w:t>
      </w:r>
      <w:r w:rsidR="005A65CE" w:rsidRPr="003171CD">
        <w:rPr>
          <w:lang w:val="en-US"/>
        </w:rPr>
        <w:t>by the State,</w:t>
      </w:r>
      <w:r w:rsidR="005A65CE" w:rsidRPr="003171CD">
        <w:rPr>
          <w:szCs w:val="20"/>
          <w:lang w:val="en-US"/>
        </w:rPr>
        <w:t xml:space="preserve"> </w:t>
      </w:r>
      <w:r w:rsidR="002B6167" w:rsidRPr="003171CD">
        <w:rPr>
          <w:szCs w:val="20"/>
          <w:lang w:val="en-US"/>
        </w:rPr>
        <w:t>this</w:t>
      </w:r>
      <w:r w:rsidR="00A34F1F" w:rsidRPr="003171CD">
        <w:rPr>
          <w:szCs w:val="20"/>
          <w:lang w:val="en-US"/>
        </w:rPr>
        <w:t xml:space="preserve"> Court, in addition to considering that it has an obligation to rule in the cases submitted to it, pursuant to </w:t>
      </w:r>
      <w:r w:rsidR="005A65CE" w:rsidRPr="003171CD">
        <w:rPr>
          <w:szCs w:val="20"/>
          <w:lang w:val="en-US"/>
        </w:rPr>
        <w:t xml:space="preserve">Articles 62(3), 63(1) and 66 of the Convention, </w:t>
      </w:r>
      <w:r w:rsidR="005F2BBD" w:rsidRPr="003171CD">
        <w:rPr>
          <w:lang w:val="en-US"/>
        </w:rPr>
        <w:t>deems it necessary to issue a judgment that establishes the facts that occurred,</w:t>
      </w:r>
      <w:r w:rsidR="005F2BBD" w:rsidRPr="003171CD">
        <w:rPr>
          <w:szCs w:val="20"/>
          <w:lang w:val="en-US"/>
        </w:rPr>
        <w:t xml:space="preserve"> </w:t>
      </w:r>
      <w:r w:rsidR="005F2BBD" w:rsidRPr="003171CD">
        <w:rPr>
          <w:lang w:val="en-US"/>
        </w:rPr>
        <w:t xml:space="preserve">in order to provide reparation for </w:t>
      </w:r>
      <w:r w:rsidR="005F2BBD" w:rsidRPr="003171CD">
        <w:rPr>
          <w:szCs w:val="20"/>
          <w:lang w:val="en-US"/>
        </w:rPr>
        <w:t>Mr. Ruano Torres and his family</w:t>
      </w:r>
      <w:r w:rsidR="005F2BBD" w:rsidRPr="003171CD">
        <w:rPr>
          <w:lang w:val="en-US"/>
        </w:rPr>
        <w:t>, avoid the repetition of similar facts and, in general, satisfy the purposes of the inter-American jurisdiction on human rights</w:t>
      </w:r>
      <w:r w:rsidR="005A65CE" w:rsidRPr="003171CD">
        <w:rPr>
          <w:lang w:val="en-US"/>
        </w:rPr>
        <w:t>.</w:t>
      </w:r>
    </w:p>
    <w:p w14:paraId="2E77335F" w14:textId="77777777" w:rsidR="005A65CE" w:rsidRPr="003171CD" w:rsidRDefault="005A65CE" w:rsidP="005A65CE">
      <w:pPr>
        <w:pStyle w:val="Prrafodelista"/>
        <w:rPr>
          <w:lang w:val="en-US"/>
        </w:rPr>
      </w:pPr>
    </w:p>
    <w:p w14:paraId="2DFA9243" w14:textId="77777777" w:rsidR="005A65CE" w:rsidRPr="003171CD" w:rsidRDefault="005F2BBD" w:rsidP="005A65CE">
      <w:pPr>
        <w:pStyle w:val="Prrafodelista"/>
        <w:numPr>
          <w:ilvl w:val="0"/>
          <w:numId w:val="1"/>
        </w:numPr>
        <w:jc w:val="both"/>
        <w:rPr>
          <w:lang w:val="en-US"/>
        </w:rPr>
      </w:pPr>
      <w:r w:rsidRPr="003171CD">
        <w:rPr>
          <w:lang w:val="en-US"/>
        </w:rPr>
        <w:t xml:space="preserve">As to </w:t>
      </w:r>
      <w:r w:rsidR="005A65CE" w:rsidRPr="003171CD">
        <w:rPr>
          <w:lang w:val="en-US"/>
        </w:rPr>
        <w:t>the alleged violations of th</w:t>
      </w:r>
      <w:r w:rsidR="00AE0742" w:rsidRPr="003171CD">
        <w:rPr>
          <w:lang w:val="en-US"/>
        </w:rPr>
        <w:t>e American Convention</w:t>
      </w:r>
      <w:r w:rsidRPr="003171CD">
        <w:rPr>
          <w:lang w:val="en-US"/>
        </w:rPr>
        <w:t>,</w:t>
      </w:r>
      <w:r w:rsidR="005A65CE" w:rsidRPr="003171CD">
        <w:rPr>
          <w:lang w:val="en-US"/>
        </w:rPr>
        <w:t xml:space="preserve"> in the particular circumstances of this case</w:t>
      </w:r>
      <w:r w:rsidRPr="003171CD">
        <w:rPr>
          <w:lang w:val="en-US"/>
        </w:rPr>
        <w:t>,</w:t>
      </w:r>
      <w:r w:rsidR="005A65CE" w:rsidRPr="003171CD">
        <w:rPr>
          <w:lang w:val="en-US"/>
        </w:rPr>
        <w:t xml:space="preserve"> the Court</w:t>
      </w:r>
      <w:r w:rsidRPr="003171CD">
        <w:rPr>
          <w:lang w:val="en-US"/>
        </w:rPr>
        <w:t xml:space="preserve"> does not consider it necessary, on this occasion,</w:t>
      </w:r>
      <w:r w:rsidR="005A65CE" w:rsidRPr="003171CD">
        <w:rPr>
          <w:lang w:val="en-US"/>
        </w:rPr>
        <w:t xml:space="preserve"> </w:t>
      </w:r>
      <w:r w:rsidRPr="003171CD">
        <w:rPr>
          <w:lang w:val="en-US"/>
        </w:rPr>
        <w:t xml:space="preserve">to discuss </w:t>
      </w:r>
      <w:r w:rsidR="005A65CE" w:rsidRPr="003171CD">
        <w:rPr>
          <w:lang w:val="en-US"/>
        </w:rPr>
        <w:t xml:space="preserve">all the points </w:t>
      </w:r>
      <w:r w:rsidR="00AE0742" w:rsidRPr="003171CD">
        <w:rPr>
          <w:lang w:val="en-US"/>
        </w:rPr>
        <w:t xml:space="preserve">subject to </w:t>
      </w:r>
      <w:r w:rsidR="003D5EE5" w:rsidRPr="003171CD">
        <w:rPr>
          <w:lang w:val="en-US"/>
        </w:rPr>
        <w:t>litigation</w:t>
      </w:r>
      <w:r w:rsidR="005A65CE" w:rsidRPr="003171CD">
        <w:rPr>
          <w:lang w:val="en-US"/>
        </w:rPr>
        <w:t xml:space="preserve">, </w:t>
      </w:r>
      <w:r w:rsidR="003D5EE5" w:rsidRPr="003171CD">
        <w:rPr>
          <w:lang w:val="en-US"/>
        </w:rPr>
        <w:t xml:space="preserve">given </w:t>
      </w:r>
      <w:r w:rsidR="005A65CE" w:rsidRPr="003171CD">
        <w:rPr>
          <w:lang w:val="en-US"/>
        </w:rPr>
        <w:t xml:space="preserve">that some </w:t>
      </w:r>
      <w:r w:rsidR="009329B3" w:rsidRPr="003171CD">
        <w:rPr>
          <w:lang w:val="en-US"/>
        </w:rPr>
        <w:t xml:space="preserve">legal </w:t>
      </w:r>
      <w:r w:rsidR="002E2D4A" w:rsidRPr="003171CD">
        <w:rPr>
          <w:lang w:val="en-US"/>
        </w:rPr>
        <w:t xml:space="preserve">claims </w:t>
      </w:r>
      <w:r w:rsidR="009329B3" w:rsidRPr="003171CD">
        <w:rPr>
          <w:lang w:val="en-US"/>
        </w:rPr>
        <w:t>made</w:t>
      </w:r>
      <w:r w:rsidR="005A65CE" w:rsidRPr="003171CD">
        <w:rPr>
          <w:rFonts w:cs="Verdana"/>
          <w:szCs w:val="20"/>
          <w:lang w:val="en-US"/>
        </w:rPr>
        <w:t>, such as the</w:t>
      </w:r>
      <w:r w:rsidRPr="003171CD">
        <w:rPr>
          <w:rFonts w:cs="Verdana"/>
          <w:szCs w:val="20"/>
          <w:lang w:val="en-US"/>
        </w:rPr>
        <w:t xml:space="preserve"> rights to </w:t>
      </w:r>
      <w:r w:rsidR="005A65CE" w:rsidRPr="003171CD">
        <w:rPr>
          <w:rFonts w:cs="Verdana"/>
          <w:szCs w:val="20"/>
          <w:lang w:val="en-US"/>
        </w:rPr>
        <w:t xml:space="preserve">personal </w:t>
      </w:r>
      <w:r w:rsidR="00AE0742" w:rsidRPr="003171CD">
        <w:rPr>
          <w:rFonts w:cs="Verdana"/>
          <w:szCs w:val="20"/>
          <w:lang w:val="en-US"/>
        </w:rPr>
        <w:t xml:space="preserve">liberty, personal </w:t>
      </w:r>
      <w:r w:rsidR="005A65CE" w:rsidRPr="003171CD">
        <w:rPr>
          <w:rFonts w:cs="Verdana"/>
          <w:szCs w:val="20"/>
          <w:lang w:val="en-US"/>
        </w:rPr>
        <w:t xml:space="preserve">integrity and the prohibition </w:t>
      </w:r>
      <w:r w:rsidRPr="003171CD">
        <w:rPr>
          <w:rFonts w:cs="Verdana"/>
          <w:szCs w:val="20"/>
          <w:lang w:val="en-US"/>
        </w:rPr>
        <w:t xml:space="preserve">of torture, the presumption of </w:t>
      </w:r>
      <w:r w:rsidR="005A65CE" w:rsidRPr="003171CD">
        <w:rPr>
          <w:rFonts w:cs="Verdana"/>
          <w:szCs w:val="20"/>
          <w:lang w:val="en-US"/>
        </w:rPr>
        <w:t>innocence and judicial protection with respect to José Agapito Ruano Torres,</w:t>
      </w:r>
      <w:r w:rsidR="005A65CE" w:rsidRPr="003171CD">
        <w:rPr>
          <w:lang w:val="en-US"/>
        </w:rPr>
        <w:t xml:space="preserve"> have already been comprehensively established by the Inter-American Court in other cases. Nevertheless, in order to ensure a better understanding of the State’s international responsibility in this case and the ca</w:t>
      </w:r>
      <w:r w:rsidR="00AE0742" w:rsidRPr="003171CD">
        <w:rPr>
          <w:lang w:val="en-US"/>
        </w:rPr>
        <w:t>us</w:t>
      </w:r>
      <w:r w:rsidR="005A65CE" w:rsidRPr="003171CD">
        <w:rPr>
          <w:lang w:val="en-US"/>
        </w:rPr>
        <w:t>al nexus between the violations established and the reparatio</w:t>
      </w:r>
      <w:r w:rsidR="009329B3" w:rsidRPr="003171CD">
        <w:rPr>
          <w:lang w:val="en-US"/>
        </w:rPr>
        <w:t xml:space="preserve">ns to be ordered, the Court </w:t>
      </w:r>
      <w:r w:rsidR="00AE0742" w:rsidRPr="003171CD">
        <w:rPr>
          <w:lang w:val="en-US"/>
        </w:rPr>
        <w:t xml:space="preserve">finds </w:t>
      </w:r>
      <w:r w:rsidR="009329B3" w:rsidRPr="003171CD">
        <w:rPr>
          <w:lang w:val="en-US"/>
        </w:rPr>
        <w:t xml:space="preserve">it </w:t>
      </w:r>
      <w:r w:rsidR="005A65CE" w:rsidRPr="003171CD">
        <w:rPr>
          <w:lang w:val="en-US"/>
        </w:rPr>
        <w:t xml:space="preserve">pertinent </w:t>
      </w:r>
      <w:r w:rsidR="009329B3" w:rsidRPr="003171CD">
        <w:rPr>
          <w:lang w:val="en-US"/>
        </w:rPr>
        <w:t xml:space="preserve">to specify </w:t>
      </w:r>
      <w:r w:rsidR="005A65CE" w:rsidRPr="003171CD">
        <w:rPr>
          <w:lang w:val="en-US"/>
        </w:rPr>
        <w:t xml:space="preserve">the human rights violations </w:t>
      </w:r>
      <w:r w:rsidR="009329B3" w:rsidRPr="003171CD">
        <w:rPr>
          <w:lang w:val="en-US"/>
        </w:rPr>
        <w:t xml:space="preserve">encompassed </w:t>
      </w:r>
      <w:r w:rsidRPr="003171CD">
        <w:rPr>
          <w:lang w:val="en-US"/>
        </w:rPr>
        <w:t>by</w:t>
      </w:r>
      <w:r w:rsidR="003D5EE5" w:rsidRPr="003171CD">
        <w:rPr>
          <w:lang w:val="en-US"/>
        </w:rPr>
        <w:t xml:space="preserve"> </w:t>
      </w:r>
      <w:r w:rsidR="005A65CE" w:rsidRPr="003171CD">
        <w:rPr>
          <w:lang w:val="en-US"/>
        </w:rPr>
        <w:t xml:space="preserve">the </w:t>
      </w:r>
      <w:r w:rsidR="009329B3" w:rsidRPr="003171CD">
        <w:rPr>
          <w:lang w:val="en-US"/>
        </w:rPr>
        <w:t xml:space="preserve">State’s </w:t>
      </w:r>
      <w:r w:rsidR="005A65CE" w:rsidRPr="003171CD">
        <w:rPr>
          <w:lang w:val="en-US"/>
        </w:rPr>
        <w:t>acknowledgment of responsibility, as</w:t>
      </w:r>
      <w:r w:rsidR="008247E1" w:rsidRPr="003171CD">
        <w:rPr>
          <w:lang w:val="en-US"/>
        </w:rPr>
        <w:t xml:space="preserve"> well as </w:t>
      </w:r>
      <w:r w:rsidR="005A65CE" w:rsidRPr="003171CD">
        <w:rPr>
          <w:lang w:val="en-US"/>
        </w:rPr>
        <w:t xml:space="preserve">the </w:t>
      </w:r>
      <w:r w:rsidR="003D5EE5" w:rsidRPr="003171CD">
        <w:rPr>
          <w:lang w:val="en-US"/>
        </w:rPr>
        <w:t xml:space="preserve">origin </w:t>
      </w:r>
      <w:r w:rsidR="005A65CE" w:rsidRPr="003171CD">
        <w:rPr>
          <w:lang w:val="en-US"/>
        </w:rPr>
        <w:t xml:space="preserve">and </w:t>
      </w:r>
      <w:r w:rsidR="008247E1" w:rsidRPr="003171CD">
        <w:rPr>
          <w:lang w:val="en-US"/>
        </w:rPr>
        <w:t>scope</w:t>
      </w:r>
      <w:r w:rsidR="005A65CE" w:rsidRPr="003171CD">
        <w:rPr>
          <w:lang w:val="en-US"/>
        </w:rPr>
        <w:t xml:space="preserve"> of the violations </w:t>
      </w:r>
      <w:r w:rsidRPr="003171CD">
        <w:rPr>
          <w:lang w:val="en-US"/>
        </w:rPr>
        <w:t xml:space="preserve">autonomously </w:t>
      </w:r>
      <w:r w:rsidR="005A65CE" w:rsidRPr="003171CD">
        <w:rPr>
          <w:lang w:val="en-US"/>
        </w:rPr>
        <w:t xml:space="preserve">invoked by the representatives </w:t>
      </w:r>
      <w:r w:rsidR="002B6167" w:rsidRPr="003171CD">
        <w:rPr>
          <w:lang w:val="en-US"/>
        </w:rPr>
        <w:t xml:space="preserve">regarding </w:t>
      </w:r>
      <w:r w:rsidR="005A65CE" w:rsidRPr="003171CD">
        <w:rPr>
          <w:lang w:val="en-US"/>
        </w:rPr>
        <w:t>which the dispute</w:t>
      </w:r>
      <w:r w:rsidR="003D5EE5" w:rsidRPr="003171CD">
        <w:rPr>
          <w:lang w:val="en-US"/>
        </w:rPr>
        <w:t xml:space="preserve"> </w:t>
      </w:r>
      <w:r w:rsidRPr="003171CD">
        <w:rPr>
          <w:lang w:val="en-US"/>
        </w:rPr>
        <w:t>persists</w:t>
      </w:r>
      <w:r w:rsidR="005A65CE" w:rsidRPr="003171CD">
        <w:rPr>
          <w:lang w:val="en-US"/>
        </w:rPr>
        <w:t>.</w:t>
      </w:r>
    </w:p>
    <w:p w14:paraId="00C9EA83" w14:textId="77777777" w:rsidR="005A65CE" w:rsidRPr="003171CD" w:rsidRDefault="005A65CE" w:rsidP="005A65CE">
      <w:pPr>
        <w:pStyle w:val="Prrafodelista"/>
        <w:ind w:left="0"/>
        <w:jc w:val="both"/>
        <w:rPr>
          <w:lang w:val="en-US"/>
        </w:rPr>
      </w:pPr>
    </w:p>
    <w:p w14:paraId="5D3652B8" w14:textId="77777777" w:rsidR="005A65CE" w:rsidRPr="003171CD" w:rsidRDefault="005F2BBD" w:rsidP="005A65CE">
      <w:pPr>
        <w:pStyle w:val="Prrafodelista"/>
        <w:numPr>
          <w:ilvl w:val="0"/>
          <w:numId w:val="1"/>
        </w:numPr>
        <w:jc w:val="both"/>
        <w:rPr>
          <w:bCs/>
          <w:lang w:val="en-US"/>
        </w:rPr>
      </w:pPr>
      <w:r w:rsidRPr="003171CD">
        <w:rPr>
          <w:lang w:val="en-US"/>
        </w:rPr>
        <w:t>Furthermore</w:t>
      </w:r>
      <w:r w:rsidR="005A65CE" w:rsidRPr="003171CD">
        <w:rPr>
          <w:lang w:val="en-US"/>
        </w:rPr>
        <w:t xml:space="preserve">, </w:t>
      </w:r>
      <w:r w:rsidRPr="003171CD">
        <w:rPr>
          <w:lang w:val="en-US"/>
        </w:rPr>
        <w:t xml:space="preserve">given </w:t>
      </w:r>
      <w:r w:rsidR="005A65CE" w:rsidRPr="003171CD">
        <w:rPr>
          <w:lang w:val="en-US"/>
        </w:rPr>
        <w:t xml:space="preserve">the demands for justice </w:t>
      </w:r>
      <w:r w:rsidRPr="003171CD">
        <w:rPr>
          <w:lang w:val="en-US"/>
        </w:rPr>
        <w:t xml:space="preserve">in </w:t>
      </w:r>
      <w:r w:rsidR="003D5EE5" w:rsidRPr="003171CD">
        <w:rPr>
          <w:lang w:val="en-US"/>
        </w:rPr>
        <w:t xml:space="preserve">this </w:t>
      </w:r>
      <w:r w:rsidR="005A65CE" w:rsidRPr="003171CD">
        <w:rPr>
          <w:lang w:val="en-US"/>
        </w:rPr>
        <w:t xml:space="preserve">case, the Court </w:t>
      </w:r>
      <w:r w:rsidR="003D5EE5" w:rsidRPr="003171CD">
        <w:rPr>
          <w:lang w:val="en-US"/>
        </w:rPr>
        <w:t xml:space="preserve">deems it </w:t>
      </w:r>
      <w:r w:rsidR="005A65CE" w:rsidRPr="003171CD">
        <w:rPr>
          <w:lang w:val="en-US"/>
        </w:rPr>
        <w:t xml:space="preserve">necessary to </w:t>
      </w:r>
      <w:r w:rsidRPr="003171CD">
        <w:rPr>
          <w:lang w:val="en-US"/>
        </w:rPr>
        <w:t xml:space="preserve">examine </w:t>
      </w:r>
      <w:r w:rsidR="005A65CE" w:rsidRPr="003171CD">
        <w:rPr>
          <w:lang w:val="en-US"/>
        </w:rPr>
        <w:t>the scope of the State’s international responsibility for the actions of the public defen</w:t>
      </w:r>
      <w:r w:rsidRPr="003171CD">
        <w:rPr>
          <w:lang w:val="en-US"/>
        </w:rPr>
        <w:t xml:space="preserve">ders </w:t>
      </w:r>
      <w:r w:rsidR="005A65CE" w:rsidRPr="003171CD">
        <w:rPr>
          <w:lang w:val="en-US"/>
        </w:rPr>
        <w:t xml:space="preserve">in </w:t>
      </w:r>
      <w:r w:rsidRPr="003171CD">
        <w:rPr>
          <w:lang w:val="en-US"/>
        </w:rPr>
        <w:t xml:space="preserve">the </w:t>
      </w:r>
      <w:r w:rsidR="005A65CE" w:rsidRPr="003171CD">
        <w:rPr>
          <w:lang w:val="en-US"/>
        </w:rPr>
        <w:t xml:space="preserve">criminal </w:t>
      </w:r>
      <w:r w:rsidRPr="003171CD">
        <w:rPr>
          <w:lang w:val="en-US"/>
        </w:rPr>
        <w:t>proceedings</w:t>
      </w:r>
      <w:r w:rsidR="005A65CE" w:rsidRPr="003171CD">
        <w:rPr>
          <w:lang w:val="en-US"/>
        </w:rPr>
        <w:t xml:space="preserve">, </w:t>
      </w:r>
      <w:r w:rsidR="003D5EE5" w:rsidRPr="003171CD">
        <w:rPr>
          <w:lang w:val="en-US"/>
        </w:rPr>
        <w:t xml:space="preserve">a </w:t>
      </w:r>
      <w:r w:rsidR="00AE0742" w:rsidRPr="003171CD">
        <w:rPr>
          <w:lang w:val="en-US"/>
        </w:rPr>
        <w:t xml:space="preserve">matter </w:t>
      </w:r>
      <w:r w:rsidR="005A65CE" w:rsidRPr="003171CD">
        <w:rPr>
          <w:lang w:val="en-US"/>
        </w:rPr>
        <w:t xml:space="preserve">that has not been addressed previously in the case law of this </w:t>
      </w:r>
      <w:r w:rsidR="005A65CE" w:rsidRPr="003171CD">
        <w:rPr>
          <w:lang w:val="en-US"/>
        </w:rPr>
        <w:lastRenderedPageBreak/>
        <w:t xml:space="preserve">Court. These developments will contribute to </w:t>
      </w:r>
      <w:r w:rsidR="00941035" w:rsidRPr="003171CD">
        <w:rPr>
          <w:lang w:val="en-US"/>
        </w:rPr>
        <w:t xml:space="preserve">the establishment of </w:t>
      </w:r>
      <w:r w:rsidR="005A65CE" w:rsidRPr="003171CD">
        <w:rPr>
          <w:lang w:val="en-US"/>
        </w:rPr>
        <w:t xml:space="preserve">case law </w:t>
      </w:r>
      <w:r w:rsidR="005A65CE" w:rsidRPr="003171CD">
        <w:rPr>
          <w:bCs/>
          <w:lang w:val="en-US"/>
        </w:rPr>
        <w:t>criteria to guide the action</w:t>
      </w:r>
      <w:r w:rsidR="00941035" w:rsidRPr="003171CD">
        <w:rPr>
          <w:bCs/>
          <w:lang w:val="en-US"/>
        </w:rPr>
        <w:t>s</w:t>
      </w:r>
      <w:r w:rsidR="005A65CE" w:rsidRPr="003171CD">
        <w:rPr>
          <w:bCs/>
          <w:lang w:val="en-US"/>
        </w:rPr>
        <w:t xml:space="preserve"> of the States and t</w:t>
      </w:r>
      <w:r w:rsidR="00941035" w:rsidRPr="003171CD">
        <w:rPr>
          <w:bCs/>
          <w:lang w:val="en-US"/>
        </w:rPr>
        <w:t xml:space="preserve">o protect the </w:t>
      </w:r>
      <w:r w:rsidR="005A65CE" w:rsidRPr="003171CD">
        <w:rPr>
          <w:bCs/>
          <w:lang w:val="en-US"/>
        </w:rPr>
        <w:t xml:space="preserve">human rights of </w:t>
      </w:r>
      <w:r w:rsidR="00941035" w:rsidRPr="003171CD">
        <w:rPr>
          <w:bCs/>
          <w:lang w:val="en-US"/>
        </w:rPr>
        <w:t>the victims in</w:t>
      </w:r>
      <w:r w:rsidR="005A65CE" w:rsidRPr="003171CD">
        <w:rPr>
          <w:bCs/>
          <w:lang w:val="en-US"/>
        </w:rPr>
        <w:t xml:space="preserve"> this case.</w:t>
      </w:r>
    </w:p>
    <w:p w14:paraId="0810405A" w14:textId="77777777" w:rsidR="005A65CE" w:rsidRPr="003171CD" w:rsidRDefault="005A65CE" w:rsidP="005A65CE">
      <w:pPr>
        <w:pStyle w:val="Prrafodelista"/>
        <w:ind w:left="0"/>
        <w:jc w:val="both"/>
        <w:rPr>
          <w:bCs/>
          <w:lang w:val="en-US"/>
        </w:rPr>
      </w:pPr>
    </w:p>
    <w:p w14:paraId="72818406" w14:textId="77777777" w:rsidR="005A65CE" w:rsidRPr="003171CD" w:rsidRDefault="005A65CE" w:rsidP="005A65CE">
      <w:pPr>
        <w:pStyle w:val="Prrafodelista"/>
        <w:numPr>
          <w:ilvl w:val="0"/>
          <w:numId w:val="1"/>
        </w:numPr>
        <w:jc w:val="both"/>
        <w:rPr>
          <w:bCs/>
          <w:lang w:val="en-US"/>
        </w:rPr>
      </w:pPr>
      <w:r w:rsidRPr="003171CD">
        <w:rPr>
          <w:lang w:val="en-US"/>
        </w:rPr>
        <w:t xml:space="preserve">Finally, the Court will settle the dispute </w:t>
      </w:r>
      <w:r w:rsidR="00B9408E" w:rsidRPr="003171CD">
        <w:rPr>
          <w:lang w:val="en-US"/>
        </w:rPr>
        <w:t xml:space="preserve">concerning </w:t>
      </w:r>
      <w:r w:rsidRPr="003171CD">
        <w:rPr>
          <w:lang w:val="en-US"/>
        </w:rPr>
        <w:t>the reparations</w:t>
      </w:r>
      <w:r w:rsidRPr="003171CD">
        <w:rPr>
          <w:bCs/>
          <w:lang w:val="en-US"/>
        </w:rPr>
        <w:t xml:space="preserve"> requested by the Commission and the representatives.</w:t>
      </w:r>
    </w:p>
    <w:p w14:paraId="6DB2D762" w14:textId="77777777" w:rsidR="005A65CE" w:rsidRPr="003171CD" w:rsidRDefault="005A65CE" w:rsidP="005A65CE">
      <w:pPr>
        <w:pStyle w:val="Prrafodelista"/>
        <w:ind w:left="0"/>
        <w:jc w:val="both"/>
        <w:rPr>
          <w:lang w:val="en-US"/>
        </w:rPr>
      </w:pPr>
    </w:p>
    <w:p w14:paraId="00FDB887"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10" w:name="_Toc425869838"/>
      <w:bookmarkStart w:id="11" w:name="_Toc45186692"/>
      <w:r w:rsidRPr="003171CD">
        <w:rPr>
          <w:rFonts w:eastAsia="Times New Roman" w:cs="Arial"/>
          <w:b/>
          <w:bCs/>
          <w:caps/>
          <w:snapToGrid/>
          <w:lang w:val="en-US" w:eastAsia="en-US"/>
        </w:rPr>
        <w:t>V</w:t>
      </w:r>
      <w:r w:rsidRPr="003171CD">
        <w:rPr>
          <w:rFonts w:eastAsia="Times New Roman" w:cs="Arial"/>
          <w:b/>
          <w:bCs/>
          <w:caps/>
          <w:snapToGrid/>
          <w:lang w:val="en-US" w:eastAsia="en-US"/>
        </w:rPr>
        <w:br/>
        <w:t>EVIDENCE</w:t>
      </w:r>
      <w:bookmarkEnd w:id="10"/>
      <w:bookmarkEnd w:id="11"/>
    </w:p>
    <w:p w14:paraId="209CB224" w14:textId="77777777" w:rsidR="005A65CE" w:rsidRPr="003171CD" w:rsidRDefault="005A65CE" w:rsidP="005A65CE">
      <w:pPr>
        <w:rPr>
          <w:lang w:val="en-US"/>
        </w:rPr>
      </w:pPr>
    </w:p>
    <w:p w14:paraId="366AD12B" w14:textId="77777777" w:rsidR="005A65CE" w:rsidRPr="003171CD" w:rsidRDefault="005A65CE" w:rsidP="005A65CE">
      <w:pPr>
        <w:pStyle w:val="Prrafodelista"/>
        <w:numPr>
          <w:ilvl w:val="0"/>
          <w:numId w:val="1"/>
        </w:numPr>
        <w:jc w:val="both"/>
        <w:rPr>
          <w:rFonts w:eastAsia="Times New Roman" w:cs="Verdana"/>
          <w:szCs w:val="20"/>
          <w:lang w:val="en-US"/>
        </w:rPr>
      </w:pPr>
      <w:r w:rsidRPr="003171CD">
        <w:rPr>
          <w:szCs w:val="20"/>
          <w:lang w:val="en-US"/>
        </w:rPr>
        <w:t xml:space="preserve">Based on the provisions of Articles 46 to 51, 57 and 58 of the Rules, the Court </w:t>
      </w:r>
      <w:r w:rsidR="003D5EE5" w:rsidRPr="003171CD">
        <w:rPr>
          <w:szCs w:val="20"/>
          <w:lang w:val="en-US"/>
        </w:rPr>
        <w:t xml:space="preserve">will </w:t>
      </w:r>
      <w:r w:rsidR="00AF2186" w:rsidRPr="003171CD">
        <w:rPr>
          <w:szCs w:val="20"/>
          <w:lang w:val="en-US"/>
        </w:rPr>
        <w:t xml:space="preserve">now </w:t>
      </w:r>
      <w:r w:rsidRPr="003171CD">
        <w:rPr>
          <w:szCs w:val="20"/>
          <w:lang w:val="en-US"/>
        </w:rPr>
        <w:t>examin</w:t>
      </w:r>
      <w:r w:rsidR="003D5EE5" w:rsidRPr="003171CD">
        <w:rPr>
          <w:szCs w:val="20"/>
          <w:lang w:val="en-US"/>
        </w:rPr>
        <w:t>e</w:t>
      </w:r>
      <w:r w:rsidRPr="003171CD">
        <w:rPr>
          <w:szCs w:val="20"/>
          <w:lang w:val="en-US"/>
        </w:rPr>
        <w:t xml:space="preserve"> the admissibility of the documentary evidence forwarded by the parties, as well as the statements</w:t>
      </w:r>
      <w:r w:rsidRPr="003171CD">
        <w:rPr>
          <w:rFonts w:cs="Verdana"/>
          <w:szCs w:val="20"/>
          <w:lang w:val="en-US"/>
        </w:rPr>
        <w:t xml:space="preserve"> and expert opinions rendered by means of affidavits and </w:t>
      </w:r>
      <w:r w:rsidR="00170E12" w:rsidRPr="003171CD">
        <w:rPr>
          <w:rFonts w:cs="Verdana"/>
          <w:szCs w:val="20"/>
          <w:lang w:val="en-US"/>
        </w:rPr>
        <w:t xml:space="preserve">during </w:t>
      </w:r>
      <w:r w:rsidRPr="003171CD">
        <w:rPr>
          <w:rFonts w:cs="Verdana"/>
          <w:szCs w:val="20"/>
          <w:lang w:val="en-US"/>
        </w:rPr>
        <w:t>the public hearing.</w:t>
      </w:r>
    </w:p>
    <w:p w14:paraId="3AE7258B" w14:textId="77777777" w:rsidR="005A65CE" w:rsidRPr="003171CD" w:rsidRDefault="005A65CE" w:rsidP="005A65CE">
      <w:pPr>
        <w:tabs>
          <w:tab w:val="left" w:pos="720"/>
          <w:tab w:val="num" w:pos="1569"/>
        </w:tabs>
        <w:ind w:right="-90"/>
        <w:jc w:val="both"/>
        <w:rPr>
          <w:rFonts w:eastAsia="Times New Roman"/>
          <w:lang w:val="en-US"/>
        </w:rPr>
      </w:pPr>
    </w:p>
    <w:p w14:paraId="5098093B" w14:textId="77777777" w:rsidR="005A65CE" w:rsidRPr="003171CD" w:rsidRDefault="005A65CE" w:rsidP="005A65CE">
      <w:pPr>
        <w:keepNext/>
        <w:keepLines/>
        <w:ind w:left="708" w:firstLine="1"/>
        <w:jc w:val="both"/>
        <w:outlineLvl w:val="1"/>
        <w:rPr>
          <w:rFonts w:eastAsia="MS Mincho"/>
          <w:b/>
          <w:bCs/>
          <w:i/>
          <w:lang w:val="en-US"/>
        </w:rPr>
      </w:pPr>
      <w:bookmarkStart w:id="12" w:name="_Toc45186693"/>
      <w:bookmarkStart w:id="13" w:name="_Toc375517115"/>
      <w:bookmarkStart w:id="14" w:name="_Toc423107370"/>
      <w:r w:rsidRPr="003171CD">
        <w:rPr>
          <w:rFonts w:eastAsia="MS Mincho"/>
          <w:b/>
          <w:bCs/>
          <w:i/>
          <w:lang w:val="en-US"/>
        </w:rPr>
        <w:t>A.</w:t>
      </w:r>
      <w:r w:rsidRPr="003171CD">
        <w:rPr>
          <w:rFonts w:eastAsia="MS Mincho"/>
          <w:b/>
          <w:bCs/>
          <w:i/>
          <w:lang w:val="en-US"/>
        </w:rPr>
        <w:tab/>
        <w:t>Documentary, testimonial and expert evidence</w:t>
      </w:r>
      <w:bookmarkEnd w:id="12"/>
      <w:r w:rsidRPr="003171CD">
        <w:rPr>
          <w:rFonts w:eastAsia="MS Mincho"/>
          <w:b/>
          <w:bCs/>
          <w:i/>
          <w:lang w:val="en-US"/>
        </w:rPr>
        <w:t xml:space="preserve"> </w:t>
      </w:r>
      <w:bookmarkEnd w:id="13"/>
      <w:bookmarkEnd w:id="14"/>
    </w:p>
    <w:p w14:paraId="73A6FE10" w14:textId="77777777" w:rsidR="005A65CE" w:rsidRPr="003171CD" w:rsidRDefault="005A65CE" w:rsidP="005A65CE">
      <w:pPr>
        <w:jc w:val="both"/>
        <w:rPr>
          <w:lang w:val="en-US"/>
        </w:rPr>
      </w:pPr>
    </w:p>
    <w:p w14:paraId="686D9FA6" w14:textId="77777777" w:rsidR="005A65CE" w:rsidRPr="003171CD" w:rsidRDefault="005A65CE" w:rsidP="005A65CE">
      <w:pPr>
        <w:pStyle w:val="Prrafodelista"/>
        <w:numPr>
          <w:ilvl w:val="0"/>
          <w:numId w:val="1"/>
        </w:numPr>
        <w:tabs>
          <w:tab w:val="left" w:pos="720"/>
          <w:tab w:val="num" w:pos="5057"/>
        </w:tabs>
        <w:ind w:right="-90"/>
        <w:jc w:val="both"/>
        <w:rPr>
          <w:rFonts w:eastAsia="Times New Roman"/>
          <w:szCs w:val="20"/>
          <w:lang w:val="en-US"/>
        </w:rPr>
      </w:pPr>
      <w:r w:rsidRPr="003171CD">
        <w:rPr>
          <w:rFonts w:eastAsia="Times New Roman"/>
          <w:szCs w:val="20"/>
          <w:lang w:val="en-US"/>
        </w:rPr>
        <w:t xml:space="preserve">The Court received </w:t>
      </w:r>
      <w:r w:rsidR="003D5EE5" w:rsidRPr="003171CD">
        <w:rPr>
          <w:rFonts w:eastAsia="Times New Roman"/>
          <w:szCs w:val="20"/>
          <w:lang w:val="en-US"/>
        </w:rPr>
        <w:t xml:space="preserve">various </w:t>
      </w:r>
      <w:r w:rsidRPr="003171CD">
        <w:rPr>
          <w:rFonts w:eastAsia="Times New Roman"/>
          <w:szCs w:val="20"/>
          <w:lang w:val="en-US"/>
        </w:rPr>
        <w:t>documents presented as evidence by the Inter-American Commission, the representatives and the State</w:t>
      </w:r>
      <w:r w:rsidR="00941035" w:rsidRPr="003171CD">
        <w:rPr>
          <w:rFonts w:eastAsia="Times New Roman"/>
          <w:szCs w:val="20"/>
          <w:lang w:val="en-US"/>
        </w:rPr>
        <w:t>,</w:t>
      </w:r>
      <w:r w:rsidRPr="003171CD">
        <w:rPr>
          <w:rFonts w:eastAsia="Times New Roman"/>
          <w:szCs w:val="20"/>
          <w:lang w:val="en-US"/>
        </w:rPr>
        <w:t xml:space="preserve"> together with their main briefs. </w:t>
      </w:r>
      <w:r w:rsidR="003D5EE5" w:rsidRPr="003171CD">
        <w:rPr>
          <w:rFonts w:eastAsia="Times New Roman"/>
          <w:szCs w:val="20"/>
          <w:lang w:val="en-US"/>
        </w:rPr>
        <w:t>In addition</w:t>
      </w:r>
      <w:r w:rsidRPr="003171CD">
        <w:rPr>
          <w:rFonts w:eastAsia="Times New Roman"/>
          <w:szCs w:val="20"/>
          <w:lang w:val="en-US"/>
        </w:rPr>
        <w:t xml:space="preserve">, the Court received the </w:t>
      </w:r>
      <w:r w:rsidRPr="003171CD">
        <w:rPr>
          <w:rFonts w:eastAsia="Times New Roman"/>
          <w:iCs/>
          <w:szCs w:val="20"/>
          <w:lang w:val="en-US"/>
        </w:rPr>
        <w:t>affidavits</w:t>
      </w:r>
      <w:r w:rsidRPr="003171CD">
        <w:rPr>
          <w:rFonts w:eastAsia="Times New Roman"/>
          <w:szCs w:val="20"/>
          <w:lang w:val="en-US"/>
        </w:rPr>
        <w:t xml:space="preserve"> </w:t>
      </w:r>
      <w:r w:rsidR="00941035" w:rsidRPr="003171CD">
        <w:rPr>
          <w:rFonts w:eastAsia="Times New Roman"/>
          <w:szCs w:val="20"/>
          <w:lang w:val="en-US"/>
        </w:rPr>
        <w:t xml:space="preserve">provided </w:t>
      </w:r>
      <w:r w:rsidRPr="003171CD">
        <w:rPr>
          <w:rFonts w:eastAsia="Times New Roman"/>
          <w:szCs w:val="20"/>
          <w:lang w:val="en-US"/>
        </w:rPr>
        <w:t xml:space="preserve">by </w:t>
      </w:r>
      <w:r w:rsidRPr="003171CD">
        <w:rPr>
          <w:lang w:val="en-US"/>
        </w:rPr>
        <w:t xml:space="preserve">María Maribel Guevara de Ruano and </w:t>
      </w:r>
      <w:r w:rsidRPr="003171CD">
        <w:rPr>
          <w:rFonts w:cs="Verdana"/>
          <w:szCs w:val="20"/>
          <w:lang w:val="en-US"/>
        </w:rPr>
        <w:t>Pedro Torres Hércules</w:t>
      </w:r>
      <w:r w:rsidRPr="003171CD">
        <w:rPr>
          <w:rFonts w:eastAsia="Times New Roman"/>
          <w:szCs w:val="20"/>
          <w:lang w:val="en-US"/>
        </w:rPr>
        <w:t xml:space="preserve">. </w:t>
      </w:r>
      <w:r w:rsidR="00941035" w:rsidRPr="003171CD">
        <w:rPr>
          <w:rFonts w:eastAsia="Times New Roman"/>
          <w:szCs w:val="20"/>
          <w:lang w:val="en-US"/>
        </w:rPr>
        <w:t xml:space="preserve">It also </w:t>
      </w:r>
      <w:r w:rsidRPr="003171CD">
        <w:rPr>
          <w:rFonts w:eastAsia="Times New Roman"/>
          <w:szCs w:val="20"/>
          <w:lang w:val="en-US"/>
        </w:rPr>
        <w:t xml:space="preserve">received the expert opinions rendered by affidavit by the experts </w:t>
      </w:r>
      <w:r w:rsidRPr="003171CD">
        <w:rPr>
          <w:lang w:val="en-US"/>
        </w:rPr>
        <w:t>Diana Lourdes Miranda Guerrero and Alberto Martín Binder</w:t>
      </w:r>
      <w:r w:rsidRPr="003171CD">
        <w:rPr>
          <w:rFonts w:eastAsia="Times New Roman"/>
          <w:szCs w:val="20"/>
          <w:lang w:val="en-US"/>
        </w:rPr>
        <w:t xml:space="preserve">. </w:t>
      </w:r>
      <w:r w:rsidR="00941035" w:rsidRPr="003171CD">
        <w:rPr>
          <w:rFonts w:eastAsia="Times New Roman"/>
          <w:szCs w:val="20"/>
          <w:lang w:val="en-US"/>
        </w:rPr>
        <w:t xml:space="preserve">With regard </w:t>
      </w:r>
      <w:r w:rsidRPr="003171CD">
        <w:rPr>
          <w:rFonts w:eastAsia="Times New Roman"/>
          <w:szCs w:val="20"/>
          <w:lang w:val="en-US"/>
        </w:rPr>
        <w:t xml:space="preserve">to the evidence </w:t>
      </w:r>
      <w:r w:rsidR="003159F4" w:rsidRPr="003171CD">
        <w:rPr>
          <w:rFonts w:eastAsia="Times New Roman"/>
          <w:szCs w:val="20"/>
          <w:lang w:val="en-US"/>
        </w:rPr>
        <w:t xml:space="preserve">given </w:t>
      </w:r>
      <w:r w:rsidRPr="003171CD">
        <w:rPr>
          <w:rFonts w:eastAsia="Times New Roman"/>
          <w:szCs w:val="20"/>
          <w:lang w:val="en-US"/>
        </w:rPr>
        <w:t xml:space="preserve">at the public hearing, the Court received the statement of </w:t>
      </w:r>
      <w:r w:rsidRPr="003171CD">
        <w:rPr>
          <w:lang w:val="en-US"/>
        </w:rPr>
        <w:t>José Agapito Ruano Torres</w:t>
      </w:r>
      <w:r w:rsidRPr="003171CD">
        <w:rPr>
          <w:rFonts w:eastAsia="Times New Roman"/>
          <w:szCs w:val="20"/>
          <w:lang w:val="en-US"/>
        </w:rPr>
        <w:t>.</w:t>
      </w:r>
    </w:p>
    <w:p w14:paraId="50929C9D" w14:textId="77777777" w:rsidR="005A65CE" w:rsidRPr="003171CD" w:rsidRDefault="005A65CE" w:rsidP="005A65CE">
      <w:pPr>
        <w:tabs>
          <w:tab w:val="left" w:pos="720"/>
          <w:tab w:val="num" w:pos="5057"/>
        </w:tabs>
        <w:ind w:right="-90"/>
        <w:jc w:val="both"/>
        <w:rPr>
          <w:rFonts w:eastAsia="Times New Roman"/>
          <w:lang w:val="en-US"/>
        </w:rPr>
      </w:pPr>
    </w:p>
    <w:p w14:paraId="238F0FCC" w14:textId="77777777" w:rsidR="005A65CE" w:rsidRPr="003171CD" w:rsidRDefault="005A65CE" w:rsidP="005A65CE">
      <w:pPr>
        <w:keepNext/>
        <w:keepLines/>
        <w:ind w:left="708" w:firstLine="1"/>
        <w:jc w:val="both"/>
        <w:outlineLvl w:val="1"/>
        <w:rPr>
          <w:rFonts w:eastAsia="MS Mincho"/>
          <w:b/>
          <w:bCs/>
          <w:i/>
          <w:lang w:val="en-US"/>
        </w:rPr>
      </w:pPr>
      <w:bookmarkStart w:id="15" w:name="_Toc375517116"/>
      <w:bookmarkStart w:id="16" w:name="_Toc423107371"/>
      <w:bookmarkStart w:id="17" w:name="_Toc45186694"/>
      <w:r w:rsidRPr="003171CD">
        <w:rPr>
          <w:rFonts w:eastAsia="MS Mincho"/>
          <w:b/>
          <w:bCs/>
          <w:i/>
          <w:lang w:val="en-US"/>
        </w:rPr>
        <w:t xml:space="preserve">B. </w:t>
      </w:r>
      <w:r w:rsidRPr="003171CD">
        <w:rPr>
          <w:rFonts w:eastAsia="MS Mincho"/>
          <w:b/>
          <w:bCs/>
          <w:i/>
          <w:lang w:val="en-US"/>
        </w:rPr>
        <w:tab/>
        <w:t>Admission of the evidence</w:t>
      </w:r>
      <w:bookmarkEnd w:id="15"/>
      <w:bookmarkEnd w:id="16"/>
      <w:bookmarkEnd w:id="17"/>
    </w:p>
    <w:p w14:paraId="425DDA01" w14:textId="77777777" w:rsidR="005A65CE" w:rsidRPr="003171CD" w:rsidRDefault="005A65CE" w:rsidP="005A65CE">
      <w:pPr>
        <w:rPr>
          <w:rFonts w:eastAsia="MS Mincho"/>
          <w:b/>
          <w:bCs/>
          <w:i/>
          <w:lang w:val="en-US"/>
        </w:rPr>
      </w:pPr>
    </w:p>
    <w:p w14:paraId="25812A7D" w14:textId="77777777" w:rsidR="005A65CE" w:rsidRPr="003171CD" w:rsidRDefault="005A65CE" w:rsidP="005A65CE">
      <w:pPr>
        <w:keepNext/>
        <w:tabs>
          <w:tab w:val="left" w:pos="1843"/>
        </w:tabs>
        <w:ind w:left="1068"/>
        <w:outlineLvl w:val="2"/>
        <w:rPr>
          <w:rFonts w:eastAsia="Times New Roman"/>
          <w:bCs/>
          <w:i/>
          <w:lang w:val="en-US"/>
        </w:rPr>
      </w:pPr>
      <w:bookmarkStart w:id="18" w:name="_Toc375517117"/>
      <w:bookmarkStart w:id="19" w:name="_Toc423107372"/>
      <w:bookmarkStart w:id="20" w:name="_Toc45186695"/>
      <w:r w:rsidRPr="003171CD">
        <w:rPr>
          <w:rFonts w:eastAsia="Times New Roman"/>
          <w:bCs/>
          <w:i/>
          <w:lang w:val="en-US"/>
        </w:rPr>
        <w:t xml:space="preserve">B.1 </w:t>
      </w:r>
      <w:r w:rsidRPr="003171CD">
        <w:rPr>
          <w:rFonts w:eastAsia="Times New Roman"/>
          <w:bCs/>
          <w:i/>
          <w:lang w:val="en-US"/>
        </w:rPr>
        <w:tab/>
        <w:t>Admission of the documentary evidence</w:t>
      </w:r>
      <w:bookmarkEnd w:id="18"/>
      <w:bookmarkEnd w:id="19"/>
      <w:bookmarkEnd w:id="20"/>
    </w:p>
    <w:p w14:paraId="6747B3E2" w14:textId="77777777" w:rsidR="005A65CE" w:rsidRPr="003171CD" w:rsidRDefault="005A65CE" w:rsidP="005A65CE">
      <w:pPr>
        <w:ind w:left="708" w:firstLine="708"/>
        <w:rPr>
          <w:bCs/>
          <w:i/>
          <w:lang w:val="en-US"/>
        </w:rPr>
      </w:pPr>
    </w:p>
    <w:p w14:paraId="44CCC0F7" w14:textId="77777777" w:rsidR="005A65CE" w:rsidRPr="003171CD" w:rsidRDefault="005A65CE" w:rsidP="005A65CE">
      <w:pPr>
        <w:pStyle w:val="Prrafodelista"/>
        <w:numPr>
          <w:ilvl w:val="0"/>
          <w:numId w:val="1"/>
        </w:numPr>
        <w:jc w:val="both"/>
        <w:rPr>
          <w:rFonts w:eastAsia="Times New Roman"/>
          <w:szCs w:val="20"/>
          <w:lang w:val="en-US"/>
        </w:rPr>
      </w:pPr>
      <w:r w:rsidRPr="003171CD">
        <w:rPr>
          <w:rFonts w:eastAsia="Times New Roman"/>
          <w:szCs w:val="20"/>
          <w:lang w:val="en-US"/>
        </w:rPr>
        <w:t>In th</w:t>
      </w:r>
      <w:r w:rsidR="003159F4" w:rsidRPr="003171CD">
        <w:rPr>
          <w:rFonts w:eastAsia="Times New Roman"/>
          <w:szCs w:val="20"/>
          <w:lang w:val="en-US"/>
        </w:rPr>
        <w:t xml:space="preserve">is </w:t>
      </w:r>
      <w:r w:rsidRPr="003171CD">
        <w:rPr>
          <w:rFonts w:eastAsia="Times New Roman"/>
          <w:szCs w:val="20"/>
          <w:lang w:val="en-US"/>
        </w:rPr>
        <w:t>case</w:t>
      </w:r>
      <w:r w:rsidR="00B460BF" w:rsidRPr="003171CD">
        <w:rPr>
          <w:rFonts w:eastAsia="Times New Roman"/>
          <w:szCs w:val="20"/>
          <w:lang w:val="en-US"/>
        </w:rPr>
        <w:t>, as in others, the Court admits</w:t>
      </w:r>
      <w:r w:rsidRPr="003171CD">
        <w:rPr>
          <w:rFonts w:eastAsia="Times New Roman"/>
          <w:szCs w:val="20"/>
          <w:lang w:val="en-US"/>
        </w:rPr>
        <w:t xml:space="preserve"> </w:t>
      </w:r>
      <w:r w:rsidR="003C34B7" w:rsidRPr="003171CD">
        <w:rPr>
          <w:rFonts w:eastAsia="Times New Roman"/>
          <w:szCs w:val="20"/>
          <w:lang w:val="en-US"/>
        </w:rPr>
        <w:t xml:space="preserve">the </w:t>
      </w:r>
      <w:r w:rsidR="003159F4" w:rsidRPr="003171CD">
        <w:rPr>
          <w:szCs w:val="20"/>
          <w:lang w:val="en-US"/>
        </w:rPr>
        <w:t>probative value of those documents presented by the parties and by the Commission at the proper procedural opportunity</w:t>
      </w:r>
      <w:r w:rsidRPr="003171CD">
        <w:rPr>
          <w:rFonts w:eastAsia="Times New Roman"/>
          <w:szCs w:val="20"/>
          <w:vertAlign w:val="superscript"/>
          <w:lang w:val="en-US"/>
        </w:rPr>
        <w:footnoteReference w:id="26"/>
      </w:r>
      <w:r w:rsidRPr="003171CD">
        <w:rPr>
          <w:rFonts w:eastAsia="Times New Roman"/>
          <w:szCs w:val="20"/>
          <w:lang w:val="en-US"/>
        </w:rPr>
        <w:t xml:space="preserve"> </w:t>
      </w:r>
      <w:r w:rsidR="00170E12" w:rsidRPr="003171CD">
        <w:rPr>
          <w:rFonts w:eastAsia="Times New Roman"/>
          <w:szCs w:val="20"/>
          <w:lang w:val="en-US"/>
        </w:rPr>
        <w:t>that</w:t>
      </w:r>
      <w:r w:rsidRPr="003171CD">
        <w:rPr>
          <w:rFonts w:eastAsia="Times New Roman"/>
          <w:szCs w:val="20"/>
          <w:lang w:val="en-US"/>
        </w:rPr>
        <w:t xml:space="preserve"> were not challenged or disputed.</w:t>
      </w:r>
      <w:r w:rsidRPr="003171CD">
        <w:rPr>
          <w:rFonts w:eastAsia="Times New Roman"/>
          <w:szCs w:val="20"/>
          <w:vertAlign w:val="superscript"/>
          <w:lang w:val="en-US"/>
        </w:rPr>
        <w:footnoteReference w:id="27"/>
      </w:r>
    </w:p>
    <w:p w14:paraId="7E1391BA" w14:textId="77777777" w:rsidR="005A65CE" w:rsidRPr="003171CD" w:rsidRDefault="005A65CE" w:rsidP="005A65CE">
      <w:pPr>
        <w:tabs>
          <w:tab w:val="left" w:pos="720"/>
          <w:tab w:val="num" w:pos="5057"/>
        </w:tabs>
        <w:ind w:right="-90"/>
        <w:jc w:val="both"/>
        <w:rPr>
          <w:lang w:val="en-US"/>
        </w:rPr>
      </w:pPr>
    </w:p>
    <w:p w14:paraId="4FCA9025" w14:textId="77777777" w:rsidR="005A65CE" w:rsidRPr="003171CD" w:rsidRDefault="001C1BE6" w:rsidP="005A65CE">
      <w:pPr>
        <w:pStyle w:val="Prrafodelista"/>
        <w:numPr>
          <w:ilvl w:val="0"/>
          <w:numId w:val="1"/>
        </w:numPr>
        <w:jc w:val="both"/>
        <w:rPr>
          <w:szCs w:val="20"/>
          <w:lang w:val="en-US"/>
        </w:rPr>
      </w:pPr>
      <w:r w:rsidRPr="003171CD">
        <w:rPr>
          <w:rFonts w:eastAsia="Times New Roman"/>
          <w:szCs w:val="20"/>
          <w:lang w:val="en-US"/>
        </w:rPr>
        <w:t xml:space="preserve">With respect to </w:t>
      </w:r>
      <w:r w:rsidR="005A65CE" w:rsidRPr="003171CD">
        <w:rPr>
          <w:rFonts w:eastAsia="Times New Roman"/>
          <w:szCs w:val="20"/>
          <w:lang w:val="en-US"/>
        </w:rPr>
        <w:t xml:space="preserve">the </w:t>
      </w:r>
      <w:r w:rsidR="00B460BF" w:rsidRPr="003171CD">
        <w:rPr>
          <w:rFonts w:eastAsia="Times New Roman"/>
          <w:szCs w:val="20"/>
          <w:lang w:val="en-US"/>
        </w:rPr>
        <w:t xml:space="preserve">press reports </w:t>
      </w:r>
      <w:r w:rsidR="005A65CE" w:rsidRPr="003171CD">
        <w:rPr>
          <w:rFonts w:eastAsia="Times New Roman"/>
          <w:szCs w:val="20"/>
          <w:lang w:val="en-US"/>
        </w:rPr>
        <w:t xml:space="preserve">presented by the representatives, this Court has considered that </w:t>
      </w:r>
      <w:r w:rsidRPr="003171CD">
        <w:rPr>
          <w:rFonts w:eastAsia="Times New Roman"/>
          <w:szCs w:val="20"/>
          <w:lang w:val="en-US"/>
        </w:rPr>
        <w:t xml:space="preserve">these </w:t>
      </w:r>
      <w:r w:rsidR="005A65CE" w:rsidRPr="003171CD">
        <w:rPr>
          <w:rFonts w:eastAsia="Times New Roman"/>
          <w:szCs w:val="20"/>
          <w:lang w:val="en-US"/>
        </w:rPr>
        <w:t xml:space="preserve">may be assessed when </w:t>
      </w:r>
      <w:r w:rsidRPr="003171CD">
        <w:rPr>
          <w:rFonts w:eastAsia="Times New Roman"/>
          <w:szCs w:val="20"/>
          <w:lang w:val="en-US"/>
        </w:rPr>
        <w:t>they</w:t>
      </w:r>
      <w:r w:rsidR="00B460BF" w:rsidRPr="003171CD">
        <w:rPr>
          <w:rFonts w:eastAsia="Times New Roman"/>
          <w:szCs w:val="20"/>
          <w:lang w:val="en-US"/>
        </w:rPr>
        <w:t xml:space="preserve"> concern </w:t>
      </w:r>
      <w:r w:rsidR="005A65CE" w:rsidRPr="003171CD">
        <w:rPr>
          <w:rFonts w:eastAsia="Times New Roman"/>
          <w:szCs w:val="20"/>
          <w:lang w:val="en-US"/>
        </w:rPr>
        <w:t xml:space="preserve">public and well-known facts or statements by </w:t>
      </w:r>
      <w:r w:rsidR="00D54F62" w:rsidRPr="003171CD">
        <w:rPr>
          <w:rFonts w:eastAsia="Times New Roman"/>
          <w:szCs w:val="20"/>
          <w:lang w:val="en-US"/>
        </w:rPr>
        <w:t xml:space="preserve">State </w:t>
      </w:r>
      <w:r w:rsidR="005A65CE" w:rsidRPr="003171CD">
        <w:rPr>
          <w:rFonts w:eastAsia="Times New Roman"/>
          <w:szCs w:val="20"/>
          <w:lang w:val="en-US"/>
        </w:rPr>
        <w:t>officials, or when they corroborate aspects related to the case.</w:t>
      </w:r>
      <w:r w:rsidR="005A65CE" w:rsidRPr="003171CD">
        <w:rPr>
          <w:rFonts w:eastAsia="Times New Roman"/>
          <w:szCs w:val="20"/>
          <w:vertAlign w:val="superscript"/>
          <w:lang w:val="en-US"/>
        </w:rPr>
        <w:footnoteReference w:id="28"/>
      </w:r>
      <w:r w:rsidR="005A65CE" w:rsidRPr="003171CD">
        <w:rPr>
          <w:rFonts w:eastAsia="Times New Roman"/>
          <w:szCs w:val="20"/>
          <w:lang w:val="en-US"/>
        </w:rPr>
        <w:t xml:space="preserve"> Consequently, the Court decides to admit those documents that are comp</w:t>
      </w:r>
      <w:r w:rsidR="00B460BF" w:rsidRPr="003171CD">
        <w:rPr>
          <w:rFonts w:eastAsia="Times New Roman"/>
          <w:szCs w:val="20"/>
          <w:lang w:val="en-US"/>
        </w:rPr>
        <w:t>lete or</w:t>
      </w:r>
      <w:r w:rsidR="003C34B7" w:rsidRPr="003171CD">
        <w:rPr>
          <w:rFonts w:eastAsia="Times New Roman"/>
          <w:szCs w:val="20"/>
          <w:lang w:val="en-US"/>
        </w:rPr>
        <w:t>,</w:t>
      </w:r>
      <w:r w:rsidR="00B460BF" w:rsidRPr="003171CD">
        <w:rPr>
          <w:rFonts w:eastAsia="Times New Roman"/>
          <w:szCs w:val="20"/>
          <w:lang w:val="en-US"/>
        </w:rPr>
        <w:t xml:space="preserve"> </w:t>
      </w:r>
      <w:r w:rsidR="00D54F62" w:rsidRPr="003171CD">
        <w:rPr>
          <w:rFonts w:eastAsia="Times New Roman"/>
          <w:szCs w:val="20"/>
          <w:lang w:val="en-US"/>
        </w:rPr>
        <w:t>at least</w:t>
      </w:r>
      <w:r w:rsidR="003C34B7" w:rsidRPr="003171CD">
        <w:rPr>
          <w:rFonts w:eastAsia="Times New Roman"/>
          <w:szCs w:val="20"/>
          <w:lang w:val="en-US"/>
        </w:rPr>
        <w:t>,</w:t>
      </w:r>
      <w:r w:rsidR="00D54F62" w:rsidRPr="003171CD">
        <w:rPr>
          <w:rFonts w:eastAsia="Times New Roman"/>
          <w:szCs w:val="20"/>
          <w:lang w:val="en-US"/>
        </w:rPr>
        <w:t xml:space="preserve"> those whose </w:t>
      </w:r>
      <w:r w:rsidR="005A65CE" w:rsidRPr="003171CD">
        <w:rPr>
          <w:rFonts w:eastAsia="Times New Roman"/>
          <w:szCs w:val="20"/>
          <w:lang w:val="en-US"/>
        </w:rPr>
        <w:t>source and date of publication</w:t>
      </w:r>
      <w:r w:rsidR="00D54F62" w:rsidRPr="003171CD">
        <w:rPr>
          <w:rFonts w:eastAsia="Times New Roman"/>
          <w:szCs w:val="20"/>
          <w:lang w:val="en-US"/>
        </w:rPr>
        <w:t xml:space="preserve"> can be confirmed</w:t>
      </w:r>
      <w:r w:rsidR="005A65CE" w:rsidRPr="003171CD">
        <w:rPr>
          <w:rFonts w:eastAsia="Times New Roman"/>
          <w:szCs w:val="20"/>
          <w:lang w:val="en-US"/>
        </w:rPr>
        <w:t>.</w:t>
      </w:r>
      <w:r w:rsidR="005A65CE" w:rsidRPr="003171CD">
        <w:rPr>
          <w:rFonts w:eastAsia="Times New Roman"/>
          <w:szCs w:val="20"/>
          <w:vertAlign w:val="superscript"/>
          <w:lang w:val="en-US"/>
        </w:rPr>
        <w:footnoteReference w:id="29"/>
      </w:r>
    </w:p>
    <w:p w14:paraId="2908B3C9" w14:textId="77777777" w:rsidR="005A65CE" w:rsidRPr="003171CD" w:rsidRDefault="005A65CE" w:rsidP="005A65CE">
      <w:pPr>
        <w:tabs>
          <w:tab w:val="left" w:pos="720"/>
          <w:tab w:val="num" w:pos="5057"/>
        </w:tabs>
        <w:ind w:right="-90"/>
        <w:jc w:val="both"/>
        <w:rPr>
          <w:lang w:val="en-US"/>
        </w:rPr>
      </w:pPr>
    </w:p>
    <w:p w14:paraId="4DE5DF6A" w14:textId="77777777" w:rsidR="005A65CE" w:rsidRPr="003171CD" w:rsidRDefault="005A65CE" w:rsidP="005A65CE">
      <w:pPr>
        <w:pStyle w:val="Prrafodelista"/>
        <w:numPr>
          <w:ilvl w:val="0"/>
          <w:numId w:val="1"/>
        </w:numPr>
        <w:tabs>
          <w:tab w:val="left" w:pos="720"/>
          <w:tab w:val="num" w:pos="5057"/>
        </w:tabs>
        <w:ind w:right="-90"/>
        <w:jc w:val="both"/>
        <w:rPr>
          <w:rFonts w:eastAsia="Times New Roman" w:cs="Arial"/>
          <w:szCs w:val="20"/>
          <w:lang w:val="en-US" w:eastAsia="es-CR"/>
        </w:rPr>
      </w:pPr>
      <w:r w:rsidRPr="003171CD">
        <w:rPr>
          <w:rFonts w:cs="Verdana"/>
          <w:szCs w:val="20"/>
          <w:lang w:val="en-US"/>
        </w:rPr>
        <w:lastRenderedPageBreak/>
        <w:t>The Commission present</w:t>
      </w:r>
      <w:r w:rsidR="00B460BF" w:rsidRPr="003171CD">
        <w:rPr>
          <w:rFonts w:cs="Verdana"/>
          <w:szCs w:val="20"/>
          <w:lang w:val="en-US"/>
        </w:rPr>
        <w:t xml:space="preserve">ed </w:t>
      </w:r>
      <w:r w:rsidR="003159F4" w:rsidRPr="003171CD">
        <w:rPr>
          <w:rFonts w:cs="Verdana"/>
          <w:szCs w:val="20"/>
          <w:lang w:val="en-US"/>
        </w:rPr>
        <w:t xml:space="preserve">several compact disks containing the audio of the public hearing held </w:t>
      </w:r>
      <w:r w:rsidR="003C34B7" w:rsidRPr="003171CD">
        <w:rPr>
          <w:rFonts w:cs="Verdana"/>
          <w:szCs w:val="20"/>
          <w:lang w:val="en-US"/>
        </w:rPr>
        <w:t xml:space="preserve">during </w:t>
      </w:r>
      <w:r w:rsidR="003159F4" w:rsidRPr="003171CD">
        <w:rPr>
          <w:rFonts w:cs="Verdana"/>
          <w:szCs w:val="20"/>
          <w:lang w:val="en-US"/>
        </w:rPr>
        <w:t xml:space="preserve">the domestic criminal proceedings </w:t>
      </w:r>
      <w:r w:rsidRPr="003171CD">
        <w:rPr>
          <w:rFonts w:cs="Verdana"/>
          <w:szCs w:val="20"/>
          <w:lang w:val="en-US"/>
        </w:rPr>
        <w:t xml:space="preserve">as Annex 2 </w:t>
      </w:r>
      <w:r w:rsidR="00B460BF" w:rsidRPr="003171CD">
        <w:rPr>
          <w:rFonts w:cs="Verdana"/>
          <w:szCs w:val="20"/>
          <w:lang w:val="en-US"/>
        </w:rPr>
        <w:t xml:space="preserve">to its </w:t>
      </w:r>
      <w:r w:rsidR="003159F4" w:rsidRPr="003171CD">
        <w:rPr>
          <w:rFonts w:cs="Verdana"/>
          <w:szCs w:val="20"/>
          <w:lang w:val="en-US"/>
        </w:rPr>
        <w:t>Merits R</w:t>
      </w:r>
      <w:r w:rsidRPr="003171CD">
        <w:rPr>
          <w:rFonts w:cs="Verdana"/>
          <w:szCs w:val="20"/>
          <w:lang w:val="en-US"/>
        </w:rPr>
        <w:t>eport</w:t>
      </w:r>
      <w:r w:rsidRPr="003171CD">
        <w:rPr>
          <w:rFonts w:eastAsia="Times New Roman"/>
          <w:szCs w:val="20"/>
          <w:lang w:val="en-US"/>
        </w:rPr>
        <w:t>. The Court admits the audios presented by the Commission since these were not disputed or challenged.</w:t>
      </w:r>
    </w:p>
    <w:p w14:paraId="06B8C498" w14:textId="77777777" w:rsidR="005A65CE" w:rsidRPr="003171CD" w:rsidRDefault="005A65CE" w:rsidP="005A65CE">
      <w:pPr>
        <w:tabs>
          <w:tab w:val="left" w:pos="720"/>
          <w:tab w:val="num" w:pos="5057"/>
        </w:tabs>
        <w:ind w:right="-90"/>
        <w:jc w:val="both"/>
        <w:rPr>
          <w:lang w:val="en-US"/>
        </w:rPr>
      </w:pPr>
    </w:p>
    <w:p w14:paraId="795AC1F3" w14:textId="77777777" w:rsidR="005A65CE" w:rsidRPr="003171CD" w:rsidRDefault="005A65CE" w:rsidP="005A65CE">
      <w:pPr>
        <w:pStyle w:val="Prrafodelista"/>
        <w:numPr>
          <w:ilvl w:val="0"/>
          <w:numId w:val="1"/>
        </w:numPr>
        <w:jc w:val="both"/>
        <w:rPr>
          <w:rFonts w:eastAsia="Times New Roman"/>
          <w:szCs w:val="20"/>
          <w:lang w:val="en-US" w:eastAsia="es-ES"/>
        </w:rPr>
      </w:pPr>
      <w:r w:rsidRPr="003171CD">
        <w:rPr>
          <w:rFonts w:eastAsia="Times New Roman"/>
          <w:szCs w:val="20"/>
          <w:lang w:val="en-US" w:eastAsia="es-ES"/>
        </w:rPr>
        <w:t>That said, the Court recalls that</w:t>
      </w:r>
      <w:r w:rsidR="00BF34AF" w:rsidRPr="003171CD">
        <w:rPr>
          <w:rFonts w:eastAsia="Times New Roman"/>
          <w:szCs w:val="20"/>
          <w:lang w:val="en-US" w:eastAsia="es-ES"/>
        </w:rPr>
        <w:t xml:space="preserve"> </w:t>
      </w:r>
      <w:r w:rsidR="00B460BF" w:rsidRPr="003171CD">
        <w:rPr>
          <w:rFonts w:eastAsia="Times New Roman"/>
          <w:szCs w:val="20"/>
          <w:lang w:val="en-US" w:eastAsia="es-ES"/>
        </w:rPr>
        <w:t xml:space="preserve">evidence </w:t>
      </w:r>
      <w:r w:rsidR="00BF34AF" w:rsidRPr="003171CD">
        <w:rPr>
          <w:rFonts w:eastAsia="Times New Roman"/>
          <w:szCs w:val="20"/>
          <w:lang w:val="en-US" w:eastAsia="es-ES"/>
        </w:rPr>
        <w:t xml:space="preserve">offered </w:t>
      </w:r>
      <w:r w:rsidR="00B460BF" w:rsidRPr="003171CD">
        <w:rPr>
          <w:rFonts w:eastAsia="Times New Roman"/>
          <w:szCs w:val="20"/>
          <w:lang w:val="en-US" w:eastAsia="es-ES"/>
        </w:rPr>
        <w:t xml:space="preserve">outside of the proper </w:t>
      </w:r>
      <w:r w:rsidRPr="003171CD">
        <w:rPr>
          <w:rFonts w:eastAsia="Times New Roman"/>
          <w:szCs w:val="20"/>
          <w:lang w:val="en-US" w:eastAsia="es-ES"/>
        </w:rPr>
        <w:t xml:space="preserve">procedural </w:t>
      </w:r>
      <w:r w:rsidR="00ED431F" w:rsidRPr="003171CD">
        <w:rPr>
          <w:rFonts w:eastAsia="Times New Roman"/>
          <w:szCs w:val="20"/>
          <w:lang w:val="en-US" w:eastAsia="es-ES"/>
        </w:rPr>
        <w:t>moment</w:t>
      </w:r>
      <w:r w:rsidR="00B460BF" w:rsidRPr="003171CD">
        <w:rPr>
          <w:rFonts w:eastAsia="Times New Roman"/>
          <w:szCs w:val="20"/>
          <w:lang w:val="en-US" w:eastAsia="es-ES"/>
        </w:rPr>
        <w:t xml:space="preserve"> is not admissible</w:t>
      </w:r>
      <w:r w:rsidRPr="003171CD">
        <w:rPr>
          <w:rFonts w:eastAsia="Times New Roman"/>
          <w:szCs w:val="20"/>
          <w:lang w:val="en-US" w:eastAsia="es-ES"/>
        </w:rPr>
        <w:t xml:space="preserve">, </w:t>
      </w:r>
      <w:r w:rsidR="00BD166A" w:rsidRPr="003171CD">
        <w:rPr>
          <w:rFonts w:eastAsia="Times New Roman"/>
          <w:szCs w:val="20"/>
          <w:lang w:val="en-US" w:eastAsia="es-ES"/>
        </w:rPr>
        <w:t xml:space="preserve">except in the situations </w:t>
      </w:r>
      <w:r w:rsidRPr="003171CD">
        <w:rPr>
          <w:rFonts w:eastAsia="Times New Roman"/>
          <w:szCs w:val="20"/>
          <w:lang w:val="en-US" w:eastAsia="es-ES"/>
        </w:rPr>
        <w:t xml:space="preserve">established in Article 57(2) of the Rules, namely, </w:t>
      </w:r>
      <w:r w:rsidRPr="003171CD">
        <w:rPr>
          <w:rFonts w:eastAsia="Times New Roman"/>
          <w:i/>
          <w:szCs w:val="20"/>
          <w:lang w:val="en-US" w:eastAsia="es-ES"/>
        </w:rPr>
        <w:t>f</w:t>
      </w:r>
      <w:r w:rsidR="00BD166A" w:rsidRPr="003171CD">
        <w:rPr>
          <w:rFonts w:eastAsia="Times New Roman"/>
          <w:i/>
          <w:szCs w:val="20"/>
          <w:lang w:val="en-US" w:eastAsia="es-ES"/>
        </w:rPr>
        <w:t>orce</w:t>
      </w:r>
      <w:r w:rsidR="00BD166A" w:rsidRPr="003171CD">
        <w:rPr>
          <w:rFonts w:eastAsia="Times New Roman"/>
          <w:szCs w:val="20"/>
          <w:lang w:val="en-US" w:eastAsia="es-ES"/>
        </w:rPr>
        <w:t xml:space="preserve"> </w:t>
      </w:r>
      <w:r w:rsidR="00BD166A" w:rsidRPr="003171CD">
        <w:rPr>
          <w:rFonts w:eastAsia="Times New Roman"/>
          <w:i/>
          <w:szCs w:val="20"/>
          <w:lang w:val="en-US" w:eastAsia="es-ES"/>
        </w:rPr>
        <w:t>majeure</w:t>
      </w:r>
      <w:r w:rsidRPr="003171CD">
        <w:rPr>
          <w:rFonts w:eastAsia="Times New Roman"/>
          <w:szCs w:val="20"/>
          <w:lang w:val="en-US" w:eastAsia="es-ES"/>
        </w:rPr>
        <w:t xml:space="preserve">, </w:t>
      </w:r>
      <w:r w:rsidR="004212A1" w:rsidRPr="003171CD">
        <w:rPr>
          <w:rFonts w:eastAsia="Times New Roman"/>
          <w:szCs w:val="20"/>
          <w:lang w:val="en-US" w:eastAsia="es-ES"/>
        </w:rPr>
        <w:t xml:space="preserve">serious </w:t>
      </w:r>
      <w:r w:rsidRPr="003171CD">
        <w:rPr>
          <w:rFonts w:eastAsia="Times New Roman"/>
          <w:szCs w:val="20"/>
          <w:lang w:val="en-US" w:eastAsia="es-ES"/>
        </w:rPr>
        <w:t xml:space="preserve">impediment or if </w:t>
      </w:r>
      <w:r w:rsidR="004212A1" w:rsidRPr="003171CD">
        <w:rPr>
          <w:rFonts w:eastAsia="Times New Roman"/>
          <w:szCs w:val="20"/>
          <w:lang w:val="en-US" w:eastAsia="es-ES"/>
        </w:rPr>
        <w:t xml:space="preserve">the </w:t>
      </w:r>
      <w:r w:rsidR="004212A1" w:rsidRPr="003171CD">
        <w:rPr>
          <w:lang w:val="en-US"/>
        </w:rPr>
        <w:t xml:space="preserve">evidence refers to an event </w:t>
      </w:r>
      <w:r w:rsidR="00837C56" w:rsidRPr="003171CD">
        <w:rPr>
          <w:lang w:val="en-US"/>
        </w:rPr>
        <w:t xml:space="preserve">that </w:t>
      </w:r>
      <w:r w:rsidR="004212A1" w:rsidRPr="003171CD">
        <w:rPr>
          <w:lang w:val="en-US"/>
        </w:rPr>
        <w:t>occurred after the procedural moments indicated</w:t>
      </w:r>
      <w:r w:rsidRPr="003171CD">
        <w:rPr>
          <w:rFonts w:eastAsia="Times New Roman"/>
          <w:szCs w:val="20"/>
          <w:lang w:val="en-US" w:eastAsia="es-ES"/>
        </w:rPr>
        <w:t>.</w:t>
      </w:r>
    </w:p>
    <w:p w14:paraId="29CF731A" w14:textId="77777777" w:rsidR="005A65CE" w:rsidRPr="003171CD" w:rsidRDefault="005A65CE" w:rsidP="005A65CE">
      <w:pPr>
        <w:tabs>
          <w:tab w:val="left" w:pos="720"/>
          <w:tab w:val="num" w:pos="5057"/>
        </w:tabs>
        <w:ind w:right="-90"/>
        <w:jc w:val="both"/>
        <w:rPr>
          <w:rFonts w:eastAsia="Times New Roman"/>
          <w:lang w:val="en-US"/>
        </w:rPr>
      </w:pPr>
    </w:p>
    <w:p w14:paraId="167F6E9C" w14:textId="77777777" w:rsidR="005A65CE" w:rsidRPr="003171CD" w:rsidRDefault="00ED431F" w:rsidP="005A65CE">
      <w:pPr>
        <w:pStyle w:val="Prrafodelista"/>
        <w:numPr>
          <w:ilvl w:val="0"/>
          <w:numId w:val="1"/>
        </w:numPr>
        <w:jc w:val="both"/>
        <w:rPr>
          <w:rFonts w:eastAsia="Times New Roman"/>
          <w:strike/>
          <w:lang w:val="en-US"/>
        </w:rPr>
      </w:pPr>
      <w:r w:rsidRPr="003171CD">
        <w:rPr>
          <w:rFonts w:eastAsia="Times New Roman"/>
          <w:lang w:val="en-US"/>
        </w:rPr>
        <w:t>According to t</w:t>
      </w:r>
      <w:r w:rsidR="005A65CE" w:rsidRPr="003171CD">
        <w:rPr>
          <w:rFonts w:eastAsia="Times New Roman"/>
          <w:lang w:val="en-US"/>
        </w:rPr>
        <w:t>he Secretariat</w:t>
      </w:r>
      <w:r w:rsidRPr="003171CD">
        <w:rPr>
          <w:rFonts w:eastAsia="Times New Roman"/>
          <w:lang w:val="en-US"/>
        </w:rPr>
        <w:t>,</w:t>
      </w:r>
      <w:r w:rsidR="005A65CE" w:rsidRPr="003171CD">
        <w:rPr>
          <w:rFonts w:eastAsia="Times New Roman"/>
          <w:lang w:val="en-US"/>
        </w:rPr>
        <w:t xml:space="preserve"> Annex</w:t>
      </w:r>
      <w:r w:rsidR="005A65CE" w:rsidRPr="003171CD">
        <w:rPr>
          <w:lang w:val="en-US"/>
        </w:rPr>
        <w:t xml:space="preserve"> II to the pleadings and motions brief, identified as “Executive Decrees 103, 104, 105 and 106 issued by </w:t>
      </w:r>
      <w:r w:rsidR="00DF29D2" w:rsidRPr="003171CD">
        <w:rPr>
          <w:lang w:val="en-US"/>
        </w:rPr>
        <w:t>El Salvador’s National Minimum Wage Council,”</w:t>
      </w:r>
      <w:r w:rsidR="005A65CE" w:rsidRPr="003171CD">
        <w:rPr>
          <w:lang w:val="en-US"/>
        </w:rPr>
        <w:t xml:space="preserve"> </w:t>
      </w:r>
      <w:r w:rsidR="00837C56" w:rsidRPr="003171CD">
        <w:rPr>
          <w:lang w:val="en-US"/>
        </w:rPr>
        <w:t xml:space="preserve">was not received </w:t>
      </w:r>
      <w:r w:rsidR="005A65CE" w:rsidRPr="003171CD">
        <w:rPr>
          <w:lang w:val="en-US"/>
        </w:rPr>
        <w:t xml:space="preserve">and </w:t>
      </w:r>
      <w:r w:rsidR="00837C56" w:rsidRPr="003171CD">
        <w:rPr>
          <w:lang w:val="en-US"/>
        </w:rPr>
        <w:t xml:space="preserve">no </w:t>
      </w:r>
      <w:r w:rsidR="005A65CE" w:rsidRPr="003171CD">
        <w:rPr>
          <w:lang w:val="en-US"/>
        </w:rPr>
        <w:t xml:space="preserve">direct electronic link </w:t>
      </w:r>
      <w:r w:rsidR="00837C56" w:rsidRPr="003171CD">
        <w:rPr>
          <w:lang w:val="en-US"/>
        </w:rPr>
        <w:t xml:space="preserve">was provided </w:t>
      </w:r>
      <w:r w:rsidR="003C34B7" w:rsidRPr="003171CD">
        <w:rPr>
          <w:lang w:val="en-US"/>
        </w:rPr>
        <w:t>to that</w:t>
      </w:r>
      <w:r w:rsidR="005A65CE" w:rsidRPr="003171CD">
        <w:rPr>
          <w:lang w:val="en-US"/>
        </w:rPr>
        <w:t xml:space="preserve"> </w:t>
      </w:r>
      <w:r w:rsidR="005A65CE" w:rsidRPr="003171CD">
        <w:rPr>
          <w:rFonts w:cs="Arial"/>
          <w:lang w:val="en-US"/>
        </w:rPr>
        <w:t>document</w:t>
      </w:r>
      <w:r w:rsidR="005A65CE" w:rsidRPr="003171CD">
        <w:rPr>
          <w:rFonts w:eastAsia="Times New Roman"/>
          <w:lang w:val="en-US"/>
        </w:rPr>
        <w:t>. In their final written arguments, the representatives provided the following link &lt;http://www.educaconta.com/2013/07/salario-minimo-en-el-salvador-2013-2015.h</w:t>
      </w:r>
      <w:r w:rsidR="00BD166A" w:rsidRPr="003171CD">
        <w:rPr>
          <w:rFonts w:eastAsia="Times New Roman"/>
          <w:lang w:val="en-US"/>
        </w:rPr>
        <w:t xml:space="preserve">tml&gt; for the calculation of </w:t>
      </w:r>
      <w:r w:rsidR="00DF29D2" w:rsidRPr="003171CD">
        <w:rPr>
          <w:rFonts w:eastAsia="Times New Roman"/>
          <w:lang w:val="en-US"/>
        </w:rPr>
        <w:t>loss of earnings</w:t>
      </w:r>
      <w:r w:rsidR="005A65CE" w:rsidRPr="003171CD">
        <w:rPr>
          <w:rFonts w:eastAsia="Times New Roman"/>
          <w:lang w:val="en-US"/>
        </w:rPr>
        <w:t xml:space="preserve">. </w:t>
      </w:r>
      <w:r w:rsidR="00DC3D78" w:rsidRPr="003171CD">
        <w:rPr>
          <w:rFonts w:eastAsia="Times New Roman"/>
          <w:lang w:val="en-US"/>
        </w:rPr>
        <w:t xml:space="preserve">As to </w:t>
      </w:r>
      <w:r w:rsidR="005A65CE" w:rsidRPr="003171CD">
        <w:rPr>
          <w:rFonts w:eastAsia="Times New Roman"/>
          <w:szCs w:val="20"/>
          <w:lang w:val="en-US"/>
        </w:rPr>
        <w:t xml:space="preserve">documents </w:t>
      </w:r>
      <w:r w:rsidR="00897B7E" w:rsidRPr="003171CD">
        <w:rPr>
          <w:rFonts w:eastAsia="Times New Roman"/>
          <w:szCs w:val="20"/>
          <w:lang w:val="en-US"/>
        </w:rPr>
        <w:t xml:space="preserve">indicated </w:t>
      </w:r>
      <w:r w:rsidR="005A65CE" w:rsidRPr="003171CD">
        <w:rPr>
          <w:rFonts w:eastAsia="Times New Roman"/>
          <w:szCs w:val="20"/>
          <w:lang w:val="en-US"/>
        </w:rPr>
        <w:t xml:space="preserve">by </w:t>
      </w:r>
      <w:r w:rsidR="00BD166A" w:rsidRPr="003171CD">
        <w:rPr>
          <w:rFonts w:eastAsia="Times New Roman"/>
          <w:szCs w:val="20"/>
          <w:lang w:val="en-US"/>
        </w:rPr>
        <w:t>means of electronic links</w:t>
      </w:r>
      <w:r w:rsidR="005A65CE" w:rsidRPr="003171CD">
        <w:rPr>
          <w:rFonts w:eastAsia="Times New Roman"/>
          <w:szCs w:val="20"/>
          <w:lang w:val="en-US"/>
        </w:rPr>
        <w:t>, the Court ha</w:t>
      </w:r>
      <w:r w:rsidR="00BD166A" w:rsidRPr="003171CD">
        <w:rPr>
          <w:rFonts w:eastAsia="Times New Roman"/>
          <w:szCs w:val="20"/>
          <w:lang w:val="en-US"/>
        </w:rPr>
        <w:t>s</w:t>
      </w:r>
      <w:r w:rsidR="005A65CE" w:rsidRPr="003171CD">
        <w:rPr>
          <w:rFonts w:eastAsia="Times New Roman"/>
          <w:szCs w:val="20"/>
          <w:lang w:val="en-US"/>
        </w:rPr>
        <w:t xml:space="preserve"> </w:t>
      </w:r>
      <w:r w:rsidR="00DC3D78" w:rsidRPr="003171CD">
        <w:rPr>
          <w:lang w:val="en-US"/>
        </w:rPr>
        <w:t xml:space="preserve">considered that neither the legal certainty nor the procedural balance is impaired when one of the parties </w:t>
      </w:r>
      <w:r w:rsidR="00BD166A" w:rsidRPr="003171CD">
        <w:rPr>
          <w:rFonts w:eastAsia="Times New Roman"/>
          <w:szCs w:val="20"/>
          <w:lang w:val="en-US"/>
        </w:rPr>
        <w:t>provides</w:t>
      </w:r>
      <w:r w:rsidR="00DC3D78" w:rsidRPr="003171CD">
        <w:rPr>
          <w:rFonts w:eastAsia="Times New Roman"/>
          <w:szCs w:val="20"/>
          <w:lang w:val="en-US"/>
        </w:rPr>
        <w:t>,</w:t>
      </w:r>
      <w:r w:rsidR="00BD166A" w:rsidRPr="003171CD">
        <w:rPr>
          <w:rFonts w:eastAsia="Times New Roman"/>
          <w:szCs w:val="20"/>
          <w:lang w:val="en-US"/>
        </w:rPr>
        <w:t xml:space="preserve"> </w:t>
      </w:r>
      <w:r w:rsidR="005A65CE" w:rsidRPr="003171CD">
        <w:rPr>
          <w:rFonts w:eastAsia="Times New Roman"/>
          <w:szCs w:val="20"/>
          <w:lang w:val="en-US"/>
        </w:rPr>
        <w:t>at least</w:t>
      </w:r>
      <w:r w:rsidR="00DC3D78" w:rsidRPr="003171CD">
        <w:rPr>
          <w:rFonts w:eastAsia="Times New Roman"/>
          <w:szCs w:val="20"/>
          <w:lang w:val="en-US"/>
        </w:rPr>
        <w:t>,</w:t>
      </w:r>
      <w:r w:rsidR="005A65CE" w:rsidRPr="003171CD">
        <w:rPr>
          <w:rFonts w:eastAsia="Times New Roman"/>
          <w:szCs w:val="20"/>
          <w:lang w:val="en-US"/>
        </w:rPr>
        <w:t xml:space="preserve"> the </w:t>
      </w:r>
      <w:r w:rsidR="003C34B7" w:rsidRPr="003171CD">
        <w:rPr>
          <w:rFonts w:eastAsia="Times New Roman"/>
          <w:szCs w:val="20"/>
          <w:lang w:val="en-US"/>
        </w:rPr>
        <w:t>direct electronic link to</w:t>
      </w:r>
      <w:r w:rsidR="00897B7E" w:rsidRPr="003171CD">
        <w:rPr>
          <w:rFonts w:eastAsia="Times New Roman"/>
          <w:szCs w:val="20"/>
          <w:lang w:val="en-US"/>
        </w:rPr>
        <w:t xml:space="preserve"> the </w:t>
      </w:r>
      <w:r w:rsidR="005A65CE" w:rsidRPr="003171CD">
        <w:rPr>
          <w:rFonts w:eastAsia="Times New Roman"/>
          <w:szCs w:val="20"/>
          <w:lang w:val="en-US"/>
        </w:rPr>
        <w:t xml:space="preserve">document </w:t>
      </w:r>
      <w:r w:rsidR="00DC3D78" w:rsidRPr="003171CD">
        <w:rPr>
          <w:rFonts w:eastAsia="Times New Roman"/>
          <w:szCs w:val="20"/>
          <w:lang w:val="en-US"/>
        </w:rPr>
        <w:t xml:space="preserve">mentioned </w:t>
      </w:r>
      <w:r w:rsidR="00897B7E" w:rsidRPr="003171CD">
        <w:rPr>
          <w:rFonts w:eastAsia="Times New Roman"/>
          <w:szCs w:val="20"/>
          <w:lang w:val="en-US"/>
        </w:rPr>
        <w:t xml:space="preserve">as </w:t>
      </w:r>
      <w:r w:rsidR="005A65CE" w:rsidRPr="003171CD">
        <w:rPr>
          <w:rFonts w:eastAsia="Times New Roman"/>
          <w:szCs w:val="20"/>
          <w:lang w:val="en-US"/>
        </w:rPr>
        <w:t>evidence and i</w:t>
      </w:r>
      <w:r w:rsidR="00DC3D78" w:rsidRPr="003171CD">
        <w:rPr>
          <w:rFonts w:eastAsia="Times New Roman"/>
          <w:szCs w:val="20"/>
          <w:lang w:val="en-US"/>
        </w:rPr>
        <w:t>t i</w:t>
      </w:r>
      <w:r w:rsidR="005A65CE" w:rsidRPr="003171CD">
        <w:rPr>
          <w:rFonts w:eastAsia="Times New Roman"/>
          <w:szCs w:val="20"/>
          <w:lang w:val="en-US"/>
        </w:rPr>
        <w:t xml:space="preserve">s possible </w:t>
      </w:r>
      <w:r w:rsidR="00DC3D78" w:rsidRPr="003171CD">
        <w:rPr>
          <w:rFonts w:eastAsia="Times New Roman"/>
          <w:szCs w:val="20"/>
          <w:lang w:val="en-US"/>
        </w:rPr>
        <w:t xml:space="preserve">to </w:t>
      </w:r>
      <w:r w:rsidR="005A65CE" w:rsidRPr="003171CD">
        <w:rPr>
          <w:rFonts w:eastAsia="Times New Roman"/>
          <w:szCs w:val="20"/>
          <w:lang w:val="en-US"/>
        </w:rPr>
        <w:t>acce</w:t>
      </w:r>
      <w:r w:rsidR="00897B7E" w:rsidRPr="003171CD">
        <w:rPr>
          <w:rFonts w:eastAsia="Times New Roman"/>
          <w:szCs w:val="20"/>
          <w:lang w:val="en-US"/>
        </w:rPr>
        <w:t>ss it</w:t>
      </w:r>
      <w:r w:rsidR="005A65CE" w:rsidRPr="003171CD">
        <w:rPr>
          <w:rFonts w:eastAsia="Times New Roman"/>
          <w:szCs w:val="20"/>
          <w:lang w:val="en-US"/>
        </w:rPr>
        <w:t xml:space="preserve">, </w:t>
      </w:r>
      <w:r w:rsidR="00DC3D78" w:rsidRPr="003171CD">
        <w:rPr>
          <w:lang w:val="en-US"/>
        </w:rPr>
        <w:t>since it can be immediately traced by the Court and the other parties</w:t>
      </w:r>
      <w:r w:rsidR="00DC3D78" w:rsidRPr="003171CD">
        <w:rPr>
          <w:rFonts w:eastAsia="Times New Roman"/>
          <w:szCs w:val="20"/>
          <w:lang w:val="en-US"/>
        </w:rPr>
        <w:t>.</w:t>
      </w:r>
      <w:r w:rsidR="005A65CE" w:rsidRPr="003171CD">
        <w:rPr>
          <w:rFonts w:eastAsia="Times New Roman"/>
          <w:szCs w:val="20"/>
          <w:vertAlign w:val="superscript"/>
          <w:lang w:val="en-US"/>
        </w:rPr>
        <w:footnoteReference w:id="30"/>
      </w:r>
      <w:r w:rsidR="005A65CE" w:rsidRPr="003171CD">
        <w:rPr>
          <w:rFonts w:eastAsia="Times New Roman"/>
          <w:szCs w:val="20"/>
          <w:lang w:val="en-US"/>
        </w:rPr>
        <w:t xml:space="preserve"> </w:t>
      </w:r>
      <w:r w:rsidR="00DC3D78" w:rsidRPr="003171CD">
        <w:rPr>
          <w:rFonts w:eastAsia="Times New Roman"/>
          <w:szCs w:val="20"/>
          <w:lang w:val="en-US"/>
        </w:rPr>
        <w:t>However, t</w:t>
      </w:r>
      <w:r w:rsidR="005A65CE" w:rsidRPr="003171CD">
        <w:rPr>
          <w:rFonts w:eastAsia="Times New Roman"/>
          <w:szCs w:val="20"/>
          <w:lang w:val="en-US"/>
        </w:rPr>
        <w:t xml:space="preserve">he Court notes that the link </w:t>
      </w:r>
      <w:r w:rsidR="00776A02" w:rsidRPr="003171CD">
        <w:rPr>
          <w:rFonts w:eastAsia="Times New Roman"/>
          <w:szCs w:val="20"/>
          <w:lang w:val="en-US"/>
        </w:rPr>
        <w:t xml:space="preserve">cited </w:t>
      </w:r>
      <w:r w:rsidR="005A65CE" w:rsidRPr="003171CD">
        <w:rPr>
          <w:rFonts w:eastAsia="Times New Roman"/>
          <w:szCs w:val="20"/>
          <w:lang w:val="en-US"/>
        </w:rPr>
        <w:t xml:space="preserve">by the representatives does not provide access to the aforementioned Executive Decrees. </w:t>
      </w:r>
      <w:r w:rsidR="00BD166A" w:rsidRPr="003171CD">
        <w:rPr>
          <w:rFonts w:eastAsia="Times New Roman"/>
          <w:szCs w:val="20"/>
          <w:lang w:val="en-US"/>
        </w:rPr>
        <w:t>Furthermore</w:t>
      </w:r>
      <w:r w:rsidR="005A65CE" w:rsidRPr="003171CD">
        <w:rPr>
          <w:rFonts w:eastAsia="Times New Roman"/>
          <w:szCs w:val="20"/>
          <w:lang w:val="en-US"/>
        </w:rPr>
        <w:t>, those documents refer to workers employed in different sectors to th</w:t>
      </w:r>
      <w:r w:rsidR="00DC3D78" w:rsidRPr="003171CD">
        <w:rPr>
          <w:rFonts w:eastAsia="Times New Roman"/>
          <w:szCs w:val="20"/>
          <w:lang w:val="en-US"/>
        </w:rPr>
        <w:t xml:space="preserve">e one </w:t>
      </w:r>
      <w:r w:rsidR="005A65CE" w:rsidRPr="003171CD">
        <w:rPr>
          <w:rFonts w:eastAsia="Times New Roman"/>
          <w:szCs w:val="20"/>
          <w:lang w:val="en-US"/>
        </w:rPr>
        <w:t xml:space="preserve">in which Mr. Ruano Torres worked. </w:t>
      </w:r>
      <w:r w:rsidR="00DC3D78" w:rsidRPr="003171CD">
        <w:rPr>
          <w:rFonts w:eastAsia="Times New Roman"/>
          <w:szCs w:val="20"/>
          <w:lang w:val="en-US"/>
        </w:rPr>
        <w:t>In addition, the</w:t>
      </w:r>
      <w:r w:rsidR="005A65CE" w:rsidRPr="003171CD">
        <w:rPr>
          <w:rFonts w:eastAsia="Times New Roman"/>
          <w:szCs w:val="20"/>
          <w:lang w:val="en-US"/>
        </w:rPr>
        <w:t xml:space="preserve"> link was provided extemporaneously, and therefore cannot be admitted as evidence.</w:t>
      </w:r>
    </w:p>
    <w:p w14:paraId="31C3190F" w14:textId="77777777" w:rsidR="005A65CE" w:rsidRPr="003171CD" w:rsidRDefault="005A65CE" w:rsidP="005A65CE">
      <w:pPr>
        <w:tabs>
          <w:tab w:val="left" w:pos="720"/>
          <w:tab w:val="num" w:pos="5057"/>
        </w:tabs>
        <w:ind w:right="-90"/>
        <w:jc w:val="both"/>
        <w:rPr>
          <w:rFonts w:eastAsia="Times New Roman"/>
          <w:lang w:val="en-US"/>
        </w:rPr>
      </w:pPr>
    </w:p>
    <w:p w14:paraId="24A52BBE" w14:textId="77777777" w:rsidR="005A65CE" w:rsidRPr="003171CD" w:rsidRDefault="005A65CE" w:rsidP="005A65CE">
      <w:pPr>
        <w:pStyle w:val="Prrafodelista"/>
        <w:numPr>
          <w:ilvl w:val="0"/>
          <w:numId w:val="1"/>
        </w:numPr>
        <w:jc w:val="both"/>
        <w:rPr>
          <w:rFonts w:eastAsia="Times New Roman"/>
          <w:szCs w:val="20"/>
          <w:lang w:val="en-US"/>
        </w:rPr>
      </w:pPr>
      <w:r w:rsidRPr="003171CD">
        <w:rPr>
          <w:rFonts w:eastAsia="Times New Roman"/>
          <w:szCs w:val="20"/>
          <w:lang w:val="en-US"/>
        </w:rPr>
        <w:t>The State presented certain documents with its final written arguments.</w:t>
      </w:r>
      <w:r w:rsidRPr="003171CD">
        <w:rPr>
          <w:rFonts w:eastAsia="Times New Roman"/>
          <w:szCs w:val="20"/>
          <w:vertAlign w:val="superscript"/>
          <w:lang w:val="en-US"/>
        </w:rPr>
        <w:footnoteReference w:id="31"/>
      </w:r>
      <w:r w:rsidRPr="003171CD">
        <w:rPr>
          <w:rFonts w:eastAsia="Times New Roman"/>
          <w:szCs w:val="20"/>
          <w:lang w:val="en-US"/>
        </w:rPr>
        <w:t xml:space="preserve"> </w:t>
      </w:r>
      <w:r w:rsidR="00837C56" w:rsidRPr="003171CD">
        <w:rPr>
          <w:rFonts w:eastAsia="Times New Roman"/>
          <w:szCs w:val="20"/>
          <w:lang w:val="en-US"/>
        </w:rPr>
        <w:t>T</w:t>
      </w:r>
      <w:r w:rsidRPr="003171CD">
        <w:rPr>
          <w:rFonts w:eastAsia="Times New Roman"/>
          <w:szCs w:val="20"/>
          <w:lang w:val="en-US"/>
        </w:rPr>
        <w:t>he representatives objected to the docume</w:t>
      </w:r>
      <w:r w:rsidR="00837C56" w:rsidRPr="003171CD">
        <w:rPr>
          <w:rFonts w:eastAsia="Times New Roman"/>
          <w:szCs w:val="20"/>
          <w:lang w:val="en-US"/>
        </w:rPr>
        <w:t>ntation provided by the State at</w:t>
      </w:r>
      <w:r w:rsidRPr="003171CD">
        <w:rPr>
          <w:rFonts w:eastAsia="Times New Roman"/>
          <w:szCs w:val="20"/>
          <w:lang w:val="en-US"/>
        </w:rPr>
        <w:t xml:space="preserve"> this procedural </w:t>
      </w:r>
      <w:r w:rsidR="00837C56" w:rsidRPr="003171CD">
        <w:rPr>
          <w:rFonts w:eastAsia="Times New Roman"/>
          <w:szCs w:val="20"/>
          <w:lang w:val="en-US"/>
        </w:rPr>
        <w:t xml:space="preserve">stage, </w:t>
      </w:r>
      <w:r w:rsidRPr="003171CD">
        <w:rPr>
          <w:rFonts w:eastAsia="Times New Roman"/>
          <w:szCs w:val="20"/>
          <w:lang w:val="en-US"/>
        </w:rPr>
        <w:t xml:space="preserve">considering that </w:t>
      </w:r>
      <w:r w:rsidR="00837C56" w:rsidRPr="003171CD">
        <w:rPr>
          <w:rFonts w:eastAsia="Times New Roman"/>
          <w:szCs w:val="20"/>
          <w:lang w:val="en-US"/>
        </w:rPr>
        <w:t xml:space="preserve">it </w:t>
      </w:r>
      <w:r w:rsidRPr="003171CD">
        <w:rPr>
          <w:rFonts w:eastAsia="Times New Roman"/>
          <w:szCs w:val="20"/>
          <w:lang w:val="en-US"/>
        </w:rPr>
        <w:t>was “submitted extemporaneously.” Both the Commission and the representatives pointed out that th</w:t>
      </w:r>
      <w:r w:rsidR="00776A02" w:rsidRPr="003171CD">
        <w:rPr>
          <w:rFonts w:eastAsia="Times New Roman"/>
          <w:szCs w:val="20"/>
          <w:lang w:val="en-US"/>
        </w:rPr>
        <w:t xml:space="preserve">e </w:t>
      </w:r>
      <w:r w:rsidRPr="003171CD">
        <w:rPr>
          <w:rFonts w:eastAsia="Times New Roman"/>
          <w:szCs w:val="20"/>
          <w:lang w:val="en-US"/>
        </w:rPr>
        <w:t xml:space="preserve">documents refer to the </w:t>
      </w:r>
      <w:r w:rsidR="00316C8F" w:rsidRPr="003171CD">
        <w:rPr>
          <w:rFonts w:eastAsia="Times New Roman"/>
          <w:szCs w:val="20"/>
          <w:lang w:val="en-US"/>
        </w:rPr>
        <w:t xml:space="preserve">remunerated </w:t>
      </w:r>
      <w:r w:rsidRPr="003171CD">
        <w:rPr>
          <w:rFonts w:eastAsia="Times New Roman"/>
          <w:szCs w:val="20"/>
          <w:lang w:val="en-US"/>
        </w:rPr>
        <w:t xml:space="preserve">activities </w:t>
      </w:r>
      <w:r w:rsidR="00316C8F" w:rsidRPr="003171CD">
        <w:rPr>
          <w:rFonts w:eastAsia="Times New Roman"/>
          <w:szCs w:val="20"/>
          <w:lang w:val="en-US"/>
        </w:rPr>
        <w:t xml:space="preserve">allegedly carried out </w:t>
      </w:r>
      <w:r w:rsidR="00A67BC2" w:rsidRPr="003171CD">
        <w:rPr>
          <w:rFonts w:eastAsia="Times New Roman"/>
          <w:szCs w:val="20"/>
          <w:lang w:val="en-US"/>
        </w:rPr>
        <w:t xml:space="preserve">by Mr. Ruano Torres </w:t>
      </w:r>
      <w:r w:rsidRPr="003171CD">
        <w:rPr>
          <w:rFonts w:eastAsia="Times New Roman"/>
          <w:szCs w:val="20"/>
          <w:lang w:val="en-US"/>
        </w:rPr>
        <w:t xml:space="preserve">during </w:t>
      </w:r>
      <w:r w:rsidR="0012277C" w:rsidRPr="003171CD">
        <w:rPr>
          <w:rFonts w:eastAsia="Times New Roman"/>
          <w:szCs w:val="20"/>
          <w:lang w:val="en-US"/>
        </w:rPr>
        <w:t xml:space="preserve">the phases of </w:t>
      </w:r>
      <w:r w:rsidR="00837C56" w:rsidRPr="003171CD">
        <w:rPr>
          <w:rFonts w:eastAsia="Times New Roman"/>
          <w:szCs w:val="20"/>
          <w:lang w:val="en-US"/>
        </w:rPr>
        <w:t>“</w:t>
      </w:r>
      <w:r w:rsidR="00CF7D3F" w:rsidRPr="003171CD">
        <w:rPr>
          <w:rFonts w:eastAsia="Times New Roman"/>
          <w:szCs w:val="20"/>
          <w:lang w:val="en-US"/>
        </w:rPr>
        <w:t>trust</w:t>
      </w:r>
      <w:r w:rsidR="00837C56" w:rsidRPr="003171CD">
        <w:rPr>
          <w:rFonts w:eastAsia="Times New Roman"/>
          <w:szCs w:val="20"/>
          <w:lang w:val="en-US"/>
        </w:rPr>
        <w:t>”</w:t>
      </w:r>
      <w:r w:rsidR="00CF7D3F" w:rsidRPr="003171CD">
        <w:rPr>
          <w:rFonts w:eastAsia="Times New Roman"/>
          <w:szCs w:val="20"/>
          <w:lang w:val="en-US"/>
        </w:rPr>
        <w:t xml:space="preserve"> </w:t>
      </w:r>
      <w:r w:rsidRPr="003171CD">
        <w:rPr>
          <w:rFonts w:eastAsia="Times New Roman"/>
          <w:szCs w:val="20"/>
          <w:lang w:val="en-US"/>
        </w:rPr>
        <w:t xml:space="preserve">and </w:t>
      </w:r>
      <w:r w:rsidR="00837C56" w:rsidRPr="003171CD">
        <w:rPr>
          <w:rFonts w:eastAsia="Times New Roman"/>
          <w:szCs w:val="20"/>
          <w:lang w:val="en-US"/>
        </w:rPr>
        <w:t>“day release” from prison</w:t>
      </w:r>
      <w:r w:rsidRPr="003171CD">
        <w:rPr>
          <w:rFonts w:eastAsia="Times New Roman"/>
          <w:szCs w:val="20"/>
          <w:lang w:val="en-US"/>
        </w:rPr>
        <w:t xml:space="preserve">, </w:t>
      </w:r>
      <w:r w:rsidR="00A67BC2" w:rsidRPr="003171CD">
        <w:rPr>
          <w:rFonts w:eastAsia="Times New Roman"/>
          <w:szCs w:val="20"/>
          <w:lang w:val="en-US"/>
        </w:rPr>
        <w:t xml:space="preserve">as well as </w:t>
      </w:r>
      <w:r w:rsidRPr="003171CD">
        <w:rPr>
          <w:rFonts w:eastAsia="Times New Roman"/>
          <w:szCs w:val="20"/>
          <w:lang w:val="en-US"/>
        </w:rPr>
        <w:t>the rules of conduct imposed</w:t>
      </w:r>
      <w:r w:rsidR="00316C8F" w:rsidRPr="003171CD">
        <w:rPr>
          <w:rFonts w:eastAsia="Times New Roman"/>
          <w:szCs w:val="20"/>
          <w:lang w:val="en-US"/>
        </w:rPr>
        <w:t xml:space="preserve"> on him</w:t>
      </w:r>
      <w:r w:rsidRPr="003171CD">
        <w:rPr>
          <w:rFonts w:eastAsia="Times New Roman"/>
          <w:szCs w:val="20"/>
          <w:lang w:val="en-US"/>
        </w:rPr>
        <w:t xml:space="preserve">, all </w:t>
      </w:r>
      <w:r w:rsidR="009E15C2" w:rsidRPr="003171CD">
        <w:rPr>
          <w:rFonts w:eastAsia="Times New Roman"/>
          <w:szCs w:val="20"/>
          <w:lang w:val="en-US"/>
        </w:rPr>
        <w:t xml:space="preserve">related to </w:t>
      </w:r>
      <w:r w:rsidRPr="003171CD">
        <w:rPr>
          <w:rFonts w:eastAsia="Times New Roman"/>
          <w:szCs w:val="20"/>
          <w:lang w:val="en-US"/>
        </w:rPr>
        <w:t xml:space="preserve">compliance with the custodial sentence. The Court </w:t>
      </w:r>
      <w:r w:rsidR="00CF7D3F" w:rsidRPr="003171CD">
        <w:rPr>
          <w:rFonts w:eastAsia="Times New Roman"/>
          <w:szCs w:val="20"/>
          <w:lang w:val="en-US"/>
        </w:rPr>
        <w:t xml:space="preserve">confirms </w:t>
      </w:r>
      <w:r w:rsidR="00316C8F" w:rsidRPr="003171CD">
        <w:rPr>
          <w:rFonts w:eastAsia="Times New Roman"/>
          <w:szCs w:val="20"/>
          <w:lang w:val="en-US"/>
        </w:rPr>
        <w:t xml:space="preserve">that </w:t>
      </w:r>
      <w:r w:rsidR="00A67BC2" w:rsidRPr="003171CD">
        <w:rPr>
          <w:rFonts w:eastAsia="Times New Roman"/>
          <w:szCs w:val="20"/>
          <w:lang w:val="en-US"/>
        </w:rPr>
        <w:t xml:space="preserve">the State presented these </w:t>
      </w:r>
      <w:r w:rsidRPr="003171CD">
        <w:rPr>
          <w:rFonts w:eastAsia="Times New Roman"/>
          <w:szCs w:val="20"/>
          <w:lang w:val="en-US"/>
        </w:rPr>
        <w:t>document</w:t>
      </w:r>
      <w:r w:rsidR="00A67BC2" w:rsidRPr="003171CD">
        <w:rPr>
          <w:rFonts w:eastAsia="Times New Roman"/>
          <w:szCs w:val="20"/>
          <w:lang w:val="en-US"/>
        </w:rPr>
        <w:t xml:space="preserve">s </w:t>
      </w:r>
      <w:r w:rsidRPr="003171CD">
        <w:rPr>
          <w:rFonts w:eastAsia="Times New Roman"/>
          <w:szCs w:val="20"/>
          <w:lang w:val="en-US"/>
        </w:rPr>
        <w:t xml:space="preserve">without offering any justification </w:t>
      </w:r>
      <w:r w:rsidR="00A67BC2" w:rsidRPr="003171CD">
        <w:rPr>
          <w:rFonts w:eastAsia="Times New Roman"/>
          <w:szCs w:val="20"/>
          <w:lang w:val="en-US"/>
        </w:rPr>
        <w:t xml:space="preserve">for the </w:t>
      </w:r>
      <w:r w:rsidR="0012277C" w:rsidRPr="003171CD">
        <w:rPr>
          <w:rFonts w:eastAsia="Times New Roman"/>
          <w:szCs w:val="20"/>
          <w:lang w:val="en-US"/>
        </w:rPr>
        <w:t xml:space="preserve">fact that </w:t>
      </w:r>
      <w:r w:rsidR="00A67BC2" w:rsidRPr="003171CD">
        <w:rPr>
          <w:rFonts w:eastAsia="Times New Roman"/>
          <w:szCs w:val="20"/>
          <w:lang w:val="en-US"/>
        </w:rPr>
        <w:t xml:space="preserve">they were </w:t>
      </w:r>
      <w:r w:rsidR="0012277C" w:rsidRPr="003171CD">
        <w:rPr>
          <w:rFonts w:eastAsia="Times New Roman"/>
          <w:szCs w:val="20"/>
          <w:lang w:val="en-US"/>
        </w:rPr>
        <w:t xml:space="preserve">submitted </w:t>
      </w:r>
      <w:r w:rsidR="00CF7D3F" w:rsidRPr="003171CD">
        <w:rPr>
          <w:rFonts w:eastAsia="Times New Roman"/>
          <w:szCs w:val="20"/>
          <w:lang w:val="en-US"/>
        </w:rPr>
        <w:t xml:space="preserve">after </w:t>
      </w:r>
      <w:r w:rsidR="00A67BC2" w:rsidRPr="003171CD">
        <w:rPr>
          <w:rFonts w:eastAsia="Times New Roman"/>
          <w:szCs w:val="20"/>
          <w:lang w:val="en-US"/>
        </w:rPr>
        <w:t xml:space="preserve">the </w:t>
      </w:r>
      <w:r w:rsidRPr="003171CD">
        <w:rPr>
          <w:rFonts w:eastAsia="Times New Roman"/>
          <w:szCs w:val="20"/>
          <w:lang w:val="en-US"/>
        </w:rPr>
        <w:t xml:space="preserve">answering brief. Consequently, pursuant to Article 57(2) of the Rules, the Court </w:t>
      </w:r>
      <w:r w:rsidR="00776A02" w:rsidRPr="003171CD">
        <w:rPr>
          <w:rFonts w:eastAsia="Times New Roman"/>
          <w:szCs w:val="20"/>
          <w:lang w:val="en-US"/>
        </w:rPr>
        <w:t xml:space="preserve">decides not to admit </w:t>
      </w:r>
      <w:r w:rsidRPr="003171CD">
        <w:rPr>
          <w:rFonts w:eastAsia="Times New Roman"/>
          <w:szCs w:val="20"/>
          <w:lang w:val="en-US"/>
        </w:rPr>
        <w:t xml:space="preserve">these documents because they are time-barred, </w:t>
      </w:r>
      <w:r w:rsidR="00316C8F" w:rsidRPr="003171CD">
        <w:rPr>
          <w:rFonts w:eastAsia="Times New Roman"/>
          <w:szCs w:val="20"/>
          <w:lang w:val="en-US"/>
        </w:rPr>
        <w:t xml:space="preserve">since </w:t>
      </w:r>
      <w:r w:rsidRPr="003171CD">
        <w:rPr>
          <w:rFonts w:eastAsia="Times New Roman"/>
          <w:szCs w:val="20"/>
          <w:lang w:val="en-US"/>
        </w:rPr>
        <w:t xml:space="preserve">the State </w:t>
      </w:r>
      <w:r w:rsidR="00A67BC2" w:rsidRPr="003171CD">
        <w:rPr>
          <w:rFonts w:eastAsia="Times New Roman"/>
          <w:szCs w:val="20"/>
          <w:lang w:val="en-US"/>
        </w:rPr>
        <w:t xml:space="preserve">was aware of them </w:t>
      </w:r>
      <w:r w:rsidRPr="003171CD">
        <w:rPr>
          <w:rFonts w:eastAsia="Times New Roman"/>
          <w:szCs w:val="20"/>
          <w:lang w:val="en-US"/>
        </w:rPr>
        <w:t>before submitting the</w:t>
      </w:r>
      <w:r w:rsidR="00A67BC2" w:rsidRPr="003171CD">
        <w:rPr>
          <w:rFonts w:eastAsia="Times New Roman"/>
          <w:szCs w:val="20"/>
          <w:lang w:val="en-US"/>
        </w:rPr>
        <w:t xml:space="preserve"> answering brief;</w:t>
      </w:r>
      <w:r w:rsidRPr="003171CD">
        <w:rPr>
          <w:rFonts w:eastAsia="Times New Roman"/>
          <w:szCs w:val="20"/>
          <w:lang w:val="en-US"/>
        </w:rPr>
        <w:t xml:space="preserve"> therefore </w:t>
      </w:r>
      <w:r w:rsidR="00E16D31" w:rsidRPr="003171CD">
        <w:rPr>
          <w:rFonts w:eastAsia="Times New Roman"/>
          <w:szCs w:val="20"/>
          <w:lang w:val="en-US"/>
        </w:rPr>
        <w:t xml:space="preserve">the Court will not consider these documents </w:t>
      </w:r>
      <w:r w:rsidRPr="003171CD">
        <w:rPr>
          <w:rFonts w:eastAsia="Times New Roman"/>
          <w:szCs w:val="20"/>
          <w:lang w:val="en-US"/>
        </w:rPr>
        <w:t xml:space="preserve">in </w:t>
      </w:r>
      <w:r w:rsidR="00316C8F" w:rsidRPr="003171CD">
        <w:rPr>
          <w:rFonts w:eastAsia="Times New Roman"/>
          <w:szCs w:val="20"/>
          <w:lang w:val="en-US"/>
        </w:rPr>
        <w:t xml:space="preserve">its </w:t>
      </w:r>
      <w:r w:rsidRPr="003171CD">
        <w:rPr>
          <w:rFonts w:eastAsia="Times New Roman"/>
          <w:szCs w:val="20"/>
          <w:lang w:val="en-US"/>
        </w:rPr>
        <w:t>decision.</w:t>
      </w:r>
    </w:p>
    <w:p w14:paraId="6F8BE2F3" w14:textId="77777777" w:rsidR="005A65CE" w:rsidRPr="003171CD" w:rsidRDefault="005A65CE" w:rsidP="005A65CE">
      <w:pPr>
        <w:pStyle w:val="Prrafodelista"/>
        <w:ind w:left="0"/>
        <w:jc w:val="both"/>
        <w:rPr>
          <w:rFonts w:eastAsia="Times New Roman"/>
          <w:szCs w:val="20"/>
          <w:lang w:val="en-US"/>
        </w:rPr>
      </w:pPr>
    </w:p>
    <w:p w14:paraId="648E76B1" w14:textId="77777777" w:rsidR="005A65CE" w:rsidRPr="003171CD" w:rsidRDefault="005A65CE" w:rsidP="005A65CE">
      <w:pPr>
        <w:keepNext/>
        <w:tabs>
          <w:tab w:val="left" w:pos="1843"/>
        </w:tabs>
        <w:ind w:left="1068"/>
        <w:outlineLvl w:val="2"/>
        <w:rPr>
          <w:rFonts w:eastAsia="Times New Roman"/>
          <w:bCs/>
          <w:i/>
          <w:lang w:val="en-US"/>
        </w:rPr>
      </w:pPr>
      <w:bookmarkStart w:id="21" w:name="_Toc45186696"/>
      <w:bookmarkStart w:id="22" w:name="_Toc375517118"/>
      <w:bookmarkStart w:id="23" w:name="_Toc423107373"/>
      <w:r w:rsidRPr="003171CD">
        <w:rPr>
          <w:rFonts w:eastAsia="Times New Roman"/>
          <w:bCs/>
          <w:i/>
          <w:lang w:val="en-US"/>
        </w:rPr>
        <w:t xml:space="preserve">B.2 </w:t>
      </w:r>
      <w:r w:rsidRPr="003171CD">
        <w:rPr>
          <w:rFonts w:eastAsia="Times New Roman"/>
          <w:bCs/>
          <w:i/>
          <w:lang w:val="en-US"/>
        </w:rPr>
        <w:tab/>
        <w:t>Admission of the statements and of the expert opinions</w:t>
      </w:r>
      <w:bookmarkEnd w:id="21"/>
      <w:r w:rsidRPr="003171CD">
        <w:rPr>
          <w:rFonts w:eastAsia="Times New Roman"/>
          <w:bCs/>
          <w:i/>
          <w:lang w:val="en-US"/>
        </w:rPr>
        <w:t xml:space="preserve"> </w:t>
      </w:r>
      <w:bookmarkEnd w:id="22"/>
      <w:bookmarkEnd w:id="23"/>
    </w:p>
    <w:p w14:paraId="486C4C3A" w14:textId="77777777" w:rsidR="005A65CE" w:rsidRPr="003171CD" w:rsidRDefault="005A65CE" w:rsidP="005A65CE">
      <w:pPr>
        <w:rPr>
          <w:rFonts w:eastAsia="Times New Roman"/>
          <w:i/>
          <w:lang w:val="en-US"/>
        </w:rPr>
      </w:pPr>
    </w:p>
    <w:p w14:paraId="7DB5246F" w14:textId="77777777" w:rsidR="005A65CE" w:rsidRPr="003171CD" w:rsidRDefault="005A65CE" w:rsidP="005A65CE">
      <w:pPr>
        <w:pStyle w:val="Prrafodelista"/>
        <w:numPr>
          <w:ilvl w:val="0"/>
          <w:numId w:val="1"/>
        </w:numPr>
        <w:jc w:val="both"/>
        <w:rPr>
          <w:rFonts w:cs="Verdana"/>
          <w:szCs w:val="20"/>
          <w:lang w:val="en-US" w:eastAsia="es-MX"/>
        </w:rPr>
      </w:pPr>
      <w:r w:rsidRPr="003171CD">
        <w:rPr>
          <w:rFonts w:eastAsia="Times New Roman"/>
          <w:szCs w:val="20"/>
          <w:lang w:val="en-US"/>
        </w:rPr>
        <w:t xml:space="preserve">The Court </w:t>
      </w:r>
      <w:r w:rsidR="00316C8F" w:rsidRPr="003171CD">
        <w:rPr>
          <w:rFonts w:eastAsia="Times New Roman"/>
          <w:szCs w:val="20"/>
          <w:lang w:val="en-US"/>
        </w:rPr>
        <w:t xml:space="preserve">considers it </w:t>
      </w:r>
      <w:r w:rsidRPr="003171CD">
        <w:rPr>
          <w:rFonts w:eastAsia="Times New Roman"/>
          <w:szCs w:val="20"/>
          <w:lang w:val="en-US"/>
        </w:rPr>
        <w:t xml:space="preserve">pertinent </w:t>
      </w:r>
      <w:r w:rsidR="00316C8F" w:rsidRPr="003171CD">
        <w:rPr>
          <w:rFonts w:eastAsia="Times New Roman"/>
          <w:szCs w:val="20"/>
          <w:lang w:val="en-US"/>
        </w:rPr>
        <w:t xml:space="preserve">to </w:t>
      </w:r>
      <w:r w:rsidRPr="003171CD">
        <w:rPr>
          <w:rFonts w:eastAsia="Times New Roman"/>
          <w:szCs w:val="20"/>
          <w:lang w:val="en-US"/>
        </w:rPr>
        <w:t xml:space="preserve">admit the statements and expert opinions </w:t>
      </w:r>
      <w:r w:rsidR="00E16D31" w:rsidRPr="003171CD">
        <w:rPr>
          <w:rFonts w:eastAsia="Times New Roman"/>
          <w:szCs w:val="20"/>
          <w:lang w:val="en-US"/>
        </w:rPr>
        <w:t xml:space="preserve">received </w:t>
      </w:r>
      <w:r w:rsidRPr="003171CD">
        <w:rPr>
          <w:rFonts w:eastAsia="Times New Roman"/>
          <w:szCs w:val="20"/>
          <w:lang w:val="en-US"/>
        </w:rPr>
        <w:t xml:space="preserve">at the public hearing and </w:t>
      </w:r>
      <w:r w:rsidR="00316C8F" w:rsidRPr="003171CD">
        <w:rPr>
          <w:rFonts w:eastAsia="Times New Roman"/>
          <w:szCs w:val="20"/>
          <w:lang w:val="en-US"/>
        </w:rPr>
        <w:t xml:space="preserve">rendered </w:t>
      </w:r>
      <w:r w:rsidRPr="003171CD">
        <w:rPr>
          <w:rFonts w:eastAsia="Times New Roman"/>
          <w:szCs w:val="20"/>
          <w:lang w:val="en-US"/>
        </w:rPr>
        <w:t xml:space="preserve">through </w:t>
      </w:r>
      <w:r w:rsidR="00316C8F" w:rsidRPr="003171CD">
        <w:rPr>
          <w:rFonts w:eastAsia="Times New Roman"/>
          <w:szCs w:val="20"/>
          <w:lang w:val="en-US"/>
        </w:rPr>
        <w:t>affidavits</w:t>
      </w:r>
      <w:r w:rsidRPr="003171CD">
        <w:rPr>
          <w:rFonts w:eastAsia="Times New Roman"/>
          <w:szCs w:val="20"/>
          <w:lang w:val="en-US"/>
        </w:rPr>
        <w:t>, insofar as these a</w:t>
      </w:r>
      <w:r w:rsidR="00316C8F" w:rsidRPr="003171CD">
        <w:rPr>
          <w:rFonts w:eastAsia="Times New Roman"/>
          <w:szCs w:val="20"/>
          <w:lang w:val="en-US"/>
        </w:rPr>
        <w:t xml:space="preserve">re in keeping with the </w:t>
      </w:r>
      <w:r w:rsidR="0015072A" w:rsidRPr="003171CD">
        <w:rPr>
          <w:rFonts w:eastAsia="Times New Roman"/>
          <w:szCs w:val="20"/>
          <w:lang w:val="en-US"/>
        </w:rPr>
        <w:t xml:space="preserve">object </w:t>
      </w:r>
      <w:r w:rsidRPr="003171CD">
        <w:rPr>
          <w:rFonts w:eastAsia="Times New Roman"/>
          <w:szCs w:val="20"/>
          <w:lang w:val="en-US"/>
        </w:rPr>
        <w:t xml:space="preserve">defined by the President in the Order </w:t>
      </w:r>
      <w:r w:rsidR="0015072A" w:rsidRPr="003171CD">
        <w:rPr>
          <w:rFonts w:eastAsia="Times New Roman"/>
          <w:szCs w:val="20"/>
          <w:lang w:val="en-US"/>
        </w:rPr>
        <w:t>requiring</w:t>
      </w:r>
      <w:r w:rsidRPr="003171CD">
        <w:rPr>
          <w:rFonts w:eastAsia="Times New Roman"/>
          <w:szCs w:val="20"/>
          <w:lang w:val="en-US"/>
        </w:rPr>
        <w:t xml:space="preserve"> them</w:t>
      </w:r>
      <w:r w:rsidRPr="003171CD">
        <w:rPr>
          <w:rFonts w:eastAsia="Times New Roman"/>
          <w:szCs w:val="20"/>
          <w:vertAlign w:val="superscript"/>
          <w:lang w:val="en-US"/>
        </w:rPr>
        <w:footnoteReference w:id="32"/>
      </w:r>
      <w:r w:rsidRPr="003171CD">
        <w:rPr>
          <w:rFonts w:eastAsia="Times New Roman"/>
          <w:szCs w:val="20"/>
          <w:lang w:val="en-US"/>
        </w:rPr>
        <w:t xml:space="preserve"> and </w:t>
      </w:r>
      <w:r w:rsidR="00316C8F" w:rsidRPr="003171CD">
        <w:rPr>
          <w:rFonts w:eastAsia="Times New Roman"/>
          <w:szCs w:val="20"/>
          <w:lang w:val="en-US"/>
        </w:rPr>
        <w:t xml:space="preserve">the </w:t>
      </w:r>
      <w:r w:rsidR="0015072A" w:rsidRPr="003171CD">
        <w:rPr>
          <w:rFonts w:eastAsia="Times New Roman"/>
          <w:szCs w:val="20"/>
          <w:lang w:val="en-US"/>
        </w:rPr>
        <w:t xml:space="preserve">purpose </w:t>
      </w:r>
      <w:r w:rsidRPr="003171CD">
        <w:rPr>
          <w:rFonts w:eastAsia="Times New Roman"/>
          <w:szCs w:val="20"/>
          <w:lang w:val="en-US"/>
        </w:rPr>
        <w:t>of the instant case.</w:t>
      </w:r>
    </w:p>
    <w:p w14:paraId="2943AE96" w14:textId="77777777" w:rsidR="005A65CE" w:rsidRPr="003171CD" w:rsidRDefault="005A65CE" w:rsidP="005A65CE">
      <w:pPr>
        <w:pStyle w:val="Prrafodelista"/>
        <w:ind w:left="0"/>
        <w:jc w:val="both"/>
        <w:rPr>
          <w:rFonts w:cs="Verdana"/>
          <w:szCs w:val="20"/>
          <w:lang w:val="en-US" w:eastAsia="es-MX"/>
        </w:rPr>
      </w:pPr>
    </w:p>
    <w:p w14:paraId="248D7880" w14:textId="77777777" w:rsidR="005A65CE" w:rsidRPr="003171CD" w:rsidRDefault="005A65CE" w:rsidP="005A65CE">
      <w:pPr>
        <w:keepNext/>
        <w:keepLines/>
        <w:ind w:left="708" w:firstLine="1"/>
        <w:jc w:val="both"/>
        <w:outlineLvl w:val="1"/>
        <w:rPr>
          <w:rFonts w:eastAsia="MS Mincho"/>
          <w:b/>
          <w:bCs/>
          <w:i/>
          <w:lang w:val="en-US"/>
        </w:rPr>
      </w:pPr>
      <w:bookmarkStart w:id="24" w:name="_Toc405857807"/>
      <w:bookmarkStart w:id="25" w:name="_Toc423107375"/>
      <w:bookmarkStart w:id="26" w:name="_Toc45186697"/>
      <w:r w:rsidRPr="003171CD">
        <w:rPr>
          <w:rFonts w:eastAsia="MS Mincho"/>
          <w:b/>
          <w:bCs/>
          <w:i/>
          <w:lang w:val="en-US"/>
        </w:rPr>
        <w:t xml:space="preserve">C. </w:t>
      </w:r>
      <w:r w:rsidRPr="003171CD">
        <w:rPr>
          <w:rFonts w:eastAsia="MS Mincho"/>
          <w:b/>
          <w:bCs/>
          <w:i/>
          <w:lang w:val="en-US"/>
        </w:rPr>
        <w:tab/>
        <w:t>Assessment of the evidence</w:t>
      </w:r>
      <w:bookmarkEnd w:id="24"/>
      <w:bookmarkEnd w:id="25"/>
      <w:bookmarkEnd w:id="26"/>
    </w:p>
    <w:p w14:paraId="62548F54" w14:textId="77777777" w:rsidR="005A65CE" w:rsidRPr="003171CD" w:rsidRDefault="005A65CE" w:rsidP="005A65CE">
      <w:pPr>
        <w:jc w:val="both"/>
        <w:rPr>
          <w:lang w:val="en-US" w:eastAsia="es-MX"/>
        </w:rPr>
      </w:pPr>
      <w:bookmarkStart w:id="27" w:name="_Ref402038868"/>
    </w:p>
    <w:p w14:paraId="610B78A2" w14:textId="77777777" w:rsidR="005A65CE" w:rsidRPr="003171CD" w:rsidRDefault="005A65CE" w:rsidP="005A65CE">
      <w:pPr>
        <w:pStyle w:val="Prrafodelista"/>
        <w:numPr>
          <w:ilvl w:val="0"/>
          <w:numId w:val="1"/>
        </w:numPr>
        <w:tabs>
          <w:tab w:val="left" w:pos="720"/>
          <w:tab w:val="num" w:pos="5057"/>
        </w:tabs>
        <w:ind w:right="-90"/>
        <w:jc w:val="both"/>
        <w:rPr>
          <w:rFonts w:cs="Verdana"/>
          <w:szCs w:val="20"/>
          <w:lang w:val="en-US" w:eastAsia="es-MX"/>
        </w:rPr>
      </w:pPr>
      <w:r w:rsidRPr="003171CD">
        <w:rPr>
          <w:rFonts w:cs="Verdana"/>
          <w:szCs w:val="20"/>
          <w:lang w:val="en-US" w:eastAsia="es-MX"/>
        </w:rPr>
        <w:lastRenderedPageBreak/>
        <w:t xml:space="preserve">Based on its </w:t>
      </w:r>
      <w:r w:rsidR="001A0ACE" w:rsidRPr="003171CD">
        <w:rPr>
          <w:rFonts w:cs="Verdana"/>
          <w:szCs w:val="20"/>
          <w:lang w:val="en-US" w:eastAsia="es-MX"/>
        </w:rPr>
        <w:t xml:space="preserve">constant case law </w:t>
      </w:r>
      <w:r w:rsidR="00B265E3" w:rsidRPr="003171CD">
        <w:rPr>
          <w:rFonts w:cs="Verdana"/>
          <w:szCs w:val="20"/>
          <w:lang w:val="en-US" w:eastAsia="es-MX"/>
        </w:rPr>
        <w:t xml:space="preserve">concerning </w:t>
      </w:r>
      <w:r w:rsidRPr="003171CD">
        <w:rPr>
          <w:rFonts w:cs="Verdana"/>
          <w:szCs w:val="20"/>
          <w:lang w:val="en-US" w:eastAsia="es-MX"/>
        </w:rPr>
        <w:t>evidence and its assessment,</w:t>
      </w:r>
      <w:r w:rsidRPr="003171CD">
        <w:rPr>
          <w:rFonts w:cs="Verdana"/>
          <w:szCs w:val="20"/>
          <w:vertAlign w:val="superscript"/>
          <w:lang w:val="en-US" w:eastAsia="es-MX"/>
        </w:rPr>
        <w:footnoteReference w:id="33"/>
      </w:r>
      <w:r w:rsidRPr="003171CD">
        <w:rPr>
          <w:rFonts w:cs="Verdana"/>
          <w:szCs w:val="20"/>
          <w:lang w:val="en-US" w:eastAsia="es-MX"/>
        </w:rPr>
        <w:t xml:space="preserve"> the Court will examine and assess the </w:t>
      </w:r>
      <w:r w:rsidR="00897B7E" w:rsidRPr="003171CD">
        <w:rPr>
          <w:rFonts w:cs="Verdana"/>
          <w:szCs w:val="20"/>
          <w:lang w:val="en-US" w:eastAsia="es-MX"/>
        </w:rPr>
        <w:t xml:space="preserve">documentary evidence </w:t>
      </w:r>
      <w:r w:rsidRPr="003171CD">
        <w:rPr>
          <w:rFonts w:cs="Verdana"/>
          <w:szCs w:val="20"/>
          <w:lang w:val="en-US" w:eastAsia="es-MX"/>
        </w:rPr>
        <w:t>forwarded by the parties and the Commission, as well as the statements and expert opinions</w:t>
      </w:r>
      <w:r w:rsidR="00B265E3" w:rsidRPr="003171CD">
        <w:rPr>
          <w:rFonts w:cs="Verdana"/>
          <w:szCs w:val="20"/>
          <w:lang w:val="en-US" w:eastAsia="es-MX"/>
        </w:rPr>
        <w:t xml:space="preserve"> that were requested and inc</w:t>
      </w:r>
      <w:r w:rsidR="00E16D31" w:rsidRPr="003171CD">
        <w:rPr>
          <w:rFonts w:cs="Verdana"/>
          <w:szCs w:val="20"/>
          <w:lang w:val="en-US" w:eastAsia="es-MX"/>
        </w:rPr>
        <w:t xml:space="preserve">luded </w:t>
      </w:r>
      <w:r w:rsidR="00B265E3" w:rsidRPr="003171CD">
        <w:rPr>
          <w:rFonts w:cs="Verdana"/>
          <w:szCs w:val="20"/>
          <w:lang w:val="en-US" w:eastAsia="es-MX"/>
        </w:rPr>
        <w:t>by this Court</w:t>
      </w:r>
      <w:r w:rsidRPr="003171CD">
        <w:rPr>
          <w:rFonts w:cs="Verdana"/>
          <w:szCs w:val="20"/>
          <w:lang w:val="en-US" w:eastAsia="es-MX"/>
        </w:rPr>
        <w:t>,</w:t>
      </w:r>
      <w:r w:rsidR="00776A02" w:rsidRPr="003171CD">
        <w:rPr>
          <w:rFonts w:cs="Verdana"/>
          <w:szCs w:val="20"/>
          <w:lang w:val="en-US" w:eastAsia="es-MX"/>
        </w:rPr>
        <w:t xml:space="preserve"> </w:t>
      </w:r>
      <w:r w:rsidR="00B265E3" w:rsidRPr="003171CD">
        <w:rPr>
          <w:rFonts w:cs="Verdana"/>
          <w:szCs w:val="20"/>
          <w:lang w:val="en-US" w:eastAsia="es-MX"/>
        </w:rPr>
        <w:t xml:space="preserve">when </w:t>
      </w:r>
      <w:r w:rsidR="00B265E3" w:rsidRPr="003171CD">
        <w:rPr>
          <w:lang w:val="en-US"/>
        </w:rPr>
        <w:t>establishing the facts of the case and ruling on the merits</w:t>
      </w:r>
      <w:r w:rsidRPr="003171CD">
        <w:rPr>
          <w:rFonts w:cs="Verdana"/>
          <w:szCs w:val="20"/>
          <w:lang w:val="en-US" w:eastAsia="es-MX"/>
        </w:rPr>
        <w:t xml:space="preserve">. </w:t>
      </w:r>
      <w:r w:rsidR="00B265E3" w:rsidRPr="003171CD">
        <w:rPr>
          <w:lang w:val="en-US"/>
        </w:rPr>
        <w:t>To this end, it will abide by the principles of sound judicial discretion within the corresponding legal framework, taking in</w:t>
      </w:r>
      <w:r w:rsidR="00E16D31" w:rsidRPr="003171CD">
        <w:rPr>
          <w:lang w:val="en-US"/>
        </w:rPr>
        <w:t>to account the body of evidence</w:t>
      </w:r>
      <w:r w:rsidR="00B265E3" w:rsidRPr="003171CD">
        <w:rPr>
          <w:lang w:val="en-US"/>
        </w:rPr>
        <w:t xml:space="preserve"> and the arguments submitted</w:t>
      </w:r>
      <w:r w:rsidR="00897B7E" w:rsidRPr="003171CD">
        <w:rPr>
          <w:rFonts w:cs="Verdana"/>
          <w:szCs w:val="20"/>
          <w:lang w:val="en-US" w:eastAsia="es-MX"/>
        </w:rPr>
        <w:t xml:space="preserve"> </w:t>
      </w:r>
      <w:r w:rsidR="00B265E3" w:rsidRPr="003171CD">
        <w:rPr>
          <w:rFonts w:cs="Verdana"/>
          <w:szCs w:val="20"/>
          <w:lang w:val="en-US" w:eastAsia="es-MX"/>
        </w:rPr>
        <w:t>in this</w:t>
      </w:r>
      <w:r w:rsidRPr="003171CD">
        <w:rPr>
          <w:rFonts w:cs="Verdana"/>
          <w:szCs w:val="20"/>
          <w:lang w:val="en-US" w:eastAsia="es-MX"/>
        </w:rPr>
        <w:t xml:space="preserve"> case.</w:t>
      </w:r>
      <w:r w:rsidRPr="003171CD">
        <w:rPr>
          <w:rFonts w:cs="Verdana"/>
          <w:szCs w:val="20"/>
          <w:vertAlign w:val="superscript"/>
          <w:lang w:val="en-US" w:eastAsia="es-MX"/>
        </w:rPr>
        <w:footnoteReference w:id="34"/>
      </w:r>
      <w:bookmarkEnd w:id="27"/>
    </w:p>
    <w:p w14:paraId="101FC701" w14:textId="77777777" w:rsidR="005A65CE" w:rsidRPr="003171CD" w:rsidRDefault="005A65CE" w:rsidP="005A65CE">
      <w:pPr>
        <w:tabs>
          <w:tab w:val="left" w:pos="720"/>
          <w:tab w:val="num" w:pos="1569"/>
          <w:tab w:val="num" w:pos="5057"/>
        </w:tabs>
        <w:ind w:right="-90"/>
        <w:jc w:val="both"/>
        <w:rPr>
          <w:lang w:val="en-US" w:eastAsia="es-MX"/>
        </w:rPr>
      </w:pPr>
    </w:p>
    <w:p w14:paraId="2E223746" w14:textId="77777777" w:rsidR="005A65CE" w:rsidRPr="003171CD" w:rsidRDefault="005A65CE" w:rsidP="005A65CE">
      <w:pPr>
        <w:pStyle w:val="Prrafodelista"/>
        <w:numPr>
          <w:ilvl w:val="0"/>
          <w:numId w:val="1"/>
        </w:numPr>
        <w:tabs>
          <w:tab w:val="left" w:pos="720"/>
          <w:tab w:val="num" w:pos="5057"/>
        </w:tabs>
        <w:ind w:right="-90"/>
        <w:jc w:val="both"/>
        <w:rPr>
          <w:rFonts w:cs="Verdana"/>
          <w:szCs w:val="20"/>
          <w:lang w:val="en-US" w:eastAsia="es-MX"/>
        </w:rPr>
      </w:pPr>
      <w:bookmarkStart w:id="28" w:name="_Ref402038884"/>
      <w:r w:rsidRPr="003171CD">
        <w:rPr>
          <w:rFonts w:cs="Verdana"/>
          <w:szCs w:val="20"/>
          <w:lang w:val="en-US" w:eastAsia="es-MX"/>
        </w:rPr>
        <w:t xml:space="preserve">Finally, </w:t>
      </w:r>
      <w:r w:rsidR="00B265E3" w:rsidRPr="003171CD">
        <w:rPr>
          <w:rFonts w:cs="Verdana"/>
          <w:szCs w:val="20"/>
          <w:lang w:val="en-US" w:eastAsia="es-MX"/>
        </w:rPr>
        <w:t xml:space="preserve">pursuant to </w:t>
      </w:r>
      <w:r w:rsidRPr="003171CD">
        <w:rPr>
          <w:rFonts w:cs="Verdana"/>
          <w:szCs w:val="20"/>
          <w:lang w:val="en-US" w:eastAsia="es-MX"/>
        </w:rPr>
        <w:t xml:space="preserve">its case law, the Court recalls that the statements </w:t>
      </w:r>
      <w:r w:rsidR="00B265E3" w:rsidRPr="003171CD">
        <w:rPr>
          <w:rFonts w:cs="Verdana"/>
          <w:szCs w:val="20"/>
          <w:lang w:val="en-US" w:eastAsia="es-MX"/>
        </w:rPr>
        <w:t xml:space="preserve">made </w:t>
      </w:r>
      <w:r w:rsidRPr="003171CD">
        <w:rPr>
          <w:rFonts w:cs="Verdana"/>
          <w:szCs w:val="20"/>
          <w:lang w:val="en-US" w:eastAsia="es-MX"/>
        </w:rPr>
        <w:t>by the alleged victims can</w:t>
      </w:r>
      <w:r w:rsidR="00897B7E" w:rsidRPr="003171CD">
        <w:rPr>
          <w:rFonts w:cs="Verdana"/>
          <w:szCs w:val="20"/>
          <w:lang w:val="en-US" w:eastAsia="es-MX"/>
        </w:rPr>
        <w:t>n</w:t>
      </w:r>
      <w:r w:rsidRPr="003171CD">
        <w:rPr>
          <w:rFonts w:cs="Verdana"/>
          <w:szCs w:val="20"/>
          <w:lang w:val="en-US" w:eastAsia="es-MX"/>
        </w:rPr>
        <w:t xml:space="preserve">ot be </w:t>
      </w:r>
      <w:r w:rsidR="00B265E3" w:rsidRPr="003171CD">
        <w:rPr>
          <w:rFonts w:cs="Verdana"/>
          <w:szCs w:val="20"/>
          <w:lang w:val="en-US" w:eastAsia="es-MX"/>
        </w:rPr>
        <w:t xml:space="preserve">assessed </w:t>
      </w:r>
      <w:r w:rsidRPr="003171CD">
        <w:rPr>
          <w:rFonts w:cs="Verdana"/>
          <w:szCs w:val="20"/>
          <w:lang w:val="en-US" w:eastAsia="es-MX"/>
        </w:rPr>
        <w:t>in isolation</w:t>
      </w:r>
      <w:r w:rsidR="00B265E3" w:rsidRPr="003171CD">
        <w:rPr>
          <w:rFonts w:cs="Verdana"/>
          <w:szCs w:val="20"/>
          <w:lang w:val="en-US" w:eastAsia="es-MX"/>
        </w:rPr>
        <w:t>,</w:t>
      </w:r>
      <w:r w:rsidRPr="003171CD">
        <w:rPr>
          <w:rFonts w:cs="Verdana"/>
          <w:szCs w:val="20"/>
          <w:lang w:val="en-US" w:eastAsia="es-MX"/>
        </w:rPr>
        <w:t xml:space="preserve"> but </w:t>
      </w:r>
      <w:r w:rsidR="00B265E3" w:rsidRPr="003171CD">
        <w:rPr>
          <w:rFonts w:cs="Verdana"/>
          <w:szCs w:val="20"/>
          <w:lang w:val="en-US" w:eastAsia="es-MX"/>
        </w:rPr>
        <w:t xml:space="preserve">rather within the </w:t>
      </w:r>
      <w:r w:rsidR="00897B7E" w:rsidRPr="003171CD">
        <w:rPr>
          <w:rFonts w:cs="Verdana"/>
          <w:szCs w:val="20"/>
          <w:lang w:val="en-US" w:eastAsia="es-MX"/>
        </w:rPr>
        <w:t>body of evidence in the proce</w:t>
      </w:r>
      <w:r w:rsidR="00B265E3" w:rsidRPr="003171CD">
        <w:rPr>
          <w:rFonts w:cs="Verdana"/>
          <w:szCs w:val="20"/>
          <w:lang w:val="en-US" w:eastAsia="es-MX"/>
        </w:rPr>
        <w:t>edings</w:t>
      </w:r>
      <w:r w:rsidRPr="003171CD">
        <w:rPr>
          <w:rFonts w:cs="Verdana"/>
          <w:szCs w:val="20"/>
          <w:lang w:val="en-US" w:eastAsia="es-MX"/>
        </w:rPr>
        <w:t xml:space="preserve">, </w:t>
      </w:r>
      <w:r w:rsidR="0035325B" w:rsidRPr="003171CD">
        <w:rPr>
          <w:lang w:val="en-US"/>
        </w:rPr>
        <w:t>insofar as such statements may provide further information on the presumed violations and their consequences</w:t>
      </w:r>
      <w:r w:rsidR="00897B7E" w:rsidRPr="003171CD">
        <w:rPr>
          <w:rFonts w:cs="Verdana"/>
          <w:szCs w:val="20"/>
          <w:lang w:val="en-US" w:eastAsia="es-MX"/>
        </w:rPr>
        <w:t>.</w:t>
      </w:r>
      <w:r w:rsidRPr="003171CD">
        <w:rPr>
          <w:rFonts w:cs="Verdana"/>
          <w:szCs w:val="20"/>
          <w:vertAlign w:val="superscript"/>
          <w:lang w:val="en-US" w:eastAsia="es-MX"/>
        </w:rPr>
        <w:footnoteReference w:id="35"/>
      </w:r>
      <w:bookmarkEnd w:id="28"/>
    </w:p>
    <w:p w14:paraId="71AF3DF6" w14:textId="77777777" w:rsidR="005A65CE" w:rsidRPr="003171CD" w:rsidRDefault="005A65CE" w:rsidP="005A65CE">
      <w:pPr>
        <w:jc w:val="both"/>
        <w:rPr>
          <w:rFonts w:cs="Arial"/>
          <w:snapToGrid/>
          <w:lang w:val="en-US" w:eastAsia="en-US"/>
        </w:rPr>
      </w:pPr>
      <w:bookmarkStart w:id="29" w:name="_Toc416260569"/>
      <w:bookmarkStart w:id="30" w:name="_Toc416260677"/>
    </w:p>
    <w:p w14:paraId="6AE8F5C9"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31" w:name="_Toc45186698"/>
      <w:r w:rsidRPr="003171CD">
        <w:rPr>
          <w:rFonts w:eastAsia="Times New Roman" w:cs="Arial"/>
          <w:b/>
          <w:bCs/>
          <w:caps/>
          <w:snapToGrid/>
          <w:lang w:val="en-US" w:eastAsia="en-US"/>
        </w:rPr>
        <w:t>VI</w:t>
      </w:r>
      <w:r w:rsidRPr="003171CD">
        <w:rPr>
          <w:rFonts w:eastAsia="Times New Roman" w:cs="Arial"/>
          <w:b/>
          <w:bCs/>
          <w:caps/>
          <w:snapToGrid/>
          <w:lang w:val="en-US" w:eastAsia="en-US"/>
        </w:rPr>
        <w:br/>
        <w:t>FACTS</w:t>
      </w:r>
      <w:bookmarkEnd w:id="31"/>
    </w:p>
    <w:p w14:paraId="0629FDC2" w14:textId="77777777" w:rsidR="005A65CE" w:rsidRPr="003171CD" w:rsidRDefault="005A65CE" w:rsidP="005A65CE">
      <w:pPr>
        <w:jc w:val="both"/>
        <w:rPr>
          <w:rFonts w:cs="Arial"/>
          <w:bCs/>
          <w:snapToGrid/>
          <w:szCs w:val="22"/>
          <w:lang w:val="en-US" w:eastAsia="en-US"/>
        </w:rPr>
      </w:pPr>
    </w:p>
    <w:p w14:paraId="13F8B7F2" w14:textId="77777777" w:rsidR="005A65CE" w:rsidRPr="003171CD" w:rsidRDefault="00B24089" w:rsidP="005A65CE">
      <w:pPr>
        <w:pStyle w:val="Prrafodelista"/>
        <w:numPr>
          <w:ilvl w:val="0"/>
          <w:numId w:val="1"/>
        </w:numPr>
        <w:tabs>
          <w:tab w:val="left" w:pos="720"/>
          <w:tab w:val="num" w:pos="5057"/>
        </w:tabs>
        <w:ind w:right="-90"/>
        <w:jc w:val="both"/>
        <w:rPr>
          <w:rFonts w:cs="Arial"/>
          <w:bCs/>
          <w:szCs w:val="22"/>
          <w:lang w:val="en-US"/>
        </w:rPr>
      </w:pPr>
      <w:r w:rsidRPr="003171CD">
        <w:rPr>
          <w:rFonts w:cs="Verdana"/>
          <w:szCs w:val="20"/>
          <w:lang w:val="en-US" w:eastAsia="es-MX"/>
        </w:rPr>
        <w:t xml:space="preserve">As a form of </w:t>
      </w:r>
      <w:r w:rsidRPr="003171CD">
        <w:rPr>
          <w:rFonts w:cs="Arial"/>
          <w:bCs/>
          <w:szCs w:val="22"/>
          <w:lang w:val="en-US"/>
        </w:rPr>
        <w:t>reparation to</w:t>
      </w:r>
      <w:r w:rsidR="005A65CE" w:rsidRPr="003171CD">
        <w:rPr>
          <w:rFonts w:cs="Arial"/>
          <w:bCs/>
          <w:szCs w:val="22"/>
          <w:lang w:val="en-US"/>
        </w:rPr>
        <w:t xml:space="preserve"> the victims, in </w:t>
      </w:r>
      <w:r w:rsidRPr="003171CD">
        <w:rPr>
          <w:rFonts w:cs="Arial"/>
          <w:bCs/>
          <w:szCs w:val="22"/>
          <w:lang w:val="en-US"/>
        </w:rPr>
        <w:t>this chapter</w:t>
      </w:r>
      <w:r w:rsidR="005A65CE" w:rsidRPr="003171CD">
        <w:rPr>
          <w:rFonts w:cs="Arial"/>
          <w:bCs/>
          <w:szCs w:val="22"/>
          <w:lang w:val="en-US"/>
        </w:rPr>
        <w:t xml:space="preserve"> the Court </w:t>
      </w:r>
      <w:r w:rsidRPr="003171CD">
        <w:rPr>
          <w:rFonts w:cs="Arial"/>
          <w:bCs/>
          <w:szCs w:val="22"/>
          <w:lang w:val="en-US"/>
        </w:rPr>
        <w:t xml:space="preserve">will </w:t>
      </w:r>
      <w:r w:rsidR="0035325B" w:rsidRPr="003171CD">
        <w:rPr>
          <w:rFonts w:cs="Arial"/>
          <w:bCs/>
          <w:szCs w:val="22"/>
          <w:lang w:val="en-US"/>
        </w:rPr>
        <w:t xml:space="preserve">establish </w:t>
      </w:r>
      <w:r w:rsidR="005A65CE" w:rsidRPr="003171CD">
        <w:rPr>
          <w:rFonts w:cs="Arial"/>
          <w:bCs/>
          <w:szCs w:val="22"/>
          <w:lang w:val="en-US"/>
        </w:rPr>
        <w:t xml:space="preserve">the facts </w:t>
      </w:r>
      <w:r w:rsidRPr="003171CD">
        <w:rPr>
          <w:rFonts w:cs="Arial"/>
          <w:bCs/>
          <w:szCs w:val="22"/>
          <w:lang w:val="en-US"/>
        </w:rPr>
        <w:t xml:space="preserve">of this case based on </w:t>
      </w:r>
      <w:r w:rsidR="00507948" w:rsidRPr="003171CD">
        <w:rPr>
          <w:rFonts w:cs="Arial"/>
          <w:bCs/>
          <w:szCs w:val="22"/>
          <w:lang w:val="en-US"/>
        </w:rPr>
        <w:t xml:space="preserve">the </w:t>
      </w:r>
      <w:r w:rsidR="0035325B" w:rsidRPr="003171CD">
        <w:rPr>
          <w:lang w:val="en-US"/>
        </w:rPr>
        <w:t>factual framework submitted to the Court’s consideration by the</w:t>
      </w:r>
      <w:r w:rsidR="0035325B" w:rsidRPr="003171CD">
        <w:rPr>
          <w:rFonts w:cs="Arial"/>
          <w:bCs/>
          <w:szCs w:val="22"/>
          <w:lang w:val="en-US"/>
        </w:rPr>
        <w:t xml:space="preserve"> </w:t>
      </w:r>
      <w:r w:rsidR="005A65CE" w:rsidRPr="003171CD">
        <w:rPr>
          <w:rFonts w:cs="Arial"/>
          <w:bCs/>
          <w:szCs w:val="22"/>
          <w:lang w:val="en-US"/>
        </w:rPr>
        <w:t xml:space="preserve">Inter-American Commission, the </w:t>
      </w:r>
      <w:r w:rsidR="0035325B" w:rsidRPr="003171CD">
        <w:rPr>
          <w:rFonts w:cs="Arial"/>
          <w:bCs/>
          <w:szCs w:val="22"/>
          <w:lang w:val="en-US"/>
        </w:rPr>
        <w:t xml:space="preserve">State’s </w:t>
      </w:r>
      <w:r w:rsidR="005A65CE" w:rsidRPr="003171CD">
        <w:rPr>
          <w:rFonts w:cs="Arial"/>
          <w:bCs/>
          <w:szCs w:val="22"/>
          <w:lang w:val="en-US"/>
        </w:rPr>
        <w:t>acknowledgment of responsibility and the body of evidence.</w:t>
      </w:r>
    </w:p>
    <w:p w14:paraId="47B588CB" w14:textId="77777777" w:rsidR="005A65CE" w:rsidRPr="003171CD" w:rsidRDefault="005A65CE" w:rsidP="005A65CE">
      <w:pPr>
        <w:jc w:val="both"/>
        <w:rPr>
          <w:rFonts w:cs="Arial"/>
          <w:snapToGrid/>
          <w:lang w:val="en-US" w:eastAsia="en-US"/>
        </w:rPr>
      </w:pPr>
    </w:p>
    <w:p w14:paraId="1A4DB156" w14:textId="77777777" w:rsidR="005A65CE" w:rsidRPr="003171CD" w:rsidRDefault="005A65CE" w:rsidP="005A65CE">
      <w:pPr>
        <w:pStyle w:val="Prrafodelista"/>
        <w:keepNext/>
        <w:keepLines/>
        <w:numPr>
          <w:ilvl w:val="0"/>
          <w:numId w:val="16"/>
        </w:numPr>
        <w:ind w:left="1418" w:hanging="709"/>
        <w:jc w:val="both"/>
        <w:outlineLvl w:val="1"/>
        <w:rPr>
          <w:rFonts w:cs="Arial"/>
          <w:b/>
          <w:i/>
          <w:lang w:val="en-US"/>
        </w:rPr>
      </w:pPr>
      <w:bookmarkStart w:id="32" w:name="_Toc45186699"/>
      <w:r w:rsidRPr="003171CD">
        <w:rPr>
          <w:rFonts w:cs="Arial"/>
          <w:b/>
          <w:i/>
          <w:lang w:val="en-US"/>
        </w:rPr>
        <w:t>Background to the case</w:t>
      </w:r>
      <w:bookmarkEnd w:id="29"/>
      <w:bookmarkEnd w:id="30"/>
      <w:bookmarkEnd w:id="32"/>
    </w:p>
    <w:p w14:paraId="3198DEB3" w14:textId="77777777" w:rsidR="005A65CE" w:rsidRPr="003171CD" w:rsidRDefault="005A65CE" w:rsidP="005A65CE">
      <w:pPr>
        <w:jc w:val="both"/>
        <w:rPr>
          <w:rFonts w:cs="Arial"/>
          <w:snapToGrid/>
          <w:lang w:val="en-US" w:eastAsia="en-US"/>
        </w:rPr>
      </w:pPr>
    </w:p>
    <w:p w14:paraId="50A4442E"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the evening of Augus</w:t>
      </w:r>
      <w:r w:rsidR="0035325B" w:rsidRPr="003171CD">
        <w:rPr>
          <w:rFonts w:cs="Arial"/>
          <w:lang w:val="en-US"/>
        </w:rPr>
        <w:t>t 22, 2000, at approximately 19:</w:t>
      </w:r>
      <w:r w:rsidRPr="003171CD">
        <w:rPr>
          <w:rFonts w:cs="Arial"/>
          <w:lang w:val="en-US"/>
        </w:rPr>
        <w:t xml:space="preserve">15, Mr. Jaime Ernesto Rodríguez Marroquín was driving a </w:t>
      </w:r>
      <w:r w:rsidR="00E16D31" w:rsidRPr="003171CD">
        <w:rPr>
          <w:rFonts w:cs="Arial"/>
          <w:lang w:val="en-US"/>
        </w:rPr>
        <w:t xml:space="preserve">public </w:t>
      </w:r>
      <w:r w:rsidRPr="003171CD">
        <w:rPr>
          <w:rFonts w:cs="Arial"/>
          <w:lang w:val="en-US"/>
        </w:rPr>
        <w:t>transport bus from the capital, San Salvado</w:t>
      </w:r>
      <w:r w:rsidR="0035325B" w:rsidRPr="003171CD">
        <w:rPr>
          <w:rFonts w:cs="Arial"/>
          <w:lang w:val="en-US"/>
        </w:rPr>
        <w:t>r, to the city of Tonacatepeque.</w:t>
      </w:r>
      <w:r w:rsidRPr="003171CD">
        <w:rPr>
          <w:rFonts w:cs="Arial"/>
          <w:lang w:val="en-US"/>
        </w:rPr>
        <w:t xml:space="preserve"> </w:t>
      </w:r>
      <w:r w:rsidR="0035325B" w:rsidRPr="003171CD">
        <w:rPr>
          <w:rFonts w:cs="Arial"/>
          <w:lang w:val="en-US"/>
        </w:rPr>
        <w:t xml:space="preserve">As he drove along the route, he was approached by </w:t>
      </w:r>
      <w:r w:rsidRPr="003171CD">
        <w:rPr>
          <w:rFonts w:cs="Arial"/>
          <w:lang w:val="en-US"/>
        </w:rPr>
        <w:t xml:space="preserve">three men who were traveling </w:t>
      </w:r>
      <w:r w:rsidR="0035325B" w:rsidRPr="003171CD">
        <w:rPr>
          <w:rFonts w:cs="Arial"/>
          <w:lang w:val="en-US"/>
        </w:rPr>
        <w:t xml:space="preserve">on </w:t>
      </w:r>
      <w:r w:rsidRPr="003171CD">
        <w:rPr>
          <w:rFonts w:cs="Arial"/>
          <w:lang w:val="en-US"/>
        </w:rPr>
        <w:t>th</w:t>
      </w:r>
      <w:r w:rsidR="0035325B" w:rsidRPr="003171CD">
        <w:rPr>
          <w:rFonts w:cs="Arial"/>
          <w:lang w:val="en-US"/>
        </w:rPr>
        <w:t xml:space="preserve">e </w:t>
      </w:r>
      <w:r w:rsidRPr="003171CD">
        <w:rPr>
          <w:rFonts w:cs="Arial"/>
          <w:lang w:val="en-US"/>
        </w:rPr>
        <w:t xml:space="preserve">bus who pointed a gun at the fare collector, </w:t>
      </w:r>
      <w:r w:rsidR="0035325B" w:rsidRPr="003171CD">
        <w:rPr>
          <w:rFonts w:cs="Arial"/>
          <w:lang w:val="en-US"/>
        </w:rPr>
        <w:t xml:space="preserve">and </w:t>
      </w:r>
      <w:r w:rsidRPr="003171CD">
        <w:rPr>
          <w:rFonts w:cs="Arial"/>
          <w:lang w:val="en-US"/>
        </w:rPr>
        <w:t xml:space="preserve">ordered </w:t>
      </w:r>
      <w:r w:rsidR="0035325B" w:rsidRPr="003171CD">
        <w:rPr>
          <w:rFonts w:cs="Arial"/>
          <w:lang w:val="en-US"/>
        </w:rPr>
        <w:t xml:space="preserve">him </w:t>
      </w:r>
      <w:r w:rsidRPr="003171CD">
        <w:rPr>
          <w:rFonts w:cs="Arial"/>
          <w:lang w:val="en-US"/>
        </w:rPr>
        <w:t xml:space="preserve">to stop the vehicle. Mr. Rodríguez Marroquín was then forced to get </w:t>
      </w:r>
      <w:r w:rsidR="004A4243" w:rsidRPr="003171CD">
        <w:rPr>
          <w:rFonts w:cs="Arial"/>
          <w:lang w:val="en-US"/>
        </w:rPr>
        <w:t>off the bus</w:t>
      </w:r>
      <w:r w:rsidRPr="003171CD">
        <w:rPr>
          <w:vertAlign w:val="superscript"/>
          <w:lang w:val="en-US"/>
        </w:rPr>
        <w:footnoteReference w:id="36"/>
      </w:r>
      <w:r w:rsidRPr="003171CD">
        <w:rPr>
          <w:rFonts w:cs="Arial"/>
          <w:lang w:val="en-US"/>
        </w:rPr>
        <w:t xml:space="preserve"> and </w:t>
      </w:r>
      <w:r w:rsidR="00E77EF7" w:rsidRPr="003171CD">
        <w:rPr>
          <w:rFonts w:cs="Arial"/>
          <w:lang w:val="en-US"/>
        </w:rPr>
        <w:t xml:space="preserve">was </w:t>
      </w:r>
      <w:r w:rsidR="00A202DE" w:rsidRPr="003171CD">
        <w:rPr>
          <w:rFonts w:cs="Arial"/>
          <w:lang w:val="en-US"/>
        </w:rPr>
        <w:t xml:space="preserve">then </w:t>
      </w:r>
      <w:r w:rsidR="00E77EF7" w:rsidRPr="003171CD">
        <w:rPr>
          <w:rFonts w:cs="Arial"/>
          <w:lang w:val="en-US"/>
        </w:rPr>
        <w:t xml:space="preserve">driven away in </w:t>
      </w:r>
      <w:r w:rsidR="004A4243" w:rsidRPr="003171CD">
        <w:rPr>
          <w:rFonts w:cs="Arial"/>
          <w:lang w:val="en-US"/>
        </w:rPr>
        <w:t xml:space="preserve">a </w:t>
      </w:r>
      <w:r w:rsidRPr="003171CD">
        <w:rPr>
          <w:rFonts w:cs="Arial"/>
          <w:lang w:val="en-US"/>
        </w:rPr>
        <w:t>station wagon</w:t>
      </w:r>
      <w:r w:rsidR="00E77EF7" w:rsidRPr="003171CD">
        <w:rPr>
          <w:rFonts w:cs="Arial"/>
          <w:lang w:val="en-US"/>
        </w:rPr>
        <w:t xml:space="preserve">. He was later taken on foot </w:t>
      </w:r>
      <w:r w:rsidRPr="003171CD">
        <w:rPr>
          <w:rFonts w:cs="Arial"/>
          <w:lang w:val="en-US"/>
        </w:rPr>
        <w:t xml:space="preserve">to a </w:t>
      </w:r>
      <w:r w:rsidR="004A4243" w:rsidRPr="003171CD">
        <w:rPr>
          <w:rFonts w:cs="Arial"/>
          <w:lang w:val="en-US"/>
        </w:rPr>
        <w:t xml:space="preserve">deserted rural </w:t>
      </w:r>
      <w:r w:rsidRPr="003171CD">
        <w:rPr>
          <w:rFonts w:cs="Arial"/>
          <w:lang w:val="en-US"/>
        </w:rPr>
        <w:t>area</w:t>
      </w:r>
      <w:r w:rsidR="00394DBE" w:rsidRPr="003171CD">
        <w:rPr>
          <w:rFonts w:cs="Arial"/>
          <w:lang w:val="en-US"/>
        </w:rPr>
        <w:t>.</w:t>
      </w:r>
      <w:r w:rsidRPr="003171CD">
        <w:rPr>
          <w:vertAlign w:val="superscript"/>
          <w:lang w:val="en-US"/>
        </w:rPr>
        <w:footnoteReference w:id="37"/>
      </w:r>
    </w:p>
    <w:p w14:paraId="48D879AB" w14:textId="77777777" w:rsidR="005A65CE" w:rsidRPr="003171CD" w:rsidRDefault="005A65CE" w:rsidP="005A65CE">
      <w:pPr>
        <w:jc w:val="both"/>
        <w:rPr>
          <w:rFonts w:cs="Arial"/>
          <w:snapToGrid/>
          <w:lang w:val="en-US" w:eastAsia="en-US"/>
        </w:rPr>
      </w:pPr>
    </w:p>
    <w:p w14:paraId="33C0709C" w14:textId="77777777" w:rsidR="005A65CE" w:rsidRPr="003171CD" w:rsidRDefault="003F2220"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August 23, 2000, </w:t>
      </w:r>
      <w:r w:rsidR="005A65CE" w:rsidRPr="003171CD">
        <w:rPr>
          <w:rFonts w:cs="Arial"/>
          <w:lang w:val="en-US"/>
        </w:rPr>
        <w:t>Mr. Mauricio Antonio Torres Mejía, who worked as a fare collector on that bus, went to the house of Mr. Rodríguez Marroquín</w:t>
      </w:r>
      <w:r w:rsidR="00E77EF7" w:rsidRPr="003171CD">
        <w:rPr>
          <w:rFonts w:cs="Arial"/>
          <w:lang w:val="en-US"/>
        </w:rPr>
        <w:t>’s brother</w:t>
      </w:r>
      <w:r w:rsidR="005A65CE" w:rsidRPr="003171CD">
        <w:rPr>
          <w:rFonts w:cs="Arial"/>
          <w:lang w:val="en-US"/>
        </w:rPr>
        <w:t xml:space="preserve"> </w:t>
      </w:r>
      <w:r w:rsidR="00E77EF7" w:rsidRPr="003171CD">
        <w:rPr>
          <w:rFonts w:cs="Arial"/>
          <w:lang w:val="en-US"/>
        </w:rPr>
        <w:t xml:space="preserve">to tell him </w:t>
      </w:r>
      <w:r w:rsidR="005A65CE" w:rsidRPr="003171CD">
        <w:rPr>
          <w:rFonts w:cs="Arial"/>
          <w:lang w:val="en-US"/>
        </w:rPr>
        <w:t>what had happened.</w:t>
      </w:r>
      <w:r w:rsidRPr="003171CD">
        <w:rPr>
          <w:rFonts w:cs="Arial"/>
          <w:lang w:val="en-US"/>
        </w:rPr>
        <w:t xml:space="preserve"> Based on that account, the </w:t>
      </w:r>
      <w:r w:rsidR="00A202DE" w:rsidRPr="003171CD">
        <w:rPr>
          <w:rFonts w:cs="Arial"/>
          <w:lang w:val="en-US"/>
        </w:rPr>
        <w:t xml:space="preserve">victim’s </w:t>
      </w:r>
      <w:r w:rsidRPr="003171CD">
        <w:rPr>
          <w:rFonts w:cs="Arial"/>
          <w:lang w:val="en-US"/>
        </w:rPr>
        <w:t xml:space="preserve">brother </w:t>
      </w:r>
      <w:r w:rsidR="005A65CE" w:rsidRPr="003171CD">
        <w:rPr>
          <w:rFonts w:cs="Arial"/>
          <w:lang w:val="en-US"/>
        </w:rPr>
        <w:t>report</w:t>
      </w:r>
      <w:r w:rsidRPr="003171CD">
        <w:rPr>
          <w:rFonts w:cs="Arial"/>
          <w:lang w:val="en-US"/>
        </w:rPr>
        <w:t xml:space="preserve">ed </w:t>
      </w:r>
      <w:r w:rsidR="005A65CE" w:rsidRPr="003171CD">
        <w:rPr>
          <w:rFonts w:cs="Arial"/>
          <w:lang w:val="en-US"/>
        </w:rPr>
        <w:t xml:space="preserve">the kidnapping of Mr. Rodríguez Marroquín </w:t>
      </w:r>
      <w:r w:rsidRPr="003171CD">
        <w:rPr>
          <w:rFonts w:cs="Arial"/>
          <w:lang w:val="en-US"/>
        </w:rPr>
        <w:t xml:space="preserve">to </w:t>
      </w:r>
      <w:r w:rsidR="005A65CE" w:rsidRPr="003171CD">
        <w:rPr>
          <w:rFonts w:cs="Arial"/>
          <w:lang w:val="en-US"/>
        </w:rPr>
        <w:t>the Criminal Investigation Division of the National Civil Police</w:t>
      </w:r>
      <w:r w:rsidR="00535878" w:rsidRPr="003171CD">
        <w:rPr>
          <w:rFonts w:cs="Arial"/>
          <w:lang w:val="en-US"/>
        </w:rPr>
        <w:t>.</w:t>
      </w:r>
      <w:r w:rsidR="005A65CE" w:rsidRPr="003171CD">
        <w:rPr>
          <w:vertAlign w:val="superscript"/>
          <w:lang w:val="en-US"/>
        </w:rPr>
        <w:footnoteReference w:id="38"/>
      </w:r>
      <w:r w:rsidRPr="003171CD">
        <w:rPr>
          <w:rFonts w:cs="Arial"/>
          <w:lang w:val="en-US"/>
        </w:rPr>
        <w:t xml:space="preserve"> That same day, </w:t>
      </w:r>
      <w:r w:rsidR="005A65CE" w:rsidRPr="003171CD">
        <w:rPr>
          <w:rFonts w:cs="Arial"/>
          <w:lang w:val="en-US"/>
        </w:rPr>
        <w:t>the kidnappers called Mr. Rodríguez Marroquín’s family and demanded money in exchange for his release.</w:t>
      </w:r>
      <w:r w:rsidR="005A65CE" w:rsidRPr="003171CD">
        <w:rPr>
          <w:vertAlign w:val="superscript"/>
          <w:lang w:val="en-US"/>
        </w:rPr>
        <w:footnoteReference w:id="39"/>
      </w:r>
    </w:p>
    <w:p w14:paraId="78ACE231" w14:textId="77777777" w:rsidR="005A65CE" w:rsidRPr="003171CD" w:rsidRDefault="005A65CE" w:rsidP="005A65CE">
      <w:pPr>
        <w:jc w:val="both"/>
        <w:rPr>
          <w:rFonts w:cs="Arial"/>
          <w:snapToGrid/>
          <w:lang w:val="en-US" w:eastAsia="en-US"/>
        </w:rPr>
      </w:pPr>
    </w:p>
    <w:p w14:paraId="1B6E639F"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lastRenderedPageBreak/>
        <w:t xml:space="preserve">On August 26, 2000, Mr. Rodríguez Marroquín was </w:t>
      </w:r>
      <w:r w:rsidR="003F2220" w:rsidRPr="003171CD">
        <w:rPr>
          <w:rFonts w:cs="Arial"/>
          <w:lang w:val="en-US"/>
        </w:rPr>
        <w:t xml:space="preserve">set free </w:t>
      </w:r>
      <w:r w:rsidRPr="003171CD">
        <w:rPr>
          <w:rFonts w:cs="Arial"/>
          <w:lang w:val="en-US"/>
        </w:rPr>
        <w:t>by the kidnappers.</w:t>
      </w:r>
      <w:r w:rsidRPr="003171CD">
        <w:rPr>
          <w:vertAlign w:val="superscript"/>
          <w:lang w:val="en-US"/>
        </w:rPr>
        <w:footnoteReference w:id="40"/>
      </w:r>
      <w:r w:rsidRPr="003171CD">
        <w:rPr>
          <w:rFonts w:cs="Arial"/>
          <w:lang w:val="en-US"/>
        </w:rPr>
        <w:t xml:space="preserve"> In the days that followed, after receiving th</w:t>
      </w:r>
      <w:r w:rsidR="003F2220" w:rsidRPr="003171CD">
        <w:rPr>
          <w:rFonts w:cs="Arial"/>
          <w:lang w:val="en-US"/>
        </w:rPr>
        <w:t>reats by telephone, he paid the kidnappers</w:t>
      </w:r>
      <w:r w:rsidRPr="003171CD">
        <w:rPr>
          <w:rFonts w:cs="Arial"/>
          <w:lang w:val="en-US"/>
        </w:rPr>
        <w:t xml:space="preserve"> the sum of fifty thousand colones.</w:t>
      </w:r>
      <w:r w:rsidRPr="003171CD">
        <w:rPr>
          <w:vertAlign w:val="superscript"/>
          <w:lang w:val="en-US"/>
        </w:rPr>
        <w:footnoteReference w:id="41"/>
      </w:r>
    </w:p>
    <w:p w14:paraId="74F07AF0" w14:textId="77777777" w:rsidR="005A65CE" w:rsidRPr="003171CD" w:rsidRDefault="005A65CE" w:rsidP="005A65CE">
      <w:pPr>
        <w:jc w:val="both"/>
        <w:rPr>
          <w:rFonts w:cs="Arial"/>
          <w:snapToGrid/>
          <w:lang w:val="en-US" w:eastAsia="en-US"/>
        </w:rPr>
      </w:pPr>
    </w:p>
    <w:p w14:paraId="48A94186" w14:textId="77777777" w:rsidR="005A65CE" w:rsidRPr="003171CD" w:rsidRDefault="00B92421" w:rsidP="005A65CE">
      <w:pPr>
        <w:pStyle w:val="Prrafodelista"/>
        <w:keepNext/>
        <w:keepLines/>
        <w:numPr>
          <w:ilvl w:val="0"/>
          <w:numId w:val="16"/>
        </w:numPr>
        <w:ind w:left="1418" w:hanging="709"/>
        <w:jc w:val="both"/>
        <w:outlineLvl w:val="1"/>
        <w:rPr>
          <w:rFonts w:cs="Arial"/>
          <w:b/>
          <w:i/>
          <w:lang w:val="en-US"/>
        </w:rPr>
      </w:pPr>
      <w:bookmarkStart w:id="33" w:name="_Toc45186700"/>
      <w:r w:rsidRPr="003171CD">
        <w:rPr>
          <w:rFonts w:cs="Arial"/>
          <w:b/>
          <w:i/>
          <w:lang w:val="en-US"/>
        </w:rPr>
        <w:t xml:space="preserve">Linking </w:t>
      </w:r>
      <w:r w:rsidR="00A202DE" w:rsidRPr="003171CD">
        <w:rPr>
          <w:rFonts w:cs="Arial"/>
          <w:b/>
          <w:i/>
          <w:lang w:val="en-US"/>
        </w:rPr>
        <w:t xml:space="preserve">of </w:t>
      </w:r>
      <w:r w:rsidR="005A65CE" w:rsidRPr="003171CD">
        <w:rPr>
          <w:rFonts w:cs="Arial"/>
          <w:b/>
          <w:i/>
          <w:lang w:val="en-US"/>
        </w:rPr>
        <w:t>José Agapito Ruano Torres</w:t>
      </w:r>
      <w:r w:rsidRPr="003171CD">
        <w:rPr>
          <w:rFonts w:cs="Arial"/>
          <w:b/>
          <w:i/>
          <w:lang w:val="en-US"/>
        </w:rPr>
        <w:t xml:space="preserve"> to the criminal investigation</w:t>
      </w:r>
      <w:r w:rsidR="005A65CE" w:rsidRPr="003171CD">
        <w:rPr>
          <w:rFonts w:cs="Arial"/>
          <w:b/>
          <w:i/>
          <w:lang w:val="en-US"/>
        </w:rPr>
        <w:t xml:space="preserve"> </w:t>
      </w:r>
      <w:bookmarkEnd w:id="33"/>
    </w:p>
    <w:p w14:paraId="204380BB" w14:textId="77777777" w:rsidR="005A65CE" w:rsidRPr="003171CD" w:rsidRDefault="005A65CE" w:rsidP="005A65CE">
      <w:pPr>
        <w:jc w:val="both"/>
        <w:rPr>
          <w:rFonts w:cs="Arial"/>
          <w:snapToGrid/>
          <w:lang w:val="en-US" w:eastAsia="en-US"/>
        </w:rPr>
      </w:pPr>
    </w:p>
    <w:p w14:paraId="58AE519C"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October 9, 2000</w:t>
      </w:r>
      <w:r w:rsidR="00850665" w:rsidRPr="003171CD">
        <w:rPr>
          <w:rFonts w:cs="Arial"/>
          <w:lang w:val="en-US"/>
        </w:rPr>
        <w:t>,</w:t>
      </w:r>
      <w:r w:rsidRPr="003171CD">
        <w:rPr>
          <w:rFonts w:cs="Arial"/>
          <w:lang w:val="en-US"/>
        </w:rPr>
        <w:t xml:space="preserve"> the Criminal Investigation Division of the National Civil Police interviewed Francisco Javier Amaya Villalta, who was </w:t>
      </w:r>
      <w:r w:rsidR="00850665" w:rsidRPr="003171CD">
        <w:rPr>
          <w:rFonts w:cs="Arial"/>
          <w:lang w:val="en-US"/>
        </w:rPr>
        <w:t xml:space="preserve">being detained for </w:t>
      </w:r>
      <w:r w:rsidR="00151CD1" w:rsidRPr="003171CD">
        <w:rPr>
          <w:rFonts w:cs="Arial"/>
          <w:lang w:val="en-US"/>
        </w:rPr>
        <w:t xml:space="preserve">the crime of </w:t>
      </w:r>
      <w:r w:rsidR="00B24089" w:rsidRPr="003171CD">
        <w:rPr>
          <w:rFonts w:cs="Arial"/>
          <w:lang w:val="en-US"/>
        </w:rPr>
        <w:t>extortion</w:t>
      </w:r>
      <w:r w:rsidRPr="003171CD">
        <w:rPr>
          <w:rFonts w:cs="Arial"/>
          <w:lang w:val="en-US"/>
        </w:rPr>
        <w:t xml:space="preserve"> against a </w:t>
      </w:r>
      <w:r w:rsidR="00850665" w:rsidRPr="003171CD">
        <w:rPr>
          <w:rFonts w:cs="Arial"/>
          <w:lang w:val="en-US"/>
        </w:rPr>
        <w:t xml:space="preserve">member of a </w:t>
      </w:r>
      <w:r w:rsidRPr="003171CD">
        <w:rPr>
          <w:rFonts w:cs="Arial"/>
          <w:lang w:val="en-US"/>
        </w:rPr>
        <w:t>cooperative</w:t>
      </w:r>
      <w:r w:rsidR="00850665" w:rsidRPr="003171CD">
        <w:rPr>
          <w:rFonts w:cs="Arial"/>
          <w:lang w:val="en-US"/>
        </w:rPr>
        <w:t>.</w:t>
      </w:r>
      <w:r w:rsidRPr="003171CD">
        <w:rPr>
          <w:rFonts w:cs="Arial"/>
          <w:lang w:val="en-US"/>
        </w:rPr>
        <w:t xml:space="preserve"> </w:t>
      </w:r>
      <w:r w:rsidR="00850665" w:rsidRPr="003171CD">
        <w:rPr>
          <w:rFonts w:cs="Arial"/>
          <w:lang w:val="en-US"/>
        </w:rPr>
        <w:t xml:space="preserve">Mr. Amaya Villalta </w:t>
      </w:r>
      <w:r w:rsidRPr="003171CD">
        <w:rPr>
          <w:rFonts w:cs="Arial"/>
          <w:lang w:val="en-US"/>
        </w:rPr>
        <w:t xml:space="preserve">claimed to have information </w:t>
      </w:r>
      <w:r w:rsidR="00850665" w:rsidRPr="003171CD">
        <w:rPr>
          <w:rFonts w:cs="Arial"/>
          <w:lang w:val="en-US"/>
        </w:rPr>
        <w:t xml:space="preserve">regarding </w:t>
      </w:r>
      <w:r w:rsidRPr="003171CD">
        <w:rPr>
          <w:rFonts w:cs="Arial"/>
          <w:lang w:val="en-US"/>
        </w:rPr>
        <w:t xml:space="preserve">the kidnapping of Jaime Ernesto Rodríguez Marroquín since he had also </w:t>
      </w:r>
      <w:r w:rsidR="00850665" w:rsidRPr="003171CD">
        <w:rPr>
          <w:rFonts w:cs="Arial"/>
          <w:lang w:val="en-US"/>
        </w:rPr>
        <w:t xml:space="preserve">taken part </w:t>
      </w:r>
      <w:r w:rsidRPr="003171CD">
        <w:rPr>
          <w:rFonts w:cs="Arial"/>
          <w:lang w:val="en-US"/>
        </w:rPr>
        <w:t>in th</w:t>
      </w:r>
      <w:r w:rsidR="00850665" w:rsidRPr="003171CD">
        <w:rPr>
          <w:rFonts w:cs="Arial"/>
          <w:lang w:val="en-US"/>
        </w:rPr>
        <w:t>e crime</w:t>
      </w:r>
      <w:r w:rsidRPr="003171CD">
        <w:rPr>
          <w:rFonts w:cs="Arial"/>
          <w:lang w:val="en-US"/>
        </w:rPr>
        <w:t>.</w:t>
      </w:r>
      <w:r w:rsidRPr="003171CD">
        <w:rPr>
          <w:vertAlign w:val="superscript"/>
          <w:lang w:val="en-US"/>
        </w:rPr>
        <w:footnoteReference w:id="42"/>
      </w:r>
      <w:r w:rsidRPr="003171CD">
        <w:rPr>
          <w:rFonts w:cs="Arial"/>
          <w:lang w:val="en-US"/>
        </w:rPr>
        <w:t xml:space="preserve"> In </w:t>
      </w:r>
      <w:r w:rsidR="00850665" w:rsidRPr="003171CD">
        <w:rPr>
          <w:rFonts w:cs="Arial"/>
          <w:lang w:val="en-US"/>
        </w:rPr>
        <w:t xml:space="preserve">his </w:t>
      </w:r>
      <w:r w:rsidR="00B24089" w:rsidRPr="003171CD">
        <w:rPr>
          <w:rFonts w:cs="Arial"/>
          <w:lang w:val="en-US"/>
        </w:rPr>
        <w:t>statement</w:t>
      </w:r>
      <w:r w:rsidR="00A202DE" w:rsidRPr="003171CD">
        <w:rPr>
          <w:rFonts w:cs="Arial"/>
          <w:lang w:val="en-US"/>
        </w:rPr>
        <w:t>,</w:t>
      </w:r>
      <w:r w:rsidR="00B24089" w:rsidRPr="003171CD">
        <w:rPr>
          <w:rFonts w:cs="Arial"/>
          <w:lang w:val="en-US"/>
        </w:rPr>
        <w:t xml:space="preserve"> </w:t>
      </w:r>
      <w:r w:rsidR="00850665" w:rsidRPr="003171CD">
        <w:rPr>
          <w:rFonts w:cs="Arial"/>
          <w:lang w:val="en-US"/>
        </w:rPr>
        <w:t xml:space="preserve">made at </w:t>
      </w:r>
      <w:r w:rsidRPr="003171CD">
        <w:rPr>
          <w:rFonts w:cs="Arial"/>
          <w:lang w:val="en-US"/>
        </w:rPr>
        <w:t>the Special Crimes Unit of the Office of the Attorney General of the Republic</w:t>
      </w:r>
      <w:r w:rsidR="00850665" w:rsidRPr="003171CD">
        <w:rPr>
          <w:rFonts w:cs="Arial"/>
          <w:lang w:val="en-US"/>
        </w:rPr>
        <w:t>,</w:t>
      </w:r>
      <w:r w:rsidRPr="003171CD">
        <w:rPr>
          <w:vertAlign w:val="superscript"/>
          <w:lang w:val="en-US"/>
        </w:rPr>
        <w:footnoteReference w:id="43"/>
      </w:r>
      <w:r w:rsidRPr="003171CD">
        <w:rPr>
          <w:rFonts w:cs="Arial"/>
          <w:lang w:val="en-US"/>
        </w:rPr>
        <w:t xml:space="preserve"> he </w:t>
      </w:r>
      <w:r w:rsidR="00850665" w:rsidRPr="003171CD">
        <w:rPr>
          <w:rFonts w:cs="Arial"/>
          <w:lang w:val="en-US"/>
        </w:rPr>
        <w:t xml:space="preserve">identified </w:t>
      </w:r>
      <w:r w:rsidRPr="003171CD">
        <w:rPr>
          <w:rFonts w:cs="Arial"/>
          <w:lang w:val="en-US"/>
        </w:rPr>
        <w:t xml:space="preserve">the persons who had allegedly </w:t>
      </w:r>
      <w:r w:rsidR="00850665" w:rsidRPr="003171CD">
        <w:rPr>
          <w:rFonts w:cs="Arial"/>
          <w:lang w:val="en-US"/>
        </w:rPr>
        <w:t xml:space="preserve">taken part </w:t>
      </w:r>
      <w:r w:rsidRPr="003171CD">
        <w:rPr>
          <w:rFonts w:cs="Arial"/>
          <w:lang w:val="en-US"/>
        </w:rPr>
        <w:t>in the kidnapping</w:t>
      </w:r>
      <w:r w:rsidR="00850665" w:rsidRPr="003171CD">
        <w:rPr>
          <w:rFonts w:cs="Arial"/>
          <w:lang w:val="en-US"/>
        </w:rPr>
        <w:t>, providing</w:t>
      </w:r>
      <w:r w:rsidRPr="003171CD">
        <w:rPr>
          <w:rFonts w:cs="Arial"/>
          <w:lang w:val="en-US"/>
        </w:rPr>
        <w:t xml:space="preserve"> </w:t>
      </w:r>
      <w:r w:rsidR="00850665" w:rsidRPr="003171CD">
        <w:rPr>
          <w:rFonts w:cs="Arial"/>
          <w:lang w:val="en-US"/>
        </w:rPr>
        <w:t xml:space="preserve">their </w:t>
      </w:r>
      <w:r w:rsidRPr="003171CD">
        <w:rPr>
          <w:rFonts w:cs="Arial"/>
          <w:lang w:val="en-US"/>
        </w:rPr>
        <w:t xml:space="preserve">names and surnames. </w:t>
      </w:r>
      <w:r w:rsidR="00C46B44" w:rsidRPr="003171CD">
        <w:rPr>
          <w:rFonts w:cs="Arial"/>
          <w:lang w:val="en-US"/>
        </w:rPr>
        <w:t xml:space="preserve">Mr. Amaya Villalta also </w:t>
      </w:r>
      <w:r w:rsidRPr="003171CD">
        <w:rPr>
          <w:rFonts w:cs="Arial"/>
          <w:lang w:val="en-US"/>
        </w:rPr>
        <w:t>mentioned an individual “kno</w:t>
      </w:r>
      <w:r w:rsidR="00B24089" w:rsidRPr="003171CD">
        <w:rPr>
          <w:rFonts w:cs="Arial"/>
          <w:lang w:val="en-US"/>
        </w:rPr>
        <w:t>wn</w:t>
      </w:r>
      <w:r w:rsidR="00C46B44" w:rsidRPr="003171CD">
        <w:rPr>
          <w:rFonts w:cs="Arial"/>
          <w:lang w:val="en-US"/>
        </w:rPr>
        <w:t xml:space="preserve"> only as `Chopo,</w:t>
      </w:r>
      <w:r w:rsidRPr="003171CD">
        <w:rPr>
          <w:rFonts w:cs="Arial"/>
          <w:lang w:val="en-US"/>
        </w:rPr>
        <w:t>” describ</w:t>
      </w:r>
      <w:r w:rsidR="00C46B44" w:rsidRPr="003171CD">
        <w:rPr>
          <w:rFonts w:cs="Arial"/>
          <w:lang w:val="en-US"/>
        </w:rPr>
        <w:t xml:space="preserve">ing him </w:t>
      </w:r>
      <w:r w:rsidRPr="003171CD">
        <w:rPr>
          <w:rFonts w:cs="Arial"/>
          <w:lang w:val="en-US"/>
        </w:rPr>
        <w:t>as a</w:t>
      </w:r>
      <w:r w:rsidR="00C46B44" w:rsidRPr="003171CD">
        <w:rPr>
          <w:rFonts w:cs="Arial"/>
          <w:lang w:val="en-US"/>
        </w:rPr>
        <w:t xml:space="preserve"> man aged </w:t>
      </w:r>
      <w:r w:rsidRPr="003171CD">
        <w:rPr>
          <w:rFonts w:cs="Arial"/>
          <w:lang w:val="en-US"/>
        </w:rPr>
        <w:t>24</w:t>
      </w:r>
      <w:r w:rsidR="00C46B44" w:rsidRPr="003171CD">
        <w:rPr>
          <w:rFonts w:cs="Arial"/>
          <w:lang w:val="en-US"/>
        </w:rPr>
        <w:t xml:space="preserve">, approximately </w:t>
      </w:r>
      <w:r w:rsidRPr="003171CD">
        <w:rPr>
          <w:rFonts w:cs="Arial"/>
          <w:lang w:val="en-US"/>
        </w:rPr>
        <w:t xml:space="preserve">1.55 meters </w:t>
      </w:r>
      <w:r w:rsidR="00C46B44" w:rsidRPr="003171CD">
        <w:rPr>
          <w:rFonts w:cs="Arial"/>
          <w:lang w:val="en-US"/>
        </w:rPr>
        <w:t>in height and who lived in “</w:t>
      </w:r>
      <w:r w:rsidR="00B24089" w:rsidRPr="003171CD">
        <w:rPr>
          <w:rFonts w:cs="Arial"/>
          <w:lang w:val="en-US"/>
        </w:rPr>
        <w:t>Canton</w:t>
      </w:r>
      <w:r w:rsidR="00C46B44" w:rsidRPr="003171CD">
        <w:rPr>
          <w:rFonts w:cs="Arial"/>
          <w:lang w:val="en-US"/>
        </w:rPr>
        <w:t xml:space="preserve"> Colón de</w:t>
      </w:r>
      <w:r w:rsidRPr="003171CD">
        <w:rPr>
          <w:rFonts w:cs="Arial"/>
          <w:lang w:val="en-US"/>
        </w:rPr>
        <w:t xml:space="preserve"> Guazapa</w:t>
      </w:r>
      <w:r w:rsidR="00D60AA3" w:rsidRPr="003171CD">
        <w:rPr>
          <w:rFonts w:cs="Arial"/>
          <w:lang w:val="en-US"/>
        </w:rPr>
        <w:t>.</w:t>
      </w:r>
      <w:r w:rsidR="00C46B44" w:rsidRPr="003171CD">
        <w:rPr>
          <w:rFonts w:cs="Arial"/>
          <w:lang w:val="en-US"/>
        </w:rPr>
        <w:t>”</w:t>
      </w:r>
      <w:r w:rsidR="00D60AA3" w:rsidRPr="003171CD">
        <w:rPr>
          <w:rFonts w:cs="Arial"/>
          <w:lang w:val="en-US"/>
        </w:rPr>
        <w:t xml:space="preserve"> </w:t>
      </w:r>
      <w:r w:rsidRPr="003171CD">
        <w:rPr>
          <w:vertAlign w:val="superscript"/>
          <w:lang w:val="en-US"/>
        </w:rPr>
        <w:footnoteReference w:id="44"/>
      </w:r>
    </w:p>
    <w:p w14:paraId="327DB90C" w14:textId="77777777" w:rsidR="005A65CE" w:rsidRPr="003171CD" w:rsidRDefault="005A65CE" w:rsidP="005A65CE">
      <w:pPr>
        <w:jc w:val="both"/>
        <w:rPr>
          <w:rFonts w:cs="Arial"/>
          <w:snapToGrid/>
          <w:lang w:val="en-US" w:eastAsia="en-US"/>
        </w:rPr>
      </w:pPr>
    </w:p>
    <w:p w14:paraId="1C30C000"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October 10, 2000</w:t>
      </w:r>
      <w:r w:rsidR="00A202DE" w:rsidRPr="003171CD">
        <w:rPr>
          <w:rFonts w:cs="Arial"/>
          <w:lang w:val="en-US"/>
        </w:rPr>
        <w:t>,</w:t>
      </w:r>
      <w:r w:rsidRPr="003171CD">
        <w:rPr>
          <w:rFonts w:cs="Arial"/>
          <w:lang w:val="en-US"/>
        </w:rPr>
        <w:t xml:space="preserve"> the </w:t>
      </w:r>
      <w:r w:rsidR="00B24089" w:rsidRPr="003171CD">
        <w:rPr>
          <w:rFonts w:cs="Arial"/>
          <w:lang w:val="en-US"/>
        </w:rPr>
        <w:t>investigator</w:t>
      </w:r>
      <w:r w:rsidRPr="003171CD">
        <w:rPr>
          <w:rFonts w:cs="Arial"/>
          <w:lang w:val="en-US"/>
        </w:rPr>
        <w:t xml:space="preserve"> in charge of the case and his assistant, both of the Criminal Investigation Division of the National Civil Police, </w:t>
      </w:r>
      <w:r w:rsidR="00C46B44" w:rsidRPr="003171CD">
        <w:rPr>
          <w:rFonts w:cs="Arial"/>
          <w:lang w:val="en-US"/>
        </w:rPr>
        <w:t xml:space="preserve">went to </w:t>
      </w:r>
      <w:r w:rsidRPr="003171CD">
        <w:rPr>
          <w:rFonts w:cs="Arial"/>
          <w:lang w:val="en-US"/>
        </w:rPr>
        <w:t xml:space="preserve">the department of Police Records and Archives </w:t>
      </w:r>
      <w:r w:rsidR="00C46B44" w:rsidRPr="003171CD">
        <w:rPr>
          <w:rFonts w:cs="Arial"/>
          <w:lang w:val="en-US"/>
        </w:rPr>
        <w:t xml:space="preserve">in order to </w:t>
      </w:r>
      <w:r w:rsidRPr="003171CD">
        <w:rPr>
          <w:rFonts w:cs="Arial"/>
          <w:lang w:val="en-US"/>
        </w:rPr>
        <w:t xml:space="preserve">obtain a certified photocopy of the personal files of two police officers indicated as possible </w:t>
      </w:r>
      <w:r w:rsidR="00C46B44" w:rsidRPr="003171CD">
        <w:rPr>
          <w:rFonts w:cs="Arial"/>
          <w:lang w:val="en-US"/>
        </w:rPr>
        <w:t xml:space="preserve">suspects in </w:t>
      </w:r>
      <w:r w:rsidRPr="003171CD">
        <w:rPr>
          <w:rFonts w:cs="Arial"/>
          <w:lang w:val="en-US"/>
        </w:rPr>
        <w:t>the crime</w:t>
      </w:r>
      <w:r w:rsidR="00C46B44" w:rsidRPr="003171CD">
        <w:rPr>
          <w:rFonts w:cs="Arial"/>
          <w:lang w:val="en-US"/>
        </w:rPr>
        <w:t>,</w:t>
      </w:r>
      <w:r w:rsidRPr="003171CD">
        <w:rPr>
          <w:rFonts w:cs="Arial"/>
          <w:lang w:val="en-US"/>
        </w:rPr>
        <w:t xml:space="preserve"> and </w:t>
      </w:r>
      <w:r w:rsidR="00C46B44" w:rsidRPr="003171CD">
        <w:rPr>
          <w:rFonts w:cs="Arial"/>
          <w:lang w:val="en-US"/>
        </w:rPr>
        <w:t xml:space="preserve">also visited the municipal government offices of the cities of Guazapa, Tonacatepeque and San José Guayabal, </w:t>
      </w:r>
      <w:r w:rsidRPr="003171CD">
        <w:rPr>
          <w:rFonts w:cs="Arial"/>
          <w:lang w:val="en-US"/>
        </w:rPr>
        <w:t xml:space="preserve">to collect the identity documents of the other </w:t>
      </w:r>
      <w:r w:rsidR="00C46B44" w:rsidRPr="003171CD">
        <w:rPr>
          <w:rFonts w:cs="Arial"/>
          <w:lang w:val="en-US"/>
        </w:rPr>
        <w:t xml:space="preserve">individuals </w:t>
      </w:r>
      <w:r w:rsidRPr="003171CD">
        <w:rPr>
          <w:rFonts w:cs="Arial"/>
          <w:lang w:val="en-US"/>
        </w:rPr>
        <w:t xml:space="preserve">named as alleged participants in the </w:t>
      </w:r>
      <w:r w:rsidR="00A202DE" w:rsidRPr="003171CD">
        <w:rPr>
          <w:rFonts w:cs="Arial"/>
          <w:lang w:val="en-US"/>
        </w:rPr>
        <w:t xml:space="preserve">kidnapping </w:t>
      </w:r>
      <w:r w:rsidRPr="003171CD">
        <w:rPr>
          <w:rFonts w:cs="Arial"/>
          <w:lang w:val="en-US"/>
        </w:rPr>
        <w:t>of Mr. Rodríguez Marroquín</w:t>
      </w:r>
      <w:r w:rsidR="00C46B44" w:rsidRPr="003171CD">
        <w:rPr>
          <w:rFonts w:cs="Arial"/>
          <w:lang w:val="en-US"/>
        </w:rPr>
        <w:t>.</w:t>
      </w:r>
      <w:r w:rsidRPr="003171CD">
        <w:rPr>
          <w:vertAlign w:val="superscript"/>
          <w:lang w:val="en-US"/>
        </w:rPr>
        <w:footnoteReference w:id="45"/>
      </w:r>
    </w:p>
    <w:p w14:paraId="15429426" w14:textId="77777777" w:rsidR="005A65CE" w:rsidRPr="003171CD" w:rsidRDefault="005A65CE" w:rsidP="005A65CE">
      <w:pPr>
        <w:jc w:val="both"/>
        <w:rPr>
          <w:rFonts w:cs="Arial"/>
          <w:snapToGrid/>
          <w:lang w:val="en-US" w:eastAsia="en-US"/>
        </w:rPr>
      </w:pPr>
    </w:p>
    <w:p w14:paraId="363A289B"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October 12, 2000, </w:t>
      </w:r>
      <w:r w:rsidR="00151CD1" w:rsidRPr="003171CD">
        <w:rPr>
          <w:rFonts w:cs="Arial"/>
          <w:lang w:val="en-US"/>
        </w:rPr>
        <w:t xml:space="preserve">after </w:t>
      </w:r>
      <w:r w:rsidR="00925791" w:rsidRPr="003171CD">
        <w:rPr>
          <w:rFonts w:cs="Arial"/>
          <w:lang w:val="en-US"/>
        </w:rPr>
        <w:t xml:space="preserve">confirming </w:t>
      </w:r>
      <w:r w:rsidRPr="003171CD">
        <w:rPr>
          <w:rFonts w:cs="Arial"/>
          <w:lang w:val="en-US"/>
        </w:rPr>
        <w:t xml:space="preserve">the information provided by Mr. Amaya Villalta, the Office of the Attorney General of the Republic </w:t>
      </w:r>
      <w:r w:rsidR="004343C0" w:rsidRPr="003171CD">
        <w:rPr>
          <w:rFonts w:cs="Arial"/>
          <w:lang w:val="en-US"/>
        </w:rPr>
        <w:t xml:space="preserve">requested that </w:t>
      </w:r>
      <w:r w:rsidRPr="003171CD">
        <w:rPr>
          <w:rFonts w:cs="Arial"/>
          <w:lang w:val="en-US"/>
        </w:rPr>
        <w:t xml:space="preserve">the Justice of the Peace of Tonacatepeque </w:t>
      </w:r>
      <w:r w:rsidR="004343C0" w:rsidRPr="003171CD">
        <w:rPr>
          <w:rFonts w:cs="Arial"/>
          <w:lang w:val="en-US"/>
        </w:rPr>
        <w:t xml:space="preserve">offer </w:t>
      </w:r>
      <w:r w:rsidR="00151CD1" w:rsidRPr="003171CD">
        <w:rPr>
          <w:rFonts w:cs="Arial"/>
          <w:lang w:val="en-US"/>
        </w:rPr>
        <w:t xml:space="preserve">him </w:t>
      </w:r>
      <w:r w:rsidR="004343C0" w:rsidRPr="003171CD">
        <w:rPr>
          <w:rFonts w:cs="Arial"/>
          <w:lang w:val="en-US"/>
        </w:rPr>
        <w:t xml:space="preserve">a plea bargain to avoid </w:t>
      </w:r>
      <w:r w:rsidR="00925791" w:rsidRPr="003171CD">
        <w:rPr>
          <w:rFonts w:cs="Arial"/>
          <w:lang w:val="en-US"/>
        </w:rPr>
        <w:t>a</w:t>
      </w:r>
      <w:r w:rsidR="00151CD1" w:rsidRPr="003171CD">
        <w:rPr>
          <w:rFonts w:cs="Arial"/>
          <w:lang w:val="en-US"/>
        </w:rPr>
        <w:t xml:space="preserve"> </w:t>
      </w:r>
      <w:r w:rsidR="004343C0" w:rsidRPr="003171CD">
        <w:rPr>
          <w:rFonts w:cs="Arial"/>
          <w:lang w:val="en-US"/>
        </w:rPr>
        <w:t>criminal action against him, given his intention to cooperate</w:t>
      </w:r>
      <w:r w:rsidR="00B24089" w:rsidRPr="003171CD">
        <w:rPr>
          <w:rFonts w:cs="Arial"/>
          <w:lang w:val="en-US"/>
        </w:rPr>
        <w:t xml:space="preserve"> </w:t>
      </w:r>
      <w:r w:rsidRPr="003171CD">
        <w:rPr>
          <w:rFonts w:cs="Arial"/>
          <w:lang w:val="en-US"/>
        </w:rPr>
        <w:t>in</w:t>
      </w:r>
      <w:r w:rsidR="004343C0" w:rsidRPr="003171CD">
        <w:rPr>
          <w:rFonts w:cs="Arial"/>
          <w:lang w:val="en-US"/>
        </w:rPr>
        <w:t xml:space="preserve"> the investigation of </w:t>
      </w:r>
      <w:r w:rsidRPr="003171CD">
        <w:rPr>
          <w:rFonts w:cs="Arial"/>
          <w:lang w:val="en-US"/>
        </w:rPr>
        <w:t>Mr.</w:t>
      </w:r>
      <w:r w:rsidR="00B24089" w:rsidRPr="003171CD">
        <w:rPr>
          <w:rFonts w:cs="Arial"/>
          <w:lang w:val="en-US"/>
        </w:rPr>
        <w:t xml:space="preserve"> Rodríguez Marroquín</w:t>
      </w:r>
      <w:r w:rsidR="00925791" w:rsidRPr="003171CD">
        <w:rPr>
          <w:rFonts w:cs="Arial"/>
          <w:lang w:val="en-US"/>
        </w:rPr>
        <w:t>’s kidnapping</w:t>
      </w:r>
      <w:r w:rsidR="003C0DEB" w:rsidRPr="003171CD">
        <w:rPr>
          <w:rFonts w:cs="Arial"/>
          <w:lang w:val="en-US"/>
        </w:rPr>
        <w:t>, and establishing</w:t>
      </w:r>
      <w:r w:rsidRPr="003171CD">
        <w:rPr>
          <w:rFonts w:cs="Arial"/>
          <w:lang w:val="en-US"/>
        </w:rPr>
        <w:t xml:space="preserve"> </w:t>
      </w:r>
      <w:r w:rsidR="003C0DEB" w:rsidRPr="003171CD">
        <w:rPr>
          <w:rFonts w:cs="Arial"/>
          <w:lang w:val="en-US"/>
        </w:rPr>
        <w:t>a</w:t>
      </w:r>
      <w:r w:rsidR="004343C0" w:rsidRPr="003171CD">
        <w:rPr>
          <w:rFonts w:cs="Arial"/>
          <w:lang w:val="en-US"/>
        </w:rPr>
        <w:t xml:space="preserve">s a condition of </w:t>
      </w:r>
      <w:r w:rsidR="008243ED" w:rsidRPr="003171CD">
        <w:rPr>
          <w:rFonts w:cs="Arial"/>
          <w:lang w:val="en-US"/>
        </w:rPr>
        <w:t xml:space="preserve">the </w:t>
      </w:r>
      <w:r w:rsidR="004343C0" w:rsidRPr="003171CD">
        <w:rPr>
          <w:rFonts w:cs="Arial"/>
          <w:lang w:val="en-US"/>
        </w:rPr>
        <w:t>deal</w:t>
      </w:r>
      <w:r w:rsidR="003C0DEB" w:rsidRPr="003171CD">
        <w:rPr>
          <w:rFonts w:cs="Arial"/>
          <w:lang w:val="en-US"/>
        </w:rPr>
        <w:t xml:space="preserve"> that</w:t>
      </w:r>
      <w:r w:rsidR="004343C0" w:rsidRPr="003171CD">
        <w:rPr>
          <w:rFonts w:cs="Arial"/>
          <w:lang w:val="en-US"/>
        </w:rPr>
        <w:t xml:space="preserve"> Mr. Amaya Villalta </w:t>
      </w:r>
      <w:r w:rsidR="00614B55" w:rsidRPr="003171CD">
        <w:rPr>
          <w:rFonts w:cs="Arial"/>
          <w:lang w:val="en-US"/>
        </w:rPr>
        <w:t xml:space="preserve">provide a verbal description </w:t>
      </w:r>
      <w:r w:rsidRPr="003171CD">
        <w:rPr>
          <w:rFonts w:cs="Arial"/>
          <w:lang w:val="en-US"/>
        </w:rPr>
        <w:t xml:space="preserve">of the person </w:t>
      </w:r>
      <w:r w:rsidR="008243ED" w:rsidRPr="003171CD">
        <w:rPr>
          <w:rFonts w:cs="Arial"/>
          <w:lang w:val="en-US"/>
        </w:rPr>
        <w:t xml:space="preserve">nicknamed </w:t>
      </w:r>
      <w:r w:rsidR="00A96DF3" w:rsidRPr="003171CD">
        <w:rPr>
          <w:rFonts w:cs="Arial"/>
          <w:i/>
          <w:lang w:val="en-US"/>
        </w:rPr>
        <w:t>Chopo</w:t>
      </w:r>
      <w:r w:rsidRPr="003171CD">
        <w:rPr>
          <w:rFonts w:cs="Arial"/>
          <w:lang w:val="en-US"/>
        </w:rPr>
        <w:t xml:space="preserve"> in order to identify him.</w:t>
      </w:r>
      <w:r w:rsidRPr="003171CD">
        <w:rPr>
          <w:vertAlign w:val="superscript"/>
          <w:lang w:val="en-US"/>
        </w:rPr>
        <w:footnoteReference w:id="46"/>
      </w:r>
      <w:r w:rsidRPr="003171CD">
        <w:rPr>
          <w:rFonts w:cs="Arial"/>
          <w:lang w:val="en-US"/>
        </w:rPr>
        <w:t xml:space="preserve"> There is no record in the case file </w:t>
      </w:r>
      <w:r w:rsidR="00614B55" w:rsidRPr="003171CD">
        <w:rPr>
          <w:rFonts w:cs="Arial"/>
          <w:lang w:val="en-US"/>
        </w:rPr>
        <w:t xml:space="preserve">that </w:t>
      </w:r>
      <w:r w:rsidR="003C0DEB" w:rsidRPr="003171CD">
        <w:rPr>
          <w:rFonts w:cs="Arial"/>
          <w:lang w:val="en-US"/>
        </w:rPr>
        <w:t>the</w:t>
      </w:r>
      <w:r w:rsidR="00614B55" w:rsidRPr="003171CD">
        <w:rPr>
          <w:rFonts w:cs="Arial"/>
          <w:lang w:val="en-US"/>
        </w:rPr>
        <w:t xml:space="preserve"> verbal description was </w:t>
      </w:r>
      <w:r w:rsidR="003C0DEB" w:rsidRPr="003171CD">
        <w:rPr>
          <w:rFonts w:cs="Arial"/>
          <w:lang w:val="en-US"/>
        </w:rPr>
        <w:t xml:space="preserve">ever </w:t>
      </w:r>
      <w:r w:rsidR="00614B55" w:rsidRPr="003171CD">
        <w:rPr>
          <w:rFonts w:cs="Arial"/>
          <w:lang w:val="en-US"/>
        </w:rPr>
        <w:t>provided</w:t>
      </w:r>
      <w:r w:rsidRPr="003171CD">
        <w:rPr>
          <w:rFonts w:cs="Arial"/>
          <w:lang w:val="en-US"/>
        </w:rPr>
        <w:t>.</w:t>
      </w:r>
    </w:p>
    <w:p w14:paraId="7034A1FD" w14:textId="77777777" w:rsidR="005A65CE" w:rsidRPr="003171CD" w:rsidRDefault="005A65CE" w:rsidP="005A65CE">
      <w:pPr>
        <w:jc w:val="both"/>
        <w:rPr>
          <w:rFonts w:cs="Arial"/>
          <w:snapToGrid/>
          <w:lang w:val="en-US" w:eastAsia="en-US"/>
        </w:rPr>
      </w:pPr>
    </w:p>
    <w:p w14:paraId="2E376564" w14:textId="77777777" w:rsidR="005A65CE" w:rsidRPr="003171CD" w:rsidRDefault="003C0DEB" w:rsidP="00A202DE">
      <w:pPr>
        <w:pStyle w:val="Prrafodelista"/>
        <w:numPr>
          <w:ilvl w:val="0"/>
          <w:numId w:val="1"/>
        </w:numPr>
        <w:tabs>
          <w:tab w:val="left" w:pos="720"/>
          <w:tab w:val="num" w:pos="5057"/>
        </w:tabs>
        <w:ind w:right="-90"/>
        <w:jc w:val="both"/>
        <w:rPr>
          <w:rFonts w:cs="Arial"/>
          <w:lang w:val="en-US"/>
        </w:rPr>
      </w:pPr>
      <w:r w:rsidRPr="003171CD">
        <w:rPr>
          <w:rFonts w:cs="Arial"/>
          <w:lang w:val="en-US"/>
        </w:rPr>
        <w:t>On t</w:t>
      </w:r>
      <w:r w:rsidR="005A65CE" w:rsidRPr="003171CD">
        <w:rPr>
          <w:rFonts w:cs="Arial"/>
          <w:lang w:val="en-US"/>
        </w:rPr>
        <w:t>hat same day</w:t>
      </w:r>
      <w:r w:rsidRPr="003171CD">
        <w:rPr>
          <w:rFonts w:cs="Arial"/>
          <w:lang w:val="en-US"/>
        </w:rPr>
        <w:t xml:space="preserve">, agents of </w:t>
      </w:r>
      <w:r w:rsidR="005A65CE" w:rsidRPr="003171CD">
        <w:rPr>
          <w:rFonts w:cs="Arial"/>
          <w:lang w:val="en-US"/>
        </w:rPr>
        <w:t xml:space="preserve">the Criminal Investigation Division of the National Civil Police </w:t>
      </w:r>
      <w:r w:rsidR="00614B55" w:rsidRPr="003171CD">
        <w:rPr>
          <w:rFonts w:cs="Arial"/>
          <w:lang w:val="en-US"/>
        </w:rPr>
        <w:t xml:space="preserve">visited </w:t>
      </w:r>
      <w:r w:rsidR="00C44595" w:rsidRPr="003171CD">
        <w:rPr>
          <w:rFonts w:cs="Arial"/>
          <w:lang w:val="en-US"/>
        </w:rPr>
        <w:t xml:space="preserve">various places </w:t>
      </w:r>
      <w:r w:rsidRPr="003171CD">
        <w:rPr>
          <w:rFonts w:cs="Arial"/>
          <w:lang w:val="en-US"/>
        </w:rPr>
        <w:t xml:space="preserve">where the </w:t>
      </w:r>
      <w:r w:rsidR="00925791" w:rsidRPr="003171CD">
        <w:rPr>
          <w:rFonts w:cs="Arial"/>
          <w:lang w:val="en-US"/>
        </w:rPr>
        <w:t xml:space="preserve">suspects </w:t>
      </w:r>
      <w:r w:rsidR="00C44595" w:rsidRPr="003171CD">
        <w:rPr>
          <w:rFonts w:cs="Arial"/>
          <w:lang w:val="en-US"/>
        </w:rPr>
        <w:t xml:space="preserve">in </w:t>
      </w:r>
      <w:r w:rsidR="005A65CE" w:rsidRPr="003171CD">
        <w:rPr>
          <w:rFonts w:cs="Arial"/>
          <w:lang w:val="en-US"/>
        </w:rPr>
        <w:t xml:space="preserve">the </w:t>
      </w:r>
      <w:r w:rsidR="00C44595" w:rsidRPr="003171CD">
        <w:rPr>
          <w:rFonts w:cs="Arial"/>
          <w:lang w:val="en-US"/>
        </w:rPr>
        <w:t>kidnapping</w:t>
      </w:r>
      <w:r w:rsidRPr="003171CD">
        <w:rPr>
          <w:rFonts w:cs="Arial"/>
          <w:lang w:val="en-US"/>
        </w:rPr>
        <w:t xml:space="preserve"> lived</w:t>
      </w:r>
      <w:r w:rsidR="005A65CE" w:rsidRPr="003171CD">
        <w:rPr>
          <w:rFonts w:cs="Arial"/>
          <w:lang w:val="en-US"/>
        </w:rPr>
        <w:t xml:space="preserve">. </w:t>
      </w:r>
      <w:r w:rsidR="00F9792A" w:rsidRPr="003171CD">
        <w:rPr>
          <w:rFonts w:cs="Arial"/>
          <w:lang w:val="en-US"/>
        </w:rPr>
        <w:t xml:space="preserve">While </w:t>
      </w:r>
      <w:r w:rsidRPr="003171CD">
        <w:rPr>
          <w:rFonts w:cs="Arial"/>
          <w:lang w:val="en-US"/>
        </w:rPr>
        <w:t xml:space="preserve">visiting </w:t>
      </w:r>
      <w:r w:rsidR="005A65CE" w:rsidRPr="003171CD">
        <w:rPr>
          <w:rFonts w:cs="Arial"/>
          <w:lang w:val="en-US"/>
        </w:rPr>
        <w:t xml:space="preserve">the Colón </w:t>
      </w:r>
      <w:r w:rsidRPr="003171CD">
        <w:rPr>
          <w:rFonts w:cs="Arial"/>
          <w:lang w:val="en-US"/>
        </w:rPr>
        <w:t xml:space="preserve">district </w:t>
      </w:r>
      <w:r w:rsidR="005A65CE" w:rsidRPr="003171CD">
        <w:rPr>
          <w:rFonts w:cs="Arial"/>
          <w:lang w:val="en-US"/>
        </w:rPr>
        <w:t xml:space="preserve">of </w:t>
      </w:r>
      <w:r w:rsidR="00A202DE" w:rsidRPr="003171CD">
        <w:rPr>
          <w:rFonts w:cs="Arial"/>
          <w:lang w:val="en-US"/>
        </w:rPr>
        <w:lastRenderedPageBreak/>
        <w:t>the town</w:t>
      </w:r>
      <w:r w:rsidR="005A65CE" w:rsidRPr="003171CD">
        <w:rPr>
          <w:rFonts w:cs="Arial"/>
          <w:lang w:val="en-US"/>
        </w:rPr>
        <w:t xml:space="preserve"> of Guazapa </w:t>
      </w:r>
      <w:r w:rsidR="00B24089" w:rsidRPr="003171CD">
        <w:rPr>
          <w:rFonts w:cs="Arial"/>
          <w:lang w:val="en-US"/>
        </w:rPr>
        <w:t xml:space="preserve">they </w:t>
      </w:r>
      <w:r w:rsidR="005A65CE" w:rsidRPr="003171CD">
        <w:rPr>
          <w:rFonts w:cs="Arial"/>
          <w:lang w:val="en-US"/>
        </w:rPr>
        <w:t>“tr</w:t>
      </w:r>
      <w:r w:rsidR="00B24089" w:rsidRPr="003171CD">
        <w:rPr>
          <w:rFonts w:cs="Arial"/>
          <w:lang w:val="en-US"/>
        </w:rPr>
        <w:t>[ied] to</w:t>
      </w:r>
      <w:r w:rsidR="005A65CE" w:rsidRPr="003171CD">
        <w:rPr>
          <w:rFonts w:cs="Arial"/>
          <w:lang w:val="en-US"/>
        </w:rPr>
        <w:t xml:space="preserve"> obt</w:t>
      </w:r>
      <w:r w:rsidR="00B24089" w:rsidRPr="003171CD">
        <w:rPr>
          <w:rFonts w:cs="Arial"/>
          <w:lang w:val="en-US"/>
        </w:rPr>
        <w:t xml:space="preserve">ain </w:t>
      </w:r>
      <w:r w:rsidR="005A65CE" w:rsidRPr="003171CD">
        <w:rPr>
          <w:rFonts w:cs="Arial"/>
          <w:lang w:val="en-US"/>
        </w:rPr>
        <w:t xml:space="preserve">information on the identity of the individual </w:t>
      </w:r>
      <w:r w:rsidR="00515F7A" w:rsidRPr="003171CD">
        <w:rPr>
          <w:rFonts w:cs="Arial"/>
          <w:lang w:val="en-US"/>
        </w:rPr>
        <w:t xml:space="preserve">nicknamed </w:t>
      </w:r>
      <w:r w:rsidR="005A65CE" w:rsidRPr="003171CD">
        <w:rPr>
          <w:rFonts w:cs="Arial"/>
          <w:lang w:val="en-US"/>
        </w:rPr>
        <w:t xml:space="preserve">CHOPO, </w:t>
      </w:r>
      <w:r w:rsidRPr="003171CD">
        <w:rPr>
          <w:rFonts w:cs="Arial"/>
          <w:lang w:val="en-US"/>
        </w:rPr>
        <w:t xml:space="preserve">and </w:t>
      </w:r>
      <w:r w:rsidR="00515F7A" w:rsidRPr="003171CD">
        <w:rPr>
          <w:rFonts w:cs="Arial"/>
          <w:lang w:val="en-US"/>
        </w:rPr>
        <w:t xml:space="preserve">[were] told </w:t>
      </w:r>
      <w:r w:rsidR="005A65CE" w:rsidRPr="003171CD">
        <w:rPr>
          <w:rFonts w:cs="Arial"/>
          <w:lang w:val="en-US"/>
        </w:rPr>
        <w:t xml:space="preserve">that his name is AGAPITO RUANO and </w:t>
      </w:r>
      <w:r w:rsidR="00515F7A" w:rsidRPr="003171CD">
        <w:rPr>
          <w:rFonts w:cs="Arial"/>
          <w:lang w:val="en-US"/>
        </w:rPr>
        <w:t xml:space="preserve">that he </w:t>
      </w:r>
      <w:r w:rsidR="00B917F6" w:rsidRPr="003171CD">
        <w:rPr>
          <w:rFonts w:cs="Arial"/>
          <w:lang w:val="en-US"/>
        </w:rPr>
        <w:t>apparently live</w:t>
      </w:r>
      <w:r w:rsidR="00925791" w:rsidRPr="003171CD">
        <w:rPr>
          <w:rFonts w:cs="Arial"/>
          <w:lang w:val="en-US"/>
        </w:rPr>
        <w:t>[d]</w:t>
      </w:r>
      <w:r w:rsidR="00B917F6" w:rsidRPr="003171CD">
        <w:rPr>
          <w:rFonts w:cs="Arial"/>
          <w:lang w:val="en-US"/>
        </w:rPr>
        <w:t xml:space="preserve"> </w:t>
      </w:r>
      <w:r w:rsidR="005A65CE" w:rsidRPr="003171CD">
        <w:rPr>
          <w:rFonts w:cs="Arial"/>
          <w:lang w:val="en-US"/>
        </w:rPr>
        <w:t xml:space="preserve">in </w:t>
      </w:r>
      <w:r w:rsidR="00C44595" w:rsidRPr="003171CD">
        <w:rPr>
          <w:rFonts w:cs="Arial"/>
          <w:lang w:val="en-US"/>
        </w:rPr>
        <w:t xml:space="preserve">the </w:t>
      </w:r>
      <w:r w:rsidR="005A65CE" w:rsidRPr="003171CD">
        <w:rPr>
          <w:rFonts w:cs="Arial"/>
          <w:lang w:val="en-US"/>
        </w:rPr>
        <w:t>Nance Verde</w:t>
      </w:r>
      <w:r w:rsidR="00B917F6" w:rsidRPr="003171CD">
        <w:rPr>
          <w:rFonts w:cs="Arial"/>
          <w:lang w:val="en-US"/>
        </w:rPr>
        <w:t xml:space="preserve"> </w:t>
      </w:r>
      <w:r w:rsidR="00515F7A" w:rsidRPr="003171CD">
        <w:rPr>
          <w:rFonts w:cs="Arial"/>
          <w:lang w:val="en-US"/>
        </w:rPr>
        <w:t xml:space="preserve">housing development </w:t>
      </w:r>
      <w:r w:rsidR="005A65CE" w:rsidRPr="003171CD">
        <w:rPr>
          <w:rFonts w:cs="Arial"/>
          <w:lang w:val="en-US"/>
        </w:rPr>
        <w:t xml:space="preserve">[,] </w:t>
      </w:r>
      <w:r w:rsidR="00515F7A" w:rsidRPr="003171CD">
        <w:rPr>
          <w:rFonts w:cs="Arial"/>
          <w:lang w:val="en-US"/>
        </w:rPr>
        <w:t>in</w:t>
      </w:r>
      <w:r w:rsidR="00B917F6" w:rsidRPr="003171CD">
        <w:rPr>
          <w:rFonts w:cs="Arial"/>
          <w:lang w:val="en-US"/>
        </w:rPr>
        <w:t xml:space="preserve"> </w:t>
      </w:r>
      <w:r w:rsidR="005A65CE" w:rsidRPr="003171CD">
        <w:rPr>
          <w:rFonts w:cs="Arial"/>
          <w:lang w:val="en-US"/>
        </w:rPr>
        <w:t>Barrio San José</w:t>
      </w:r>
      <w:r w:rsidR="00EC28C8" w:rsidRPr="003171CD">
        <w:rPr>
          <w:rFonts w:cs="Arial"/>
          <w:lang w:val="en-US"/>
        </w:rPr>
        <w:t>.</w:t>
      </w:r>
      <w:r w:rsidR="005A65CE" w:rsidRPr="003171CD">
        <w:rPr>
          <w:rFonts w:cs="Arial"/>
          <w:lang w:val="en-US"/>
        </w:rPr>
        <w:t>”</w:t>
      </w:r>
      <w:r w:rsidR="005A65CE" w:rsidRPr="003171CD">
        <w:rPr>
          <w:vertAlign w:val="superscript"/>
          <w:lang w:val="en-US"/>
        </w:rPr>
        <w:footnoteReference w:id="47"/>
      </w:r>
    </w:p>
    <w:p w14:paraId="1E39782F" w14:textId="77777777" w:rsidR="005A65CE" w:rsidRPr="003171CD" w:rsidRDefault="005A65CE" w:rsidP="005A65CE">
      <w:pPr>
        <w:jc w:val="both"/>
        <w:rPr>
          <w:rFonts w:cs="Arial"/>
          <w:snapToGrid/>
          <w:lang w:val="en-US" w:eastAsia="en-US"/>
        </w:rPr>
      </w:pPr>
    </w:p>
    <w:p w14:paraId="1DC46829" w14:textId="77777777" w:rsidR="005A65CE" w:rsidRPr="003171CD" w:rsidRDefault="00B917F6"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October 13, 2000, the </w:t>
      </w:r>
      <w:r w:rsidR="00A202DE" w:rsidRPr="003171CD">
        <w:rPr>
          <w:rFonts w:cs="Arial"/>
          <w:lang w:val="en-US"/>
        </w:rPr>
        <w:t xml:space="preserve">chief </w:t>
      </w:r>
      <w:r w:rsidR="005A65CE" w:rsidRPr="003171CD">
        <w:rPr>
          <w:rFonts w:cs="Arial"/>
          <w:lang w:val="en-US"/>
        </w:rPr>
        <w:t xml:space="preserve">of the Anti-kidnapping Unit of the Criminal Investigation Division </w:t>
      </w:r>
      <w:r w:rsidR="00B24089" w:rsidRPr="003171CD">
        <w:rPr>
          <w:rFonts w:cs="Arial"/>
          <w:lang w:val="en-US"/>
        </w:rPr>
        <w:t xml:space="preserve">sent an official letter to </w:t>
      </w:r>
      <w:r w:rsidR="005A65CE" w:rsidRPr="003171CD">
        <w:rPr>
          <w:rFonts w:cs="Arial"/>
          <w:lang w:val="en-US"/>
        </w:rPr>
        <w:t xml:space="preserve">the </w:t>
      </w:r>
      <w:r w:rsidRPr="003171CD">
        <w:rPr>
          <w:rFonts w:cs="Arial"/>
          <w:lang w:val="en-US"/>
        </w:rPr>
        <w:t xml:space="preserve">municipal authorities </w:t>
      </w:r>
      <w:r w:rsidR="005A65CE" w:rsidRPr="003171CD">
        <w:rPr>
          <w:rFonts w:cs="Arial"/>
          <w:lang w:val="en-US"/>
        </w:rPr>
        <w:t xml:space="preserve">of Guazapa </w:t>
      </w:r>
      <w:r w:rsidR="00B24089" w:rsidRPr="003171CD">
        <w:rPr>
          <w:rFonts w:cs="Arial"/>
          <w:lang w:val="en-US"/>
        </w:rPr>
        <w:t xml:space="preserve">requesting a </w:t>
      </w:r>
      <w:r w:rsidR="005A65CE" w:rsidRPr="003171CD">
        <w:rPr>
          <w:rFonts w:cs="Arial"/>
          <w:lang w:val="en-US"/>
        </w:rPr>
        <w:t xml:space="preserve">copy </w:t>
      </w:r>
      <w:r w:rsidR="001C4614" w:rsidRPr="003171CD">
        <w:rPr>
          <w:rFonts w:cs="Arial"/>
          <w:lang w:val="en-US"/>
        </w:rPr>
        <w:t xml:space="preserve">of the </w:t>
      </w:r>
      <w:r w:rsidR="005A65CE" w:rsidRPr="003171CD">
        <w:rPr>
          <w:rFonts w:cs="Arial"/>
          <w:lang w:val="en-US"/>
        </w:rPr>
        <w:t>personal identity document of “Agapito Ruano.”</w:t>
      </w:r>
      <w:r w:rsidR="005A65CE" w:rsidRPr="003171CD">
        <w:rPr>
          <w:vertAlign w:val="superscript"/>
          <w:lang w:val="en-US"/>
        </w:rPr>
        <w:footnoteReference w:id="48"/>
      </w:r>
      <w:r w:rsidR="005A65CE" w:rsidRPr="003171CD">
        <w:rPr>
          <w:rFonts w:cs="Arial"/>
          <w:lang w:val="en-US"/>
        </w:rPr>
        <w:t xml:space="preserve"> </w:t>
      </w:r>
      <w:r w:rsidR="001C4614" w:rsidRPr="003171CD">
        <w:rPr>
          <w:rFonts w:cs="Arial"/>
          <w:lang w:val="en-US"/>
        </w:rPr>
        <w:t xml:space="preserve">According to </w:t>
      </w:r>
      <w:r w:rsidR="00515F7A" w:rsidRPr="003171CD">
        <w:rPr>
          <w:rFonts w:cs="Arial"/>
          <w:lang w:val="en-US"/>
        </w:rPr>
        <w:t>t</w:t>
      </w:r>
      <w:r w:rsidR="001C4614" w:rsidRPr="003171CD">
        <w:rPr>
          <w:rFonts w:cs="Arial"/>
          <w:lang w:val="en-US"/>
        </w:rPr>
        <w:t xml:space="preserve">his </w:t>
      </w:r>
      <w:r w:rsidR="005A65CE" w:rsidRPr="003171CD">
        <w:rPr>
          <w:rFonts w:cs="Arial"/>
          <w:lang w:val="en-US"/>
        </w:rPr>
        <w:t>document, in 2000 José Agapito Ruano Torres was 24 years old and 1.72 meters</w:t>
      </w:r>
      <w:r w:rsidRPr="003171CD">
        <w:rPr>
          <w:rFonts w:cs="Arial"/>
          <w:lang w:val="en-US"/>
        </w:rPr>
        <w:t xml:space="preserve"> </w:t>
      </w:r>
      <w:r w:rsidR="00925791" w:rsidRPr="003171CD">
        <w:rPr>
          <w:rFonts w:cs="Arial"/>
          <w:lang w:val="en-US"/>
        </w:rPr>
        <w:t>tall</w:t>
      </w:r>
      <w:r w:rsidR="001C4614" w:rsidRPr="003171CD">
        <w:rPr>
          <w:rFonts w:cs="Arial"/>
          <w:lang w:val="en-US"/>
        </w:rPr>
        <w:t>.</w:t>
      </w:r>
      <w:r w:rsidR="005A65CE" w:rsidRPr="003171CD">
        <w:rPr>
          <w:vertAlign w:val="superscript"/>
          <w:lang w:val="en-US"/>
        </w:rPr>
        <w:footnoteReference w:id="49"/>
      </w:r>
      <w:r w:rsidR="005A65CE" w:rsidRPr="003171CD">
        <w:rPr>
          <w:rFonts w:cs="Arial"/>
          <w:lang w:val="en-US"/>
        </w:rPr>
        <w:t xml:space="preserve"> </w:t>
      </w:r>
      <w:r w:rsidRPr="003171CD">
        <w:rPr>
          <w:rFonts w:cs="Arial"/>
          <w:lang w:val="en-US"/>
        </w:rPr>
        <w:t>At that time he</w:t>
      </w:r>
      <w:r w:rsidR="001C4614" w:rsidRPr="003171CD">
        <w:rPr>
          <w:rFonts w:cs="Arial"/>
          <w:lang w:val="en-US"/>
        </w:rPr>
        <w:t xml:space="preserve"> </w:t>
      </w:r>
      <w:r w:rsidR="005A65CE" w:rsidRPr="003171CD">
        <w:rPr>
          <w:rFonts w:cs="Arial"/>
          <w:lang w:val="en-US"/>
        </w:rPr>
        <w:t xml:space="preserve">worked </w:t>
      </w:r>
      <w:r w:rsidRPr="003171CD">
        <w:rPr>
          <w:rFonts w:cs="Arial"/>
          <w:lang w:val="en-US"/>
        </w:rPr>
        <w:t xml:space="preserve">as a </w:t>
      </w:r>
      <w:r w:rsidR="005A65CE" w:rsidRPr="003171CD">
        <w:rPr>
          <w:rFonts w:cs="Arial"/>
          <w:lang w:val="en-US"/>
        </w:rPr>
        <w:t xml:space="preserve">construction </w:t>
      </w:r>
      <w:r w:rsidRPr="003171CD">
        <w:rPr>
          <w:rFonts w:cs="Arial"/>
          <w:lang w:val="en-US"/>
        </w:rPr>
        <w:t>laborer</w:t>
      </w:r>
      <w:r w:rsidR="005A65CE" w:rsidRPr="003171CD">
        <w:rPr>
          <w:vertAlign w:val="superscript"/>
          <w:lang w:val="en-US"/>
        </w:rPr>
        <w:footnoteReference w:id="50"/>
      </w:r>
      <w:r w:rsidR="005A65CE" w:rsidRPr="003171CD">
        <w:rPr>
          <w:rFonts w:cs="Arial"/>
          <w:lang w:val="en-US"/>
        </w:rPr>
        <w:t xml:space="preserve"> and lived in the Monte Cristo </w:t>
      </w:r>
      <w:r w:rsidRPr="003171CD">
        <w:rPr>
          <w:rFonts w:cs="Arial"/>
          <w:lang w:val="en-US"/>
        </w:rPr>
        <w:t>housing development in</w:t>
      </w:r>
      <w:r w:rsidR="005A65CE" w:rsidRPr="003171CD">
        <w:rPr>
          <w:rFonts w:cs="Arial"/>
          <w:lang w:val="en-US"/>
        </w:rPr>
        <w:t xml:space="preserve"> the jurisdiction of Guazapa.</w:t>
      </w:r>
      <w:r w:rsidR="005A65CE" w:rsidRPr="003171CD">
        <w:rPr>
          <w:rStyle w:val="Refdenotaalpie"/>
          <w:rFonts w:cs="Arial"/>
          <w:lang w:val="en-US"/>
        </w:rPr>
        <w:footnoteReference w:id="51"/>
      </w:r>
    </w:p>
    <w:p w14:paraId="12DCB282" w14:textId="77777777" w:rsidR="005A65CE" w:rsidRPr="003171CD" w:rsidRDefault="005A65CE" w:rsidP="005A65CE">
      <w:pPr>
        <w:jc w:val="both"/>
        <w:rPr>
          <w:rFonts w:cs="Arial"/>
          <w:snapToGrid/>
          <w:lang w:val="en-US" w:eastAsia="en-US"/>
        </w:rPr>
      </w:pPr>
    </w:p>
    <w:p w14:paraId="37B8CEE3"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October 16, 2000</w:t>
      </w:r>
      <w:r w:rsidR="00B917F6" w:rsidRPr="003171CD">
        <w:rPr>
          <w:rFonts w:cs="Arial"/>
          <w:lang w:val="en-US"/>
        </w:rPr>
        <w:t>,</w:t>
      </w:r>
      <w:r w:rsidRPr="003171CD">
        <w:rPr>
          <w:rFonts w:cs="Arial"/>
          <w:lang w:val="en-US"/>
        </w:rPr>
        <w:t xml:space="preserve"> the </w:t>
      </w:r>
      <w:r w:rsidR="00B917F6" w:rsidRPr="003171CD">
        <w:rPr>
          <w:rFonts w:cs="Arial"/>
          <w:lang w:val="en-US"/>
        </w:rPr>
        <w:t>Magistrate’s Court</w:t>
      </w:r>
      <w:r w:rsidRPr="003171CD">
        <w:rPr>
          <w:rFonts w:cs="Arial"/>
          <w:lang w:val="en-US"/>
        </w:rPr>
        <w:t xml:space="preserve"> of Tonacatepeque granted Francisco Javier Amaya Villalta </w:t>
      </w:r>
      <w:r w:rsidR="00B917F6" w:rsidRPr="003171CD">
        <w:rPr>
          <w:rFonts w:cs="Arial"/>
          <w:lang w:val="en-US"/>
        </w:rPr>
        <w:t>a plea bargain for a period of two months in order for him to</w:t>
      </w:r>
      <w:r w:rsidRPr="003171CD">
        <w:rPr>
          <w:rFonts w:cs="Arial"/>
          <w:lang w:val="en-US"/>
        </w:rPr>
        <w:t xml:space="preserve"> provide a</w:t>
      </w:r>
      <w:r w:rsidR="00B917F6" w:rsidRPr="003171CD">
        <w:rPr>
          <w:rFonts w:cs="Arial"/>
          <w:lang w:val="en-US"/>
        </w:rPr>
        <w:t xml:space="preserve">ll </w:t>
      </w:r>
      <w:r w:rsidRPr="003171CD">
        <w:rPr>
          <w:rFonts w:cs="Arial"/>
          <w:lang w:val="en-US"/>
        </w:rPr>
        <w:t xml:space="preserve">necessary and useful information </w:t>
      </w:r>
      <w:r w:rsidR="00B917F6" w:rsidRPr="003171CD">
        <w:rPr>
          <w:rFonts w:cs="Arial"/>
          <w:lang w:val="en-US"/>
        </w:rPr>
        <w:t xml:space="preserve">he had </w:t>
      </w:r>
      <w:r w:rsidRPr="003171CD">
        <w:rPr>
          <w:rFonts w:cs="Arial"/>
          <w:lang w:val="en-US"/>
        </w:rPr>
        <w:t>concerning the kidnapping of Mr. Rodríguez Marroquín</w:t>
      </w:r>
      <w:r w:rsidR="00B917F6" w:rsidRPr="003171CD">
        <w:rPr>
          <w:rFonts w:cs="Arial"/>
          <w:lang w:val="en-US"/>
        </w:rPr>
        <w:t>.</w:t>
      </w:r>
      <w:r w:rsidRPr="003171CD">
        <w:rPr>
          <w:vertAlign w:val="superscript"/>
          <w:lang w:val="en-US"/>
        </w:rPr>
        <w:footnoteReference w:id="52"/>
      </w:r>
      <w:r w:rsidR="00925791" w:rsidRPr="003171CD">
        <w:rPr>
          <w:rFonts w:cs="Arial"/>
          <w:lang w:val="en-US"/>
        </w:rPr>
        <w:t xml:space="preserve"> In a sworn</w:t>
      </w:r>
      <w:r w:rsidRPr="003171CD">
        <w:rPr>
          <w:rFonts w:cs="Arial"/>
          <w:lang w:val="en-US"/>
        </w:rPr>
        <w:t xml:space="preserve"> statement </w:t>
      </w:r>
      <w:r w:rsidR="00925791" w:rsidRPr="003171CD">
        <w:rPr>
          <w:rFonts w:cs="Arial"/>
          <w:lang w:val="en-US"/>
        </w:rPr>
        <w:t xml:space="preserve">made </w:t>
      </w:r>
      <w:r w:rsidRPr="003171CD">
        <w:rPr>
          <w:rFonts w:cs="Arial"/>
          <w:lang w:val="en-US"/>
        </w:rPr>
        <w:t xml:space="preserve">that same day, Mr. Amaya Villalta once again named the individuals </w:t>
      </w:r>
      <w:r w:rsidR="00121C8D" w:rsidRPr="003171CD">
        <w:rPr>
          <w:rFonts w:cs="Arial"/>
          <w:lang w:val="en-US"/>
        </w:rPr>
        <w:t xml:space="preserve">supposedly implicated </w:t>
      </w:r>
      <w:r w:rsidRPr="003171CD">
        <w:rPr>
          <w:rFonts w:cs="Arial"/>
          <w:lang w:val="en-US"/>
        </w:rPr>
        <w:t xml:space="preserve">in the </w:t>
      </w:r>
      <w:r w:rsidR="00121C8D" w:rsidRPr="003171CD">
        <w:rPr>
          <w:rFonts w:cs="Arial"/>
          <w:lang w:val="en-US"/>
        </w:rPr>
        <w:t>kidnapping</w:t>
      </w:r>
      <w:r w:rsidRPr="003171CD">
        <w:rPr>
          <w:rFonts w:cs="Arial"/>
          <w:lang w:val="en-US"/>
        </w:rPr>
        <w:t xml:space="preserve">, </w:t>
      </w:r>
      <w:r w:rsidR="00121C8D" w:rsidRPr="003171CD">
        <w:rPr>
          <w:rFonts w:cs="Arial"/>
          <w:lang w:val="en-US"/>
        </w:rPr>
        <w:t xml:space="preserve">and specifically mentioned a </w:t>
      </w:r>
      <w:r w:rsidRPr="003171CD">
        <w:rPr>
          <w:rFonts w:cs="Arial"/>
          <w:lang w:val="en-US"/>
        </w:rPr>
        <w:t xml:space="preserve">person known by the </w:t>
      </w:r>
      <w:r w:rsidR="00121C8D" w:rsidRPr="003171CD">
        <w:rPr>
          <w:rFonts w:cs="Arial"/>
          <w:lang w:val="en-US"/>
        </w:rPr>
        <w:t xml:space="preserve">nickname </w:t>
      </w:r>
      <w:r w:rsidR="00A96DF3" w:rsidRPr="003171CD">
        <w:rPr>
          <w:rFonts w:cs="Arial"/>
          <w:i/>
          <w:lang w:val="en-US"/>
        </w:rPr>
        <w:t>Chopo</w:t>
      </w:r>
      <w:r w:rsidRPr="003171CD">
        <w:rPr>
          <w:rFonts w:cs="Arial"/>
          <w:lang w:val="en-US"/>
        </w:rPr>
        <w:t xml:space="preserve"> </w:t>
      </w:r>
      <w:r w:rsidR="00121C8D" w:rsidRPr="003171CD">
        <w:rPr>
          <w:rFonts w:cs="Arial"/>
          <w:lang w:val="en-US"/>
        </w:rPr>
        <w:t xml:space="preserve">“whose </w:t>
      </w:r>
      <w:r w:rsidRPr="003171CD">
        <w:rPr>
          <w:rFonts w:cs="Arial"/>
          <w:lang w:val="en-US"/>
        </w:rPr>
        <w:t>real na</w:t>
      </w:r>
      <w:r w:rsidR="00121C8D" w:rsidRPr="003171CD">
        <w:rPr>
          <w:rFonts w:cs="Arial"/>
          <w:lang w:val="en-US"/>
        </w:rPr>
        <w:t>me is José Agapito Ruano Torres, and who is approximately</w:t>
      </w:r>
      <w:r w:rsidRPr="003171CD">
        <w:rPr>
          <w:rFonts w:cs="Arial"/>
          <w:lang w:val="en-US"/>
        </w:rPr>
        <w:t xml:space="preserve"> </w:t>
      </w:r>
      <w:r w:rsidR="00121C8D" w:rsidRPr="003171CD">
        <w:rPr>
          <w:rFonts w:cs="Arial"/>
          <w:lang w:val="en-US"/>
        </w:rPr>
        <w:t xml:space="preserve">24 years old, </w:t>
      </w:r>
      <w:r w:rsidR="009C0CED" w:rsidRPr="003171CD">
        <w:rPr>
          <w:rFonts w:cs="Arial"/>
          <w:lang w:val="en-US"/>
        </w:rPr>
        <w:t xml:space="preserve">one meter fifty-five tall, </w:t>
      </w:r>
      <w:r w:rsidRPr="003171CD">
        <w:rPr>
          <w:rFonts w:cs="Arial"/>
          <w:lang w:val="en-US"/>
        </w:rPr>
        <w:t xml:space="preserve">more or less, </w:t>
      </w:r>
      <w:r w:rsidR="00121C8D" w:rsidRPr="003171CD">
        <w:rPr>
          <w:rFonts w:cs="Arial"/>
          <w:lang w:val="en-US"/>
        </w:rPr>
        <w:t>and live</w:t>
      </w:r>
      <w:r w:rsidR="00925791" w:rsidRPr="003171CD">
        <w:rPr>
          <w:rFonts w:cs="Arial"/>
          <w:lang w:val="en-US"/>
        </w:rPr>
        <w:t>s</w:t>
      </w:r>
      <w:r w:rsidR="00121C8D" w:rsidRPr="003171CD">
        <w:rPr>
          <w:rFonts w:cs="Arial"/>
          <w:lang w:val="en-US"/>
        </w:rPr>
        <w:t xml:space="preserve"> in the </w:t>
      </w:r>
      <w:r w:rsidRPr="003171CD">
        <w:rPr>
          <w:rFonts w:cs="Arial"/>
          <w:lang w:val="en-US"/>
        </w:rPr>
        <w:t>Monte Cristo</w:t>
      </w:r>
      <w:r w:rsidR="00121C8D" w:rsidRPr="003171CD">
        <w:rPr>
          <w:rFonts w:cs="Arial"/>
          <w:lang w:val="en-US"/>
        </w:rPr>
        <w:t xml:space="preserve"> development</w:t>
      </w:r>
      <w:r w:rsidRPr="003171CD">
        <w:rPr>
          <w:rFonts w:cs="Arial"/>
          <w:lang w:val="en-US"/>
        </w:rPr>
        <w:t>.”</w:t>
      </w:r>
      <w:r w:rsidRPr="003171CD">
        <w:rPr>
          <w:vertAlign w:val="superscript"/>
          <w:lang w:val="en-US"/>
        </w:rPr>
        <w:footnoteReference w:id="53"/>
      </w:r>
      <w:r w:rsidRPr="003171CD">
        <w:rPr>
          <w:rFonts w:cs="Arial"/>
          <w:lang w:val="en-US"/>
        </w:rPr>
        <w:t xml:space="preserve"> </w:t>
      </w:r>
      <w:r w:rsidR="00FB20C8" w:rsidRPr="003171CD">
        <w:rPr>
          <w:rFonts w:cs="Arial"/>
          <w:lang w:val="en-US"/>
        </w:rPr>
        <w:t xml:space="preserve">With regard </w:t>
      </w:r>
      <w:r w:rsidRPr="003171CD">
        <w:rPr>
          <w:rFonts w:cs="Arial"/>
          <w:lang w:val="en-US"/>
        </w:rPr>
        <w:t>to the sworn statement, the police agent in charge of the investigation of the kidnapping stated that Amaya Villalta “had entered into negotiations with the prosecutor” since he was the one who “made the connections.”</w:t>
      </w:r>
      <w:r w:rsidRPr="003171CD">
        <w:rPr>
          <w:vertAlign w:val="superscript"/>
          <w:lang w:val="en-US"/>
        </w:rPr>
        <w:footnoteReference w:id="54"/>
      </w:r>
    </w:p>
    <w:p w14:paraId="47E5B401" w14:textId="77777777" w:rsidR="005A65CE" w:rsidRPr="003171CD" w:rsidRDefault="005A65CE" w:rsidP="005A65CE">
      <w:pPr>
        <w:jc w:val="both"/>
        <w:rPr>
          <w:rFonts w:cs="Arial"/>
          <w:snapToGrid/>
          <w:lang w:val="en-US" w:eastAsia="en-US"/>
        </w:rPr>
      </w:pPr>
    </w:p>
    <w:p w14:paraId="52376686" w14:textId="77777777" w:rsidR="005A65CE" w:rsidRPr="003171CD" w:rsidRDefault="00BD48E3" w:rsidP="005A65CE">
      <w:pPr>
        <w:pStyle w:val="Prrafodelista"/>
        <w:keepNext/>
        <w:keepLines/>
        <w:numPr>
          <w:ilvl w:val="0"/>
          <w:numId w:val="16"/>
        </w:numPr>
        <w:ind w:left="1418" w:hanging="709"/>
        <w:jc w:val="both"/>
        <w:outlineLvl w:val="1"/>
        <w:rPr>
          <w:rFonts w:cs="Arial"/>
          <w:b/>
          <w:i/>
          <w:lang w:val="en-US"/>
        </w:rPr>
      </w:pPr>
      <w:bookmarkStart w:id="34" w:name="_Toc45186701"/>
      <w:r w:rsidRPr="003171CD">
        <w:rPr>
          <w:rFonts w:cs="Arial"/>
          <w:b/>
          <w:i/>
          <w:lang w:val="en-US"/>
        </w:rPr>
        <w:t xml:space="preserve">Arrest </w:t>
      </w:r>
      <w:r w:rsidR="005A65CE" w:rsidRPr="003171CD">
        <w:rPr>
          <w:rFonts w:cs="Arial"/>
          <w:b/>
          <w:i/>
          <w:lang w:val="en-US"/>
        </w:rPr>
        <w:t>of José Agapito Ruano Torres</w:t>
      </w:r>
      <w:bookmarkEnd w:id="34"/>
    </w:p>
    <w:p w14:paraId="32650C8E" w14:textId="77777777" w:rsidR="005A65CE" w:rsidRPr="003171CD" w:rsidRDefault="005A65CE" w:rsidP="005A65CE">
      <w:pPr>
        <w:jc w:val="both"/>
        <w:rPr>
          <w:rFonts w:cs="Arial"/>
          <w:snapToGrid/>
          <w:lang w:val="en-US" w:eastAsia="en-US"/>
        </w:rPr>
      </w:pPr>
    </w:p>
    <w:p w14:paraId="699F704F"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Following the statement made by Francisco Javier Amaya Villalta, on October 16, 2000, the Office of the Attorney General of the Republic ordered the </w:t>
      </w:r>
      <w:r w:rsidR="001C4614" w:rsidRPr="003171CD">
        <w:rPr>
          <w:rFonts w:cs="Arial"/>
          <w:lang w:val="en-US"/>
        </w:rPr>
        <w:t xml:space="preserve">administrative </w:t>
      </w:r>
      <w:r w:rsidR="00FB20C8" w:rsidRPr="003171CD">
        <w:rPr>
          <w:rFonts w:cs="Arial"/>
          <w:lang w:val="en-US"/>
        </w:rPr>
        <w:t xml:space="preserve">detention </w:t>
      </w:r>
      <w:r w:rsidRPr="003171CD">
        <w:rPr>
          <w:rFonts w:cs="Arial"/>
          <w:lang w:val="en-US"/>
        </w:rPr>
        <w:t xml:space="preserve">of the </w:t>
      </w:r>
      <w:r w:rsidR="00BD48E3" w:rsidRPr="003171CD">
        <w:rPr>
          <w:rFonts w:cs="Arial"/>
          <w:lang w:val="en-US"/>
        </w:rPr>
        <w:t xml:space="preserve">alleged </w:t>
      </w:r>
      <w:r w:rsidR="001C4614" w:rsidRPr="003171CD">
        <w:rPr>
          <w:rFonts w:cs="Arial"/>
          <w:lang w:val="en-US"/>
        </w:rPr>
        <w:t xml:space="preserve">suspects </w:t>
      </w:r>
      <w:r w:rsidRPr="003171CD">
        <w:rPr>
          <w:rFonts w:cs="Arial"/>
          <w:lang w:val="en-US"/>
        </w:rPr>
        <w:t>in the kidnapping of Mr. Rodríguez Marroquín, including José Agapito Ruano Torres.</w:t>
      </w:r>
      <w:r w:rsidRPr="003171CD">
        <w:rPr>
          <w:vertAlign w:val="superscript"/>
          <w:lang w:val="en-US"/>
        </w:rPr>
        <w:footnoteReference w:id="55"/>
      </w:r>
      <w:r w:rsidRPr="003171CD">
        <w:rPr>
          <w:rFonts w:cs="Arial"/>
          <w:lang w:val="en-US"/>
        </w:rPr>
        <w:t xml:space="preserve"> </w:t>
      </w:r>
      <w:r w:rsidR="00BD48E3" w:rsidRPr="003171CD">
        <w:rPr>
          <w:rFonts w:cs="Arial"/>
          <w:lang w:val="en-US"/>
        </w:rPr>
        <w:t>In a</w:t>
      </w:r>
      <w:r w:rsidR="001C4614" w:rsidRPr="003171CD">
        <w:rPr>
          <w:rFonts w:cs="Arial"/>
          <w:lang w:val="en-US"/>
        </w:rPr>
        <w:t>d</w:t>
      </w:r>
      <w:r w:rsidR="00BD48E3" w:rsidRPr="003171CD">
        <w:rPr>
          <w:rFonts w:cs="Arial"/>
          <w:lang w:val="en-US"/>
        </w:rPr>
        <w:t>dition</w:t>
      </w:r>
      <w:r w:rsidRPr="003171CD">
        <w:rPr>
          <w:rFonts w:cs="Arial"/>
          <w:lang w:val="en-US"/>
        </w:rPr>
        <w:t xml:space="preserve">, the </w:t>
      </w:r>
      <w:r w:rsidR="00BD48E3" w:rsidRPr="003171CD">
        <w:rPr>
          <w:rFonts w:cs="Arial"/>
          <w:lang w:val="en-US"/>
        </w:rPr>
        <w:t xml:space="preserve">Magistrate’s Court </w:t>
      </w:r>
      <w:r w:rsidRPr="003171CD">
        <w:rPr>
          <w:rFonts w:cs="Arial"/>
          <w:lang w:val="en-US"/>
        </w:rPr>
        <w:t xml:space="preserve">of Guazapa authorized the </w:t>
      </w:r>
      <w:r w:rsidR="00BD48E3" w:rsidRPr="003171CD">
        <w:rPr>
          <w:rFonts w:cs="Arial"/>
          <w:lang w:val="en-US"/>
        </w:rPr>
        <w:t xml:space="preserve">execution of a </w:t>
      </w:r>
      <w:r w:rsidRPr="003171CD">
        <w:rPr>
          <w:rFonts w:cs="Arial"/>
          <w:lang w:val="en-US"/>
        </w:rPr>
        <w:t xml:space="preserve">search and </w:t>
      </w:r>
      <w:r w:rsidR="00BD48E3" w:rsidRPr="003171CD">
        <w:rPr>
          <w:rFonts w:cs="Arial"/>
          <w:lang w:val="en-US"/>
        </w:rPr>
        <w:t xml:space="preserve">seizure warrant at the home of José Agapito Ruano Torres for the purpose of </w:t>
      </w:r>
      <w:r w:rsidRPr="003171CD">
        <w:rPr>
          <w:rFonts w:cs="Arial"/>
          <w:lang w:val="en-US"/>
        </w:rPr>
        <w:t>verify</w:t>
      </w:r>
      <w:r w:rsidR="00BD48E3" w:rsidRPr="003171CD">
        <w:rPr>
          <w:rFonts w:cs="Arial"/>
          <w:lang w:val="en-US"/>
        </w:rPr>
        <w:t>ing</w:t>
      </w:r>
      <w:r w:rsidRPr="003171CD">
        <w:rPr>
          <w:rFonts w:cs="Arial"/>
          <w:lang w:val="en-US"/>
        </w:rPr>
        <w:t xml:space="preserve"> </w:t>
      </w:r>
      <w:r w:rsidR="00BD48E3" w:rsidRPr="003171CD">
        <w:rPr>
          <w:rFonts w:cs="Arial"/>
          <w:lang w:val="en-US"/>
        </w:rPr>
        <w:t xml:space="preserve">whether there were any </w:t>
      </w:r>
      <w:r w:rsidRPr="003171CD">
        <w:rPr>
          <w:rFonts w:cs="Arial"/>
          <w:lang w:val="en-US"/>
        </w:rPr>
        <w:t>“cell</w:t>
      </w:r>
      <w:r w:rsidR="00BD48E3" w:rsidRPr="003171CD">
        <w:rPr>
          <w:rFonts w:cs="Arial"/>
          <w:lang w:val="en-US"/>
        </w:rPr>
        <w:t>ular</w:t>
      </w:r>
      <w:r w:rsidRPr="003171CD">
        <w:rPr>
          <w:rFonts w:cs="Arial"/>
          <w:lang w:val="en-US"/>
        </w:rPr>
        <w:t xml:space="preserve"> </w:t>
      </w:r>
      <w:r w:rsidRPr="003171CD">
        <w:rPr>
          <w:rFonts w:cs="Arial"/>
          <w:lang w:val="en-US"/>
        </w:rPr>
        <w:lastRenderedPageBreak/>
        <w:t xml:space="preserve">phones, money, </w:t>
      </w:r>
      <w:r w:rsidR="00BD48E3" w:rsidRPr="003171CD">
        <w:rPr>
          <w:rFonts w:cs="Arial"/>
          <w:lang w:val="en-US"/>
        </w:rPr>
        <w:t xml:space="preserve">weapons or other </w:t>
      </w:r>
      <w:r w:rsidRPr="003171CD">
        <w:rPr>
          <w:rFonts w:cs="Arial"/>
          <w:lang w:val="en-US"/>
        </w:rPr>
        <w:t xml:space="preserve">personal items </w:t>
      </w:r>
      <w:r w:rsidR="00925791" w:rsidRPr="003171CD">
        <w:rPr>
          <w:rFonts w:cs="Arial"/>
          <w:lang w:val="en-US"/>
        </w:rPr>
        <w:t xml:space="preserve">connected </w:t>
      </w:r>
      <w:r w:rsidR="00BD48E3" w:rsidRPr="003171CD">
        <w:rPr>
          <w:rFonts w:cs="Arial"/>
          <w:lang w:val="en-US"/>
        </w:rPr>
        <w:t xml:space="preserve">to </w:t>
      </w:r>
      <w:r w:rsidRPr="003171CD">
        <w:rPr>
          <w:rFonts w:cs="Arial"/>
          <w:lang w:val="en-US"/>
        </w:rPr>
        <w:t>the kidnapping</w:t>
      </w:r>
      <w:r w:rsidR="009E614E" w:rsidRPr="003171CD">
        <w:rPr>
          <w:rFonts w:cs="Arial"/>
          <w:lang w:val="en-US"/>
        </w:rPr>
        <w:t xml:space="preserve"> of Mr. Rodríguez Marroquín</w:t>
      </w:r>
      <w:r w:rsidR="00BD48E3" w:rsidRPr="003171CD">
        <w:rPr>
          <w:rFonts w:cs="Arial"/>
          <w:lang w:val="en-US"/>
        </w:rPr>
        <w:t>.</w:t>
      </w:r>
      <w:r w:rsidRPr="003171CD">
        <w:rPr>
          <w:rFonts w:cs="Arial"/>
          <w:lang w:val="en-US"/>
        </w:rPr>
        <w:t>”</w:t>
      </w:r>
      <w:r w:rsidRPr="003171CD">
        <w:rPr>
          <w:vertAlign w:val="superscript"/>
          <w:lang w:val="en-US"/>
        </w:rPr>
        <w:footnoteReference w:id="56"/>
      </w:r>
    </w:p>
    <w:p w14:paraId="24A486E7" w14:textId="77777777" w:rsidR="005A65CE" w:rsidRPr="003171CD" w:rsidRDefault="005A65CE" w:rsidP="005A65CE">
      <w:pPr>
        <w:jc w:val="both"/>
        <w:rPr>
          <w:rFonts w:cs="Arial"/>
          <w:snapToGrid/>
          <w:lang w:val="en-US" w:eastAsia="en-US"/>
        </w:rPr>
      </w:pPr>
    </w:p>
    <w:p w14:paraId="56D81D97"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In the early</w:t>
      </w:r>
      <w:r w:rsidR="000F6741" w:rsidRPr="003171CD">
        <w:rPr>
          <w:rFonts w:cs="Arial"/>
          <w:lang w:val="en-US"/>
        </w:rPr>
        <w:t xml:space="preserve"> hours of October 17, 2000, agents of the </w:t>
      </w:r>
      <w:r w:rsidRPr="003171CD">
        <w:rPr>
          <w:rFonts w:cs="Arial"/>
          <w:lang w:val="en-US"/>
        </w:rPr>
        <w:t>National Civil Police carried out “Operation Guaza,” in which they proceeded to arrest the alleged suspects in the kidnapping of Mr. Rodríguez Marroquín.</w:t>
      </w:r>
      <w:r w:rsidRPr="003171CD">
        <w:rPr>
          <w:vertAlign w:val="superscript"/>
          <w:lang w:val="en-US"/>
        </w:rPr>
        <w:footnoteReference w:id="57"/>
      </w:r>
      <w:r w:rsidRPr="003171CD">
        <w:rPr>
          <w:rFonts w:cs="Arial"/>
          <w:lang w:val="en-US"/>
        </w:rPr>
        <w:t xml:space="preserve"> Mr. Ruano Torres was </w:t>
      </w:r>
      <w:r w:rsidR="000F6741" w:rsidRPr="003171CD">
        <w:rPr>
          <w:rFonts w:cs="Arial"/>
          <w:lang w:val="en-US"/>
        </w:rPr>
        <w:t xml:space="preserve">arrested </w:t>
      </w:r>
      <w:r w:rsidRPr="003171CD">
        <w:rPr>
          <w:rFonts w:cs="Arial"/>
          <w:lang w:val="en-US"/>
        </w:rPr>
        <w:t>while he was at home with his wife</w:t>
      </w:r>
      <w:r w:rsidR="009E614E" w:rsidRPr="003171CD">
        <w:rPr>
          <w:rFonts w:cs="Arial"/>
          <w:lang w:val="en-US"/>
        </w:rPr>
        <w:t>,</w:t>
      </w:r>
      <w:r w:rsidRPr="003171CD">
        <w:rPr>
          <w:rFonts w:cs="Arial"/>
          <w:lang w:val="en-US"/>
        </w:rPr>
        <w:t xml:space="preserve"> María Maribel Guevara de </w:t>
      </w:r>
      <w:r w:rsidRPr="003171CD">
        <w:rPr>
          <w:szCs w:val="16"/>
          <w:lang w:val="en-US"/>
        </w:rPr>
        <w:t>Ruano</w:t>
      </w:r>
      <w:r w:rsidR="009E614E" w:rsidRPr="003171CD">
        <w:rPr>
          <w:szCs w:val="16"/>
          <w:lang w:val="en-US"/>
        </w:rPr>
        <w:t>,</w:t>
      </w:r>
      <w:r w:rsidRPr="003171CD">
        <w:rPr>
          <w:rFonts w:cs="Arial"/>
          <w:lang w:val="en-US"/>
        </w:rPr>
        <w:t xml:space="preserve"> and their two year-old son, Oscar Manuel Ruano Guevara.</w:t>
      </w:r>
    </w:p>
    <w:p w14:paraId="3BF4033F" w14:textId="77777777" w:rsidR="005A65CE" w:rsidRPr="003171CD" w:rsidRDefault="005A65CE" w:rsidP="005A65CE">
      <w:pPr>
        <w:jc w:val="both"/>
        <w:rPr>
          <w:rFonts w:cs="Arial"/>
          <w:snapToGrid/>
          <w:lang w:val="en-US" w:eastAsia="en-US"/>
        </w:rPr>
      </w:pPr>
    </w:p>
    <w:p w14:paraId="1B2D561D"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According to the </w:t>
      </w:r>
      <w:r w:rsidR="000F6741" w:rsidRPr="003171CD">
        <w:rPr>
          <w:rFonts w:cs="Arial"/>
          <w:lang w:val="en-US"/>
        </w:rPr>
        <w:t xml:space="preserve">written report </w:t>
      </w:r>
      <w:r w:rsidRPr="003171CD">
        <w:rPr>
          <w:rFonts w:cs="Arial"/>
          <w:lang w:val="en-US"/>
        </w:rPr>
        <w:t>prepared by the Criminal Investigation Division of the National Civil Police, a</w:t>
      </w:r>
      <w:r w:rsidR="00536CE3" w:rsidRPr="003171CD">
        <w:rPr>
          <w:rFonts w:cs="Arial"/>
          <w:lang w:val="en-US"/>
        </w:rPr>
        <w:t xml:space="preserve">pproximately </w:t>
      </w:r>
      <w:r w:rsidRPr="003171CD">
        <w:rPr>
          <w:rFonts w:cs="Arial"/>
          <w:lang w:val="en-US"/>
        </w:rPr>
        <w:t xml:space="preserve">eight police </w:t>
      </w:r>
      <w:r w:rsidR="00FB20C8" w:rsidRPr="003171CD">
        <w:rPr>
          <w:rFonts w:cs="Arial"/>
          <w:lang w:val="en-US"/>
        </w:rPr>
        <w:t xml:space="preserve">officers </w:t>
      </w:r>
      <w:r w:rsidR="000F6741" w:rsidRPr="003171CD">
        <w:rPr>
          <w:rFonts w:cs="Arial"/>
          <w:lang w:val="en-US"/>
        </w:rPr>
        <w:t xml:space="preserve">accompanied by a </w:t>
      </w:r>
      <w:r w:rsidR="00940256" w:rsidRPr="003171CD">
        <w:rPr>
          <w:rFonts w:cs="Arial"/>
          <w:lang w:val="en-US"/>
        </w:rPr>
        <w:t>prosecutor</w:t>
      </w:r>
      <w:r w:rsidRPr="003171CD">
        <w:rPr>
          <w:rFonts w:cs="Arial"/>
          <w:lang w:val="en-US"/>
        </w:rPr>
        <w:t xml:space="preserve"> of the Special Crimes Unit, </w:t>
      </w:r>
      <w:r w:rsidR="000F6741" w:rsidRPr="003171CD">
        <w:rPr>
          <w:rFonts w:cs="Arial"/>
          <w:lang w:val="en-US"/>
        </w:rPr>
        <w:t xml:space="preserve">went to the home of </w:t>
      </w:r>
      <w:r w:rsidRPr="003171CD">
        <w:rPr>
          <w:rFonts w:cs="Arial"/>
          <w:lang w:val="en-US"/>
        </w:rPr>
        <w:t>Mr. Ruano Torres and forced the door open “because the persons in charge of the case believed the suspect to be dangerous.”</w:t>
      </w:r>
      <w:r w:rsidRPr="003171CD">
        <w:rPr>
          <w:vertAlign w:val="superscript"/>
          <w:lang w:val="en-US"/>
        </w:rPr>
        <w:footnoteReference w:id="58"/>
      </w:r>
      <w:r w:rsidRPr="003171CD">
        <w:rPr>
          <w:rFonts w:cs="Arial"/>
          <w:lang w:val="en-US"/>
        </w:rPr>
        <w:t xml:space="preserve"> According to the re</w:t>
      </w:r>
      <w:r w:rsidR="000F6741" w:rsidRPr="003171CD">
        <w:rPr>
          <w:rFonts w:cs="Arial"/>
          <w:lang w:val="en-US"/>
        </w:rPr>
        <w:t>port</w:t>
      </w:r>
      <w:r w:rsidRPr="003171CD">
        <w:rPr>
          <w:rFonts w:cs="Arial"/>
          <w:lang w:val="en-US"/>
        </w:rPr>
        <w:t xml:space="preserve">, Mr. Ruano Torres resisted </w:t>
      </w:r>
      <w:r w:rsidR="000F6741" w:rsidRPr="003171CD">
        <w:rPr>
          <w:rFonts w:cs="Arial"/>
          <w:lang w:val="en-US"/>
        </w:rPr>
        <w:t xml:space="preserve">the </w:t>
      </w:r>
      <w:r w:rsidRPr="003171CD">
        <w:rPr>
          <w:rFonts w:cs="Arial"/>
          <w:lang w:val="en-US"/>
        </w:rPr>
        <w:t xml:space="preserve">arrest </w:t>
      </w:r>
      <w:r w:rsidR="000F6741" w:rsidRPr="003171CD">
        <w:rPr>
          <w:rFonts w:cs="Arial"/>
          <w:lang w:val="en-US"/>
        </w:rPr>
        <w:t xml:space="preserve">and </w:t>
      </w:r>
      <w:r w:rsidR="00536CE3" w:rsidRPr="003171CD">
        <w:rPr>
          <w:rFonts w:cs="Arial"/>
          <w:lang w:val="en-US"/>
        </w:rPr>
        <w:t xml:space="preserve">therefore </w:t>
      </w:r>
      <w:r w:rsidR="000F6741" w:rsidRPr="003171CD">
        <w:rPr>
          <w:rFonts w:cs="Arial"/>
          <w:lang w:val="en-US"/>
        </w:rPr>
        <w:t xml:space="preserve">the police </w:t>
      </w:r>
      <w:r w:rsidR="00FB20C8" w:rsidRPr="003171CD">
        <w:rPr>
          <w:rFonts w:cs="Arial"/>
          <w:lang w:val="en-US"/>
        </w:rPr>
        <w:t xml:space="preserve">officers </w:t>
      </w:r>
      <w:r w:rsidR="000F6741" w:rsidRPr="003171CD">
        <w:rPr>
          <w:rFonts w:cs="Arial"/>
          <w:lang w:val="en-US"/>
        </w:rPr>
        <w:t xml:space="preserve">had to use </w:t>
      </w:r>
      <w:r w:rsidRPr="003171CD">
        <w:rPr>
          <w:rFonts w:cs="Arial"/>
          <w:lang w:val="en-US"/>
        </w:rPr>
        <w:t>“necessary force.”</w:t>
      </w:r>
      <w:r w:rsidRPr="003171CD">
        <w:rPr>
          <w:vertAlign w:val="superscript"/>
          <w:lang w:val="en-US"/>
        </w:rPr>
        <w:footnoteReference w:id="59"/>
      </w:r>
      <w:r w:rsidRPr="003171CD">
        <w:rPr>
          <w:rFonts w:cs="Arial"/>
          <w:lang w:val="en-US"/>
        </w:rPr>
        <w:t xml:space="preserve"> </w:t>
      </w:r>
      <w:r w:rsidR="000F6741" w:rsidRPr="003171CD">
        <w:rPr>
          <w:rFonts w:cs="Arial"/>
          <w:lang w:val="en-US"/>
        </w:rPr>
        <w:t xml:space="preserve">The report notes that Mr. Ruano Torres </w:t>
      </w:r>
      <w:r w:rsidRPr="003171CD">
        <w:rPr>
          <w:rFonts w:cs="Arial"/>
          <w:lang w:val="en-US"/>
        </w:rPr>
        <w:t xml:space="preserve">was shown the administrative arrest warrant </w:t>
      </w:r>
      <w:r w:rsidR="000F6741" w:rsidRPr="003171CD">
        <w:rPr>
          <w:rFonts w:cs="Arial"/>
          <w:lang w:val="en-US"/>
        </w:rPr>
        <w:t xml:space="preserve">issued in his name and that he was </w:t>
      </w:r>
      <w:r w:rsidRPr="003171CD">
        <w:rPr>
          <w:rFonts w:cs="Arial"/>
          <w:lang w:val="en-US"/>
        </w:rPr>
        <w:t>made aware of his rights; his identification card</w:t>
      </w:r>
      <w:r w:rsidR="000F6741" w:rsidRPr="003171CD">
        <w:rPr>
          <w:rFonts w:cs="Arial"/>
          <w:lang w:val="en-US"/>
        </w:rPr>
        <w:t xml:space="preserve"> was checked</w:t>
      </w:r>
      <w:r w:rsidRPr="003171CD">
        <w:rPr>
          <w:rFonts w:cs="Arial"/>
          <w:lang w:val="en-US"/>
        </w:rPr>
        <w:t xml:space="preserve">; and he was asked </w:t>
      </w:r>
      <w:r w:rsidR="000F6741" w:rsidRPr="003171CD">
        <w:rPr>
          <w:rFonts w:cs="Arial"/>
          <w:lang w:val="en-US"/>
        </w:rPr>
        <w:t xml:space="preserve">whether he </w:t>
      </w:r>
      <w:r w:rsidR="009C0CED" w:rsidRPr="003171CD">
        <w:rPr>
          <w:rFonts w:cs="Arial"/>
          <w:lang w:val="en-US"/>
        </w:rPr>
        <w:t xml:space="preserve">would appoint a private </w:t>
      </w:r>
      <w:r w:rsidRPr="003171CD">
        <w:rPr>
          <w:rFonts w:cs="Arial"/>
          <w:lang w:val="en-US"/>
        </w:rPr>
        <w:t>defens</w:t>
      </w:r>
      <w:r w:rsidR="009C0CED" w:rsidRPr="003171CD">
        <w:rPr>
          <w:rFonts w:cs="Arial"/>
          <w:lang w:val="en-US"/>
        </w:rPr>
        <w:t xml:space="preserve">e counsel </w:t>
      </w:r>
      <w:r w:rsidRPr="003171CD">
        <w:rPr>
          <w:rFonts w:cs="Arial"/>
          <w:lang w:val="en-US"/>
        </w:rPr>
        <w:t>to which he answered “no.”</w:t>
      </w:r>
      <w:r w:rsidRPr="003171CD">
        <w:rPr>
          <w:vertAlign w:val="superscript"/>
          <w:lang w:val="en-US"/>
        </w:rPr>
        <w:footnoteReference w:id="60"/>
      </w:r>
      <w:r w:rsidRPr="003171CD">
        <w:rPr>
          <w:rFonts w:cs="Arial"/>
          <w:lang w:val="en-US"/>
        </w:rPr>
        <w:t xml:space="preserve"> </w:t>
      </w:r>
      <w:r w:rsidR="000F6741" w:rsidRPr="003171CD">
        <w:rPr>
          <w:rFonts w:cs="Arial"/>
          <w:lang w:val="en-US"/>
        </w:rPr>
        <w:t>During the search, t</w:t>
      </w:r>
      <w:r w:rsidRPr="003171CD">
        <w:rPr>
          <w:rFonts w:cs="Arial"/>
          <w:lang w:val="en-US"/>
        </w:rPr>
        <w:t xml:space="preserve">he police </w:t>
      </w:r>
      <w:r w:rsidR="00FB20C8" w:rsidRPr="003171CD">
        <w:rPr>
          <w:rFonts w:cs="Arial"/>
          <w:lang w:val="en-US"/>
        </w:rPr>
        <w:t>officers</w:t>
      </w:r>
      <w:r w:rsidRPr="003171CD">
        <w:rPr>
          <w:rFonts w:cs="Arial"/>
          <w:lang w:val="en-US"/>
        </w:rPr>
        <w:t xml:space="preserve"> indicated that “</w:t>
      </w:r>
      <w:r w:rsidR="000F6741" w:rsidRPr="003171CD">
        <w:rPr>
          <w:rFonts w:cs="Arial"/>
          <w:lang w:val="en-US"/>
        </w:rPr>
        <w:t>they did not find any of the items they were looking for</w:t>
      </w:r>
      <w:r w:rsidR="009C0CED" w:rsidRPr="003171CD">
        <w:rPr>
          <w:rFonts w:cs="Arial"/>
          <w:lang w:val="en-US"/>
        </w:rPr>
        <w:t>.</w:t>
      </w:r>
      <w:r w:rsidRPr="003171CD">
        <w:rPr>
          <w:rFonts w:cs="Arial"/>
          <w:lang w:val="en-US"/>
        </w:rPr>
        <w:t>”</w:t>
      </w:r>
      <w:r w:rsidRPr="003171CD">
        <w:rPr>
          <w:vertAlign w:val="superscript"/>
          <w:lang w:val="en-US"/>
        </w:rPr>
        <w:footnoteReference w:id="61"/>
      </w:r>
      <w:r w:rsidRPr="003171CD">
        <w:rPr>
          <w:rFonts w:cs="Arial"/>
          <w:lang w:val="en-US"/>
        </w:rPr>
        <w:t xml:space="preserve"> However, they proceeded to </w:t>
      </w:r>
      <w:r w:rsidR="009C0CED" w:rsidRPr="003171CD">
        <w:rPr>
          <w:rFonts w:cs="Arial"/>
          <w:lang w:val="en-US"/>
        </w:rPr>
        <w:t xml:space="preserve">seize </w:t>
      </w:r>
      <w:r w:rsidRPr="003171CD">
        <w:rPr>
          <w:rFonts w:cs="Arial"/>
          <w:lang w:val="en-US"/>
        </w:rPr>
        <w:t>“a camouflage hat, four cart</w:t>
      </w:r>
      <w:r w:rsidR="009C0CED" w:rsidRPr="003171CD">
        <w:rPr>
          <w:rFonts w:cs="Arial"/>
          <w:lang w:val="en-US"/>
        </w:rPr>
        <w:t xml:space="preserve">ridges </w:t>
      </w:r>
      <w:r w:rsidRPr="003171CD">
        <w:rPr>
          <w:rFonts w:cs="Arial"/>
          <w:lang w:val="en-US"/>
        </w:rPr>
        <w:t xml:space="preserve">[… and] two color photographs of the </w:t>
      </w:r>
      <w:r w:rsidR="000F6741" w:rsidRPr="003171CD">
        <w:rPr>
          <w:rFonts w:cs="Arial"/>
          <w:lang w:val="en-US"/>
        </w:rPr>
        <w:t xml:space="preserve">suspect, </w:t>
      </w:r>
      <w:r w:rsidRPr="003171CD">
        <w:rPr>
          <w:rFonts w:cs="Arial"/>
          <w:lang w:val="en-US"/>
        </w:rPr>
        <w:t>in which he appears with an M16 rifle.”</w:t>
      </w:r>
      <w:r w:rsidRPr="003171CD">
        <w:rPr>
          <w:vertAlign w:val="superscript"/>
          <w:lang w:val="en-US"/>
        </w:rPr>
        <w:footnoteReference w:id="62"/>
      </w:r>
    </w:p>
    <w:p w14:paraId="354D624A" w14:textId="77777777" w:rsidR="005A65CE" w:rsidRPr="003171CD" w:rsidRDefault="005A65CE" w:rsidP="005A65CE">
      <w:pPr>
        <w:jc w:val="both"/>
        <w:rPr>
          <w:rFonts w:cs="Arial"/>
          <w:snapToGrid/>
          <w:lang w:val="en-US" w:eastAsia="en-US"/>
        </w:rPr>
      </w:pPr>
    </w:p>
    <w:p w14:paraId="74C07CDB" w14:textId="77777777" w:rsidR="005A65CE" w:rsidRPr="003171CD" w:rsidRDefault="00C72AF0" w:rsidP="005A65CE">
      <w:pPr>
        <w:pStyle w:val="Prrafodelista"/>
        <w:numPr>
          <w:ilvl w:val="0"/>
          <w:numId w:val="1"/>
        </w:numPr>
        <w:tabs>
          <w:tab w:val="left" w:pos="720"/>
        </w:tabs>
        <w:ind w:right="-90"/>
        <w:jc w:val="both"/>
        <w:rPr>
          <w:rFonts w:cs="Arial"/>
          <w:lang w:val="en-US"/>
        </w:rPr>
      </w:pPr>
      <w:r w:rsidRPr="003171CD">
        <w:rPr>
          <w:rFonts w:cs="Arial"/>
          <w:lang w:val="en-US"/>
        </w:rPr>
        <w:t xml:space="preserve">With regard to </w:t>
      </w:r>
      <w:r w:rsidR="005A65CE" w:rsidRPr="003171CD">
        <w:rPr>
          <w:rFonts w:cs="Arial"/>
          <w:lang w:val="en-US"/>
        </w:rPr>
        <w:t xml:space="preserve">these facts, Mr. Ruano Torres </w:t>
      </w:r>
      <w:r w:rsidR="00A502B5" w:rsidRPr="003171CD">
        <w:rPr>
          <w:rFonts w:cs="Arial"/>
          <w:lang w:val="en-US"/>
        </w:rPr>
        <w:t xml:space="preserve">stated </w:t>
      </w:r>
      <w:r w:rsidR="005A65CE" w:rsidRPr="003171CD">
        <w:rPr>
          <w:rFonts w:cs="Arial"/>
          <w:lang w:val="en-US"/>
        </w:rPr>
        <w:t xml:space="preserve">that he was sleeping when the police </w:t>
      </w:r>
      <w:r w:rsidR="00FB20C8" w:rsidRPr="003171CD">
        <w:rPr>
          <w:rFonts w:cs="Arial"/>
          <w:lang w:val="en-US"/>
        </w:rPr>
        <w:t xml:space="preserve">officers </w:t>
      </w:r>
      <w:r w:rsidRPr="003171CD">
        <w:rPr>
          <w:rFonts w:cs="Arial"/>
          <w:lang w:val="en-US"/>
        </w:rPr>
        <w:t xml:space="preserve">broke down the door </w:t>
      </w:r>
      <w:r w:rsidR="00926009" w:rsidRPr="003171CD">
        <w:rPr>
          <w:rFonts w:cs="Arial"/>
          <w:lang w:val="en-US"/>
        </w:rPr>
        <w:t xml:space="preserve">to </w:t>
      </w:r>
      <w:r w:rsidRPr="003171CD">
        <w:rPr>
          <w:rFonts w:cs="Arial"/>
          <w:lang w:val="en-US"/>
        </w:rPr>
        <w:t xml:space="preserve">his home and </w:t>
      </w:r>
      <w:r w:rsidR="005A65CE" w:rsidRPr="003171CD">
        <w:rPr>
          <w:rFonts w:cs="Arial"/>
          <w:lang w:val="en-US"/>
        </w:rPr>
        <w:t xml:space="preserve">proceeded to </w:t>
      </w:r>
      <w:r w:rsidR="00926009" w:rsidRPr="003171CD">
        <w:rPr>
          <w:rFonts w:cs="Arial"/>
          <w:lang w:val="en-US"/>
        </w:rPr>
        <w:t xml:space="preserve">hit </w:t>
      </w:r>
      <w:r w:rsidR="00DF29D2" w:rsidRPr="003171CD">
        <w:rPr>
          <w:rFonts w:cs="Arial"/>
          <w:lang w:val="en-US"/>
        </w:rPr>
        <w:t>him</w:t>
      </w:r>
      <w:r w:rsidR="00926009" w:rsidRPr="003171CD">
        <w:rPr>
          <w:rFonts w:cs="Arial"/>
          <w:lang w:val="en-US"/>
        </w:rPr>
        <w:t xml:space="preserve">, aiming a blow toward </w:t>
      </w:r>
      <w:r w:rsidR="00926009" w:rsidRPr="003171CD">
        <w:rPr>
          <w:lang w:val="en-US"/>
        </w:rPr>
        <w:t>his n</w:t>
      </w:r>
      <w:r w:rsidRPr="003171CD">
        <w:rPr>
          <w:rFonts w:cs="Arial"/>
          <w:lang w:val="en-US"/>
        </w:rPr>
        <w:t>eck.</w:t>
      </w:r>
      <w:r w:rsidR="005A65CE" w:rsidRPr="003171CD">
        <w:rPr>
          <w:rFonts w:cs="Arial"/>
          <w:lang w:val="en-US"/>
        </w:rPr>
        <w:t xml:space="preserve"> </w:t>
      </w:r>
      <w:r w:rsidRPr="003171CD">
        <w:rPr>
          <w:rFonts w:cs="Arial"/>
          <w:lang w:val="en-US"/>
        </w:rPr>
        <w:t>The</w:t>
      </w:r>
      <w:r w:rsidR="00926009" w:rsidRPr="003171CD">
        <w:rPr>
          <w:rFonts w:cs="Arial"/>
          <w:lang w:val="en-US"/>
        </w:rPr>
        <w:t>n the</w:t>
      </w:r>
      <w:r w:rsidRPr="003171CD">
        <w:rPr>
          <w:rFonts w:cs="Arial"/>
          <w:lang w:val="en-US"/>
        </w:rPr>
        <w:t xml:space="preserve">y </w:t>
      </w:r>
      <w:r w:rsidR="005A65CE" w:rsidRPr="003171CD">
        <w:rPr>
          <w:rFonts w:cs="Arial"/>
          <w:lang w:val="en-US"/>
        </w:rPr>
        <w:t xml:space="preserve">threw him to the ground, handcuffed him and dragged him out of the house, accusing him of being </w:t>
      </w:r>
      <w:r w:rsidR="00A96DF3" w:rsidRPr="003171CD">
        <w:rPr>
          <w:rFonts w:cs="Arial"/>
          <w:i/>
          <w:lang w:val="en-US"/>
        </w:rPr>
        <w:t>Chopo</w:t>
      </w:r>
      <w:r w:rsidR="005A65CE" w:rsidRPr="003171CD">
        <w:rPr>
          <w:rFonts w:cs="Arial"/>
          <w:i/>
          <w:lang w:val="en-US"/>
        </w:rPr>
        <w:t>.</w:t>
      </w:r>
      <w:r w:rsidR="005A65CE" w:rsidRPr="003171CD">
        <w:rPr>
          <w:rFonts w:cs="Arial"/>
          <w:lang w:val="en-US"/>
        </w:rPr>
        <w:t xml:space="preserve"> Once outside, one of the officers, “</w:t>
      </w:r>
      <w:r w:rsidR="00926009" w:rsidRPr="003171CD">
        <w:rPr>
          <w:rFonts w:cs="Arial"/>
          <w:lang w:val="en-US"/>
        </w:rPr>
        <w:t xml:space="preserve">using </w:t>
      </w:r>
      <w:r w:rsidR="005A65CE" w:rsidRPr="003171CD">
        <w:rPr>
          <w:rFonts w:cs="Arial"/>
          <w:lang w:val="en-US"/>
        </w:rPr>
        <w:t xml:space="preserve">the heel of his boot </w:t>
      </w:r>
      <w:r w:rsidR="00DF29D2" w:rsidRPr="003171CD">
        <w:rPr>
          <w:rFonts w:cs="Arial"/>
          <w:lang w:val="en-US"/>
        </w:rPr>
        <w:t xml:space="preserve">kicked </w:t>
      </w:r>
      <w:r w:rsidR="005A65CE" w:rsidRPr="003171CD">
        <w:rPr>
          <w:rFonts w:cs="Arial"/>
          <w:lang w:val="en-US"/>
        </w:rPr>
        <w:t>[</w:t>
      </w:r>
      <w:r w:rsidR="00DF29D2" w:rsidRPr="003171CD">
        <w:rPr>
          <w:rFonts w:cs="Arial"/>
          <w:lang w:val="en-US"/>
        </w:rPr>
        <w:t>him</w:t>
      </w:r>
      <w:r w:rsidR="005A65CE" w:rsidRPr="003171CD">
        <w:rPr>
          <w:rFonts w:cs="Arial"/>
          <w:lang w:val="en-US"/>
        </w:rPr>
        <w:t xml:space="preserve">] </w:t>
      </w:r>
      <w:r w:rsidR="00DF29D2" w:rsidRPr="003171CD">
        <w:rPr>
          <w:rFonts w:cs="Arial"/>
          <w:lang w:val="en-US"/>
        </w:rPr>
        <w:t xml:space="preserve">on the foot, </w:t>
      </w:r>
      <w:r w:rsidR="005A65CE" w:rsidRPr="003171CD">
        <w:rPr>
          <w:rFonts w:cs="Arial"/>
          <w:lang w:val="en-US"/>
        </w:rPr>
        <w:t>d</w:t>
      </w:r>
      <w:r w:rsidR="00DF29D2" w:rsidRPr="003171CD">
        <w:rPr>
          <w:rFonts w:cs="Arial"/>
          <w:lang w:val="en-US"/>
        </w:rPr>
        <w:t xml:space="preserve">islocating </w:t>
      </w:r>
      <w:r w:rsidR="005A65CE" w:rsidRPr="003171CD">
        <w:rPr>
          <w:rFonts w:cs="Arial"/>
          <w:lang w:val="en-US"/>
        </w:rPr>
        <w:t>[</w:t>
      </w:r>
      <w:r w:rsidR="00DF29D2" w:rsidRPr="003171CD">
        <w:rPr>
          <w:rFonts w:cs="Arial"/>
          <w:lang w:val="en-US"/>
        </w:rPr>
        <w:t>his</w:t>
      </w:r>
      <w:r w:rsidR="005A65CE" w:rsidRPr="003171CD">
        <w:rPr>
          <w:rFonts w:cs="Arial"/>
          <w:lang w:val="en-US"/>
        </w:rPr>
        <w:t>]</w:t>
      </w:r>
      <w:r w:rsidR="00DF29D2" w:rsidRPr="003171CD">
        <w:rPr>
          <w:rFonts w:cs="Arial"/>
          <w:lang w:val="en-US"/>
        </w:rPr>
        <w:t xml:space="preserve"> big toe,”</w:t>
      </w:r>
      <w:r w:rsidR="005A65CE" w:rsidRPr="003171CD">
        <w:rPr>
          <w:rFonts w:cs="Arial"/>
          <w:lang w:val="en-US"/>
        </w:rPr>
        <w:t xml:space="preserve"> and threatened to kill him if he did not tell the </w:t>
      </w:r>
      <w:r w:rsidR="00A502B5" w:rsidRPr="003171CD">
        <w:rPr>
          <w:rFonts w:cs="Arial"/>
          <w:lang w:val="en-US"/>
        </w:rPr>
        <w:t>truth about his name. Then, “[they</w:t>
      </w:r>
      <w:r w:rsidR="005A65CE" w:rsidRPr="003171CD">
        <w:rPr>
          <w:rFonts w:cs="Arial"/>
          <w:lang w:val="en-US"/>
        </w:rPr>
        <w:t>] began to m</w:t>
      </w:r>
      <w:r w:rsidR="00A502B5" w:rsidRPr="003171CD">
        <w:rPr>
          <w:rFonts w:cs="Arial"/>
          <w:lang w:val="en-US"/>
        </w:rPr>
        <w:t xml:space="preserve">istreat </w:t>
      </w:r>
      <w:r w:rsidR="00F9792A" w:rsidRPr="003171CD">
        <w:rPr>
          <w:rFonts w:cs="Arial"/>
          <w:lang w:val="en-US"/>
        </w:rPr>
        <w:t>[</w:t>
      </w:r>
      <w:r w:rsidR="005A65CE" w:rsidRPr="003171CD">
        <w:rPr>
          <w:rFonts w:cs="Arial"/>
          <w:lang w:val="en-US"/>
        </w:rPr>
        <w:t>him</w:t>
      </w:r>
      <w:r w:rsidR="00F9792A" w:rsidRPr="003171CD">
        <w:rPr>
          <w:rFonts w:cs="Arial"/>
          <w:lang w:val="en-US"/>
        </w:rPr>
        <w:t>]</w:t>
      </w:r>
      <w:r w:rsidR="005A65CE" w:rsidRPr="003171CD">
        <w:rPr>
          <w:rFonts w:cs="Arial"/>
          <w:lang w:val="en-US"/>
        </w:rPr>
        <w:t xml:space="preserve">, </w:t>
      </w:r>
      <w:r w:rsidR="00F9792A" w:rsidRPr="003171CD">
        <w:rPr>
          <w:rFonts w:cs="Arial"/>
          <w:lang w:val="en-US"/>
        </w:rPr>
        <w:t xml:space="preserve">loaded </w:t>
      </w:r>
      <w:r w:rsidR="00926009" w:rsidRPr="003171CD">
        <w:rPr>
          <w:rFonts w:cs="Arial"/>
          <w:lang w:val="en-US"/>
        </w:rPr>
        <w:t xml:space="preserve">a </w:t>
      </w:r>
      <w:r w:rsidR="005A65CE" w:rsidRPr="003171CD">
        <w:rPr>
          <w:rFonts w:cs="Arial"/>
          <w:lang w:val="en-US"/>
        </w:rPr>
        <w:t xml:space="preserve">rifle </w:t>
      </w:r>
      <w:r w:rsidR="00F9792A" w:rsidRPr="003171CD">
        <w:rPr>
          <w:rFonts w:cs="Arial"/>
          <w:lang w:val="en-US"/>
        </w:rPr>
        <w:t>and said that [he] would be killed</w:t>
      </w:r>
      <w:r w:rsidR="005A65CE" w:rsidRPr="003171CD">
        <w:rPr>
          <w:rFonts w:cs="Arial"/>
          <w:lang w:val="en-US"/>
        </w:rPr>
        <w:t>, p</w:t>
      </w:r>
      <w:r w:rsidR="00F9792A" w:rsidRPr="003171CD">
        <w:rPr>
          <w:rFonts w:cs="Arial"/>
          <w:lang w:val="en-US"/>
        </w:rPr>
        <w:t>laced a</w:t>
      </w:r>
      <w:r w:rsidR="00DF29D2" w:rsidRPr="003171CD">
        <w:rPr>
          <w:rFonts w:cs="Arial"/>
          <w:lang w:val="en-US"/>
        </w:rPr>
        <w:t xml:space="preserve"> </w:t>
      </w:r>
      <w:r w:rsidR="005A65CE" w:rsidRPr="003171CD">
        <w:rPr>
          <w:rFonts w:cs="Arial"/>
          <w:lang w:val="en-US"/>
        </w:rPr>
        <w:t>bo</w:t>
      </w:r>
      <w:r w:rsidR="009C0CED" w:rsidRPr="003171CD">
        <w:rPr>
          <w:rFonts w:cs="Arial"/>
          <w:lang w:val="en-US"/>
        </w:rPr>
        <w:t>ot</w:t>
      </w:r>
      <w:r w:rsidR="005A65CE" w:rsidRPr="003171CD">
        <w:rPr>
          <w:rFonts w:cs="Arial"/>
          <w:lang w:val="en-US"/>
        </w:rPr>
        <w:t xml:space="preserve"> on </w:t>
      </w:r>
      <w:r w:rsidR="00F9792A" w:rsidRPr="003171CD">
        <w:rPr>
          <w:rFonts w:cs="Arial"/>
          <w:lang w:val="en-US"/>
        </w:rPr>
        <w:t xml:space="preserve">[his] </w:t>
      </w:r>
      <w:r w:rsidR="00926009" w:rsidRPr="003171CD">
        <w:rPr>
          <w:rFonts w:cs="Arial"/>
          <w:lang w:val="en-US"/>
        </w:rPr>
        <w:t>neck and</w:t>
      </w:r>
      <w:r w:rsidR="005A65CE" w:rsidRPr="003171CD">
        <w:rPr>
          <w:rFonts w:cs="Arial"/>
          <w:lang w:val="en-US"/>
        </w:rPr>
        <w:t xml:space="preserve"> </w:t>
      </w:r>
      <w:r w:rsidR="00B043A0" w:rsidRPr="003171CD">
        <w:rPr>
          <w:rFonts w:cs="Arial"/>
          <w:lang w:val="en-US"/>
        </w:rPr>
        <w:t xml:space="preserve">smeared [him] with </w:t>
      </w:r>
      <w:r w:rsidR="005A65CE" w:rsidRPr="003171CD">
        <w:rPr>
          <w:rFonts w:cs="Arial"/>
          <w:lang w:val="en-US"/>
        </w:rPr>
        <w:t xml:space="preserve">dog excrement […]and </w:t>
      </w:r>
      <w:r w:rsidR="00B043A0" w:rsidRPr="003171CD">
        <w:rPr>
          <w:rFonts w:cs="Arial"/>
          <w:lang w:val="en-US"/>
        </w:rPr>
        <w:t>told</w:t>
      </w:r>
      <w:r w:rsidR="005A65CE" w:rsidRPr="003171CD">
        <w:rPr>
          <w:rFonts w:cs="Arial"/>
          <w:lang w:val="en-US"/>
        </w:rPr>
        <w:t>[</w:t>
      </w:r>
      <w:r w:rsidR="00B043A0" w:rsidRPr="003171CD">
        <w:rPr>
          <w:rFonts w:cs="Arial"/>
          <w:lang w:val="en-US"/>
        </w:rPr>
        <w:t>him]</w:t>
      </w:r>
      <w:r w:rsidR="005A65CE" w:rsidRPr="003171CD">
        <w:rPr>
          <w:rFonts w:cs="Arial"/>
          <w:lang w:val="en-US"/>
        </w:rPr>
        <w:t xml:space="preserve"> </w:t>
      </w:r>
      <w:r w:rsidR="00B043A0" w:rsidRPr="003171CD">
        <w:rPr>
          <w:rFonts w:cs="Arial"/>
          <w:lang w:val="en-US"/>
        </w:rPr>
        <w:t xml:space="preserve">to say </w:t>
      </w:r>
      <w:r w:rsidR="005A65CE" w:rsidRPr="003171CD">
        <w:rPr>
          <w:rFonts w:cs="Arial"/>
          <w:lang w:val="en-US"/>
        </w:rPr>
        <w:t xml:space="preserve">[…] who his companions [were], </w:t>
      </w:r>
      <w:r w:rsidR="002F60E3" w:rsidRPr="003171CD">
        <w:rPr>
          <w:rFonts w:cs="Arial"/>
          <w:lang w:val="en-US"/>
        </w:rPr>
        <w:t xml:space="preserve">bent [his] arms back </w:t>
      </w:r>
      <w:r w:rsidR="005A65CE" w:rsidRPr="003171CD">
        <w:rPr>
          <w:rFonts w:cs="Arial"/>
          <w:lang w:val="en-US"/>
        </w:rPr>
        <w:t xml:space="preserve">[…] </w:t>
      </w:r>
      <w:r w:rsidR="002F60E3" w:rsidRPr="003171CD">
        <w:rPr>
          <w:rFonts w:cs="Arial"/>
          <w:lang w:val="en-US"/>
        </w:rPr>
        <w:t xml:space="preserve">while he was </w:t>
      </w:r>
      <w:r w:rsidR="00B043A0" w:rsidRPr="003171CD">
        <w:rPr>
          <w:rFonts w:cs="Arial"/>
          <w:lang w:val="en-US"/>
        </w:rPr>
        <w:t>handcuffed</w:t>
      </w:r>
      <w:r w:rsidR="002F60E3" w:rsidRPr="003171CD">
        <w:rPr>
          <w:rFonts w:cs="Arial"/>
          <w:lang w:val="en-US"/>
        </w:rPr>
        <w:t>, […</w:t>
      </w:r>
      <w:r w:rsidR="005A65CE" w:rsidRPr="003171CD">
        <w:rPr>
          <w:rFonts w:cs="Arial"/>
          <w:lang w:val="en-US"/>
        </w:rPr>
        <w:t xml:space="preserve">] </w:t>
      </w:r>
      <w:r w:rsidR="002F60E3" w:rsidRPr="003171CD">
        <w:rPr>
          <w:rFonts w:cs="Arial"/>
          <w:lang w:val="en-US"/>
        </w:rPr>
        <w:t xml:space="preserve">then pushed them forward </w:t>
      </w:r>
      <w:r w:rsidR="005A65CE" w:rsidRPr="003171CD">
        <w:rPr>
          <w:rFonts w:cs="Arial"/>
          <w:lang w:val="en-US"/>
        </w:rPr>
        <w:t xml:space="preserve">[…] and </w:t>
      </w:r>
      <w:r w:rsidR="002F60E3" w:rsidRPr="003171CD">
        <w:rPr>
          <w:rFonts w:cs="Arial"/>
          <w:lang w:val="en-US"/>
        </w:rPr>
        <w:t>hit [his] neck</w:t>
      </w:r>
      <w:r w:rsidR="005A65CE" w:rsidRPr="003171CD">
        <w:rPr>
          <w:rFonts w:cs="Arial"/>
          <w:lang w:val="en-US"/>
        </w:rPr>
        <w:t>, […] after that [</w:t>
      </w:r>
      <w:r w:rsidR="00B043A0" w:rsidRPr="003171CD">
        <w:rPr>
          <w:rFonts w:cs="Arial"/>
          <w:lang w:val="en-US"/>
        </w:rPr>
        <w:t>he</w:t>
      </w:r>
      <w:r w:rsidR="005A65CE" w:rsidRPr="003171CD">
        <w:rPr>
          <w:rFonts w:cs="Arial"/>
          <w:lang w:val="en-US"/>
        </w:rPr>
        <w:t xml:space="preserve">] </w:t>
      </w:r>
      <w:r w:rsidR="00B043A0" w:rsidRPr="003171CD">
        <w:rPr>
          <w:rFonts w:cs="Arial"/>
          <w:lang w:val="en-US"/>
        </w:rPr>
        <w:t xml:space="preserve">was pushed out into the street </w:t>
      </w:r>
      <w:r w:rsidR="00A502B5" w:rsidRPr="003171CD">
        <w:rPr>
          <w:rFonts w:cs="Arial"/>
          <w:lang w:val="en-US"/>
        </w:rPr>
        <w:t>[… and</w:t>
      </w:r>
      <w:r w:rsidR="005A65CE" w:rsidRPr="003171CD">
        <w:rPr>
          <w:rFonts w:cs="Arial"/>
          <w:lang w:val="en-US"/>
        </w:rPr>
        <w:t xml:space="preserve">] in the patrol car [an officer] put a rope […] </w:t>
      </w:r>
      <w:r w:rsidR="00A502B5" w:rsidRPr="003171CD">
        <w:rPr>
          <w:rFonts w:cs="Arial"/>
          <w:lang w:val="en-US"/>
        </w:rPr>
        <w:t>a</w:t>
      </w:r>
      <w:r w:rsidR="005A65CE" w:rsidRPr="003171CD">
        <w:rPr>
          <w:rFonts w:cs="Arial"/>
          <w:lang w:val="en-US"/>
        </w:rPr>
        <w:t xml:space="preserve">round his neck, […] </w:t>
      </w:r>
      <w:r w:rsidR="002F60E3" w:rsidRPr="003171CD">
        <w:rPr>
          <w:rFonts w:cs="Arial"/>
          <w:lang w:val="en-US"/>
        </w:rPr>
        <w:t>tightened it for one</w:t>
      </w:r>
      <w:r w:rsidR="005A65CE" w:rsidRPr="003171CD">
        <w:rPr>
          <w:rFonts w:cs="Arial"/>
          <w:lang w:val="en-US"/>
        </w:rPr>
        <w:t xml:space="preserve"> moment […, another officer] </w:t>
      </w:r>
      <w:r w:rsidR="00B043A0" w:rsidRPr="003171CD">
        <w:rPr>
          <w:rFonts w:cs="Arial"/>
          <w:lang w:val="en-US"/>
        </w:rPr>
        <w:t xml:space="preserve">told him </w:t>
      </w:r>
      <w:r w:rsidR="005A65CE" w:rsidRPr="003171CD">
        <w:rPr>
          <w:rFonts w:cs="Arial"/>
          <w:lang w:val="en-US"/>
        </w:rPr>
        <w:t>`</w:t>
      </w:r>
      <w:r w:rsidR="00A502B5" w:rsidRPr="003171CD">
        <w:rPr>
          <w:rFonts w:cs="Arial"/>
          <w:lang w:val="en-US"/>
        </w:rPr>
        <w:t>you’re strangling him</w:t>
      </w:r>
      <w:r w:rsidR="005A65CE" w:rsidRPr="003171CD">
        <w:rPr>
          <w:rFonts w:cs="Arial"/>
          <w:lang w:val="en-US"/>
        </w:rPr>
        <w:t xml:space="preserve">, </w:t>
      </w:r>
      <w:r w:rsidR="00B043A0" w:rsidRPr="003171CD">
        <w:rPr>
          <w:rFonts w:cs="Arial"/>
          <w:lang w:val="en-US"/>
        </w:rPr>
        <w:t>take the rope off him’</w:t>
      </w:r>
      <w:r w:rsidR="002F60E3" w:rsidRPr="003171CD">
        <w:rPr>
          <w:rFonts w:cs="Arial"/>
          <w:lang w:val="en-US"/>
        </w:rPr>
        <w:t>, [then</w:t>
      </w:r>
      <w:r w:rsidR="005A65CE" w:rsidRPr="003171CD">
        <w:rPr>
          <w:rFonts w:cs="Arial"/>
          <w:lang w:val="en-US"/>
        </w:rPr>
        <w:t xml:space="preserve">] </w:t>
      </w:r>
      <w:r w:rsidR="00926009" w:rsidRPr="003171CD">
        <w:rPr>
          <w:rFonts w:cs="Arial"/>
          <w:lang w:val="en-US"/>
        </w:rPr>
        <w:t xml:space="preserve">a blow </w:t>
      </w:r>
      <w:r w:rsidR="002F60E3" w:rsidRPr="003171CD">
        <w:rPr>
          <w:rFonts w:cs="Arial"/>
          <w:lang w:val="en-US"/>
        </w:rPr>
        <w:t xml:space="preserve">was […] </w:t>
      </w:r>
      <w:r w:rsidR="00926009" w:rsidRPr="003171CD">
        <w:rPr>
          <w:rFonts w:cs="Arial"/>
          <w:lang w:val="en-US"/>
        </w:rPr>
        <w:t xml:space="preserve">aimed at </w:t>
      </w:r>
      <w:r w:rsidR="005A65CE" w:rsidRPr="003171CD">
        <w:rPr>
          <w:rFonts w:cs="Arial"/>
          <w:lang w:val="en-US"/>
        </w:rPr>
        <w:t xml:space="preserve">his throat, </w:t>
      </w:r>
      <w:r w:rsidR="002F60E3" w:rsidRPr="003171CD">
        <w:rPr>
          <w:rFonts w:cs="Arial"/>
          <w:lang w:val="en-US"/>
        </w:rPr>
        <w:t xml:space="preserve">which </w:t>
      </w:r>
      <w:r w:rsidR="00926009" w:rsidRPr="003171CD">
        <w:rPr>
          <w:rFonts w:cs="Arial"/>
          <w:lang w:val="en-US"/>
        </w:rPr>
        <w:t>almost knocked him out</w:t>
      </w:r>
      <w:r w:rsidR="00A502B5" w:rsidRPr="003171CD">
        <w:rPr>
          <w:rFonts w:cs="Arial"/>
          <w:lang w:val="en-US"/>
        </w:rPr>
        <w:t>.</w:t>
      </w:r>
      <w:r w:rsidR="005A65CE" w:rsidRPr="003171CD">
        <w:rPr>
          <w:rFonts w:cs="Arial"/>
          <w:lang w:val="en-US"/>
        </w:rPr>
        <w:t>”</w:t>
      </w:r>
      <w:r w:rsidR="005A65CE" w:rsidRPr="003171CD">
        <w:rPr>
          <w:vertAlign w:val="superscript"/>
          <w:lang w:val="en-US"/>
        </w:rPr>
        <w:footnoteReference w:id="63"/>
      </w:r>
      <w:r w:rsidR="00FB20C8" w:rsidRPr="003171CD">
        <w:rPr>
          <w:rFonts w:cs="Arial"/>
          <w:lang w:val="en-US"/>
        </w:rPr>
        <w:t xml:space="preserve"> Mr. Ruano Torres</w:t>
      </w:r>
      <w:r w:rsidR="005A65CE" w:rsidRPr="003171CD">
        <w:rPr>
          <w:rFonts w:cs="Arial"/>
          <w:lang w:val="en-US"/>
        </w:rPr>
        <w:t xml:space="preserve"> also </w:t>
      </w:r>
      <w:r w:rsidR="002F60E3" w:rsidRPr="003171CD">
        <w:rPr>
          <w:rFonts w:cs="Arial"/>
          <w:lang w:val="en-US"/>
        </w:rPr>
        <w:t>alleged that he wa</w:t>
      </w:r>
      <w:r w:rsidR="00985F1B" w:rsidRPr="003171CD">
        <w:rPr>
          <w:rFonts w:cs="Arial"/>
          <w:lang w:val="en-US"/>
        </w:rPr>
        <w:t>s threatened with death so that</w:t>
      </w:r>
      <w:r w:rsidR="002F60E3" w:rsidRPr="003171CD">
        <w:rPr>
          <w:rFonts w:cs="Arial"/>
          <w:lang w:val="en-US"/>
        </w:rPr>
        <w:t xml:space="preserve"> when </w:t>
      </w:r>
      <w:r w:rsidR="002F60E3" w:rsidRPr="003171CD">
        <w:rPr>
          <w:rFonts w:cs="Arial"/>
          <w:lang w:val="en-US"/>
        </w:rPr>
        <w:lastRenderedPageBreak/>
        <w:t>he faced the</w:t>
      </w:r>
      <w:r w:rsidR="00985F1B" w:rsidRPr="003171CD">
        <w:rPr>
          <w:rFonts w:cs="Arial"/>
          <w:lang w:val="en-US"/>
        </w:rPr>
        <w:t xml:space="preserve"> television cameras</w:t>
      </w:r>
      <w:r w:rsidR="005A65CE" w:rsidRPr="003171CD">
        <w:rPr>
          <w:rFonts w:cs="Arial"/>
          <w:lang w:val="en-US"/>
        </w:rPr>
        <w:t xml:space="preserve"> </w:t>
      </w:r>
      <w:r w:rsidR="002F60E3" w:rsidRPr="003171CD">
        <w:rPr>
          <w:rFonts w:cs="Arial"/>
          <w:lang w:val="en-US"/>
        </w:rPr>
        <w:t xml:space="preserve">he would say that he was being arrested for being a </w:t>
      </w:r>
      <w:r w:rsidR="00A502B5" w:rsidRPr="003171CD">
        <w:rPr>
          <w:rFonts w:cs="Arial"/>
          <w:lang w:val="en-US"/>
        </w:rPr>
        <w:t>kidnapper</w:t>
      </w:r>
      <w:r w:rsidR="005A65CE" w:rsidRPr="003171CD">
        <w:rPr>
          <w:rFonts w:cs="Arial"/>
          <w:lang w:val="en-US"/>
        </w:rPr>
        <w:t xml:space="preserve"> and confess to being </w:t>
      </w:r>
      <w:r w:rsidR="00A96DF3" w:rsidRPr="003171CD">
        <w:rPr>
          <w:rFonts w:cs="Arial"/>
          <w:i/>
          <w:lang w:val="en-US"/>
        </w:rPr>
        <w:t>Chopo</w:t>
      </w:r>
      <w:r w:rsidR="005A65CE" w:rsidRPr="003171CD">
        <w:rPr>
          <w:rFonts w:cs="Arial"/>
          <w:i/>
          <w:lang w:val="en-US"/>
        </w:rPr>
        <w:t>.</w:t>
      </w:r>
      <w:r w:rsidR="005A65CE" w:rsidRPr="003171CD">
        <w:rPr>
          <w:vertAlign w:val="superscript"/>
          <w:lang w:val="en-US"/>
        </w:rPr>
        <w:footnoteReference w:id="64"/>
      </w:r>
      <w:r w:rsidR="005A65CE" w:rsidRPr="003171CD">
        <w:rPr>
          <w:rFonts w:cs="Arial"/>
          <w:lang w:val="en-US"/>
        </w:rPr>
        <w:t xml:space="preserve"> </w:t>
      </w:r>
      <w:r w:rsidR="002F60E3" w:rsidRPr="003171CD">
        <w:rPr>
          <w:rFonts w:cs="Arial"/>
          <w:lang w:val="en-US"/>
        </w:rPr>
        <w:t xml:space="preserve">During his arrest, </w:t>
      </w:r>
      <w:r w:rsidR="00A502B5" w:rsidRPr="003171CD">
        <w:rPr>
          <w:lang w:val="en-US"/>
        </w:rPr>
        <w:t xml:space="preserve">his wife </w:t>
      </w:r>
      <w:r w:rsidR="005A65CE" w:rsidRPr="003171CD">
        <w:rPr>
          <w:lang w:val="en-US"/>
        </w:rPr>
        <w:t xml:space="preserve">María Maribel Guevara de </w:t>
      </w:r>
      <w:r w:rsidR="005A65CE" w:rsidRPr="003171CD">
        <w:rPr>
          <w:szCs w:val="16"/>
          <w:lang w:val="en-US"/>
        </w:rPr>
        <w:t>Ruano and his two year-old son</w:t>
      </w:r>
      <w:r w:rsidR="005A65CE" w:rsidRPr="003171CD">
        <w:rPr>
          <w:lang w:val="en-US"/>
        </w:rPr>
        <w:t>, Oscar Manuel Ruano Guevara, w</w:t>
      </w:r>
      <w:r w:rsidR="00624EEF" w:rsidRPr="003171CD">
        <w:rPr>
          <w:lang w:val="en-US"/>
        </w:rPr>
        <w:t xml:space="preserve">ere present and </w:t>
      </w:r>
      <w:r w:rsidR="005A65CE" w:rsidRPr="003171CD">
        <w:rPr>
          <w:lang w:val="en-US"/>
        </w:rPr>
        <w:t>witnessed the events.</w:t>
      </w:r>
      <w:r w:rsidR="005A65CE" w:rsidRPr="003171CD">
        <w:rPr>
          <w:rStyle w:val="Refdenotaalpie"/>
          <w:lang w:val="en-US"/>
        </w:rPr>
        <w:footnoteReference w:id="65"/>
      </w:r>
    </w:p>
    <w:p w14:paraId="1782E4CF" w14:textId="77777777" w:rsidR="005A65CE" w:rsidRPr="003171CD" w:rsidRDefault="005A65CE" w:rsidP="005A65CE">
      <w:pPr>
        <w:jc w:val="both"/>
        <w:rPr>
          <w:rFonts w:cs="Arial"/>
          <w:snapToGrid/>
          <w:lang w:val="en-US" w:eastAsia="en-US"/>
        </w:rPr>
      </w:pPr>
    </w:p>
    <w:p w14:paraId="1390876F" w14:textId="77777777" w:rsidR="005A65CE" w:rsidRPr="003171CD" w:rsidRDefault="000962A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Mr. Ruano Torres’ </w:t>
      </w:r>
      <w:r w:rsidR="005A65CE" w:rsidRPr="003171CD">
        <w:rPr>
          <w:rFonts w:cs="Arial"/>
          <w:lang w:val="en-US"/>
        </w:rPr>
        <w:t xml:space="preserve">wife </w:t>
      </w:r>
      <w:r w:rsidR="00F9792A" w:rsidRPr="003171CD">
        <w:rPr>
          <w:rFonts w:cs="Arial"/>
          <w:lang w:val="en-US"/>
        </w:rPr>
        <w:t>made statement</w:t>
      </w:r>
      <w:r w:rsidR="00624EEF" w:rsidRPr="003171CD">
        <w:rPr>
          <w:rFonts w:cs="Arial"/>
          <w:lang w:val="en-US"/>
        </w:rPr>
        <w:t xml:space="preserve">s along the same lines </w:t>
      </w:r>
      <w:r w:rsidR="005A65CE" w:rsidRPr="003171CD">
        <w:rPr>
          <w:rFonts w:cs="Arial"/>
          <w:lang w:val="en-US"/>
        </w:rPr>
        <w:t>and a</w:t>
      </w:r>
      <w:r w:rsidR="00B64B1D" w:rsidRPr="003171CD">
        <w:rPr>
          <w:rFonts w:cs="Arial"/>
          <w:lang w:val="en-US"/>
        </w:rPr>
        <w:t>dded that</w:t>
      </w:r>
      <w:r w:rsidR="005A65CE" w:rsidRPr="003171CD">
        <w:rPr>
          <w:rFonts w:cs="Arial"/>
          <w:lang w:val="en-US"/>
        </w:rPr>
        <w:t xml:space="preserve">: i) the police </w:t>
      </w:r>
      <w:r w:rsidR="00B64B1D" w:rsidRPr="003171CD">
        <w:rPr>
          <w:rFonts w:cs="Arial"/>
          <w:lang w:val="en-US"/>
        </w:rPr>
        <w:t xml:space="preserve">officers </w:t>
      </w:r>
      <w:r w:rsidR="00985F1B" w:rsidRPr="003171CD">
        <w:rPr>
          <w:rFonts w:cs="Arial"/>
          <w:lang w:val="en-US"/>
        </w:rPr>
        <w:t xml:space="preserve">asked </w:t>
      </w:r>
      <w:r w:rsidR="005A65CE" w:rsidRPr="003171CD">
        <w:rPr>
          <w:rFonts w:cs="Arial"/>
          <w:lang w:val="en-US"/>
        </w:rPr>
        <w:t xml:space="preserve">her if </w:t>
      </w:r>
      <w:r w:rsidRPr="003171CD">
        <w:rPr>
          <w:rFonts w:cs="Arial"/>
          <w:lang w:val="en-US"/>
        </w:rPr>
        <w:t xml:space="preserve">her husband </w:t>
      </w:r>
      <w:r w:rsidR="005A65CE" w:rsidRPr="003171CD">
        <w:rPr>
          <w:rFonts w:cs="Arial"/>
          <w:lang w:val="en-US"/>
        </w:rPr>
        <w:t xml:space="preserve">was </w:t>
      </w:r>
      <w:r w:rsidR="00A96DF3" w:rsidRPr="003171CD">
        <w:rPr>
          <w:rFonts w:cs="Arial"/>
          <w:i/>
          <w:lang w:val="en-US"/>
        </w:rPr>
        <w:t>Chopo</w:t>
      </w:r>
      <w:r w:rsidR="00985F1B" w:rsidRPr="003171CD">
        <w:rPr>
          <w:rFonts w:cs="Arial"/>
          <w:lang w:val="en-US"/>
        </w:rPr>
        <w:t xml:space="preserve">, to which </w:t>
      </w:r>
      <w:r w:rsidR="005A65CE" w:rsidRPr="003171CD">
        <w:rPr>
          <w:rFonts w:cs="Arial"/>
          <w:lang w:val="en-US"/>
        </w:rPr>
        <w:t>replied “no”; ii) Mr. Ruano Torres told the</w:t>
      </w:r>
      <w:r w:rsidR="00624EEF" w:rsidRPr="003171CD">
        <w:rPr>
          <w:rFonts w:cs="Arial"/>
          <w:lang w:val="en-US"/>
        </w:rPr>
        <w:t xml:space="preserve"> </w:t>
      </w:r>
      <w:r w:rsidRPr="003171CD">
        <w:rPr>
          <w:rFonts w:cs="Arial"/>
          <w:lang w:val="en-US"/>
        </w:rPr>
        <w:t xml:space="preserve">officers </w:t>
      </w:r>
      <w:r w:rsidR="005A65CE" w:rsidRPr="003171CD">
        <w:rPr>
          <w:rFonts w:cs="Arial"/>
          <w:lang w:val="en-US"/>
        </w:rPr>
        <w:t xml:space="preserve">that his brother was </w:t>
      </w:r>
      <w:r w:rsidR="00624EEF" w:rsidRPr="003171CD">
        <w:rPr>
          <w:rFonts w:cs="Arial"/>
          <w:lang w:val="en-US"/>
        </w:rPr>
        <w:t xml:space="preserve">nicknamed </w:t>
      </w:r>
      <w:r w:rsidR="00A96DF3" w:rsidRPr="003171CD">
        <w:rPr>
          <w:rFonts w:cs="Arial"/>
          <w:i/>
          <w:lang w:val="en-US"/>
        </w:rPr>
        <w:t>Chopo</w:t>
      </w:r>
      <w:r w:rsidR="005A65CE" w:rsidRPr="003171CD">
        <w:rPr>
          <w:rFonts w:cs="Arial"/>
          <w:lang w:val="en-US"/>
        </w:rPr>
        <w:t xml:space="preserve"> and that </w:t>
      </w:r>
      <w:r w:rsidR="00F9792A" w:rsidRPr="003171CD">
        <w:rPr>
          <w:rFonts w:cs="Arial"/>
          <w:lang w:val="en-US"/>
        </w:rPr>
        <w:t xml:space="preserve">he could </w:t>
      </w:r>
      <w:r w:rsidR="00624EEF" w:rsidRPr="003171CD">
        <w:rPr>
          <w:rFonts w:cs="Arial"/>
          <w:lang w:val="en-US"/>
        </w:rPr>
        <w:t xml:space="preserve">take them to </w:t>
      </w:r>
      <w:r w:rsidR="00F9792A" w:rsidRPr="003171CD">
        <w:rPr>
          <w:rFonts w:cs="Arial"/>
          <w:lang w:val="en-US"/>
        </w:rPr>
        <w:t>him</w:t>
      </w:r>
      <w:r w:rsidR="005A65CE" w:rsidRPr="003171CD">
        <w:rPr>
          <w:rFonts w:cs="Arial"/>
          <w:lang w:val="en-US"/>
        </w:rPr>
        <w:t xml:space="preserve">; iii) when she </w:t>
      </w:r>
      <w:r w:rsidR="00624EEF" w:rsidRPr="003171CD">
        <w:rPr>
          <w:rFonts w:cs="Arial"/>
          <w:lang w:val="en-US"/>
        </w:rPr>
        <w:t xml:space="preserve">gave the </w:t>
      </w:r>
      <w:r w:rsidRPr="003171CD">
        <w:rPr>
          <w:rFonts w:cs="Arial"/>
          <w:lang w:val="en-US"/>
        </w:rPr>
        <w:t xml:space="preserve">police officers </w:t>
      </w:r>
      <w:r w:rsidR="00985F1B" w:rsidRPr="003171CD">
        <w:rPr>
          <w:rFonts w:cs="Arial"/>
          <w:lang w:val="en-US"/>
        </w:rPr>
        <w:t xml:space="preserve">Mr. </w:t>
      </w:r>
      <w:r w:rsidR="00624EEF" w:rsidRPr="003171CD">
        <w:rPr>
          <w:rFonts w:cs="Arial"/>
          <w:lang w:val="en-US"/>
        </w:rPr>
        <w:t>Ruano Torres’ identification</w:t>
      </w:r>
      <w:r w:rsidR="005A65CE" w:rsidRPr="003171CD">
        <w:rPr>
          <w:rFonts w:cs="Arial"/>
          <w:lang w:val="en-US"/>
        </w:rPr>
        <w:t xml:space="preserve"> card, </w:t>
      </w:r>
      <w:r w:rsidR="00B64B1D" w:rsidRPr="003171CD">
        <w:rPr>
          <w:rFonts w:cs="Arial"/>
          <w:lang w:val="en-US"/>
        </w:rPr>
        <w:t xml:space="preserve">they pulled out his </w:t>
      </w:r>
      <w:r w:rsidR="005A65CE" w:rsidRPr="003171CD">
        <w:rPr>
          <w:rFonts w:cs="Arial"/>
          <w:lang w:val="en-US"/>
        </w:rPr>
        <w:t xml:space="preserve">photo and </w:t>
      </w:r>
      <w:r w:rsidR="00624EEF" w:rsidRPr="003171CD">
        <w:rPr>
          <w:rFonts w:cs="Arial"/>
          <w:lang w:val="en-US"/>
        </w:rPr>
        <w:t xml:space="preserve">glued </w:t>
      </w:r>
      <w:r w:rsidR="00B64B1D" w:rsidRPr="003171CD">
        <w:rPr>
          <w:rFonts w:cs="Arial"/>
          <w:lang w:val="en-US"/>
        </w:rPr>
        <w:t xml:space="preserve">it </w:t>
      </w:r>
      <w:r w:rsidR="00624EEF" w:rsidRPr="003171CD">
        <w:rPr>
          <w:rFonts w:cs="Arial"/>
          <w:lang w:val="en-US"/>
        </w:rPr>
        <w:t xml:space="preserve">to </w:t>
      </w:r>
      <w:r w:rsidR="005A65CE" w:rsidRPr="003171CD">
        <w:rPr>
          <w:rFonts w:cs="Arial"/>
          <w:lang w:val="en-US"/>
        </w:rPr>
        <w:t>a blank sheet</w:t>
      </w:r>
      <w:r w:rsidR="00624EEF" w:rsidRPr="003171CD">
        <w:rPr>
          <w:rFonts w:cs="Arial"/>
          <w:lang w:val="en-US"/>
        </w:rPr>
        <w:t xml:space="preserve"> of paper</w:t>
      </w:r>
      <w:r w:rsidR="005A65CE" w:rsidRPr="003171CD">
        <w:rPr>
          <w:rFonts w:cs="Arial"/>
          <w:lang w:val="en-US"/>
        </w:rPr>
        <w:t xml:space="preserve">; iv) </w:t>
      </w:r>
      <w:r w:rsidR="00624EEF" w:rsidRPr="003171CD">
        <w:rPr>
          <w:rFonts w:cs="Arial"/>
          <w:lang w:val="en-US"/>
        </w:rPr>
        <w:t xml:space="preserve">they </w:t>
      </w:r>
      <w:r w:rsidR="005A65CE" w:rsidRPr="003171CD">
        <w:rPr>
          <w:rFonts w:cs="Arial"/>
          <w:lang w:val="en-US"/>
        </w:rPr>
        <w:t xml:space="preserve">destroyed furniture and other household items, and </w:t>
      </w:r>
      <w:r w:rsidR="00624EEF" w:rsidRPr="003171CD">
        <w:rPr>
          <w:rFonts w:cs="Arial"/>
          <w:lang w:val="en-US"/>
        </w:rPr>
        <w:t xml:space="preserve">that </w:t>
      </w:r>
      <w:r w:rsidR="005A65CE" w:rsidRPr="003171CD">
        <w:rPr>
          <w:rFonts w:cs="Arial"/>
          <w:lang w:val="en-US"/>
        </w:rPr>
        <w:t xml:space="preserve">v) </w:t>
      </w:r>
      <w:r w:rsidR="00624EEF" w:rsidRPr="003171CD">
        <w:rPr>
          <w:rFonts w:cs="Arial"/>
          <w:lang w:val="en-US"/>
        </w:rPr>
        <w:t xml:space="preserve">she </w:t>
      </w:r>
      <w:r w:rsidR="005A65CE" w:rsidRPr="003171CD">
        <w:rPr>
          <w:rFonts w:cs="Arial"/>
          <w:lang w:val="en-US"/>
        </w:rPr>
        <w:t xml:space="preserve">never saw a </w:t>
      </w:r>
      <w:r w:rsidR="00624EEF" w:rsidRPr="003171CD">
        <w:rPr>
          <w:rFonts w:cs="Arial"/>
          <w:lang w:val="en-US"/>
        </w:rPr>
        <w:t>legal warrant nor was she read anything</w:t>
      </w:r>
      <w:r w:rsidR="00A502B5" w:rsidRPr="003171CD">
        <w:rPr>
          <w:rFonts w:cs="Arial"/>
          <w:lang w:val="en-US"/>
        </w:rPr>
        <w:t>.</w:t>
      </w:r>
      <w:r w:rsidR="005A65CE" w:rsidRPr="003171CD">
        <w:rPr>
          <w:vertAlign w:val="superscript"/>
          <w:lang w:val="en-US"/>
        </w:rPr>
        <w:footnoteReference w:id="66"/>
      </w:r>
      <w:r w:rsidR="005A65CE" w:rsidRPr="003171CD">
        <w:rPr>
          <w:rFonts w:cs="Arial"/>
          <w:lang w:val="en-US"/>
        </w:rPr>
        <w:t xml:space="preserve"> </w:t>
      </w:r>
      <w:r w:rsidR="00624EEF" w:rsidRPr="003171CD">
        <w:rPr>
          <w:rFonts w:cs="Arial"/>
          <w:lang w:val="en-US"/>
        </w:rPr>
        <w:t xml:space="preserve">She also </w:t>
      </w:r>
      <w:r w:rsidR="005A65CE" w:rsidRPr="003171CD">
        <w:rPr>
          <w:rFonts w:cs="Arial"/>
          <w:lang w:val="en-US"/>
        </w:rPr>
        <w:t xml:space="preserve">indicated that Rodolfo Ruano Torres had moved </w:t>
      </w:r>
      <w:r w:rsidR="00624EEF" w:rsidRPr="003171CD">
        <w:rPr>
          <w:rFonts w:cs="Arial"/>
          <w:lang w:val="en-US"/>
        </w:rPr>
        <w:t>out of that house one year before the</w:t>
      </w:r>
      <w:r w:rsidR="005A65CE" w:rsidRPr="003171CD">
        <w:rPr>
          <w:rFonts w:cs="Arial"/>
          <w:lang w:val="en-US"/>
        </w:rPr>
        <w:t xml:space="preserve"> </w:t>
      </w:r>
      <w:r w:rsidR="00985F1B" w:rsidRPr="003171CD">
        <w:rPr>
          <w:rFonts w:cs="Arial"/>
          <w:lang w:val="en-US"/>
        </w:rPr>
        <w:t xml:space="preserve">facts </w:t>
      </w:r>
      <w:r w:rsidR="005A65CE" w:rsidRPr="003171CD">
        <w:rPr>
          <w:rFonts w:cs="Arial"/>
          <w:lang w:val="en-US"/>
        </w:rPr>
        <w:t>occurred.</w:t>
      </w:r>
      <w:r w:rsidR="005A65CE" w:rsidRPr="003171CD">
        <w:rPr>
          <w:vertAlign w:val="superscript"/>
          <w:lang w:val="en-US"/>
        </w:rPr>
        <w:footnoteReference w:id="67"/>
      </w:r>
      <w:r w:rsidR="005A65CE" w:rsidRPr="003171CD">
        <w:rPr>
          <w:rFonts w:cs="Arial"/>
          <w:lang w:val="en-US"/>
        </w:rPr>
        <w:t xml:space="preserve"> Years later, Mr. Ruano Torres’ son recalled that on the day his father</w:t>
      </w:r>
      <w:r w:rsidR="00624EEF" w:rsidRPr="003171CD">
        <w:rPr>
          <w:rFonts w:cs="Arial"/>
          <w:lang w:val="en-US"/>
        </w:rPr>
        <w:t xml:space="preserve"> was arrested </w:t>
      </w:r>
      <w:r w:rsidR="005A65CE" w:rsidRPr="003171CD">
        <w:rPr>
          <w:rFonts w:cs="Arial"/>
          <w:lang w:val="en-US"/>
        </w:rPr>
        <w:t xml:space="preserve">he “only </w:t>
      </w:r>
      <w:r w:rsidR="00985F1B" w:rsidRPr="003171CD">
        <w:rPr>
          <w:rFonts w:cs="Arial"/>
          <w:lang w:val="en-US"/>
        </w:rPr>
        <w:t xml:space="preserve">could only see </w:t>
      </w:r>
      <w:r w:rsidR="005A65CE" w:rsidRPr="003171CD">
        <w:rPr>
          <w:rFonts w:cs="Arial"/>
          <w:lang w:val="en-US"/>
        </w:rPr>
        <w:t xml:space="preserve">that they were </w:t>
      </w:r>
      <w:r w:rsidR="00624EEF" w:rsidRPr="003171CD">
        <w:rPr>
          <w:rFonts w:cs="Arial"/>
          <w:lang w:val="en-US"/>
        </w:rPr>
        <w:t xml:space="preserve">hitting </w:t>
      </w:r>
      <w:r w:rsidR="005A65CE" w:rsidRPr="003171CD">
        <w:rPr>
          <w:rFonts w:cs="Arial"/>
          <w:lang w:val="en-US"/>
        </w:rPr>
        <w:t xml:space="preserve">[his] </w:t>
      </w:r>
      <w:r w:rsidRPr="003171CD">
        <w:rPr>
          <w:rFonts w:cs="Arial"/>
          <w:lang w:val="en-US"/>
        </w:rPr>
        <w:t xml:space="preserve">dad </w:t>
      </w:r>
      <w:r w:rsidR="005A65CE" w:rsidRPr="003171CD">
        <w:rPr>
          <w:rFonts w:cs="Arial"/>
          <w:lang w:val="en-US"/>
        </w:rPr>
        <w:t xml:space="preserve">and </w:t>
      </w:r>
      <w:r w:rsidR="00624EEF" w:rsidRPr="003171CD">
        <w:rPr>
          <w:rFonts w:cs="Arial"/>
          <w:lang w:val="en-US"/>
        </w:rPr>
        <w:t xml:space="preserve">that </w:t>
      </w:r>
      <w:r w:rsidR="005A65CE" w:rsidRPr="003171CD">
        <w:rPr>
          <w:rFonts w:cs="Arial"/>
          <w:lang w:val="en-US"/>
        </w:rPr>
        <w:t xml:space="preserve">a man </w:t>
      </w:r>
      <w:r w:rsidRPr="003171CD">
        <w:rPr>
          <w:rFonts w:cs="Arial"/>
          <w:lang w:val="en-US"/>
        </w:rPr>
        <w:t xml:space="preserve">told </w:t>
      </w:r>
      <w:r w:rsidR="005A65CE" w:rsidRPr="003171CD">
        <w:rPr>
          <w:rFonts w:cs="Arial"/>
          <w:lang w:val="en-US"/>
        </w:rPr>
        <w:t>[him] not to look.”</w:t>
      </w:r>
      <w:r w:rsidR="005A65CE" w:rsidRPr="003171CD">
        <w:rPr>
          <w:vertAlign w:val="superscript"/>
          <w:lang w:val="en-US"/>
        </w:rPr>
        <w:footnoteReference w:id="68"/>
      </w:r>
    </w:p>
    <w:p w14:paraId="2AA86393" w14:textId="77777777" w:rsidR="005A65CE" w:rsidRPr="003171CD" w:rsidRDefault="005A65CE" w:rsidP="005A65CE">
      <w:pPr>
        <w:jc w:val="both"/>
        <w:rPr>
          <w:rFonts w:cs="Arial"/>
          <w:snapToGrid/>
          <w:lang w:val="en-US" w:eastAsia="en-US"/>
        </w:rPr>
      </w:pPr>
    </w:p>
    <w:p w14:paraId="1900C55D" w14:textId="77777777" w:rsidR="005A65CE" w:rsidRPr="003171CD" w:rsidRDefault="002F11BE" w:rsidP="005A65CE">
      <w:pPr>
        <w:pStyle w:val="Prrafodelista"/>
        <w:numPr>
          <w:ilvl w:val="0"/>
          <w:numId w:val="1"/>
        </w:numPr>
        <w:tabs>
          <w:tab w:val="left" w:pos="720"/>
        </w:tabs>
        <w:ind w:right="-90"/>
        <w:jc w:val="both"/>
        <w:rPr>
          <w:rFonts w:cs="Arial"/>
          <w:lang w:val="en-US"/>
        </w:rPr>
      </w:pPr>
      <w:r w:rsidRPr="003171CD">
        <w:rPr>
          <w:rFonts w:cs="Arial"/>
          <w:lang w:val="en-US"/>
        </w:rPr>
        <w:t xml:space="preserve">Following </w:t>
      </w:r>
      <w:r w:rsidR="00A502B5" w:rsidRPr="003171CD">
        <w:rPr>
          <w:rFonts w:cs="Arial"/>
          <w:lang w:val="en-US"/>
        </w:rPr>
        <w:t>his arrest</w:t>
      </w:r>
      <w:r w:rsidR="005A65CE" w:rsidRPr="003171CD">
        <w:rPr>
          <w:rFonts w:cs="Arial"/>
          <w:lang w:val="en-US"/>
        </w:rPr>
        <w:t xml:space="preserve">, Mr. Ruano Torres was </w:t>
      </w:r>
      <w:r w:rsidRPr="003171CD">
        <w:rPr>
          <w:rFonts w:cs="Arial"/>
          <w:lang w:val="en-US"/>
        </w:rPr>
        <w:t xml:space="preserve">transferred </w:t>
      </w:r>
      <w:r w:rsidR="005A65CE" w:rsidRPr="003171CD">
        <w:rPr>
          <w:rFonts w:cs="Arial"/>
          <w:lang w:val="en-US"/>
        </w:rPr>
        <w:t>to the Criminal Investigation Division of the National Civil Police in the city of Guazapa</w:t>
      </w:r>
      <w:r w:rsidR="00A502B5" w:rsidRPr="003171CD">
        <w:rPr>
          <w:rFonts w:cs="Arial"/>
          <w:lang w:val="en-US"/>
        </w:rPr>
        <w:t>.</w:t>
      </w:r>
      <w:r w:rsidR="005A65CE" w:rsidRPr="003171CD">
        <w:rPr>
          <w:vertAlign w:val="superscript"/>
          <w:lang w:val="en-US"/>
        </w:rPr>
        <w:footnoteReference w:id="69"/>
      </w:r>
      <w:r w:rsidR="005A65CE" w:rsidRPr="003171CD">
        <w:rPr>
          <w:rFonts w:cs="Arial"/>
          <w:lang w:val="en-US"/>
        </w:rPr>
        <w:t xml:space="preserve"> He was given a </w:t>
      </w:r>
      <w:r w:rsidR="005A65CE" w:rsidRPr="003171CD">
        <w:rPr>
          <w:rFonts w:cs="Arial"/>
          <w:color w:val="000000"/>
          <w:lang w:val="en-US"/>
        </w:rPr>
        <w:t xml:space="preserve">medical checkup, which </w:t>
      </w:r>
      <w:r w:rsidRPr="003171CD">
        <w:rPr>
          <w:rFonts w:cs="Arial"/>
          <w:color w:val="000000"/>
          <w:lang w:val="en-US"/>
        </w:rPr>
        <w:t xml:space="preserve">found that he </w:t>
      </w:r>
      <w:r w:rsidR="00B54B39" w:rsidRPr="003171CD">
        <w:rPr>
          <w:rFonts w:cs="Arial"/>
          <w:color w:val="000000"/>
          <w:lang w:val="en-US"/>
        </w:rPr>
        <w:t xml:space="preserve">had </w:t>
      </w:r>
      <w:r w:rsidR="005A65CE" w:rsidRPr="003171CD">
        <w:rPr>
          <w:rFonts w:cs="Arial"/>
          <w:color w:val="000000"/>
          <w:lang w:val="en-US"/>
        </w:rPr>
        <w:t xml:space="preserve">lacerations </w:t>
      </w:r>
      <w:r w:rsidRPr="003171CD">
        <w:rPr>
          <w:rFonts w:cs="Arial"/>
          <w:color w:val="000000"/>
          <w:lang w:val="en-US"/>
        </w:rPr>
        <w:t>around</w:t>
      </w:r>
      <w:r w:rsidR="005A65CE" w:rsidRPr="003171CD">
        <w:rPr>
          <w:rFonts w:cs="Arial"/>
          <w:color w:val="000000"/>
          <w:lang w:val="en-US"/>
        </w:rPr>
        <w:t xml:space="preserve"> his neck, chest </w:t>
      </w:r>
      <w:r w:rsidR="005A65CE" w:rsidRPr="003171CD">
        <w:rPr>
          <w:lang w:val="en-US"/>
        </w:rPr>
        <w:t xml:space="preserve">and shoulders and scars on his nose and </w:t>
      </w:r>
      <w:r w:rsidRPr="003171CD">
        <w:rPr>
          <w:lang w:val="en-US"/>
        </w:rPr>
        <w:t xml:space="preserve">on his </w:t>
      </w:r>
      <w:r w:rsidR="005A65CE" w:rsidRPr="003171CD">
        <w:rPr>
          <w:lang w:val="en-US"/>
        </w:rPr>
        <w:t>thighs</w:t>
      </w:r>
      <w:r w:rsidR="005A65CE" w:rsidRPr="003171CD">
        <w:rPr>
          <w:rFonts w:cs="Arial"/>
          <w:color w:val="000000"/>
          <w:lang w:val="en-US"/>
        </w:rPr>
        <w:t>.</w:t>
      </w:r>
      <w:r w:rsidR="005A65CE" w:rsidRPr="003171CD">
        <w:rPr>
          <w:color w:val="000000"/>
          <w:vertAlign w:val="superscript"/>
          <w:lang w:val="en-US"/>
        </w:rPr>
        <w:footnoteReference w:id="70"/>
      </w:r>
      <w:r w:rsidR="005A65CE" w:rsidRPr="003171CD">
        <w:rPr>
          <w:rFonts w:cs="Arial"/>
          <w:color w:val="000000"/>
          <w:lang w:val="en-US"/>
        </w:rPr>
        <w:t xml:space="preserve"> </w:t>
      </w:r>
      <w:r w:rsidR="00A502B5" w:rsidRPr="003171CD">
        <w:rPr>
          <w:rFonts w:cs="Arial"/>
          <w:color w:val="000000"/>
          <w:lang w:val="en-US"/>
        </w:rPr>
        <w:t>H</w:t>
      </w:r>
      <w:r w:rsidR="00A502B5" w:rsidRPr="003171CD">
        <w:rPr>
          <w:rFonts w:cs="Arial"/>
          <w:lang w:val="en-US"/>
        </w:rPr>
        <w:t xml:space="preserve">e was subsequently </w:t>
      </w:r>
      <w:r w:rsidR="005A65CE" w:rsidRPr="003171CD">
        <w:rPr>
          <w:rFonts w:cs="Arial"/>
          <w:lang w:val="en-US"/>
        </w:rPr>
        <w:t xml:space="preserve">transferred to the Central Penitentiary of </w:t>
      </w:r>
      <w:r w:rsidRPr="003171CD">
        <w:rPr>
          <w:rFonts w:cs="Arial"/>
          <w:lang w:val="en-US"/>
        </w:rPr>
        <w:t>“</w:t>
      </w:r>
      <w:r w:rsidR="005A65CE" w:rsidRPr="003171CD">
        <w:rPr>
          <w:rFonts w:cs="Arial"/>
          <w:lang w:val="en-US"/>
        </w:rPr>
        <w:t>La Esperanza” in the Canton of San Luis Mariona de Ayutuxtepeque.</w:t>
      </w:r>
      <w:r w:rsidR="005A65CE" w:rsidRPr="003171CD">
        <w:rPr>
          <w:vertAlign w:val="superscript"/>
          <w:lang w:val="en-US"/>
        </w:rPr>
        <w:footnoteReference w:id="71"/>
      </w:r>
    </w:p>
    <w:p w14:paraId="4DA034C9" w14:textId="77777777" w:rsidR="005A65CE" w:rsidRPr="003171CD" w:rsidRDefault="005A65CE" w:rsidP="005A65CE">
      <w:pPr>
        <w:jc w:val="both"/>
        <w:rPr>
          <w:rFonts w:cs="Arial"/>
          <w:snapToGrid/>
          <w:lang w:val="en-US" w:eastAsia="en-US"/>
        </w:rPr>
      </w:pPr>
    </w:p>
    <w:p w14:paraId="1615DF1C" w14:textId="77777777" w:rsidR="005A65CE" w:rsidRPr="003171CD" w:rsidRDefault="00A72E9E" w:rsidP="005A65CE">
      <w:pPr>
        <w:pStyle w:val="Prrafodelista"/>
        <w:numPr>
          <w:ilvl w:val="0"/>
          <w:numId w:val="1"/>
        </w:numPr>
        <w:tabs>
          <w:tab w:val="left" w:pos="720"/>
          <w:tab w:val="num" w:pos="5057"/>
        </w:tabs>
        <w:ind w:right="-90"/>
        <w:jc w:val="both"/>
        <w:rPr>
          <w:rFonts w:eastAsiaTheme="minorHAnsi" w:cs="Arial"/>
          <w:bCs/>
          <w:szCs w:val="20"/>
          <w:lang w:val="en-US"/>
        </w:rPr>
      </w:pPr>
      <w:r w:rsidRPr="003171CD">
        <w:rPr>
          <w:rFonts w:cs="Arial"/>
          <w:lang w:val="en-US"/>
        </w:rPr>
        <w:t xml:space="preserve">With regard to </w:t>
      </w:r>
      <w:r w:rsidR="005A65CE" w:rsidRPr="003171CD">
        <w:rPr>
          <w:rFonts w:cs="Arial"/>
          <w:lang w:val="en-US"/>
        </w:rPr>
        <w:t xml:space="preserve">the </w:t>
      </w:r>
      <w:r w:rsidR="005A65CE" w:rsidRPr="003171CD">
        <w:rPr>
          <w:rFonts w:cs="Verdana"/>
          <w:szCs w:val="20"/>
          <w:lang w:val="en-US"/>
        </w:rPr>
        <w:t xml:space="preserve">violence </w:t>
      </w:r>
      <w:r w:rsidR="00B91A8C" w:rsidRPr="003171CD">
        <w:rPr>
          <w:rFonts w:cs="Verdana"/>
          <w:szCs w:val="20"/>
          <w:lang w:val="en-US"/>
        </w:rPr>
        <w:t xml:space="preserve">inflicted on </w:t>
      </w:r>
      <w:r w:rsidR="00EC28C8" w:rsidRPr="003171CD">
        <w:rPr>
          <w:rFonts w:eastAsiaTheme="minorHAnsi" w:cs="Arial"/>
          <w:bCs/>
          <w:szCs w:val="20"/>
          <w:lang w:val="en-US"/>
        </w:rPr>
        <w:t>Mr. Ruano Torres</w:t>
      </w:r>
      <w:r w:rsidR="00B91A8C" w:rsidRPr="003171CD">
        <w:rPr>
          <w:rFonts w:eastAsiaTheme="minorHAnsi" w:cs="Arial"/>
          <w:bCs/>
          <w:szCs w:val="20"/>
          <w:lang w:val="en-US"/>
        </w:rPr>
        <w:t xml:space="preserve"> during his arrest by the police </w:t>
      </w:r>
      <w:r w:rsidR="001A42E4" w:rsidRPr="003171CD">
        <w:rPr>
          <w:rFonts w:eastAsiaTheme="minorHAnsi" w:cs="Arial"/>
          <w:bCs/>
          <w:szCs w:val="20"/>
          <w:lang w:val="en-US"/>
        </w:rPr>
        <w:t>officers</w:t>
      </w:r>
      <w:r w:rsidR="00B91A8C" w:rsidRPr="003171CD">
        <w:rPr>
          <w:rFonts w:eastAsiaTheme="minorHAnsi" w:cs="Arial"/>
          <w:bCs/>
          <w:szCs w:val="20"/>
          <w:lang w:val="en-US"/>
        </w:rPr>
        <w:t xml:space="preserve">, </w:t>
      </w:r>
      <w:r w:rsidR="005A65CE" w:rsidRPr="003171CD">
        <w:rPr>
          <w:rFonts w:eastAsiaTheme="minorHAnsi" w:cs="Arial"/>
          <w:bCs/>
          <w:szCs w:val="20"/>
          <w:lang w:val="en-US"/>
        </w:rPr>
        <w:t xml:space="preserve">from the body of evidence in this case </w:t>
      </w:r>
      <w:r w:rsidR="00EC28C8" w:rsidRPr="003171CD">
        <w:rPr>
          <w:rFonts w:eastAsiaTheme="minorHAnsi" w:cs="Arial"/>
          <w:bCs/>
          <w:szCs w:val="20"/>
          <w:lang w:val="en-US"/>
        </w:rPr>
        <w:t>there are</w:t>
      </w:r>
      <w:r w:rsidR="005A65CE" w:rsidRPr="003171CD">
        <w:rPr>
          <w:rFonts w:eastAsiaTheme="minorHAnsi" w:cs="Arial"/>
          <w:bCs/>
          <w:szCs w:val="20"/>
          <w:lang w:val="en-US"/>
        </w:rPr>
        <w:t xml:space="preserve"> sufficient </w:t>
      </w:r>
      <w:r w:rsidR="00EC28C8" w:rsidRPr="003171CD">
        <w:rPr>
          <w:rFonts w:eastAsiaTheme="minorHAnsi" w:cs="Arial"/>
          <w:bCs/>
          <w:szCs w:val="20"/>
          <w:lang w:val="en-US"/>
        </w:rPr>
        <w:t xml:space="preserve">elements of conviction </w:t>
      </w:r>
      <w:r w:rsidR="005A65CE" w:rsidRPr="003171CD">
        <w:rPr>
          <w:rFonts w:eastAsiaTheme="minorHAnsi" w:cs="Arial"/>
          <w:bCs/>
          <w:szCs w:val="20"/>
          <w:lang w:val="en-US"/>
        </w:rPr>
        <w:t xml:space="preserve">to </w:t>
      </w:r>
      <w:r w:rsidR="00EC28C8" w:rsidRPr="003171CD">
        <w:rPr>
          <w:rFonts w:eastAsiaTheme="minorHAnsi" w:cs="Arial"/>
          <w:bCs/>
          <w:szCs w:val="20"/>
          <w:lang w:val="en-US"/>
        </w:rPr>
        <w:t xml:space="preserve">conclude </w:t>
      </w:r>
      <w:r w:rsidR="005A65CE" w:rsidRPr="003171CD">
        <w:rPr>
          <w:rFonts w:eastAsiaTheme="minorHAnsi" w:cs="Arial"/>
          <w:bCs/>
          <w:szCs w:val="20"/>
          <w:lang w:val="en-US"/>
        </w:rPr>
        <w:t xml:space="preserve">that </w:t>
      </w:r>
      <w:r w:rsidR="00B91A8C" w:rsidRPr="003171CD">
        <w:rPr>
          <w:rFonts w:eastAsiaTheme="minorHAnsi" w:cs="Arial"/>
          <w:bCs/>
          <w:szCs w:val="20"/>
          <w:lang w:val="en-US"/>
        </w:rPr>
        <w:t>he was</w:t>
      </w:r>
      <w:r w:rsidR="005A65CE" w:rsidRPr="003171CD">
        <w:rPr>
          <w:rFonts w:eastAsiaTheme="minorHAnsi" w:cs="Arial"/>
          <w:bCs/>
          <w:szCs w:val="20"/>
          <w:lang w:val="en-US"/>
        </w:rPr>
        <w:t xml:space="preserve">: i) </w:t>
      </w:r>
      <w:r w:rsidR="00A502B5" w:rsidRPr="003171CD">
        <w:rPr>
          <w:rFonts w:eastAsiaTheme="minorHAnsi" w:cs="Arial"/>
          <w:bCs/>
          <w:szCs w:val="20"/>
          <w:lang w:val="en-US"/>
        </w:rPr>
        <w:t>beat</w:t>
      </w:r>
      <w:r w:rsidR="00B91A8C" w:rsidRPr="003171CD">
        <w:rPr>
          <w:rFonts w:eastAsiaTheme="minorHAnsi" w:cs="Arial"/>
          <w:bCs/>
          <w:szCs w:val="20"/>
          <w:lang w:val="en-US"/>
        </w:rPr>
        <w:t>en</w:t>
      </w:r>
      <w:r w:rsidR="00A502B5" w:rsidRPr="003171CD">
        <w:rPr>
          <w:rFonts w:eastAsiaTheme="minorHAnsi" w:cs="Arial"/>
          <w:bCs/>
          <w:szCs w:val="20"/>
          <w:lang w:val="en-US"/>
        </w:rPr>
        <w:t>;</w:t>
      </w:r>
      <w:r w:rsidR="005A65CE" w:rsidRPr="003171CD">
        <w:rPr>
          <w:rFonts w:eastAsiaTheme="minorHAnsi" w:cs="Arial"/>
          <w:bCs/>
          <w:szCs w:val="20"/>
          <w:vertAlign w:val="superscript"/>
          <w:lang w:val="en-US"/>
        </w:rPr>
        <w:footnoteReference w:id="72"/>
      </w:r>
      <w:r w:rsidR="005A65CE" w:rsidRPr="003171CD">
        <w:rPr>
          <w:rFonts w:eastAsiaTheme="minorHAnsi" w:cs="Arial"/>
          <w:bCs/>
          <w:szCs w:val="20"/>
          <w:lang w:val="en-US"/>
        </w:rPr>
        <w:t xml:space="preserve"> ii) </w:t>
      </w:r>
      <w:r w:rsidR="00A502B5" w:rsidRPr="003171CD">
        <w:rPr>
          <w:rFonts w:eastAsiaTheme="minorHAnsi" w:cs="Arial"/>
          <w:bCs/>
          <w:szCs w:val="20"/>
          <w:lang w:val="en-US"/>
        </w:rPr>
        <w:t xml:space="preserve">dragged </w:t>
      </w:r>
      <w:r w:rsidR="00B91A8C" w:rsidRPr="003171CD">
        <w:rPr>
          <w:rFonts w:eastAsiaTheme="minorHAnsi" w:cs="Arial"/>
          <w:bCs/>
          <w:szCs w:val="20"/>
          <w:lang w:val="en-US"/>
        </w:rPr>
        <w:t>along the floor</w:t>
      </w:r>
      <w:r w:rsidR="00A502B5" w:rsidRPr="003171CD">
        <w:rPr>
          <w:rFonts w:eastAsiaTheme="minorHAnsi" w:cs="Arial"/>
          <w:bCs/>
          <w:szCs w:val="20"/>
          <w:lang w:val="en-US"/>
        </w:rPr>
        <w:t>;</w:t>
      </w:r>
      <w:r w:rsidR="005A65CE" w:rsidRPr="003171CD">
        <w:rPr>
          <w:rFonts w:eastAsiaTheme="minorHAnsi" w:cs="Arial"/>
          <w:bCs/>
          <w:szCs w:val="20"/>
          <w:vertAlign w:val="superscript"/>
          <w:lang w:val="en-US"/>
        </w:rPr>
        <w:footnoteReference w:id="73"/>
      </w:r>
      <w:r w:rsidR="005A65CE" w:rsidRPr="003171CD">
        <w:rPr>
          <w:rFonts w:eastAsiaTheme="minorHAnsi" w:cs="Arial"/>
          <w:bCs/>
          <w:szCs w:val="20"/>
          <w:lang w:val="en-US"/>
        </w:rPr>
        <w:t xml:space="preserve"> iii) </w:t>
      </w:r>
      <w:r w:rsidR="00B91A8C" w:rsidRPr="003171CD">
        <w:rPr>
          <w:rFonts w:eastAsiaTheme="minorHAnsi" w:cs="Arial"/>
          <w:bCs/>
          <w:szCs w:val="20"/>
          <w:lang w:val="en-US"/>
        </w:rPr>
        <w:t xml:space="preserve">trampled on by the </w:t>
      </w:r>
      <w:r w:rsidR="001A42E4" w:rsidRPr="003171CD">
        <w:rPr>
          <w:rFonts w:eastAsiaTheme="minorHAnsi" w:cs="Arial"/>
          <w:bCs/>
          <w:szCs w:val="20"/>
          <w:lang w:val="en-US"/>
        </w:rPr>
        <w:t xml:space="preserve">officers </w:t>
      </w:r>
      <w:r w:rsidR="005A65CE" w:rsidRPr="003171CD">
        <w:rPr>
          <w:rFonts w:eastAsiaTheme="minorHAnsi" w:cs="Arial"/>
          <w:bCs/>
          <w:szCs w:val="20"/>
          <w:lang w:val="en-US"/>
        </w:rPr>
        <w:t>with the heel</w:t>
      </w:r>
      <w:r w:rsidR="00B91A8C" w:rsidRPr="003171CD">
        <w:rPr>
          <w:rFonts w:eastAsiaTheme="minorHAnsi" w:cs="Arial"/>
          <w:bCs/>
          <w:szCs w:val="20"/>
          <w:lang w:val="en-US"/>
        </w:rPr>
        <w:t>s</w:t>
      </w:r>
      <w:r w:rsidR="005A65CE" w:rsidRPr="003171CD">
        <w:rPr>
          <w:rFonts w:eastAsiaTheme="minorHAnsi" w:cs="Arial"/>
          <w:bCs/>
          <w:szCs w:val="20"/>
          <w:lang w:val="en-US"/>
        </w:rPr>
        <w:t xml:space="preserve"> of the</w:t>
      </w:r>
      <w:r w:rsidR="00B91A8C" w:rsidRPr="003171CD">
        <w:rPr>
          <w:rFonts w:eastAsiaTheme="minorHAnsi" w:cs="Arial"/>
          <w:bCs/>
          <w:szCs w:val="20"/>
          <w:lang w:val="en-US"/>
        </w:rPr>
        <w:t>ir</w:t>
      </w:r>
      <w:r w:rsidR="005A65CE" w:rsidRPr="003171CD">
        <w:rPr>
          <w:rFonts w:eastAsiaTheme="minorHAnsi" w:cs="Arial"/>
          <w:bCs/>
          <w:szCs w:val="20"/>
          <w:lang w:val="en-US"/>
        </w:rPr>
        <w:t xml:space="preserve"> </w:t>
      </w:r>
      <w:r w:rsidR="005A65CE" w:rsidRPr="003171CD">
        <w:rPr>
          <w:rFonts w:eastAsiaTheme="minorHAnsi" w:cs="Arial"/>
          <w:bCs/>
          <w:szCs w:val="20"/>
          <w:lang w:val="en-US"/>
        </w:rPr>
        <w:lastRenderedPageBreak/>
        <w:t>boot</w:t>
      </w:r>
      <w:r w:rsidR="00B91A8C" w:rsidRPr="003171CD">
        <w:rPr>
          <w:rFonts w:eastAsiaTheme="minorHAnsi" w:cs="Arial"/>
          <w:bCs/>
          <w:szCs w:val="20"/>
          <w:lang w:val="en-US"/>
        </w:rPr>
        <w:t>s</w:t>
      </w:r>
      <w:r w:rsidR="005A65CE" w:rsidRPr="003171CD">
        <w:rPr>
          <w:rFonts w:eastAsiaTheme="minorHAnsi" w:cs="Arial"/>
          <w:bCs/>
          <w:szCs w:val="20"/>
          <w:lang w:val="en-US"/>
        </w:rPr>
        <w:t xml:space="preserve"> </w:t>
      </w:r>
      <w:r w:rsidR="00B54B39" w:rsidRPr="003171CD">
        <w:rPr>
          <w:rFonts w:eastAsiaTheme="minorHAnsi" w:cs="Arial"/>
          <w:bCs/>
          <w:szCs w:val="20"/>
          <w:lang w:val="en-US"/>
        </w:rPr>
        <w:t xml:space="preserve">causing the </w:t>
      </w:r>
      <w:r w:rsidR="00A502B5" w:rsidRPr="003171CD">
        <w:rPr>
          <w:rFonts w:eastAsiaTheme="minorHAnsi" w:cs="Arial"/>
          <w:bCs/>
          <w:szCs w:val="20"/>
          <w:lang w:val="en-US"/>
        </w:rPr>
        <w:t>big toe</w:t>
      </w:r>
      <w:r w:rsidR="005A65CE" w:rsidRPr="003171CD">
        <w:rPr>
          <w:rFonts w:eastAsiaTheme="minorHAnsi" w:cs="Arial"/>
          <w:bCs/>
          <w:szCs w:val="20"/>
          <w:lang w:val="en-US"/>
        </w:rPr>
        <w:t xml:space="preserve"> of his right foot</w:t>
      </w:r>
      <w:r w:rsidR="00B64B1D" w:rsidRPr="003171CD">
        <w:rPr>
          <w:rFonts w:eastAsiaTheme="minorHAnsi" w:cs="Arial"/>
          <w:bCs/>
          <w:szCs w:val="20"/>
          <w:lang w:val="en-US"/>
        </w:rPr>
        <w:t xml:space="preserve"> </w:t>
      </w:r>
      <w:r w:rsidR="00B54B39" w:rsidRPr="003171CD">
        <w:rPr>
          <w:rFonts w:eastAsiaTheme="minorHAnsi" w:cs="Arial"/>
          <w:bCs/>
          <w:szCs w:val="20"/>
          <w:lang w:val="en-US"/>
        </w:rPr>
        <w:t xml:space="preserve">to </w:t>
      </w:r>
      <w:r w:rsidR="00B64B1D" w:rsidRPr="003171CD">
        <w:rPr>
          <w:rFonts w:eastAsiaTheme="minorHAnsi" w:cs="Arial"/>
          <w:bCs/>
          <w:szCs w:val="20"/>
          <w:lang w:val="en-US"/>
        </w:rPr>
        <w:t>bl</w:t>
      </w:r>
      <w:r w:rsidR="00B54B39" w:rsidRPr="003171CD">
        <w:rPr>
          <w:rFonts w:eastAsiaTheme="minorHAnsi" w:cs="Arial"/>
          <w:bCs/>
          <w:szCs w:val="20"/>
          <w:lang w:val="en-US"/>
        </w:rPr>
        <w:t>e</w:t>
      </w:r>
      <w:r w:rsidR="00B64B1D" w:rsidRPr="003171CD">
        <w:rPr>
          <w:rFonts w:eastAsiaTheme="minorHAnsi" w:cs="Arial"/>
          <w:bCs/>
          <w:szCs w:val="20"/>
          <w:lang w:val="en-US"/>
        </w:rPr>
        <w:t>ed</w:t>
      </w:r>
      <w:r w:rsidR="005A65CE" w:rsidRPr="003171CD">
        <w:rPr>
          <w:rFonts w:eastAsiaTheme="minorHAnsi" w:cs="Arial"/>
          <w:bCs/>
          <w:szCs w:val="20"/>
          <w:lang w:val="en-US"/>
        </w:rPr>
        <w:t>;</w:t>
      </w:r>
      <w:r w:rsidR="005A65CE" w:rsidRPr="003171CD">
        <w:rPr>
          <w:rFonts w:eastAsiaTheme="minorHAnsi" w:cs="Arial"/>
          <w:bCs/>
          <w:szCs w:val="20"/>
          <w:vertAlign w:val="superscript"/>
          <w:lang w:val="en-US"/>
        </w:rPr>
        <w:footnoteReference w:id="74"/>
      </w:r>
      <w:r w:rsidR="005A65CE" w:rsidRPr="003171CD">
        <w:rPr>
          <w:rFonts w:eastAsiaTheme="minorHAnsi" w:cs="Arial"/>
          <w:bCs/>
          <w:szCs w:val="20"/>
          <w:lang w:val="en-US"/>
        </w:rPr>
        <w:t xml:space="preserve"> iv) </w:t>
      </w:r>
      <w:r w:rsidR="003D7BF5" w:rsidRPr="003171CD">
        <w:rPr>
          <w:rFonts w:eastAsiaTheme="minorHAnsi" w:cs="Arial"/>
          <w:bCs/>
          <w:szCs w:val="20"/>
          <w:lang w:val="en-US"/>
        </w:rPr>
        <w:t>threatened with death;</w:t>
      </w:r>
      <w:r w:rsidR="005A65CE" w:rsidRPr="003171CD">
        <w:rPr>
          <w:rFonts w:eastAsiaTheme="minorHAnsi" w:cs="Arial"/>
          <w:bCs/>
          <w:szCs w:val="20"/>
          <w:vertAlign w:val="superscript"/>
          <w:lang w:val="en-US"/>
        </w:rPr>
        <w:footnoteReference w:id="75"/>
      </w:r>
      <w:r w:rsidR="005A65CE" w:rsidRPr="003171CD">
        <w:rPr>
          <w:rFonts w:eastAsiaTheme="minorHAnsi" w:cs="Arial"/>
          <w:bCs/>
          <w:szCs w:val="20"/>
          <w:lang w:val="en-US"/>
        </w:rPr>
        <w:t xml:space="preserve"> v) </w:t>
      </w:r>
      <w:r w:rsidR="00B91A8C" w:rsidRPr="003171CD">
        <w:rPr>
          <w:rFonts w:eastAsiaTheme="minorHAnsi" w:cs="Arial"/>
          <w:bCs/>
          <w:szCs w:val="20"/>
          <w:lang w:val="en-US"/>
        </w:rPr>
        <w:t xml:space="preserve">a rope </w:t>
      </w:r>
      <w:r w:rsidR="0068079D" w:rsidRPr="003171CD">
        <w:rPr>
          <w:rFonts w:eastAsiaTheme="minorHAnsi" w:cs="Arial"/>
          <w:bCs/>
          <w:szCs w:val="20"/>
          <w:lang w:val="en-US"/>
        </w:rPr>
        <w:t xml:space="preserve">was </w:t>
      </w:r>
      <w:r w:rsidR="003D7BF5" w:rsidRPr="003171CD">
        <w:rPr>
          <w:rFonts w:eastAsiaTheme="minorHAnsi" w:cs="Arial"/>
          <w:bCs/>
          <w:szCs w:val="20"/>
          <w:lang w:val="en-US"/>
        </w:rPr>
        <w:t>place</w:t>
      </w:r>
      <w:r w:rsidR="00B64B1D" w:rsidRPr="003171CD">
        <w:rPr>
          <w:rFonts w:eastAsiaTheme="minorHAnsi" w:cs="Arial"/>
          <w:bCs/>
          <w:szCs w:val="20"/>
          <w:lang w:val="en-US"/>
        </w:rPr>
        <w:t>d</w:t>
      </w:r>
      <w:r w:rsidR="003D7BF5" w:rsidRPr="003171CD">
        <w:rPr>
          <w:rFonts w:eastAsiaTheme="minorHAnsi" w:cs="Arial"/>
          <w:bCs/>
          <w:szCs w:val="20"/>
          <w:lang w:val="en-US"/>
        </w:rPr>
        <w:t xml:space="preserve"> around </w:t>
      </w:r>
      <w:r w:rsidR="005A65CE" w:rsidRPr="003171CD">
        <w:rPr>
          <w:rFonts w:eastAsiaTheme="minorHAnsi" w:cs="Arial"/>
          <w:bCs/>
          <w:szCs w:val="20"/>
          <w:lang w:val="en-US"/>
        </w:rPr>
        <w:t xml:space="preserve">his neck </w:t>
      </w:r>
      <w:r w:rsidR="0068079D" w:rsidRPr="003171CD">
        <w:rPr>
          <w:rFonts w:eastAsiaTheme="minorHAnsi" w:cs="Arial"/>
          <w:bCs/>
          <w:szCs w:val="20"/>
          <w:lang w:val="en-US"/>
        </w:rPr>
        <w:t>to the point of almost choking him</w:t>
      </w:r>
      <w:r w:rsidR="00B64B1D" w:rsidRPr="003171CD">
        <w:rPr>
          <w:rFonts w:eastAsiaTheme="minorHAnsi" w:cs="Arial"/>
          <w:bCs/>
          <w:szCs w:val="20"/>
          <w:lang w:val="en-US"/>
        </w:rPr>
        <w:t>,</w:t>
      </w:r>
      <w:r w:rsidR="005A65CE" w:rsidRPr="003171CD">
        <w:rPr>
          <w:rFonts w:eastAsiaTheme="minorHAnsi" w:cs="Arial"/>
          <w:bCs/>
          <w:szCs w:val="20"/>
          <w:vertAlign w:val="superscript"/>
          <w:lang w:val="en-US"/>
        </w:rPr>
        <w:footnoteReference w:id="76"/>
      </w:r>
      <w:r w:rsidR="005A65CE" w:rsidRPr="003171CD">
        <w:rPr>
          <w:rFonts w:eastAsiaTheme="minorHAnsi" w:cs="Arial"/>
          <w:bCs/>
          <w:szCs w:val="20"/>
          <w:lang w:val="en-US"/>
        </w:rPr>
        <w:t xml:space="preserve"> and vi) </w:t>
      </w:r>
      <w:r w:rsidR="005A65CE" w:rsidRPr="003171CD">
        <w:rPr>
          <w:rFonts w:cs="Arial"/>
          <w:lang w:val="en-US"/>
        </w:rPr>
        <w:t xml:space="preserve">his face </w:t>
      </w:r>
      <w:r w:rsidR="0068079D" w:rsidRPr="003171CD">
        <w:rPr>
          <w:rFonts w:cs="Arial"/>
          <w:lang w:val="en-US"/>
        </w:rPr>
        <w:t xml:space="preserve">was pressed </w:t>
      </w:r>
      <w:r w:rsidR="00B54B39" w:rsidRPr="003171CD">
        <w:rPr>
          <w:rFonts w:cs="Arial"/>
          <w:lang w:val="en-US"/>
        </w:rPr>
        <w:t xml:space="preserve">near a </w:t>
      </w:r>
      <w:r w:rsidR="005A65CE" w:rsidRPr="003171CD">
        <w:rPr>
          <w:rFonts w:eastAsiaTheme="minorHAnsi" w:cs="Arial"/>
          <w:bCs/>
          <w:szCs w:val="20"/>
          <w:lang w:val="en-US"/>
        </w:rPr>
        <w:t>mo</w:t>
      </w:r>
      <w:r w:rsidR="00F9792A" w:rsidRPr="003171CD">
        <w:rPr>
          <w:rFonts w:eastAsiaTheme="minorHAnsi" w:cs="Arial"/>
          <w:bCs/>
          <w:szCs w:val="20"/>
          <w:lang w:val="en-US"/>
        </w:rPr>
        <w:t xml:space="preserve">und </w:t>
      </w:r>
      <w:r w:rsidR="005A65CE" w:rsidRPr="003171CD">
        <w:rPr>
          <w:rFonts w:eastAsiaTheme="minorHAnsi" w:cs="Arial"/>
          <w:bCs/>
          <w:szCs w:val="20"/>
          <w:lang w:val="en-US"/>
        </w:rPr>
        <w:t xml:space="preserve">of </w:t>
      </w:r>
      <w:r w:rsidR="00B64B1D" w:rsidRPr="003171CD">
        <w:rPr>
          <w:rFonts w:eastAsiaTheme="minorHAnsi" w:cs="Arial"/>
          <w:bCs/>
          <w:szCs w:val="20"/>
          <w:lang w:val="en-US"/>
        </w:rPr>
        <w:t>excrement.</w:t>
      </w:r>
      <w:r w:rsidR="005A65CE" w:rsidRPr="003171CD">
        <w:rPr>
          <w:rFonts w:eastAsiaTheme="minorHAnsi" w:cs="Arial"/>
          <w:bCs/>
          <w:szCs w:val="20"/>
          <w:vertAlign w:val="superscript"/>
          <w:lang w:val="en-US"/>
        </w:rPr>
        <w:footnoteReference w:id="77"/>
      </w:r>
    </w:p>
    <w:p w14:paraId="601CF1B6" w14:textId="77777777" w:rsidR="005A65CE" w:rsidRPr="003171CD" w:rsidRDefault="005A65CE" w:rsidP="005A65CE">
      <w:pPr>
        <w:jc w:val="both"/>
        <w:rPr>
          <w:rFonts w:cs="Arial"/>
          <w:snapToGrid/>
          <w:lang w:val="en-US" w:eastAsia="en-US"/>
        </w:rPr>
      </w:pPr>
    </w:p>
    <w:p w14:paraId="5171CA54" w14:textId="77777777" w:rsidR="005A65CE" w:rsidRPr="003171CD" w:rsidRDefault="0068079D"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A</w:t>
      </w:r>
      <w:r w:rsidR="00D861F9" w:rsidRPr="003171CD">
        <w:rPr>
          <w:rFonts w:cs="Arial"/>
          <w:lang w:val="en-US"/>
        </w:rPr>
        <w:t xml:space="preserve">ccording to </w:t>
      </w:r>
      <w:r w:rsidR="00A72E9E" w:rsidRPr="003171CD">
        <w:rPr>
          <w:rFonts w:cs="Arial"/>
          <w:lang w:val="en-US"/>
        </w:rPr>
        <w:t xml:space="preserve">the </w:t>
      </w:r>
      <w:r w:rsidRPr="003171CD">
        <w:rPr>
          <w:rFonts w:cs="Arial"/>
          <w:lang w:val="en-US"/>
        </w:rPr>
        <w:t xml:space="preserve">record of his </w:t>
      </w:r>
      <w:r w:rsidR="00A72E9E" w:rsidRPr="003171CD">
        <w:rPr>
          <w:rFonts w:cs="Arial"/>
          <w:lang w:val="en-US"/>
        </w:rPr>
        <w:t xml:space="preserve">arrest, </w:t>
      </w:r>
      <w:r w:rsidR="00F9792A" w:rsidRPr="003171CD">
        <w:rPr>
          <w:rFonts w:cs="Arial"/>
          <w:lang w:val="en-US"/>
        </w:rPr>
        <w:t xml:space="preserve">an official letter was sent to </w:t>
      </w:r>
      <w:r w:rsidR="005A65CE" w:rsidRPr="003171CD">
        <w:rPr>
          <w:rFonts w:cs="Arial"/>
          <w:lang w:val="en-US"/>
        </w:rPr>
        <w:t xml:space="preserve">the </w:t>
      </w:r>
      <w:r w:rsidR="00B54B39" w:rsidRPr="003171CD">
        <w:rPr>
          <w:rFonts w:cs="Arial"/>
          <w:lang w:val="en-US"/>
        </w:rPr>
        <w:t xml:space="preserve">Office of the </w:t>
      </w:r>
      <w:r w:rsidR="005A65CE" w:rsidRPr="003171CD">
        <w:rPr>
          <w:rFonts w:cs="Arial"/>
          <w:lang w:val="en-US"/>
        </w:rPr>
        <w:t xml:space="preserve">Public </w:t>
      </w:r>
      <w:r w:rsidR="003D7BF5" w:rsidRPr="003171CD">
        <w:rPr>
          <w:rFonts w:cs="Arial"/>
          <w:lang w:val="en-US"/>
        </w:rPr>
        <w:t>Defen</w:t>
      </w:r>
      <w:r w:rsidR="00B54B39" w:rsidRPr="003171CD">
        <w:rPr>
          <w:rFonts w:cs="Arial"/>
          <w:lang w:val="en-US"/>
        </w:rPr>
        <w:t>der</w:t>
      </w:r>
      <w:r w:rsidR="003D7BF5" w:rsidRPr="003171CD">
        <w:rPr>
          <w:rFonts w:cs="Arial"/>
          <w:lang w:val="en-US"/>
        </w:rPr>
        <w:t xml:space="preserve"> requesting th</w:t>
      </w:r>
      <w:r w:rsidR="00B54B39" w:rsidRPr="003171CD">
        <w:rPr>
          <w:rFonts w:cs="Arial"/>
          <w:lang w:val="en-US"/>
        </w:rPr>
        <w:t xml:space="preserve">at a </w:t>
      </w:r>
      <w:r w:rsidR="003D7BF5" w:rsidRPr="003171CD">
        <w:rPr>
          <w:rFonts w:cs="Arial"/>
          <w:lang w:val="en-US"/>
        </w:rPr>
        <w:t xml:space="preserve">defense counsel </w:t>
      </w:r>
      <w:r w:rsidR="00B54B39" w:rsidRPr="003171CD">
        <w:rPr>
          <w:rFonts w:cs="Arial"/>
          <w:lang w:val="en-US"/>
        </w:rPr>
        <w:t xml:space="preserve">be assigned </w:t>
      </w:r>
      <w:r w:rsidR="003D7BF5" w:rsidRPr="003171CD">
        <w:rPr>
          <w:rFonts w:cs="Arial"/>
          <w:lang w:val="en-US"/>
        </w:rPr>
        <w:t xml:space="preserve">to </w:t>
      </w:r>
      <w:r w:rsidR="005A65CE" w:rsidRPr="003171CD">
        <w:rPr>
          <w:rFonts w:cs="Arial"/>
          <w:lang w:val="en-US"/>
        </w:rPr>
        <w:t>Mr. Ruano Torres.</w:t>
      </w:r>
      <w:r w:rsidR="005A65CE" w:rsidRPr="003171CD">
        <w:rPr>
          <w:vertAlign w:val="superscript"/>
          <w:lang w:val="en-US"/>
        </w:rPr>
        <w:footnoteReference w:id="78"/>
      </w:r>
      <w:r w:rsidR="005A65CE" w:rsidRPr="003171CD">
        <w:rPr>
          <w:rFonts w:cs="Arial"/>
          <w:lang w:val="en-US"/>
        </w:rPr>
        <w:t xml:space="preserve"> Alonso Bonilla Evenor</w:t>
      </w:r>
      <w:r w:rsidR="005A65CE" w:rsidRPr="003171CD">
        <w:rPr>
          <w:vertAlign w:val="superscript"/>
          <w:lang w:val="en-US"/>
        </w:rPr>
        <w:footnoteReference w:id="79"/>
      </w:r>
      <w:r w:rsidR="005A65CE" w:rsidRPr="003171CD">
        <w:rPr>
          <w:rFonts w:cs="Arial"/>
          <w:lang w:val="en-US"/>
        </w:rPr>
        <w:t xml:space="preserve"> was </w:t>
      </w:r>
      <w:r w:rsidR="00B54B39" w:rsidRPr="003171CD">
        <w:rPr>
          <w:rFonts w:cs="Arial"/>
          <w:lang w:val="en-US"/>
        </w:rPr>
        <w:t xml:space="preserve">appointed </w:t>
      </w:r>
      <w:r w:rsidR="005A65CE" w:rsidRPr="003171CD">
        <w:rPr>
          <w:rFonts w:cs="Arial"/>
          <w:lang w:val="en-US"/>
        </w:rPr>
        <w:t xml:space="preserve">as </w:t>
      </w:r>
      <w:r w:rsidR="00A72E9E" w:rsidRPr="003171CD">
        <w:rPr>
          <w:rFonts w:cs="Arial"/>
          <w:lang w:val="en-US"/>
        </w:rPr>
        <w:t xml:space="preserve">his </w:t>
      </w:r>
      <w:r w:rsidR="00B54B39" w:rsidRPr="003171CD">
        <w:rPr>
          <w:rFonts w:cs="Arial"/>
          <w:lang w:val="en-US"/>
        </w:rPr>
        <w:t>public d</w:t>
      </w:r>
      <w:r w:rsidR="005A65CE" w:rsidRPr="003171CD">
        <w:rPr>
          <w:rFonts w:cs="Arial"/>
          <w:lang w:val="en-US"/>
        </w:rPr>
        <w:t>efender.</w:t>
      </w:r>
    </w:p>
    <w:p w14:paraId="156BD1FC" w14:textId="77777777" w:rsidR="005A65CE" w:rsidRPr="003171CD" w:rsidRDefault="005A65CE" w:rsidP="005A65CE">
      <w:pPr>
        <w:jc w:val="both"/>
        <w:rPr>
          <w:rFonts w:cs="Arial"/>
          <w:snapToGrid/>
          <w:lang w:val="en-US" w:eastAsia="en-US"/>
        </w:rPr>
      </w:pPr>
    </w:p>
    <w:p w14:paraId="64635F60"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October 18, 2000</w:t>
      </w:r>
      <w:r w:rsidR="00D93E2F" w:rsidRPr="003171CD">
        <w:rPr>
          <w:rFonts w:cs="Arial"/>
          <w:lang w:val="en-US"/>
        </w:rPr>
        <w:t xml:space="preserve">, assistant prosecutors </w:t>
      </w:r>
      <w:r w:rsidR="00B54B39" w:rsidRPr="003171CD">
        <w:rPr>
          <w:rFonts w:cs="Arial"/>
          <w:lang w:val="en-US"/>
        </w:rPr>
        <w:t xml:space="preserve">at </w:t>
      </w:r>
      <w:r w:rsidR="00D93E2F" w:rsidRPr="003171CD">
        <w:rPr>
          <w:rFonts w:cs="Arial"/>
          <w:lang w:val="en-US"/>
        </w:rPr>
        <w:t xml:space="preserve">the Office </w:t>
      </w:r>
      <w:r w:rsidRPr="003171CD">
        <w:rPr>
          <w:rFonts w:cs="Arial"/>
          <w:lang w:val="en-US"/>
        </w:rPr>
        <w:t xml:space="preserve">the Attorney General requested </w:t>
      </w:r>
      <w:r w:rsidR="00D93E2F" w:rsidRPr="003171CD">
        <w:rPr>
          <w:rFonts w:cs="Arial"/>
          <w:lang w:val="en-US"/>
        </w:rPr>
        <w:t>th</w:t>
      </w:r>
      <w:r w:rsidR="00B54B39" w:rsidRPr="003171CD">
        <w:rPr>
          <w:rFonts w:cs="Arial"/>
          <w:lang w:val="en-US"/>
        </w:rPr>
        <w:t xml:space="preserve">at the various </w:t>
      </w:r>
      <w:r w:rsidR="00D93E2F" w:rsidRPr="003171CD">
        <w:rPr>
          <w:rFonts w:cs="Arial"/>
          <w:lang w:val="en-US"/>
        </w:rPr>
        <w:t>suspects</w:t>
      </w:r>
      <w:r w:rsidR="00F9792A" w:rsidRPr="003171CD">
        <w:rPr>
          <w:rFonts w:cs="Arial"/>
          <w:lang w:val="en-US"/>
        </w:rPr>
        <w:t xml:space="preserve"> </w:t>
      </w:r>
      <w:r w:rsidRPr="003171CD">
        <w:rPr>
          <w:rFonts w:cs="Arial"/>
          <w:lang w:val="en-US"/>
        </w:rPr>
        <w:t xml:space="preserve">in the kidnapping of Mr. Rodríguez Marroquín, including Mr. Ruano Torres, </w:t>
      </w:r>
      <w:r w:rsidR="00B54B39" w:rsidRPr="003171CD">
        <w:rPr>
          <w:rFonts w:cs="Arial"/>
          <w:lang w:val="en-US"/>
        </w:rPr>
        <w:t xml:space="preserve">be </w:t>
      </w:r>
      <w:r w:rsidR="004B1A3E" w:rsidRPr="003171CD">
        <w:rPr>
          <w:rFonts w:cs="Arial"/>
          <w:lang w:val="en-US"/>
        </w:rPr>
        <w:t>held in pre-trial detention</w:t>
      </w:r>
      <w:r w:rsidR="00B54B39" w:rsidRPr="003171CD">
        <w:rPr>
          <w:rFonts w:cs="Arial"/>
          <w:lang w:val="en-US"/>
        </w:rPr>
        <w:t xml:space="preserve">. The request was </w:t>
      </w:r>
      <w:r w:rsidRPr="003171CD">
        <w:rPr>
          <w:rFonts w:cs="Arial"/>
          <w:lang w:val="en-US"/>
        </w:rPr>
        <w:t xml:space="preserve">based on Articles 292 and 293, </w:t>
      </w:r>
      <w:r w:rsidR="00D93E2F" w:rsidRPr="003171CD">
        <w:rPr>
          <w:rFonts w:cs="Arial"/>
          <w:lang w:val="en-US"/>
        </w:rPr>
        <w:t>second subparagraph</w:t>
      </w:r>
      <w:r w:rsidRPr="003171CD">
        <w:rPr>
          <w:rFonts w:cs="Arial"/>
          <w:lang w:val="en-US"/>
        </w:rPr>
        <w:t>, of</w:t>
      </w:r>
      <w:r w:rsidR="006A6C41" w:rsidRPr="003171CD">
        <w:rPr>
          <w:rFonts w:cs="Arial"/>
          <w:lang w:val="en-US"/>
        </w:rPr>
        <w:t xml:space="preserve"> the Code of Criminal Procedure,</w:t>
      </w:r>
      <w:r w:rsidRPr="003171CD">
        <w:rPr>
          <w:vertAlign w:val="superscript"/>
          <w:lang w:val="en-US"/>
        </w:rPr>
        <w:footnoteReference w:id="80"/>
      </w:r>
      <w:r w:rsidR="008243ED" w:rsidRPr="003171CD">
        <w:rPr>
          <w:rFonts w:cs="Arial"/>
          <w:lang w:val="en-US"/>
        </w:rPr>
        <w:t xml:space="preserve"> </w:t>
      </w:r>
      <w:r w:rsidR="006A6C41" w:rsidRPr="003171CD">
        <w:rPr>
          <w:rFonts w:cs="Arial"/>
          <w:lang w:val="en-US"/>
        </w:rPr>
        <w:t xml:space="preserve">and mentioned </w:t>
      </w:r>
      <w:r w:rsidRPr="003171CD">
        <w:rPr>
          <w:rFonts w:cs="Arial"/>
          <w:lang w:val="en-US"/>
        </w:rPr>
        <w:t xml:space="preserve">the </w:t>
      </w:r>
      <w:r w:rsidRPr="003171CD">
        <w:rPr>
          <w:rFonts w:cs="Arial"/>
          <w:color w:val="000000"/>
          <w:lang w:val="en-US"/>
        </w:rPr>
        <w:t>foll</w:t>
      </w:r>
      <w:r w:rsidR="003D7BF5" w:rsidRPr="003171CD">
        <w:rPr>
          <w:rFonts w:cs="Arial"/>
          <w:color w:val="000000"/>
          <w:lang w:val="en-US"/>
        </w:rPr>
        <w:t xml:space="preserve">owing considerations: i) </w:t>
      </w:r>
      <w:r w:rsidR="00A72E9E" w:rsidRPr="003171CD">
        <w:rPr>
          <w:rFonts w:cs="Arial"/>
          <w:color w:val="000000"/>
          <w:lang w:val="en-US"/>
        </w:rPr>
        <w:t xml:space="preserve">there </w:t>
      </w:r>
      <w:r w:rsidR="004B1A3E" w:rsidRPr="003171CD">
        <w:rPr>
          <w:rFonts w:cs="Arial"/>
          <w:color w:val="000000"/>
          <w:lang w:val="en-US"/>
        </w:rPr>
        <w:t xml:space="preserve">are </w:t>
      </w:r>
      <w:r w:rsidR="00A72E9E" w:rsidRPr="003171CD">
        <w:rPr>
          <w:rFonts w:cs="Arial"/>
          <w:color w:val="000000"/>
          <w:lang w:val="en-US"/>
        </w:rPr>
        <w:t xml:space="preserve">sufficient </w:t>
      </w:r>
      <w:r w:rsidR="004B1A3E" w:rsidRPr="003171CD">
        <w:rPr>
          <w:rFonts w:cs="Arial"/>
          <w:color w:val="000000"/>
          <w:lang w:val="en-US"/>
        </w:rPr>
        <w:t xml:space="preserve">grounds </w:t>
      </w:r>
      <w:r w:rsidRPr="003171CD">
        <w:rPr>
          <w:rFonts w:cs="Arial"/>
          <w:lang w:val="en-US"/>
        </w:rPr>
        <w:t>to reas</w:t>
      </w:r>
      <w:r w:rsidR="00A72E9E" w:rsidRPr="003171CD">
        <w:rPr>
          <w:rFonts w:cs="Arial"/>
          <w:lang w:val="en-US"/>
        </w:rPr>
        <w:t xml:space="preserve">onably </w:t>
      </w:r>
      <w:r w:rsidRPr="003171CD">
        <w:rPr>
          <w:rFonts w:cs="Arial"/>
          <w:lang w:val="en-US"/>
        </w:rPr>
        <w:t xml:space="preserve">affirm that the accused </w:t>
      </w:r>
      <w:r w:rsidR="008243ED" w:rsidRPr="003171CD">
        <w:rPr>
          <w:rFonts w:cs="Arial"/>
          <w:lang w:val="en-US"/>
        </w:rPr>
        <w:t xml:space="preserve">probably participated in the </w:t>
      </w:r>
      <w:r w:rsidR="00D93E2F" w:rsidRPr="003171CD">
        <w:rPr>
          <w:rFonts w:cs="Arial"/>
          <w:lang w:val="en-US"/>
        </w:rPr>
        <w:t>kidnapping of</w:t>
      </w:r>
      <w:r w:rsidRPr="003171CD">
        <w:rPr>
          <w:rFonts w:cs="Arial"/>
          <w:lang w:val="en-US"/>
        </w:rPr>
        <w:t xml:space="preserve"> Jaime Ernesto Rodríguez Marroquín; ii) bearing in mind the seriousness of the crime and th</w:t>
      </w:r>
      <w:r w:rsidR="00F3256B" w:rsidRPr="003171CD">
        <w:rPr>
          <w:rFonts w:cs="Arial"/>
          <w:lang w:val="en-US"/>
        </w:rPr>
        <w:t xml:space="preserve">at the sentence would </w:t>
      </w:r>
      <w:r w:rsidR="00D861F9" w:rsidRPr="003171CD">
        <w:rPr>
          <w:rFonts w:cs="Arial"/>
          <w:lang w:val="en-US"/>
        </w:rPr>
        <w:t xml:space="preserve">likely </w:t>
      </w:r>
      <w:r w:rsidR="00F3256B" w:rsidRPr="003171CD">
        <w:rPr>
          <w:rFonts w:cs="Arial"/>
          <w:lang w:val="en-US"/>
        </w:rPr>
        <w:t>exceed</w:t>
      </w:r>
      <w:r w:rsidRPr="003171CD">
        <w:rPr>
          <w:rFonts w:cs="Arial"/>
          <w:lang w:val="en-US"/>
        </w:rPr>
        <w:t xml:space="preserve"> three years in prison, </w:t>
      </w:r>
      <w:r w:rsidR="004B1A3E" w:rsidRPr="003171CD">
        <w:rPr>
          <w:rFonts w:cs="Arial"/>
          <w:lang w:val="en-US"/>
        </w:rPr>
        <w:t>pre-trial detention</w:t>
      </w:r>
      <w:r w:rsidR="003D7BF5" w:rsidRPr="003171CD">
        <w:rPr>
          <w:rFonts w:cs="Arial"/>
          <w:lang w:val="en-US"/>
        </w:rPr>
        <w:t xml:space="preserve"> </w:t>
      </w:r>
      <w:r w:rsidR="004B1A3E" w:rsidRPr="003171CD">
        <w:rPr>
          <w:rFonts w:cs="Arial"/>
          <w:lang w:val="en-US"/>
        </w:rPr>
        <w:t xml:space="preserve">should </w:t>
      </w:r>
      <w:r w:rsidR="003D7BF5" w:rsidRPr="003171CD">
        <w:rPr>
          <w:rFonts w:cs="Arial"/>
          <w:lang w:val="en-US"/>
        </w:rPr>
        <w:t xml:space="preserve">be applied as an </w:t>
      </w:r>
      <w:r w:rsidRPr="003171CD">
        <w:rPr>
          <w:rFonts w:cs="Arial"/>
          <w:lang w:val="en-US"/>
        </w:rPr>
        <w:t>exception</w:t>
      </w:r>
      <w:r w:rsidR="006A6C41" w:rsidRPr="003171CD">
        <w:rPr>
          <w:rFonts w:cs="Arial"/>
          <w:lang w:val="en-US"/>
        </w:rPr>
        <w:t>al measure</w:t>
      </w:r>
      <w:r w:rsidR="004B1A3E" w:rsidRPr="003171CD">
        <w:rPr>
          <w:rFonts w:cs="Arial"/>
          <w:lang w:val="en-US"/>
        </w:rPr>
        <w:t>, since</w:t>
      </w:r>
      <w:r w:rsidR="006A6C41" w:rsidRPr="003171CD">
        <w:rPr>
          <w:rFonts w:cs="Arial"/>
          <w:lang w:val="en-US"/>
        </w:rPr>
        <w:t xml:space="preserve"> </w:t>
      </w:r>
      <w:r w:rsidR="004B1A3E" w:rsidRPr="003171CD">
        <w:rPr>
          <w:rFonts w:cs="Arial"/>
          <w:lang w:val="en-US"/>
        </w:rPr>
        <w:t>the accused present</w:t>
      </w:r>
      <w:r w:rsidR="00D861F9" w:rsidRPr="003171CD">
        <w:rPr>
          <w:rFonts w:cs="Arial"/>
          <w:lang w:val="en-US"/>
        </w:rPr>
        <w:t>s</w:t>
      </w:r>
      <w:r w:rsidR="006A6C41" w:rsidRPr="003171CD">
        <w:rPr>
          <w:rFonts w:cs="Arial"/>
          <w:lang w:val="en-US"/>
        </w:rPr>
        <w:t xml:space="preserve"> an imminent flight risk and</w:t>
      </w:r>
      <w:r w:rsidRPr="003171CD">
        <w:rPr>
          <w:rFonts w:cs="Arial"/>
          <w:lang w:val="en-US"/>
        </w:rPr>
        <w:t xml:space="preserve"> </w:t>
      </w:r>
      <w:r w:rsidR="004B1A3E" w:rsidRPr="003171CD">
        <w:rPr>
          <w:rFonts w:cs="Arial"/>
          <w:lang w:val="en-US"/>
        </w:rPr>
        <w:t xml:space="preserve">such </w:t>
      </w:r>
      <w:r w:rsidRPr="003171CD">
        <w:rPr>
          <w:rFonts w:cs="Arial"/>
          <w:lang w:val="en-US"/>
        </w:rPr>
        <w:t>inter</w:t>
      </w:r>
      <w:r w:rsidR="004B1A3E" w:rsidRPr="003171CD">
        <w:rPr>
          <w:rFonts w:cs="Arial"/>
          <w:lang w:val="en-US"/>
        </w:rPr>
        <w:t xml:space="preserve">ference </w:t>
      </w:r>
      <w:r w:rsidRPr="003171CD">
        <w:rPr>
          <w:rFonts w:cs="Arial"/>
          <w:lang w:val="en-US"/>
        </w:rPr>
        <w:t xml:space="preserve">could hinder specific </w:t>
      </w:r>
      <w:r w:rsidR="00677C86" w:rsidRPr="003171CD">
        <w:rPr>
          <w:rFonts w:cs="Arial"/>
          <w:lang w:val="en-US"/>
        </w:rPr>
        <w:t xml:space="preserve">aspects of </w:t>
      </w:r>
      <w:r w:rsidR="004B1A3E" w:rsidRPr="003171CD">
        <w:rPr>
          <w:rFonts w:cs="Arial"/>
          <w:lang w:val="en-US"/>
        </w:rPr>
        <w:t xml:space="preserve">the investigation and </w:t>
      </w:r>
      <w:r w:rsidRPr="003171CD">
        <w:rPr>
          <w:rFonts w:cs="Arial"/>
          <w:lang w:val="en-US"/>
        </w:rPr>
        <w:t xml:space="preserve">frustrate the </w:t>
      </w:r>
      <w:r w:rsidR="006A6C41" w:rsidRPr="003171CD">
        <w:rPr>
          <w:rFonts w:cs="Arial"/>
          <w:lang w:val="en-US"/>
        </w:rPr>
        <w:t xml:space="preserve">start of the </w:t>
      </w:r>
      <w:r w:rsidR="00F3256B" w:rsidRPr="003171CD">
        <w:rPr>
          <w:rFonts w:cs="Arial"/>
          <w:lang w:val="en-US"/>
        </w:rPr>
        <w:t>trial</w:t>
      </w:r>
      <w:r w:rsidRPr="003171CD">
        <w:rPr>
          <w:rFonts w:cs="Arial"/>
          <w:lang w:val="en-US"/>
        </w:rPr>
        <w:t>, and iii) as to exceptionali</w:t>
      </w:r>
      <w:r w:rsidR="003D7BF5" w:rsidRPr="003171CD">
        <w:rPr>
          <w:rFonts w:cs="Arial"/>
          <w:lang w:val="en-US"/>
        </w:rPr>
        <w:t>ty</w:t>
      </w:r>
      <w:r w:rsidRPr="003171CD">
        <w:rPr>
          <w:rFonts w:cs="Arial"/>
          <w:lang w:val="en-US"/>
        </w:rPr>
        <w:t xml:space="preserve">, </w:t>
      </w:r>
      <w:r w:rsidR="006A6C41" w:rsidRPr="003171CD">
        <w:rPr>
          <w:rFonts w:cs="Arial"/>
          <w:lang w:val="en-US"/>
        </w:rPr>
        <w:t xml:space="preserve">it </w:t>
      </w:r>
      <w:r w:rsidRPr="003171CD">
        <w:rPr>
          <w:rFonts w:cs="Arial"/>
          <w:lang w:val="en-US"/>
        </w:rPr>
        <w:t>would be</w:t>
      </w:r>
      <w:r w:rsidR="00AC0CC5" w:rsidRPr="003171CD">
        <w:rPr>
          <w:rFonts w:cs="Arial"/>
          <w:lang w:val="en-US"/>
        </w:rPr>
        <w:t xml:space="preserve"> contrary </w:t>
      </w:r>
      <w:r w:rsidR="003D7BF5" w:rsidRPr="003171CD">
        <w:rPr>
          <w:rFonts w:cs="Arial"/>
          <w:lang w:val="en-US"/>
        </w:rPr>
        <w:t xml:space="preserve">to </w:t>
      </w:r>
      <w:r w:rsidRPr="003171CD">
        <w:rPr>
          <w:rFonts w:cs="Arial"/>
          <w:lang w:val="en-US"/>
        </w:rPr>
        <w:t xml:space="preserve">the sound </w:t>
      </w:r>
      <w:r w:rsidR="003D7BF5" w:rsidRPr="003171CD">
        <w:rPr>
          <w:rFonts w:cs="Arial"/>
          <w:lang w:val="en-US"/>
        </w:rPr>
        <w:t xml:space="preserve">conduct </w:t>
      </w:r>
      <w:r w:rsidRPr="003171CD">
        <w:rPr>
          <w:rFonts w:cs="Arial"/>
          <w:lang w:val="en-US"/>
        </w:rPr>
        <w:t>of the proceeding t</w:t>
      </w:r>
      <w:r w:rsidR="00A33CB1" w:rsidRPr="003171CD">
        <w:rPr>
          <w:rFonts w:cs="Arial"/>
          <w:lang w:val="en-US"/>
        </w:rPr>
        <w:t xml:space="preserve">o </w:t>
      </w:r>
      <w:r w:rsidRPr="003171CD">
        <w:rPr>
          <w:rFonts w:cs="Arial"/>
          <w:lang w:val="en-US"/>
        </w:rPr>
        <w:t>imp</w:t>
      </w:r>
      <w:r w:rsidR="00401AAC" w:rsidRPr="003171CD">
        <w:rPr>
          <w:rFonts w:cs="Arial"/>
          <w:lang w:val="en-US"/>
        </w:rPr>
        <w:t xml:space="preserve">ose </w:t>
      </w:r>
      <w:r w:rsidR="003D7BF5" w:rsidRPr="003171CD">
        <w:rPr>
          <w:rFonts w:cs="Arial"/>
          <w:lang w:val="en-US"/>
        </w:rPr>
        <w:t xml:space="preserve">a </w:t>
      </w:r>
      <w:r w:rsidRPr="003171CD">
        <w:rPr>
          <w:rFonts w:cs="Arial"/>
          <w:lang w:val="en-US"/>
        </w:rPr>
        <w:t xml:space="preserve">measure other than </w:t>
      </w:r>
      <w:r w:rsidR="004B1A3E" w:rsidRPr="003171CD">
        <w:rPr>
          <w:rFonts w:cs="Arial"/>
          <w:lang w:val="en-US"/>
        </w:rPr>
        <w:t xml:space="preserve">pre-trial </w:t>
      </w:r>
      <w:r w:rsidRPr="003171CD">
        <w:rPr>
          <w:rFonts w:cs="Arial"/>
          <w:lang w:val="en-US"/>
        </w:rPr>
        <w:t xml:space="preserve">detention, </w:t>
      </w:r>
      <w:r w:rsidR="004B1A3E" w:rsidRPr="003171CD">
        <w:rPr>
          <w:rFonts w:cs="Arial"/>
          <w:lang w:val="en-US"/>
        </w:rPr>
        <w:t xml:space="preserve">given </w:t>
      </w:r>
      <w:r w:rsidRPr="003171CD">
        <w:rPr>
          <w:rFonts w:cs="Arial"/>
          <w:lang w:val="en-US"/>
        </w:rPr>
        <w:t xml:space="preserve">that Article 294 of the Criminal Procedure Code expressly </w:t>
      </w:r>
      <w:r w:rsidR="005224CC" w:rsidRPr="003171CD">
        <w:rPr>
          <w:rFonts w:cs="Arial"/>
          <w:lang w:val="en-US"/>
        </w:rPr>
        <w:t>prohibits</w:t>
      </w:r>
      <w:r w:rsidR="006A6C41" w:rsidRPr="003171CD">
        <w:rPr>
          <w:rFonts w:cs="Arial"/>
          <w:lang w:val="en-US"/>
        </w:rPr>
        <w:t xml:space="preserve"> </w:t>
      </w:r>
      <w:r w:rsidRPr="003171CD">
        <w:rPr>
          <w:rFonts w:cs="Arial"/>
          <w:lang w:val="en-US"/>
        </w:rPr>
        <w:t xml:space="preserve">the </w:t>
      </w:r>
      <w:r w:rsidR="005224CC" w:rsidRPr="003171CD">
        <w:rPr>
          <w:rFonts w:cs="Arial"/>
          <w:lang w:val="en-US"/>
        </w:rPr>
        <w:t xml:space="preserve">substitution of the </w:t>
      </w:r>
      <w:r w:rsidR="003D7BF5" w:rsidRPr="003171CD">
        <w:rPr>
          <w:rFonts w:cs="Arial"/>
          <w:lang w:val="en-US"/>
        </w:rPr>
        <w:t xml:space="preserve">precautionary </w:t>
      </w:r>
      <w:r w:rsidRPr="003171CD">
        <w:rPr>
          <w:rFonts w:cs="Arial"/>
          <w:lang w:val="en-US"/>
        </w:rPr>
        <w:t xml:space="preserve">measure of </w:t>
      </w:r>
      <w:r w:rsidR="003D7BF5" w:rsidRPr="003171CD">
        <w:rPr>
          <w:rFonts w:cs="Arial"/>
          <w:lang w:val="en-US"/>
        </w:rPr>
        <w:t>pr</w:t>
      </w:r>
      <w:r w:rsidR="004B1A3E" w:rsidRPr="003171CD">
        <w:rPr>
          <w:rFonts w:cs="Arial"/>
          <w:lang w:val="en-US"/>
        </w:rPr>
        <w:t xml:space="preserve">e-trial </w:t>
      </w:r>
      <w:r w:rsidRPr="003171CD">
        <w:rPr>
          <w:rFonts w:cs="Arial"/>
          <w:lang w:val="en-US"/>
        </w:rPr>
        <w:t>detention in cases of kidnapping</w:t>
      </w:r>
      <w:r w:rsidR="000A776C" w:rsidRPr="003171CD">
        <w:rPr>
          <w:rFonts w:cs="Arial"/>
          <w:lang w:val="en-US"/>
        </w:rPr>
        <w:t xml:space="preserve"> </w:t>
      </w:r>
      <w:r w:rsidR="00FD638E" w:rsidRPr="003171CD">
        <w:rPr>
          <w:rFonts w:cs="Arial"/>
          <w:lang w:val="en-US"/>
        </w:rPr>
        <w:t>such as this</w:t>
      </w:r>
      <w:r w:rsidR="003D7BF5" w:rsidRPr="003171CD">
        <w:rPr>
          <w:rFonts w:cs="Arial"/>
          <w:lang w:val="en-US"/>
        </w:rPr>
        <w:t>.</w:t>
      </w:r>
      <w:r w:rsidRPr="003171CD">
        <w:rPr>
          <w:vertAlign w:val="superscript"/>
          <w:lang w:val="en-US"/>
        </w:rPr>
        <w:footnoteReference w:id="81"/>
      </w:r>
    </w:p>
    <w:p w14:paraId="534ED3DE" w14:textId="77777777" w:rsidR="005A65CE" w:rsidRPr="003171CD" w:rsidRDefault="005A65CE" w:rsidP="005A65CE">
      <w:pPr>
        <w:jc w:val="both"/>
        <w:rPr>
          <w:rFonts w:cs="Arial"/>
          <w:snapToGrid/>
          <w:lang w:val="en-US" w:eastAsia="en-US"/>
        </w:rPr>
      </w:pPr>
    </w:p>
    <w:p w14:paraId="1222DE5E"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lastRenderedPageBreak/>
        <w:t xml:space="preserve">That same day the Justice of the Peace of Tonacatepeque ordered that the </w:t>
      </w:r>
      <w:r w:rsidR="005224CC" w:rsidRPr="003171CD">
        <w:rPr>
          <w:rFonts w:cs="Arial"/>
          <w:lang w:val="en-US"/>
        </w:rPr>
        <w:t xml:space="preserve">suspects remain </w:t>
      </w:r>
      <w:r w:rsidRPr="003171CD">
        <w:rPr>
          <w:rFonts w:cs="Arial"/>
          <w:lang w:val="en-US"/>
        </w:rPr>
        <w:t xml:space="preserve">in custody for the </w:t>
      </w:r>
      <w:r w:rsidR="00BF372A" w:rsidRPr="003171CD">
        <w:rPr>
          <w:rFonts w:cs="Arial"/>
          <w:lang w:val="en-US"/>
        </w:rPr>
        <w:t>duration of the in</w:t>
      </w:r>
      <w:r w:rsidR="008B3305" w:rsidRPr="003171CD">
        <w:rPr>
          <w:rFonts w:cs="Arial"/>
          <w:lang w:val="en-US"/>
        </w:rPr>
        <w:t>vestigation</w:t>
      </w:r>
      <w:r w:rsidRPr="003171CD">
        <w:rPr>
          <w:vertAlign w:val="superscript"/>
          <w:lang w:val="en-US"/>
        </w:rPr>
        <w:footnoteReference w:id="82"/>
      </w:r>
      <w:r w:rsidRPr="003171CD">
        <w:rPr>
          <w:rFonts w:cs="Arial"/>
          <w:lang w:val="en-US"/>
        </w:rPr>
        <w:t xml:space="preserve"> and </w:t>
      </w:r>
      <w:r w:rsidR="005224CC" w:rsidRPr="003171CD">
        <w:rPr>
          <w:rFonts w:cs="Arial"/>
          <w:lang w:val="en-US"/>
        </w:rPr>
        <w:t xml:space="preserve">scheduled </w:t>
      </w:r>
      <w:r w:rsidRPr="003171CD">
        <w:rPr>
          <w:rFonts w:cs="Arial"/>
          <w:lang w:val="en-US"/>
        </w:rPr>
        <w:t>a</w:t>
      </w:r>
      <w:r w:rsidR="00BF372A" w:rsidRPr="003171CD">
        <w:rPr>
          <w:rFonts w:cs="Arial"/>
          <w:lang w:val="en-US"/>
        </w:rPr>
        <w:t xml:space="preserve"> preliminary </w:t>
      </w:r>
      <w:r w:rsidRPr="003171CD">
        <w:rPr>
          <w:rFonts w:cs="Arial"/>
          <w:lang w:val="en-US"/>
        </w:rPr>
        <w:t>hearing.</w:t>
      </w:r>
      <w:r w:rsidRPr="003171CD">
        <w:rPr>
          <w:vertAlign w:val="superscript"/>
          <w:lang w:val="en-US"/>
        </w:rPr>
        <w:footnoteReference w:id="83"/>
      </w:r>
    </w:p>
    <w:p w14:paraId="5EB97325" w14:textId="77777777" w:rsidR="005A65CE" w:rsidRPr="003171CD" w:rsidRDefault="005A65CE" w:rsidP="005A65CE">
      <w:pPr>
        <w:jc w:val="both"/>
        <w:rPr>
          <w:rFonts w:cs="Arial"/>
          <w:snapToGrid/>
          <w:lang w:val="en-US" w:eastAsia="en-US"/>
        </w:rPr>
      </w:pPr>
    </w:p>
    <w:p w14:paraId="0B8338B9" w14:textId="77777777" w:rsidR="005A65CE" w:rsidRPr="003171CD" w:rsidRDefault="00816D46" w:rsidP="005A65CE">
      <w:pPr>
        <w:pStyle w:val="Prrafodelista"/>
        <w:keepNext/>
        <w:keepLines/>
        <w:numPr>
          <w:ilvl w:val="0"/>
          <w:numId w:val="16"/>
        </w:numPr>
        <w:ind w:left="1418" w:hanging="709"/>
        <w:jc w:val="both"/>
        <w:outlineLvl w:val="1"/>
        <w:rPr>
          <w:rFonts w:cs="Arial"/>
          <w:b/>
          <w:i/>
          <w:lang w:val="en-US"/>
        </w:rPr>
      </w:pPr>
      <w:bookmarkStart w:id="35" w:name="_Toc416260570"/>
      <w:bookmarkStart w:id="36" w:name="_Toc416260678"/>
      <w:bookmarkStart w:id="37" w:name="_Toc45186702"/>
      <w:r w:rsidRPr="003171CD">
        <w:rPr>
          <w:rFonts w:cs="Arial"/>
          <w:b/>
          <w:i/>
          <w:lang w:val="en-US"/>
        </w:rPr>
        <w:t>Criminal p</w:t>
      </w:r>
      <w:r w:rsidR="005A65CE" w:rsidRPr="003171CD">
        <w:rPr>
          <w:rFonts w:cs="Arial"/>
          <w:b/>
          <w:i/>
          <w:lang w:val="en-US"/>
        </w:rPr>
        <w:t>roce</w:t>
      </w:r>
      <w:r w:rsidRPr="003171CD">
        <w:rPr>
          <w:rFonts w:cs="Arial"/>
          <w:b/>
          <w:i/>
          <w:lang w:val="en-US"/>
        </w:rPr>
        <w:t>eding</w:t>
      </w:r>
      <w:r w:rsidR="002D30D3" w:rsidRPr="003171CD">
        <w:rPr>
          <w:rFonts w:cs="Arial"/>
          <w:b/>
          <w:i/>
          <w:lang w:val="en-US"/>
        </w:rPr>
        <w:t>s</w:t>
      </w:r>
      <w:r w:rsidRPr="003171CD">
        <w:rPr>
          <w:rFonts w:cs="Arial"/>
          <w:b/>
          <w:i/>
          <w:lang w:val="en-US"/>
        </w:rPr>
        <w:t xml:space="preserve"> </w:t>
      </w:r>
      <w:r w:rsidR="005A65CE" w:rsidRPr="003171CD">
        <w:rPr>
          <w:rFonts w:cs="Arial"/>
          <w:b/>
          <w:i/>
          <w:lang w:val="en-US"/>
        </w:rPr>
        <w:t>against José Agapito Ruano Torres</w:t>
      </w:r>
      <w:bookmarkEnd w:id="35"/>
      <w:bookmarkEnd w:id="36"/>
      <w:bookmarkEnd w:id="37"/>
    </w:p>
    <w:p w14:paraId="4423C25C" w14:textId="77777777" w:rsidR="005A65CE" w:rsidRPr="003171CD" w:rsidRDefault="005A65CE" w:rsidP="005A65CE">
      <w:pPr>
        <w:jc w:val="both"/>
        <w:rPr>
          <w:rFonts w:cs="Arial"/>
          <w:snapToGrid/>
          <w:lang w:val="en-US" w:eastAsia="en-US"/>
        </w:rPr>
      </w:pPr>
    </w:p>
    <w:p w14:paraId="2AE42342" w14:textId="77777777" w:rsidR="005A65CE" w:rsidRPr="003171CD" w:rsidRDefault="002D30D3" w:rsidP="005A65CE">
      <w:pPr>
        <w:pStyle w:val="Prrafodelista"/>
        <w:numPr>
          <w:ilvl w:val="0"/>
          <w:numId w:val="1"/>
        </w:numPr>
        <w:tabs>
          <w:tab w:val="left" w:pos="720"/>
        </w:tabs>
        <w:ind w:right="-90"/>
        <w:jc w:val="both"/>
        <w:rPr>
          <w:rFonts w:cs="Arial"/>
          <w:lang w:val="en-US"/>
        </w:rPr>
      </w:pPr>
      <w:r w:rsidRPr="003171CD">
        <w:rPr>
          <w:rFonts w:cs="Arial"/>
          <w:lang w:val="en-US"/>
        </w:rPr>
        <w:t>T</w:t>
      </w:r>
      <w:r w:rsidR="005A65CE" w:rsidRPr="003171CD">
        <w:rPr>
          <w:rFonts w:cs="Arial"/>
          <w:lang w:val="en-US"/>
        </w:rPr>
        <w:t xml:space="preserve">he preliminary hearing was held </w:t>
      </w:r>
      <w:r w:rsidRPr="003171CD">
        <w:rPr>
          <w:rFonts w:cs="Arial"/>
          <w:lang w:val="en-US"/>
        </w:rPr>
        <w:t xml:space="preserve">on October 20, 2000, </w:t>
      </w:r>
      <w:r w:rsidR="005A65CE" w:rsidRPr="003171CD">
        <w:rPr>
          <w:rFonts w:cs="Arial"/>
          <w:lang w:val="en-US"/>
        </w:rPr>
        <w:t xml:space="preserve">before the </w:t>
      </w:r>
      <w:r w:rsidR="00BF372A" w:rsidRPr="003171CD">
        <w:rPr>
          <w:rFonts w:cs="Arial"/>
          <w:lang w:val="en-US"/>
        </w:rPr>
        <w:t xml:space="preserve">Magistrate’s Court </w:t>
      </w:r>
      <w:r w:rsidR="005A65CE" w:rsidRPr="003171CD">
        <w:rPr>
          <w:rFonts w:cs="Arial"/>
          <w:lang w:val="en-US"/>
        </w:rPr>
        <w:t>of Tonacatepeque.</w:t>
      </w:r>
      <w:r w:rsidR="005A65CE" w:rsidRPr="003171CD">
        <w:rPr>
          <w:vertAlign w:val="superscript"/>
          <w:lang w:val="en-US"/>
        </w:rPr>
        <w:footnoteReference w:id="84"/>
      </w:r>
      <w:r w:rsidR="00BF372A" w:rsidRPr="003171CD">
        <w:rPr>
          <w:rFonts w:cs="Arial"/>
          <w:lang w:val="en-US"/>
        </w:rPr>
        <w:t xml:space="preserve"> P</w:t>
      </w:r>
      <w:r w:rsidR="00BB22C9" w:rsidRPr="003171CD">
        <w:rPr>
          <w:rFonts w:cs="Arial"/>
          <w:lang w:val="en-US"/>
        </w:rPr>
        <w:t>ublic D</w:t>
      </w:r>
      <w:r w:rsidR="005A65CE" w:rsidRPr="003171CD">
        <w:rPr>
          <w:rFonts w:cs="Arial"/>
          <w:lang w:val="en-US"/>
        </w:rPr>
        <w:t xml:space="preserve">efenders Mario René Chávez Corvera and Soraya Melany Contreras were appointed to represent </w:t>
      </w:r>
      <w:r w:rsidR="00BF372A" w:rsidRPr="003171CD">
        <w:rPr>
          <w:rFonts w:cs="Arial"/>
          <w:lang w:val="en-US"/>
        </w:rPr>
        <w:t xml:space="preserve">four of the accused, including </w:t>
      </w:r>
      <w:r w:rsidR="005A65CE" w:rsidRPr="003171CD">
        <w:rPr>
          <w:rFonts w:cs="Arial"/>
          <w:lang w:val="en-US"/>
        </w:rPr>
        <w:t>José Agapito Ruano Torres.</w:t>
      </w:r>
      <w:r w:rsidR="005A65CE" w:rsidRPr="003171CD">
        <w:rPr>
          <w:rStyle w:val="Refdenotaalpie"/>
          <w:rFonts w:cs="Arial"/>
          <w:lang w:val="en-US"/>
        </w:rPr>
        <w:footnoteReference w:id="85"/>
      </w:r>
      <w:r w:rsidR="005A65CE" w:rsidRPr="003171CD">
        <w:rPr>
          <w:rFonts w:cs="Arial"/>
          <w:lang w:val="en-US"/>
        </w:rPr>
        <w:t xml:space="preserve"> The defense </w:t>
      </w:r>
      <w:r w:rsidR="00BB22C9" w:rsidRPr="003171CD">
        <w:rPr>
          <w:rFonts w:cs="Arial"/>
          <w:lang w:val="en-US"/>
        </w:rPr>
        <w:t xml:space="preserve">team </w:t>
      </w:r>
      <w:r w:rsidR="005A65CE" w:rsidRPr="003171CD">
        <w:rPr>
          <w:rFonts w:cs="Arial"/>
          <w:lang w:val="en-US"/>
        </w:rPr>
        <w:t>requested th</w:t>
      </w:r>
      <w:r w:rsidRPr="003171CD">
        <w:rPr>
          <w:rFonts w:cs="Arial"/>
          <w:lang w:val="en-US"/>
        </w:rPr>
        <w:t xml:space="preserve">at </w:t>
      </w:r>
      <w:r w:rsidR="005A65CE" w:rsidRPr="003171CD">
        <w:rPr>
          <w:rFonts w:cs="Arial"/>
          <w:lang w:val="en-US"/>
        </w:rPr>
        <w:t xml:space="preserve">all </w:t>
      </w:r>
      <w:r w:rsidRPr="003171CD">
        <w:rPr>
          <w:rFonts w:cs="Arial"/>
          <w:lang w:val="en-US"/>
        </w:rPr>
        <w:t xml:space="preserve">the defendants be acquitted, </w:t>
      </w:r>
      <w:r w:rsidR="00BB22C9" w:rsidRPr="003171CD">
        <w:rPr>
          <w:rFonts w:cs="Arial"/>
          <w:lang w:val="en-US"/>
        </w:rPr>
        <w:t xml:space="preserve">arguing </w:t>
      </w:r>
      <w:r w:rsidR="005A65CE" w:rsidRPr="003171CD">
        <w:rPr>
          <w:rFonts w:cs="Arial"/>
          <w:lang w:val="en-US"/>
        </w:rPr>
        <w:t xml:space="preserve">that </w:t>
      </w:r>
      <w:r w:rsidRPr="003171CD">
        <w:rPr>
          <w:rFonts w:cs="Arial"/>
          <w:lang w:val="en-US"/>
        </w:rPr>
        <w:t xml:space="preserve">none </w:t>
      </w:r>
      <w:r w:rsidR="005A65CE" w:rsidRPr="003171CD">
        <w:rPr>
          <w:rFonts w:cs="Arial"/>
          <w:lang w:val="en-US"/>
        </w:rPr>
        <w:t xml:space="preserve">of the accused had </w:t>
      </w:r>
      <w:r w:rsidRPr="003171CD">
        <w:rPr>
          <w:rFonts w:cs="Arial"/>
          <w:lang w:val="en-US"/>
        </w:rPr>
        <w:t xml:space="preserve">been </w:t>
      </w:r>
      <w:r w:rsidR="005A65CE" w:rsidRPr="003171CD">
        <w:rPr>
          <w:rFonts w:cs="Arial"/>
          <w:lang w:val="en-US"/>
        </w:rPr>
        <w:t xml:space="preserve">individualized and there was no certainty regarding their participation in the </w:t>
      </w:r>
      <w:r w:rsidRPr="003171CD">
        <w:rPr>
          <w:rFonts w:cs="Arial"/>
          <w:lang w:val="en-US"/>
        </w:rPr>
        <w:t>crime</w:t>
      </w:r>
      <w:r w:rsidR="005A65CE" w:rsidRPr="003171CD">
        <w:rPr>
          <w:rFonts w:cs="Arial"/>
          <w:lang w:val="en-US"/>
        </w:rPr>
        <w:t>. According to the record of that hearing, the accused were asked if they wished to make statements regarding the facts, to which the</w:t>
      </w:r>
      <w:r w:rsidR="00BB22C9" w:rsidRPr="003171CD">
        <w:rPr>
          <w:rFonts w:cs="Arial"/>
          <w:lang w:val="en-US"/>
        </w:rPr>
        <w:t xml:space="preserve"> defendant</w:t>
      </w:r>
      <w:r w:rsidR="00E8693A" w:rsidRPr="003171CD">
        <w:rPr>
          <w:rFonts w:cs="Arial"/>
          <w:lang w:val="en-US"/>
        </w:rPr>
        <w:t>s</w:t>
      </w:r>
      <w:r w:rsidR="005A65CE" w:rsidRPr="003171CD">
        <w:rPr>
          <w:rFonts w:cs="Arial"/>
          <w:lang w:val="en-US"/>
        </w:rPr>
        <w:t xml:space="preserve">, including José Agapito Ruano Torres, </w:t>
      </w:r>
      <w:r w:rsidR="00BB22C9" w:rsidRPr="003171CD">
        <w:rPr>
          <w:rFonts w:cs="Arial"/>
          <w:lang w:val="en-US"/>
        </w:rPr>
        <w:t xml:space="preserve">replied </w:t>
      </w:r>
      <w:r w:rsidR="005A65CE" w:rsidRPr="003171CD">
        <w:rPr>
          <w:rFonts w:cs="Arial"/>
          <w:lang w:val="en-US"/>
        </w:rPr>
        <w:t xml:space="preserve">that they would </w:t>
      </w:r>
      <w:r w:rsidR="00BB22C9" w:rsidRPr="003171CD">
        <w:rPr>
          <w:rFonts w:cs="Arial"/>
          <w:lang w:val="en-US"/>
        </w:rPr>
        <w:t xml:space="preserve">refrain </w:t>
      </w:r>
      <w:r w:rsidR="005A65CE" w:rsidRPr="003171CD">
        <w:rPr>
          <w:rFonts w:cs="Arial"/>
          <w:lang w:val="en-US"/>
        </w:rPr>
        <w:t xml:space="preserve">from </w:t>
      </w:r>
      <w:r w:rsidR="00BB22C9" w:rsidRPr="003171CD">
        <w:rPr>
          <w:rFonts w:cs="Arial"/>
          <w:lang w:val="en-US"/>
        </w:rPr>
        <w:t>making any statements</w:t>
      </w:r>
      <w:r w:rsidR="005A65CE" w:rsidRPr="003171CD">
        <w:rPr>
          <w:rFonts w:cs="Arial"/>
          <w:lang w:val="en-US"/>
        </w:rPr>
        <w:t>.</w:t>
      </w:r>
      <w:r w:rsidR="005A65CE" w:rsidRPr="003171CD">
        <w:rPr>
          <w:rStyle w:val="Refdenotaalpie"/>
          <w:rFonts w:cs="Arial"/>
          <w:lang w:val="en-US"/>
        </w:rPr>
        <w:footnoteReference w:id="86"/>
      </w:r>
    </w:p>
    <w:p w14:paraId="0D295AAB" w14:textId="77777777" w:rsidR="005A65CE" w:rsidRPr="003171CD" w:rsidRDefault="005A65CE" w:rsidP="005A65CE">
      <w:pPr>
        <w:pStyle w:val="Prrafodelista"/>
        <w:tabs>
          <w:tab w:val="left" w:pos="720"/>
        </w:tabs>
        <w:ind w:left="0" w:right="-90"/>
        <w:jc w:val="both"/>
        <w:rPr>
          <w:rFonts w:cs="Arial"/>
          <w:lang w:val="en-US"/>
        </w:rPr>
      </w:pPr>
    </w:p>
    <w:p w14:paraId="068814BC"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The Justice of the Peace of Tonacatepeque rejected the request of the defense</w:t>
      </w:r>
      <w:r w:rsidR="00E8693A" w:rsidRPr="003171CD">
        <w:rPr>
          <w:rFonts w:cs="Arial"/>
          <w:lang w:val="en-US"/>
        </w:rPr>
        <w:t xml:space="preserve"> </w:t>
      </w:r>
      <w:r w:rsidR="000B5A0B" w:rsidRPr="003171CD">
        <w:rPr>
          <w:rFonts w:cs="Arial"/>
          <w:lang w:val="en-US"/>
        </w:rPr>
        <w:t>team</w:t>
      </w:r>
      <w:r w:rsidRPr="003171CD">
        <w:rPr>
          <w:rFonts w:cs="Arial"/>
          <w:lang w:val="en-US"/>
        </w:rPr>
        <w:t xml:space="preserve">, ordered the </w:t>
      </w:r>
      <w:r w:rsidR="00B30D68" w:rsidRPr="003171CD">
        <w:rPr>
          <w:rFonts w:cs="Arial"/>
          <w:lang w:val="en-US"/>
        </w:rPr>
        <w:t xml:space="preserve">pre-trial investigation to proceed </w:t>
      </w:r>
      <w:r w:rsidRPr="003171CD">
        <w:rPr>
          <w:rFonts w:cs="Arial"/>
          <w:lang w:val="en-US"/>
        </w:rPr>
        <w:t xml:space="preserve">and </w:t>
      </w:r>
      <w:r w:rsidR="00B30D68" w:rsidRPr="003171CD">
        <w:rPr>
          <w:rFonts w:cs="Arial"/>
          <w:lang w:val="en-US"/>
        </w:rPr>
        <w:t xml:space="preserve">remanded </w:t>
      </w:r>
      <w:r w:rsidRPr="003171CD">
        <w:rPr>
          <w:rFonts w:cs="Arial"/>
          <w:lang w:val="en-US"/>
        </w:rPr>
        <w:t>all the a</w:t>
      </w:r>
      <w:r w:rsidR="00BA07F5" w:rsidRPr="003171CD">
        <w:rPr>
          <w:rFonts w:cs="Arial"/>
          <w:lang w:val="en-US"/>
        </w:rPr>
        <w:t>c</w:t>
      </w:r>
      <w:r w:rsidRPr="003171CD">
        <w:rPr>
          <w:rFonts w:cs="Arial"/>
          <w:lang w:val="en-US"/>
        </w:rPr>
        <w:t>cused in pr</w:t>
      </w:r>
      <w:r w:rsidR="00D861F9" w:rsidRPr="003171CD">
        <w:rPr>
          <w:rFonts w:cs="Arial"/>
          <w:lang w:val="en-US"/>
        </w:rPr>
        <w:t xml:space="preserve">e-trial detention </w:t>
      </w:r>
      <w:r w:rsidRPr="003171CD">
        <w:rPr>
          <w:rFonts w:cs="Arial"/>
          <w:lang w:val="en-US"/>
        </w:rPr>
        <w:t>to ensure their presence at the preliminary hearing.</w:t>
      </w:r>
      <w:r w:rsidRPr="003171CD">
        <w:rPr>
          <w:vertAlign w:val="superscript"/>
          <w:lang w:val="en-US"/>
        </w:rPr>
        <w:footnoteReference w:id="87"/>
      </w:r>
    </w:p>
    <w:p w14:paraId="2D903622" w14:textId="77777777" w:rsidR="005A65CE" w:rsidRPr="003171CD" w:rsidRDefault="005A65CE" w:rsidP="005A65CE">
      <w:pPr>
        <w:jc w:val="both"/>
        <w:rPr>
          <w:rFonts w:cs="Arial"/>
          <w:snapToGrid/>
          <w:lang w:val="en-US" w:eastAsia="en-US"/>
        </w:rPr>
      </w:pPr>
    </w:p>
    <w:p w14:paraId="107974EB" w14:textId="77777777" w:rsidR="005A65CE" w:rsidRPr="003171CD" w:rsidRDefault="00401AAC"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In justifying that </w:t>
      </w:r>
      <w:r w:rsidR="005A65CE" w:rsidRPr="003171CD">
        <w:rPr>
          <w:rFonts w:cs="Arial"/>
          <w:lang w:val="en-US"/>
        </w:rPr>
        <w:t>decision, the Justice of the Peace of Tonacatepeque held that:</w:t>
      </w:r>
    </w:p>
    <w:p w14:paraId="1E87288D" w14:textId="77777777" w:rsidR="005A65CE" w:rsidRPr="003171CD" w:rsidRDefault="005A65CE" w:rsidP="005A65CE">
      <w:pPr>
        <w:jc w:val="both"/>
        <w:rPr>
          <w:rFonts w:cs="Arial"/>
          <w:snapToGrid/>
          <w:lang w:val="en-US" w:eastAsia="en-US"/>
        </w:rPr>
      </w:pPr>
    </w:p>
    <w:p w14:paraId="422B6025" w14:textId="77777777" w:rsidR="005A65CE" w:rsidRPr="003171CD" w:rsidRDefault="00401AAC" w:rsidP="005A65CE">
      <w:pPr>
        <w:ind w:left="708" w:right="582"/>
        <w:jc w:val="both"/>
        <w:rPr>
          <w:rFonts w:cs="Arial"/>
          <w:snapToGrid/>
          <w:sz w:val="16"/>
          <w:szCs w:val="16"/>
          <w:lang w:val="en-US" w:eastAsia="en-US"/>
        </w:rPr>
      </w:pPr>
      <w:r w:rsidRPr="003171CD">
        <w:rPr>
          <w:rFonts w:cs="Arial"/>
          <w:snapToGrid/>
          <w:sz w:val="16"/>
          <w:szCs w:val="16"/>
          <w:lang w:val="en-US" w:eastAsia="en-US"/>
        </w:rPr>
        <w:t>O</w:t>
      </w:r>
      <w:r w:rsidR="005A65CE" w:rsidRPr="003171CD">
        <w:rPr>
          <w:rFonts w:cs="Arial"/>
          <w:snapToGrid/>
          <w:sz w:val="16"/>
          <w:szCs w:val="16"/>
          <w:lang w:val="en-US" w:eastAsia="en-US"/>
        </w:rPr>
        <w:t xml:space="preserve">n the </w:t>
      </w:r>
      <w:r w:rsidR="00BA07F5" w:rsidRPr="003171CD">
        <w:rPr>
          <w:rFonts w:cs="Arial"/>
          <w:snapToGrid/>
          <w:sz w:val="16"/>
          <w:szCs w:val="16"/>
          <w:lang w:val="en-US" w:eastAsia="en-US"/>
        </w:rPr>
        <w:t xml:space="preserve">understanding </w:t>
      </w:r>
      <w:r w:rsidR="005A65CE" w:rsidRPr="003171CD">
        <w:rPr>
          <w:rFonts w:cs="Arial"/>
          <w:snapToGrid/>
          <w:sz w:val="16"/>
          <w:szCs w:val="16"/>
          <w:lang w:val="en-US" w:eastAsia="en-US"/>
        </w:rPr>
        <w:t>that Pr</w:t>
      </w:r>
      <w:r w:rsidR="00D861F9" w:rsidRPr="003171CD">
        <w:rPr>
          <w:rFonts w:cs="Arial"/>
          <w:snapToGrid/>
          <w:sz w:val="16"/>
          <w:szCs w:val="16"/>
          <w:lang w:val="en-US" w:eastAsia="en-US"/>
        </w:rPr>
        <w:t xml:space="preserve">e-trial </w:t>
      </w:r>
      <w:r w:rsidR="00BA07F5" w:rsidRPr="003171CD">
        <w:rPr>
          <w:rFonts w:cs="Arial"/>
          <w:snapToGrid/>
          <w:sz w:val="16"/>
          <w:szCs w:val="16"/>
          <w:lang w:val="en-US" w:eastAsia="en-US"/>
        </w:rPr>
        <w:t xml:space="preserve">Detention </w:t>
      </w:r>
      <w:r w:rsidR="005A65CE" w:rsidRPr="003171CD">
        <w:rPr>
          <w:rFonts w:cs="Arial"/>
          <w:snapToGrid/>
          <w:sz w:val="16"/>
          <w:szCs w:val="16"/>
          <w:lang w:val="en-US" w:eastAsia="en-US"/>
        </w:rPr>
        <w:t>[</w:t>
      </w:r>
      <w:r w:rsidR="005A65CE" w:rsidRPr="003171CD">
        <w:rPr>
          <w:rFonts w:cs="Times New Roman"/>
          <w:snapToGrid/>
          <w:sz w:val="16"/>
          <w:szCs w:val="16"/>
          <w:vertAlign w:val="superscript"/>
          <w:lang w:val="en-US" w:eastAsia="en-US"/>
        </w:rPr>
        <w:footnoteReference w:id="88"/>
      </w:r>
      <w:r w:rsidR="005A65CE" w:rsidRPr="003171CD">
        <w:rPr>
          <w:rFonts w:cs="Arial"/>
          <w:snapToGrid/>
          <w:sz w:val="16"/>
          <w:szCs w:val="16"/>
          <w:lang w:val="en-US" w:eastAsia="en-US"/>
        </w:rPr>
        <w:t xml:space="preserve">] […] should not be </w:t>
      </w:r>
      <w:r w:rsidRPr="003171CD">
        <w:rPr>
          <w:rFonts w:cs="Arial"/>
          <w:snapToGrid/>
          <w:sz w:val="16"/>
          <w:szCs w:val="16"/>
          <w:lang w:val="en-US" w:eastAsia="en-US"/>
        </w:rPr>
        <w:t xml:space="preserve">applied as a </w:t>
      </w:r>
      <w:r w:rsidR="005A65CE" w:rsidRPr="003171CD">
        <w:rPr>
          <w:rFonts w:cs="Arial"/>
          <w:snapToGrid/>
          <w:sz w:val="16"/>
          <w:szCs w:val="16"/>
          <w:lang w:val="en-US" w:eastAsia="en-US"/>
        </w:rPr>
        <w:t>general rule, but rather a</w:t>
      </w:r>
      <w:r w:rsidRPr="003171CD">
        <w:rPr>
          <w:rFonts w:cs="Arial"/>
          <w:snapToGrid/>
          <w:sz w:val="16"/>
          <w:szCs w:val="16"/>
          <w:lang w:val="en-US" w:eastAsia="en-US"/>
        </w:rPr>
        <w:t>s</w:t>
      </w:r>
      <w:r w:rsidR="005A65CE" w:rsidRPr="003171CD">
        <w:rPr>
          <w:rFonts w:cs="Arial"/>
          <w:snapToGrid/>
          <w:sz w:val="16"/>
          <w:szCs w:val="16"/>
          <w:lang w:val="en-US" w:eastAsia="en-US"/>
        </w:rPr>
        <w:t xml:space="preserve"> </w:t>
      </w:r>
      <w:r w:rsidRPr="003171CD">
        <w:rPr>
          <w:rFonts w:cs="Arial"/>
          <w:snapToGrid/>
          <w:sz w:val="16"/>
          <w:szCs w:val="16"/>
          <w:lang w:val="en-US" w:eastAsia="en-US"/>
        </w:rPr>
        <w:t xml:space="preserve">a </w:t>
      </w:r>
      <w:r w:rsidR="005A65CE" w:rsidRPr="003171CD">
        <w:rPr>
          <w:rFonts w:cs="Arial"/>
          <w:snapToGrid/>
          <w:sz w:val="16"/>
          <w:szCs w:val="16"/>
          <w:lang w:val="en-US" w:eastAsia="en-US"/>
        </w:rPr>
        <w:t>measure of an exceptional nature […] i</w:t>
      </w:r>
      <w:r w:rsidR="00BA07F5" w:rsidRPr="003171CD">
        <w:rPr>
          <w:rFonts w:cs="Arial"/>
          <w:snapToGrid/>
          <w:sz w:val="16"/>
          <w:szCs w:val="16"/>
          <w:lang w:val="en-US" w:eastAsia="en-US"/>
        </w:rPr>
        <w:t xml:space="preserve">t should be noted that on this </w:t>
      </w:r>
      <w:r w:rsidR="005A65CE" w:rsidRPr="003171CD">
        <w:rPr>
          <w:rFonts w:cs="Arial"/>
          <w:snapToGrid/>
          <w:sz w:val="16"/>
          <w:szCs w:val="16"/>
          <w:lang w:val="en-US" w:eastAsia="en-US"/>
        </w:rPr>
        <w:t xml:space="preserve">occasion, it is appropriate to </w:t>
      </w:r>
      <w:r w:rsidR="00E8693A" w:rsidRPr="003171CD">
        <w:rPr>
          <w:rFonts w:cs="Arial"/>
          <w:snapToGrid/>
          <w:sz w:val="16"/>
          <w:szCs w:val="16"/>
          <w:lang w:val="en-US" w:eastAsia="en-US"/>
        </w:rPr>
        <w:t>order said</w:t>
      </w:r>
      <w:r w:rsidR="005A65CE" w:rsidRPr="003171CD">
        <w:rPr>
          <w:rFonts w:cs="Arial"/>
          <w:snapToGrid/>
          <w:sz w:val="16"/>
          <w:szCs w:val="16"/>
          <w:lang w:val="en-US" w:eastAsia="en-US"/>
        </w:rPr>
        <w:t xml:space="preserve"> measure against the detained suspects, </w:t>
      </w:r>
      <w:r w:rsidR="004A250A" w:rsidRPr="003171CD">
        <w:rPr>
          <w:rFonts w:cs="Arial"/>
          <w:snapToGrid/>
          <w:sz w:val="16"/>
          <w:szCs w:val="16"/>
          <w:lang w:val="en-US" w:eastAsia="en-US"/>
        </w:rPr>
        <w:t xml:space="preserve">inasmuch as the </w:t>
      </w:r>
      <w:r w:rsidR="005A65CE" w:rsidRPr="003171CD">
        <w:rPr>
          <w:rFonts w:cs="Arial"/>
          <w:snapToGrid/>
          <w:sz w:val="16"/>
          <w:szCs w:val="16"/>
          <w:lang w:val="en-US" w:eastAsia="en-US"/>
        </w:rPr>
        <w:t>procedural</w:t>
      </w:r>
      <w:r w:rsidR="004A250A" w:rsidRPr="003171CD">
        <w:rPr>
          <w:rFonts w:cs="Arial"/>
          <w:snapToGrid/>
          <w:sz w:val="16"/>
          <w:szCs w:val="16"/>
          <w:lang w:val="en-US" w:eastAsia="en-US"/>
        </w:rPr>
        <w:t xml:space="preserve"> requirements</w:t>
      </w:r>
      <w:r w:rsidR="005A65CE" w:rsidRPr="003171CD">
        <w:rPr>
          <w:rFonts w:cs="Arial"/>
          <w:snapToGrid/>
          <w:sz w:val="16"/>
          <w:szCs w:val="16"/>
          <w:lang w:val="en-US" w:eastAsia="en-US"/>
        </w:rPr>
        <w:t xml:space="preserve"> </w:t>
      </w:r>
      <w:r w:rsidR="00504E12" w:rsidRPr="003171CD">
        <w:rPr>
          <w:rFonts w:cs="Arial"/>
          <w:snapToGrid/>
          <w:sz w:val="16"/>
          <w:szCs w:val="16"/>
          <w:lang w:val="en-US" w:eastAsia="en-US"/>
        </w:rPr>
        <w:t xml:space="preserve">established in </w:t>
      </w:r>
      <w:r w:rsidR="005A65CE" w:rsidRPr="003171CD">
        <w:rPr>
          <w:rFonts w:cs="Arial"/>
          <w:snapToGrid/>
          <w:sz w:val="16"/>
          <w:szCs w:val="16"/>
          <w:lang w:val="en-US" w:eastAsia="en-US"/>
        </w:rPr>
        <w:t>Art</w:t>
      </w:r>
      <w:r w:rsidR="00504E12" w:rsidRPr="003171CD">
        <w:rPr>
          <w:rFonts w:cs="Arial"/>
          <w:snapToGrid/>
          <w:sz w:val="16"/>
          <w:szCs w:val="16"/>
          <w:lang w:val="en-US" w:eastAsia="en-US"/>
        </w:rPr>
        <w:t>icles</w:t>
      </w:r>
      <w:r w:rsidR="005A65CE" w:rsidRPr="003171CD">
        <w:rPr>
          <w:rFonts w:cs="Arial"/>
          <w:snapToGrid/>
          <w:sz w:val="16"/>
          <w:szCs w:val="16"/>
          <w:lang w:val="en-US" w:eastAsia="en-US"/>
        </w:rPr>
        <w:t xml:space="preserve"> 292 and 293 N° 1 and 2 C. Pr. Pn.</w:t>
      </w:r>
      <w:r w:rsidR="004A250A" w:rsidRPr="003171CD">
        <w:rPr>
          <w:rFonts w:cs="Arial"/>
          <w:snapToGrid/>
          <w:sz w:val="16"/>
          <w:szCs w:val="16"/>
          <w:lang w:val="en-US" w:eastAsia="en-US"/>
        </w:rPr>
        <w:t xml:space="preserve"> have been met</w:t>
      </w:r>
      <w:r w:rsidR="00E8693A" w:rsidRPr="003171CD">
        <w:rPr>
          <w:rFonts w:cs="Arial"/>
          <w:snapToGrid/>
          <w:sz w:val="16"/>
          <w:szCs w:val="16"/>
          <w:lang w:val="en-US" w:eastAsia="en-US"/>
        </w:rPr>
        <w:t>;</w:t>
      </w:r>
      <w:r w:rsidR="005A65CE" w:rsidRPr="003171CD">
        <w:rPr>
          <w:rFonts w:cs="Arial"/>
          <w:snapToGrid/>
          <w:sz w:val="16"/>
          <w:szCs w:val="16"/>
          <w:lang w:val="en-US" w:eastAsia="en-US"/>
        </w:rPr>
        <w:t xml:space="preserve"> </w:t>
      </w:r>
      <w:r w:rsidR="00E8693A" w:rsidRPr="003171CD">
        <w:rPr>
          <w:rFonts w:cs="Arial"/>
          <w:snapToGrid/>
          <w:sz w:val="16"/>
          <w:szCs w:val="16"/>
          <w:lang w:val="en-US" w:eastAsia="en-US"/>
        </w:rPr>
        <w:t>and, in consideration of</w:t>
      </w:r>
      <w:r w:rsidR="005A65CE" w:rsidRPr="003171CD">
        <w:rPr>
          <w:rFonts w:cs="Arial"/>
          <w:snapToGrid/>
          <w:sz w:val="16"/>
          <w:szCs w:val="16"/>
          <w:lang w:val="en-US" w:eastAsia="en-US"/>
        </w:rPr>
        <w:t xml:space="preserve"> the possibility that they might </w:t>
      </w:r>
      <w:r w:rsidR="00E8693A" w:rsidRPr="003171CD">
        <w:rPr>
          <w:rFonts w:cs="Arial"/>
          <w:snapToGrid/>
          <w:sz w:val="16"/>
          <w:szCs w:val="16"/>
          <w:lang w:val="en-US" w:eastAsia="en-US"/>
        </w:rPr>
        <w:t xml:space="preserve">seek </w:t>
      </w:r>
      <w:r w:rsidR="005A65CE" w:rsidRPr="003171CD">
        <w:rPr>
          <w:rFonts w:cs="Arial"/>
          <w:snapToGrid/>
          <w:sz w:val="16"/>
          <w:szCs w:val="16"/>
          <w:lang w:val="en-US" w:eastAsia="en-US"/>
        </w:rPr>
        <w:t xml:space="preserve">to </w:t>
      </w:r>
      <w:r w:rsidR="004A250A" w:rsidRPr="003171CD">
        <w:rPr>
          <w:rFonts w:cs="Arial"/>
          <w:snapToGrid/>
          <w:sz w:val="16"/>
          <w:szCs w:val="16"/>
          <w:lang w:val="en-US" w:eastAsia="en-US"/>
        </w:rPr>
        <w:t xml:space="preserve">evade </w:t>
      </w:r>
      <w:r w:rsidR="00E8693A" w:rsidRPr="003171CD">
        <w:rPr>
          <w:rFonts w:cs="Arial"/>
          <w:snapToGrid/>
          <w:sz w:val="16"/>
          <w:szCs w:val="16"/>
          <w:lang w:val="en-US" w:eastAsia="en-US"/>
        </w:rPr>
        <w:t xml:space="preserve">justice; </w:t>
      </w:r>
      <w:r w:rsidR="003B1151" w:rsidRPr="003171CD">
        <w:rPr>
          <w:rFonts w:cs="Arial"/>
          <w:snapToGrid/>
          <w:sz w:val="16"/>
          <w:szCs w:val="16"/>
          <w:lang w:val="en-US" w:eastAsia="en-US"/>
        </w:rPr>
        <w:t>of the freq</w:t>
      </w:r>
      <w:r w:rsidR="005A65CE" w:rsidRPr="003171CD">
        <w:rPr>
          <w:rFonts w:cs="Arial"/>
          <w:snapToGrid/>
          <w:sz w:val="16"/>
          <w:szCs w:val="16"/>
          <w:lang w:val="en-US" w:eastAsia="en-US"/>
        </w:rPr>
        <w:t>uenc</w:t>
      </w:r>
      <w:r w:rsidR="003B1151" w:rsidRPr="003171CD">
        <w:rPr>
          <w:rFonts w:cs="Arial"/>
          <w:snapToGrid/>
          <w:sz w:val="16"/>
          <w:szCs w:val="16"/>
          <w:lang w:val="en-US" w:eastAsia="en-US"/>
        </w:rPr>
        <w:t xml:space="preserve">y </w:t>
      </w:r>
      <w:r w:rsidR="005A65CE" w:rsidRPr="003171CD">
        <w:rPr>
          <w:rFonts w:cs="Arial"/>
          <w:snapToGrid/>
          <w:sz w:val="16"/>
          <w:szCs w:val="16"/>
          <w:lang w:val="en-US" w:eastAsia="en-US"/>
        </w:rPr>
        <w:t xml:space="preserve">with </w:t>
      </w:r>
      <w:r w:rsidR="00BF372A" w:rsidRPr="003171CD">
        <w:rPr>
          <w:rFonts w:cs="Arial"/>
          <w:snapToGrid/>
          <w:sz w:val="16"/>
          <w:szCs w:val="16"/>
          <w:lang w:val="en-US" w:eastAsia="en-US"/>
        </w:rPr>
        <w:t>which this ty</w:t>
      </w:r>
      <w:r w:rsidR="003B1151" w:rsidRPr="003171CD">
        <w:rPr>
          <w:rFonts w:cs="Arial"/>
          <w:snapToGrid/>
          <w:sz w:val="16"/>
          <w:szCs w:val="16"/>
          <w:lang w:val="en-US" w:eastAsia="en-US"/>
        </w:rPr>
        <w:t xml:space="preserve">pe of crime is being </w:t>
      </w:r>
      <w:r w:rsidR="005A65CE" w:rsidRPr="003171CD">
        <w:rPr>
          <w:rFonts w:cs="Arial"/>
          <w:snapToGrid/>
          <w:sz w:val="16"/>
          <w:szCs w:val="16"/>
          <w:lang w:val="en-US" w:eastAsia="en-US"/>
        </w:rPr>
        <w:t>com</w:t>
      </w:r>
      <w:r w:rsidR="003B1151" w:rsidRPr="003171CD">
        <w:rPr>
          <w:rFonts w:cs="Arial"/>
          <w:snapToGrid/>
          <w:sz w:val="16"/>
          <w:szCs w:val="16"/>
          <w:lang w:val="en-US" w:eastAsia="en-US"/>
        </w:rPr>
        <w:t>mitted</w:t>
      </w:r>
      <w:r w:rsidR="005A65CE" w:rsidRPr="003171CD">
        <w:rPr>
          <w:rFonts w:cs="Arial"/>
          <w:snapToGrid/>
          <w:sz w:val="16"/>
          <w:szCs w:val="16"/>
          <w:lang w:val="en-US" w:eastAsia="en-US"/>
        </w:rPr>
        <w:t>, causin</w:t>
      </w:r>
      <w:r w:rsidR="00E8693A" w:rsidRPr="003171CD">
        <w:rPr>
          <w:rFonts w:cs="Arial"/>
          <w:snapToGrid/>
          <w:sz w:val="16"/>
          <w:szCs w:val="16"/>
          <w:lang w:val="en-US" w:eastAsia="en-US"/>
        </w:rPr>
        <w:t>g social alarm; but especially, in consideration of the possibility that they might seek</w:t>
      </w:r>
      <w:r w:rsidR="005A65CE" w:rsidRPr="003171CD">
        <w:rPr>
          <w:rFonts w:cs="Arial"/>
          <w:snapToGrid/>
          <w:sz w:val="16"/>
          <w:szCs w:val="16"/>
          <w:lang w:val="en-US" w:eastAsia="en-US"/>
        </w:rPr>
        <w:t xml:space="preserve"> to obstruct </w:t>
      </w:r>
      <w:r w:rsidR="00E8693A" w:rsidRPr="003171CD">
        <w:rPr>
          <w:rFonts w:cs="Arial"/>
          <w:snapToGrid/>
          <w:sz w:val="16"/>
          <w:szCs w:val="16"/>
          <w:lang w:val="en-US" w:eastAsia="en-US"/>
        </w:rPr>
        <w:t xml:space="preserve">or interfere with </w:t>
      </w:r>
      <w:r w:rsidR="005A65CE" w:rsidRPr="003171CD">
        <w:rPr>
          <w:rFonts w:cs="Arial"/>
          <w:snapToGrid/>
          <w:sz w:val="16"/>
          <w:szCs w:val="16"/>
          <w:lang w:val="en-US" w:eastAsia="en-US"/>
        </w:rPr>
        <w:t xml:space="preserve">specific </w:t>
      </w:r>
      <w:r w:rsidR="00D861F9" w:rsidRPr="003171CD">
        <w:rPr>
          <w:rFonts w:cs="Arial"/>
          <w:snapToGrid/>
          <w:sz w:val="16"/>
          <w:szCs w:val="16"/>
          <w:lang w:val="en-US" w:eastAsia="en-US"/>
        </w:rPr>
        <w:t xml:space="preserve">actions </w:t>
      </w:r>
      <w:r w:rsidR="005A65CE" w:rsidRPr="003171CD">
        <w:rPr>
          <w:rFonts w:cs="Arial"/>
          <w:snapToGrid/>
          <w:sz w:val="16"/>
          <w:szCs w:val="16"/>
          <w:lang w:val="en-US" w:eastAsia="en-US"/>
        </w:rPr>
        <w:t xml:space="preserve">of </w:t>
      </w:r>
      <w:r w:rsidR="00E8693A" w:rsidRPr="003171CD">
        <w:rPr>
          <w:rFonts w:cs="Arial"/>
          <w:snapToGrid/>
          <w:sz w:val="16"/>
          <w:szCs w:val="16"/>
          <w:lang w:val="en-US" w:eastAsia="en-US"/>
        </w:rPr>
        <w:t xml:space="preserve">the </w:t>
      </w:r>
      <w:r w:rsidR="005A65CE" w:rsidRPr="003171CD">
        <w:rPr>
          <w:rFonts w:cs="Arial"/>
          <w:snapToGrid/>
          <w:sz w:val="16"/>
          <w:szCs w:val="16"/>
          <w:lang w:val="en-US" w:eastAsia="en-US"/>
        </w:rPr>
        <w:t>investigation, either by intimidati</w:t>
      </w:r>
      <w:r w:rsidR="002B2FAB" w:rsidRPr="003171CD">
        <w:rPr>
          <w:rFonts w:cs="Arial"/>
          <w:snapToGrid/>
          <w:sz w:val="16"/>
          <w:szCs w:val="16"/>
          <w:lang w:val="en-US" w:eastAsia="en-US"/>
        </w:rPr>
        <w:t>ng or threatening the victim or the</w:t>
      </w:r>
      <w:r w:rsidR="005A65CE" w:rsidRPr="003171CD">
        <w:rPr>
          <w:rFonts w:cs="Arial"/>
          <w:snapToGrid/>
          <w:sz w:val="16"/>
          <w:szCs w:val="16"/>
          <w:lang w:val="en-US" w:eastAsia="en-US"/>
        </w:rPr>
        <w:t xml:space="preserve"> witnesses […]</w:t>
      </w:r>
      <w:r w:rsidR="00E8693A" w:rsidRPr="003171CD">
        <w:rPr>
          <w:rFonts w:cs="Arial"/>
          <w:snapToGrid/>
          <w:sz w:val="16"/>
          <w:szCs w:val="16"/>
          <w:lang w:val="en-US" w:eastAsia="en-US"/>
        </w:rPr>
        <w:t>.</w:t>
      </w:r>
      <w:r w:rsidR="005A65CE" w:rsidRPr="003171CD">
        <w:rPr>
          <w:rFonts w:cs="Times New Roman"/>
          <w:snapToGrid/>
          <w:sz w:val="16"/>
          <w:szCs w:val="16"/>
          <w:vertAlign w:val="superscript"/>
          <w:lang w:val="en-US" w:eastAsia="en-US"/>
        </w:rPr>
        <w:footnoteReference w:id="89"/>
      </w:r>
    </w:p>
    <w:p w14:paraId="15144AC1" w14:textId="77777777" w:rsidR="005A65CE" w:rsidRPr="003171CD" w:rsidRDefault="005A65CE" w:rsidP="005A65CE">
      <w:pPr>
        <w:jc w:val="both"/>
        <w:rPr>
          <w:rFonts w:cs="Arial"/>
          <w:snapToGrid/>
          <w:lang w:val="en-US" w:eastAsia="en-US"/>
        </w:rPr>
      </w:pPr>
    </w:p>
    <w:p w14:paraId="46848363"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October 27, 2000, the Court of First Instance of Tonacatepeque formally indicted the accused.</w:t>
      </w:r>
      <w:r w:rsidRPr="003171CD">
        <w:rPr>
          <w:vertAlign w:val="superscript"/>
          <w:lang w:val="en-US"/>
        </w:rPr>
        <w:footnoteReference w:id="90"/>
      </w:r>
    </w:p>
    <w:p w14:paraId="64B14C6C" w14:textId="77777777" w:rsidR="005A65CE" w:rsidRPr="003171CD" w:rsidRDefault="005A65CE" w:rsidP="005A65CE">
      <w:pPr>
        <w:jc w:val="both"/>
        <w:rPr>
          <w:rFonts w:cs="Arial"/>
          <w:snapToGrid/>
          <w:lang w:val="en-US" w:eastAsia="en-US"/>
        </w:rPr>
      </w:pPr>
    </w:p>
    <w:p w14:paraId="00CDB4D0" w14:textId="77777777" w:rsidR="005A65CE" w:rsidRPr="003171CD" w:rsidRDefault="005A65CE" w:rsidP="005A65CE">
      <w:pPr>
        <w:pStyle w:val="Prrafodelista"/>
        <w:numPr>
          <w:ilvl w:val="0"/>
          <w:numId w:val="1"/>
        </w:numPr>
        <w:tabs>
          <w:tab w:val="left" w:pos="720"/>
        </w:tabs>
        <w:ind w:right="-90"/>
        <w:jc w:val="both"/>
        <w:rPr>
          <w:rFonts w:cs="Arial"/>
          <w:lang w:val="en-US"/>
        </w:rPr>
      </w:pPr>
      <w:r w:rsidRPr="003171CD">
        <w:rPr>
          <w:rFonts w:cs="Arial"/>
          <w:lang w:val="en-US"/>
        </w:rPr>
        <w:t>On October 30, 2000, Pedro Torres Hércules,</w:t>
      </w:r>
      <w:r w:rsidRPr="003171CD">
        <w:rPr>
          <w:vertAlign w:val="superscript"/>
          <w:lang w:val="en-US"/>
        </w:rPr>
        <w:footnoteReference w:id="91"/>
      </w:r>
      <w:r w:rsidRPr="003171CD">
        <w:rPr>
          <w:rFonts w:cs="Arial"/>
          <w:lang w:val="en-US"/>
        </w:rPr>
        <w:t xml:space="preserve"> cousin of José Agapito Ruano Torres, </w:t>
      </w:r>
      <w:r w:rsidR="009F7E08" w:rsidRPr="003171CD">
        <w:rPr>
          <w:rFonts w:cs="Arial"/>
          <w:lang w:val="en-US"/>
        </w:rPr>
        <w:t xml:space="preserve">filed a complaint with </w:t>
      </w:r>
      <w:r w:rsidRPr="003171CD">
        <w:rPr>
          <w:rFonts w:cs="Arial"/>
          <w:lang w:val="en-US"/>
        </w:rPr>
        <w:t xml:space="preserve">the Disciplinary Investigation Unit of the National Civil Police </w:t>
      </w:r>
      <w:r w:rsidR="009F7E08" w:rsidRPr="003171CD">
        <w:rPr>
          <w:rFonts w:cs="Arial"/>
          <w:lang w:val="en-US"/>
        </w:rPr>
        <w:t xml:space="preserve">alleging </w:t>
      </w:r>
      <w:r w:rsidRPr="003171CD">
        <w:rPr>
          <w:rFonts w:cs="Arial"/>
          <w:lang w:val="en-US"/>
        </w:rPr>
        <w:t xml:space="preserve">that his relative had suffered “abuse of authority and physical, moral and psychological mistreatment” </w:t>
      </w:r>
      <w:r w:rsidR="00C17D89" w:rsidRPr="003171CD">
        <w:rPr>
          <w:rFonts w:cs="Arial"/>
          <w:lang w:val="en-US"/>
        </w:rPr>
        <w:t xml:space="preserve">during </w:t>
      </w:r>
      <w:r w:rsidRPr="003171CD">
        <w:rPr>
          <w:rFonts w:cs="Arial"/>
          <w:lang w:val="en-US"/>
        </w:rPr>
        <w:t>his arrest.</w:t>
      </w:r>
      <w:r w:rsidRPr="003171CD">
        <w:rPr>
          <w:vertAlign w:val="superscript"/>
          <w:lang w:val="en-US"/>
        </w:rPr>
        <w:footnoteReference w:id="92"/>
      </w:r>
    </w:p>
    <w:p w14:paraId="6E9E406A" w14:textId="77777777" w:rsidR="005A65CE" w:rsidRPr="003171CD" w:rsidRDefault="005A65CE" w:rsidP="005A65CE">
      <w:pPr>
        <w:jc w:val="both"/>
        <w:rPr>
          <w:rFonts w:cs="Arial"/>
          <w:b/>
          <w:snapToGrid/>
          <w:lang w:val="en-US" w:eastAsia="en-US"/>
        </w:rPr>
      </w:pPr>
    </w:p>
    <w:p w14:paraId="481A0CD5"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Then, on November 27, 2000, Pedro Torres Hércules submitted a brief to the Court of First Instance of Tonacatepeque requesting a special hearing, and includ</w:t>
      </w:r>
      <w:r w:rsidR="00C17D89" w:rsidRPr="003171CD">
        <w:rPr>
          <w:rFonts w:cs="Arial"/>
          <w:lang w:val="en-US"/>
        </w:rPr>
        <w:t>ing</w:t>
      </w:r>
      <w:r w:rsidR="000C76AE" w:rsidRPr="003171CD">
        <w:rPr>
          <w:rFonts w:cs="Arial"/>
          <w:lang w:val="en-US"/>
        </w:rPr>
        <w:t xml:space="preserve"> </w:t>
      </w:r>
      <w:r w:rsidRPr="003171CD">
        <w:rPr>
          <w:rFonts w:cs="Arial"/>
          <w:lang w:val="en-US"/>
        </w:rPr>
        <w:t>the statements of witnesses who stated that José Agapito Ruano Torres had been working on the remodeling of a school when the kidnapping of Mr. Rodríguez Marroquín took place. However, the Court of First Instance of Tonacatepeque refused to receive the information arguing that it would be “a trial court that [would] assess the evidence” and recommending that he approach the Special Crimes Unit of the Office of the Attorney General.</w:t>
      </w:r>
      <w:r w:rsidRPr="003171CD">
        <w:rPr>
          <w:vertAlign w:val="superscript"/>
          <w:lang w:val="en-US"/>
        </w:rPr>
        <w:footnoteReference w:id="93"/>
      </w:r>
      <w:r w:rsidRPr="003171CD">
        <w:rPr>
          <w:rFonts w:cs="Arial"/>
          <w:lang w:val="en-US"/>
        </w:rPr>
        <w:t xml:space="preserve"> As acknowledged by the State, on November 29, 2000, Pedro Torres H</w:t>
      </w:r>
      <w:r w:rsidR="000C76AE" w:rsidRPr="003171CD">
        <w:rPr>
          <w:rFonts w:cs="Arial"/>
          <w:lang w:val="en-US"/>
        </w:rPr>
        <w:t>ércules attempted to present that</w:t>
      </w:r>
      <w:r w:rsidRPr="003171CD">
        <w:rPr>
          <w:rFonts w:cs="Arial"/>
          <w:lang w:val="en-US"/>
        </w:rPr>
        <w:t xml:space="preserve"> evidence to the Office of the Attorney General but it was rejected.</w:t>
      </w:r>
      <w:r w:rsidRPr="003171CD">
        <w:rPr>
          <w:vertAlign w:val="superscript"/>
          <w:lang w:val="en-US"/>
        </w:rPr>
        <w:footnoteReference w:id="94"/>
      </w:r>
    </w:p>
    <w:p w14:paraId="2A6B232B" w14:textId="77777777" w:rsidR="005A65CE" w:rsidRPr="003171CD" w:rsidRDefault="005A65CE" w:rsidP="005A65CE">
      <w:pPr>
        <w:pStyle w:val="Prrafodelista"/>
        <w:tabs>
          <w:tab w:val="left" w:pos="720"/>
        </w:tabs>
        <w:ind w:left="0" w:right="-90"/>
        <w:jc w:val="both"/>
        <w:rPr>
          <w:rFonts w:cs="Arial"/>
          <w:lang w:val="en-US"/>
        </w:rPr>
      </w:pPr>
    </w:p>
    <w:p w14:paraId="6B30EFA7"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December 1, 2000, the Court of First Instance of Tonacatepeque ordered that Mr. Rodríguez Marroquín</w:t>
      </w:r>
      <w:r w:rsidRPr="003171CD">
        <w:rPr>
          <w:vertAlign w:val="superscript"/>
          <w:lang w:val="en-US"/>
        </w:rPr>
        <w:footnoteReference w:id="95"/>
      </w:r>
      <w:r w:rsidRPr="003171CD">
        <w:rPr>
          <w:rFonts w:cs="Arial"/>
          <w:lang w:val="en-US"/>
        </w:rPr>
        <w:t xml:space="preserve"> be summoned to attend an identity parade, after </w:t>
      </w:r>
      <w:r w:rsidR="000C76AE" w:rsidRPr="003171CD">
        <w:rPr>
          <w:rFonts w:cs="Arial"/>
          <w:lang w:val="en-US"/>
        </w:rPr>
        <w:t xml:space="preserve">questioning in which </w:t>
      </w:r>
      <w:r w:rsidRPr="003171CD">
        <w:rPr>
          <w:rFonts w:cs="Arial"/>
          <w:lang w:val="en-US"/>
        </w:rPr>
        <w:t>he described</w:t>
      </w:r>
      <w:r w:rsidRPr="003171CD">
        <w:rPr>
          <w:vertAlign w:val="superscript"/>
          <w:lang w:val="en-US"/>
        </w:rPr>
        <w:footnoteReference w:id="96"/>
      </w:r>
      <w:r w:rsidRPr="003171CD">
        <w:rPr>
          <w:rFonts w:cs="Arial"/>
          <w:lang w:val="en-US"/>
        </w:rPr>
        <w:t xml:space="preserve"> eight of the people who had participated in his kidnapping without providing the</w:t>
      </w:r>
      <w:r w:rsidR="000C76AE" w:rsidRPr="003171CD">
        <w:rPr>
          <w:rFonts w:cs="Arial"/>
          <w:lang w:val="en-US"/>
        </w:rPr>
        <w:t>ir names. T</w:t>
      </w:r>
      <w:r w:rsidRPr="003171CD">
        <w:rPr>
          <w:rFonts w:cs="Arial"/>
          <w:lang w:val="en-US"/>
        </w:rPr>
        <w:t>he identity parade</w:t>
      </w:r>
      <w:r w:rsidR="000C76AE" w:rsidRPr="003171CD">
        <w:rPr>
          <w:rFonts w:cs="Arial"/>
          <w:lang w:val="en-US"/>
        </w:rPr>
        <w:t xml:space="preserve"> took place on January 11, 2001,</w:t>
      </w:r>
      <w:r w:rsidRPr="003171CD">
        <w:rPr>
          <w:rFonts w:cs="Arial"/>
          <w:lang w:val="en-US"/>
        </w:rPr>
        <w:t xml:space="preserve"> in which Mr. Rodríguez Marroquín said he recognized the person wearing the number 2, who said his name was José Agapito Ruano Torres.</w:t>
      </w:r>
      <w:r w:rsidRPr="003171CD">
        <w:rPr>
          <w:vertAlign w:val="superscript"/>
          <w:lang w:val="en-US"/>
        </w:rPr>
        <w:footnoteReference w:id="97"/>
      </w:r>
    </w:p>
    <w:p w14:paraId="4F66BB00" w14:textId="77777777" w:rsidR="005A65CE" w:rsidRPr="003171CD" w:rsidRDefault="005A65CE" w:rsidP="005A65CE">
      <w:pPr>
        <w:pStyle w:val="Prrafodelista"/>
        <w:tabs>
          <w:tab w:val="left" w:pos="720"/>
        </w:tabs>
        <w:ind w:left="0" w:right="-90"/>
        <w:jc w:val="both"/>
        <w:rPr>
          <w:rFonts w:cs="Arial"/>
          <w:lang w:val="en-US"/>
        </w:rPr>
      </w:pPr>
    </w:p>
    <w:p w14:paraId="3320C70B"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December 7, 2000 José Agapito Ruano Torres filed a</w:t>
      </w:r>
      <w:r w:rsidR="000C76AE" w:rsidRPr="003171CD">
        <w:rPr>
          <w:rFonts w:cs="Arial"/>
          <w:lang w:val="en-US"/>
        </w:rPr>
        <w:t>n application for</w:t>
      </w:r>
      <w:r w:rsidRPr="003171CD">
        <w:rPr>
          <w:rFonts w:cs="Arial"/>
          <w:lang w:val="en-US"/>
        </w:rPr>
        <w:t xml:space="preserve"> </w:t>
      </w:r>
      <w:r w:rsidRPr="003171CD">
        <w:rPr>
          <w:rFonts w:cs="Arial"/>
          <w:i/>
          <w:lang w:val="en-US"/>
        </w:rPr>
        <w:t>habeas corpus</w:t>
      </w:r>
      <w:r w:rsidRPr="003171CD">
        <w:rPr>
          <w:rFonts w:cs="Arial"/>
          <w:lang w:val="en-US"/>
        </w:rPr>
        <w:t xml:space="preserve"> with the Constitutional Chamber of the Supreme Court of Justice</w:t>
      </w:r>
      <w:r w:rsidRPr="003171CD">
        <w:rPr>
          <w:vertAlign w:val="superscript"/>
          <w:lang w:val="en-US"/>
        </w:rPr>
        <w:footnoteReference w:id="98"/>
      </w:r>
      <w:r w:rsidRPr="003171CD">
        <w:rPr>
          <w:rFonts w:cs="Arial"/>
          <w:lang w:val="en-US"/>
        </w:rPr>
        <w:t xml:space="preserve"> (</w:t>
      </w:r>
      <w:r w:rsidRPr="003171CD">
        <w:rPr>
          <w:rFonts w:cs="Arial"/>
          <w:i/>
          <w:lang w:val="en-US"/>
        </w:rPr>
        <w:t xml:space="preserve">infra </w:t>
      </w:r>
      <w:r w:rsidRPr="003171CD">
        <w:rPr>
          <w:rFonts w:cs="Arial"/>
          <w:lang w:val="en-US"/>
        </w:rPr>
        <w:t>paras. 106 to 111).</w:t>
      </w:r>
    </w:p>
    <w:p w14:paraId="0B80B4E2" w14:textId="77777777" w:rsidR="005A65CE" w:rsidRPr="003171CD" w:rsidRDefault="005A65CE" w:rsidP="005A65CE">
      <w:pPr>
        <w:pStyle w:val="Prrafodelista"/>
        <w:tabs>
          <w:tab w:val="left" w:pos="720"/>
        </w:tabs>
        <w:ind w:left="0" w:right="-90"/>
        <w:jc w:val="both"/>
        <w:rPr>
          <w:rFonts w:cs="Arial"/>
          <w:lang w:val="en-US"/>
        </w:rPr>
      </w:pPr>
    </w:p>
    <w:p w14:paraId="63A80B4E"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March 12, 2001, Pedro Torres Hércules submitted a brief to the </w:t>
      </w:r>
      <w:r w:rsidR="005B2BDB" w:rsidRPr="003171CD">
        <w:rPr>
          <w:rFonts w:cs="Arial"/>
          <w:lang w:val="en-US"/>
        </w:rPr>
        <w:t xml:space="preserve">Attorney </w:t>
      </w:r>
      <w:r w:rsidRPr="003171CD">
        <w:rPr>
          <w:rFonts w:cs="Arial"/>
          <w:lang w:val="en-US"/>
        </w:rPr>
        <w:t xml:space="preserve">General of the </w:t>
      </w:r>
      <w:r w:rsidR="005B2BDB" w:rsidRPr="003171CD">
        <w:rPr>
          <w:rFonts w:cs="Arial"/>
          <w:lang w:val="en-US"/>
        </w:rPr>
        <w:t xml:space="preserve">Republic </w:t>
      </w:r>
      <w:r w:rsidRPr="003171CD">
        <w:rPr>
          <w:rFonts w:cs="Arial"/>
          <w:lang w:val="en-US"/>
        </w:rPr>
        <w:t>request</w:t>
      </w:r>
      <w:r w:rsidR="005B2BDB" w:rsidRPr="003171CD">
        <w:rPr>
          <w:rFonts w:cs="Arial"/>
          <w:lang w:val="en-US"/>
        </w:rPr>
        <w:t>ing that</w:t>
      </w:r>
      <w:r w:rsidRPr="003171CD">
        <w:rPr>
          <w:rFonts w:cs="Arial"/>
          <w:lang w:val="en-US"/>
        </w:rPr>
        <w:t xml:space="preserve"> the public defen</w:t>
      </w:r>
      <w:r w:rsidR="005B2BDB" w:rsidRPr="003171CD">
        <w:rPr>
          <w:rFonts w:cs="Arial"/>
          <w:lang w:val="en-US"/>
        </w:rPr>
        <w:t xml:space="preserve">ders assigned to </w:t>
      </w:r>
      <w:r w:rsidRPr="003171CD">
        <w:rPr>
          <w:rFonts w:cs="Arial"/>
          <w:lang w:val="en-US"/>
        </w:rPr>
        <w:t xml:space="preserve">Mr. Ruano Torres </w:t>
      </w:r>
      <w:r w:rsidR="005B2BDB" w:rsidRPr="003171CD">
        <w:rPr>
          <w:rFonts w:cs="Arial"/>
          <w:lang w:val="en-US"/>
        </w:rPr>
        <w:t xml:space="preserve">be changed, given that </w:t>
      </w:r>
      <w:r w:rsidR="005B2BDB" w:rsidRPr="003171CD">
        <w:rPr>
          <w:rFonts w:cs="Arial"/>
          <w:lang w:val="en-US"/>
        </w:rPr>
        <w:lastRenderedPageBreak/>
        <w:t xml:space="preserve">they had repeatedly </w:t>
      </w:r>
      <w:r w:rsidRPr="003171CD">
        <w:rPr>
          <w:rFonts w:cs="Arial"/>
          <w:lang w:val="en-US"/>
        </w:rPr>
        <w:t xml:space="preserve">refused to </w:t>
      </w:r>
      <w:r w:rsidR="005B2BDB" w:rsidRPr="003171CD">
        <w:rPr>
          <w:rFonts w:cs="Arial"/>
          <w:lang w:val="en-US"/>
        </w:rPr>
        <w:t xml:space="preserve">assist </w:t>
      </w:r>
      <w:r w:rsidRPr="003171CD">
        <w:rPr>
          <w:rFonts w:cs="Arial"/>
          <w:lang w:val="en-US"/>
        </w:rPr>
        <w:t xml:space="preserve">him, </w:t>
      </w:r>
      <w:r w:rsidR="005B2BDB" w:rsidRPr="003171CD">
        <w:rPr>
          <w:rFonts w:cs="Arial"/>
          <w:lang w:val="en-US"/>
        </w:rPr>
        <w:t xml:space="preserve">or to challenge the irregular conduct of the </w:t>
      </w:r>
      <w:r w:rsidRPr="003171CD">
        <w:rPr>
          <w:rFonts w:cs="Arial"/>
          <w:lang w:val="en-US"/>
        </w:rPr>
        <w:t>identi</w:t>
      </w:r>
      <w:r w:rsidR="005B2BDB" w:rsidRPr="003171CD">
        <w:rPr>
          <w:rFonts w:cs="Arial"/>
          <w:lang w:val="en-US"/>
        </w:rPr>
        <w:t xml:space="preserve">ty </w:t>
      </w:r>
      <w:r w:rsidRPr="003171CD">
        <w:rPr>
          <w:rFonts w:cs="Arial"/>
          <w:lang w:val="en-US"/>
        </w:rPr>
        <w:t>parade.</w:t>
      </w:r>
      <w:r w:rsidRPr="003171CD">
        <w:rPr>
          <w:vertAlign w:val="superscript"/>
          <w:lang w:val="en-US"/>
        </w:rPr>
        <w:footnoteReference w:id="99"/>
      </w:r>
      <w:r w:rsidRPr="003171CD">
        <w:rPr>
          <w:rFonts w:cs="Arial"/>
          <w:lang w:val="en-US"/>
        </w:rPr>
        <w:t xml:space="preserve"> The petitioner </w:t>
      </w:r>
      <w:r w:rsidR="005B2BDB" w:rsidRPr="003171CD">
        <w:rPr>
          <w:rFonts w:cs="Arial"/>
          <w:lang w:val="en-US"/>
        </w:rPr>
        <w:t xml:space="preserve">pointed out </w:t>
      </w:r>
      <w:r w:rsidRPr="003171CD">
        <w:rPr>
          <w:rFonts w:cs="Arial"/>
          <w:lang w:val="en-US"/>
        </w:rPr>
        <w:t xml:space="preserve">that </w:t>
      </w:r>
      <w:r w:rsidR="005B2BDB" w:rsidRPr="003171CD">
        <w:rPr>
          <w:rFonts w:cs="Arial"/>
          <w:lang w:val="en-US"/>
        </w:rPr>
        <w:t xml:space="preserve">although </w:t>
      </w:r>
      <w:r w:rsidR="00207CDD" w:rsidRPr="003171CD">
        <w:rPr>
          <w:rFonts w:cs="Arial"/>
          <w:lang w:val="en-US"/>
        </w:rPr>
        <w:t>t</w:t>
      </w:r>
      <w:r w:rsidR="005B2BDB" w:rsidRPr="003171CD">
        <w:rPr>
          <w:rFonts w:cs="Arial"/>
          <w:lang w:val="en-US"/>
        </w:rPr>
        <w:t>he</w:t>
      </w:r>
      <w:r w:rsidR="00207CDD" w:rsidRPr="003171CD">
        <w:rPr>
          <w:rFonts w:cs="Arial"/>
          <w:lang w:val="en-US"/>
        </w:rPr>
        <w:t>y</w:t>
      </w:r>
      <w:r w:rsidR="005B2BDB" w:rsidRPr="003171CD">
        <w:rPr>
          <w:rFonts w:cs="Arial"/>
          <w:lang w:val="en-US"/>
        </w:rPr>
        <w:t xml:space="preserve"> had made several requests for a change of public defenders</w:t>
      </w:r>
      <w:r w:rsidRPr="003171CD">
        <w:rPr>
          <w:rFonts w:cs="Arial"/>
          <w:lang w:val="en-US"/>
        </w:rPr>
        <w:t>, the regional prosecutor had always denied th</w:t>
      </w:r>
      <w:r w:rsidR="00207CDD" w:rsidRPr="003171CD">
        <w:rPr>
          <w:rFonts w:cs="Arial"/>
          <w:lang w:val="en-US"/>
        </w:rPr>
        <w:t xml:space="preserve">eir </w:t>
      </w:r>
      <w:r w:rsidR="00C17D89" w:rsidRPr="003171CD">
        <w:rPr>
          <w:rFonts w:cs="Arial"/>
          <w:lang w:val="en-US"/>
        </w:rPr>
        <w:t>petitions</w:t>
      </w:r>
      <w:r w:rsidRPr="003171CD">
        <w:rPr>
          <w:rFonts w:cs="Arial"/>
          <w:lang w:val="en-US"/>
        </w:rPr>
        <w:t>.</w:t>
      </w:r>
      <w:r w:rsidRPr="003171CD">
        <w:rPr>
          <w:vertAlign w:val="superscript"/>
          <w:lang w:val="en-US"/>
        </w:rPr>
        <w:footnoteReference w:id="100"/>
      </w:r>
    </w:p>
    <w:p w14:paraId="40C69AEF" w14:textId="77777777" w:rsidR="005A65CE" w:rsidRPr="003171CD" w:rsidRDefault="005A65CE" w:rsidP="005A65CE">
      <w:pPr>
        <w:jc w:val="both"/>
        <w:rPr>
          <w:rFonts w:cs="Arial"/>
          <w:snapToGrid/>
          <w:lang w:val="en-US" w:eastAsia="en-US"/>
        </w:rPr>
      </w:pPr>
    </w:p>
    <w:p w14:paraId="1E32965F" w14:textId="77777777" w:rsidR="005A65CE" w:rsidRPr="003171CD" w:rsidRDefault="00207CDD" w:rsidP="005A65CE">
      <w:pPr>
        <w:pStyle w:val="Prrafodelista"/>
        <w:numPr>
          <w:ilvl w:val="0"/>
          <w:numId w:val="1"/>
        </w:numPr>
        <w:tabs>
          <w:tab w:val="left" w:pos="720"/>
          <w:tab w:val="num" w:pos="5057"/>
        </w:tabs>
        <w:ind w:right="-90"/>
        <w:jc w:val="both"/>
        <w:rPr>
          <w:lang w:val="en-US"/>
        </w:rPr>
      </w:pPr>
      <w:r w:rsidRPr="003171CD">
        <w:rPr>
          <w:rFonts w:cs="Arial"/>
          <w:lang w:val="en-US"/>
        </w:rPr>
        <w:t>On March 19, 2001, a</w:t>
      </w:r>
      <w:r w:rsidR="005A65CE" w:rsidRPr="003171CD">
        <w:rPr>
          <w:rFonts w:cs="Arial"/>
          <w:lang w:val="en-US"/>
        </w:rPr>
        <w:t xml:space="preserve">fter </w:t>
      </w:r>
      <w:r w:rsidRPr="003171CD">
        <w:rPr>
          <w:rFonts w:cs="Arial"/>
          <w:lang w:val="en-US"/>
        </w:rPr>
        <w:t xml:space="preserve">Mr. Ruano Torres filed </w:t>
      </w:r>
      <w:r w:rsidR="005A65CE" w:rsidRPr="003171CD">
        <w:rPr>
          <w:rFonts w:cs="Arial"/>
          <w:lang w:val="en-US"/>
        </w:rPr>
        <w:t xml:space="preserve">a </w:t>
      </w:r>
      <w:r w:rsidRPr="003171CD">
        <w:rPr>
          <w:rFonts w:cs="Arial"/>
          <w:lang w:val="en-US"/>
        </w:rPr>
        <w:t>new petition requesting a</w:t>
      </w:r>
      <w:r w:rsidR="005A65CE" w:rsidRPr="003171CD">
        <w:rPr>
          <w:rFonts w:cs="Arial"/>
          <w:lang w:val="en-US"/>
        </w:rPr>
        <w:t xml:space="preserve"> change of public defender</w:t>
      </w:r>
      <w:r w:rsidRPr="003171CD">
        <w:rPr>
          <w:rFonts w:cs="Arial"/>
          <w:lang w:val="en-US"/>
        </w:rPr>
        <w:t>,</w:t>
      </w:r>
      <w:r w:rsidR="00EA27A7" w:rsidRPr="003171CD">
        <w:rPr>
          <w:rFonts w:cs="Arial"/>
          <w:lang w:val="en-US"/>
        </w:rPr>
        <w:t xml:space="preserve"> he was assigned Emilia Marti</w:t>
      </w:r>
      <w:r w:rsidR="005A65CE" w:rsidRPr="003171CD">
        <w:rPr>
          <w:rFonts w:cs="Arial"/>
          <w:lang w:val="en-US"/>
        </w:rPr>
        <w:t>ne Castillo del Castillo.</w:t>
      </w:r>
      <w:r w:rsidR="005A65CE" w:rsidRPr="003171CD">
        <w:rPr>
          <w:vertAlign w:val="superscript"/>
          <w:lang w:val="en-US"/>
        </w:rPr>
        <w:footnoteReference w:id="101"/>
      </w:r>
      <w:r w:rsidR="005A65CE" w:rsidRPr="003171CD">
        <w:rPr>
          <w:rFonts w:cs="Arial"/>
          <w:lang w:val="en-US"/>
        </w:rPr>
        <w:t xml:space="preserve"> However, in a brief submitted to the Second Trial Court of </w:t>
      </w:r>
      <w:r w:rsidR="005A65CE" w:rsidRPr="003171CD">
        <w:rPr>
          <w:lang w:val="en-US"/>
        </w:rPr>
        <w:t xml:space="preserve">San Salvador, </w:t>
      </w:r>
      <w:r w:rsidR="005A65CE" w:rsidRPr="003171CD">
        <w:rPr>
          <w:rFonts w:cs="Arial"/>
          <w:lang w:val="en-US"/>
        </w:rPr>
        <w:t xml:space="preserve">Mr. Ruano Torres stated </w:t>
      </w:r>
      <w:r w:rsidR="005A65CE" w:rsidRPr="003171CD">
        <w:rPr>
          <w:lang w:val="en-US"/>
        </w:rPr>
        <w:t xml:space="preserve">that </w:t>
      </w:r>
      <w:r w:rsidR="005A65CE" w:rsidRPr="003171CD">
        <w:rPr>
          <w:rFonts w:cs="Arial"/>
          <w:lang w:val="en-US"/>
        </w:rPr>
        <w:t xml:space="preserve">the new public defender </w:t>
      </w:r>
      <w:r w:rsidR="00C17D89" w:rsidRPr="003171CD">
        <w:rPr>
          <w:rFonts w:cs="Arial"/>
          <w:lang w:val="en-US"/>
        </w:rPr>
        <w:t xml:space="preserve">had </w:t>
      </w:r>
      <w:r w:rsidR="005A65CE" w:rsidRPr="003171CD">
        <w:rPr>
          <w:rFonts w:cs="Arial"/>
          <w:lang w:val="en-US"/>
        </w:rPr>
        <w:t xml:space="preserve">refused to </w:t>
      </w:r>
      <w:r w:rsidRPr="003171CD">
        <w:rPr>
          <w:rFonts w:cs="Arial"/>
          <w:lang w:val="en-US"/>
        </w:rPr>
        <w:t xml:space="preserve">challenge </w:t>
      </w:r>
      <w:r w:rsidR="005A65CE" w:rsidRPr="003171CD">
        <w:rPr>
          <w:rFonts w:cs="Arial"/>
          <w:lang w:val="en-US"/>
        </w:rPr>
        <w:t xml:space="preserve">the </w:t>
      </w:r>
      <w:r w:rsidR="00EA27A7" w:rsidRPr="003171CD">
        <w:rPr>
          <w:rFonts w:cs="Arial"/>
          <w:lang w:val="en-US"/>
        </w:rPr>
        <w:t xml:space="preserve">identity parade </w:t>
      </w:r>
      <w:r w:rsidR="005A65CE" w:rsidRPr="003171CD">
        <w:rPr>
          <w:rFonts w:cs="Arial"/>
          <w:lang w:val="en-US"/>
        </w:rPr>
        <w:t xml:space="preserve">because “it would be damaging to her colleague Corvera and </w:t>
      </w:r>
      <w:r w:rsidR="005A65CE" w:rsidRPr="003171CD">
        <w:rPr>
          <w:lang w:val="en-US"/>
        </w:rPr>
        <w:t>[…] in any event, nothing could be done at that point and that the challenge should have been filed right away.”</w:t>
      </w:r>
      <w:r w:rsidR="005A65CE" w:rsidRPr="003171CD">
        <w:rPr>
          <w:rStyle w:val="Refdenotaalpie"/>
          <w:lang w:val="en-US"/>
        </w:rPr>
        <w:footnoteReference w:id="102"/>
      </w:r>
    </w:p>
    <w:p w14:paraId="15BF824C" w14:textId="77777777" w:rsidR="005A65CE" w:rsidRPr="003171CD" w:rsidRDefault="005A65CE" w:rsidP="005A65CE">
      <w:pPr>
        <w:jc w:val="both"/>
        <w:rPr>
          <w:snapToGrid/>
          <w:lang w:val="en-US" w:eastAsia="en-US"/>
        </w:rPr>
      </w:pPr>
    </w:p>
    <w:p w14:paraId="6EF65188"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April 18, 2001, the prosecutor assigned to the case, </w:t>
      </w:r>
      <w:r w:rsidR="00097B1B" w:rsidRPr="003171CD">
        <w:rPr>
          <w:rFonts w:cs="Arial"/>
          <w:lang w:val="en-US"/>
        </w:rPr>
        <w:t xml:space="preserve">following </w:t>
      </w:r>
      <w:r w:rsidRPr="003171CD">
        <w:rPr>
          <w:rFonts w:cs="Arial"/>
          <w:lang w:val="en-US"/>
        </w:rPr>
        <w:t>the complaint filed with the Disciplinary Investigation Unit of the National Civil Police (</w:t>
      </w:r>
      <w:r w:rsidRPr="003171CD">
        <w:rPr>
          <w:rFonts w:cs="Arial"/>
          <w:i/>
          <w:lang w:val="en-US"/>
        </w:rPr>
        <w:t xml:space="preserve">supra </w:t>
      </w:r>
      <w:r w:rsidRPr="003171CD">
        <w:rPr>
          <w:rFonts w:cs="Arial"/>
          <w:lang w:val="en-US"/>
        </w:rPr>
        <w:t xml:space="preserve">para. 73) </w:t>
      </w:r>
      <w:r w:rsidR="00097B1B" w:rsidRPr="003171CD">
        <w:rPr>
          <w:rFonts w:cs="Arial"/>
          <w:lang w:val="en-US"/>
        </w:rPr>
        <w:t xml:space="preserve">for the purpose of investigating </w:t>
      </w:r>
      <w:r w:rsidRPr="003171CD">
        <w:rPr>
          <w:rFonts w:cs="Arial"/>
          <w:lang w:val="en-US"/>
        </w:rPr>
        <w:t>the alleged mistreatment of Mr. Ruano T</w:t>
      </w:r>
      <w:r w:rsidR="00097B1B" w:rsidRPr="003171CD">
        <w:rPr>
          <w:rFonts w:cs="Arial"/>
          <w:lang w:val="en-US"/>
        </w:rPr>
        <w:t>orres at the time of his arrest,</w:t>
      </w:r>
      <w:r w:rsidRPr="003171CD">
        <w:rPr>
          <w:vertAlign w:val="superscript"/>
          <w:lang w:val="en-US"/>
        </w:rPr>
        <w:footnoteReference w:id="103"/>
      </w:r>
      <w:r w:rsidRPr="003171CD">
        <w:rPr>
          <w:rFonts w:cs="Arial"/>
          <w:lang w:val="en-US"/>
        </w:rPr>
        <w:t xml:space="preserve"> </w:t>
      </w:r>
      <w:r w:rsidR="00097B1B" w:rsidRPr="003171CD">
        <w:rPr>
          <w:rFonts w:cs="Arial"/>
          <w:lang w:val="en-US"/>
        </w:rPr>
        <w:t xml:space="preserve">submitted a request to the Court of First Instance of Tonacatepeque. </w:t>
      </w:r>
      <w:r w:rsidR="008F674C" w:rsidRPr="003171CD">
        <w:rPr>
          <w:rFonts w:cs="Arial"/>
          <w:lang w:val="en-US"/>
        </w:rPr>
        <w:t xml:space="preserve">In </w:t>
      </w:r>
      <w:r w:rsidRPr="003171CD">
        <w:rPr>
          <w:rFonts w:cs="Arial"/>
          <w:lang w:val="en-US"/>
        </w:rPr>
        <w:t>his brief, the prosecutor requested authorization for the transfer of José Agapito Ruano Torres to the Institute of Forensic Medicine of San Salvador on April 20, 2001, in order to undergo a psychological evaluation.</w:t>
      </w:r>
      <w:r w:rsidRPr="003171CD">
        <w:rPr>
          <w:vertAlign w:val="superscript"/>
          <w:lang w:val="en-US"/>
        </w:rPr>
        <w:footnoteReference w:id="104"/>
      </w:r>
      <w:r w:rsidRPr="003171CD">
        <w:rPr>
          <w:rFonts w:cs="Arial"/>
          <w:lang w:val="en-US"/>
        </w:rPr>
        <w:t xml:space="preserve"> The following day, the Court of First Instance of Tonacatepeque r</w:t>
      </w:r>
      <w:r w:rsidR="00097B1B" w:rsidRPr="003171CD">
        <w:rPr>
          <w:rFonts w:cs="Arial"/>
          <w:lang w:val="en-US"/>
        </w:rPr>
        <w:t xml:space="preserve">uled </w:t>
      </w:r>
      <w:r w:rsidRPr="003171CD">
        <w:rPr>
          <w:rFonts w:cs="Arial"/>
          <w:lang w:val="en-US"/>
        </w:rPr>
        <w:t xml:space="preserve">the request </w:t>
      </w:r>
      <w:r w:rsidR="00097B1B" w:rsidRPr="003171CD">
        <w:rPr>
          <w:rFonts w:cs="Arial"/>
          <w:lang w:val="en-US"/>
        </w:rPr>
        <w:t xml:space="preserve">out of order </w:t>
      </w:r>
      <w:r w:rsidRPr="003171CD">
        <w:rPr>
          <w:rFonts w:cs="Arial"/>
          <w:lang w:val="en-US"/>
        </w:rPr>
        <w:t xml:space="preserve">and put the prosecutor on notice  that, “in the future, any request of this nature must be submitted at least six days in advance, in order to make […] the </w:t>
      </w:r>
      <w:r w:rsidR="00097B1B" w:rsidRPr="003171CD">
        <w:rPr>
          <w:rFonts w:cs="Arial"/>
          <w:lang w:val="en-US"/>
        </w:rPr>
        <w:t xml:space="preserve">appropriate </w:t>
      </w:r>
      <w:r w:rsidRPr="003171CD">
        <w:rPr>
          <w:rFonts w:cs="Arial"/>
          <w:lang w:val="en-US"/>
        </w:rPr>
        <w:t>arrangements.”</w:t>
      </w:r>
      <w:r w:rsidRPr="003171CD">
        <w:rPr>
          <w:vertAlign w:val="superscript"/>
          <w:lang w:val="en-US"/>
        </w:rPr>
        <w:footnoteReference w:id="105"/>
      </w:r>
      <w:r w:rsidRPr="003171CD">
        <w:rPr>
          <w:rFonts w:cs="Arial"/>
          <w:lang w:val="en-US"/>
        </w:rPr>
        <w:t xml:space="preserve"> The case file does not indicate </w:t>
      </w:r>
      <w:r w:rsidR="00097B1B" w:rsidRPr="003171CD">
        <w:rPr>
          <w:rFonts w:cs="Arial"/>
          <w:lang w:val="en-US"/>
        </w:rPr>
        <w:t xml:space="preserve">whether </w:t>
      </w:r>
      <w:r w:rsidRPr="003171CD">
        <w:rPr>
          <w:rFonts w:cs="Arial"/>
          <w:lang w:val="en-US"/>
        </w:rPr>
        <w:t>th</w:t>
      </w:r>
      <w:r w:rsidR="00097B1B" w:rsidRPr="003171CD">
        <w:rPr>
          <w:rFonts w:cs="Arial"/>
          <w:lang w:val="en-US"/>
        </w:rPr>
        <w:t xml:space="preserve">e </w:t>
      </w:r>
      <w:r w:rsidRPr="003171CD">
        <w:rPr>
          <w:rFonts w:cs="Arial"/>
          <w:lang w:val="en-US"/>
        </w:rPr>
        <w:t xml:space="preserve">requested </w:t>
      </w:r>
      <w:r w:rsidR="00097B1B" w:rsidRPr="003171CD">
        <w:rPr>
          <w:rFonts w:cs="Arial"/>
          <w:lang w:val="en-US"/>
        </w:rPr>
        <w:t xml:space="preserve">evaluation </w:t>
      </w:r>
      <w:r w:rsidRPr="003171CD">
        <w:rPr>
          <w:rFonts w:cs="Arial"/>
          <w:lang w:val="en-US"/>
        </w:rPr>
        <w:t>was ever carried out.</w:t>
      </w:r>
    </w:p>
    <w:p w14:paraId="7AA2C9E3" w14:textId="77777777" w:rsidR="005A65CE" w:rsidRPr="003171CD" w:rsidRDefault="005A65CE" w:rsidP="005A65CE">
      <w:pPr>
        <w:jc w:val="both"/>
        <w:rPr>
          <w:rFonts w:cs="Arial"/>
          <w:snapToGrid/>
          <w:lang w:val="en-US" w:eastAsia="en-US"/>
        </w:rPr>
      </w:pPr>
    </w:p>
    <w:p w14:paraId="5227F07E"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April 19, 2001, the Office of the Attorney General of the Republic filed formal charges against various individuals accused in the kidnapping of Mr. Rodríguez Marroquín, among them </w:t>
      </w:r>
      <w:r w:rsidR="002B49BD" w:rsidRPr="003171CD">
        <w:rPr>
          <w:rFonts w:cs="Arial"/>
          <w:lang w:val="en-US"/>
        </w:rPr>
        <w:t xml:space="preserve">José Agapito </w:t>
      </w:r>
      <w:r w:rsidRPr="003171CD">
        <w:rPr>
          <w:rFonts w:cs="Arial"/>
          <w:lang w:val="en-US"/>
        </w:rPr>
        <w:t>Ruano Torres.</w:t>
      </w:r>
      <w:r w:rsidRPr="003171CD">
        <w:rPr>
          <w:vertAlign w:val="superscript"/>
          <w:lang w:val="en-US"/>
        </w:rPr>
        <w:footnoteReference w:id="106"/>
      </w:r>
    </w:p>
    <w:p w14:paraId="6141E252" w14:textId="77777777" w:rsidR="005A65CE" w:rsidRPr="003171CD" w:rsidRDefault="005A65CE" w:rsidP="005A65CE">
      <w:pPr>
        <w:jc w:val="both"/>
        <w:rPr>
          <w:rFonts w:cs="Arial"/>
          <w:snapToGrid/>
          <w:lang w:val="en-US" w:eastAsia="en-US"/>
        </w:rPr>
      </w:pPr>
    </w:p>
    <w:p w14:paraId="379447BF"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April 25, 2001, </w:t>
      </w:r>
      <w:r w:rsidR="006025D7" w:rsidRPr="003171CD">
        <w:rPr>
          <w:rFonts w:cs="Arial"/>
          <w:lang w:val="en-US"/>
        </w:rPr>
        <w:t xml:space="preserve">the </w:t>
      </w:r>
      <w:r w:rsidRPr="003171CD">
        <w:rPr>
          <w:rFonts w:cs="Arial"/>
          <w:lang w:val="en-US"/>
        </w:rPr>
        <w:t xml:space="preserve">public defender Emilia </w:t>
      </w:r>
      <w:r w:rsidR="00EA27A7" w:rsidRPr="003171CD">
        <w:rPr>
          <w:rFonts w:cs="Arial"/>
          <w:lang w:val="en-US"/>
        </w:rPr>
        <w:t>Martine</w:t>
      </w:r>
      <w:r w:rsidRPr="003171CD">
        <w:rPr>
          <w:rFonts w:cs="Arial"/>
          <w:lang w:val="en-US"/>
        </w:rPr>
        <w:t xml:space="preserve"> Castillo del Castillo filed a brief with the Examining Magistrate of Tonacatepeque offering </w:t>
      </w:r>
      <w:r w:rsidR="006025D7" w:rsidRPr="003171CD">
        <w:rPr>
          <w:rFonts w:cs="Arial"/>
          <w:lang w:val="en-US"/>
        </w:rPr>
        <w:t xml:space="preserve">a list of </w:t>
      </w:r>
      <w:r w:rsidRPr="003171CD">
        <w:rPr>
          <w:rFonts w:cs="Arial"/>
          <w:lang w:val="en-US"/>
        </w:rPr>
        <w:t xml:space="preserve">witnesses and documentary evidence </w:t>
      </w:r>
      <w:r w:rsidR="006025D7" w:rsidRPr="003171CD">
        <w:rPr>
          <w:rFonts w:cs="Arial"/>
          <w:lang w:val="en-US"/>
        </w:rPr>
        <w:t xml:space="preserve">to be presented at </w:t>
      </w:r>
      <w:r w:rsidRPr="003171CD">
        <w:rPr>
          <w:rFonts w:cs="Arial"/>
          <w:lang w:val="en-US"/>
        </w:rPr>
        <w:t>the preliminary hearing to be held before the Court of First Instance of Tonacatepeque.</w:t>
      </w:r>
      <w:r w:rsidRPr="003171CD">
        <w:rPr>
          <w:vertAlign w:val="superscript"/>
          <w:lang w:val="en-US"/>
        </w:rPr>
        <w:footnoteReference w:id="107"/>
      </w:r>
      <w:r w:rsidRPr="003171CD">
        <w:rPr>
          <w:rFonts w:cs="Arial"/>
          <w:lang w:val="en-US"/>
        </w:rPr>
        <w:t xml:space="preserve"> That document stated that the witnesses </w:t>
      </w:r>
      <w:r w:rsidR="00EA27A7" w:rsidRPr="003171CD">
        <w:rPr>
          <w:rFonts w:cs="Arial"/>
          <w:lang w:val="en-US"/>
        </w:rPr>
        <w:t xml:space="preserve">would </w:t>
      </w:r>
      <w:r w:rsidR="001F09E4" w:rsidRPr="003171CD">
        <w:rPr>
          <w:rFonts w:cs="Arial"/>
          <w:lang w:val="en-US"/>
        </w:rPr>
        <w:t xml:space="preserve">help </w:t>
      </w:r>
      <w:r w:rsidRPr="003171CD">
        <w:rPr>
          <w:rFonts w:cs="Arial"/>
          <w:lang w:val="en-US"/>
        </w:rPr>
        <w:t>corrobora</w:t>
      </w:r>
      <w:r w:rsidR="00EA27A7" w:rsidRPr="003171CD">
        <w:rPr>
          <w:rFonts w:cs="Arial"/>
          <w:lang w:val="en-US"/>
        </w:rPr>
        <w:t xml:space="preserve">te </w:t>
      </w:r>
      <w:r w:rsidRPr="003171CD">
        <w:rPr>
          <w:rFonts w:cs="Arial"/>
          <w:lang w:val="en-US"/>
        </w:rPr>
        <w:t xml:space="preserve">that José Agapito Ruano Torres </w:t>
      </w:r>
      <w:r w:rsidR="001F09E4" w:rsidRPr="003171CD">
        <w:rPr>
          <w:rFonts w:cs="Arial"/>
          <w:lang w:val="en-US"/>
        </w:rPr>
        <w:t xml:space="preserve">was not </w:t>
      </w:r>
      <w:r w:rsidR="00A96DF3" w:rsidRPr="003171CD">
        <w:rPr>
          <w:rFonts w:cs="Arial"/>
          <w:i/>
          <w:lang w:val="en-US"/>
        </w:rPr>
        <w:t>Chopo</w:t>
      </w:r>
      <w:r w:rsidRPr="003171CD">
        <w:rPr>
          <w:rFonts w:cs="Arial"/>
          <w:lang w:val="en-US"/>
        </w:rPr>
        <w:t xml:space="preserve"> and that </w:t>
      </w:r>
      <w:r w:rsidR="001F09E4" w:rsidRPr="003171CD">
        <w:rPr>
          <w:rFonts w:cs="Arial"/>
          <w:lang w:val="en-US"/>
        </w:rPr>
        <w:t xml:space="preserve">he was at a </w:t>
      </w:r>
      <w:r w:rsidRPr="003171CD">
        <w:rPr>
          <w:rFonts w:cs="Arial"/>
          <w:lang w:val="en-US"/>
        </w:rPr>
        <w:t>different location</w:t>
      </w:r>
      <w:r w:rsidR="001F09E4" w:rsidRPr="003171CD">
        <w:rPr>
          <w:rFonts w:cs="Arial"/>
          <w:lang w:val="en-US"/>
        </w:rPr>
        <w:t xml:space="preserve"> on the day of </w:t>
      </w:r>
      <w:r w:rsidR="004A250A" w:rsidRPr="003171CD">
        <w:rPr>
          <w:rFonts w:cs="Arial"/>
          <w:lang w:val="en-US"/>
        </w:rPr>
        <w:t>the kidnapping</w:t>
      </w:r>
      <w:r w:rsidRPr="003171CD">
        <w:rPr>
          <w:rFonts w:cs="Arial"/>
          <w:lang w:val="en-US"/>
        </w:rPr>
        <w:t xml:space="preserve">. The defense also </w:t>
      </w:r>
      <w:r w:rsidRPr="003171CD">
        <w:rPr>
          <w:rFonts w:cs="Arial"/>
          <w:lang w:val="en-US"/>
        </w:rPr>
        <w:lastRenderedPageBreak/>
        <w:t xml:space="preserve">attached </w:t>
      </w:r>
      <w:r w:rsidR="001F09E4" w:rsidRPr="003171CD">
        <w:rPr>
          <w:rFonts w:cs="Arial"/>
          <w:lang w:val="en-US"/>
        </w:rPr>
        <w:t xml:space="preserve">a series of </w:t>
      </w:r>
      <w:r w:rsidRPr="003171CD">
        <w:rPr>
          <w:rFonts w:cs="Arial"/>
          <w:lang w:val="en-US"/>
        </w:rPr>
        <w:t xml:space="preserve">documents </w:t>
      </w:r>
      <w:r w:rsidR="001F09E4" w:rsidRPr="003171CD">
        <w:rPr>
          <w:rFonts w:cs="Arial"/>
          <w:lang w:val="en-US"/>
        </w:rPr>
        <w:t xml:space="preserve">claiming </w:t>
      </w:r>
      <w:r w:rsidRPr="003171CD">
        <w:rPr>
          <w:rFonts w:cs="Arial"/>
          <w:lang w:val="en-US"/>
        </w:rPr>
        <w:t xml:space="preserve">that </w:t>
      </w:r>
      <w:r w:rsidR="006025D7" w:rsidRPr="003171CD">
        <w:rPr>
          <w:rFonts w:cs="Arial"/>
          <w:lang w:val="en-US"/>
        </w:rPr>
        <w:t xml:space="preserve">Mr. </w:t>
      </w:r>
      <w:r w:rsidRPr="003171CD">
        <w:rPr>
          <w:rFonts w:cs="Arial"/>
          <w:lang w:val="en-US"/>
        </w:rPr>
        <w:t xml:space="preserve">Ruano Torres was </w:t>
      </w:r>
      <w:r w:rsidR="006025D7" w:rsidRPr="003171CD">
        <w:rPr>
          <w:rFonts w:cs="Arial"/>
          <w:lang w:val="en-US"/>
        </w:rPr>
        <w:t xml:space="preserve">carrying out </w:t>
      </w:r>
      <w:r w:rsidR="001F09E4" w:rsidRPr="003171CD">
        <w:rPr>
          <w:rFonts w:cs="Arial"/>
          <w:lang w:val="en-US"/>
        </w:rPr>
        <w:t xml:space="preserve">construction </w:t>
      </w:r>
      <w:r w:rsidRPr="003171CD">
        <w:rPr>
          <w:rFonts w:cs="Arial"/>
          <w:lang w:val="en-US"/>
        </w:rPr>
        <w:t>wo</w:t>
      </w:r>
      <w:r w:rsidR="001F09E4" w:rsidRPr="003171CD">
        <w:rPr>
          <w:rFonts w:cs="Arial"/>
          <w:lang w:val="en-US"/>
        </w:rPr>
        <w:t xml:space="preserve">rk at a school </w:t>
      </w:r>
      <w:r w:rsidR="00EA27A7" w:rsidRPr="003171CD">
        <w:rPr>
          <w:rFonts w:cs="Arial"/>
          <w:lang w:val="en-US"/>
        </w:rPr>
        <w:t xml:space="preserve">in </w:t>
      </w:r>
      <w:r w:rsidRPr="003171CD">
        <w:rPr>
          <w:rFonts w:cs="Arial"/>
          <w:lang w:val="en-US"/>
        </w:rPr>
        <w:t xml:space="preserve">Guazapa </w:t>
      </w:r>
      <w:r w:rsidR="001F09E4" w:rsidRPr="003171CD">
        <w:rPr>
          <w:rFonts w:cs="Arial"/>
          <w:lang w:val="en-US"/>
        </w:rPr>
        <w:t xml:space="preserve">on </w:t>
      </w:r>
      <w:r w:rsidR="006025D7" w:rsidRPr="003171CD">
        <w:rPr>
          <w:rFonts w:cs="Arial"/>
          <w:lang w:val="en-US"/>
        </w:rPr>
        <w:t xml:space="preserve">the date and time of </w:t>
      </w:r>
      <w:r w:rsidRPr="003171CD">
        <w:rPr>
          <w:rFonts w:cs="Arial"/>
          <w:lang w:val="en-US"/>
        </w:rPr>
        <w:t>Mr. Rodríguez Marroquín</w:t>
      </w:r>
      <w:r w:rsidR="006025D7" w:rsidRPr="003171CD">
        <w:rPr>
          <w:rFonts w:cs="Arial"/>
          <w:lang w:val="en-US"/>
        </w:rPr>
        <w:t>’s kidnapping</w:t>
      </w:r>
      <w:r w:rsidRPr="003171CD">
        <w:rPr>
          <w:rFonts w:cs="Arial"/>
          <w:lang w:val="en-US"/>
        </w:rPr>
        <w:t>.</w:t>
      </w:r>
    </w:p>
    <w:p w14:paraId="4E9129B3" w14:textId="77777777" w:rsidR="005A65CE" w:rsidRPr="003171CD" w:rsidRDefault="005A65CE" w:rsidP="005A65CE">
      <w:pPr>
        <w:jc w:val="both"/>
        <w:rPr>
          <w:rFonts w:cs="Arial"/>
          <w:snapToGrid/>
          <w:lang w:val="en-US" w:eastAsia="en-US"/>
        </w:rPr>
      </w:pPr>
    </w:p>
    <w:p w14:paraId="31F9A486" w14:textId="77777777" w:rsidR="005A65CE" w:rsidRPr="003171CD" w:rsidRDefault="001F09E4"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D</w:t>
      </w:r>
      <w:r w:rsidR="005A65CE" w:rsidRPr="003171CD">
        <w:rPr>
          <w:rFonts w:cs="Arial"/>
          <w:lang w:val="en-US"/>
        </w:rPr>
        <w:t xml:space="preserve">uring the preliminary hearing, </w:t>
      </w:r>
      <w:r w:rsidRPr="003171CD">
        <w:rPr>
          <w:rFonts w:cs="Arial"/>
          <w:lang w:val="en-US"/>
        </w:rPr>
        <w:t xml:space="preserve">on April 26, 2001, </w:t>
      </w:r>
      <w:r w:rsidR="005A65CE" w:rsidRPr="003171CD">
        <w:rPr>
          <w:rFonts w:cs="Arial"/>
          <w:lang w:val="en-US"/>
        </w:rPr>
        <w:t>the judge r</w:t>
      </w:r>
      <w:r w:rsidR="004A250A" w:rsidRPr="003171CD">
        <w:rPr>
          <w:rFonts w:cs="Arial"/>
          <w:lang w:val="en-US"/>
        </w:rPr>
        <w:t>uled that evidence inadmissible</w:t>
      </w:r>
      <w:r w:rsidR="005A65CE" w:rsidRPr="003171CD">
        <w:rPr>
          <w:rFonts w:cs="Arial"/>
          <w:lang w:val="en-US"/>
        </w:rPr>
        <w:t xml:space="preserve"> “</w:t>
      </w:r>
      <w:r w:rsidR="006025D7" w:rsidRPr="003171CD">
        <w:rPr>
          <w:rFonts w:cs="Arial"/>
          <w:lang w:val="en-US"/>
        </w:rPr>
        <w:t xml:space="preserve">since </w:t>
      </w:r>
      <w:r w:rsidR="004A250A" w:rsidRPr="003171CD">
        <w:rPr>
          <w:rFonts w:cs="Arial"/>
          <w:lang w:val="en-US"/>
        </w:rPr>
        <w:t xml:space="preserve">it </w:t>
      </w:r>
      <w:r w:rsidRPr="003171CD">
        <w:rPr>
          <w:rFonts w:cs="Arial"/>
          <w:lang w:val="en-US"/>
        </w:rPr>
        <w:t xml:space="preserve">is not essential </w:t>
      </w:r>
      <w:r w:rsidR="005A65CE" w:rsidRPr="003171CD">
        <w:rPr>
          <w:rFonts w:cs="Arial"/>
          <w:lang w:val="en-US"/>
        </w:rPr>
        <w:t>evidence.”</w:t>
      </w:r>
      <w:r w:rsidR="005A65CE" w:rsidRPr="003171CD">
        <w:rPr>
          <w:vertAlign w:val="superscript"/>
          <w:lang w:val="en-US"/>
        </w:rPr>
        <w:footnoteReference w:id="108"/>
      </w:r>
      <w:r w:rsidR="005A65CE" w:rsidRPr="003171CD">
        <w:rPr>
          <w:rFonts w:cs="Arial"/>
          <w:lang w:val="en-US"/>
        </w:rPr>
        <w:t xml:space="preserve"> In an interview conducted by the Office of the Human Rights Ombudsman, the judge </w:t>
      </w:r>
      <w:r w:rsidRPr="003171CD">
        <w:rPr>
          <w:rFonts w:cs="Arial"/>
          <w:lang w:val="en-US"/>
        </w:rPr>
        <w:t>of that court stated that the evidence presented at</w:t>
      </w:r>
      <w:r w:rsidR="005A65CE" w:rsidRPr="003171CD">
        <w:rPr>
          <w:rFonts w:cs="Arial"/>
          <w:lang w:val="en-US"/>
        </w:rPr>
        <w:t xml:space="preserve"> the preliminary hearing was not accepted “because it was </w:t>
      </w:r>
      <w:r w:rsidRPr="003171CD">
        <w:rPr>
          <w:rFonts w:cs="Arial"/>
          <w:lang w:val="en-US"/>
        </w:rPr>
        <w:t>untimely</w:t>
      </w:r>
      <w:r w:rsidR="005A65CE" w:rsidRPr="003171CD">
        <w:rPr>
          <w:rFonts w:cs="Arial"/>
          <w:lang w:val="en-US"/>
        </w:rPr>
        <w:t>.”</w:t>
      </w:r>
      <w:r w:rsidR="005A65CE" w:rsidRPr="003171CD">
        <w:rPr>
          <w:rStyle w:val="Refdenotaalpie"/>
          <w:rFonts w:cs="Arial"/>
          <w:lang w:val="en-US"/>
        </w:rPr>
        <w:footnoteReference w:id="109"/>
      </w:r>
      <w:r w:rsidR="00241FAC" w:rsidRPr="003171CD">
        <w:rPr>
          <w:rFonts w:cs="Arial"/>
          <w:lang w:val="en-US"/>
        </w:rPr>
        <w:t xml:space="preserve"> At that same</w:t>
      </w:r>
      <w:r w:rsidR="005A65CE" w:rsidRPr="003171CD">
        <w:rPr>
          <w:rFonts w:cs="Arial"/>
          <w:lang w:val="en-US"/>
        </w:rPr>
        <w:t xml:space="preserve"> hearing, Mr. Ruano Torres </w:t>
      </w:r>
      <w:r w:rsidR="00241FAC" w:rsidRPr="003171CD">
        <w:rPr>
          <w:rFonts w:cs="Arial"/>
          <w:lang w:val="en-US"/>
        </w:rPr>
        <w:t xml:space="preserve">said that </w:t>
      </w:r>
      <w:r w:rsidRPr="003171CD">
        <w:rPr>
          <w:rFonts w:cs="Arial"/>
          <w:lang w:val="en-US"/>
        </w:rPr>
        <w:t>he would refrain from making any statement</w:t>
      </w:r>
      <w:r w:rsidR="005A65CE" w:rsidRPr="003171CD">
        <w:rPr>
          <w:rFonts w:cs="Arial"/>
          <w:lang w:val="en-US"/>
        </w:rPr>
        <w:t>, but when he was granted</w:t>
      </w:r>
      <w:r w:rsidR="00E66AB4" w:rsidRPr="003171CD">
        <w:rPr>
          <w:rFonts w:cs="Arial"/>
          <w:lang w:val="en-US"/>
        </w:rPr>
        <w:t xml:space="preserve"> some</w:t>
      </w:r>
      <w:r w:rsidR="005A65CE" w:rsidRPr="003171CD">
        <w:rPr>
          <w:rFonts w:cs="Arial"/>
          <w:lang w:val="en-US"/>
        </w:rPr>
        <w:t xml:space="preserve"> </w:t>
      </w:r>
      <w:r w:rsidR="00EA27A7" w:rsidRPr="003171CD">
        <w:rPr>
          <w:rFonts w:cs="Arial"/>
          <w:lang w:val="en-US"/>
        </w:rPr>
        <w:t xml:space="preserve">last </w:t>
      </w:r>
      <w:r w:rsidRPr="003171CD">
        <w:rPr>
          <w:rFonts w:cs="Arial"/>
          <w:lang w:val="en-US"/>
        </w:rPr>
        <w:t xml:space="preserve">words </w:t>
      </w:r>
      <w:r w:rsidR="005A65CE" w:rsidRPr="003171CD">
        <w:rPr>
          <w:rFonts w:cs="Arial"/>
          <w:lang w:val="en-US"/>
        </w:rPr>
        <w:t xml:space="preserve">he stated that he was not </w:t>
      </w:r>
      <w:r w:rsidR="00A96DF3" w:rsidRPr="003171CD">
        <w:rPr>
          <w:rFonts w:cs="Arial"/>
          <w:i/>
          <w:lang w:val="en-US"/>
        </w:rPr>
        <w:t>Chopo</w:t>
      </w:r>
      <w:r w:rsidR="005A65CE" w:rsidRPr="003171CD">
        <w:rPr>
          <w:rFonts w:cs="Arial"/>
          <w:lang w:val="en-US"/>
        </w:rPr>
        <w:t xml:space="preserve"> and that “the police</w:t>
      </w:r>
      <w:r w:rsidR="00E66AB4" w:rsidRPr="003171CD">
        <w:rPr>
          <w:rFonts w:cs="Arial"/>
          <w:lang w:val="en-US"/>
        </w:rPr>
        <w:t xml:space="preserve"> agents </w:t>
      </w:r>
      <w:r w:rsidR="005A65CE" w:rsidRPr="003171CD">
        <w:rPr>
          <w:lang w:val="en-US"/>
        </w:rPr>
        <w:t>[…]</w:t>
      </w:r>
      <w:r w:rsidR="005A65CE" w:rsidRPr="003171CD">
        <w:rPr>
          <w:rFonts w:cs="Arial"/>
          <w:lang w:val="en-US"/>
        </w:rPr>
        <w:t xml:space="preserve"> threatened </w:t>
      </w:r>
      <w:r w:rsidR="00E66AB4" w:rsidRPr="003171CD">
        <w:rPr>
          <w:rFonts w:cs="Arial"/>
          <w:lang w:val="en-US"/>
        </w:rPr>
        <w:t>[</w:t>
      </w:r>
      <w:r w:rsidR="005A65CE" w:rsidRPr="003171CD">
        <w:rPr>
          <w:rFonts w:cs="Arial"/>
          <w:lang w:val="en-US"/>
        </w:rPr>
        <w:t xml:space="preserve">him] </w:t>
      </w:r>
      <w:r w:rsidR="00E66AB4" w:rsidRPr="003171CD">
        <w:rPr>
          <w:rFonts w:cs="Arial"/>
          <w:lang w:val="en-US"/>
        </w:rPr>
        <w:t xml:space="preserve">with death and that is how they implicated [him] </w:t>
      </w:r>
      <w:r w:rsidR="005A65CE" w:rsidRPr="003171CD">
        <w:rPr>
          <w:rFonts w:cs="Arial"/>
          <w:lang w:val="en-US"/>
        </w:rPr>
        <w:t>in the kidnapping.”</w:t>
      </w:r>
      <w:r w:rsidR="005A65CE" w:rsidRPr="003171CD">
        <w:rPr>
          <w:vertAlign w:val="superscript"/>
          <w:lang w:val="en-US"/>
        </w:rPr>
        <w:footnoteReference w:id="110"/>
      </w:r>
      <w:r w:rsidR="005A65CE" w:rsidRPr="003171CD">
        <w:rPr>
          <w:rFonts w:cs="Arial"/>
          <w:lang w:val="en-US"/>
        </w:rPr>
        <w:t xml:space="preserve"> The public defen</w:t>
      </w:r>
      <w:r w:rsidR="008D2748" w:rsidRPr="003171CD">
        <w:rPr>
          <w:rFonts w:cs="Arial"/>
          <w:lang w:val="en-US"/>
        </w:rPr>
        <w:t xml:space="preserve">der </w:t>
      </w:r>
      <w:r w:rsidR="005A65CE" w:rsidRPr="003171CD">
        <w:rPr>
          <w:rFonts w:cs="Arial"/>
          <w:lang w:val="en-US"/>
        </w:rPr>
        <w:t xml:space="preserve">requested the </w:t>
      </w:r>
      <w:r w:rsidR="00D51480" w:rsidRPr="003171CD">
        <w:rPr>
          <w:rFonts w:cs="Arial"/>
          <w:lang w:val="en-US"/>
        </w:rPr>
        <w:t xml:space="preserve">annulment of </w:t>
      </w:r>
      <w:r w:rsidR="008D2748" w:rsidRPr="003171CD">
        <w:rPr>
          <w:rFonts w:cs="Arial"/>
          <w:lang w:val="en-US"/>
        </w:rPr>
        <w:t>the</w:t>
      </w:r>
      <w:r w:rsidR="008551EB" w:rsidRPr="003171CD">
        <w:rPr>
          <w:rFonts w:cs="Arial"/>
          <w:lang w:val="en-US"/>
        </w:rPr>
        <w:t xml:space="preserve"> pre-trial </w:t>
      </w:r>
      <w:r w:rsidR="005A65CE" w:rsidRPr="003171CD">
        <w:rPr>
          <w:rFonts w:cs="Arial"/>
          <w:lang w:val="en-US"/>
        </w:rPr>
        <w:t xml:space="preserve">evidence, </w:t>
      </w:r>
      <w:r w:rsidR="00F30E98" w:rsidRPr="003171CD">
        <w:rPr>
          <w:rFonts w:cs="Arial"/>
          <w:lang w:val="en-US"/>
        </w:rPr>
        <w:t xml:space="preserve">a request that </w:t>
      </w:r>
      <w:r w:rsidR="00EA27A7" w:rsidRPr="003171CD">
        <w:rPr>
          <w:rFonts w:cs="Arial"/>
          <w:lang w:val="en-US"/>
        </w:rPr>
        <w:t xml:space="preserve">was declared </w:t>
      </w:r>
      <w:r w:rsidR="005A65CE" w:rsidRPr="003171CD">
        <w:rPr>
          <w:rFonts w:cs="Arial"/>
          <w:lang w:val="en-US"/>
        </w:rPr>
        <w:t>i</w:t>
      </w:r>
      <w:r w:rsidR="00EA27A7" w:rsidRPr="003171CD">
        <w:rPr>
          <w:rFonts w:cs="Arial"/>
          <w:lang w:val="en-US"/>
        </w:rPr>
        <w:t xml:space="preserve">nadmissible </w:t>
      </w:r>
      <w:r w:rsidR="005A65CE" w:rsidRPr="003171CD">
        <w:rPr>
          <w:rFonts w:cs="Arial"/>
          <w:lang w:val="en-US"/>
        </w:rPr>
        <w:t>by the Court of First Instance of Tonacatepeque.</w:t>
      </w:r>
      <w:r w:rsidR="005A65CE" w:rsidRPr="003171CD">
        <w:rPr>
          <w:vertAlign w:val="superscript"/>
          <w:lang w:val="en-US"/>
        </w:rPr>
        <w:footnoteReference w:id="111"/>
      </w:r>
    </w:p>
    <w:p w14:paraId="5129831E" w14:textId="77777777" w:rsidR="005A65CE" w:rsidRPr="003171CD" w:rsidRDefault="005A65CE" w:rsidP="005A65CE">
      <w:pPr>
        <w:jc w:val="both"/>
        <w:rPr>
          <w:rFonts w:cs="Arial"/>
          <w:snapToGrid/>
          <w:lang w:val="en-US" w:eastAsia="en-US"/>
        </w:rPr>
      </w:pPr>
    </w:p>
    <w:p w14:paraId="4097F8F4"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The Court of First Instance of Tonacatepeque orde</w:t>
      </w:r>
      <w:r w:rsidR="00EA27A7" w:rsidRPr="003171CD">
        <w:rPr>
          <w:rFonts w:cs="Arial"/>
          <w:lang w:val="en-US"/>
        </w:rPr>
        <w:t xml:space="preserve">red </w:t>
      </w:r>
      <w:r w:rsidR="00E66AB4" w:rsidRPr="003171CD">
        <w:rPr>
          <w:rFonts w:cs="Arial"/>
          <w:lang w:val="en-US"/>
        </w:rPr>
        <w:t xml:space="preserve">the opening of proceedings against </w:t>
      </w:r>
      <w:r w:rsidRPr="003171CD">
        <w:rPr>
          <w:rFonts w:cs="Arial"/>
          <w:lang w:val="en-US"/>
        </w:rPr>
        <w:t xml:space="preserve">the </w:t>
      </w:r>
      <w:r w:rsidR="00D53DA9" w:rsidRPr="003171CD">
        <w:rPr>
          <w:rFonts w:cs="Arial"/>
          <w:lang w:val="en-US"/>
        </w:rPr>
        <w:t>rest of the accused, except</w:t>
      </w:r>
      <w:r w:rsidRPr="003171CD">
        <w:rPr>
          <w:rFonts w:cs="Arial"/>
          <w:lang w:val="en-US"/>
        </w:rPr>
        <w:t xml:space="preserve"> </w:t>
      </w:r>
      <w:r w:rsidR="00D53DA9" w:rsidRPr="003171CD">
        <w:rPr>
          <w:rFonts w:cs="Arial"/>
          <w:lang w:val="en-US"/>
        </w:rPr>
        <w:t xml:space="preserve">for </w:t>
      </w:r>
      <w:r w:rsidRPr="003171CD">
        <w:rPr>
          <w:rFonts w:cs="Arial"/>
          <w:lang w:val="en-US"/>
        </w:rPr>
        <w:t>the a</w:t>
      </w:r>
      <w:r w:rsidR="00EA27A7" w:rsidRPr="003171CD">
        <w:rPr>
          <w:rFonts w:cs="Arial"/>
          <w:lang w:val="en-US"/>
        </w:rPr>
        <w:t>bsent defendants</w:t>
      </w:r>
      <w:r w:rsidRPr="003171CD">
        <w:rPr>
          <w:rFonts w:cs="Arial"/>
          <w:lang w:val="en-US"/>
        </w:rPr>
        <w:t xml:space="preserve">, and </w:t>
      </w:r>
      <w:r w:rsidR="00EA27A7" w:rsidRPr="003171CD">
        <w:rPr>
          <w:rFonts w:cs="Arial"/>
          <w:lang w:val="en-US"/>
        </w:rPr>
        <w:t xml:space="preserve">rejected </w:t>
      </w:r>
      <w:r w:rsidRPr="003171CD">
        <w:rPr>
          <w:rFonts w:cs="Arial"/>
          <w:lang w:val="en-US"/>
        </w:rPr>
        <w:t xml:space="preserve">the request </w:t>
      </w:r>
      <w:r w:rsidR="00D53DA9" w:rsidRPr="003171CD">
        <w:rPr>
          <w:rFonts w:cs="Arial"/>
          <w:lang w:val="en-US"/>
        </w:rPr>
        <w:t xml:space="preserve">for final acquittal by </w:t>
      </w:r>
      <w:r w:rsidRPr="003171CD">
        <w:rPr>
          <w:rFonts w:cs="Arial"/>
          <w:lang w:val="en-US"/>
        </w:rPr>
        <w:t xml:space="preserve">the defense </w:t>
      </w:r>
      <w:r w:rsidR="00F30E98" w:rsidRPr="003171CD">
        <w:rPr>
          <w:rFonts w:cs="Arial"/>
          <w:lang w:val="en-US"/>
        </w:rPr>
        <w:t xml:space="preserve">attorney </w:t>
      </w:r>
      <w:r w:rsidRPr="003171CD">
        <w:rPr>
          <w:rFonts w:cs="Arial"/>
          <w:lang w:val="en-US"/>
        </w:rPr>
        <w:t xml:space="preserve">of José Agapito Ruano Torres “since </w:t>
      </w:r>
      <w:r w:rsidR="00EA27A7" w:rsidRPr="003171CD">
        <w:rPr>
          <w:rFonts w:cs="Arial"/>
          <w:lang w:val="en-US"/>
        </w:rPr>
        <w:t xml:space="preserve">those </w:t>
      </w:r>
      <w:r w:rsidR="004B2D7B" w:rsidRPr="003171CD">
        <w:rPr>
          <w:rFonts w:cs="Arial"/>
          <w:lang w:val="en-US"/>
        </w:rPr>
        <w:t xml:space="preserve">defendants </w:t>
      </w:r>
      <w:r w:rsidRPr="003171CD">
        <w:rPr>
          <w:rFonts w:cs="Arial"/>
          <w:lang w:val="en-US"/>
        </w:rPr>
        <w:t>ha[d] been i</w:t>
      </w:r>
      <w:r w:rsidR="00F30E98" w:rsidRPr="003171CD">
        <w:rPr>
          <w:rFonts w:cs="Arial"/>
          <w:lang w:val="en-US"/>
        </w:rPr>
        <w:t xml:space="preserve">dentified </w:t>
      </w:r>
      <w:r w:rsidRPr="003171CD">
        <w:rPr>
          <w:rFonts w:cs="Arial"/>
          <w:lang w:val="en-US"/>
        </w:rPr>
        <w:t>[and] [were] directly linked to the proce</w:t>
      </w:r>
      <w:r w:rsidR="00EA27A7" w:rsidRPr="003171CD">
        <w:rPr>
          <w:rFonts w:cs="Arial"/>
          <w:lang w:val="en-US"/>
        </w:rPr>
        <w:t>eding.</w:t>
      </w:r>
      <w:r w:rsidRPr="003171CD">
        <w:rPr>
          <w:rFonts w:cs="Arial"/>
          <w:lang w:val="en-US"/>
        </w:rPr>
        <w:t>”</w:t>
      </w:r>
      <w:r w:rsidRPr="003171CD">
        <w:rPr>
          <w:vertAlign w:val="superscript"/>
          <w:lang w:val="en-US"/>
        </w:rPr>
        <w:footnoteReference w:id="112"/>
      </w:r>
    </w:p>
    <w:p w14:paraId="2136876D" w14:textId="77777777" w:rsidR="005A65CE" w:rsidRPr="003171CD" w:rsidRDefault="005A65CE" w:rsidP="005A65CE">
      <w:pPr>
        <w:jc w:val="both"/>
        <w:rPr>
          <w:rFonts w:cs="Arial"/>
          <w:snapToGrid/>
          <w:lang w:val="en-US" w:eastAsia="en-US"/>
        </w:rPr>
      </w:pPr>
    </w:p>
    <w:p w14:paraId="43F631D2"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June 18, 2001, José Agapito Ruano Torres </w:t>
      </w:r>
      <w:r w:rsidR="00550A09" w:rsidRPr="003171CD">
        <w:rPr>
          <w:rFonts w:cs="Arial"/>
          <w:lang w:val="en-US"/>
        </w:rPr>
        <w:t xml:space="preserve">submitted </w:t>
      </w:r>
      <w:r w:rsidRPr="003171CD">
        <w:rPr>
          <w:rFonts w:cs="Arial"/>
          <w:lang w:val="en-US"/>
        </w:rPr>
        <w:t xml:space="preserve">a brief </w:t>
      </w:r>
      <w:r w:rsidR="00550A09" w:rsidRPr="003171CD">
        <w:rPr>
          <w:rFonts w:cs="Arial"/>
          <w:lang w:val="en-US"/>
        </w:rPr>
        <w:t xml:space="preserve">to </w:t>
      </w:r>
      <w:r w:rsidRPr="003171CD">
        <w:rPr>
          <w:rFonts w:cs="Arial"/>
          <w:lang w:val="en-US"/>
        </w:rPr>
        <w:t xml:space="preserve">the Second Trial Court of </w:t>
      </w:r>
      <w:r w:rsidRPr="003171CD">
        <w:rPr>
          <w:lang w:val="en-US"/>
        </w:rPr>
        <w:t xml:space="preserve">San Salvador </w:t>
      </w:r>
      <w:r w:rsidR="00550A09" w:rsidRPr="003171CD">
        <w:rPr>
          <w:lang w:val="en-US"/>
        </w:rPr>
        <w:t xml:space="preserve">requesting </w:t>
      </w:r>
      <w:r w:rsidRPr="003171CD">
        <w:rPr>
          <w:rFonts w:cs="Arial"/>
          <w:lang w:val="en-US"/>
        </w:rPr>
        <w:t xml:space="preserve">a </w:t>
      </w:r>
      <w:r w:rsidR="00550A09" w:rsidRPr="003171CD">
        <w:rPr>
          <w:rFonts w:cs="Arial"/>
          <w:lang w:val="en-US"/>
        </w:rPr>
        <w:t xml:space="preserve">special </w:t>
      </w:r>
      <w:r w:rsidR="008D2748" w:rsidRPr="003171CD">
        <w:rPr>
          <w:rFonts w:cs="Arial"/>
          <w:lang w:val="en-US"/>
        </w:rPr>
        <w:t xml:space="preserve">review </w:t>
      </w:r>
      <w:r w:rsidRPr="003171CD">
        <w:rPr>
          <w:rFonts w:cs="Arial"/>
          <w:lang w:val="en-US"/>
        </w:rPr>
        <w:t xml:space="preserve">hearing and </w:t>
      </w:r>
      <w:r w:rsidR="00550A09" w:rsidRPr="003171CD">
        <w:rPr>
          <w:rFonts w:cs="Arial"/>
          <w:lang w:val="en-US"/>
        </w:rPr>
        <w:t xml:space="preserve">“the annulment of the </w:t>
      </w:r>
      <w:r w:rsidRPr="003171CD">
        <w:rPr>
          <w:rFonts w:cs="Arial"/>
          <w:lang w:val="en-US"/>
        </w:rPr>
        <w:t>identification and localization</w:t>
      </w:r>
      <w:r w:rsidR="008D2748" w:rsidRPr="003171CD">
        <w:rPr>
          <w:rFonts w:cs="Arial"/>
          <w:lang w:val="en-US"/>
        </w:rPr>
        <w:t xml:space="preserve"> procedures</w:t>
      </w:r>
      <w:r w:rsidRPr="003171CD">
        <w:rPr>
          <w:rFonts w:cs="Arial"/>
          <w:lang w:val="en-US"/>
        </w:rPr>
        <w:t>.”</w:t>
      </w:r>
      <w:r w:rsidRPr="003171CD">
        <w:rPr>
          <w:vertAlign w:val="superscript"/>
          <w:lang w:val="en-US"/>
        </w:rPr>
        <w:footnoteReference w:id="113"/>
      </w:r>
      <w:r w:rsidRPr="003171CD">
        <w:rPr>
          <w:rFonts w:cs="Arial"/>
          <w:lang w:val="en-US"/>
        </w:rPr>
        <w:t xml:space="preserve"> </w:t>
      </w:r>
      <w:r w:rsidR="00F30E98" w:rsidRPr="003171CD">
        <w:rPr>
          <w:rFonts w:cs="Arial"/>
          <w:lang w:val="en-US"/>
        </w:rPr>
        <w:t>In that</w:t>
      </w:r>
      <w:r w:rsidR="008D2748" w:rsidRPr="003171CD">
        <w:rPr>
          <w:rFonts w:cs="Arial"/>
          <w:lang w:val="en-US"/>
        </w:rPr>
        <w:t xml:space="preserve"> </w:t>
      </w:r>
      <w:r w:rsidRPr="003171CD">
        <w:rPr>
          <w:rFonts w:cs="Arial"/>
          <w:lang w:val="en-US"/>
        </w:rPr>
        <w:t>re</w:t>
      </w:r>
      <w:r w:rsidR="008D2748" w:rsidRPr="003171CD">
        <w:rPr>
          <w:rFonts w:cs="Arial"/>
          <w:lang w:val="en-US"/>
        </w:rPr>
        <w:t>gard</w:t>
      </w:r>
      <w:r w:rsidRPr="003171CD">
        <w:rPr>
          <w:rFonts w:cs="Arial"/>
          <w:lang w:val="en-US"/>
        </w:rPr>
        <w:t xml:space="preserve">, </w:t>
      </w:r>
      <w:r w:rsidR="00F30E98" w:rsidRPr="003171CD">
        <w:rPr>
          <w:rFonts w:cs="Arial"/>
          <w:lang w:val="en-US"/>
        </w:rPr>
        <w:t xml:space="preserve">Mr. Ruano Torres </w:t>
      </w:r>
      <w:r w:rsidR="008D2748" w:rsidRPr="003171CD">
        <w:rPr>
          <w:rFonts w:cs="Arial"/>
          <w:lang w:val="en-US"/>
        </w:rPr>
        <w:t xml:space="preserve">indicated </w:t>
      </w:r>
      <w:r w:rsidRPr="003171CD">
        <w:rPr>
          <w:rFonts w:cs="Arial"/>
          <w:lang w:val="en-US"/>
        </w:rPr>
        <w:t xml:space="preserve">that the police </w:t>
      </w:r>
      <w:r w:rsidR="00B005AA" w:rsidRPr="003171CD">
        <w:rPr>
          <w:rFonts w:cs="Arial"/>
          <w:lang w:val="en-US"/>
        </w:rPr>
        <w:t xml:space="preserve">officers </w:t>
      </w:r>
      <w:r w:rsidRPr="003171CD">
        <w:rPr>
          <w:rFonts w:cs="Arial"/>
          <w:lang w:val="en-US"/>
        </w:rPr>
        <w:t xml:space="preserve">who identified him as </w:t>
      </w:r>
      <w:r w:rsidR="00A96DF3" w:rsidRPr="003171CD">
        <w:rPr>
          <w:rFonts w:cs="Arial"/>
          <w:i/>
          <w:lang w:val="en-US"/>
        </w:rPr>
        <w:t>Chopo</w:t>
      </w:r>
      <w:r w:rsidR="008D2748" w:rsidRPr="003171CD">
        <w:rPr>
          <w:rFonts w:cs="Arial"/>
          <w:lang w:val="en-US"/>
        </w:rPr>
        <w:t xml:space="preserve"> did so based </w:t>
      </w:r>
      <w:r w:rsidRPr="003171CD">
        <w:rPr>
          <w:rFonts w:cs="Arial"/>
          <w:lang w:val="en-US"/>
        </w:rPr>
        <w:t xml:space="preserve">solely on the information provided by </w:t>
      </w:r>
      <w:r w:rsidR="008D2748" w:rsidRPr="003171CD">
        <w:rPr>
          <w:rFonts w:cs="Arial"/>
          <w:lang w:val="en-US"/>
        </w:rPr>
        <w:t xml:space="preserve">one </w:t>
      </w:r>
      <w:r w:rsidRPr="003171CD">
        <w:rPr>
          <w:rFonts w:cs="Arial"/>
          <w:lang w:val="en-US"/>
        </w:rPr>
        <w:t xml:space="preserve">person. </w:t>
      </w:r>
      <w:r w:rsidR="00F30E98" w:rsidRPr="003171CD">
        <w:rPr>
          <w:rFonts w:cs="Arial"/>
          <w:lang w:val="en-US"/>
        </w:rPr>
        <w:t xml:space="preserve">For that reason, </w:t>
      </w:r>
      <w:r w:rsidR="008D2748" w:rsidRPr="003171CD">
        <w:rPr>
          <w:rFonts w:cs="Arial"/>
          <w:lang w:val="en-US"/>
        </w:rPr>
        <w:t>he requested</w:t>
      </w:r>
      <w:r w:rsidR="00550A09" w:rsidRPr="003171CD">
        <w:rPr>
          <w:rFonts w:cs="Arial"/>
          <w:lang w:val="en-US"/>
        </w:rPr>
        <w:t xml:space="preserve"> that </w:t>
      </w:r>
      <w:r w:rsidRPr="003171CD">
        <w:rPr>
          <w:rFonts w:cs="Arial"/>
          <w:lang w:val="en-US"/>
        </w:rPr>
        <w:t xml:space="preserve">investigators </w:t>
      </w:r>
      <w:r w:rsidR="00550A09" w:rsidRPr="003171CD">
        <w:rPr>
          <w:rFonts w:cs="Arial"/>
          <w:lang w:val="en-US"/>
        </w:rPr>
        <w:t xml:space="preserve">be sent </w:t>
      </w:r>
      <w:r w:rsidRPr="003171CD">
        <w:rPr>
          <w:rFonts w:cs="Arial"/>
          <w:lang w:val="en-US"/>
        </w:rPr>
        <w:t xml:space="preserve">to </w:t>
      </w:r>
      <w:r w:rsidR="00550A09" w:rsidRPr="003171CD">
        <w:rPr>
          <w:rFonts w:cs="Arial"/>
          <w:lang w:val="en-US"/>
        </w:rPr>
        <w:t xml:space="preserve">the area where he lived </w:t>
      </w:r>
      <w:r w:rsidR="00F30E98" w:rsidRPr="003171CD">
        <w:rPr>
          <w:rFonts w:cs="Arial"/>
          <w:lang w:val="en-US"/>
        </w:rPr>
        <w:t xml:space="preserve">in order </w:t>
      </w:r>
      <w:r w:rsidR="00550A09" w:rsidRPr="003171CD">
        <w:rPr>
          <w:rFonts w:cs="Arial"/>
          <w:lang w:val="en-US"/>
        </w:rPr>
        <w:t xml:space="preserve">to </w:t>
      </w:r>
      <w:r w:rsidRPr="003171CD">
        <w:rPr>
          <w:rFonts w:cs="Arial"/>
          <w:lang w:val="en-US"/>
        </w:rPr>
        <w:t xml:space="preserve">verify that </w:t>
      </w:r>
      <w:r w:rsidR="00D92FD7" w:rsidRPr="003171CD">
        <w:rPr>
          <w:rFonts w:cs="Arial"/>
          <w:lang w:val="en-US"/>
        </w:rPr>
        <w:t>the nickname</w:t>
      </w:r>
      <w:r w:rsidR="00550A09" w:rsidRPr="003171CD">
        <w:rPr>
          <w:rFonts w:cs="Arial"/>
          <w:lang w:val="en-US"/>
        </w:rPr>
        <w:t xml:space="preserve"> </w:t>
      </w:r>
      <w:r w:rsidR="00A96DF3" w:rsidRPr="003171CD">
        <w:rPr>
          <w:rFonts w:cs="Arial"/>
          <w:i/>
          <w:lang w:val="en-US"/>
        </w:rPr>
        <w:t>Chopo</w:t>
      </w:r>
      <w:r w:rsidR="00D92FD7" w:rsidRPr="003171CD">
        <w:rPr>
          <w:rFonts w:cs="Arial"/>
          <w:lang w:val="en-US"/>
        </w:rPr>
        <w:t xml:space="preserve"> did not apply to him and </w:t>
      </w:r>
      <w:r w:rsidRPr="003171CD">
        <w:rPr>
          <w:rFonts w:cs="Arial"/>
          <w:lang w:val="en-US"/>
        </w:rPr>
        <w:t xml:space="preserve">that they could even </w:t>
      </w:r>
      <w:r w:rsidR="00D92FD7" w:rsidRPr="003171CD">
        <w:rPr>
          <w:rFonts w:cs="Arial"/>
          <w:lang w:val="en-US"/>
        </w:rPr>
        <w:t xml:space="preserve">confirm this point with </w:t>
      </w:r>
      <w:r w:rsidRPr="003171CD">
        <w:rPr>
          <w:rFonts w:cs="Arial"/>
          <w:lang w:val="en-US"/>
        </w:rPr>
        <w:t xml:space="preserve">the </w:t>
      </w:r>
      <w:r w:rsidR="00F30E98" w:rsidRPr="003171CD">
        <w:rPr>
          <w:rFonts w:cs="Arial"/>
          <w:lang w:val="en-US"/>
        </w:rPr>
        <w:t xml:space="preserve">local </w:t>
      </w:r>
      <w:r w:rsidRPr="003171CD">
        <w:rPr>
          <w:rFonts w:cs="Arial"/>
          <w:lang w:val="en-US"/>
        </w:rPr>
        <w:t xml:space="preserve">Mayor. </w:t>
      </w:r>
      <w:r w:rsidR="00D92FD7" w:rsidRPr="003171CD">
        <w:rPr>
          <w:rFonts w:cs="Arial"/>
          <w:lang w:val="en-US"/>
        </w:rPr>
        <w:t xml:space="preserve">Mr. Ruano Torres </w:t>
      </w:r>
      <w:r w:rsidR="00F30E98" w:rsidRPr="003171CD">
        <w:rPr>
          <w:rFonts w:cs="Arial"/>
          <w:lang w:val="en-US"/>
        </w:rPr>
        <w:t xml:space="preserve">also </w:t>
      </w:r>
      <w:r w:rsidR="00550A09" w:rsidRPr="003171CD">
        <w:rPr>
          <w:rFonts w:cs="Arial"/>
          <w:lang w:val="en-US"/>
        </w:rPr>
        <w:t xml:space="preserve">stated that there were </w:t>
      </w:r>
      <w:r w:rsidRPr="003171CD">
        <w:rPr>
          <w:rFonts w:cs="Arial"/>
          <w:lang w:val="en-US"/>
        </w:rPr>
        <w:t xml:space="preserve">documents </w:t>
      </w:r>
      <w:r w:rsidR="00D92FD7" w:rsidRPr="003171CD">
        <w:rPr>
          <w:rFonts w:cs="Arial"/>
          <w:lang w:val="en-US"/>
        </w:rPr>
        <w:t xml:space="preserve">available to </w:t>
      </w:r>
      <w:r w:rsidRPr="003171CD">
        <w:rPr>
          <w:rFonts w:cs="Arial"/>
          <w:lang w:val="en-US"/>
        </w:rPr>
        <w:t xml:space="preserve">prove that he was working at a school when the kidnapping </w:t>
      </w:r>
      <w:r w:rsidR="00D92FD7" w:rsidRPr="003171CD">
        <w:rPr>
          <w:rFonts w:cs="Arial"/>
          <w:lang w:val="en-US"/>
        </w:rPr>
        <w:t>took place</w:t>
      </w:r>
      <w:r w:rsidRPr="003171CD">
        <w:rPr>
          <w:rFonts w:cs="Arial"/>
          <w:lang w:val="en-US"/>
        </w:rPr>
        <w:t xml:space="preserve">. </w:t>
      </w:r>
      <w:r w:rsidR="00550A09" w:rsidRPr="003171CD">
        <w:rPr>
          <w:rFonts w:cs="Arial"/>
          <w:lang w:val="en-US"/>
        </w:rPr>
        <w:t>T</w:t>
      </w:r>
      <w:r w:rsidRPr="003171CD">
        <w:rPr>
          <w:rFonts w:cs="Arial"/>
          <w:lang w:val="en-US"/>
        </w:rPr>
        <w:t>h</w:t>
      </w:r>
      <w:r w:rsidR="00D92FD7" w:rsidRPr="003171CD">
        <w:rPr>
          <w:rFonts w:cs="Arial"/>
          <w:lang w:val="en-US"/>
        </w:rPr>
        <w:t>os</w:t>
      </w:r>
      <w:r w:rsidRPr="003171CD">
        <w:rPr>
          <w:rFonts w:cs="Arial"/>
          <w:lang w:val="en-US"/>
        </w:rPr>
        <w:t xml:space="preserve">e </w:t>
      </w:r>
      <w:r w:rsidR="00D92FD7" w:rsidRPr="003171CD">
        <w:rPr>
          <w:rFonts w:cs="Arial"/>
          <w:lang w:val="en-US"/>
        </w:rPr>
        <w:t xml:space="preserve">requests were rejected by the </w:t>
      </w:r>
      <w:r w:rsidRPr="003171CD">
        <w:rPr>
          <w:rFonts w:cs="Arial"/>
          <w:lang w:val="en-US"/>
        </w:rPr>
        <w:t xml:space="preserve">Second Trial Court of San Salvador </w:t>
      </w:r>
      <w:r w:rsidR="00D92FD7" w:rsidRPr="003171CD">
        <w:rPr>
          <w:rFonts w:cs="Arial"/>
          <w:lang w:val="en-US"/>
        </w:rPr>
        <w:t xml:space="preserve">on the grounds that the investigative phase </w:t>
      </w:r>
      <w:r w:rsidR="00664DD4" w:rsidRPr="003171CD">
        <w:rPr>
          <w:rFonts w:cs="Arial"/>
          <w:lang w:val="en-US"/>
        </w:rPr>
        <w:t>had con</w:t>
      </w:r>
      <w:r w:rsidRPr="003171CD">
        <w:rPr>
          <w:rFonts w:cs="Arial"/>
          <w:lang w:val="en-US"/>
        </w:rPr>
        <w:t>clu</w:t>
      </w:r>
      <w:r w:rsidR="00550A09" w:rsidRPr="003171CD">
        <w:rPr>
          <w:rFonts w:cs="Arial"/>
          <w:lang w:val="en-US"/>
        </w:rPr>
        <w:t xml:space="preserve">ded </w:t>
      </w:r>
      <w:r w:rsidR="00664DD4" w:rsidRPr="003171CD">
        <w:rPr>
          <w:rFonts w:cs="Arial"/>
          <w:lang w:val="en-US"/>
        </w:rPr>
        <w:t>and that</w:t>
      </w:r>
      <w:r w:rsidR="00D92FD7" w:rsidRPr="003171CD">
        <w:rPr>
          <w:rFonts w:cs="Arial"/>
          <w:lang w:val="en-US"/>
        </w:rPr>
        <w:t xml:space="preserve"> his defense should have submitted those requests at the appropriate time</w:t>
      </w:r>
      <w:r w:rsidRPr="003171CD">
        <w:rPr>
          <w:rFonts w:cs="Arial"/>
          <w:lang w:val="en-US"/>
        </w:rPr>
        <w:t>.</w:t>
      </w:r>
      <w:r w:rsidRPr="003171CD">
        <w:rPr>
          <w:vertAlign w:val="superscript"/>
          <w:lang w:val="en-US"/>
        </w:rPr>
        <w:footnoteReference w:id="114"/>
      </w:r>
      <w:r w:rsidRPr="003171CD">
        <w:rPr>
          <w:rFonts w:cs="Arial"/>
          <w:lang w:val="en-US"/>
        </w:rPr>
        <w:t xml:space="preserve"> </w:t>
      </w:r>
      <w:r w:rsidR="00B729AA" w:rsidRPr="003171CD">
        <w:rPr>
          <w:rFonts w:cs="Arial"/>
          <w:lang w:val="en-US"/>
        </w:rPr>
        <w:t xml:space="preserve">The court </w:t>
      </w:r>
      <w:r w:rsidR="00664DD4" w:rsidRPr="003171CD">
        <w:rPr>
          <w:rFonts w:cs="Arial"/>
          <w:lang w:val="en-US"/>
        </w:rPr>
        <w:t xml:space="preserve">also decided not to </w:t>
      </w:r>
      <w:r w:rsidR="00D80556" w:rsidRPr="003171CD">
        <w:rPr>
          <w:rFonts w:cs="Arial"/>
          <w:lang w:val="en-US"/>
        </w:rPr>
        <w:t xml:space="preserve">grant the annulment as </w:t>
      </w:r>
      <w:r w:rsidRPr="003171CD">
        <w:rPr>
          <w:rFonts w:cs="Arial"/>
          <w:lang w:val="en-US"/>
        </w:rPr>
        <w:t>requested</w:t>
      </w:r>
      <w:r w:rsidR="00D80556" w:rsidRPr="003171CD">
        <w:rPr>
          <w:rFonts w:cs="Arial"/>
          <w:lang w:val="en-US"/>
        </w:rPr>
        <w:t>.</w:t>
      </w:r>
      <w:r w:rsidRPr="003171CD">
        <w:rPr>
          <w:vertAlign w:val="superscript"/>
          <w:lang w:val="en-US"/>
        </w:rPr>
        <w:footnoteReference w:id="115"/>
      </w:r>
    </w:p>
    <w:p w14:paraId="56E21B3B" w14:textId="77777777" w:rsidR="005A65CE" w:rsidRPr="003171CD" w:rsidRDefault="005A65CE" w:rsidP="005A65CE">
      <w:pPr>
        <w:jc w:val="both"/>
        <w:rPr>
          <w:snapToGrid/>
          <w:lang w:val="en-US" w:eastAsia="en-US"/>
        </w:rPr>
      </w:pPr>
    </w:p>
    <w:p w14:paraId="3B3B8D63"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lang w:val="en-US"/>
        </w:rPr>
        <w:t>On September 6, 2001, Mr. Ruano Torres submitted another brief to the Second Trial Court of San Salvador</w:t>
      </w:r>
      <w:r w:rsidR="00D92FD7" w:rsidRPr="003171CD">
        <w:rPr>
          <w:lang w:val="en-US"/>
        </w:rPr>
        <w:t>,</w:t>
      </w:r>
      <w:r w:rsidRPr="003171CD">
        <w:rPr>
          <w:vertAlign w:val="superscript"/>
          <w:lang w:val="en-US"/>
        </w:rPr>
        <w:footnoteReference w:id="116"/>
      </w:r>
      <w:r w:rsidRPr="003171CD">
        <w:rPr>
          <w:lang w:val="en-US"/>
        </w:rPr>
        <w:t xml:space="preserve"> alleging that his public defen</w:t>
      </w:r>
      <w:r w:rsidR="00D92FD7" w:rsidRPr="003171CD">
        <w:rPr>
          <w:lang w:val="en-US"/>
        </w:rPr>
        <w:t xml:space="preserve">ders </w:t>
      </w:r>
      <w:r w:rsidRPr="003171CD">
        <w:rPr>
          <w:lang w:val="en-US"/>
        </w:rPr>
        <w:t xml:space="preserve">had acted to his detriment at every stage of the </w:t>
      </w:r>
      <w:r w:rsidRPr="003171CD">
        <w:rPr>
          <w:lang w:val="en-US"/>
        </w:rPr>
        <w:lastRenderedPageBreak/>
        <w:t>proceedings</w:t>
      </w:r>
      <w:r w:rsidR="00CF268F" w:rsidRPr="003171CD">
        <w:rPr>
          <w:lang w:val="en-US"/>
        </w:rPr>
        <w:t xml:space="preserve"> in which they had taken part</w:t>
      </w:r>
      <w:r w:rsidRPr="003171CD">
        <w:rPr>
          <w:lang w:val="en-US"/>
        </w:rPr>
        <w:t>.</w:t>
      </w:r>
      <w:r w:rsidRPr="003171CD">
        <w:rPr>
          <w:vertAlign w:val="superscript"/>
          <w:lang w:val="en-US"/>
        </w:rPr>
        <w:footnoteReference w:id="117"/>
      </w:r>
      <w:r w:rsidRPr="003171CD">
        <w:rPr>
          <w:lang w:val="en-US"/>
        </w:rPr>
        <w:t xml:space="preserve"> He also requested that Pedro Torres Hércules</w:t>
      </w:r>
      <w:r w:rsidR="00067307" w:rsidRPr="003171CD">
        <w:rPr>
          <w:lang w:val="en-US"/>
        </w:rPr>
        <w:t xml:space="preserve">, who </w:t>
      </w:r>
      <w:r w:rsidRPr="003171CD">
        <w:rPr>
          <w:lang w:val="en-US"/>
        </w:rPr>
        <w:t xml:space="preserve">had witnessed the irregularities </w:t>
      </w:r>
      <w:r w:rsidR="00067307" w:rsidRPr="003171CD">
        <w:rPr>
          <w:lang w:val="en-US"/>
        </w:rPr>
        <w:t xml:space="preserve">committed </w:t>
      </w:r>
      <w:r w:rsidRPr="003171CD">
        <w:rPr>
          <w:lang w:val="en-US"/>
        </w:rPr>
        <w:t>during the identi</w:t>
      </w:r>
      <w:r w:rsidR="00067307" w:rsidRPr="003171CD">
        <w:rPr>
          <w:lang w:val="en-US"/>
        </w:rPr>
        <w:t xml:space="preserve">ty </w:t>
      </w:r>
      <w:r w:rsidRPr="003171CD">
        <w:rPr>
          <w:lang w:val="en-US"/>
        </w:rPr>
        <w:t xml:space="preserve">parade </w:t>
      </w:r>
      <w:r w:rsidRPr="003171CD">
        <w:rPr>
          <w:rFonts w:cs="Arial"/>
          <w:lang w:val="en-US"/>
        </w:rPr>
        <w:t xml:space="preserve">and </w:t>
      </w:r>
      <w:r w:rsidR="00D92FD7" w:rsidRPr="003171CD">
        <w:rPr>
          <w:rFonts w:cs="Arial"/>
          <w:lang w:val="en-US"/>
        </w:rPr>
        <w:t xml:space="preserve">had the necessary </w:t>
      </w:r>
      <w:r w:rsidRPr="003171CD">
        <w:rPr>
          <w:rFonts w:cs="Arial"/>
          <w:lang w:val="en-US"/>
        </w:rPr>
        <w:t xml:space="preserve">information to prove that he was not </w:t>
      </w:r>
      <w:r w:rsidR="00A96DF3" w:rsidRPr="003171CD">
        <w:rPr>
          <w:rFonts w:cs="Arial"/>
          <w:i/>
          <w:lang w:val="en-US"/>
        </w:rPr>
        <w:t>Chopo</w:t>
      </w:r>
      <w:r w:rsidR="00067307" w:rsidRPr="003171CD">
        <w:rPr>
          <w:rFonts w:cs="Arial"/>
          <w:lang w:val="en-US"/>
        </w:rPr>
        <w:t xml:space="preserve">, </w:t>
      </w:r>
      <w:r w:rsidR="00067307" w:rsidRPr="003171CD">
        <w:rPr>
          <w:lang w:val="en-US"/>
        </w:rPr>
        <w:t>be summoned to testify in his favor.</w:t>
      </w:r>
      <w:r w:rsidRPr="003171CD">
        <w:rPr>
          <w:rFonts w:cs="Arial"/>
          <w:lang w:val="en-US"/>
        </w:rPr>
        <w:t xml:space="preserve"> On September 17, 2001, the Second Trial Court of San Salvador decided that</w:t>
      </w:r>
      <w:r w:rsidR="00067307" w:rsidRPr="003171CD">
        <w:rPr>
          <w:rFonts w:cs="Arial"/>
          <w:lang w:val="en-US"/>
        </w:rPr>
        <w:t xml:space="preserve"> as</w:t>
      </w:r>
      <w:r w:rsidR="00D92FD7" w:rsidRPr="003171CD">
        <w:rPr>
          <w:rFonts w:cs="Arial"/>
          <w:lang w:val="en-US"/>
        </w:rPr>
        <w:t xml:space="preserve"> to</w:t>
      </w:r>
      <w:r w:rsidRPr="003171CD">
        <w:rPr>
          <w:rFonts w:cs="Arial"/>
          <w:lang w:val="en-US"/>
        </w:rPr>
        <w:t xml:space="preserve"> “the witness testimony offered </w:t>
      </w:r>
      <w:r w:rsidRPr="003171CD">
        <w:rPr>
          <w:lang w:val="en-US"/>
        </w:rPr>
        <w:t>[…]</w:t>
      </w:r>
      <w:r w:rsidRPr="003171CD">
        <w:rPr>
          <w:rFonts w:cs="Arial"/>
          <w:lang w:val="en-US"/>
        </w:rPr>
        <w:t xml:space="preserve"> this Court considers that a decision on the admissibility of said evidence will be made at the appropriate time in the proceedings.”</w:t>
      </w:r>
      <w:r w:rsidRPr="003171CD">
        <w:rPr>
          <w:vertAlign w:val="superscript"/>
          <w:lang w:val="en-US"/>
        </w:rPr>
        <w:footnoteReference w:id="118"/>
      </w:r>
      <w:r w:rsidRPr="003171CD">
        <w:rPr>
          <w:rFonts w:cs="Arial"/>
          <w:lang w:val="en-US"/>
        </w:rPr>
        <w:t xml:space="preserve"> There is no evidence in the case file of the Second</w:t>
      </w:r>
      <w:r w:rsidR="00664DD4" w:rsidRPr="003171CD">
        <w:rPr>
          <w:rFonts w:cs="Arial"/>
          <w:lang w:val="en-US"/>
        </w:rPr>
        <w:t xml:space="preserve"> Trial Court making any subseque</w:t>
      </w:r>
      <w:r w:rsidRPr="003171CD">
        <w:rPr>
          <w:rFonts w:cs="Arial"/>
          <w:lang w:val="en-US"/>
        </w:rPr>
        <w:t>nt reference to those requests.</w:t>
      </w:r>
    </w:p>
    <w:p w14:paraId="76ABD877" w14:textId="77777777" w:rsidR="005A65CE" w:rsidRPr="003171CD" w:rsidRDefault="005A65CE" w:rsidP="005A65CE">
      <w:pPr>
        <w:pStyle w:val="Prrafodelista"/>
        <w:tabs>
          <w:tab w:val="left" w:pos="720"/>
        </w:tabs>
        <w:ind w:left="0" w:right="-90"/>
        <w:jc w:val="both"/>
        <w:rPr>
          <w:rFonts w:cs="Arial"/>
          <w:lang w:val="en-US"/>
        </w:rPr>
      </w:pPr>
    </w:p>
    <w:p w14:paraId="399C54B4"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lang w:val="en-US"/>
        </w:rPr>
        <w:t xml:space="preserve">On </w:t>
      </w:r>
      <w:r w:rsidRPr="003171CD">
        <w:rPr>
          <w:rFonts w:cs="Arial"/>
          <w:lang w:val="en-US"/>
        </w:rPr>
        <w:t xml:space="preserve">September 24, 2001, Pedro Torres Hércules submitted a brief to the Second Trial Court of San Salvador, in which the Mayor of Guazapa </w:t>
      </w:r>
      <w:r w:rsidR="000E6BE8" w:rsidRPr="003171CD">
        <w:rPr>
          <w:rFonts w:cs="Arial"/>
          <w:lang w:val="en-US"/>
        </w:rPr>
        <w:t xml:space="preserve">attested to </w:t>
      </w:r>
      <w:r w:rsidRPr="003171CD">
        <w:rPr>
          <w:rFonts w:cs="Arial"/>
          <w:lang w:val="en-US"/>
        </w:rPr>
        <w:t xml:space="preserve">José Agapito Ruano Torres’ honesty and pointed out that the nickname </w:t>
      </w:r>
      <w:r w:rsidR="00A96DF3" w:rsidRPr="003171CD">
        <w:rPr>
          <w:rFonts w:cs="Arial"/>
          <w:i/>
          <w:lang w:val="en-US"/>
        </w:rPr>
        <w:t>Chopo</w:t>
      </w:r>
      <w:r w:rsidRPr="003171CD">
        <w:rPr>
          <w:rFonts w:cs="Arial"/>
          <w:lang w:val="en-US"/>
        </w:rPr>
        <w:t xml:space="preserve"> belonged to his brot</w:t>
      </w:r>
      <w:r w:rsidR="00F03CAF" w:rsidRPr="003171CD">
        <w:rPr>
          <w:rFonts w:cs="Arial"/>
          <w:lang w:val="en-US"/>
        </w:rPr>
        <w:t>her “Rodolfo Ruano Torres, who [wa</w:t>
      </w:r>
      <w:r w:rsidRPr="003171CD">
        <w:rPr>
          <w:rFonts w:cs="Arial"/>
          <w:lang w:val="en-US"/>
        </w:rPr>
        <w:t>s</w:t>
      </w:r>
      <w:r w:rsidR="00F03CAF" w:rsidRPr="003171CD">
        <w:rPr>
          <w:rFonts w:cs="Arial"/>
          <w:lang w:val="en-US"/>
        </w:rPr>
        <w:t>]</w:t>
      </w:r>
      <w:r w:rsidRPr="003171CD">
        <w:rPr>
          <w:rFonts w:cs="Arial"/>
          <w:lang w:val="en-US"/>
        </w:rPr>
        <w:t xml:space="preserve"> the person wanted by the [National Civil Police] and, due to a confusion, the young man [José] Agapito was detained.”</w:t>
      </w:r>
      <w:r w:rsidRPr="003171CD">
        <w:rPr>
          <w:vertAlign w:val="superscript"/>
          <w:lang w:val="en-US"/>
        </w:rPr>
        <w:footnoteReference w:id="119"/>
      </w:r>
      <w:r w:rsidRPr="003171CD">
        <w:rPr>
          <w:rFonts w:cs="Arial"/>
          <w:lang w:val="en-US"/>
        </w:rPr>
        <w:t xml:space="preserve"> The Second Trial Court of San Salvador did not rule in that regard and merely </w:t>
      </w:r>
      <w:r w:rsidR="00F03CAF" w:rsidRPr="003171CD">
        <w:rPr>
          <w:rFonts w:cs="Arial"/>
          <w:lang w:val="en-US"/>
        </w:rPr>
        <w:t xml:space="preserve">stated, </w:t>
      </w:r>
      <w:r w:rsidR="00067307" w:rsidRPr="003171CD">
        <w:rPr>
          <w:rFonts w:cs="Arial"/>
          <w:lang w:val="en-US"/>
        </w:rPr>
        <w:t>“add that</w:t>
      </w:r>
      <w:r w:rsidRPr="003171CD">
        <w:rPr>
          <w:rFonts w:cs="Arial"/>
          <w:lang w:val="en-US"/>
        </w:rPr>
        <w:t xml:space="preserve"> information to his record.”</w:t>
      </w:r>
      <w:r w:rsidRPr="003171CD">
        <w:rPr>
          <w:vertAlign w:val="superscript"/>
          <w:lang w:val="en-US"/>
        </w:rPr>
        <w:footnoteReference w:id="120"/>
      </w:r>
    </w:p>
    <w:p w14:paraId="3D6A4074" w14:textId="77777777" w:rsidR="005A65CE" w:rsidRPr="003171CD" w:rsidRDefault="005A65CE" w:rsidP="005A65CE">
      <w:pPr>
        <w:jc w:val="both"/>
        <w:rPr>
          <w:rFonts w:cs="Arial"/>
          <w:snapToGrid/>
          <w:lang w:val="en-US" w:eastAsia="en-US"/>
        </w:rPr>
      </w:pPr>
    </w:p>
    <w:p w14:paraId="30376B6C"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September 27, 2001, Roberto Ruano Torres, brother of José Agapito, and two other persons appearing as witnesses, submitted a brief to the Second Trial Court of San Salvador stating that the person known as </w:t>
      </w:r>
      <w:r w:rsidR="00A96DF3" w:rsidRPr="003171CD">
        <w:rPr>
          <w:rFonts w:cs="Arial"/>
          <w:i/>
          <w:lang w:val="en-US"/>
        </w:rPr>
        <w:t>Chopo</w:t>
      </w:r>
      <w:r w:rsidRPr="003171CD">
        <w:rPr>
          <w:rFonts w:cs="Arial"/>
          <w:lang w:val="en-US"/>
        </w:rPr>
        <w:t xml:space="preserve"> was Rodolfo Ruano Torres and not José Agapito</w:t>
      </w:r>
      <w:r w:rsidR="00067307" w:rsidRPr="003171CD">
        <w:rPr>
          <w:rFonts w:cs="Arial"/>
          <w:lang w:val="en-US"/>
        </w:rPr>
        <w:t xml:space="preserve"> Ruano Torres</w:t>
      </w:r>
      <w:r w:rsidRPr="003171CD">
        <w:rPr>
          <w:rFonts w:cs="Arial"/>
          <w:lang w:val="en-US"/>
        </w:rPr>
        <w:t>.</w:t>
      </w:r>
      <w:r w:rsidRPr="003171CD">
        <w:rPr>
          <w:vertAlign w:val="superscript"/>
          <w:lang w:val="en-US"/>
        </w:rPr>
        <w:footnoteReference w:id="121"/>
      </w:r>
      <w:r w:rsidRPr="003171CD">
        <w:rPr>
          <w:rFonts w:cs="Arial"/>
          <w:lang w:val="en-US"/>
        </w:rPr>
        <w:t xml:space="preserve"> Ther</w:t>
      </w:r>
      <w:r w:rsidR="00664DD4" w:rsidRPr="003171CD">
        <w:rPr>
          <w:rFonts w:cs="Arial"/>
          <w:lang w:val="en-US"/>
        </w:rPr>
        <w:t>e</w:t>
      </w:r>
      <w:r w:rsidRPr="003171CD">
        <w:rPr>
          <w:rFonts w:cs="Arial"/>
          <w:lang w:val="en-US"/>
        </w:rPr>
        <w:t>for</w:t>
      </w:r>
      <w:r w:rsidR="00664DD4" w:rsidRPr="003171CD">
        <w:rPr>
          <w:rFonts w:cs="Arial"/>
          <w:lang w:val="en-US"/>
        </w:rPr>
        <w:t xml:space="preserve">e, they </w:t>
      </w:r>
      <w:r w:rsidR="00067307" w:rsidRPr="003171CD">
        <w:rPr>
          <w:rFonts w:cs="Arial"/>
          <w:lang w:val="en-US"/>
        </w:rPr>
        <w:t>pointed out</w:t>
      </w:r>
      <w:r w:rsidR="00664DD4" w:rsidRPr="003171CD">
        <w:rPr>
          <w:rFonts w:cs="Arial"/>
          <w:lang w:val="en-US"/>
        </w:rPr>
        <w:t>, “if what the case</w:t>
      </w:r>
      <w:r w:rsidRPr="003171CD">
        <w:rPr>
          <w:rFonts w:cs="Arial"/>
          <w:lang w:val="en-US"/>
        </w:rPr>
        <w:t xml:space="preserve"> says is true, the person who should know something </w:t>
      </w:r>
      <w:r w:rsidR="00664DD4" w:rsidRPr="003171CD">
        <w:rPr>
          <w:rFonts w:cs="Arial"/>
          <w:lang w:val="en-US"/>
        </w:rPr>
        <w:t xml:space="preserve">would be </w:t>
      </w:r>
      <w:r w:rsidRPr="003171CD">
        <w:rPr>
          <w:rFonts w:cs="Arial"/>
          <w:lang w:val="en-US"/>
        </w:rPr>
        <w:t xml:space="preserve">the brother who is </w:t>
      </w:r>
      <w:r w:rsidR="00664DD4" w:rsidRPr="003171CD">
        <w:rPr>
          <w:rFonts w:cs="Arial"/>
          <w:lang w:val="en-US"/>
        </w:rPr>
        <w:t xml:space="preserve">the one who </w:t>
      </w:r>
      <w:r w:rsidR="00F03CAF" w:rsidRPr="003171CD">
        <w:rPr>
          <w:rFonts w:cs="Arial"/>
          <w:lang w:val="en-US"/>
        </w:rPr>
        <w:t xml:space="preserve">goes by </w:t>
      </w:r>
      <w:r w:rsidRPr="003171CD">
        <w:rPr>
          <w:rFonts w:cs="Arial"/>
          <w:lang w:val="en-US"/>
        </w:rPr>
        <w:t>that ALIAS.”</w:t>
      </w:r>
      <w:r w:rsidRPr="003171CD">
        <w:rPr>
          <w:vertAlign w:val="superscript"/>
          <w:lang w:val="en-US"/>
        </w:rPr>
        <w:footnoteReference w:id="122"/>
      </w:r>
    </w:p>
    <w:p w14:paraId="5920DA6F" w14:textId="77777777" w:rsidR="005A65CE" w:rsidRPr="003171CD" w:rsidRDefault="005A65CE" w:rsidP="005A65CE">
      <w:pPr>
        <w:rPr>
          <w:rFonts w:cs="Arial"/>
          <w:lang w:val="en-US"/>
        </w:rPr>
      </w:pPr>
    </w:p>
    <w:p w14:paraId="5C68CA1C"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that same date, José Agapito Ruano Torres </w:t>
      </w:r>
      <w:r w:rsidR="00067307" w:rsidRPr="003171CD">
        <w:rPr>
          <w:rFonts w:cs="Arial"/>
          <w:lang w:val="en-US"/>
        </w:rPr>
        <w:t xml:space="preserve">hired </w:t>
      </w:r>
      <w:r w:rsidR="00664DD4" w:rsidRPr="003171CD">
        <w:rPr>
          <w:rFonts w:cs="Arial"/>
          <w:lang w:val="en-US"/>
        </w:rPr>
        <w:t xml:space="preserve">a private </w:t>
      </w:r>
      <w:r w:rsidR="00F03CAF" w:rsidRPr="003171CD">
        <w:rPr>
          <w:rFonts w:cs="Arial"/>
          <w:lang w:val="en-US"/>
        </w:rPr>
        <w:t>attorney</w:t>
      </w:r>
      <w:r w:rsidRPr="003171CD">
        <w:rPr>
          <w:rFonts w:cs="Arial"/>
          <w:lang w:val="en-US"/>
        </w:rPr>
        <w:t>, wh</w:t>
      </w:r>
      <w:r w:rsidR="00664DD4" w:rsidRPr="003171CD">
        <w:rPr>
          <w:rFonts w:cs="Arial"/>
          <w:lang w:val="en-US"/>
        </w:rPr>
        <w:t xml:space="preserve">o </w:t>
      </w:r>
      <w:r w:rsidRPr="003171CD">
        <w:rPr>
          <w:rFonts w:cs="Arial"/>
          <w:lang w:val="en-US"/>
        </w:rPr>
        <w:t xml:space="preserve">requested the suspension of the public hearing “in order to better study the case” </w:t>
      </w:r>
      <w:r w:rsidR="0029089E" w:rsidRPr="003171CD">
        <w:rPr>
          <w:rFonts w:cs="Arial"/>
          <w:lang w:val="en-US"/>
        </w:rPr>
        <w:t xml:space="preserve">and </w:t>
      </w:r>
      <w:r w:rsidRPr="003171CD">
        <w:rPr>
          <w:rFonts w:cs="Arial"/>
          <w:lang w:val="en-US"/>
        </w:rPr>
        <w:t>exercise the right of defense.</w:t>
      </w:r>
      <w:r w:rsidRPr="003171CD">
        <w:rPr>
          <w:rStyle w:val="Refdenotaalpie"/>
          <w:rFonts w:cs="Arial"/>
          <w:lang w:val="en-US"/>
        </w:rPr>
        <w:footnoteReference w:id="123"/>
      </w:r>
      <w:r w:rsidR="00CB0602" w:rsidRPr="003171CD">
        <w:rPr>
          <w:rFonts w:cs="Arial"/>
          <w:lang w:val="en-US"/>
        </w:rPr>
        <w:t xml:space="preserve"> T</w:t>
      </w:r>
      <w:r w:rsidRPr="003171CD">
        <w:rPr>
          <w:rFonts w:cs="Arial"/>
          <w:lang w:val="en-US"/>
        </w:rPr>
        <w:t xml:space="preserve">he </w:t>
      </w:r>
      <w:r w:rsidR="00B005AA" w:rsidRPr="003171CD">
        <w:rPr>
          <w:rFonts w:cs="Arial"/>
          <w:lang w:val="en-US"/>
        </w:rPr>
        <w:t xml:space="preserve">case </w:t>
      </w:r>
      <w:r w:rsidRPr="003171CD">
        <w:rPr>
          <w:rFonts w:cs="Arial"/>
          <w:lang w:val="en-US"/>
        </w:rPr>
        <w:t xml:space="preserve">file </w:t>
      </w:r>
      <w:r w:rsidR="00CB0602" w:rsidRPr="003171CD">
        <w:rPr>
          <w:rFonts w:cs="Arial"/>
          <w:lang w:val="en-US"/>
        </w:rPr>
        <w:t xml:space="preserve">contains no record of the decision of </w:t>
      </w:r>
      <w:r w:rsidRPr="003171CD">
        <w:rPr>
          <w:rFonts w:cs="Arial"/>
          <w:lang w:val="en-US"/>
        </w:rPr>
        <w:t xml:space="preserve">the Second Trial Court of San Salvador regarding the </w:t>
      </w:r>
      <w:r w:rsidR="00F03CAF" w:rsidRPr="003171CD">
        <w:rPr>
          <w:rFonts w:cs="Arial"/>
          <w:lang w:val="en-US"/>
        </w:rPr>
        <w:t xml:space="preserve">private attorney’s </w:t>
      </w:r>
      <w:r w:rsidRPr="003171CD">
        <w:rPr>
          <w:rFonts w:cs="Arial"/>
          <w:lang w:val="en-US"/>
        </w:rPr>
        <w:t>request. Nevertheless, the public hearing took place on the planned date and Mr. Ruano Torres</w:t>
      </w:r>
      <w:r w:rsidR="001F2DDD" w:rsidRPr="003171CD">
        <w:rPr>
          <w:rFonts w:cs="Arial"/>
          <w:lang w:val="en-US"/>
        </w:rPr>
        <w:t xml:space="preserve"> was represented by the public defenders</w:t>
      </w:r>
      <w:r w:rsidR="007372C0" w:rsidRPr="003171CD">
        <w:rPr>
          <w:rFonts w:cs="Arial"/>
          <w:lang w:val="en-US"/>
        </w:rPr>
        <w:t>.</w:t>
      </w:r>
      <w:r w:rsidRPr="003171CD">
        <w:rPr>
          <w:rStyle w:val="Refdenotaalpie"/>
          <w:rFonts w:cs="Arial"/>
          <w:lang w:val="en-US"/>
        </w:rPr>
        <w:footnoteReference w:id="124"/>
      </w:r>
      <w:r w:rsidRPr="003171CD">
        <w:rPr>
          <w:rFonts w:cs="Arial"/>
          <w:lang w:val="en-US"/>
        </w:rPr>
        <w:t xml:space="preserve"> </w:t>
      </w:r>
    </w:p>
    <w:p w14:paraId="3B1E82B1" w14:textId="77777777" w:rsidR="005A65CE" w:rsidRPr="003171CD" w:rsidRDefault="005A65CE" w:rsidP="005A65CE">
      <w:pPr>
        <w:jc w:val="both"/>
        <w:rPr>
          <w:rFonts w:cs="Arial"/>
          <w:snapToGrid/>
          <w:lang w:val="en-US" w:eastAsia="en-US"/>
        </w:rPr>
      </w:pPr>
    </w:p>
    <w:p w14:paraId="1C889712" w14:textId="77777777" w:rsidR="005A65CE" w:rsidRPr="003171CD" w:rsidRDefault="0029089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T</w:t>
      </w:r>
      <w:r w:rsidR="005A65CE" w:rsidRPr="003171CD">
        <w:rPr>
          <w:rFonts w:cs="Arial"/>
          <w:lang w:val="en-US"/>
        </w:rPr>
        <w:t>he p</w:t>
      </w:r>
      <w:r w:rsidRPr="003171CD">
        <w:rPr>
          <w:rFonts w:cs="Arial"/>
          <w:lang w:val="en-US"/>
        </w:rPr>
        <w:t xml:space="preserve">re-trial </w:t>
      </w:r>
      <w:r w:rsidR="005A65CE" w:rsidRPr="003171CD">
        <w:rPr>
          <w:rFonts w:cs="Arial"/>
          <w:lang w:val="en-US"/>
        </w:rPr>
        <w:t xml:space="preserve">hearing began </w:t>
      </w:r>
      <w:r w:rsidRPr="003171CD">
        <w:rPr>
          <w:rFonts w:cs="Arial"/>
          <w:lang w:val="en-US"/>
        </w:rPr>
        <w:t xml:space="preserve">on October 1, 2001, </w:t>
      </w:r>
      <w:r w:rsidR="005A65CE" w:rsidRPr="003171CD">
        <w:rPr>
          <w:rFonts w:cs="Arial"/>
          <w:lang w:val="en-US"/>
        </w:rPr>
        <w:t>in the Second Trial Court of San Salvador. At the beginning of the hearing the accused, including José Agapito Ruano Torres, were asked if they w</w:t>
      </w:r>
      <w:r w:rsidR="009B3C0B" w:rsidRPr="003171CD">
        <w:rPr>
          <w:rFonts w:cs="Arial"/>
          <w:lang w:val="en-US"/>
        </w:rPr>
        <w:t xml:space="preserve">ished </w:t>
      </w:r>
      <w:r w:rsidRPr="003171CD">
        <w:rPr>
          <w:rFonts w:cs="Arial"/>
          <w:lang w:val="en-US"/>
        </w:rPr>
        <w:t xml:space="preserve">to </w:t>
      </w:r>
      <w:r w:rsidR="005A65CE" w:rsidRPr="003171CD">
        <w:rPr>
          <w:rFonts w:cs="Arial"/>
          <w:lang w:val="en-US"/>
        </w:rPr>
        <w:t>make statement</w:t>
      </w:r>
      <w:r w:rsidRPr="003171CD">
        <w:rPr>
          <w:rFonts w:cs="Arial"/>
          <w:lang w:val="en-US"/>
        </w:rPr>
        <w:t>s</w:t>
      </w:r>
      <w:r w:rsidR="005A65CE" w:rsidRPr="003171CD">
        <w:rPr>
          <w:rFonts w:cs="Arial"/>
          <w:lang w:val="en-US"/>
        </w:rPr>
        <w:t xml:space="preserve">. The audio of the pre-trial hearing shows that Mr. Ruano Torres </w:t>
      </w:r>
      <w:r w:rsidRPr="003171CD">
        <w:rPr>
          <w:rFonts w:cs="Arial"/>
          <w:lang w:val="en-US"/>
        </w:rPr>
        <w:t xml:space="preserve">stated </w:t>
      </w:r>
      <w:r w:rsidR="005A65CE" w:rsidRPr="003171CD">
        <w:rPr>
          <w:rFonts w:cs="Arial"/>
          <w:lang w:val="en-US"/>
        </w:rPr>
        <w:t>“</w:t>
      </w:r>
      <w:r w:rsidRPr="003171CD">
        <w:rPr>
          <w:rFonts w:cs="Arial"/>
          <w:lang w:val="en-US"/>
        </w:rPr>
        <w:t>I am willing to make a statement</w:t>
      </w:r>
      <w:r w:rsidR="007372C0" w:rsidRPr="003171CD">
        <w:rPr>
          <w:rFonts w:cs="Arial"/>
          <w:lang w:val="en-US"/>
        </w:rPr>
        <w:t>.</w:t>
      </w:r>
      <w:r w:rsidR="005A65CE" w:rsidRPr="003171CD">
        <w:rPr>
          <w:rFonts w:cs="Arial"/>
          <w:lang w:val="en-US"/>
        </w:rPr>
        <w:t>”</w:t>
      </w:r>
      <w:r w:rsidR="005A65CE" w:rsidRPr="003171CD">
        <w:rPr>
          <w:rStyle w:val="Refdenotaalpie"/>
          <w:rFonts w:cs="Arial"/>
          <w:lang w:val="en-US"/>
        </w:rPr>
        <w:footnoteReference w:id="125"/>
      </w:r>
      <w:r w:rsidR="005A65CE" w:rsidRPr="003171CD">
        <w:rPr>
          <w:rFonts w:cs="Arial"/>
          <w:lang w:val="en-US"/>
        </w:rPr>
        <w:t xml:space="preserve"> However, </w:t>
      </w:r>
      <w:r w:rsidRPr="003171CD">
        <w:rPr>
          <w:rFonts w:cs="Arial"/>
          <w:lang w:val="en-US"/>
        </w:rPr>
        <w:t xml:space="preserve">despite his </w:t>
      </w:r>
      <w:r w:rsidR="005A65CE" w:rsidRPr="003171CD">
        <w:rPr>
          <w:rFonts w:cs="Arial"/>
          <w:lang w:val="en-US"/>
        </w:rPr>
        <w:t>response</w:t>
      </w:r>
      <w:r w:rsidRPr="003171CD">
        <w:rPr>
          <w:rFonts w:cs="Arial"/>
          <w:lang w:val="en-US"/>
        </w:rPr>
        <w:t>,</w:t>
      </w:r>
      <w:r w:rsidR="005A65CE" w:rsidRPr="003171CD">
        <w:rPr>
          <w:rFonts w:cs="Arial"/>
          <w:lang w:val="en-US"/>
        </w:rPr>
        <w:t xml:space="preserve"> the</w:t>
      </w:r>
      <w:r w:rsidRPr="003171CD">
        <w:rPr>
          <w:rFonts w:cs="Arial"/>
          <w:lang w:val="en-US"/>
        </w:rPr>
        <w:t xml:space="preserve"> Court </w:t>
      </w:r>
      <w:r w:rsidR="005A65CE" w:rsidRPr="003171CD">
        <w:rPr>
          <w:rFonts w:cs="Arial"/>
          <w:lang w:val="en-US"/>
        </w:rPr>
        <w:t xml:space="preserve">asked another of the accused if he wished to testify, </w:t>
      </w:r>
      <w:r w:rsidRPr="003171CD">
        <w:rPr>
          <w:rFonts w:cs="Arial"/>
          <w:lang w:val="en-US"/>
        </w:rPr>
        <w:t xml:space="preserve">and therefore </w:t>
      </w:r>
      <w:r w:rsidR="00CB0602" w:rsidRPr="003171CD">
        <w:rPr>
          <w:rFonts w:cs="Arial"/>
          <w:lang w:val="en-US"/>
        </w:rPr>
        <w:t>he was not heard</w:t>
      </w:r>
      <w:r w:rsidR="005A65CE" w:rsidRPr="003171CD">
        <w:rPr>
          <w:rFonts w:cs="Arial"/>
          <w:lang w:val="en-US"/>
        </w:rPr>
        <w:t xml:space="preserve">. In addition, several witnesses </w:t>
      </w:r>
      <w:r w:rsidR="00022E8B" w:rsidRPr="003171CD">
        <w:rPr>
          <w:rFonts w:cs="Arial"/>
          <w:lang w:val="en-US"/>
        </w:rPr>
        <w:t xml:space="preserve">stated </w:t>
      </w:r>
      <w:r w:rsidR="00022E8B" w:rsidRPr="003171CD">
        <w:rPr>
          <w:rFonts w:cs="Arial"/>
          <w:lang w:val="en-US"/>
        </w:rPr>
        <w:lastRenderedPageBreak/>
        <w:t>that</w:t>
      </w:r>
      <w:r w:rsidR="005A65CE" w:rsidRPr="003171CD">
        <w:rPr>
          <w:rFonts w:cs="Arial"/>
          <w:lang w:val="en-US"/>
        </w:rPr>
        <w:t xml:space="preserve"> </w:t>
      </w:r>
      <w:r w:rsidR="00022E8B" w:rsidRPr="003171CD">
        <w:rPr>
          <w:rFonts w:cs="Arial"/>
          <w:lang w:val="en-US"/>
        </w:rPr>
        <w:t xml:space="preserve">on </w:t>
      </w:r>
      <w:r w:rsidR="005A65CE" w:rsidRPr="003171CD">
        <w:rPr>
          <w:rFonts w:cs="Arial"/>
          <w:lang w:val="en-US"/>
        </w:rPr>
        <w:t xml:space="preserve">the day </w:t>
      </w:r>
      <w:r w:rsidRPr="003171CD">
        <w:rPr>
          <w:rFonts w:cs="Arial"/>
          <w:lang w:val="en-US"/>
        </w:rPr>
        <w:t xml:space="preserve">that </w:t>
      </w:r>
      <w:r w:rsidR="005A65CE" w:rsidRPr="003171CD">
        <w:rPr>
          <w:rFonts w:cs="Arial"/>
          <w:lang w:val="en-US"/>
        </w:rPr>
        <w:t>Mr. Rodríguez Marroquín</w:t>
      </w:r>
      <w:r w:rsidRPr="003171CD">
        <w:rPr>
          <w:rFonts w:cs="Arial"/>
          <w:lang w:val="en-US"/>
        </w:rPr>
        <w:t xml:space="preserve"> was kidnapped</w:t>
      </w:r>
      <w:r w:rsidR="005A65CE" w:rsidRPr="003171CD">
        <w:rPr>
          <w:rFonts w:cs="Arial"/>
          <w:lang w:val="en-US"/>
        </w:rPr>
        <w:t>, Mr. Ruano Torres was working with his brother Roberto remodeling a s</w:t>
      </w:r>
      <w:r w:rsidRPr="003171CD">
        <w:rPr>
          <w:rFonts w:cs="Arial"/>
          <w:lang w:val="en-US"/>
        </w:rPr>
        <w:t>chool until late in the evening. They also pointed out</w:t>
      </w:r>
      <w:r w:rsidR="005A65CE" w:rsidRPr="003171CD">
        <w:rPr>
          <w:rFonts w:cs="Arial"/>
          <w:lang w:val="en-US"/>
        </w:rPr>
        <w:t xml:space="preserve"> that the nickname </w:t>
      </w:r>
      <w:r w:rsidR="00A96DF3" w:rsidRPr="003171CD">
        <w:rPr>
          <w:rFonts w:cs="Arial"/>
          <w:i/>
          <w:lang w:val="en-US"/>
        </w:rPr>
        <w:t>Chopo</w:t>
      </w:r>
      <w:r w:rsidR="005A65CE" w:rsidRPr="003171CD">
        <w:rPr>
          <w:rFonts w:cs="Arial"/>
          <w:lang w:val="en-US"/>
        </w:rPr>
        <w:t xml:space="preserve"> belonged to </w:t>
      </w:r>
      <w:r w:rsidRPr="003171CD">
        <w:rPr>
          <w:rFonts w:cs="Arial"/>
          <w:lang w:val="en-US"/>
        </w:rPr>
        <w:t xml:space="preserve">Rodolfo Ruano Torres, the brother of José Agapito Ruano Torres. </w:t>
      </w:r>
      <w:r w:rsidR="005A65CE" w:rsidRPr="003171CD">
        <w:rPr>
          <w:rFonts w:cs="Arial"/>
          <w:lang w:val="en-US"/>
        </w:rPr>
        <w:t xml:space="preserve"> During the </w:t>
      </w:r>
      <w:r w:rsidRPr="003171CD">
        <w:rPr>
          <w:rFonts w:cs="Arial"/>
          <w:lang w:val="en-US"/>
        </w:rPr>
        <w:t xml:space="preserve">questioning of </w:t>
      </w:r>
      <w:r w:rsidR="005A65CE" w:rsidRPr="003171CD">
        <w:rPr>
          <w:rFonts w:cs="Arial"/>
          <w:lang w:val="en-US"/>
        </w:rPr>
        <w:t xml:space="preserve">Mr. Rodríguez Marroquín, </w:t>
      </w:r>
      <w:r w:rsidRPr="003171CD">
        <w:rPr>
          <w:rFonts w:cs="Arial"/>
          <w:lang w:val="en-US"/>
        </w:rPr>
        <w:t>he named and pointed out all of the accused</w:t>
      </w:r>
      <w:r w:rsidR="0070044C" w:rsidRPr="003171CD">
        <w:rPr>
          <w:rFonts w:cs="Arial"/>
          <w:lang w:val="en-US"/>
        </w:rPr>
        <w:t xml:space="preserve"> present at the hearing</w:t>
      </w:r>
      <w:r w:rsidRPr="003171CD">
        <w:rPr>
          <w:rFonts w:cs="Arial"/>
          <w:lang w:val="en-US"/>
        </w:rPr>
        <w:t xml:space="preserve">, including José Agapito Ruano Torres, </w:t>
      </w:r>
      <w:r w:rsidR="005A65CE" w:rsidRPr="003171CD">
        <w:rPr>
          <w:rFonts w:cs="Arial"/>
          <w:lang w:val="en-US"/>
        </w:rPr>
        <w:t xml:space="preserve">as </w:t>
      </w:r>
      <w:r w:rsidR="0070044C" w:rsidRPr="003171CD">
        <w:rPr>
          <w:rFonts w:cs="Arial"/>
          <w:lang w:val="en-US"/>
        </w:rPr>
        <w:t xml:space="preserve">participants in </w:t>
      </w:r>
      <w:r w:rsidR="00B869F9" w:rsidRPr="003171CD">
        <w:rPr>
          <w:rFonts w:cs="Arial"/>
          <w:lang w:val="en-US"/>
        </w:rPr>
        <w:t>his kidnapping</w:t>
      </w:r>
      <w:r w:rsidR="005A65CE" w:rsidRPr="003171CD">
        <w:rPr>
          <w:rFonts w:cs="Arial"/>
          <w:lang w:val="en-US"/>
        </w:rPr>
        <w:t>.</w:t>
      </w:r>
    </w:p>
    <w:p w14:paraId="3F184E0D" w14:textId="77777777" w:rsidR="005A65CE" w:rsidRPr="003171CD" w:rsidRDefault="005A65CE" w:rsidP="005A65CE">
      <w:pPr>
        <w:jc w:val="both"/>
        <w:rPr>
          <w:rFonts w:cs="Arial"/>
          <w:snapToGrid/>
          <w:lang w:val="en-US" w:eastAsia="en-US"/>
        </w:rPr>
      </w:pPr>
    </w:p>
    <w:p w14:paraId="227731A0" w14:textId="77777777" w:rsidR="005A65CE" w:rsidRPr="003171CD" w:rsidRDefault="005A65CE" w:rsidP="005A65CE">
      <w:pPr>
        <w:pStyle w:val="Prrafodelista"/>
        <w:numPr>
          <w:ilvl w:val="0"/>
          <w:numId w:val="1"/>
        </w:numPr>
        <w:tabs>
          <w:tab w:val="left" w:pos="720"/>
          <w:tab w:val="num" w:pos="5057"/>
        </w:tabs>
        <w:ind w:right="-90"/>
        <w:jc w:val="both"/>
        <w:rPr>
          <w:lang w:val="en-US"/>
        </w:rPr>
      </w:pPr>
      <w:r w:rsidRPr="003171CD">
        <w:rPr>
          <w:rFonts w:cs="Arial"/>
          <w:lang w:val="en-US"/>
        </w:rPr>
        <w:t xml:space="preserve">On October 5, 2001, the Second Trial Court of San Salvador convicted José Agapito Ruano Torres and </w:t>
      </w:r>
      <w:r w:rsidR="004C4E9C" w:rsidRPr="003171CD">
        <w:rPr>
          <w:rFonts w:cs="Arial"/>
          <w:lang w:val="en-US"/>
        </w:rPr>
        <w:t xml:space="preserve">the </w:t>
      </w:r>
      <w:r w:rsidRPr="003171CD">
        <w:rPr>
          <w:rFonts w:cs="Arial"/>
          <w:lang w:val="en-US"/>
        </w:rPr>
        <w:t xml:space="preserve">other </w:t>
      </w:r>
      <w:r w:rsidR="004C4E9C" w:rsidRPr="003171CD">
        <w:rPr>
          <w:rFonts w:cs="Arial"/>
          <w:lang w:val="en-US"/>
        </w:rPr>
        <w:t xml:space="preserve">defendants </w:t>
      </w:r>
      <w:r w:rsidRPr="003171CD">
        <w:rPr>
          <w:rFonts w:cs="Arial"/>
          <w:lang w:val="en-US"/>
        </w:rPr>
        <w:t>as co-perpetrators in the kidnapping of Mr. Rodrígu</w:t>
      </w:r>
      <w:r w:rsidR="004C4E9C" w:rsidRPr="003171CD">
        <w:rPr>
          <w:rFonts w:cs="Arial"/>
          <w:lang w:val="en-US"/>
        </w:rPr>
        <w:t>ez Marroquín, and sentenced them to fifteen years in prison.</w:t>
      </w:r>
      <w:r w:rsidRPr="003171CD">
        <w:rPr>
          <w:rFonts w:cs="Arial"/>
          <w:lang w:val="en-US"/>
        </w:rPr>
        <w:t xml:space="preserve"> </w:t>
      </w:r>
      <w:r w:rsidR="004C4E9C" w:rsidRPr="003171CD">
        <w:rPr>
          <w:rFonts w:cs="Arial"/>
          <w:lang w:val="en-US"/>
        </w:rPr>
        <w:t xml:space="preserve">It also imposed the </w:t>
      </w:r>
      <w:r w:rsidRPr="003171CD">
        <w:rPr>
          <w:rFonts w:cs="Arial"/>
          <w:lang w:val="en-US"/>
        </w:rPr>
        <w:t xml:space="preserve">accessory penalty of loss of </w:t>
      </w:r>
      <w:r w:rsidR="00890144" w:rsidRPr="003171CD">
        <w:rPr>
          <w:rFonts w:cs="Arial"/>
          <w:lang w:val="en-US"/>
        </w:rPr>
        <w:t>citizenship</w:t>
      </w:r>
      <w:r w:rsidRPr="003171CD">
        <w:rPr>
          <w:rFonts w:cs="Arial"/>
          <w:lang w:val="en-US"/>
        </w:rPr>
        <w:t xml:space="preserve"> rights and </w:t>
      </w:r>
      <w:r w:rsidR="00E64A28" w:rsidRPr="003171CD">
        <w:rPr>
          <w:rFonts w:cs="Arial"/>
          <w:lang w:val="en-US"/>
        </w:rPr>
        <w:t xml:space="preserve">the </w:t>
      </w:r>
      <w:r w:rsidRPr="003171CD">
        <w:rPr>
          <w:rFonts w:cs="Arial"/>
          <w:lang w:val="en-US"/>
        </w:rPr>
        <w:t>pa</w:t>
      </w:r>
      <w:r w:rsidR="00E64A28" w:rsidRPr="003171CD">
        <w:rPr>
          <w:rFonts w:cs="Arial"/>
          <w:lang w:val="en-US"/>
        </w:rPr>
        <w:t xml:space="preserve">yment </w:t>
      </w:r>
      <w:r w:rsidRPr="003171CD">
        <w:rPr>
          <w:rFonts w:cs="Arial"/>
          <w:lang w:val="en-US"/>
        </w:rPr>
        <w:t xml:space="preserve">of five thousand colones </w:t>
      </w:r>
      <w:r w:rsidR="00E64A28" w:rsidRPr="003171CD">
        <w:rPr>
          <w:rFonts w:cs="Arial"/>
          <w:lang w:val="en-US"/>
        </w:rPr>
        <w:t xml:space="preserve">for </w:t>
      </w:r>
      <w:r w:rsidRPr="003171CD">
        <w:rPr>
          <w:rFonts w:cs="Arial"/>
          <w:lang w:val="en-US"/>
        </w:rPr>
        <w:t>civil liability.</w:t>
      </w:r>
      <w:r w:rsidRPr="003171CD">
        <w:rPr>
          <w:vertAlign w:val="superscript"/>
          <w:lang w:val="en-US"/>
        </w:rPr>
        <w:footnoteReference w:id="126"/>
      </w:r>
    </w:p>
    <w:p w14:paraId="51B785FD" w14:textId="77777777" w:rsidR="005A65CE" w:rsidRPr="003171CD" w:rsidRDefault="005A65CE" w:rsidP="005A65CE">
      <w:pPr>
        <w:rPr>
          <w:rFonts w:cs="Arial"/>
          <w:lang w:val="en-US"/>
        </w:rPr>
      </w:pPr>
    </w:p>
    <w:p w14:paraId="089C23F7" w14:textId="77777777" w:rsidR="005A65CE" w:rsidRPr="003171CD" w:rsidRDefault="004C4E9C" w:rsidP="005A65CE">
      <w:pPr>
        <w:pStyle w:val="Prrafodelista"/>
        <w:numPr>
          <w:ilvl w:val="0"/>
          <w:numId w:val="1"/>
        </w:numPr>
        <w:tabs>
          <w:tab w:val="left" w:pos="720"/>
          <w:tab w:val="num" w:pos="5057"/>
        </w:tabs>
        <w:ind w:right="-90"/>
        <w:jc w:val="both"/>
        <w:rPr>
          <w:rFonts w:cs="Verdana"/>
          <w:lang w:val="en-US"/>
        </w:rPr>
      </w:pPr>
      <w:r w:rsidRPr="003171CD">
        <w:rPr>
          <w:rFonts w:cs="Verdana"/>
          <w:lang w:val="en-US"/>
        </w:rPr>
        <w:t xml:space="preserve">In its analysis of the </w:t>
      </w:r>
      <w:r w:rsidR="005A65CE" w:rsidRPr="003171CD">
        <w:rPr>
          <w:rFonts w:cs="Verdana"/>
          <w:lang w:val="en-US"/>
        </w:rPr>
        <w:t xml:space="preserve">evidence </w:t>
      </w:r>
      <w:r w:rsidRPr="003171CD">
        <w:rPr>
          <w:rFonts w:cs="Verdana"/>
          <w:lang w:val="en-US"/>
        </w:rPr>
        <w:t xml:space="preserve">provided </w:t>
      </w:r>
      <w:r w:rsidR="009B3C0B" w:rsidRPr="003171CD">
        <w:rPr>
          <w:rFonts w:cs="Verdana"/>
          <w:lang w:val="en-US"/>
        </w:rPr>
        <w:t xml:space="preserve">during </w:t>
      </w:r>
      <w:r w:rsidR="005A65CE" w:rsidRPr="003171CD">
        <w:rPr>
          <w:rFonts w:cs="Verdana"/>
          <w:lang w:val="en-US"/>
        </w:rPr>
        <w:t xml:space="preserve">the </w:t>
      </w:r>
      <w:r w:rsidR="006D65DA" w:rsidRPr="003171CD">
        <w:rPr>
          <w:rFonts w:cs="Verdana"/>
          <w:lang w:val="en-US"/>
        </w:rPr>
        <w:t xml:space="preserve">criminal </w:t>
      </w:r>
      <w:r w:rsidR="009B3C0B" w:rsidRPr="003171CD">
        <w:rPr>
          <w:rFonts w:cs="Verdana"/>
          <w:lang w:val="en-US"/>
        </w:rPr>
        <w:t xml:space="preserve">proceedings </w:t>
      </w:r>
      <w:r w:rsidRPr="003171CD">
        <w:rPr>
          <w:rFonts w:cs="Verdana"/>
          <w:lang w:val="en-US"/>
        </w:rPr>
        <w:t xml:space="preserve">the Second Trial Court of </w:t>
      </w:r>
      <w:r w:rsidRPr="003171CD">
        <w:rPr>
          <w:lang w:val="en-US"/>
        </w:rPr>
        <w:t xml:space="preserve">San Salvador </w:t>
      </w:r>
      <w:r w:rsidRPr="003171CD">
        <w:rPr>
          <w:rFonts w:cs="Verdana"/>
          <w:lang w:val="en-US"/>
        </w:rPr>
        <w:t>stated the following</w:t>
      </w:r>
      <w:r w:rsidR="005A65CE" w:rsidRPr="003171CD">
        <w:rPr>
          <w:rFonts w:cs="Verdana"/>
          <w:lang w:val="en-US"/>
        </w:rPr>
        <w:t>:</w:t>
      </w:r>
    </w:p>
    <w:p w14:paraId="691C612B" w14:textId="77777777" w:rsidR="005A65CE" w:rsidRPr="003171CD" w:rsidRDefault="005A65CE" w:rsidP="005A65CE">
      <w:pPr>
        <w:rPr>
          <w:lang w:val="en-US"/>
        </w:rPr>
      </w:pPr>
    </w:p>
    <w:p w14:paraId="00C88F6F" w14:textId="77777777" w:rsidR="005A65CE" w:rsidRPr="003171CD" w:rsidRDefault="004C4E9C" w:rsidP="005A65CE">
      <w:pPr>
        <w:spacing w:after="120"/>
        <w:ind w:left="709" w:right="584"/>
        <w:jc w:val="both"/>
        <w:rPr>
          <w:sz w:val="16"/>
          <w:szCs w:val="16"/>
          <w:lang w:val="en-US"/>
        </w:rPr>
      </w:pPr>
      <w:r w:rsidRPr="003171CD">
        <w:rPr>
          <w:iCs/>
          <w:sz w:val="16"/>
          <w:szCs w:val="16"/>
          <w:lang w:val="en-US"/>
        </w:rPr>
        <w:t xml:space="preserve">Based on </w:t>
      </w:r>
      <w:r w:rsidR="005A65CE" w:rsidRPr="003171CD">
        <w:rPr>
          <w:iCs/>
          <w:sz w:val="16"/>
          <w:szCs w:val="16"/>
          <w:lang w:val="en-US"/>
        </w:rPr>
        <w:t xml:space="preserve">the </w:t>
      </w:r>
      <w:r w:rsidR="00DC499C" w:rsidRPr="003171CD">
        <w:rPr>
          <w:iCs/>
          <w:sz w:val="16"/>
          <w:szCs w:val="16"/>
          <w:lang w:val="en-US"/>
        </w:rPr>
        <w:t>statement</w:t>
      </w:r>
      <w:r w:rsidRPr="003171CD">
        <w:rPr>
          <w:iCs/>
          <w:sz w:val="16"/>
          <w:szCs w:val="16"/>
          <w:lang w:val="en-US"/>
        </w:rPr>
        <w:t>s</w:t>
      </w:r>
      <w:r w:rsidR="00DC499C" w:rsidRPr="003171CD">
        <w:rPr>
          <w:iCs/>
          <w:sz w:val="16"/>
          <w:szCs w:val="16"/>
          <w:lang w:val="en-US"/>
        </w:rPr>
        <w:t xml:space="preserve"> </w:t>
      </w:r>
      <w:r w:rsidR="005A65CE" w:rsidRPr="003171CD">
        <w:rPr>
          <w:iCs/>
          <w:sz w:val="16"/>
          <w:szCs w:val="16"/>
          <w:lang w:val="en-US"/>
        </w:rPr>
        <w:t>of the victim</w:t>
      </w:r>
      <w:r w:rsidR="00DC499C" w:rsidRPr="003171CD">
        <w:rPr>
          <w:iCs/>
          <w:sz w:val="16"/>
          <w:szCs w:val="16"/>
          <w:lang w:val="en-US"/>
        </w:rPr>
        <w:t>,</w:t>
      </w:r>
      <w:r w:rsidR="005A65CE" w:rsidRPr="003171CD">
        <w:rPr>
          <w:iCs/>
          <w:sz w:val="16"/>
          <w:szCs w:val="16"/>
          <w:lang w:val="en-US"/>
        </w:rPr>
        <w:t xml:space="preserve"> </w:t>
      </w:r>
      <w:r w:rsidR="00DC499C" w:rsidRPr="003171CD">
        <w:rPr>
          <w:iCs/>
          <w:sz w:val="16"/>
          <w:szCs w:val="16"/>
          <w:lang w:val="en-US"/>
        </w:rPr>
        <w:t xml:space="preserve">Mr. </w:t>
      </w:r>
      <w:r w:rsidR="005A65CE" w:rsidRPr="003171CD">
        <w:rPr>
          <w:iCs/>
          <w:sz w:val="16"/>
          <w:szCs w:val="16"/>
          <w:lang w:val="en-US"/>
        </w:rPr>
        <w:t>JAIME ERNESTO RODRIGUEZ MARROQUIN, a</w:t>
      </w:r>
      <w:r w:rsidR="00DC499C" w:rsidRPr="003171CD">
        <w:rPr>
          <w:iCs/>
          <w:sz w:val="16"/>
          <w:szCs w:val="16"/>
          <w:lang w:val="en-US"/>
        </w:rPr>
        <w:t xml:space="preserve">nd </w:t>
      </w:r>
      <w:r w:rsidR="00023D6C" w:rsidRPr="003171CD">
        <w:rPr>
          <w:iCs/>
          <w:sz w:val="16"/>
          <w:szCs w:val="16"/>
          <w:lang w:val="en-US"/>
        </w:rPr>
        <w:t xml:space="preserve">those </w:t>
      </w:r>
      <w:r w:rsidR="00DC499C" w:rsidRPr="003171CD">
        <w:rPr>
          <w:iCs/>
          <w:sz w:val="16"/>
          <w:szCs w:val="16"/>
          <w:lang w:val="en-US"/>
        </w:rPr>
        <w:t xml:space="preserve">of </w:t>
      </w:r>
      <w:r w:rsidR="005A65CE" w:rsidRPr="003171CD">
        <w:rPr>
          <w:iCs/>
          <w:sz w:val="16"/>
          <w:szCs w:val="16"/>
          <w:lang w:val="en-US"/>
        </w:rPr>
        <w:t>the witness FRANCISCO JAVIER AMAYA VILLALTA</w:t>
      </w:r>
      <w:r w:rsidR="00B869F9" w:rsidRPr="003171CD">
        <w:rPr>
          <w:iCs/>
          <w:sz w:val="16"/>
          <w:szCs w:val="16"/>
          <w:lang w:val="en-US"/>
        </w:rPr>
        <w:t xml:space="preserve">, </w:t>
      </w:r>
      <w:r w:rsidR="00EF1892" w:rsidRPr="003171CD">
        <w:rPr>
          <w:iCs/>
          <w:sz w:val="16"/>
          <w:szCs w:val="16"/>
          <w:lang w:val="en-US"/>
        </w:rPr>
        <w:t xml:space="preserve">provided as pre-trial evidence, </w:t>
      </w:r>
      <w:r w:rsidR="00DD152A" w:rsidRPr="003171CD">
        <w:rPr>
          <w:iCs/>
          <w:sz w:val="16"/>
          <w:szCs w:val="16"/>
          <w:lang w:val="en-US"/>
        </w:rPr>
        <w:t>the C</w:t>
      </w:r>
      <w:r w:rsidRPr="003171CD">
        <w:rPr>
          <w:iCs/>
          <w:sz w:val="16"/>
          <w:szCs w:val="16"/>
          <w:lang w:val="en-US"/>
        </w:rPr>
        <w:t xml:space="preserve">ourt has determined </w:t>
      </w:r>
      <w:r w:rsidR="005A65CE" w:rsidRPr="003171CD">
        <w:rPr>
          <w:iCs/>
          <w:sz w:val="16"/>
          <w:szCs w:val="16"/>
          <w:lang w:val="en-US"/>
        </w:rPr>
        <w:t xml:space="preserve">that </w:t>
      </w:r>
      <w:r w:rsidR="00DC499C" w:rsidRPr="003171CD">
        <w:rPr>
          <w:iCs/>
          <w:sz w:val="16"/>
          <w:szCs w:val="16"/>
          <w:lang w:val="en-US"/>
        </w:rPr>
        <w:t>th</w:t>
      </w:r>
      <w:r w:rsidR="00EF1892" w:rsidRPr="003171CD">
        <w:rPr>
          <w:iCs/>
          <w:sz w:val="16"/>
          <w:szCs w:val="16"/>
          <w:lang w:val="en-US"/>
        </w:rPr>
        <w:t xml:space="preserve">ese statements </w:t>
      </w:r>
      <w:r w:rsidRPr="003171CD">
        <w:rPr>
          <w:iCs/>
          <w:sz w:val="16"/>
          <w:szCs w:val="16"/>
          <w:lang w:val="en-US"/>
        </w:rPr>
        <w:t xml:space="preserve">corroborate </w:t>
      </w:r>
      <w:r w:rsidR="005A65CE" w:rsidRPr="003171CD">
        <w:rPr>
          <w:iCs/>
          <w:sz w:val="16"/>
          <w:szCs w:val="16"/>
          <w:lang w:val="en-US"/>
        </w:rPr>
        <w:t xml:space="preserve">the </w:t>
      </w:r>
      <w:r w:rsidR="005A65CE" w:rsidRPr="003171CD">
        <w:rPr>
          <w:sz w:val="16"/>
          <w:szCs w:val="16"/>
          <w:lang w:val="en-US"/>
        </w:rPr>
        <w:t xml:space="preserve">circumstances </w:t>
      </w:r>
      <w:r w:rsidR="00023D6C" w:rsidRPr="003171CD">
        <w:rPr>
          <w:sz w:val="16"/>
          <w:szCs w:val="16"/>
          <w:lang w:val="en-US"/>
        </w:rPr>
        <w:t xml:space="preserve">related to </w:t>
      </w:r>
      <w:r w:rsidRPr="003171CD">
        <w:rPr>
          <w:sz w:val="16"/>
          <w:szCs w:val="16"/>
          <w:lang w:val="en-US"/>
        </w:rPr>
        <w:t xml:space="preserve">the time, place and </w:t>
      </w:r>
      <w:r w:rsidRPr="003171CD">
        <w:rPr>
          <w:iCs/>
          <w:sz w:val="16"/>
          <w:szCs w:val="16"/>
          <w:lang w:val="en-US"/>
        </w:rPr>
        <w:t xml:space="preserve">manner in which </w:t>
      </w:r>
      <w:r w:rsidR="005A65CE" w:rsidRPr="003171CD">
        <w:rPr>
          <w:iCs/>
          <w:sz w:val="16"/>
          <w:szCs w:val="16"/>
          <w:lang w:val="en-US"/>
        </w:rPr>
        <w:t>the facts</w:t>
      </w:r>
      <w:r w:rsidR="00CB14D7" w:rsidRPr="003171CD">
        <w:rPr>
          <w:iCs/>
          <w:sz w:val="16"/>
          <w:szCs w:val="16"/>
          <w:lang w:val="en-US"/>
        </w:rPr>
        <w:t xml:space="preserve"> occurred</w:t>
      </w:r>
      <w:r w:rsidR="005A65CE" w:rsidRPr="003171CD">
        <w:rPr>
          <w:iCs/>
          <w:sz w:val="16"/>
          <w:szCs w:val="16"/>
          <w:lang w:val="en-US"/>
        </w:rPr>
        <w:t xml:space="preserve">, </w:t>
      </w:r>
      <w:r w:rsidR="00EF1892" w:rsidRPr="003171CD">
        <w:rPr>
          <w:iCs/>
          <w:sz w:val="16"/>
          <w:szCs w:val="16"/>
          <w:lang w:val="en-US"/>
        </w:rPr>
        <w:t xml:space="preserve">and </w:t>
      </w:r>
      <w:r w:rsidR="00023D6C" w:rsidRPr="003171CD">
        <w:rPr>
          <w:iCs/>
          <w:sz w:val="16"/>
          <w:szCs w:val="16"/>
          <w:lang w:val="en-US"/>
        </w:rPr>
        <w:t>establishes</w:t>
      </w:r>
      <w:r w:rsidR="00EF1892" w:rsidRPr="003171CD">
        <w:rPr>
          <w:iCs/>
          <w:sz w:val="16"/>
          <w:szCs w:val="16"/>
          <w:lang w:val="en-US"/>
        </w:rPr>
        <w:t xml:space="preserve"> </w:t>
      </w:r>
      <w:r w:rsidR="00AC0CC5" w:rsidRPr="003171CD">
        <w:rPr>
          <w:iCs/>
          <w:sz w:val="16"/>
          <w:szCs w:val="16"/>
          <w:lang w:val="en-US"/>
        </w:rPr>
        <w:t>the</w:t>
      </w:r>
      <w:r w:rsidR="005A65CE" w:rsidRPr="003171CD">
        <w:rPr>
          <w:iCs/>
          <w:sz w:val="16"/>
          <w:szCs w:val="16"/>
          <w:lang w:val="en-US"/>
        </w:rPr>
        <w:t xml:space="preserve"> </w:t>
      </w:r>
      <w:r w:rsidRPr="003171CD">
        <w:rPr>
          <w:iCs/>
          <w:sz w:val="16"/>
          <w:szCs w:val="16"/>
          <w:lang w:val="en-US"/>
        </w:rPr>
        <w:t>following</w:t>
      </w:r>
      <w:r w:rsidR="004A3F79" w:rsidRPr="003171CD">
        <w:rPr>
          <w:iCs/>
          <w:sz w:val="16"/>
          <w:szCs w:val="16"/>
          <w:lang w:val="en-US"/>
        </w:rPr>
        <w:t xml:space="preserve">: […] b) that </w:t>
      </w:r>
      <w:r w:rsidR="00EF1892" w:rsidRPr="003171CD">
        <w:rPr>
          <w:iCs/>
          <w:sz w:val="16"/>
          <w:szCs w:val="16"/>
          <w:lang w:val="en-US"/>
        </w:rPr>
        <w:t xml:space="preserve">they </w:t>
      </w:r>
      <w:r w:rsidR="004A3F79" w:rsidRPr="003171CD">
        <w:rPr>
          <w:iCs/>
          <w:sz w:val="16"/>
          <w:szCs w:val="16"/>
          <w:lang w:val="en-US"/>
        </w:rPr>
        <w:t xml:space="preserve">are consistent </w:t>
      </w:r>
      <w:r w:rsidR="00AC0CC5" w:rsidRPr="003171CD">
        <w:rPr>
          <w:sz w:val="16"/>
          <w:szCs w:val="16"/>
          <w:lang w:val="en-US"/>
        </w:rPr>
        <w:t xml:space="preserve">in </w:t>
      </w:r>
      <w:r w:rsidR="005A65CE" w:rsidRPr="003171CD">
        <w:rPr>
          <w:iCs/>
          <w:sz w:val="16"/>
          <w:szCs w:val="16"/>
          <w:lang w:val="en-US"/>
        </w:rPr>
        <w:t>determin</w:t>
      </w:r>
      <w:r w:rsidR="00AC0CC5" w:rsidRPr="003171CD">
        <w:rPr>
          <w:iCs/>
          <w:sz w:val="16"/>
          <w:szCs w:val="16"/>
          <w:lang w:val="en-US"/>
        </w:rPr>
        <w:t>ing</w:t>
      </w:r>
      <w:r w:rsidR="005A65CE" w:rsidRPr="003171CD">
        <w:rPr>
          <w:iCs/>
          <w:sz w:val="16"/>
          <w:szCs w:val="16"/>
          <w:lang w:val="en-US"/>
        </w:rPr>
        <w:t xml:space="preserve"> the </w:t>
      </w:r>
      <w:r w:rsidR="00CB14D7" w:rsidRPr="003171CD">
        <w:rPr>
          <w:iCs/>
          <w:sz w:val="16"/>
          <w:szCs w:val="16"/>
          <w:lang w:val="en-US"/>
        </w:rPr>
        <w:t>place</w:t>
      </w:r>
      <w:r w:rsidR="00EF1892" w:rsidRPr="003171CD">
        <w:rPr>
          <w:iCs/>
          <w:sz w:val="16"/>
          <w:szCs w:val="16"/>
          <w:lang w:val="en-US"/>
        </w:rPr>
        <w:t xml:space="preserve">, </w:t>
      </w:r>
      <w:r w:rsidR="00AC0CC5" w:rsidRPr="003171CD">
        <w:rPr>
          <w:iCs/>
          <w:sz w:val="16"/>
          <w:szCs w:val="16"/>
          <w:lang w:val="en-US"/>
        </w:rPr>
        <w:t xml:space="preserve">time </w:t>
      </w:r>
      <w:r w:rsidR="00B869F9" w:rsidRPr="003171CD">
        <w:rPr>
          <w:iCs/>
          <w:sz w:val="16"/>
          <w:szCs w:val="16"/>
          <w:lang w:val="en-US"/>
        </w:rPr>
        <w:t xml:space="preserve">and </w:t>
      </w:r>
      <w:r w:rsidR="00AC0CC5" w:rsidRPr="003171CD">
        <w:rPr>
          <w:iCs/>
          <w:sz w:val="16"/>
          <w:szCs w:val="16"/>
          <w:lang w:val="en-US"/>
        </w:rPr>
        <w:t xml:space="preserve">manner in which </w:t>
      </w:r>
      <w:r w:rsidR="005A65CE" w:rsidRPr="003171CD">
        <w:rPr>
          <w:iCs/>
          <w:sz w:val="16"/>
          <w:szCs w:val="16"/>
          <w:lang w:val="en-US"/>
        </w:rPr>
        <w:t xml:space="preserve">the victim </w:t>
      </w:r>
      <w:r w:rsidR="00DC499C" w:rsidRPr="003171CD">
        <w:rPr>
          <w:iCs/>
          <w:sz w:val="16"/>
          <w:szCs w:val="16"/>
          <w:lang w:val="en-US"/>
        </w:rPr>
        <w:t>Mr.</w:t>
      </w:r>
      <w:r w:rsidR="005A65CE" w:rsidRPr="003171CD">
        <w:rPr>
          <w:iCs/>
          <w:sz w:val="16"/>
          <w:szCs w:val="16"/>
          <w:lang w:val="en-US"/>
        </w:rPr>
        <w:t xml:space="preserve"> JAIME ERNESTO RODRIGUEZ MARROQUIN</w:t>
      </w:r>
      <w:r w:rsidR="00AC0CC5" w:rsidRPr="003171CD">
        <w:rPr>
          <w:iCs/>
          <w:sz w:val="16"/>
          <w:szCs w:val="16"/>
          <w:lang w:val="en-US"/>
        </w:rPr>
        <w:t xml:space="preserve"> was deprived of his liberty</w:t>
      </w:r>
      <w:r w:rsidR="005A65CE" w:rsidRPr="003171CD">
        <w:rPr>
          <w:iCs/>
          <w:sz w:val="16"/>
          <w:szCs w:val="16"/>
          <w:lang w:val="en-US"/>
        </w:rPr>
        <w:t>, a</w:t>
      </w:r>
      <w:r w:rsidR="00DC499C" w:rsidRPr="003171CD">
        <w:rPr>
          <w:iCs/>
          <w:sz w:val="16"/>
          <w:szCs w:val="16"/>
          <w:lang w:val="en-US"/>
        </w:rPr>
        <w:t xml:space="preserve">nd </w:t>
      </w:r>
      <w:r w:rsidR="00AC0CC5" w:rsidRPr="003171CD">
        <w:rPr>
          <w:iCs/>
          <w:sz w:val="16"/>
          <w:szCs w:val="16"/>
          <w:lang w:val="en-US"/>
        </w:rPr>
        <w:t xml:space="preserve">in </w:t>
      </w:r>
      <w:r w:rsidR="00EF1892" w:rsidRPr="003171CD">
        <w:rPr>
          <w:iCs/>
          <w:sz w:val="16"/>
          <w:szCs w:val="16"/>
          <w:lang w:val="en-US"/>
        </w:rPr>
        <w:t xml:space="preserve">identifying </w:t>
      </w:r>
      <w:r w:rsidR="00AC0CC5" w:rsidRPr="003171CD">
        <w:rPr>
          <w:iCs/>
          <w:sz w:val="16"/>
          <w:szCs w:val="16"/>
          <w:lang w:val="en-US"/>
        </w:rPr>
        <w:t>t</w:t>
      </w:r>
      <w:r w:rsidR="005A65CE" w:rsidRPr="003171CD">
        <w:rPr>
          <w:iCs/>
          <w:sz w:val="16"/>
          <w:szCs w:val="16"/>
          <w:lang w:val="en-US"/>
        </w:rPr>
        <w:t>he individuals in</w:t>
      </w:r>
      <w:r w:rsidRPr="003171CD">
        <w:rPr>
          <w:iCs/>
          <w:sz w:val="16"/>
          <w:szCs w:val="16"/>
          <w:lang w:val="en-US"/>
        </w:rPr>
        <w:t xml:space="preserve">volved in committing </w:t>
      </w:r>
      <w:r w:rsidR="005A65CE" w:rsidRPr="003171CD">
        <w:rPr>
          <w:iCs/>
          <w:sz w:val="16"/>
          <w:szCs w:val="16"/>
          <w:lang w:val="en-US"/>
        </w:rPr>
        <w:t xml:space="preserve">the </w:t>
      </w:r>
      <w:r w:rsidR="00AC0CC5" w:rsidRPr="003171CD">
        <w:rPr>
          <w:iCs/>
          <w:sz w:val="16"/>
          <w:szCs w:val="16"/>
          <w:lang w:val="en-US"/>
        </w:rPr>
        <w:t>kidnapping</w:t>
      </w:r>
      <w:r w:rsidR="00DD152A" w:rsidRPr="003171CD">
        <w:rPr>
          <w:iCs/>
          <w:sz w:val="16"/>
          <w:szCs w:val="16"/>
          <w:lang w:val="en-US"/>
        </w:rPr>
        <w:t xml:space="preserve"> and</w:t>
      </w:r>
      <w:r w:rsidR="005A65CE" w:rsidRPr="003171CD">
        <w:rPr>
          <w:iCs/>
          <w:sz w:val="16"/>
          <w:szCs w:val="16"/>
          <w:lang w:val="en-US"/>
        </w:rPr>
        <w:t xml:space="preserve"> th</w:t>
      </w:r>
      <w:r w:rsidR="00EF1892" w:rsidRPr="003171CD">
        <w:rPr>
          <w:iCs/>
          <w:sz w:val="16"/>
          <w:szCs w:val="16"/>
          <w:lang w:val="en-US"/>
        </w:rPr>
        <w:t>os</w:t>
      </w:r>
      <w:r w:rsidR="005A65CE" w:rsidRPr="003171CD">
        <w:rPr>
          <w:iCs/>
          <w:sz w:val="16"/>
          <w:szCs w:val="16"/>
          <w:lang w:val="en-US"/>
        </w:rPr>
        <w:t xml:space="preserve">e </w:t>
      </w:r>
      <w:r w:rsidR="004A3F79" w:rsidRPr="003171CD">
        <w:rPr>
          <w:iCs/>
          <w:sz w:val="16"/>
          <w:szCs w:val="16"/>
          <w:lang w:val="en-US"/>
        </w:rPr>
        <w:t xml:space="preserve">who </w:t>
      </w:r>
      <w:r w:rsidR="00AC0CC5" w:rsidRPr="003171CD">
        <w:rPr>
          <w:iCs/>
          <w:sz w:val="16"/>
          <w:szCs w:val="16"/>
          <w:lang w:val="en-US"/>
        </w:rPr>
        <w:t xml:space="preserve">collaborated </w:t>
      </w:r>
      <w:r w:rsidR="005A65CE" w:rsidRPr="003171CD">
        <w:rPr>
          <w:iCs/>
          <w:sz w:val="16"/>
          <w:szCs w:val="16"/>
          <w:lang w:val="en-US"/>
        </w:rPr>
        <w:t xml:space="preserve">in </w:t>
      </w:r>
      <w:r w:rsidR="00DC499C" w:rsidRPr="003171CD">
        <w:rPr>
          <w:iCs/>
          <w:sz w:val="16"/>
          <w:szCs w:val="16"/>
          <w:lang w:val="en-US"/>
        </w:rPr>
        <w:t xml:space="preserve">transferring him to </w:t>
      </w:r>
      <w:r w:rsidR="005A65CE" w:rsidRPr="003171CD">
        <w:rPr>
          <w:iCs/>
          <w:sz w:val="16"/>
          <w:szCs w:val="16"/>
          <w:lang w:val="en-US"/>
        </w:rPr>
        <w:t xml:space="preserve">the </w:t>
      </w:r>
      <w:r w:rsidR="00AC0CC5" w:rsidRPr="003171CD">
        <w:rPr>
          <w:iCs/>
          <w:sz w:val="16"/>
          <w:szCs w:val="16"/>
          <w:lang w:val="en-US"/>
        </w:rPr>
        <w:t>area where he was held captive</w:t>
      </w:r>
      <w:r w:rsidR="005A65CE" w:rsidRPr="003171CD">
        <w:rPr>
          <w:iCs/>
          <w:sz w:val="16"/>
          <w:szCs w:val="16"/>
          <w:lang w:val="en-US"/>
        </w:rPr>
        <w:t xml:space="preserve">, </w:t>
      </w:r>
      <w:r w:rsidR="00722645" w:rsidRPr="003171CD">
        <w:rPr>
          <w:iCs/>
          <w:sz w:val="16"/>
          <w:szCs w:val="16"/>
          <w:lang w:val="en-US"/>
        </w:rPr>
        <w:t xml:space="preserve">namely, </w:t>
      </w:r>
      <w:r w:rsidR="005A65CE" w:rsidRPr="003171CD">
        <w:rPr>
          <w:iCs/>
          <w:sz w:val="16"/>
          <w:szCs w:val="16"/>
          <w:lang w:val="en-US"/>
        </w:rPr>
        <w:t xml:space="preserve">the </w:t>
      </w:r>
      <w:r w:rsidR="005A65CE" w:rsidRPr="003171CD">
        <w:rPr>
          <w:sz w:val="16"/>
          <w:szCs w:val="16"/>
          <w:lang w:val="en-US"/>
        </w:rPr>
        <w:t>accused</w:t>
      </w:r>
      <w:r w:rsidR="005A65CE" w:rsidRPr="003171CD">
        <w:rPr>
          <w:iCs/>
          <w:sz w:val="16"/>
          <w:szCs w:val="16"/>
          <w:lang w:val="en-US"/>
        </w:rPr>
        <w:t xml:space="preserve"> JOAQUIN RODRIGUEZ MARROQUIN, JOSE AGAPITO RUANO TORRES and JOSE ORELLANA PEREZ, </w:t>
      </w:r>
      <w:r w:rsidR="004A3F79" w:rsidRPr="003171CD">
        <w:rPr>
          <w:iCs/>
          <w:sz w:val="16"/>
          <w:szCs w:val="16"/>
          <w:lang w:val="en-US"/>
        </w:rPr>
        <w:t xml:space="preserve">together </w:t>
      </w:r>
      <w:r w:rsidR="005A65CE" w:rsidRPr="003171CD">
        <w:rPr>
          <w:iCs/>
          <w:sz w:val="16"/>
          <w:szCs w:val="16"/>
          <w:lang w:val="en-US"/>
        </w:rPr>
        <w:t>with the a</w:t>
      </w:r>
      <w:r w:rsidR="00DC499C" w:rsidRPr="003171CD">
        <w:rPr>
          <w:iCs/>
          <w:sz w:val="16"/>
          <w:szCs w:val="16"/>
          <w:lang w:val="en-US"/>
        </w:rPr>
        <w:t xml:space="preserve">bsent </w:t>
      </w:r>
      <w:r w:rsidR="00EF1892" w:rsidRPr="003171CD">
        <w:rPr>
          <w:iCs/>
          <w:sz w:val="16"/>
          <w:szCs w:val="16"/>
          <w:lang w:val="en-US"/>
        </w:rPr>
        <w:t xml:space="preserve">suspects </w:t>
      </w:r>
      <w:r w:rsidR="005A65CE" w:rsidRPr="003171CD">
        <w:rPr>
          <w:iCs/>
          <w:sz w:val="16"/>
          <w:szCs w:val="16"/>
          <w:lang w:val="en-US"/>
        </w:rPr>
        <w:t>FRANCISCO JAVIER AMAYA VILLALTA and SAMUEL HERNANDEZ RAMIREZ alias “</w:t>
      </w:r>
      <w:r w:rsidR="005A65CE" w:rsidRPr="003171CD">
        <w:rPr>
          <w:sz w:val="16"/>
          <w:szCs w:val="16"/>
          <w:lang w:val="en-US"/>
        </w:rPr>
        <w:t>Oasis”</w:t>
      </w:r>
      <w:r w:rsidR="005A65CE" w:rsidRPr="003171CD">
        <w:rPr>
          <w:sz w:val="16"/>
          <w:szCs w:val="16"/>
          <w:vertAlign w:val="superscript"/>
          <w:lang w:val="en-US"/>
        </w:rPr>
        <w:footnoteReference w:id="127"/>
      </w:r>
      <w:r w:rsidR="005A65CE" w:rsidRPr="003171CD">
        <w:rPr>
          <w:sz w:val="16"/>
          <w:szCs w:val="16"/>
          <w:lang w:val="en-US"/>
        </w:rPr>
        <w:t>[.]</w:t>
      </w:r>
    </w:p>
    <w:p w14:paraId="29333C83" w14:textId="77777777" w:rsidR="005A65CE" w:rsidRPr="003171CD" w:rsidRDefault="005A65CE" w:rsidP="005A65CE">
      <w:pPr>
        <w:spacing w:after="120"/>
        <w:ind w:left="709" w:right="584"/>
        <w:jc w:val="both"/>
        <w:rPr>
          <w:sz w:val="16"/>
          <w:szCs w:val="16"/>
          <w:lang w:val="en-US"/>
        </w:rPr>
      </w:pPr>
      <w:r w:rsidRPr="003171CD">
        <w:rPr>
          <w:sz w:val="16"/>
          <w:szCs w:val="16"/>
          <w:lang w:val="en-US"/>
        </w:rPr>
        <w:t>[…]</w:t>
      </w:r>
    </w:p>
    <w:p w14:paraId="2DA5475B" w14:textId="77777777" w:rsidR="005A65CE" w:rsidRPr="003171CD" w:rsidRDefault="004C79CC" w:rsidP="005A65CE">
      <w:pPr>
        <w:spacing w:after="120"/>
        <w:ind w:left="709" w:right="584"/>
        <w:jc w:val="both"/>
        <w:rPr>
          <w:sz w:val="16"/>
          <w:szCs w:val="16"/>
          <w:lang w:val="en-US"/>
        </w:rPr>
      </w:pPr>
      <w:r w:rsidRPr="003171CD">
        <w:rPr>
          <w:sz w:val="16"/>
          <w:szCs w:val="16"/>
          <w:lang w:val="en-US"/>
        </w:rPr>
        <w:t xml:space="preserve">In the </w:t>
      </w:r>
      <w:r w:rsidR="00664DD4" w:rsidRPr="003171CD">
        <w:rPr>
          <w:sz w:val="16"/>
          <w:szCs w:val="16"/>
          <w:lang w:val="en-US"/>
        </w:rPr>
        <w:t>identity parade</w:t>
      </w:r>
      <w:r w:rsidR="005A65CE" w:rsidRPr="003171CD">
        <w:rPr>
          <w:sz w:val="16"/>
          <w:szCs w:val="16"/>
          <w:lang w:val="en-US"/>
        </w:rPr>
        <w:t xml:space="preserve">, </w:t>
      </w:r>
      <w:r w:rsidRPr="003171CD">
        <w:rPr>
          <w:sz w:val="16"/>
          <w:szCs w:val="16"/>
          <w:lang w:val="en-US"/>
        </w:rPr>
        <w:t xml:space="preserve">the victim </w:t>
      </w:r>
      <w:r w:rsidR="00687AAF" w:rsidRPr="003171CD">
        <w:rPr>
          <w:sz w:val="16"/>
          <w:szCs w:val="16"/>
          <w:lang w:val="en-US"/>
        </w:rPr>
        <w:t xml:space="preserve">managed to recognize </w:t>
      </w:r>
      <w:r w:rsidR="005A65CE" w:rsidRPr="003171CD">
        <w:rPr>
          <w:sz w:val="16"/>
          <w:szCs w:val="16"/>
          <w:lang w:val="en-US"/>
        </w:rPr>
        <w:t>[, among others,] José Agapito Ruano Torres […]</w:t>
      </w:r>
      <w:r w:rsidRPr="003171CD">
        <w:rPr>
          <w:sz w:val="16"/>
          <w:szCs w:val="16"/>
          <w:lang w:val="en-US"/>
        </w:rPr>
        <w:t>.</w:t>
      </w:r>
      <w:r w:rsidR="005A65CE" w:rsidRPr="003171CD">
        <w:rPr>
          <w:sz w:val="16"/>
          <w:szCs w:val="16"/>
          <w:vertAlign w:val="superscript"/>
          <w:lang w:val="en-US"/>
        </w:rPr>
        <w:footnoteReference w:id="128"/>
      </w:r>
    </w:p>
    <w:p w14:paraId="38AF4444" w14:textId="77777777" w:rsidR="005A65CE" w:rsidRPr="003171CD" w:rsidRDefault="005A65CE" w:rsidP="005A65CE">
      <w:pPr>
        <w:spacing w:after="120"/>
        <w:ind w:left="709" w:right="584"/>
        <w:jc w:val="both"/>
        <w:rPr>
          <w:sz w:val="16"/>
          <w:szCs w:val="16"/>
          <w:lang w:val="en-US"/>
        </w:rPr>
      </w:pPr>
      <w:r w:rsidRPr="003171CD">
        <w:rPr>
          <w:sz w:val="16"/>
          <w:szCs w:val="16"/>
          <w:lang w:val="en-US"/>
        </w:rPr>
        <w:t>[…]</w:t>
      </w:r>
    </w:p>
    <w:p w14:paraId="36DAAA80" w14:textId="77777777" w:rsidR="005A65CE" w:rsidRPr="003171CD" w:rsidRDefault="00DC499C" w:rsidP="005A65CE">
      <w:pPr>
        <w:spacing w:after="120"/>
        <w:ind w:left="709" w:right="584"/>
        <w:jc w:val="both"/>
        <w:rPr>
          <w:sz w:val="16"/>
          <w:szCs w:val="16"/>
          <w:lang w:val="en-US"/>
        </w:rPr>
      </w:pPr>
      <w:r w:rsidRPr="003171CD">
        <w:rPr>
          <w:sz w:val="16"/>
          <w:szCs w:val="16"/>
          <w:lang w:val="en-US"/>
        </w:rPr>
        <w:t>[…I</w:t>
      </w:r>
      <w:r w:rsidR="005A65CE" w:rsidRPr="003171CD">
        <w:rPr>
          <w:sz w:val="16"/>
          <w:szCs w:val="16"/>
          <w:lang w:val="en-US"/>
        </w:rPr>
        <w:t xml:space="preserve">]n </w:t>
      </w:r>
      <w:r w:rsidRPr="003171CD">
        <w:rPr>
          <w:sz w:val="16"/>
          <w:szCs w:val="16"/>
          <w:lang w:val="en-US"/>
        </w:rPr>
        <w:t xml:space="preserve">their </w:t>
      </w:r>
      <w:r w:rsidR="005A65CE" w:rsidRPr="003171CD">
        <w:rPr>
          <w:sz w:val="16"/>
          <w:szCs w:val="16"/>
          <w:lang w:val="en-US"/>
        </w:rPr>
        <w:t xml:space="preserve">depositions […] </w:t>
      </w:r>
      <w:r w:rsidR="004C79CC" w:rsidRPr="003171CD">
        <w:rPr>
          <w:sz w:val="16"/>
          <w:szCs w:val="16"/>
          <w:lang w:val="en-US"/>
        </w:rPr>
        <w:t xml:space="preserve">they </w:t>
      </w:r>
      <w:r w:rsidR="005A65CE" w:rsidRPr="003171CD">
        <w:rPr>
          <w:sz w:val="16"/>
          <w:szCs w:val="16"/>
          <w:lang w:val="en-US"/>
        </w:rPr>
        <w:t>tr</w:t>
      </w:r>
      <w:r w:rsidR="004C79CC" w:rsidRPr="003171CD">
        <w:rPr>
          <w:sz w:val="16"/>
          <w:szCs w:val="16"/>
          <w:lang w:val="en-US"/>
        </w:rPr>
        <w:t>ied</w:t>
      </w:r>
      <w:r w:rsidR="004A3F79" w:rsidRPr="003171CD">
        <w:rPr>
          <w:sz w:val="16"/>
          <w:szCs w:val="16"/>
          <w:lang w:val="en-US"/>
        </w:rPr>
        <w:t xml:space="preserve"> to place the accused at</w:t>
      </w:r>
      <w:r w:rsidR="005A65CE" w:rsidRPr="003171CD">
        <w:rPr>
          <w:sz w:val="16"/>
          <w:szCs w:val="16"/>
          <w:lang w:val="en-US"/>
        </w:rPr>
        <w:t xml:space="preserve"> a </w:t>
      </w:r>
      <w:r w:rsidR="004A3F79" w:rsidRPr="003171CD">
        <w:rPr>
          <w:sz w:val="16"/>
          <w:szCs w:val="16"/>
          <w:lang w:val="en-US"/>
        </w:rPr>
        <w:t xml:space="preserve">location </w:t>
      </w:r>
      <w:r w:rsidR="005A65CE" w:rsidRPr="003171CD">
        <w:rPr>
          <w:sz w:val="16"/>
          <w:szCs w:val="16"/>
          <w:lang w:val="en-US"/>
        </w:rPr>
        <w:t>dif</w:t>
      </w:r>
      <w:r w:rsidR="00CB14D7" w:rsidRPr="003171CD">
        <w:rPr>
          <w:sz w:val="16"/>
          <w:szCs w:val="16"/>
          <w:lang w:val="en-US"/>
        </w:rPr>
        <w:t>f</w:t>
      </w:r>
      <w:r w:rsidR="005A65CE" w:rsidRPr="003171CD">
        <w:rPr>
          <w:sz w:val="16"/>
          <w:szCs w:val="16"/>
          <w:lang w:val="en-US"/>
        </w:rPr>
        <w:t>erent</w:t>
      </w:r>
      <w:r w:rsidRPr="003171CD">
        <w:rPr>
          <w:sz w:val="16"/>
          <w:szCs w:val="16"/>
          <w:lang w:val="en-US"/>
        </w:rPr>
        <w:t xml:space="preserve"> to the </w:t>
      </w:r>
      <w:r w:rsidR="00CB14D7" w:rsidRPr="003171CD">
        <w:rPr>
          <w:sz w:val="16"/>
          <w:szCs w:val="16"/>
          <w:lang w:val="en-US"/>
        </w:rPr>
        <w:t xml:space="preserve">area </w:t>
      </w:r>
      <w:r w:rsidRPr="003171CD">
        <w:rPr>
          <w:sz w:val="16"/>
          <w:szCs w:val="16"/>
          <w:lang w:val="en-US"/>
        </w:rPr>
        <w:t>where the events took place</w:t>
      </w:r>
      <w:r w:rsidR="005A65CE" w:rsidRPr="003171CD">
        <w:rPr>
          <w:sz w:val="16"/>
          <w:szCs w:val="16"/>
          <w:lang w:val="en-US"/>
        </w:rPr>
        <w:t xml:space="preserve">, </w:t>
      </w:r>
      <w:r w:rsidRPr="003171CD">
        <w:rPr>
          <w:sz w:val="16"/>
          <w:szCs w:val="16"/>
          <w:lang w:val="en-US"/>
        </w:rPr>
        <w:t xml:space="preserve">but </w:t>
      </w:r>
      <w:r w:rsidR="004A3F79" w:rsidRPr="003171CD">
        <w:rPr>
          <w:sz w:val="16"/>
          <w:szCs w:val="16"/>
          <w:lang w:val="en-US"/>
        </w:rPr>
        <w:t xml:space="preserve">those </w:t>
      </w:r>
      <w:r w:rsidR="005A65CE" w:rsidRPr="003171CD">
        <w:rPr>
          <w:sz w:val="16"/>
          <w:szCs w:val="16"/>
          <w:lang w:val="en-US"/>
        </w:rPr>
        <w:t xml:space="preserve">circumstances </w:t>
      </w:r>
      <w:r w:rsidR="00DD152A" w:rsidRPr="003171CD">
        <w:rPr>
          <w:sz w:val="16"/>
          <w:szCs w:val="16"/>
          <w:lang w:val="en-US"/>
        </w:rPr>
        <w:t xml:space="preserve">were not </w:t>
      </w:r>
      <w:r w:rsidR="005A65CE" w:rsidRPr="003171CD">
        <w:rPr>
          <w:sz w:val="16"/>
          <w:szCs w:val="16"/>
          <w:lang w:val="en-US"/>
        </w:rPr>
        <w:t>corrobora</w:t>
      </w:r>
      <w:r w:rsidRPr="003171CD">
        <w:rPr>
          <w:sz w:val="16"/>
          <w:szCs w:val="16"/>
          <w:lang w:val="en-US"/>
        </w:rPr>
        <w:t xml:space="preserve">ted </w:t>
      </w:r>
      <w:r w:rsidR="00CB14D7" w:rsidRPr="003171CD">
        <w:rPr>
          <w:sz w:val="16"/>
          <w:szCs w:val="16"/>
          <w:lang w:val="en-US"/>
        </w:rPr>
        <w:t>by any other eviden</w:t>
      </w:r>
      <w:r w:rsidR="004A3F79" w:rsidRPr="003171CD">
        <w:rPr>
          <w:sz w:val="16"/>
          <w:szCs w:val="16"/>
          <w:lang w:val="en-US"/>
        </w:rPr>
        <w:t>tiary sources</w:t>
      </w:r>
      <w:r w:rsidR="005A65CE" w:rsidRPr="003171CD">
        <w:rPr>
          <w:sz w:val="16"/>
          <w:szCs w:val="16"/>
          <w:lang w:val="en-US"/>
        </w:rPr>
        <w:t xml:space="preserve">; </w:t>
      </w:r>
      <w:r w:rsidR="00CB14D7" w:rsidRPr="003171CD">
        <w:rPr>
          <w:sz w:val="16"/>
          <w:szCs w:val="16"/>
          <w:lang w:val="en-US"/>
        </w:rPr>
        <w:t xml:space="preserve">it should also be borne in mind that </w:t>
      </w:r>
      <w:r w:rsidR="004F7132" w:rsidRPr="003171CD">
        <w:rPr>
          <w:sz w:val="16"/>
          <w:szCs w:val="16"/>
          <w:lang w:val="en-US"/>
        </w:rPr>
        <w:t xml:space="preserve">they </w:t>
      </w:r>
      <w:r w:rsidR="00DD152A" w:rsidRPr="003171CD">
        <w:rPr>
          <w:sz w:val="16"/>
          <w:szCs w:val="16"/>
          <w:lang w:val="en-US"/>
        </w:rPr>
        <w:t xml:space="preserve">[the deponents] </w:t>
      </w:r>
      <w:r w:rsidR="004F7132" w:rsidRPr="003171CD">
        <w:rPr>
          <w:sz w:val="16"/>
          <w:szCs w:val="16"/>
          <w:lang w:val="en-US"/>
        </w:rPr>
        <w:t xml:space="preserve">are </w:t>
      </w:r>
      <w:r w:rsidR="00E64A28" w:rsidRPr="003171CD">
        <w:rPr>
          <w:sz w:val="16"/>
          <w:szCs w:val="16"/>
          <w:lang w:val="en-US"/>
        </w:rPr>
        <w:t xml:space="preserve">relatives and friends </w:t>
      </w:r>
      <w:r w:rsidR="005A65CE" w:rsidRPr="003171CD">
        <w:rPr>
          <w:sz w:val="16"/>
          <w:szCs w:val="16"/>
          <w:lang w:val="en-US"/>
        </w:rPr>
        <w:t xml:space="preserve">of the accused; and </w:t>
      </w:r>
      <w:r w:rsidR="004F7132" w:rsidRPr="003171CD">
        <w:rPr>
          <w:sz w:val="16"/>
          <w:szCs w:val="16"/>
          <w:lang w:val="en-US"/>
        </w:rPr>
        <w:t xml:space="preserve">there are contradictions between </w:t>
      </w:r>
      <w:r w:rsidR="004C79CC" w:rsidRPr="003171CD">
        <w:rPr>
          <w:sz w:val="16"/>
          <w:szCs w:val="16"/>
          <w:lang w:val="en-US"/>
        </w:rPr>
        <w:t xml:space="preserve">their statements and the </w:t>
      </w:r>
      <w:r w:rsidR="005A65CE" w:rsidRPr="003171CD">
        <w:rPr>
          <w:sz w:val="16"/>
          <w:szCs w:val="16"/>
          <w:lang w:val="en-US"/>
        </w:rPr>
        <w:t xml:space="preserve">depositions of the </w:t>
      </w:r>
      <w:r w:rsidR="00CB14D7" w:rsidRPr="003171CD">
        <w:rPr>
          <w:sz w:val="16"/>
          <w:szCs w:val="16"/>
          <w:lang w:val="en-US"/>
        </w:rPr>
        <w:t xml:space="preserve">other </w:t>
      </w:r>
      <w:r w:rsidR="005A65CE" w:rsidRPr="003171CD">
        <w:rPr>
          <w:sz w:val="16"/>
          <w:szCs w:val="16"/>
          <w:lang w:val="en-US"/>
        </w:rPr>
        <w:t>witnesses</w:t>
      </w:r>
      <w:r w:rsidR="0035657C" w:rsidRPr="003171CD">
        <w:rPr>
          <w:sz w:val="16"/>
          <w:szCs w:val="16"/>
          <w:lang w:val="en-US"/>
        </w:rPr>
        <w:t>.</w:t>
      </w:r>
      <w:r w:rsidR="005A65CE" w:rsidRPr="003171CD">
        <w:rPr>
          <w:sz w:val="16"/>
          <w:szCs w:val="16"/>
          <w:vertAlign w:val="superscript"/>
          <w:lang w:val="en-US"/>
        </w:rPr>
        <w:footnoteReference w:id="129"/>
      </w:r>
    </w:p>
    <w:p w14:paraId="7DCBBEB9" w14:textId="77777777" w:rsidR="005A65CE" w:rsidRPr="003171CD" w:rsidRDefault="005A65CE" w:rsidP="005A65CE">
      <w:pPr>
        <w:spacing w:after="120"/>
        <w:ind w:left="709" w:right="584"/>
        <w:jc w:val="both"/>
        <w:rPr>
          <w:sz w:val="16"/>
          <w:szCs w:val="16"/>
          <w:lang w:val="en-US"/>
        </w:rPr>
      </w:pPr>
      <w:r w:rsidRPr="003171CD">
        <w:rPr>
          <w:sz w:val="16"/>
          <w:szCs w:val="16"/>
          <w:lang w:val="en-US"/>
        </w:rPr>
        <w:t>[…]</w:t>
      </w:r>
    </w:p>
    <w:p w14:paraId="0C60B154" w14:textId="77777777" w:rsidR="005A65CE" w:rsidRPr="003171CD" w:rsidRDefault="00CB14D7" w:rsidP="005A65CE">
      <w:pPr>
        <w:spacing w:after="120"/>
        <w:ind w:left="709" w:right="584"/>
        <w:jc w:val="both"/>
        <w:rPr>
          <w:sz w:val="16"/>
          <w:szCs w:val="16"/>
          <w:lang w:val="en-US"/>
        </w:rPr>
      </w:pPr>
      <w:r w:rsidRPr="003171CD">
        <w:rPr>
          <w:sz w:val="16"/>
          <w:szCs w:val="16"/>
          <w:lang w:val="en-US"/>
        </w:rPr>
        <w:t>[T</w:t>
      </w:r>
      <w:r w:rsidR="005A65CE" w:rsidRPr="003171CD">
        <w:rPr>
          <w:sz w:val="16"/>
          <w:szCs w:val="16"/>
          <w:lang w:val="en-US"/>
        </w:rPr>
        <w:t>]</w:t>
      </w:r>
      <w:r w:rsidRPr="003171CD">
        <w:rPr>
          <w:sz w:val="16"/>
          <w:szCs w:val="16"/>
          <w:lang w:val="en-US"/>
        </w:rPr>
        <w:t>his Court considers</w:t>
      </w:r>
      <w:r w:rsidR="005A65CE" w:rsidRPr="003171CD">
        <w:rPr>
          <w:sz w:val="16"/>
          <w:szCs w:val="16"/>
          <w:lang w:val="en-US"/>
        </w:rPr>
        <w:t xml:space="preserve"> that </w:t>
      </w:r>
      <w:r w:rsidR="004F7132" w:rsidRPr="003171CD">
        <w:rPr>
          <w:sz w:val="16"/>
          <w:szCs w:val="16"/>
          <w:lang w:val="en-US"/>
        </w:rPr>
        <w:t xml:space="preserve">indeed there is no record </w:t>
      </w:r>
      <w:r w:rsidR="00515480" w:rsidRPr="003171CD">
        <w:rPr>
          <w:sz w:val="16"/>
          <w:szCs w:val="16"/>
          <w:lang w:val="en-US"/>
        </w:rPr>
        <w:t>of</w:t>
      </w:r>
      <w:r w:rsidR="00FE0DD1" w:rsidRPr="003171CD">
        <w:rPr>
          <w:sz w:val="16"/>
          <w:szCs w:val="16"/>
          <w:lang w:val="en-US"/>
        </w:rPr>
        <w:t xml:space="preserve"> the decision regarding </w:t>
      </w:r>
      <w:r w:rsidR="005A65CE" w:rsidRPr="003171CD">
        <w:rPr>
          <w:sz w:val="16"/>
          <w:szCs w:val="16"/>
          <w:lang w:val="en-US"/>
        </w:rPr>
        <w:t xml:space="preserve">the </w:t>
      </w:r>
      <w:r w:rsidR="00FE0DD1" w:rsidRPr="003171CD">
        <w:rPr>
          <w:sz w:val="16"/>
          <w:szCs w:val="16"/>
          <w:lang w:val="en-US"/>
        </w:rPr>
        <w:t xml:space="preserve">prosecutor’s </w:t>
      </w:r>
      <w:r w:rsidR="005A65CE" w:rsidRPr="003171CD">
        <w:rPr>
          <w:sz w:val="16"/>
          <w:szCs w:val="16"/>
          <w:lang w:val="en-US"/>
        </w:rPr>
        <w:t xml:space="preserve">petition </w:t>
      </w:r>
      <w:r w:rsidR="00687AAF" w:rsidRPr="003171CD">
        <w:rPr>
          <w:sz w:val="16"/>
          <w:szCs w:val="16"/>
          <w:lang w:val="en-US"/>
        </w:rPr>
        <w:t xml:space="preserve">[to receive the statement </w:t>
      </w:r>
      <w:r w:rsidR="005A65CE" w:rsidRPr="003171CD">
        <w:rPr>
          <w:sz w:val="16"/>
          <w:szCs w:val="16"/>
          <w:lang w:val="en-US"/>
        </w:rPr>
        <w:t xml:space="preserve">of Amaya </w:t>
      </w:r>
      <w:r w:rsidRPr="003171CD">
        <w:rPr>
          <w:sz w:val="16"/>
          <w:szCs w:val="16"/>
          <w:lang w:val="en-US"/>
        </w:rPr>
        <w:t xml:space="preserve">as </w:t>
      </w:r>
      <w:r w:rsidR="00FE0DD1" w:rsidRPr="003171CD">
        <w:rPr>
          <w:sz w:val="16"/>
          <w:szCs w:val="16"/>
          <w:lang w:val="en-US"/>
        </w:rPr>
        <w:t xml:space="preserve">pre-trial </w:t>
      </w:r>
      <w:r w:rsidR="005A65CE" w:rsidRPr="003171CD">
        <w:rPr>
          <w:sz w:val="16"/>
          <w:szCs w:val="16"/>
          <w:lang w:val="en-US"/>
        </w:rPr>
        <w:t>evide</w:t>
      </w:r>
      <w:r w:rsidR="004F7132" w:rsidRPr="003171CD">
        <w:rPr>
          <w:sz w:val="16"/>
          <w:szCs w:val="16"/>
          <w:lang w:val="en-US"/>
        </w:rPr>
        <w:t>nce. I</w:t>
      </w:r>
      <w:r w:rsidR="005A65CE" w:rsidRPr="003171CD">
        <w:rPr>
          <w:sz w:val="16"/>
          <w:szCs w:val="16"/>
          <w:lang w:val="en-US"/>
        </w:rPr>
        <w:t xml:space="preserve">]n </w:t>
      </w:r>
      <w:r w:rsidR="008A2EFC" w:rsidRPr="003171CD">
        <w:rPr>
          <w:sz w:val="16"/>
          <w:szCs w:val="16"/>
          <w:lang w:val="en-US"/>
        </w:rPr>
        <w:t>that</w:t>
      </w:r>
      <w:r w:rsidR="0035657C" w:rsidRPr="003171CD">
        <w:rPr>
          <w:sz w:val="16"/>
          <w:szCs w:val="16"/>
          <w:lang w:val="en-US"/>
        </w:rPr>
        <w:t xml:space="preserve"> </w:t>
      </w:r>
      <w:r w:rsidR="00FE0DD1" w:rsidRPr="003171CD">
        <w:rPr>
          <w:sz w:val="16"/>
          <w:szCs w:val="16"/>
          <w:lang w:val="en-US"/>
        </w:rPr>
        <w:t xml:space="preserve">procedure </w:t>
      </w:r>
      <w:r w:rsidR="0035657C" w:rsidRPr="003171CD">
        <w:rPr>
          <w:sz w:val="16"/>
          <w:szCs w:val="16"/>
          <w:lang w:val="en-US"/>
        </w:rPr>
        <w:t xml:space="preserve">to </w:t>
      </w:r>
      <w:r w:rsidR="00FE0DD1" w:rsidRPr="003171CD">
        <w:rPr>
          <w:sz w:val="16"/>
          <w:szCs w:val="16"/>
          <w:lang w:val="en-US"/>
        </w:rPr>
        <w:t xml:space="preserve">obtain </w:t>
      </w:r>
      <w:r w:rsidR="0035657C" w:rsidRPr="003171CD">
        <w:rPr>
          <w:sz w:val="16"/>
          <w:szCs w:val="16"/>
          <w:lang w:val="en-US"/>
        </w:rPr>
        <w:t xml:space="preserve">pre-trial evidence all </w:t>
      </w:r>
      <w:r w:rsidR="005A65CE" w:rsidRPr="003171CD">
        <w:rPr>
          <w:sz w:val="16"/>
          <w:szCs w:val="16"/>
          <w:lang w:val="en-US"/>
        </w:rPr>
        <w:t xml:space="preserve">the procedural </w:t>
      </w:r>
      <w:r w:rsidR="00A20E5B" w:rsidRPr="003171CD">
        <w:rPr>
          <w:sz w:val="16"/>
          <w:szCs w:val="16"/>
          <w:lang w:val="en-US"/>
        </w:rPr>
        <w:t xml:space="preserve">parties </w:t>
      </w:r>
      <w:r w:rsidR="00FE0DD1" w:rsidRPr="003171CD">
        <w:rPr>
          <w:sz w:val="16"/>
          <w:szCs w:val="16"/>
          <w:lang w:val="en-US"/>
        </w:rPr>
        <w:t xml:space="preserve">concerned </w:t>
      </w:r>
      <w:r w:rsidR="008D4150" w:rsidRPr="003171CD">
        <w:rPr>
          <w:sz w:val="16"/>
          <w:szCs w:val="16"/>
          <w:lang w:val="en-US"/>
        </w:rPr>
        <w:t xml:space="preserve">at that </w:t>
      </w:r>
      <w:r w:rsidR="005A65CE" w:rsidRPr="003171CD">
        <w:rPr>
          <w:sz w:val="16"/>
          <w:szCs w:val="16"/>
          <w:lang w:val="en-US"/>
        </w:rPr>
        <w:t xml:space="preserve">moment </w:t>
      </w:r>
      <w:r w:rsidR="00B869F9" w:rsidRPr="003171CD">
        <w:rPr>
          <w:sz w:val="16"/>
          <w:szCs w:val="16"/>
          <w:lang w:val="en-US"/>
        </w:rPr>
        <w:t xml:space="preserve">were </w:t>
      </w:r>
      <w:r w:rsidR="005A65CE" w:rsidRPr="003171CD">
        <w:rPr>
          <w:sz w:val="16"/>
          <w:szCs w:val="16"/>
          <w:lang w:val="en-US"/>
        </w:rPr>
        <w:t>present</w:t>
      </w:r>
      <w:r w:rsidR="00FE0DD1" w:rsidRPr="003171CD">
        <w:rPr>
          <w:sz w:val="16"/>
          <w:szCs w:val="16"/>
          <w:lang w:val="en-US"/>
        </w:rPr>
        <w:t>; therefore</w:t>
      </w:r>
      <w:r w:rsidR="005A65CE" w:rsidRPr="003171CD">
        <w:rPr>
          <w:sz w:val="16"/>
          <w:szCs w:val="16"/>
          <w:lang w:val="en-US"/>
        </w:rPr>
        <w:t xml:space="preserve"> no </w:t>
      </w:r>
      <w:r w:rsidR="00FE0DD1" w:rsidRPr="003171CD">
        <w:rPr>
          <w:sz w:val="16"/>
          <w:szCs w:val="16"/>
          <w:lang w:val="en-US"/>
        </w:rPr>
        <w:t xml:space="preserve">right was </w:t>
      </w:r>
      <w:r w:rsidR="005A65CE" w:rsidRPr="003171CD">
        <w:rPr>
          <w:sz w:val="16"/>
          <w:szCs w:val="16"/>
          <w:lang w:val="en-US"/>
        </w:rPr>
        <w:t>violate</w:t>
      </w:r>
      <w:r w:rsidR="00FE0DD1" w:rsidRPr="003171CD">
        <w:rPr>
          <w:sz w:val="16"/>
          <w:szCs w:val="16"/>
          <w:lang w:val="en-US"/>
        </w:rPr>
        <w:t>d</w:t>
      </w:r>
      <w:r w:rsidR="005A65CE" w:rsidRPr="003171CD">
        <w:rPr>
          <w:sz w:val="16"/>
          <w:szCs w:val="16"/>
          <w:lang w:val="en-US"/>
        </w:rPr>
        <w:t xml:space="preserve"> since </w:t>
      </w:r>
      <w:r w:rsidR="00B869F9" w:rsidRPr="003171CD">
        <w:rPr>
          <w:sz w:val="16"/>
          <w:szCs w:val="16"/>
          <w:lang w:val="en-US"/>
        </w:rPr>
        <w:t xml:space="preserve">this </w:t>
      </w:r>
      <w:r w:rsidR="00FE0DD1" w:rsidRPr="003171CD">
        <w:rPr>
          <w:sz w:val="16"/>
          <w:szCs w:val="16"/>
          <w:lang w:val="en-US"/>
        </w:rPr>
        <w:t xml:space="preserve">was done in accordance with </w:t>
      </w:r>
      <w:r w:rsidR="00B869F9" w:rsidRPr="003171CD">
        <w:rPr>
          <w:sz w:val="16"/>
          <w:szCs w:val="16"/>
          <w:lang w:val="en-US"/>
        </w:rPr>
        <w:t>the principle of im</w:t>
      </w:r>
      <w:r w:rsidR="005A65CE" w:rsidRPr="003171CD">
        <w:rPr>
          <w:sz w:val="16"/>
          <w:szCs w:val="16"/>
          <w:lang w:val="en-US"/>
        </w:rPr>
        <w:t>media</w:t>
      </w:r>
      <w:r w:rsidR="007B24DA" w:rsidRPr="003171CD">
        <w:rPr>
          <w:sz w:val="16"/>
          <w:szCs w:val="16"/>
          <w:lang w:val="en-US"/>
        </w:rPr>
        <w:t>cy and the adversarial principle</w:t>
      </w:r>
      <w:r w:rsidR="005A65CE" w:rsidRPr="003171CD">
        <w:rPr>
          <w:sz w:val="16"/>
          <w:szCs w:val="16"/>
          <w:lang w:val="en-US"/>
        </w:rPr>
        <w:t xml:space="preserve">, </w:t>
      </w:r>
      <w:r w:rsidR="00B8108A" w:rsidRPr="003171CD">
        <w:rPr>
          <w:sz w:val="16"/>
          <w:szCs w:val="16"/>
          <w:lang w:val="en-US"/>
        </w:rPr>
        <w:t xml:space="preserve">and </w:t>
      </w:r>
      <w:r w:rsidR="00FE0DD1" w:rsidRPr="003171CD">
        <w:rPr>
          <w:sz w:val="16"/>
          <w:szCs w:val="16"/>
          <w:lang w:val="en-US"/>
        </w:rPr>
        <w:t xml:space="preserve">no appeal was lodged </w:t>
      </w:r>
      <w:r w:rsidR="005A65CE" w:rsidRPr="003171CD">
        <w:rPr>
          <w:sz w:val="16"/>
          <w:szCs w:val="16"/>
          <w:lang w:val="en-US"/>
        </w:rPr>
        <w:t>[…]</w:t>
      </w:r>
      <w:r w:rsidR="00DD152A" w:rsidRPr="003171CD">
        <w:rPr>
          <w:sz w:val="16"/>
          <w:szCs w:val="16"/>
          <w:lang w:val="en-US"/>
        </w:rPr>
        <w:t>.</w:t>
      </w:r>
      <w:r w:rsidR="005A65CE" w:rsidRPr="003171CD">
        <w:rPr>
          <w:sz w:val="16"/>
          <w:szCs w:val="16"/>
          <w:vertAlign w:val="superscript"/>
          <w:lang w:val="en-US"/>
        </w:rPr>
        <w:footnoteReference w:id="130"/>
      </w:r>
    </w:p>
    <w:p w14:paraId="747F8934" w14:textId="77777777" w:rsidR="005A65CE" w:rsidRPr="003171CD" w:rsidRDefault="005A65CE" w:rsidP="005A65CE">
      <w:pPr>
        <w:pStyle w:val="Prrafodelista"/>
        <w:rPr>
          <w:rFonts w:cs="Arial"/>
          <w:lang w:val="en-US"/>
        </w:rPr>
      </w:pPr>
    </w:p>
    <w:p w14:paraId="5BBF77BD"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lang w:val="en-US"/>
        </w:rPr>
        <w:t xml:space="preserve">On October 17, 2001, the Office of the Human Rights Ombudsman </w:t>
      </w:r>
      <w:r w:rsidR="00A20E5B" w:rsidRPr="003171CD">
        <w:rPr>
          <w:lang w:val="en-US"/>
        </w:rPr>
        <w:t xml:space="preserve">submitted </w:t>
      </w:r>
      <w:r w:rsidRPr="003171CD">
        <w:rPr>
          <w:lang w:val="en-US"/>
        </w:rPr>
        <w:t xml:space="preserve">a complaint regarding the lack of participation of some witnesses during the public hearing, despite having been </w:t>
      </w:r>
      <w:r w:rsidR="007A702F" w:rsidRPr="003171CD">
        <w:rPr>
          <w:lang w:val="en-US"/>
        </w:rPr>
        <w:t xml:space="preserve">summoned, and requested </w:t>
      </w:r>
      <w:r w:rsidR="00A20E5B" w:rsidRPr="003171CD">
        <w:rPr>
          <w:lang w:val="en-US"/>
        </w:rPr>
        <w:t xml:space="preserve">a </w:t>
      </w:r>
      <w:r w:rsidR="007A702F" w:rsidRPr="003171CD">
        <w:rPr>
          <w:lang w:val="en-US"/>
        </w:rPr>
        <w:t xml:space="preserve">report </w:t>
      </w:r>
      <w:r w:rsidR="00A20E5B" w:rsidRPr="003171CD">
        <w:rPr>
          <w:lang w:val="en-US"/>
        </w:rPr>
        <w:t xml:space="preserve">from </w:t>
      </w:r>
      <w:r w:rsidRPr="003171CD">
        <w:rPr>
          <w:lang w:val="en-US"/>
        </w:rPr>
        <w:t xml:space="preserve">the </w:t>
      </w:r>
      <w:r w:rsidR="007A702F" w:rsidRPr="003171CD">
        <w:rPr>
          <w:lang w:val="en-US"/>
        </w:rPr>
        <w:t xml:space="preserve">Court </w:t>
      </w:r>
      <w:r w:rsidRPr="003171CD">
        <w:rPr>
          <w:lang w:val="en-US"/>
        </w:rPr>
        <w:t xml:space="preserve">of </w:t>
      </w:r>
      <w:r w:rsidR="007A702F" w:rsidRPr="003171CD">
        <w:rPr>
          <w:lang w:val="en-US"/>
        </w:rPr>
        <w:t>First Instance</w:t>
      </w:r>
      <w:r w:rsidRPr="003171CD">
        <w:rPr>
          <w:lang w:val="en-US"/>
        </w:rPr>
        <w:t xml:space="preserve"> of Tonacatepeque and </w:t>
      </w:r>
      <w:r w:rsidR="007A702F" w:rsidRPr="003171CD">
        <w:rPr>
          <w:lang w:val="en-US"/>
        </w:rPr>
        <w:t xml:space="preserve">the </w:t>
      </w:r>
      <w:r w:rsidRPr="003171CD">
        <w:rPr>
          <w:lang w:val="en-US"/>
        </w:rPr>
        <w:t xml:space="preserve">Second </w:t>
      </w:r>
      <w:r w:rsidRPr="003171CD">
        <w:rPr>
          <w:lang w:val="en-US"/>
        </w:rPr>
        <w:lastRenderedPageBreak/>
        <w:t>Trial Court of San Salvador.</w:t>
      </w:r>
      <w:r w:rsidRPr="003171CD">
        <w:rPr>
          <w:vertAlign w:val="superscript"/>
          <w:lang w:val="en-US"/>
        </w:rPr>
        <w:footnoteReference w:id="131"/>
      </w:r>
      <w:r w:rsidR="00B869F9" w:rsidRPr="003171CD">
        <w:rPr>
          <w:rFonts w:cs="Arial"/>
          <w:lang w:val="en-US"/>
        </w:rPr>
        <w:t xml:space="preserve"> </w:t>
      </w:r>
      <w:r w:rsidR="00A20E5B" w:rsidRPr="003171CD">
        <w:rPr>
          <w:rFonts w:cs="Arial"/>
          <w:lang w:val="en-US"/>
        </w:rPr>
        <w:t xml:space="preserve">With regard to </w:t>
      </w:r>
      <w:r w:rsidR="00B869F9" w:rsidRPr="003171CD">
        <w:rPr>
          <w:rFonts w:cs="Arial"/>
          <w:lang w:val="en-US"/>
        </w:rPr>
        <w:t xml:space="preserve">the situation of </w:t>
      </w:r>
      <w:r w:rsidRPr="003171CD">
        <w:rPr>
          <w:rFonts w:cs="Arial"/>
          <w:lang w:val="en-US"/>
        </w:rPr>
        <w:t xml:space="preserve">Mr. Ruano Torres, the Second Trial Court of San Salvador </w:t>
      </w:r>
      <w:r w:rsidR="00A20E5B" w:rsidRPr="003171CD">
        <w:rPr>
          <w:rFonts w:cs="Arial"/>
          <w:lang w:val="en-US"/>
        </w:rPr>
        <w:t xml:space="preserve">indicated </w:t>
      </w:r>
      <w:r w:rsidR="00E01D94" w:rsidRPr="003171CD">
        <w:rPr>
          <w:rFonts w:cs="Arial"/>
          <w:lang w:val="en-US"/>
        </w:rPr>
        <w:t xml:space="preserve">that </w:t>
      </w:r>
      <w:r w:rsidR="00A20E5B" w:rsidRPr="003171CD">
        <w:rPr>
          <w:rFonts w:cs="Arial"/>
          <w:lang w:val="en-US"/>
        </w:rPr>
        <w:t>the testimony</w:t>
      </w:r>
      <w:r w:rsidRPr="003171CD">
        <w:rPr>
          <w:rFonts w:cs="Arial"/>
          <w:lang w:val="en-US"/>
        </w:rPr>
        <w:t xml:space="preserve"> of Eleazar Antonio Alemán, Roberto Ruano Torres, José Alberto and Ana Marlene Orellana Barrera, Nublas Antonio and Miguel Antonio To</w:t>
      </w:r>
      <w:r w:rsidR="00E01D94" w:rsidRPr="003171CD">
        <w:rPr>
          <w:rFonts w:cs="Arial"/>
          <w:lang w:val="en-US"/>
        </w:rPr>
        <w:t>rres, and María Maribel Guevara</w:t>
      </w:r>
      <w:r w:rsidR="00FF2466" w:rsidRPr="003171CD">
        <w:rPr>
          <w:rFonts w:cs="Arial"/>
          <w:lang w:val="en-US"/>
        </w:rPr>
        <w:t>,</w:t>
      </w:r>
      <w:r w:rsidR="00E01D94" w:rsidRPr="003171CD">
        <w:rPr>
          <w:rFonts w:cs="Arial"/>
          <w:lang w:val="en-US"/>
        </w:rPr>
        <w:t xml:space="preserve"> had already been admitted </w:t>
      </w:r>
      <w:r w:rsidR="00A20E5B" w:rsidRPr="003171CD">
        <w:rPr>
          <w:rFonts w:cs="Arial"/>
          <w:lang w:val="en-US"/>
        </w:rPr>
        <w:t xml:space="preserve">during </w:t>
      </w:r>
      <w:r w:rsidR="00E01D94" w:rsidRPr="003171CD">
        <w:rPr>
          <w:rFonts w:cs="Arial"/>
          <w:lang w:val="en-US"/>
        </w:rPr>
        <w:t>the preliminary hearing.</w:t>
      </w:r>
      <w:r w:rsidRPr="003171CD">
        <w:rPr>
          <w:rFonts w:cs="Arial"/>
          <w:lang w:val="en-US"/>
        </w:rPr>
        <w:t xml:space="preserve"> </w:t>
      </w:r>
      <w:r w:rsidR="00A20E5B" w:rsidRPr="003171CD">
        <w:rPr>
          <w:rFonts w:cs="Arial"/>
          <w:lang w:val="en-US"/>
        </w:rPr>
        <w:t xml:space="preserve">Furthermore, the court pointed out </w:t>
      </w:r>
      <w:r w:rsidRPr="003171CD">
        <w:rPr>
          <w:rFonts w:cs="Arial"/>
          <w:lang w:val="en-US"/>
        </w:rPr>
        <w:t>that José Agapito Ruano Torres</w:t>
      </w:r>
      <w:r w:rsidR="00E01D94" w:rsidRPr="003171CD">
        <w:rPr>
          <w:rFonts w:cs="Arial"/>
          <w:lang w:val="en-US"/>
        </w:rPr>
        <w:t>’ own defense</w:t>
      </w:r>
      <w:r w:rsidRPr="003171CD">
        <w:rPr>
          <w:rFonts w:cs="Arial"/>
          <w:lang w:val="en-US"/>
        </w:rPr>
        <w:t xml:space="preserve"> “</w:t>
      </w:r>
      <w:r w:rsidR="00A20E5B" w:rsidRPr="003171CD">
        <w:rPr>
          <w:rFonts w:cs="Arial"/>
          <w:lang w:val="en-US"/>
        </w:rPr>
        <w:t xml:space="preserve">stated that it would not use </w:t>
      </w:r>
      <w:r w:rsidRPr="003171CD">
        <w:rPr>
          <w:rFonts w:cs="Arial"/>
          <w:lang w:val="en-US"/>
        </w:rPr>
        <w:t xml:space="preserve">the </w:t>
      </w:r>
      <w:r w:rsidR="00A20E5B" w:rsidRPr="003171CD">
        <w:rPr>
          <w:rFonts w:cs="Arial"/>
          <w:lang w:val="en-US"/>
        </w:rPr>
        <w:t xml:space="preserve">testimony </w:t>
      </w:r>
      <w:r w:rsidR="00B869F9" w:rsidRPr="003171CD">
        <w:rPr>
          <w:rFonts w:cs="Arial"/>
          <w:lang w:val="en-US"/>
        </w:rPr>
        <w:t xml:space="preserve">of </w:t>
      </w:r>
      <w:r w:rsidR="00FF2466" w:rsidRPr="003171CD">
        <w:rPr>
          <w:rFonts w:cs="Arial"/>
          <w:lang w:val="en-US"/>
        </w:rPr>
        <w:t xml:space="preserve">the </w:t>
      </w:r>
      <w:r w:rsidRPr="003171CD">
        <w:rPr>
          <w:rFonts w:cs="Arial"/>
          <w:lang w:val="en-US"/>
        </w:rPr>
        <w:t>witness Leonel Alcides Orellana</w:t>
      </w:r>
      <w:r w:rsidR="00E01D94" w:rsidRPr="003171CD">
        <w:rPr>
          <w:rFonts w:cs="Arial"/>
          <w:lang w:val="en-US"/>
        </w:rPr>
        <w:t>.</w:t>
      </w:r>
      <w:r w:rsidRPr="003171CD">
        <w:rPr>
          <w:rFonts w:cs="Arial"/>
          <w:lang w:val="en-US"/>
        </w:rPr>
        <w:t>”</w:t>
      </w:r>
      <w:r w:rsidRPr="003171CD">
        <w:rPr>
          <w:vertAlign w:val="superscript"/>
          <w:lang w:val="en-US"/>
        </w:rPr>
        <w:footnoteReference w:id="132"/>
      </w:r>
    </w:p>
    <w:p w14:paraId="5B618492" w14:textId="77777777" w:rsidR="005A65CE" w:rsidRPr="003171CD" w:rsidRDefault="005A65CE" w:rsidP="005A65CE">
      <w:pPr>
        <w:jc w:val="both"/>
        <w:rPr>
          <w:rFonts w:cs="Arial"/>
          <w:snapToGrid/>
          <w:lang w:val="en-US" w:eastAsia="en-US"/>
        </w:rPr>
      </w:pPr>
    </w:p>
    <w:p w14:paraId="4727B8FE" w14:textId="77777777" w:rsidR="005A65CE" w:rsidRPr="003171CD" w:rsidRDefault="005A65CE" w:rsidP="005A65CE">
      <w:pPr>
        <w:pStyle w:val="Prrafodelista"/>
        <w:numPr>
          <w:ilvl w:val="0"/>
          <w:numId w:val="1"/>
        </w:numPr>
        <w:tabs>
          <w:tab w:val="left" w:pos="720"/>
          <w:tab w:val="num" w:pos="5057"/>
        </w:tabs>
        <w:ind w:right="-90"/>
        <w:jc w:val="both"/>
        <w:rPr>
          <w:lang w:val="en-US"/>
        </w:rPr>
      </w:pPr>
      <w:r w:rsidRPr="003171CD">
        <w:rPr>
          <w:rFonts w:cs="Arial"/>
          <w:lang w:val="en-US"/>
        </w:rPr>
        <w:t xml:space="preserve">The </w:t>
      </w:r>
      <w:r w:rsidR="00D47A8F" w:rsidRPr="003171CD">
        <w:rPr>
          <w:rFonts w:cs="Arial"/>
          <w:lang w:val="en-US"/>
        </w:rPr>
        <w:t xml:space="preserve">case file </w:t>
      </w:r>
      <w:r w:rsidR="00A20E5B" w:rsidRPr="003171CD">
        <w:rPr>
          <w:rFonts w:cs="Arial"/>
          <w:lang w:val="en-US"/>
        </w:rPr>
        <w:t xml:space="preserve">shows that </w:t>
      </w:r>
      <w:r w:rsidR="00D47A8F" w:rsidRPr="003171CD">
        <w:rPr>
          <w:rFonts w:cs="Arial"/>
          <w:lang w:val="en-US"/>
        </w:rPr>
        <w:t xml:space="preserve">the </w:t>
      </w:r>
      <w:r w:rsidRPr="003171CD">
        <w:rPr>
          <w:rFonts w:cs="Arial"/>
          <w:lang w:val="en-US"/>
        </w:rPr>
        <w:t xml:space="preserve">public defense of José Agapito Ruano Torres did not </w:t>
      </w:r>
      <w:r w:rsidR="00DA0E83" w:rsidRPr="003171CD">
        <w:rPr>
          <w:rFonts w:cs="Arial"/>
          <w:lang w:val="en-US"/>
        </w:rPr>
        <w:t xml:space="preserve">lodge </w:t>
      </w:r>
      <w:r w:rsidRPr="003171CD">
        <w:rPr>
          <w:rFonts w:cs="Arial"/>
          <w:lang w:val="en-US"/>
        </w:rPr>
        <w:t>an</w:t>
      </w:r>
      <w:r w:rsidR="00A20E5B" w:rsidRPr="003171CD">
        <w:rPr>
          <w:rFonts w:cs="Arial"/>
          <w:lang w:val="en-US"/>
        </w:rPr>
        <w:t>y</w:t>
      </w:r>
      <w:r w:rsidRPr="003171CD">
        <w:rPr>
          <w:rFonts w:cs="Arial"/>
          <w:lang w:val="en-US"/>
        </w:rPr>
        <w:t xml:space="preserve"> </w:t>
      </w:r>
      <w:r w:rsidR="00A20E5B" w:rsidRPr="003171CD">
        <w:rPr>
          <w:rFonts w:cs="Arial"/>
          <w:lang w:val="en-US"/>
        </w:rPr>
        <w:t xml:space="preserve">motions for </w:t>
      </w:r>
      <w:r w:rsidRPr="003171CD">
        <w:rPr>
          <w:rFonts w:cs="Arial"/>
          <w:lang w:val="en-US"/>
        </w:rPr>
        <w:t xml:space="preserve">appeal </w:t>
      </w:r>
      <w:r w:rsidR="00A20E5B" w:rsidRPr="003171CD">
        <w:rPr>
          <w:rFonts w:cs="Arial"/>
          <w:lang w:val="en-US"/>
        </w:rPr>
        <w:t xml:space="preserve">or review of </w:t>
      </w:r>
      <w:r w:rsidRPr="003171CD">
        <w:rPr>
          <w:rFonts w:cs="Arial"/>
          <w:lang w:val="en-US"/>
        </w:rPr>
        <w:t xml:space="preserve">the conviction. </w:t>
      </w:r>
      <w:r w:rsidR="00A20E5B" w:rsidRPr="003171CD">
        <w:rPr>
          <w:rFonts w:cs="Arial"/>
          <w:lang w:val="en-US"/>
        </w:rPr>
        <w:t>I</w:t>
      </w:r>
      <w:r w:rsidRPr="003171CD">
        <w:rPr>
          <w:rFonts w:cs="Arial"/>
          <w:lang w:val="en-US"/>
        </w:rPr>
        <w:t xml:space="preserve">n a </w:t>
      </w:r>
      <w:r w:rsidR="00A20E5B" w:rsidRPr="003171CD">
        <w:rPr>
          <w:rFonts w:cs="Arial"/>
          <w:lang w:val="en-US"/>
        </w:rPr>
        <w:t xml:space="preserve">brief sent </w:t>
      </w:r>
      <w:r w:rsidR="00B869F9" w:rsidRPr="003171CD">
        <w:rPr>
          <w:rFonts w:cs="Arial"/>
          <w:lang w:val="en-US"/>
        </w:rPr>
        <w:t xml:space="preserve">to the </w:t>
      </w:r>
      <w:r w:rsidRPr="003171CD">
        <w:rPr>
          <w:rFonts w:cs="Arial"/>
          <w:lang w:val="en-US"/>
        </w:rPr>
        <w:t xml:space="preserve">National Coordinator of the </w:t>
      </w:r>
      <w:r w:rsidR="00A20E5B" w:rsidRPr="003171CD">
        <w:rPr>
          <w:rFonts w:cs="Arial"/>
          <w:lang w:val="en-US"/>
        </w:rPr>
        <w:t xml:space="preserve">Office of </w:t>
      </w:r>
      <w:r w:rsidR="00D47A8F" w:rsidRPr="003171CD">
        <w:rPr>
          <w:rFonts w:cs="Arial"/>
          <w:lang w:val="en-US"/>
        </w:rPr>
        <w:t xml:space="preserve">the </w:t>
      </w:r>
      <w:r w:rsidRPr="003171CD">
        <w:rPr>
          <w:rFonts w:cs="Arial"/>
          <w:lang w:val="en-US"/>
        </w:rPr>
        <w:t xml:space="preserve">Public </w:t>
      </w:r>
      <w:r w:rsidR="00E64A28" w:rsidRPr="003171CD">
        <w:rPr>
          <w:rFonts w:cs="Arial"/>
          <w:lang w:val="en-US"/>
        </w:rPr>
        <w:t>Defen</w:t>
      </w:r>
      <w:r w:rsidR="00D47A8F" w:rsidRPr="003171CD">
        <w:rPr>
          <w:rFonts w:cs="Arial"/>
          <w:lang w:val="en-US"/>
        </w:rPr>
        <w:t>der,</w:t>
      </w:r>
      <w:r w:rsidR="00E64A28" w:rsidRPr="003171CD">
        <w:rPr>
          <w:rFonts w:cs="Arial"/>
          <w:lang w:val="en-US"/>
        </w:rPr>
        <w:t xml:space="preserve"> </w:t>
      </w:r>
      <w:r w:rsidRPr="003171CD">
        <w:rPr>
          <w:rFonts w:cs="Arial"/>
          <w:lang w:val="en-US"/>
        </w:rPr>
        <w:t xml:space="preserve">in 2002, </w:t>
      </w:r>
      <w:r w:rsidR="00A20E5B" w:rsidRPr="003171CD">
        <w:rPr>
          <w:rFonts w:cs="Arial"/>
          <w:lang w:val="en-US"/>
        </w:rPr>
        <w:t xml:space="preserve">the public defense argued </w:t>
      </w:r>
      <w:r w:rsidRPr="003171CD">
        <w:rPr>
          <w:rFonts w:cs="Arial"/>
          <w:lang w:val="en-US"/>
        </w:rPr>
        <w:t xml:space="preserve">that the </w:t>
      </w:r>
      <w:r w:rsidR="00A20E5B" w:rsidRPr="003171CD">
        <w:rPr>
          <w:rFonts w:cs="Arial"/>
          <w:lang w:val="en-US"/>
        </w:rPr>
        <w:t xml:space="preserve">motion to </w:t>
      </w:r>
      <w:r w:rsidRPr="003171CD">
        <w:rPr>
          <w:rFonts w:cs="Arial"/>
          <w:lang w:val="en-US"/>
        </w:rPr>
        <w:t xml:space="preserve">review </w:t>
      </w:r>
      <w:r w:rsidR="00E64A28" w:rsidRPr="003171CD">
        <w:rPr>
          <w:rFonts w:cs="Arial"/>
          <w:lang w:val="en-US"/>
        </w:rPr>
        <w:t xml:space="preserve">was not </w:t>
      </w:r>
      <w:r w:rsidR="00A20E5B" w:rsidRPr="003171CD">
        <w:rPr>
          <w:rFonts w:cs="Arial"/>
          <w:lang w:val="en-US"/>
        </w:rPr>
        <w:t>in order because</w:t>
      </w:r>
      <w:r w:rsidRPr="003171CD">
        <w:rPr>
          <w:rFonts w:cs="Arial"/>
          <w:lang w:val="en-US"/>
        </w:rPr>
        <w:t xml:space="preserve">, </w:t>
      </w:r>
      <w:r w:rsidR="00E01D94" w:rsidRPr="003171CD">
        <w:rPr>
          <w:rFonts w:cs="Arial"/>
          <w:lang w:val="en-US"/>
        </w:rPr>
        <w:t xml:space="preserve">among </w:t>
      </w:r>
      <w:r w:rsidRPr="003171CD">
        <w:rPr>
          <w:rFonts w:cs="Arial"/>
          <w:lang w:val="en-US"/>
        </w:rPr>
        <w:t>other reasons, “</w:t>
      </w:r>
      <w:r w:rsidRPr="003171CD">
        <w:rPr>
          <w:lang w:val="en-US"/>
        </w:rPr>
        <w:t>[</w:t>
      </w:r>
      <w:r w:rsidR="004D1EEA" w:rsidRPr="003171CD">
        <w:rPr>
          <w:lang w:val="en-US"/>
        </w:rPr>
        <w:t>there</w:t>
      </w:r>
      <w:r w:rsidRPr="003171CD">
        <w:rPr>
          <w:lang w:val="en-US"/>
        </w:rPr>
        <w:t xml:space="preserve">] </w:t>
      </w:r>
      <w:r w:rsidR="004D1EEA" w:rsidRPr="003171CD">
        <w:rPr>
          <w:lang w:val="en-US"/>
        </w:rPr>
        <w:t xml:space="preserve">was no </w:t>
      </w:r>
      <w:r w:rsidRPr="003171CD">
        <w:rPr>
          <w:lang w:val="en-US"/>
        </w:rPr>
        <w:t>direct or manifest violation of constitutional guarantees</w:t>
      </w:r>
      <w:r w:rsidR="004D1EEA" w:rsidRPr="003171CD">
        <w:rPr>
          <w:lang w:val="en-US"/>
        </w:rPr>
        <w:t>.</w:t>
      </w:r>
      <w:r w:rsidRPr="003171CD">
        <w:rPr>
          <w:lang w:val="en-US"/>
        </w:rPr>
        <w:t xml:space="preserve">” </w:t>
      </w:r>
      <w:r w:rsidR="004D1EEA" w:rsidRPr="003171CD">
        <w:rPr>
          <w:lang w:val="en-US"/>
        </w:rPr>
        <w:t xml:space="preserve">The defense </w:t>
      </w:r>
      <w:r w:rsidRPr="003171CD">
        <w:rPr>
          <w:lang w:val="en-US"/>
        </w:rPr>
        <w:t>added th</w:t>
      </w:r>
      <w:r w:rsidR="000D1555" w:rsidRPr="003171CD">
        <w:rPr>
          <w:lang w:val="en-US"/>
        </w:rPr>
        <w:t xml:space="preserve">e filing of this motion could only be attempted </w:t>
      </w:r>
      <w:r w:rsidR="00B869F9" w:rsidRPr="003171CD">
        <w:rPr>
          <w:lang w:val="en-US"/>
        </w:rPr>
        <w:t>if</w:t>
      </w:r>
      <w:r w:rsidRPr="003171CD">
        <w:rPr>
          <w:lang w:val="en-US"/>
        </w:rPr>
        <w:t xml:space="preserve"> Rodolfo Ruano Torres “</w:t>
      </w:r>
      <w:r w:rsidR="000D1555" w:rsidRPr="003171CD">
        <w:rPr>
          <w:lang w:val="en-US"/>
        </w:rPr>
        <w:t xml:space="preserve">made a sworn statement confessing that it was he and not his brother </w:t>
      </w:r>
      <w:r w:rsidRPr="003171CD">
        <w:rPr>
          <w:lang w:val="en-US"/>
        </w:rPr>
        <w:t>[…] who</w:t>
      </w:r>
      <w:r w:rsidR="000D1555" w:rsidRPr="003171CD">
        <w:rPr>
          <w:lang w:val="en-US"/>
        </w:rPr>
        <w:t xml:space="preserve"> took part in</w:t>
      </w:r>
      <w:r w:rsidRPr="003171CD">
        <w:rPr>
          <w:lang w:val="en-US"/>
        </w:rPr>
        <w:t xml:space="preserve"> the kidnapping.”</w:t>
      </w:r>
      <w:r w:rsidRPr="003171CD">
        <w:rPr>
          <w:vertAlign w:val="superscript"/>
          <w:lang w:val="en-US"/>
        </w:rPr>
        <w:footnoteReference w:id="133"/>
      </w:r>
    </w:p>
    <w:p w14:paraId="59F0CDF3" w14:textId="77777777" w:rsidR="005A65CE" w:rsidRPr="003171CD" w:rsidRDefault="005A65CE" w:rsidP="005A65CE">
      <w:pPr>
        <w:jc w:val="both"/>
        <w:rPr>
          <w:snapToGrid/>
          <w:lang w:val="en-US" w:eastAsia="en-US"/>
        </w:rPr>
      </w:pPr>
    </w:p>
    <w:p w14:paraId="0619CFC7"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lang w:val="en-US"/>
        </w:rPr>
        <w:t>On October 1</w:t>
      </w:r>
      <w:r w:rsidR="009A5731" w:rsidRPr="003171CD">
        <w:rPr>
          <w:lang w:val="en-US"/>
        </w:rPr>
        <w:t>6, 200</w:t>
      </w:r>
      <w:r w:rsidR="003F0BA1" w:rsidRPr="003171CD">
        <w:rPr>
          <w:lang w:val="en-US"/>
        </w:rPr>
        <w:t>2</w:t>
      </w:r>
      <w:r w:rsidR="009A5731" w:rsidRPr="003171CD">
        <w:rPr>
          <w:lang w:val="en-US"/>
        </w:rPr>
        <w:t xml:space="preserve">, </w:t>
      </w:r>
      <w:r w:rsidRPr="003171CD">
        <w:rPr>
          <w:lang w:val="en-US"/>
        </w:rPr>
        <w:t xml:space="preserve">after the Supreme Court of Justice had </w:t>
      </w:r>
      <w:r w:rsidR="009A5731" w:rsidRPr="003171CD">
        <w:rPr>
          <w:lang w:val="en-US"/>
        </w:rPr>
        <w:t xml:space="preserve">ruled </w:t>
      </w:r>
      <w:r w:rsidRPr="003171CD">
        <w:rPr>
          <w:lang w:val="en-US"/>
        </w:rPr>
        <w:t xml:space="preserve">inadmissible the </w:t>
      </w:r>
      <w:r w:rsidR="009A5731" w:rsidRPr="003171CD">
        <w:rPr>
          <w:lang w:val="en-US"/>
        </w:rPr>
        <w:t xml:space="preserve">motions for </w:t>
      </w:r>
      <w:r w:rsidR="007A702F" w:rsidRPr="003171CD">
        <w:rPr>
          <w:lang w:val="en-US"/>
        </w:rPr>
        <w:t>cassation</w:t>
      </w:r>
      <w:r w:rsidRPr="003171CD">
        <w:rPr>
          <w:lang w:val="en-US"/>
        </w:rPr>
        <w:t xml:space="preserve"> </w:t>
      </w:r>
      <w:r w:rsidR="009A5731" w:rsidRPr="003171CD">
        <w:rPr>
          <w:lang w:val="en-US"/>
        </w:rPr>
        <w:t xml:space="preserve">appeal filed on behalf of other convicted </w:t>
      </w:r>
      <w:r w:rsidRPr="003171CD">
        <w:rPr>
          <w:lang w:val="en-US"/>
        </w:rPr>
        <w:t>persons</w:t>
      </w:r>
      <w:r w:rsidR="009A5731" w:rsidRPr="003171CD">
        <w:rPr>
          <w:lang w:val="en-US"/>
        </w:rPr>
        <w:t>,</w:t>
      </w:r>
      <w:r w:rsidRPr="003171CD">
        <w:rPr>
          <w:vertAlign w:val="superscript"/>
          <w:lang w:val="en-US"/>
        </w:rPr>
        <w:footnoteReference w:id="134"/>
      </w:r>
      <w:r w:rsidRPr="003171CD">
        <w:rPr>
          <w:rFonts w:cs="Arial"/>
          <w:lang w:val="en-US"/>
        </w:rPr>
        <w:t xml:space="preserve"> the Second Trial Court of San Salvador requested that </w:t>
      </w:r>
      <w:r w:rsidR="001B1BEB" w:rsidRPr="003171CD">
        <w:rPr>
          <w:rFonts w:cs="Arial"/>
          <w:lang w:val="en-US"/>
        </w:rPr>
        <w:t xml:space="preserve">the conviction against </w:t>
      </w:r>
      <w:r w:rsidRPr="003171CD">
        <w:rPr>
          <w:rFonts w:cs="Arial"/>
          <w:lang w:val="en-US"/>
        </w:rPr>
        <w:t>José Agapito Ruano Torres and the other defendants</w:t>
      </w:r>
      <w:r w:rsidR="001B1BEB" w:rsidRPr="003171CD">
        <w:rPr>
          <w:rFonts w:cs="Arial"/>
          <w:lang w:val="en-US"/>
        </w:rPr>
        <w:t xml:space="preserve"> be declared final</w:t>
      </w:r>
      <w:r w:rsidRPr="003171CD">
        <w:rPr>
          <w:rFonts w:cs="Arial"/>
          <w:lang w:val="en-US"/>
        </w:rPr>
        <w:t>.</w:t>
      </w:r>
      <w:r w:rsidRPr="003171CD">
        <w:rPr>
          <w:vertAlign w:val="superscript"/>
          <w:lang w:val="en-US"/>
        </w:rPr>
        <w:footnoteReference w:id="135"/>
      </w:r>
    </w:p>
    <w:p w14:paraId="2744B95F" w14:textId="77777777" w:rsidR="005A65CE" w:rsidRPr="003171CD" w:rsidRDefault="005A65CE" w:rsidP="005A65CE">
      <w:pPr>
        <w:jc w:val="both"/>
        <w:rPr>
          <w:rFonts w:cs="Arial"/>
          <w:snapToGrid/>
          <w:lang w:val="en-US" w:eastAsia="en-US"/>
        </w:rPr>
      </w:pPr>
    </w:p>
    <w:p w14:paraId="12882E35"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May 13, 2002, Mr. Ruano Torres </w:t>
      </w:r>
      <w:r w:rsidR="00A96DF3" w:rsidRPr="003171CD">
        <w:rPr>
          <w:rFonts w:cs="Arial"/>
          <w:lang w:val="en-US"/>
        </w:rPr>
        <w:t xml:space="preserve">submitted to the Chief of </w:t>
      </w:r>
      <w:r w:rsidRPr="003171CD">
        <w:rPr>
          <w:rFonts w:cs="Arial"/>
          <w:lang w:val="en-US"/>
        </w:rPr>
        <w:t xml:space="preserve">the </w:t>
      </w:r>
      <w:r w:rsidR="00E01D94" w:rsidRPr="003171CD">
        <w:rPr>
          <w:rFonts w:cs="Arial"/>
          <w:lang w:val="en-US"/>
        </w:rPr>
        <w:t>Judicial Investigation</w:t>
      </w:r>
      <w:r w:rsidRPr="003171CD">
        <w:rPr>
          <w:rFonts w:cs="Arial"/>
          <w:lang w:val="en-US"/>
        </w:rPr>
        <w:t xml:space="preserve"> </w:t>
      </w:r>
      <w:r w:rsidR="00A96DF3" w:rsidRPr="003171CD">
        <w:rPr>
          <w:rFonts w:cs="Arial"/>
          <w:lang w:val="en-US"/>
        </w:rPr>
        <w:t xml:space="preserve">Division </w:t>
      </w:r>
      <w:r w:rsidRPr="003171CD">
        <w:rPr>
          <w:rFonts w:cs="Arial"/>
          <w:lang w:val="en-US"/>
        </w:rPr>
        <w:t xml:space="preserve">of the Supreme Court of Justice a complaint against the Court of First Instance of Tonacatepeque and the Second Trial Court of </w:t>
      </w:r>
      <w:r w:rsidRPr="003171CD">
        <w:rPr>
          <w:lang w:val="en-US"/>
        </w:rPr>
        <w:t xml:space="preserve">San Salvador </w:t>
      </w:r>
      <w:r w:rsidR="00A96DF3" w:rsidRPr="003171CD">
        <w:rPr>
          <w:lang w:val="en-US"/>
        </w:rPr>
        <w:t xml:space="preserve">which had </w:t>
      </w:r>
      <w:r w:rsidRPr="003171CD">
        <w:rPr>
          <w:rFonts w:cs="Arial"/>
          <w:lang w:val="en-US"/>
        </w:rPr>
        <w:t>participa</w:t>
      </w:r>
      <w:r w:rsidR="00E01D94" w:rsidRPr="003171CD">
        <w:rPr>
          <w:rFonts w:cs="Arial"/>
          <w:lang w:val="en-US"/>
        </w:rPr>
        <w:t xml:space="preserve">ted </w:t>
      </w:r>
      <w:r w:rsidRPr="003171CD">
        <w:rPr>
          <w:rFonts w:cs="Arial"/>
          <w:lang w:val="en-US"/>
        </w:rPr>
        <w:t>in the criminal proceedings.</w:t>
      </w:r>
      <w:r w:rsidRPr="003171CD">
        <w:rPr>
          <w:vertAlign w:val="superscript"/>
          <w:lang w:val="en-US"/>
        </w:rPr>
        <w:footnoteReference w:id="136"/>
      </w:r>
      <w:r w:rsidRPr="003171CD">
        <w:rPr>
          <w:rFonts w:cs="Arial"/>
          <w:lang w:val="en-US"/>
        </w:rPr>
        <w:t xml:space="preserve"> </w:t>
      </w:r>
      <w:r w:rsidR="00A96DF3" w:rsidRPr="003171CD">
        <w:rPr>
          <w:rFonts w:cs="Arial"/>
          <w:lang w:val="en-US"/>
        </w:rPr>
        <w:t>In that complaint</w:t>
      </w:r>
      <w:r w:rsidR="00DA0E83" w:rsidRPr="003171CD">
        <w:rPr>
          <w:rFonts w:cs="Arial"/>
          <w:lang w:val="en-US"/>
        </w:rPr>
        <w:t>,</w:t>
      </w:r>
      <w:r w:rsidR="00A96DF3" w:rsidRPr="003171CD">
        <w:rPr>
          <w:rFonts w:cs="Arial"/>
          <w:lang w:val="en-US"/>
        </w:rPr>
        <w:t xml:space="preserve"> </w:t>
      </w:r>
      <w:r w:rsidR="005A04D6" w:rsidRPr="003171CD">
        <w:rPr>
          <w:rFonts w:cs="Arial"/>
          <w:lang w:val="en-US"/>
        </w:rPr>
        <w:t xml:space="preserve">Mr. Ruano Torres alleged </w:t>
      </w:r>
      <w:r w:rsidR="00A96DF3" w:rsidRPr="003171CD">
        <w:rPr>
          <w:rFonts w:cs="Arial"/>
          <w:lang w:val="en-US"/>
        </w:rPr>
        <w:t xml:space="preserve">that neither </w:t>
      </w:r>
      <w:r w:rsidR="005A04D6" w:rsidRPr="003171CD">
        <w:rPr>
          <w:rFonts w:cs="Arial"/>
          <w:lang w:val="en-US"/>
        </w:rPr>
        <w:t xml:space="preserve">of the two aforementioned </w:t>
      </w:r>
      <w:r w:rsidR="00A96DF3" w:rsidRPr="003171CD">
        <w:rPr>
          <w:rFonts w:cs="Arial"/>
          <w:lang w:val="en-US"/>
        </w:rPr>
        <w:t>court</w:t>
      </w:r>
      <w:r w:rsidR="005A04D6" w:rsidRPr="003171CD">
        <w:rPr>
          <w:rFonts w:cs="Arial"/>
          <w:lang w:val="en-US"/>
        </w:rPr>
        <w:t>s</w:t>
      </w:r>
      <w:r w:rsidR="00A96DF3" w:rsidRPr="003171CD">
        <w:rPr>
          <w:rFonts w:cs="Arial"/>
          <w:lang w:val="en-US"/>
        </w:rPr>
        <w:t xml:space="preserve"> had </w:t>
      </w:r>
      <w:r w:rsidR="007A702F" w:rsidRPr="003171CD">
        <w:rPr>
          <w:rFonts w:cs="Arial"/>
          <w:lang w:val="en-US"/>
        </w:rPr>
        <w:t>take</w:t>
      </w:r>
      <w:r w:rsidR="00A96DF3" w:rsidRPr="003171CD">
        <w:rPr>
          <w:rFonts w:cs="Arial"/>
          <w:lang w:val="en-US"/>
        </w:rPr>
        <w:t>n</w:t>
      </w:r>
      <w:r w:rsidR="007A702F" w:rsidRPr="003171CD">
        <w:rPr>
          <w:rFonts w:cs="Arial"/>
          <w:lang w:val="en-US"/>
        </w:rPr>
        <w:t xml:space="preserve"> any </w:t>
      </w:r>
      <w:r w:rsidR="005A04D6" w:rsidRPr="003171CD">
        <w:rPr>
          <w:rFonts w:cs="Arial"/>
          <w:lang w:val="en-US"/>
        </w:rPr>
        <w:t xml:space="preserve">measures in his favor </w:t>
      </w:r>
      <w:r w:rsidR="00A96DF3" w:rsidRPr="003171CD">
        <w:rPr>
          <w:rFonts w:cs="Arial"/>
          <w:lang w:val="en-US"/>
        </w:rPr>
        <w:t xml:space="preserve">despite the fact that he had submitted numerous </w:t>
      </w:r>
      <w:r w:rsidR="00664DD4" w:rsidRPr="003171CD">
        <w:rPr>
          <w:rFonts w:cs="Arial"/>
          <w:lang w:val="en-US"/>
        </w:rPr>
        <w:t xml:space="preserve">briefs clarifying </w:t>
      </w:r>
      <w:r w:rsidRPr="003171CD">
        <w:rPr>
          <w:rFonts w:cs="Arial"/>
          <w:lang w:val="en-US"/>
        </w:rPr>
        <w:t xml:space="preserve">that </w:t>
      </w:r>
      <w:r w:rsidR="005A04D6" w:rsidRPr="003171CD">
        <w:rPr>
          <w:rFonts w:cs="Arial"/>
          <w:lang w:val="en-US"/>
        </w:rPr>
        <w:t xml:space="preserve">it </w:t>
      </w:r>
      <w:r w:rsidRPr="003171CD">
        <w:rPr>
          <w:rFonts w:cs="Arial"/>
          <w:lang w:val="en-US"/>
        </w:rPr>
        <w:t xml:space="preserve">was </w:t>
      </w:r>
      <w:r w:rsidR="00664DD4" w:rsidRPr="003171CD">
        <w:rPr>
          <w:rFonts w:cs="Arial"/>
          <w:lang w:val="en-US"/>
        </w:rPr>
        <w:t xml:space="preserve">his </w:t>
      </w:r>
      <w:r w:rsidRPr="003171CD">
        <w:rPr>
          <w:rFonts w:cs="Arial"/>
          <w:lang w:val="en-US"/>
        </w:rPr>
        <w:t>brother Rodolfo</w:t>
      </w:r>
      <w:r w:rsidR="005A04D6" w:rsidRPr="003171CD">
        <w:rPr>
          <w:rFonts w:cs="Arial"/>
          <w:lang w:val="en-US"/>
        </w:rPr>
        <w:t xml:space="preserve"> who was known as </w:t>
      </w:r>
      <w:r w:rsidR="005A04D6" w:rsidRPr="003171CD">
        <w:rPr>
          <w:rFonts w:cs="Arial"/>
          <w:i/>
          <w:lang w:val="en-US"/>
        </w:rPr>
        <w:t>Chopo</w:t>
      </w:r>
      <w:r w:rsidR="005A04D6" w:rsidRPr="003171CD">
        <w:rPr>
          <w:rFonts w:cs="Arial"/>
          <w:lang w:val="en-US"/>
        </w:rPr>
        <w:t xml:space="preserve"> and not him</w:t>
      </w:r>
      <w:r w:rsidRPr="003171CD">
        <w:rPr>
          <w:rFonts w:cs="Arial"/>
          <w:lang w:val="en-US"/>
        </w:rPr>
        <w:t xml:space="preserve">. </w:t>
      </w:r>
      <w:r w:rsidR="007A702F" w:rsidRPr="003171CD">
        <w:rPr>
          <w:rFonts w:cs="Arial"/>
          <w:lang w:val="en-US"/>
        </w:rPr>
        <w:t xml:space="preserve">He </w:t>
      </w:r>
      <w:r w:rsidR="005A04D6" w:rsidRPr="003171CD">
        <w:rPr>
          <w:rFonts w:cs="Arial"/>
          <w:lang w:val="en-US"/>
        </w:rPr>
        <w:t xml:space="preserve">also </w:t>
      </w:r>
      <w:r w:rsidR="007A702F" w:rsidRPr="003171CD">
        <w:rPr>
          <w:rFonts w:cs="Arial"/>
          <w:lang w:val="en-US"/>
        </w:rPr>
        <w:t>i</w:t>
      </w:r>
      <w:r w:rsidRPr="003171CD">
        <w:rPr>
          <w:rFonts w:cs="Arial"/>
          <w:lang w:val="en-US"/>
        </w:rPr>
        <w:t xml:space="preserve">ndicated that </w:t>
      </w:r>
      <w:r w:rsidR="005A04D6" w:rsidRPr="003171CD">
        <w:rPr>
          <w:rFonts w:cs="Arial"/>
          <w:lang w:val="en-US"/>
        </w:rPr>
        <w:t xml:space="preserve">during the public hearing </w:t>
      </w:r>
      <w:r w:rsidRPr="003171CD">
        <w:rPr>
          <w:rFonts w:cs="Arial"/>
          <w:lang w:val="en-US"/>
        </w:rPr>
        <w:t xml:space="preserve">the Second Trial Court of </w:t>
      </w:r>
      <w:r w:rsidRPr="003171CD">
        <w:rPr>
          <w:lang w:val="en-US"/>
        </w:rPr>
        <w:t xml:space="preserve">San Salvador </w:t>
      </w:r>
      <w:r w:rsidR="005A04D6" w:rsidRPr="003171CD">
        <w:rPr>
          <w:lang w:val="en-US"/>
        </w:rPr>
        <w:t xml:space="preserve">had </w:t>
      </w:r>
      <w:r w:rsidR="007A702F" w:rsidRPr="003171CD">
        <w:rPr>
          <w:lang w:val="en-US"/>
        </w:rPr>
        <w:t>refused</w:t>
      </w:r>
      <w:r w:rsidR="005A04D6" w:rsidRPr="003171CD">
        <w:rPr>
          <w:lang w:val="en-US"/>
        </w:rPr>
        <w:t xml:space="preserve"> to allow his </w:t>
      </w:r>
      <w:r w:rsidR="005A04D6" w:rsidRPr="003171CD">
        <w:rPr>
          <w:rFonts w:cs="Arial"/>
          <w:lang w:val="en-US"/>
        </w:rPr>
        <w:t>bro</w:t>
      </w:r>
      <w:r w:rsidRPr="003171CD">
        <w:rPr>
          <w:rFonts w:cs="Arial"/>
          <w:lang w:val="en-US"/>
        </w:rPr>
        <w:t xml:space="preserve">ther </w:t>
      </w:r>
      <w:r w:rsidR="00664DD4" w:rsidRPr="003171CD">
        <w:rPr>
          <w:rFonts w:cs="Arial"/>
          <w:lang w:val="en-US"/>
        </w:rPr>
        <w:t>t</w:t>
      </w:r>
      <w:r w:rsidR="005A04D6" w:rsidRPr="003171CD">
        <w:rPr>
          <w:rFonts w:cs="Arial"/>
          <w:lang w:val="en-US"/>
        </w:rPr>
        <w:t>o t</w:t>
      </w:r>
      <w:r w:rsidR="00664DD4" w:rsidRPr="003171CD">
        <w:rPr>
          <w:rFonts w:cs="Arial"/>
          <w:lang w:val="en-US"/>
        </w:rPr>
        <w:t xml:space="preserve">estify </w:t>
      </w:r>
      <w:r w:rsidRPr="003171CD">
        <w:rPr>
          <w:rFonts w:cs="Arial"/>
          <w:lang w:val="en-US"/>
        </w:rPr>
        <w:t xml:space="preserve">as </w:t>
      </w:r>
      <w:r w:rsidR="00664DD4" w:rsidRPr="003171CD">
        <w:rPr>
          <w:rFonts w:cs="Arial"/>
          <w:lang w:val="en-US"/>
        </w:rPr>
        <w:t xml:space="preserve">a </w:t>
      </w:r>
      <w:r w:rsidRPr="003171CD">
        <w:rPr>
          <w:rFonts w:cs="Arial"/>
          <w:lang w:val="en-US"/>
        </w:rPr>
        <w:t>witness. On O</w:t>
      </w:r>
      <w:r w:rsidR="00664DD4" w:rsidRPr="003171CD">
        <w:rPr>
          <w:rFonts w:cs="Arial"/>
          <w:lang w:val="en-US"/>
        </w:rPr>
        <w:t xml:space="preserve">ctober 22, 2003, the </w:t>
      </w:r>
      <w:r w:rsidR="005A04D6" w:rsidRPr="003171CD">
        <w:rPr>
          <w:rFonts w:cs="Arial"/>
          <w:lang w:val="en-US"/>
        </w:rPr>
        <w:t xml:space="preserve">Office of the </w:t>
      </w:r>
      <w:r w:rsidR="00664DD4" w:rsidRPr="003171CD">
        <w:rPr>
          <w:rFonts w:cs="Arial"/>
          <w:lang w:val="en-US"/>
        </w:rPr>
        <w:t>President</w:t>
      </w:r>
      <w:r w:rsidRPr="003171CD">
        <w:rPr>
          <w:rFonts w:cs="Arial"/>
          <w:lang w:val="en-US"/>
        </w:rPr>
        <w:t xml:space="preserve"> of the Supreme Court</w:t>
      </w:r>
      <w:r w:rsidR="007A702F" w:rsidRPr="003171CD">
        <w:rPr>
          <w:rFonts w:cs="Arial"/>
          <w:lang w:val="en-US"/>
        </w:rPr>
        <w:t xml:space="preserve"> </w:t>
      </w:r>
      <w:r w:rsidRPr="003171CD">
        <w:rPr>
          <w:rFonts w:cs="Arial"/>
          <w:lang w:val="en-US"/>
        </w:rPr>
        <w:t>of Justice declar</w:t>
      </w:r>
      <w:r w:rsidR="007A702F" w:rsidRPr="003171CD">
        <w:rPr>
          <w:rFonts w:cs="Arial"/>
          <w:lang w:val="en-US"/>
        </w:rPr>
        <w:t xml:space="preserve">ed </w:t>
      </w:r>
      <w:r w:rsidR="005A04D6" w:rsidRPr="003171CD">
        <w:rPr>
          <w:rFonts w:cs="Arial"/>
          <w:lang w:val="en-US"/>
        </w:rPr>
        <w:t xml:space="preserve">the complaint </w:t>
      </w:r>
      <w:r w:rsidRPr="003171CD">
        <w:rPr>
          <w:rFonts w:cs="Arial"/>
          <w:lang w:val="en-US"/>
        </w:rPr>
        <w:t xml:space="preserve">inadmissible </w:t>
      </w:r>
      <w:r w:rsidR="005A04D6" w:rsidRPr="003171CD">
        <w:rPr>
          <w:rFonts w:cs="Arial"/>
          <w:lang w:val="en-US"/>
        </w:rPr>
        <w:t xml:space="preserve">because </w:t>
      </w:r>
      <w:r w:rsidRPr="003171CD">
        <w:rPr>
          <w:rFonts w:cs="Arial"/>
          <w:lang w:val="en-US"/>
        </w:rPr>
        <w:t xml:space="preserve">“no elements </w:t>
      </w:r>
      <w:r w:rsidR="007A702F" w:rsidRPr="003171CD">
        <w:rPr>
          <w:rFonts w:cs="Arial"/>
          <w:lang w:val="en-US"/>
        </w:rPr>
        <w:t xml:space="preserve">were found </w:t>
      </w:r>
      <w:r w:rsidRPr="003171CD">
        <w:rPr>
          <w:rFonts w:cs="Arial"/>
          <w:lang w:val="en-US"/>
        </w:rPr>
        <w:t xml:space="preserve">that </w:t>
      </w:r>
      <w:r w:rsidR="005A04D6" w:rsidRPr="003171CD">
        <w:rPr>
          <w:rFonts w:cs="Arial"/>
          <w:lang w:val="en-US"/>
        </w:rPr>
        <w:t xml:space="preserve">would evidence </w:t>
      </w:r>
      <w:r w:rsidRPr="003171CD">
        <w:rPr>
          <w:rFonts w:cs="Arial"/>
          <w:lang w:val="en-US"/>
        </w:rPr>
        <w:t xml:space="preserve">probable </w:t>
      </w:r>
      <w:r w:rsidR="007A702F" w:rsidRPr="003171CD">
        <w:rPr>
          <w:rFonts w:cs="Arial"/>
          <w:lang w:val="en-US"/>
        </w:rPr>
        <w:t xml:space="preserve">cause </w:t>
      </w:r>
      <w:r w:rsidR="005A04D6" w:rsidRPr="003171CD">
        <w:rPr>
          <w:rFonts w:cs="Arial"/>
          <w:lang w:val="en-US"/>
        </w:rPr>
        <w:t xml:space="preserve">to open </w:t>
      </w:r>
      <w:r w:rsidR="00C45C63" w:rsidRPr="003171CD">
        <w:rPr>
          <w:rFonts w:cs="Arial"/>
          <w:lang w:val="en-US"/>
        </w:rPr>
        <w:t>a</w:t>
      </w:r>
      <w:r w:rsidR="007A702F" w:rsidRPr="003171CD">
        <w:rPr>
          <w:rFonts w:cs="Arial"/>
          <w:lang w:val="en-US"/>
        </w:rPr>
        <w:t xml:space="preserve"> disciplinary</w:t>
      </w:r>
      <w:r w:rsidR="00C45C63" w:rsidRPr="003171CD">
        <w:rPr>
          <w:rFonts w:cs="Arial"/>
          <w:lang w:val="en-US"/>
        </w:rPr>
        <w:t xml:space="preserve"> inquiry</w:t>
      </w:r>
      <w:r w:rsidR="005A04D6" w:rsidRPr="003171CD">
        <w:rPr>
          <w:rFonts w:cs="Arial"/>
          <w:lang w:val="en-US"/>
        </w:rPr>
        <w:t>.</w:t>
      </w:r>
      <w:r w:rsidRPr="003171CD">
        <w:rPr>
          <w:rFonts w:cs="Arial"/>
          <w:lang w:val="en-US"/>
        </w:rPr>
        <w:t>”</w:t>
      </w:r>
      <w:r w:rsidRPr="003171CD">
        <w:rPr>
          <w:vertAlign w:val="superscript"/>
          <w:lang w:val="en-US"/>
        </w:rPr>
        <w:footnoteReference w:id="137"/>
      </w:r>
    </w:p>
    <w:p w14:paraId="0D615FAE" w14:textId="77777777" w:rsidR="005A65CE" w:rsidRPr="003171CD" w:rsidRDefault="005A65CE" w:rsidP="005A65CE">
      <w:pPr>
        <w:jc w:val="both"/>
        <w:rPr>
          <w:rFonts w:cs="Arial"/>
          <w:snapToGrid/>
          <w:lang w:val="en-US" w:eastAsia="en-US"/>
        </w:rPr>
      </w:pPr>
    </w:p>
    <w:p w14:paraId="6BA04111"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August 11, 2003, José Agapito Ruano Torres </w:t>
      </w:r>
      <w:r w:rsidR="00223EE7" w:rsidRPr="003171CD">
        <w:rPr>
          <w:rFonts w:cs="Arial"/>
          <w:lang w:val="en-US"/>
        </w:rPr>
        <w:t xml:space="preserve">filed on his own behalf </w:t>
      </w:r>
      <w:r w:rsidRPr="003171CD">
        <w:rPr>
          <w:rFonts w:cs="Arial"/>
          <w:lang w:val="en-US"/>
        </w:rPr>
        <w:t xml:space="preserve">and </w:t>
      </w:r>
      <w:r w:rsidR="001F02E7" w:rsidRPr="003171CD">
        <w:rPr>
          <w:rFonts w:cs="Arial"/>
          <w:lang w:val="en-US"/>
        </w:rPr>
        <w:t xml:space="preserve">without </w:t>
      </w:r>
      <w:r w:rsidR="00557337" w:rsidRPr="003171CD">
        <w:rPr>
          <w:rFonts w:cs="Arial"/>
          <w:lang w:val="en-US"/>
        </w:rPr>
        <w:t xml:space="preserve">professional legal </w:t>
      </w:r>
      <w:r w:rsidR="004F7132" w:rsidRPr="003171CD">
        <w:rPr>
          <w:rFonts w:cs="Arial"/>
          <w:lang w:val="en-US"/>
        </w:rPr>
        <w:t>counsel</w:t>
      </w:r>
      <w:r w:rsidRPr="003171CD">
        <w:rPr>
          <w:rFonts w:cs="Arial"/>
          <w:lang w:val="en-US"/>
        </w:rPr>
        <w:t xml:space="preserve">, a </w:t>
      </w:r>
      <w:r w:rsidR="00223EE7" w:rsidRPr="003171CD">
        <w:rPr>
          <w:rFonts w:cs="Arial"/>
          <w:lang w:val="en-US"/>
        </w:rPr>
        <w:t>motion to review the conviction</w:t>
      </w:r>
      <w:r w:rsidRPr="003171CD">
        <w:rPr>
          <w:rFonts w:cs="Arial"/>
          <w:lang w:val="en-US"/>
        </w:rPr>
        <w:t xml:space="preserve"> </w:t>
      </w:r>
      <w:r w:rsidR="00223EE7" w:rsidRPr="003171CD">
        <w:rPr>
          <w:rFonts w:cs="Arial"/>
          <w:lang w:val="en-US"/>
        </w:rPr>
        <w:t xml:space="preserve">before </w:t>
      </w:r>
      <w:r w:rsidRPr="003171CD">
        <w:rPr>
          <w:rFonts w:cs="Arial"/>
          <w:lang w:val="en-US"/>
        </w:rPr>
        <w:t xml:space="preserve">the Second Trial Court of San </w:t>
      </w:r>
      <w:r w:rsidRPr="003171CD">
        <w:rPr>
          <w:rFonts w:cs="Arial"/>
          <w:lang w:val="en-US"/>
        </w:rPr>
        <w:lastRenderedPageBreak/>
        <w:t>Salvador</w:t>
      </w:r>
      <w:r w:rsidR="00223EE7" w:rsidRPr="003171CD">
        <w:rPr>
          <w:rFonts w:cs="Arial"/>
          <w:lang w:val="en-US"/>
        </w:rPr>
        <w:t>.</w:t>
      </w:r>
      <w:r w:rsidRPr="003171CD">
        <w:rPr>
          <w:vertAlign w:val="superscript"/>
          <w:lang w:val="en-US"/>
        </w:rPr>
        <w:footnoteReference w:id="138"/>
      </w:r>
      <w:r w:rsidRPr="003171CD">
        <w:rPr>
          <w:rFonts w:cs="Arial"/>
          <w:lang w:val="en-US"/>
        </w:rPr>
        <w:t xml:space="preserve"> </w:t>
      </w:r>
      <w:r w:rsidR="003264D9" w:rsidRPr="003171CD">
        <w:rPr>
          <w:rFonts w:cs="Arial"/>
          <w:lang w:val="en-US"/>
        </w:rPr>
        <w:t xml:space="preserve">In that motion, he stated </w:t>
      </w:r>
      <w:r w:rsidRPr="003171CD">
        <w:rPr>
          <w:rFonts w:cs="Arial"/>
          <w:lang w:val="en-US"/>
        </w:rPr>
        <w:t xml:space="preserve">that his lawyer had not allowed him to </w:t>
      </w:r>
      <w:r w:rsidR="003264D9" w:rsidRPr="003171CD">
        <w:rPr>
          <w:rFonts w:cs="Arial"/>
          <w:lang w:val="en-US"/>
        </w:rPr>
        <w:t>make a sta</w:t>
      </w:r>
      <w:r w:rsidRPr="003171CD">
        <w:rPr>
          <w:rFonts w:cs="Arial"/>
          <w:lang w:val="en-US"/>
        </w:rPr>
        <w:t>te</w:t>
      </w:r>
      <w:r w:rsidR="003264D9" w:rsidRPr="003171CD">
        <w:rPr>
          <w:rFonts w:cs="Arial"/>
          <w:lang w:val="en-US"/>
        </w:rPr>
        <w:t xml:space="preserve">ment </w:t>
      </w:r>
      <w:r w:rsidR="00E01D94" w:rsidRPr="003171CD">
        <w:rPr>
          <w:rFonts w:cs="Arial"/>
          <w:lang w:val="en-US"/>
        </w:rPr>
        <w:t xml:space="preserve">at the </w:t>
      </w:r>
      <w:r w:rsidR="003264D9" w:rsidRPr="003171CD">
        <w:rPr>
          <w:rFonts w:cs="Arial"/>
          <w:lang w:val="en-US"/>
        </w:rPr>
        <w:t xml:space="preserve">beginning </w:t>
      </w:r>
      <w:r w:rsidR="00E01D94" w:rsidRPr="003171CD">
        <w:rPr>
          <w:rFonts w:cs="Arial"/>
          <w:lang w:val="en-US"/>
        </w:rPr>
        <w:t xml:space="preserve">of </w:t>
      </w:r>
      <w:r w:rsidRPr="003171CD">
        <w:rPr>
          <w:rFonts w:cs="Arial"/>
          <w:lang w:val="en-US"/>
        </w:rPr>
        <w:t xml:space="preserve">the </w:t>
      </w:r>
      <w:r w:rsidR="004764AE" w:rsidRPr="003171CD">
        <w:rPr>
          <w:rFonts w:cs="Arial"/>
          <w:lang w:val="en-US"/>
        </w:rPr>
        <w:t xml:space="preserve">pre-trial </w:t>
      </w:r>
      <w:r w:rsidRPr="003171CD">
        <w:rPr>
          <w:rFonts w:cs="Arial"/>
          <w:lang w:val="en-US"/>
        </w:rPr>
        <w:t xml:space="preserve">hearing and </w:t>
      </w:r>
      <w:r w:rsidR="003264D9" w:rsidRPr="003171CD">
        <w:rPr>
          <w:rFonts w:cs="Arial"/>
          <w:lang w:val="en-US"/>
        </w:rPr>
        <w:t xml:space="preserve">that he had </w:t>
      </w:r>
      <w:r w:rsidRPr="003171CD">
        <w:rPr>
          <w:rFonts w:cs="Arial"/>
          <w:lang w:val="en-US"/>
        </w:rPr>
        <w:t>of</w:t>
      </w:r>
      <w:r w:rsidR="00E01D94" w:rsidRPr="003171CD">
        <w:rPr>
          <w:rFonts w:cs="Arial"/>
          <w:lang w:val="en-US"/>
        </w:rPr>
        <w:t xml:space="preserve">fered </w:t>
      </w:r>
      <w:r w:rsidR="003264D9" w:rsidRPr="003171CD">
        <w:rPr>
          <w:rFonts w:cs="Arial"/>
          <w:lang w:val="en-US"/>
        </w:rPr>
        <w:t xml:space="preserve">to have his </w:t>
      </w:r>
      <w:r w:rsidR="00557337" w:rsidRPr="003171CD">
        <w:rPr>
          <w:rFonts w:cs="Arial"/>
          <w:lang w:val="en-US"/>
        </w:rPr>
        <w:t>brother Rodolfo appear a</w:t>
      </w:r>
      <w:r w:rsidR="003264D9" w:rsidRPr="003171CD">
        <w:rPr>
          <w:rFonts w:cs="Arial"/>
          <w:lang w:val="en-US"/>
        </w:rPr>
        <w:t>t the hearing a</w:t>
      </w:r>
      <w:r w:rsidR="00557337" w:rsidRPr="003171CD">
        <w:rPr>
          <w:rFonts w:cs="Arial"/>
          <w:lang w:val="en-US"/>
        </w:rPr>
        <w:t xml:space="preserve">s </w:t>
      </w:r>
      <w:r w:rsidR="003264D9" w:rsidRPr="003171CD">
        <w:rPr>
          <w:rFonts w:cs="Arial"/>
          <w:lang w:val="en-US"/>
        </w:rPr>
        <w:t>evidence</w:t>
      </w:r>
      <w:r w:rsidR="00557337" w:rsidRPr="003171CD">
        <w:rPr>
          <w:rFonts w:cs="Arial"/>
          <w:lang w:val="en-US"/>
        </w:rPr>
        <w:t>,</w:t>
      </w:r>
      <w:r w:rsidRPr="003171CD">
        <w:rPr>
          <w:rFonts w:cs="Arial"/>
          <w:lang w:val="en-US"/>
        </w:rPr>
        <w:t xml:space="preserve"> </w:t>
      </w:r>
      <w:r w:rsidR="00E01D94" w:rsidRPr="003171CD">
        <w:rPr>
          <w:rFonts w:cs="Arial"/>
          <w:lang w:val="en-US"/>
        </w:rPr>
        <w:t xml:space="preserve">given </w:t>
      </w:r>
      <w:r w:rsidRPr="003171CD">
        <w:rPr>
          <w:rFonts w:cs="Arial"/>
          <w:lang w:val="en-US"/>
        </w:rPr>
        <w:t xml:space="preserve">that </w:t>
      </w:r>
      <w:r w:rsidR="00E01D94" w:rsidRPr="003171CD">
        <w:rPr>
          <w:rFonts w:cs="Arial"/>
          <w:lang w:val="en-US"/>
        </w:rPr>
        <w:t xml:space="preserve">he </w:t>
      </w:r>
      <w:r w:rsidRPr="003171CD">
        <w:rPr>
          <w:rFonts w:cs="Arial"/>
          <w:lang w:val="en-US"/>
        </w:rPr>
        <w:t xml:space="preserve">was known as </w:t>
      </w:r>
      <w:r w:rsidR="00A96DF3" w:rsidRPr="003171CD">
        <w:rPr>
          <w:rFonts w:cs="Arial"/>
          <w:i/>
          <w:lang w:val="en-US"/>
        </w:rPr>
        <w:t>Chopo</w:t>
      </w:r>
      <w:r w:rsidRPr="003171CD">
        <w:rPr>
          <w:rFonts w:cs="Arial"/>
          <w:lang w:val="en-US"/>
        </w:rPr>
        <w:t>. On August 13, 2003</w:t>
      </w:r>
      <w:r w:rsidR="007A702F" w:rsidRPr="003171CD">
        <w:rPr>
          <w:rFonts w:cs="Arial"/>
          <w:lang w:val="en-US"/>
        </w:rPr>
        <w:t>,</w:t>
      </w:r>
      <w:r w:rsidRPr="003171CD">
        <w:rPr>
          <w:rFonts w:cs="Arial"/>
          <w:lang w:val="en-US"/>
        </w:rPr>
        <w:t xml:space="preserve"> </w:t>
      </w:r>
      <w:r w:rsidR="003264D9" w:rsidRPr="003171CD">
        <w:rPr>
          <w:rFonts w:cs="Arial"/>
          <w:lang w:val="en-US"/>
        </w:rPr>
        <w:t>the</w:t>
      </w:r>
      <w:r w:rsidR="007A702F" w:rsidRPr="003171CD">
        <w:rPr>
          <w:rFonts w:cs="Arial"/>
          <w:lang w:val="en-US"/>
        </w:rPr>
        <w:t xml:space="preserve"> </w:t>
      </w:r>
      <w:r w:rsidR="003264D9" w:rsidRPr="003171CD">
        <w:rPr>
          <w:rFonts w:cs="Arial"/>
          <w:lang w:val="en-US"/>
        </w:rPr>
        <w:t xml:space="preserve">Second Trial </w:t>
      </w:r>
      <w:r w:rsidRPr="003171CD">
        <w:rPr>
          <w:rFonts w:cs="Arial"/>
          <w:lang w:val="en-US"/>
        </w:rPr>
        <w:t xml:space="preserve">Court </w:t>
      </w:r>
      <w:r w:rsidR="003264D9" w:rsidRPr="003171CD">
        <w:rPr>
          <w:rFonts w:cs="Arial"/>
          <w:lang w:val="en-US"/>
        </w:rPr>
        <w:t xml:space="preserve">ruled </w:t>
      </w:r>
      <w:r w:rsidR="00557337" w:rsidRPr="003171CD">
        <w:rPr>
          <w:rFonts w:cs="Arial"/>
          <w:lang w:val="en-US"/>
        </w:rPr>
        <w:t xml:space="preserve">the motion </w:t>
      </w:r>
      <w:r w:rsidRPr="003171CD">
        <w:rPr>
          <w:rFonts w:cs="Arial"/>
          <w:lang w:val="en-US"/>
        </w:rPr>
        <w:t xml:space="preserve">inadmissible </w:t>
      </w:r>
      <w:r w:rsidR="003264D9" w:rsidRPr="003171CD">
        <w:rPr>
          <w:rFonts w:cs="Arial"/>
          <w:lang w:val="en-US"/>
        </w:rPr>
        <w:t xml:space="preserve">stating that there had been no violation of </w:t>
      </w:r>
      <w:r w:rsidR="00557337" w:rsidRPr="003171CD">
        <w:rPr>
          <w:rFonts w:cs="Arial"/>
          <w:lang w:val="en-US"/>
        </w:rPr>
        <w:t xml:space="preserve">his </w:t>
      </w:r>
      <w:r w:rsidRPr="003171CD">
        <w:rPr>
          <w:rFonts w:cs="Arial"/>
          <w:lang w:val="en-US"/>
        </w:rPr>
        <w:t xml:space="preserve">constitutional </w:t>
      </w:r>
      <w:r w:rsidR="00E64A28" w:rsidRPr="003171CD">
        <w:rPr>
          <w:rFonts w:cs="Arial"/>
          <w:lang w:val="en-US"/>
        </w:rPr>
        <w:t>guarantee</w:t>
      </w:r>
      <w:r w:rsidR="00557337" w:rsidRPr="003171CD">
        <w:rPr>
          <w:rFonts w:cs="Arial"/>
          <w:lang w:val="en-US"/>
        </w:rPr>
        <w:t>s</w:t>
      </w:r>
      <w:r w:rsidR="00E64A28" w:rsidRPr="003171CD">
        <w:rPr>
          <w:rFonts w:cs="Arial"/>
          <w:lang w:val="en-US"/>
        </w:rPr>
        <w:t xml:space="preserve"> because </w:t>
      </w:r>
      <w:r w:rsidR="00557337" w:rsidRPr="003171CD">
        <w:rPr>
          <w:rFonts w:cs="Arial"/>
          <w:lang w:val="en-US"/>
        </w:rPr>
        <w:t xml:space="preserve">he, </w:t>
      </w:r>
      <w:r w:rsidRPr="003171CD">
        <w:rPr>
          <w:rFonts w:cs="Arial"/>
          <w:lang w:val="en-US"/>
        </w:rPr>
        <w:t>José Agapito Ruano Torres</w:t>
      </w:r>
      <w:r w:rsidR="00557337" w:rsidRPr="003171CD">
        <w:rPr>
          <w:rFonts w:cs="Arial"/>
          <w:lang w:val="en-US"/>
        </w:rPr>
        <w:t xml:space="preserve">, had </w:t>
      </w:r>
      <w:r w:rsidR="003264D9" w:rsidRPr="003171CD">
        <w:rPr>
          <w:rFonts w:cs="Arial"/>
          <w:lang w:val="en-US"/>
        </w:rPr>
        <w:t xml:space="preserve">chosen </w:t>
      </w:r>
      <w:r w:rsidR="00557337" w:rsidRPr="003171CD">
        <w:rPr>
          <w:rFonts w:cs="Arial"/>
          <w:lang w:val="en-US"/>
        </w:rPr>
        <w:t>not to make a statement</w:t>
      </w:r>
      <w:r w:rsidR="007A702F" w:rsidRPr="003171CD">
        <w:rPr>
          <w:rFonts w:cs="Arial"/>
          <w:lang w:val="en-US"/>
        </w:rPr>
        <w:t>.</w:t>
      </w:r>
      <w:r w:rsidRPr="003171CD">
        <w:rPr>
          <w:vertAlign w:val="superscript"/>
          <w:lang w:val="en-US"/>
        </w:rPr>
        <w:footnoteReference w:id="139"/>
      </w:r>
    </w:p>
    <w:p w14:paraId="7DED257A" w14:textId="77777777" w:rsidR="005A65CE" w:rsidRPr="003171CD" w:rsidRDefault="005A65CE" w:rsidP="005A65CE">
      <w:pPr>
        <w:jc w:val="both"/>
        <w:rPr>
          <w:rFonts w:cs="Arial"/>
          <w:snapToGrid/>
          <w:lang w:val="en-US" w:eastAsia="en-US"/>
        </w:rPr>
      </w:pPr>
    </w:p>
    <w:p w14:paraId="0DC3C6B7" w14:textId="77777777" w:rsidR="005A65CE" w:rsidRPr="003171CD" w:rsidRDefault="00664DD4"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w:t>
      </w:r>
      <w:r w:rsidR="005A65CE" w:rsidRPr="003171CD">
        <w:rPr>
          <w:rFonts w:cs="Arial"/>
          <w:lang w:val="en-US"/>
        </w:rPr>
        <w:t xml:space="preserve">September </w:t>
      </w:r>
      <w:r w:rsidRPr="003171CD">
        <w:rPr>
          <w:rFonts w:cs="Arial"/>
          <w:lang w:val="en-US"/>
        </w:rPr>
        <w:t>2</w:t>
      </w:r>
      <w:r w:rsidR="00557337" w:rsidRPr="003171CD">
        <w:rPr>
          <w:rFonts w:cs="Arial"/>
          <w:lang w:val="en-US"/>
        </w:rPr>
        <w:t>2</w:t>
      </w:r>
      <w:r w:rsidRPr="003171CD">
        <w:rPr>
          <w:rFonts w:cs="Arial"/>
          <w:lang w:val="en-US"/>
        </w:rPr>
        <w:t xml:space="preserve">, </w:t>
      </w:r>
      <w:r w:rsidR="005A65CE" w:rsidRPr="003171CD">
        <w:rPr>
          <w:rFonts w:cs="Arial"/>
          <w:lang w:val="en-US"/>
        </w:rPr>
        <w:t>2003</w:t>
      </w:r>
      <w:r w:rsidRPr="003171CD">
        <w:rPr>
          <w:rFonts w:cs="Arial"/>
          <w:lang w:val="en-US"/>
        </w:rPr>
        <w:t>,</w:t>
      </w:r>
      <w:r w:rsidR="005A65CE" w:rsidRPr="003171CD">
        <w:rPr>
          <w:rFonts w:cs="Arial"/>
          <w:lang w:val="en-US"/>
        </w:rPr>
        <w:t xml:space="preserve"> José Agapito Ruano Torres </w:t>
      </w:r>
      <w:r w:rsidR="003264D9" w:rsidRPr="003171CD">
        <w:rPr>
          <w:rFonts w:cs="Arial"/>
          <w:lang w:val="en-US"/>
        </w:rPr>
        <w:t>filed a</w:t>
      </w:r>
      <w:r w:rsidR="00DA0E83" w:rsidRPr="003171CD">
        <w:rPr>
          <w:rFonts w:cs="Arial"/>
          <w:lang w:val="en-US"/>
        </w:rPr>
        <w:t>nother</w:t>
      </w:r>
      <w:r w:rsidR="003264D9" w:rsidRPr="003171CD">
        <w:rPr>
          <w:rFonts w:cs="Arial"/>
          <w:lang w:val="en-US"/>
        </w:rPr>
        <w:t xml:space="preserve"> motion </w:t>
      </w:r>
      <w:r w:rsidR="00DA0E83" w:rsidRPr="003171CD">
        <w:rPr>
          <w:rFonts w:cs="Arial"/>
          <w:lang w:val="en-US"/>
        </w:rPr>
        <w:t xml:space="preserve">to </w:t>
      </w:r>
      <w:r w:rsidR="00557337" w:rsidRPr="003171CD">
        <w:rPr>
          <w:rFonts w:cs="Arial"/>
          <w:lang w:val="en-US"/>
        </w:rPr>
        <w:t xml:space="preserve">review </w:t>
      </w:r>
      <w:r w:rsidR="00DA0E83" w:rsidRPr="003171CD">
        <w:rPr>
          <w:rFonts w:cs="Arial"/>
          <w:lang w:val="en-US"/>
        </w:rPr>
        <w:t xml:space="preserve">his conviction </w:t>
      </w:r>
      <w:r w:rsidR="00557337" w:rsidRPr="003171CD">
        <w:rPr>
          <w:rFonts w:cs="Arial"/>
          <w:lang w:val="en-US"/>
        </w:rPr>
        <w:t xml:space="preserve">with </w:t>
      </w:r>
      <w:r w:rsidR="005A65CE" w:rsidRPr="003171CD">
        <w:rPr>
          <w:rFonts w:cs="Arial"/>
          <w:lang w:val="en-US"/>
        </w:rPr>
        <w:t>the Second Trial Court of San Salvador</w:t>
      </w:r>
      <w:r w:rsidR="00557337" w:rsidRPr="003171CD">
        <w:rPr>
          <w:rFonts w:cs="Arial"/>
          <w:lang w:val="en-US"/>
        </w:rPr>
        <w:t>,</w:t>
      </w:r>
      <w:r w:rsidR="005A65CE" w:rsidRPr="003171CD">
        <w:rPr>
          <w:vertAlign w:val="superscript"/>
          <w:lang w:val="en-US"/>
        </w:rPr>
        <w:footnoteReference w:id="140"/>
      </w:r>
      <w:r w:rsidR="00557337" w:rsidRPr="003171CD">
        <w:rPr>
          <w:rFonts w:cs="Arial"/>
          <w:lang w:val="en-US"/>
        </w:rPr>
        <w:t xml:space="preserve"> based on </w:t>
      </w:r>
      <w:r w:rsidR="005A65CE" w:rsidRPr="003171CD">
        <w:rPr>
          <w:rFonts w:cs="Arial"/>
          <w:lang w:val="en-US"/>
        </w:rPr>
        <w:t xml:space="preserve">the </w:t>
      </w:r>
      <w:r w:rsidRPr="003171CD">
        <w:rPr>
          <w:rFonts w:cs="Arial"/>
          <w:lang w:val="en-US"/>
        </w:rPr>
        <w:t>same</w:t>
      </w:r>
      <w:r w:rsidR="005A65CE" w:rsidRPr="003171CD">
        <w:rPr>
          <w:rFonts w:cs="Arial"/>
          <w:lang w:val="en-US"/>
        </w:rPr>
        <w:t xml:space="preserve"> arguments</w:t>
      </w:r>
      <w:r w:rsidR="00557337" w:rsidRPr="003171CD">
        <w:rPr>
          <w:rFonts w:cs="Arial"/>
          <w:lang w:val="en-US"/>
        </w:rPr>
        <w:t>.</w:t>
      </w:r>
      <w:r w:rsidR="005A65CE" w:rsidRPr="003171CD">
        <w:rPr>
          <w:rFonts w:cs="Arial"/>
          <w:lang w:val="en-US"/>
        </w:rPr>
        <w:t xml:space="preserve"> </w:t>
      </w:r>
      <w:r w:rsidR="00557337" w:rsidRPr="003171CD">
        <w:rPr>
          <w:rFonts w:cs="Arial"/>
          <w:lang w:val="en-US"/>
        </w:rPr>
        <w:t>O</w:t>
      </w:r>
      <w:r w:rsidR="005A65CE" w:rsidRPr="003171CD">
        <w:rPr>
          <w:rFonts w:cs="Arial"/>
          <w:lang w:val="en-US"/>
        </w:rPr>
        <w:t>n September 29, 2003</w:t>
      </w:r>
      <w:r w:rsidRPr="003171CD">
        <w:rPr>
          <w:rFonts w:cs="Arial"/>
          <w:lang w:val="en-US"/>
        </w:rPr>
        <w:t xml:space="preserve">, </w:t>
      </w:r>
      <w:r w:rsidR="007A702F" w:rsidRPr="003171CD">
        <w:rPr>
          <w:rFonts w:cs="Arial"/>
          <w:lang w:val="en-US"/>
        </w:rPr>
        <w:t>th</w:t>
      </w:r>
      <w:r w:rsidR="00535878" w:rsidRPr="003171CD">
        <w:rPr>
          <w:rFonts w:cs="Arial"/>
          <w:lang w:val="en-US"/>
        </w:rPr>
        <w:t xml:space="preserve">e </w:t>
      </w:r>
      <w:r w:rsidR="00557337" w:rsidRPr="003171CD">
        <w:rPr>
          <w:rFonts w:cs="Arial"/>
          <w:lang w:val="en-US"/>
        </w:rPr>
        <w:t>c</w:t>
      </w:r>
      <w:r w:rsidRPr="003171CD">
        <w:rPr>
          <w:rFonts w:cs="Arial"/>
          <w:lang w:val="en-US"/>
        </w:rPr>
        <w:t xml:space="preserve">ourt </w:t>
      </w:r>
      <w:r w:rsidR="007A702F" w:rsidRPr="003171CD">
        <w:rPr>
          <w:rFonts w:cs="Arial"/>
          <w:lang w:val="en-US"/>
        </w:rPr>
        <w:t>decided</w:t>
      </w:r>
      <w:r w:rsidRPr="003171CD">
        <w:rPr>
          <w:rFonts w:cs="Arial"/>
          <w:lang w:val="en-US"/>
        </w:rPr>
        <w:t xml:space="preserve"> no</w:t>
      </w:r>
      <w:r w:rsidR="007A702F" w:rsidRPr="003171CD">
        <w:rPr>
          <w:rFonts w:cs="Arial"/>
          <w:lang w:val="en-US"/>
        </w:rPr>
        <w:t>t to</w:t>
      </w:r>
      <w:r w:rsidRPr="003171CD">
        <w:rPr>
          <w:rFonts w:cs="Arial"/>
          <w:lang w:val="en-US"/>
        </w:rPr>
        <w:t xml:space="preserve"> admit</w:t>
      </w:r>
      <w:r w:rsidR="005A65CE" w:rsidRPr="003171CD">
        <w:rPr>
          <w:rFonts w:cs="Arial"/>
          <w:lang w:val="en-US"/>
        </w:rPr>
        <w:t xml:space="preserve"> </w:t>
      </w:r>
      <w:r w:rsidRPr="003171CD">
        <w:rPr>
          <w:rFonts w:cs="Arial"/>
          <w:lang w:val="en-US"/>
        </w:rPr>
        <w:t xml:space="preserve">this new </w:t>
      </w:r>
      <w:r w:rsidR="00557337" w:rsidRPr="003171CD">
        <w:rPr>
          <w:rFonts w:cs="Arial"/>
          <w:lang w:val="en-US"/>
        </w:rPr>
        <w:t>motion</w:t>
      </w:r>
      <w:r w:rsidR="003264D9" w:rsidRPr="003171CD">
        <w:rPr>
          <w:rFonts w:cs="Arial"/>
          <w:lang w:val="en-US"/>
        </w:rPr>
        <w:t>, considering</w:t>
      </w:r>
      <w:r w:rsidR="00B319AC" w:rsidRPr="003171CD">
        <w:rPr>
          <w:rFonts w:cs="Arial"/>
          <w:lang w:val="en-US"/>
        </w:rPr>
        <w:t xml:space="preserve"> </w:t>
      </w:r>
      <w:r w:rsidR="00557337" w:rsidRPr="003171CD">
        <w:rPr>
          <w:rFonts w:cs="Arial"/>
          <w:lang w:val="en-US"/>
        </w:rPr>
        <w:t xml:space="preserve">it a </w:t>
      </w:r>
      <w:r w:rsidR="004764AE" w:rsidRPr="003171CD">
        <w:rPr>
          <w:rFonts w:cs="Arial"/>
          <w:lang w:val="en-US"/>
        </w:rPr>
        <w:t xml:space="preserve">reiteration </w:t>
      </w:r>
      <w:r w:rsidR="00557337" w:rsidRPr="003171CD">
        <w:rPr>
          <w:rFonts w:cs="Arial"/>
          <w:lang w:val="en-US"/>
        </w:rPr>
        <w:t xml:space="preserve">of the </w:t>
      </w:r>
      <w:r w:rsidR="003264D9" w:rsidRPr="003171CD">
        <w:rPr>
          <w:rFonts w:cs="Arial"/>
          <w:lang w:val="en-US"/>
        </w:rPr>
        <w:t>previous one</w:t>
      </w:r>
      <w:r w:rsidRPr="003171CD">
        <w:rPr>
          <w:rFonts w:cs="Arial"/>
          <w:lang w:val="en-US"/>
        </w:rPr>
        <w:t>.</w:t>
      </w:r>
      <w:r w:rsidR="005A65CE" w:rsidRPr="003171CD">
        <w:rPr>
          <w:vertAlign w:val="superscript"/>
          <w:lang w:val="en-US"/>
        </w:rPr>
        <w:footnoteReference w:id="141"/>
      </w:r>
    </w:p>
    <w:p w14:paraId="2AAB04AB" w14:textId="77777777" w:rsidR="005A65CE" w:rsidRPr="003171CD" w:rsidRDefault="005A65CE" w:rsidP="005A65CE">
      <w:pPr>
        <w:jc w:val="both"/>
        <w:rPr>
          <w:rFonts w:cs="Arial"/>
          <w:snapToGrid/>
          <w:lang w:val="en-US" w:eastAsia="en-US"/>
        </w:rPr>
      </w:pPr>
    </w:p>
    <w:p w14:paraId="7DDED1B5"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September 22, 2006, </w:t>
      </w:r>
      <w:r w:rsidR="003264D9" w:rsidRPr="003171CD">
        <w:rPr>
          <w:rFonts w:cs="Arial"/>
          <w:lang w:val="en-US"/>
        </w:rPr>
        <w:t xml:space="preserve">Toribio Chiquillo Rodríguez, one </w:t>
      </w:r>
      <w:r w:rsidRPr="003171CD">
        <w:rPr>
          <w:rFonts w:cs="Arial"/>
          <w:lang w:val="en-US"/>
        </w:rPr>
        <w:t>of the persons con</w:t>
      </w:r>
      <w:r w:rsidR="007A702F" w:rsidRPr="003171CD">
        <w:rPr>
          <w:rFonts w:cs="Arial"/>
          <w:lang w:val="en-US"/>
        </w:rPr>
        <w:t xml:space="preserve">victed </w:t>
      </w:r>
      <w:r w:rsidR="009E3630" w:rsidRPr="003171CD">
        <w:rPr>
          <w:rFonts w:cs="Arial"/>
          <w:lang w:val="en-US"/>
        </w:rPr>
        <w:t xml:space="preserve">for </w:t>
      </w:r>
      <w:r w:rsidRPr="003171CD">
        <w:rPr>
          <w:rFonts w:cs="Arial"/>
          <w:lang w:val="en-US"/>
        </w:rPr>
        <w:t>the kidnapping of Mr. Rodríguez Marroquín</w:t>
      </w:r>
      <w:r w:rsidR="003264D9" w:rsidRPr="003171CD">
        <w:rPr>
          <w:rFonts w:cs="Arial"/>
          <w:lang w:val="en-US"/>
        </w:rPr>
        <w:t>,</w:t>
      </w:r>
      <w:r w:rsidRPr="003171CD">
        <w:rPr>
          <w:rFonts w:cs="Arial"/>
          <w:lang w:val="en-US"/>
        </w:rPr>
        <w:t xml:space="preserve"> </w:t>
      </w:r>
      <w:r w:rsidR="007A702F" w:rsidRPr="003171CD">
        <w:rPr>
          <w:rFonts w:cs="Arial"/>
          <w:lang w:val="en-US"/>
        </w:rPr>
        <w:t>submitted a brief to the</w:t>
      </w:r>
      <w:r w:rsidRPr="003171CD">
        <w:rPr>
          <w:rFonts w:cs="Arial"/>
          <w:lang w:val="en-US"/>
        </w:rPr>
        <w:t xml:space="preserve"> Second Trial Court of </w:t>
      </w:r>
      <w:r w:rsidRPr="003171CD">
        <w:rPr>
          <w:lang w:val="en-US"/>
        </w:rPr>
        <w:t>San Salvador</w:t>
      </w:r>
      <w:r w:rsidRPr="003171CD">
        <w:rPr>
          <w:rFonts w:cs="Arial"/>
          <w:lang w:val="en-US"/>
        </w:rPr>
        <w:t xml:space="preserve"> indicating that the </w:t>
      </w:r>
      <w:r w:rsidR="009E3630" w:rsidRPr="003171CD">
        <w:rPr>
          <w:rFonts w:cs="Arial"/>
          <w:lang w:val="en-US"/>
        </w:rPr>
        <w:t xml:space="preserve">individual </w:t>
      </w:r>
      <w:r w:rsidRPr="003171CD">
        <w:rPr>
          <w:rFonts w:cs="Arial"/>
          <w:lang w:val="en-US"/>
        </w:rPr>
        <w:t xml:space="preserve">who </w:t>
      </w:r>
      <w:r w:rsidR="009E3630" w:rsidRPr="003171CD">
        <w:rPr>
          <w:rFonts w:cs="Arial"/>
          <w:lang w:val="en-US"/>
        </w:rPr>
        <w:t xml:space="preserve">had participated </w:t>
      </w:r>
      <w:r w:rsidRPr="003171CD">
        <w:rPr>
          <w:rFonts w:cs="Arial"/>
          <w:lang w:val="en-US"/>
        </w:rPr>
        <w:t xml:space="preserve">in the kidnapping was Rodolfo Ruano Torres, known as </w:t>
      </w:r>
      <w:r w:rsidR="00A96DF3" w:rsidRPr="003171CD">
        <w:rPr>
          <w:rFonts w:cs="Arial"/>
          <w:i/>
          <w:lang w:val="en-US"/>
        </w:rPr>
        <w:t>Chopo</w:t>
      </w:r>
      <w:r w:rsidRPr="003171CD">
        <w:rPr>
          <w:rFonts w:cs="Arial"/>
          <w:lang w:val="en-US"/>
        </w:rPr>
        <w:t xml:space="preserve">, and not José Agapito </w:t>
      </w:r>
      <w:r w:rsidR="00E41A70" w:rsidRPr="003171CD">
        <w:rPr>
          <w:rFonts w:cs="Arial"/>
          <w:lang w:val="en-US"/>
        </w:rPr>
        <w:t xml:space="preserve">Ruano Torres, </w:t>
      </w:r>
      <w:r w:rsidRPr="003171CD">
        <w:rPr>
          <w:rFonts w:cs="Arial"/>
          <w:lang w:val="en-US"/>
        </w:rPr>
        <w:t>“who is innocent of the acts for which he has been convicted.”</w:t>
      </w:r>
      <w:r w:rsidRPr="003171CD">
        <w:rPr>
          <w:vertAlign w:val="superscript"/>
          <w:lang w:val="en-US"/>
        </w:rPr>
        <w:footnoteReference w:id="142"/>
      </w:r>
      <w:r w:rsidRPr="003171CD">
        <w:rPr>
          <w:rFonts w:cs="Arial"/>
          <w:lang w:val="en-US"/>
        </w:rPr>
        <w:t xml:space="preserve"> </w:t>
      </w:r>
      <w:r w:rsidR="003E6257" w:rsidRPr="003171CD">
        <w:rPr>
          <w:rFonts w:cs="Arial"/>
          <w:lang w:val="en-US"/>
        </w:rPr>
        <w:t xml:space="preserve">He </w:t>
      </w:r>
      <w:r w:rsidR="00DA0E83" w:rsidRPr="003171CD">
        <w:rPr>
          <w:rFonts w:cs="Arial"/>
          <w:lang w:val="en-US"/>
        </w:rPr>
        <w:t xml:space="preserve">stated </w:t>
      </w:r>
      <w:r w:rsidR="003E6257" w:rsidRPr="003171CD">
        <w:rPr>
          <w:rFonts w:cs="Arial"/>
          <w:lang w:val="en-US"/>
        </w:rPr>
        <w:t>that</w:t>
      </w:r>
      <w:r w:rsidR="009E3630" w:rsidRPr="003171CD">
        <w:rPr>
          <w:rFonts w:cs="Arial"/>
          <w:lang w:val="en-US"/>
        </w:rPr>
        <w:t xml:space="preserve"> from the very beginning </w:t>
      </w:r>
      <w:r w:rsidR="003E6257" w:rsidRPr="003171CD">
        <w:rPr>
          <w:rFonts w:cs="Arial"/>
          <w:lang w:val="en-US"/>
        </w:rPr>
        <w:t xml:space="preserve">of </w:t>
      </w:r>
      <w:r w:rsidRPr="003171CD">
        <w:rPr>
          <w:rFonts w:cs="Arial"/>
          <w:lang w:val="en-US"/>
        </w:rPr>
        <w:t>the proceeding</w:t>
      </w:r>
      <w:r w:rsidR="00E41A70" w:rsidRPr="003171CD">
        <w:rPr>
          <w:rFonts w:cs="Arial"/>
          <w:lang w:val="en-US"/>
        </w:rPr>
        <w:t>s</w:t>
      </w:r>
      <w:r w:rsidRPr="003171CD">
        <w:rPr>
          <w:rFonts w:cs="Arial"/>
          <w:lang w:val="en-US"/>
        </w:rPr>
        <w:t xml:space="preserve">, the public defender did not allow him to speak on this </w:t>
      </w:r>
      <w:r w:rsidR="00E41A70" w:rsidRPr="003171CD">
        <w:rPr>
          <w:rFonts w:cs="Arial"/>
          <w:lang w:val="en-US"/>
        </w:rPr>
        <w:t>matter</w:t>
      </w:r>
      <w:r w:rsidRPr="003171CD">
        <w:rPr>
          <w:rFonts w:cs="Arial"/>
          <w:lang w:val="en-US"/>
        </w:rPr>
        <w:t>.</w:t>
      </w:r>
      <w:r w:rsidRPr="003171CD">
        <w:rPr>
          <w:vertAlign w:val="superscript"/>
          <w:lang w:val="en-US"/>
        </w:rPr>
        <w:footnoteReference w:id="143"/>
      </w:r>
    </w:p>
    <w:p w14:paraId="682018CB" w14:textId="77777777" w:rsidR="005A65CE" w:rsidRPr="003171CD" w:rsidRDefault="005A65CE" w:rsidP="005A65CE">
      <w:pPr>
        <w:jc w:val="both"/>
        <w:rPr>
          <w:rFonts w:cs="Arial"/>
          <w:snapToGrid/>
          <w:lang w:val="en-US" w:eastAsia="en-US"/>
        </w:rPr>
      </w:pPr>
    </w:p>
    <w:p w14:paraId="32641051" w14:textId="77777777" w:rsidR="005A65CE" w:rsidRPr="003171CD" w:rsidRDefault="00664DD4"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w:t>
      </w:r>
      <w:r w:rsidR="005A65CE" w:rsidRPr="003171CD">
        <w:rPr>
          <w:rFonts w:cs="Arial"/>
          <w:lang w:val="en-US"/>
        </w:rPr>
        <w:t xml:space="preserve">November </w:t>
      </w:r>
      <w:r w:rsidRPr="003171CD">
        <w:rPr>
          <w:rFonts w:cs="Arial"/>
          <w:lang w:val="en-US"/>
        </w:rPr>
        <w:t xml:space="preserve">22, </w:t>
      </w:r>
      <w:r w:rsidR="005A65CE" w:rsidRPr="003171CD">
        <w:rPr>
          <w:rFonts w:cs="Arial"/>
          <w:lang w:val="en-US"/>
        </w:rPr>
        <w:t>2006</w:t>
      </w:r>
      <w:r w:rsidRPr="003171CD">
        <w:rPr>
          <w:rFonts w:cs="Arial"/>
          <w:lang w:val="en-US"/>
        </w:rPr>
        <w:t>,</w:t>
      </w:r>
      <w:r w:rsidR="005A65CE" w:rsidRPr="003171CD">
        <w:rPr>
          <w:rFonts w:cs="Arial"/>
          <w:lang w:val="en-US"/>
        </w:rPr>
        <w:t xml:space="preserve"> José Agapito </w:t>
      </w:r>
      <w:r w:rsidR="009474FE" w:rsidRPr="003171CD">
        <w:rPr>
          <w:rFonts w:cs="Arial"/>
          <w:lang w:val="en-US"/>
        </w:rPr>
        <w:t xml:space="preserve">filed </w:t>
      </w:r>
      <w:r w:rsidR="005A65CE" w:rsidRPr="003171CD">
        <w:rPr>
          <w:rFonts w:cs="Arial"/>
          <w:lang w:val="en-US"/>
        </w:rPr>
        <w:t>a</w:t>
      </w:r>
      <w:r w:rsidR="009E3630" w:rsidRPr="003171CD">
        <w:rPr>
          <w:rFonts w:cs="Arial"/>
          <w:lang w:val="en-US"/>
        </w:rPr>
        <w:t xml:space="preserve"> new motion for </w:t>
      </w:r>
      <w:r w:rsidR="005A65CE" w:rsidRPr="003171CD">
        <w:rPr>
          <w:rFonts w:cs="Arial"/>
          <w:lang w:val="en-US"/>
        </w:rPr>
        <w:t xml:space="preserve">review </w:t>
      </w:r>
      <w:r w:rsidR="009474FE" w:rsidRPr="003171CD">
        <w:rPr>
          <w:rFonts w:cs="Arial"/>
          <w:lang w:val="en-US"/>
        </w:rPr>
        <w:t>with</w:t>
      </w:r>
      <w:r w:rsidR="005A65CE" w:rsidRPr="003171CD">
        <w:rPr>
          <w:rFonts w:cs="Arial"/>
          <w:lang w:val="en-US"/>
        </w:rPr>
        <w:t xml:space="preserve"> the Second Trial Court of </w:t>
      </w:r>
      <w:r w:rsidR="005A65CE" w:rsidRPr="003171CD">
        <w:rPr>
          <w:lang w:val="en-US"/>
        </w:rPr>
        <w:t>San Salvador</w:t>
      </w:r>
      <w:r w:rsidR="009E3630" w:rsidRPr="003171CD">
        <w:rPr>
          <w:lang w:val="en-US"/>
        </w:rPr>
        <w:t>. He</w:t>
      </w:r>
      <w:r w:rsidR="005A65CE" w:rsidRPr="003171CD">
        <w:rPr>
          <w:rFonts w:cs="Arial"/>
          <w:lang w:val="en-US"/>
        </w:rPr>
        <w:t xml:space="preserve"> </w:t>
      </w:r>
      <w:r w:rsidR="00E41A70" w:rsidRPr="003171CD">
        <w:rPr>
          <w:rFonts w:cs="Arial"/>
          <w:lang w:val="en-US"/>
        </w:rPr>
        <w:t xml:space="preserve">argued </w:t>
      </w:r>
      <w:r w:rsidR="005A65CE" w:rsidRPr="003171CD">
        <w:rPr>
          <w:rFonts w:cs="Arial"/>
          <w:lang w:val="en-US"/>
        </w:rPr>
        <w:t xml:space="preserve">that he was not allowed to </w:t>
      </w:r>
      <w:r w:rsidR="009E3630" w:rsidRPr="003171CD">
        <w:rPr>
          <w:rFonts w:cs="Arial"/>
          <w:lang w:val="en-US"/>
        </w:rPr>
        <w:t xml:space="preserve">make a </w:t>
      </w:r>
      <w:r w:rsidR="003E6257" w:rsidRPr="003171CD">
        <w:rPr>
          <w:rFonts w:cs="Arial"/>
          <w:lang w:val="en-US"/>
        </w:rPr>
        <w:t xml:space="preserve">statement </w:t>
      </w:r>
      <w:r w:rsidR="009E3630" w:rsidRPr="003171CD">
        <w:rPr>
          <w:rFonts w:cs="Arial"/>
          <w:lang w:val="en-US"/>
        </w:rPr>
        <w:t xml:space="preserve">even though he </w:t>
      </w:r>
      <w:r w:rsidR="00DA0E83" w:rsidRPr="003171CD">
        <w:rPr>
          <w:rFonts w:cs="Arial"/>
          <w:lang w:val="en-US"/>
        </w:rPr>
        <w:t xml:space="preserve">had </w:t>
      </w:r>
      <w:r w:rsidR="009E3630" w:rsidRPr="003171CD">
        <w:rPr>
          <w:rFonts w:cs="Arial"/>
          <w:lang w:val="en-US"/>
        </w:rPr>
        <w:t xml:space="preserve">stated </w:t>
      </w:r>
      <w:r w:rsidR="003E6257" w:rsidRPr="003171CD">
        <w:rPr>
          <w:rFonts w:cs="Arial"/>
          <w:lang w:val="en-US"/>
        </w:rPr>
        <w:t>“</w:t>
      </w:r>
      <w:r w:rsidR="009E3630" w:rsidRPr="003171CD">
        <w:rPr>
          <w:rFonts w:cs="Arial"/>
          <w:lang w:val="en-US"/>
        </w:rPr>
        <w:t>I am willing to testify.</w:t>
      </w:r>
      <w:r w:rsidR="005A65CE" w:rsidRPr="003171CD">
        <w:rPr>
          <w:rFonts w:cs="Arial"/>
          <w:lang w:val="en-US"/>
        </w:rPr>
        <w:t xml:space="preserve">” </w:t>
      </w:r>
      <w:r w:rsidR="009E3630" w:rsidRPr="003171CD">
        <w:rPr>
          <w:rFonts w:cs="Arial"/>
          <w:lang w:val="en-US"/>
        </w:rPr>
        <w:t xml:space="preserve">He </w:t>
      </w:r>
      <w:r w:rsidR="003075CF" w:rsidRPr="003171CD">
        <w:rPr>
          <w:rFonts w:cs="Arial"/>
          <w:lang w:val="en-US"/>
        </w:rPr>
        <w:t xml:space="preserve">also </w:t>
      </w:r>
      <w:r w:rsidR="00DA0E83" w:rsidRPr="003171CD">
        <w:rPr>
          <w:rFonts w:cs="Arial"/>
          <w:lang w:val="en-US"/>
        </w:rPr>
        <w:t xml:space="preserve">pointed out </w:t>
      </w:r>
      <w:r w:rsidR="005A65CE" w:rsidRPr="003171CD">
        <w:rPr>
          <w:rFonts w:cs="Arial"/>
          <w:lang w:val="en-US"/>
        </w:rPr>
        <w:t xml:space="preserve">that Mr. Rodríguez Marroquín had </w:t>
      </w:r>
      <w:r w:rsidR="003E6257" w:rsidRPr="003171CD">
        <w:rPr>
          <w:rFonts w:cs="Arial"/>
          <w:lang w:val="en-US"/>
        </w:rPr>
        <w:t xml:space="preserve">admitted </w:t>
      </w:r>
      <w:r w:rsidR="005A65CE" w:rsidRPr="003171CD">
        <w:rPr>
          <w:rFonts w:cs="Arial"/>
          <w:lang w:val="en-US"/>
        </w:rPr>
        <w:t xml:space="preserve">that </w:t>
      </w:r>
      <w:r w:rsidR="00890144" w:rsidRPr="003171CD">
        <w:rPr>
          <w:rFonts w:cs="Arial"/>
          <w:lang w:val="en-US"/>
        </w:rPr>
        <w:t xml:space="preserve">his recognition and pointing out of Mr. Ruano Torres at </w:t>
      </w:r>
      <w:r w:rsidR="005A65CE" w:rsidRPr="003171CD">
        <w:rPr>
          <w:rFonts w:cs="Arial"/>
          <w:lang w:val="en-US"/>
        </w:rPr>
        <w:t xml:space="preserve">the </w:t>
      </w:r>
      <w:r w:rsidRPr="003171CD">
        <w:rPr>
          <w:rFonts w:cs="Arial"/>
          <w:lang w:val="en-US"/>
        </w:rPr>
        <w:t>identity parade</w:t>
      </w:r>
      <w:r w:rsidR="005A65CE" w:rsidRPr="003171CD">
        <w:rPr>
          <w:rFonts w:cs="Arial"/>
          <w:lang w:val="en-US"/>
        </w:rPr>
        <w:t xml:space="preserve"> </w:t>
      </w:r>
      <w:r w:rsidR="003E6257" w:rsidRPr="003171CD">
        <w:rPr>
          <w:rFonts w:cs="Arial"/>
          <w:lang w:val="en-US"/>
        </w:rPr>
        <w:t>w</w:t>
      </w:r>
      <w:r w:rsidR="00890144" w:rsidRPr="003171CD">
        <w:rPr>
          <w:rFonts w:cs="Arial"/>
          <w:lang w:val="en-US"/>
        </w:rPr>
        <w:t xml:space="preserve">as </w:t>
      </w:r>
      <w:r w:rsidR="003E6257" w:rsidRPr="003171CD">
        <w:rPr>
          <w:rFonts w:cs="Arial"/>
          <w:lang w:val="en-US"/>
        </w:rPr>
        <w:t>based on media</w:t>
      </w:r>
      <w:r w:rsidR="003075CF" w:rsidRPr="003171CD">
        <w:rPr>
          <w:rFonts w:cs="Arial"/>
          <w:lang w:val="en-US"/>
        </w:rPr>
        <w:t xml:space="preserve"> reports</w:t>
      </w:r>
      <w:r w:rsidR="003E6257" w:rsidRPr="003171CD">
        <w:rPr>
          <w:rFonts w:cs="Arial"/>
          <w:lang w:val="en-US"/>
        </w:rPr>
        <w:t>.</w:t>
      </w:r>
      <w:r w:rsidR="005A65CE" w:rsidRPr="003171CD">
        <w:rPr>
          <w:vertAlign w:val="superscript"/>
          <w:lang w:val="en-US"/>
        </w:rPr>
        <w:footnoteReference w:id="144"/>
      </w:r>
      <w:r w:rsidR="003E6257" w:rsidRPr="003171CD">
        <w:rPr>
          <w:rFonts w:cs="Arial"/>
          <w:lang w:val="en-US"/>
        </w:rPr>
        <w:t xml:space="preserve"> </w:t>
      </w:r>
      <w:r w:rsidR="003075CF" w:rsidRPr="003171CD">
        <w:rPr>
          <w:rFonts w:cs="Arial"/>
          <w:lang w:val="en-US"/>
        </w:rPr>
        <w:t>H</w:t>
      </w:r>
      <w:r w:rsidR="003E6257" w:rsidRPr="003171CD">
        <w:rPr>
          <w:rFonts w:cs="Arial"/>
          <w:lang w:val="en-US"/>
        </w:rPr>
        <w:t xml:space="preserve">e </w:t>
      </w:r>
      <w:r w:rsidR="003075CF" w:rsidRPr="003171CD">
        <w:rPr>
          <w:rFonts w:cs="Arial"/>
          <w:lang w:val="en-US"/>
        </w:rPr>
        <w:t>added t</w:t>
      </w:r>
      <w:r w:rsidR="003E6257" w:rsidRPr="003171CD">
        <w:rPr>
          <w:rFonts w:cs="Arial"/>
          <w:lang w:val="en-US"/>
        </w:rPr>
        <w:t>hat “the</w:t>
      </w:r>
      <w:r w:rsidR="005A65CE" w:rsidRPr="003171CD">
        <w:rPr>
          <w:rFonts w:cs="Arial"/>
          <w:lang w:val="en-US"/>
        </w:rPr>
        <w:t xml:space="preserve"> defense </w:t>
      </w:r>
      <w:r w:rsidR="003E6257" w:rsidRPr="003171CD">
        <w:rPr>
          <w:rFonts w:cs="Arial"/>
          <w:lang w:val="en-US"/>
        </w:rPr>
        <w:t xml:space="preserve">always </w:t>
      </w:r>
      <w:r w:rsidR="00376B73" w:rsidRPr="003171CD">
        <w:rPr>
          <w:rFonts w:cs="Arial"/>
          <w:lang w:val="en-US"/>
        </w:rPr>
        <w:t xml:space="preserve">pressured </w:t>
      </w:r>
      <w:r w:rsidR="003E6257" w:rsidRPr="003171CD">
        <w:rPr>
          <w:rFonts w:cs="Arial"/>
          <w:lang w:val="en-US"/>
        </w:rPr>
        <w:t xml:space="preserve">[him] </w:t>
      </w:r>
      <w:r w:rsidR="00271081" w:rsidRPr="003171CD">
        <w:rPr>
          <w:rFonts w:cs="Arial"/>
          <w:lang w:val="en-US"/>
        </w:rPr>
        <w:t xml:space="preserve">so </w:t>
      </w:r>
      <w:r w:rsidR="005A65CE" w:rsidRPr="003171CD">
        <w:rPr>
          <w:rFonts w:cs="Arial"/>
          <w:lang w:val="en-US"/>
        </w:rPr>
        <w:t xml:space="preserve">that </w:t>
      </w:r>
      <w:r w:rsidR="00271081" w:rsidRPr="003171CD">
        <w:rPr>
          <w:rFonts w:cs="Arial"/>
          <w:lang w:val="en-US"/>
        </w:rPr>
        <w:t>he would not testify.”</w:t>
      </w:r>
      <w:r w:rsidR="005A65CE" w:rsidRPr="003171CD">
        <w:rPr>
          <w:rFonts w:cs="Arial"/>
          <w:lang w:val="en-US"/>
        </w:rPr>
        <w:t xml:space="preserve"> </w:t>
      </w:r>
      <w:r w:rsidR="003075CF" w:rsidRPr="003171CD">
        <w:rPr>
          <w:rFonts w:cs="Arial"/>
          <w:lang w:val="en-US"/>
        </w:rPr>
        <w:t xml:space="preserve">Mr. Ruano Torres </w:t>
      </w:r>
      <w:r w:rsidR="003E6257" w:rsidRPr="003171CD">
        <w:rPr>
          <w:rFonts w:cs="Arial"/>
          <w:lang w:val="en-US"/>
        </w:rPr>
        <w:t>also r</w:t>
      </w:r>
      <w:r w:rsidR="005A65CE" w:rsidRPr="003171CD">
        <w:rPr>
          <w:rFonts w:cs="Arial"/>
          <w:lang w:val="en-US"/>
        </w:rPr>
        <w:t>equested</w:t>
      </w:r>
      <w:r w:rsidR="009474FE" w:rsidRPr="003171CD">
        <w:rPr>
          <w:rFonts w:cs="Arial"/>
          <w:lang w:val="en-US"/>
        </w:rPr>
        <w:t xml:space="preserve"> that </w:t>
      </w:r>
      <w:r w:rsidR="005A65CE" w:rsidRPr="003171CD">
        <w:rPr>
          <w:rFonts w:cs="Arial"/>
          <w:lang w:val="en-US"/>
        </w:rPr>
        <w:t>the evidence presented</w:t>
      </w:r>
      <w:r w:rsidR="009474FE" w:rsidRPr="003171CD">
        <w:rPr>
          <w:rFonts w:cs="Arial"/>
          <w:lang w:val="en-US"/>
        </w:rPr>
        <w:t xml:space="preserve"> be discussed and analyzed </w:t>
      </w:r>
      <w:r w:rsidR="005A65CE" w:rsidRPr="003171CD">
        <w:rPr>
          <w:rFonts w:cs="Arial"/>
          <w:lang w:val="en-US"/>
        </w:rPr>
        <w:t>–</w:t>
      </w:r>
      <w:r w:rsidR="003E6257" w:rsidRPr="003171CD">
        <w:rPr>
          <w:rFonts w:cs="Arial"/>
          <w:lang w:val="en-US"/>
        </w:rPr>
        <w:t xml:space="preserve"> that is</w:t>
      </w:r>
      <w:r w:rsidR="005A65CE" w:rsidRPr="003171CD">
        <w:rPr>
          <w:rFonts w:cs="Arial"/>
          <w:lang w:val="en-US"/>
        </w:rPr>
        <w:t xml:space="preserve">, the </w:t>
      </w:r>
      <w:r w:rsidR="00822A0B" w:rsidRPr="003171CD">
        <w:rPr>
          <w:rFonts w:cs="Arial"/>
          <w:lang w:val="en-US"/>
        </w:rPr>
        <w:t xml:space="preserve">documentary statement regarding </w:t>
      </w:r>
      <w:r w:rsidR="003E6257" w:rsidRPr="003171CD">
        <w:rPr>
          <w:rFonts w:cs="Arial"/>
          <w:lang w:val="en-US"/>
        </w:rPr>
        <w:t xml:space="preserve">his work on </w:t>
      </w:r>
      <w:r w:rsidR="005A65CE" w:rsidRPr="003171CD">
        <w:rPr>
          <w:rFonts w:cs="Arial"/>
          <w:lang w:val="en-US"/>
        </w:rPr>
        <w:t>the d</w:t>
      </w:r>
      <w:r w:rsidR="003E6257" w:rsidRPr="003171CD">
        <w:rPr>
          <w:rFonts w:cs="Arial"/>
          <w:lang w:val="en-US"/>
        </w:rPr>
        <w:t xml:space="preserve">ay of the </w:t>
      </w:r>
      <w:r w:rsidR="00271081" w:rsidRPr="003171CD">
        <w:rPr>
          <w:rFonts w:cs="Arial"/>
          <w:lang w:val="en-US"/>
        </w:rPr>
        <w:t>kidnapping and the testimon</w:t>
      </w:r>
      <w:r w:rsidR="00822A0B" w:rsidRPr="003171CD">
        <w:rPr>
          <w:rFonts w:cs="Arial"/>
          <w:lang w:val="en-US"/>
        </w:rPr>
        <w:t xml:space="preserve">y </w:t>
      </w:r>
      <w:r w:rsidR="005A65CE" w:rsidRPr="003171CD">
        <w:rPr>
          <w:rFonts w:cs="Arial"/>
          <w:lang w:val="en-US"/>
        </w:rPr>
        <w:t xml:space="preserve">of Rodolfo Ruano Torres and Toribio Chiquillo Rodríguez- </w:t>
      </w:r>
      <w:r w:rsidR="00822A0B" w:rsidRPr="003171CD">
        <w:rPr>
          <w:rFonts w:cs="Arial"/>
          <w:lang w:val="en-US"/>
        </w:rPr>
        <w:t xml:space="preserve">in order to </w:t>
      </w:r>
      <w:r w:rsidR="009474FE" w:rsidRPr="003171CD">
        <w:rPr>
          <w:rFonts w:cs="Arial"/>
          <w:lang w:val="en-US"/>
        </w:rPr>
        <w:t xml:space="preserve">be granted </w:t>
      </w:r>
      <w:r w:rsidRPr="003171CD">
        <w:rPr>
          <w:rFonts w:cs="Arial"/>
          <w:lang w:val="en-US"/>
        </w:rPr>
        <w:t xml:space="preserve">alternative </w:t>
      </w:r>
      <w:r w:rsidR="003E6257" w:rsidRPr="003171CD">
        <w:rPr>
          <w:rFonts w:cs="Arial"/>
          <w:lang w:val="en-US"/>
        </w:rPr>
        <w:t xml:space="preserve">measures </w:t>
      </w:r>
      <w:r w:rsidRPr="003171CD">
        <w:rPr>
          <w:rFonts w:cs="Arial"/>
          <w:lang w:val="en-US"/>
        </w:rPr>
        <w:t>to imprisonment</w:t>
      </w:r>
      <w:r w:rsidR="005A65CE" w:rsidRPr="003171CD">
        <w:rPr>
          <w:rFonts w:cs="Arial"/>
          <w:lang w:val="en-US"/>
        </w:rPr>
        <w:t>.</w:t>
      </w:r>
    </w:p>
    <w:p w14:paraId="43D2D4D5" w14:textId="77777777" w:rsidR="005A65CE" w:rsidRPr="003171CD" w:rsidRDefault="005A65CE" w:rsidP="005A65CE">
      <w:pPr>
        <w:jc w:val="both"/>
        <w:rPr>
          <w:rFonts w:cs="Arial"/>
          <w:snapToGrid/>
          <w:lang w:val="en-US" w:eastAsia="en-US"/>
        </w:rPr>
      </w:pPr>
    </w:p>
    <w:p w14:paraId="0A3BCE51"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November 27, 2006, the Second Trial Court of </w:t>
      </w:r>
      <w:r w:rsidRPr="003171CD">
        <w:rPr>
          <w:lang w:val="en-US"/>
        </w:rPr>
        <w:t>San Salvador</w:t>
      </w:r>
      <w:r w:rsidR="00271081" w:rsidRPr="003171CD">
        <w:rPr>
          <w:lang w:val="en-US"/>
        </w:rPr>
        <w:t xml:space="preserve"> </w:t>
      </w:r>
      <w:r w:rsidR="00271081" w:rsidRPr="003171CD">
        <w:rPr>
          <w:rFonts w:cs="Arial"/>
          <w:lang w:val="en-US"/>
        </w:rPr>
        <w:t>reject</w:t>
      </w:r>
      <w:r w:rsidR="00822A0B" w:rsidRPr="003171CD">
        <w:rPr>
          <w:rFonts w:cs="Arial"/>
          <w:lang w:val="en-US"/>
        </w:rPr>
        <w:t>ed</w:t>
      </w:r>
      <w:r w:rsidR="00271081" w:rsidRPr="003171CD">
        <w:rPr>
          <w:rFonts w:cs="Arial"/>
          <w:lang w:val="en-US"/>
        </w:rPr>
        <w:t xml:space="preserve"> </w:t>
      </w:r>
      <w:r w:rsidR="009474FE" w:rsidRPr="003171CD">
        <w:rPr>
          <w:rFonts w:cs="Arial"/>
          <w:lang w:val="en-US"/>
        </w:rPr>
        <w:t>th</w:t>
      </w:r>
      <w:r w:rsidR="00822A0B" w:rsidRPr="003171CD">
        <w:rPr>
          <w:rFonts w:cs="Arial"/>
          <w:lang w:val="en-US"/>
        </w:rPr>
        <w:t xml:space="preserve">e motion and </w:t>
      </w:r>
      <w:r w:rsidR="00376B73" w:rsidRPr="003171CD">
        <w:rPr>
          <w:rFonts w:cs="Arial"/>
          <w:lang w:val="en-US"/>
        </w:rPr>
        <w:t xml:space="preserve">ruled it </w:t>
      </w:r>
      <w:r w:rsidR="003E6257" w:rsidRPr="003171CD">
        <w:rPr>
          <w:rFonts w:cs="Arial"/>
          <w:lang w:val="en-US"/>
        </w:rPr>
        <w:t>inadmissible</w:t>
      </w:r>
      <w:r w:rsidRPr="003171CD">
        <w:rPr>
          <w:rFonts w:cs="Arial"/>
          <w:lang w:val="en-US"/>
        </w:rPr>
        <w:t xml:space="preserve">. </w:t>
      </w:r>
      <w:r w:rsidR="00822A0B" w:rsidRPr="003171CD">
        <w:rPr>
          <w:rFonts w:cs="Arial"/>
          <w:lang w:val="en-US"/>
        </w:rPr>
        <w:t xml:space="preserve">With regard to </w:t>
      </w:r>
      <w:r w:rsidRPr="003171CD">
        <w:rPr>
          <w:rFonts w:cs="Arial"/>
          <w:lang w:val="en-US"/>
        </w:rPr>
        <w:t xml:space="preserve">the </w:t>
      </w:r>
      <w:r w:rsidR="00822A0B" w:rsidRPr="003171CD">
        <w:rPr>
          <w:rFonts w:cs="Arial"/>
          <w:lang w:val="en-US"/>
        </w:rPr>
        <w:t xml:space="preserve">refusal to allow </w:t>
      </w:r>
      <w:r w:rsidRPr="003171CD">
        <w:rPr>
          <w:rFonts w:cs="Arial"/>
          <w:lang w:val="en-US"/>
        </w:rPr>
        <w:t xml:space="preserve">Mr. Ruano Torres </w:t>
      </w:r>
      <w:r w:rsidR="00822A0B" w:rsidRPr="003171CD">
        <w:rPr>
          <w:rFonts w:cs="Arial"/>
          <w:lang w:val="en-US"/>
        </w:rPr>
        <w:t xml:space="preserve">to make a </w:t>
      </w:r>
      <w:r w:rsidR="003E6257" w:rsidRPr="003171CD">
        <w:rPr>
          <w:rFonts w:cs="Arial"/>
          <w:lang w:val="en-US"/>
        </w:rPr>
        <w:t>statement</w:t>
      </w:r>
      <w:r w:rsidR="003C2E8C" w:rsidRPr="003171CD">
        <w:rPr>
          <w:rFonts w:cs="Arial"/>
          <w:lang w:val="en-US"/>
        </w:rPr>
        <w:t>, the c</w:t>
      </w:r>
      <w:r w:rsidRPr="003171CD">
        <w:rPr>
          <w:rFonts w:cs="Arial"/>
          <w:lang w:val="en-US"/>
        </w:rPr>
        <w:t xml:space="preserve">ourt acknowledged that “at the </w:t>
      </w:r>
      <w:r w:rsidR="00822A0B" w:rsidRPr="003171CD">
        <w:rPr>
          <w:rFonts w:cs="Arial"/>
          <w:lang w:val="en-US"/>
        </w:rPr>
        <w:t>moment [</w:t>
      </w:r>
      <w:r w:rsidRPr="003171CD">
        <w:rPr>
          <w:rFonts w:cs="Arial"/>
          <w:lang w:val="en-US"/>
        </w:rPr>
        <w:t>when</w:t>
      </w:r>
      <w:r w:rsidR="00822A0B" w:rsidRPr="003171CD">
        <w:rPr>
          <w:rFonts w:cs="Arial"/>
          <w:lang w:val="en-US"/>
        </w:rPr>
        <w:t>] he</w:t>
      </w:r>
      <w:r w:rsidRPr="003171CD">
        <w:rPr>
          <w:rFonts w:cs="Arial"/>
          <w:lang w:val="en-US"/>
        </w:rPr>
        <w:t xml:space="preserve"> wanted to </w:t>
      </w:r>
      <w:r w:rsidR="00822A0B" w:rsidRPr="003171CD">
        <w:rPr>
          <w:rFonts w:cs="Arial"/>
          <w:lang w:val="en-US"/>
        </w:rPr>
        <w:t xml:space="preserve">make a statement, </w:t>
      </w:r>
      <w:r w:rsidRPr="003171CD">
        <w:rPr>
          <w:rFonts w:cs="Arial"/>
          <w:lang w:val="en-US"/>
        </w:rPr>
        <w:t>he was not listened to.”</w:t>
      </w:r>
      <w:r w:rsidRPr="003171CD">
        <w:rPr>
          <w:vertAlign w:val="superscript"/>
          <w:lang w:val="en-US"/>
        </w:rPr>
        <w:footnoteReference w:id="145"/>
      </w:r>
      <w:r w:rsidRPr="003171CD">
        <w:rPr>
          <w:rFonts w:cs="Arial"/>
          <w:lang w:val="en-US"/>
        </w:rPr>
        <w:t xml:space="preserve"> </w:t>
      </w:r>
      <w:r w:rsidR="00822A0B" w:rsidRPr="003171CD">
        <w:rPr>
          <w:rFonts w:cs="Arial"/>
          <w:lang w:val="en-US"/>
        </w:rPr>
        <w:t>Furthermore</w:t>
      </w:r>
      <w:r w:rsidRPr="003171CD">
        <w:rPr>
          <w:rFonts w:cs="Arial"/>
          <w:lang w:val="en-US"/>
        </w:rPr>
        <w:t xml:space="preserve">, </w:t>
      </w:r>
      <w:r w:rsidR="00822A0B" w:rsidRPr="003171CD">
        <w:rPr>
          <w:rFonts w:cs="Arial"/>
          <w:lang w:val="en-US"/>
        </w:rPr>
        <w:t xml:space="preserve">the court maintained that at the end of the pre-trial hearing </w:t>
      </w:r>
      <w:r w:rsidRPr="003171CD">
        <w:rPr>
          <w:rFonts w:cs="Arial"/>
          <w:lang w:val="en-US"/>
        </w:rPr>
        <w:t>“</w:t>
      </w:r>
      <w:r w:rsidR="002E679E" w:rsidRPr="003171CD">
        <w:rPr>
          <w:rFonts w:cs="Arial"/>
          <w:lang w:val="en-US"/>
        </w:rPr>
        <w:t xml:space="preserve">he </w:t>
      </w:r>
      <w:r w:rsidR="001F02E7" w:rsidRPr="003171CD">
        <w:rPr>
          <w:rFonts w:cs="Arial"/>
          <w:lang w:val="en-US"/>
        </w:rPr>
        <w:t xml:space="preserve">only </w:t>
      </w:r>
      <w:r w:rsidR="00822A0B" w:rsidRPr="003171CD">
        <w:rPr>
          <w:rFonts w:cs="Arial"/>
          <w:lang w:val="en-US"/>
        </w:rPr>
        <w:t xml:space="preserve">said </w:t>
      </w:r>
      <w:r w:rsidRPr="003171CD">
        <w:rPr>
          <w:rFonts w:cs="Arial"/>
          <w:lang w:val="en-US"/>
        </w:rPr>
        <w:t xml:space="preserve">he was innocent,” </w:t>
      </w:r>
      <w:r w:rsidR="00140964" w:rsidRPr="003171CD">
        <w:rPr>
          <w:rFonts w:cs="Arial"/>
          <w:lang w:val="en-US"/>
        </w:rPr>
        <w:t xml:space="preserve">that </w:t>
      </w:r>
      <w:r w:rsidRPr="003171CD">
        <w:rPr>
          <w:rFonts w:cs="Arial"/>
          <w:lang w:val="en-US"/>
        </w:rPr>
        <w:t xml:space="preserve">being the </w:t>
      </w:r>
      <w:r w:rsidR="00140964" w:rsidRPr="003171CD">
        <w:rPr>
          <w:rFonts w:cs="Arial"/>
          <w:lang w:val="en-US"/>
        </w:rPr>
        <w:t>moment in the proceeding when “</w:t>
      </w:r>
      <w:r w:rsidRPr="003171CD">
        <w:rPr>
          <w:rFonts w:cs="Arial"/>
          <w:lang w:val="en-US"/>
        </w:rPr>
        <w:t xml:space="preserve">he should have </w:t>
      </w:r>
      <w:r w:rsidR="00140964" w:rsidRPr="003171CD">
        <w:rPr>
          <w:rFonts w:cs="Arial"/>
          <w:lang w:val="en-US"/>
        </w:rPr>
        <w:t xml:space="preserve">indicated </w:t>
      </w:r>
      <w:r w:rsidRPr="003171CD">
        <w:rPr>
          <w:rFonts w:cs="Arial"/>
          <w:lang w:val="en-US"/>
        </w:rPr>
        <w:t xml:space="preserve">that he wished to </w:t>
      </w:r>
      <w:r w:rsidR="00822A0B" w:rsidRPr="003171CD">
        <w:rPr>
          <w:rFonts w:cs="Arial"/>
          <w:lang w:val="en-US"/>
        </w:rPr>
        <w:t xml:space="preserve">make a </w:t>
      </w:r>
      <w:r w:rsidRPr="003171CD">
        <w:rPr>
          <w:rFonts w:cs="Arial"/>
          <w:lang w:val="en-US"/>
        </w:rPr>
        <w:t>statement.</w:t>
      </w:r>
      <w:r w:rsidR="00140964" w:rsidRPr="003171CD">
        <w:rPr>
          <w:rFonts w:cs="Arial"/>
          <w:lang w:val="en-US"/>
        </w:rPr>
        <w:t>”</w:t>
      </w:r>
      <w:r w:rsidRPr="003171CD">
        <w:rPr>
          <w:vertAlign w:val="superscript"/>
          <w:lang w:val="en-US"/>
        </w:rPr>
        <w:footnoteReference w:id="146"/>
      </w:r>
      <w:r w:rsidRPr="003171CD">
        <w:rPr>
          <w:rFonts w:cs="Arial"/>
          <w:lang w:val="en-US"/>
        </w:rPr>
        <w:t xml:space="preserve"> </w:t>
      </w:r>
      <w:r w:rsidR="00140964" w:rsidRPr="003171CD">
        <w:rPr>
          <w:rFonts w:cs="Arial"/>
          <w:lang w:val="en-US"/>
        </w:rPr>
        <w:t xml:space="preserve">The court also noted that the times when </w:t>
      </w:r>
      <w:r w:rsidR="00E755FC" w:rsidRPr="003171CD">
        <w:rPr>
          <w:rFonts w:cs="Arial"/>
          <w:lang w:val="en-US"/>
        </w:rPr>
        <w:t>Mr</w:t>
      </w:r>
      <w:r w:rsidRPr="003171CD">
        <w:rPr>
          <w:rFonts w:cs="Arial"/>
          <w:lang w:val="en-US"/>
        </w:rPr>
        <w:t xml:space="preserve">. Rodríguez Marroquín </w:t>
      </w:r>
      <w:r w:rsidR="00140964" w:rsidRPr="003171CD">
        <w:rPr>
          <w:rFonts w:cs="Arial"/>
          <w:lang w:val="en-US"/>
        </w:rPr>
        <w:t xml:space="preserve">pointed </w:t>
      </w:r>
      <w:r w:rsidR="00140964" w:rsidRPr="003171CD">
        <w:rPr>
          <w:rFonts w:cs="Arial"/>
          <w:lang w:val="en-US"/>
        </w:rPr>
        <w:lastRenderedPageBreak/>
        <w:t xml:space="preserve">him out </w:t>
      </w:r>
      <w:r w:rsidRPr="003171CD">
        <w:rPr>
          <w:rFonts w:cs="Arial"/>
          <w:lang w:val="en-US"/>
        </w:rPr>
        <w:t xml:space="preserve">were “spontaneous and direct” and </w:t>
      </w:r>
      <w:r w:rsidR="00376B73" w:rsidRPr="003171CD">
        <w:rPr>
          <w:rFonts w:cs="Arial"/>
          <w:lang w:val="en-US"/>
        </w:rPr>
        <w:t xml:space="preserve">indicated </w:t>
      </w:r>
      <w:r w:rsidRPr="003171CD">
        <w:rPr>
          <w:rFonts w:cs="Arial"/>
          <w:lang w:val="en-US"/>
        </w:rPr>
        <w:t>that Mr. Ruano Torres could “al</w:t>
      </w:r>
      <w:r w:rsidR="00FE36FA" w:rsidRPr="003171CD">
        <w:rPr>
          <w:rFonts w:cs="Arial"/>
          <w:lang w:val="en-US"/>
        </w:rPr>
        <w:t>l</w:t>
      </w:r>
      <w:r w:rsidRPr="003171CD">
        <w:rPr>
          <w:rFonts w:cs="Arial"/>
          <w:lang w:val="en-US"/>
        </w:rPr>
        <w:t>eg</w:t>
      </w:r>
      <w:r w:rsidR="00FE36FA" w:rsidRPr="003171CD">
        <w:rPr>
          <w:rFonts w:cs="Arial"/>
          <w:lang w:val="en-US"/>
        </w:rPr>
        <w:t xml:space="preserve">e </w:t>
      </w:r>
      <w:r w:rsidR="00402699" w:rsidRPr="003171CD">
        <w:rPr>
          <w:rFonts w:cs="Arial"/>
          <w:lang w:val="en-US"/>
        </w:rPr>
        <w:t>what</w:t>
      </w:r>
      <w:r w:rsidR="003C2E8C" w:rsidRPr="003171CD">
        <w:rPr>
          <w:rFonts w:cs="Arial"/>
          <w:lang w:val="en-US"/>
        </w:rPr>
        <w:t>ever</w:t>
      </w:r>
      <w:r w:rsidR="00402699" w:rsidRPr="003171CD">
        <w:rPr>
          <w:rFonts w:cs="Arial"/>
          <w:lang w:val="en-US"/>
        </w:rPr>
        <w:t xml:space="preserve"> is relevant </w:t>
      </w:r>
      <w:r w:rsidRPr="003171CD">
        <w:rPr>
          <w:rFonts w:cs="Arial"/>
          <w:lang w:val="en-US"/>
        </w:rPr>
        <w:t xml:space="preserve">in </w:t>
      </w:r>
      <w:r w:rsidR="00402699" w:rsidRPr="003171CD">
        <w:rPr>
          <w:rFonts w:cs="Arial"/>
          <w:lang w:val="en-US"/>
        </w:rPr>
        <w:t xml:space="preserve">the trial, in exercise of </w:t>
      </w:r>
      <w:r w:rsidR="001F02E7" w:rsidRPr="003171CD">
        <w:rPr>
          <w:rFonts w:cs="Arial"/>
          <w:lang w:val="en-US"/>
        </w:rPr>
        <w:t xml:space="preserve">his right to </w:t>
      </w:r>
      <w:r w:rsidR="00402699" w:rsidRPr="003171CD">
        <w:rPr>
          <w:rFonts w:cs="Arial"/>
          <w:lang w:val="en-US"/>
        </w:rPr>
        <w:t>a</w:t>
      </w:r>
      <w:r w:rsidR="001F02E7" w:rsidRPr="003171CD">
        <w:rPr>
          <w:rFonts w:cs="Arial"/>
          <w:lang w:val="en-US"/>
        </w:rPr>
        <w:t xml:space="preserve"> </w:t>
      </w:r>
      <w:r w:rsidR="001011A8" w:rsidRPr="003171CD">
        <w:rPr>
          <w:rFonts w:cs="Arial"/>
          <w:lang w:val="en-US"/>
        </w:rPr>
        <w:t>materia</w:t>
      </w:r>
      <w:r w:rsidR="00402699" w:rsidRPr="003171CD">
        <w:rPr>
          <w:rFonts w:cs="Arial"/>
          <w:lang w:val="en-US"/>
        </w:rPr>
        <w:t>l</w:t>
      </w:r>
      <w:r w:rsidR="001011A8" w:rsidRPr="003171CD">
        <w:rPr>
          <w:rFonts w:cs="Arial"/>
          <w:lang w:val="en-US"/>
        </w:rPr>
        <w:t xml:space="preserve"> defense.</w:t>
      </w:r>
      <w:r w:rsidRPr="003171CD">
        <w:rPr>
          <w:rFonts w:cs="Arial"/>
          <w:lang w:val="en-US"/>
        </w:rPr>
        <w:t>”</w:t>
      </w:r>
      <w:r w:rsidRPr="003171CD">
        <w:rPr>
          <w:vertAlign w:val="superscript"/>
          <w:lang w:val="en-US"/>
        </w:rPr>
        <w:footnoteReference w:id="147"/>
      </w:r>
    </w:p>
    <w:p w14:paraId="3366B239" w14:textId="77777777" w:rsidR="005A65CE" w:rsidRPr="003171CD" w:rsidRDefault="005A65CE" w:rsidP="005A65CE">
      <w:pPr>
        <w:jc w:val="both"/>
        <w:rPr>
          <w:rFonts w:cs="Arial"/>
          <w:snapToGrid/>
          <w:lang w:val="en-US" w:eastAsia="en-US"/>
        </w:rPr>
      </w:pPr>
    </w:p>
    <w:p w14:paraId="05D00269"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January </w:t>
      </w:r>
      <w:r w:rsidR="00311A49" w:rsidRPr="003171CD">
        <w:rPr>
          <w:rFonts w:cs="Arial"/>
          <w:lang w:val="en-US"/>
        </w:rPr>
        <w:t>5, 2007, at</w:t>
      </w:r>
      <w:r w:rsidRPr="003171CD">
        <w:rPr>
          <w:rFonts w:cs="Arial"/>
          <w:lang w:val="en-US"/>
        </w:rPr>
        <w:t xml:space="preserve"> the Correctional Center of Apanteos in Santa Ana, where José Agapito Ruano Torres was being held, violent events took place </w:t>
      </w:r>
      <w:r w:rsidR="00311A49" w:rsidRPr="003171CD">
        <w:rPr>
          <w:rFonts w:cs="Arial"/>
          <w:lang w:val="en-US"/>
        </w:rPr>
        <w:t xml:space="preserve">during a prison </w:t>
      </w:r>
      <w:r w:rsidR="003C2E8C" w:rsidRPr="003171CD">
        <w:rPr>
          <w:rFonts w:cs="Arial"/>
          <w:lang w:val="en-US"/>
        </w:rPr>
        <w:t>mutiny</w:t>
      </w:r>
      <w:r w:rsidRPr="003171CD">
        <w:rPr>
          <w:rFonts w:cs="Arial"/>
          <w:lang w:val="en-US"/>
        </w:rPr>
        <w:t>, which resulted in the death of 21 inmates.</w:t>
      </w:r>
      <w:r w:rsidRPr="003171CD">
        <w:rPr>
          <w:rStyle w:val="Refdenotaalpie"/>
          <w:rFonts w:cs="Arial"/>
          <w:lang w:val="en-US"/>
        </w:rPr>
        <w:footnoteReference w:id="148"/>
      </w:r>
      <w:r w:rsidRPr="003171CD">
        <w:rPr>
          <w:rFonts w:cs="Arial"/>
          <w:lang w:val="en-US"/>
        </w:rPr>
        <w:t xml:space="preserve"> Mr. </w:t>
      </w:r>
      <w:r w:rsidR="00311A49" w:rsidRPr="003171CD">
        <w:rPr>
          <w:rFonts w:cs="Arial"/>
          <w:lang w:val="en-US"/>
        </w:rPr>
        <w:t xml:space="preserve">Pedro </w:t>
      </w:r>
      <w:r w:rsidRPr="003171CD">
        <w:rPr>
          <w:rFonts w:cs="Arial"/>
          <w:lang w:val="en-US"/>
        </w:rPr>
        <w:t>Torres Hércules reported that after learning about those events, the prison</w:t>
      </w:r>
      <w:r w:rsidR="00311A49" w:rsidRPr="003171CD">
        <w:rPr>
          <w:rFonts w:cs="Arial"/>
          <w:lang w:val="en-US"/>
        </w:rPr>
        <w:t xml:space="preserve"> authorities </w:t>
      </w:r>
      <w:r w:rsidRPr="003171CD">
        <w:rPr>
          <w:rFonts w:cs="Arial"/>
          <w:lang w:val="en-US"/>
        </w:rPr>
        <w:t>told him that Mr. Ruano Torres was not on the list</w:t>
      </w:r>
      <w:r w:rsidR="003C2E8C" w:rsidRPr="003171CD">
        <w:rPr>
          <w:rFonts w:cs="Arial"/>
          <w:lang w:val="en-US"/>
        </w:rPr>
        <w:t>s</w:t>
      </w:r>
      <w:r w:rsidRPr="003171CD">
        <w:rPr>
          <w:rFonts w:cs="Arial"/>
          <w:lang w:val="en-US"/>
        </w:rPr>
        <w:t xml:space="preserve"> of transferred or deceased </w:t>
      </w:r>
      <w:r w:rsidR="003C2E8C" w:rsidRPr="003171CD">
        <w:rPr>
          <w:rFonts w:cs="Arial"/>
          <w:lang w:val="en-US"/>
        </w:rPr>
        <w:t xml:space="preserve">inmates </w:t>
      </w:r>
      <w:r w:rsidRPr="003171CD">
        <w:rPr>
          <w:rFonts w:cs="Arial"/>
          <w:lang w:val="en-US"/>
        </w:rPr>
        <w:t xml:space="preserve">who had been identified. However, he </w:t>
      </w:r>
      <w:r w:rsidR="009E269B" w:rsidRPr="003171CD">
        <w:rPr>
          <w:rFonts w:cs="Arial"/>
          <w:lang w:val="en-US"/>
        </w:rPr>
        <w:t xml:space="preserve">said </w:t>
      </w:r>
      <w:r w:rsidRPr="003171CD">
        <w:rPr>
          <w:rFonts w:cs="Arial"/>
          <w:lang w:val="en-US"/>
        </w:rPr>
        <w:t>that they advised him to go to the Forensic Medicine Center as there were deceased persons who had not yet been identified. Mr. Torres Hércules s</w:t>
      </w:r>
      <w:r w:rsidR="00402699" w:rsidRPr="003171CD">
        <w:rPr>
          <w:rFonts w:cs="Arial"/>
          <w:lang w:val="en-US"/>
        </w:rPr>
        <w:t xml:space="preserve">aid </w:t>
      </w:r>
      <w:r w:rsidRPr="003171CD">
        <w:rPr>
          <w:rFonts w:cs="Arial"/>
          <w:lang w:val="en-US"/>
        </w:rPr>
        <w:t>that he was unable to enter th</w:t>
      </w:r>
      <w:r w:rsidR="001F02E7" w:rsidRPr="003171CD">
        <w:rPr>
          <w:rFonts w:cs="Arial"/>
          <w:lang w:val="en-US"/>
        </w:rPr>
        <w:t>at center “because a large crowd</w:t>
      </w:r>
      <w:r w:rsidRPr="003171CD">
        <w:rPr>
          <w:rFonts w:cs="Arial"/>
          <w:lang w:val="en-US"/>
        </w:rPr>
        <w:t xml:space="preserve"> of people had gathered there waiting for an opportunity to identify their loved ones.” He said that until they were told that Mr. Ruano Torres was still at the Correctional Center of A</w:t>
      </w:r>
      <w:r w:rsidR="001F02E7" w:rsidRPr="003171CD">
        <w:rPr>
          <w:rFonts w:cs="Arial"/>
          <w:lang w:val="en-US"/>
        </w:rPr>
        <w:t>panteos, his wife and son went t</w:t>
      </w:r>
      <w:r w:rsidRPr="003171CD">
        <w:rPr>
          <w:rFonts w:cs="Arial"/>
          <w:lang w:val="en-US"/>
        </w:rPr>
        <w:t>h</w:t>
      </w:r>
      <w:r w:rsidR="001F02E7" w:rsidRPr="003171CD">
        <w:rPr>
          <w:rFonts w:cs="Arial"/>
          <w:lang w:val="en-US"/>
        </w:rPr>
        <w:t>r</w:t>
      </w:r>
      <w:r w:rsidRPr="003171CD">
        <w:rPr>
          <w:rFonts w:cs="Arial"/>
          <w:lang w:val="en-US"/>
        </w:rPr>
        <w:t>ough some “very difficult moments.”</w:t>
      </w:r>
      <w:r w:rsidRPr="003171CD">
        <w:rPr>
          <w:rStyle w:val="Refdenotaalpie"/>
          <w:rFonts w:cs="Arial"/>
          <w:lang w:val="en-US"/>
        </w:rPr>
        <w:footnoteReference w:id="149"/>
      </w:r>
      <w:r w:rsidRPr="003171CD">
        <w:rPr>
          <w:rFonts w:cs="Arial"/>
          <w:lang w:val="en-US"/>
        </w:rPr>
        <w:t xml:space="preserve"> </w:t>
      </w:r>
    </w:p>
    <w:p w14:paraId="17F9377C" w14:textId="77777777" w:rsidR="005A65CE" w:rsidRPr="003171CD" w:rsidRDefault="005A65CE" w:rsidP="005A65CE">
      <w:pPr>
        <w:jc w:val="both"/>
        <w:rPr>
          <w:rFonts w:cs="Arial"/>
          <w:snapToGrid/>
          <w:lang w:val="en-US" w:eastAsia="en-US"/>
        </w:rPr>
      </w:pPr>
    </w:p>
    <w:p w14:paraId="4ED25282"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September 24, 2009, the First Parole and </w:t>
      </w:r>
      <w:r w:rsidR="003C2E8C" w:rsidRPr="003171CD">
        <w:rPr>
          <w:rFonts w:cs="Arial"/>
          <w:lang w:val="en-US"/>
        </w:rPr>
        <w:t>Enforcement of Sentences Court</w:t>
      </w:r>
      <w:r w:rsidRPr="003171CD">
        <w:rPr>
          <w:rFonts w:cs="Arial"/>
          <w:lang w:val="en-US"/>
        </w:rPr>
        <w:t xml:space="preserve"> granted Mr. Ruano Torres parole.</w:t>
      </w:r>
      <w:r w:rsidRPr="003171CD">
        <w:rPr>
          <w:vertAlign w:val="superscript"/>
          <w:lang w:val="en-US"/>
        </w:rPr>
        <w:footnoteReference w:id="150"/>
      </w:r>
      <w:r w:rsidRPr="003171CD">
        <w:rPr>
          <w:rFonts w:cs="Arial"/>
          <w:lang w:val="en-US"/>
        </w:rPr>
        <w:t xml:space="preserve"> However, the Office of the Attorney General of the Republic appealed that decision and on October 15, 2009, the First Criminal Chamber of the First Section of the Judicial Center revoked the decision.</w:t>
      </w:r>
      <w:r w:rsidRPr="003171CD">
        <w:rPr>
          <w:vertAlign w:val="superscript"/>
          <w:lang w:val="en-US"/>
        </w:rPr>
        <w:footnoteReference w:id="151"/>
      </w:r>
    </w:p>
    <w:p w14:paraId="75B4237C" w14:textId="77777777" w:rsidR="005A65CE" w:rsidRPr="003171CD" w:rsidRDefault="005A65CE" w:rsidP="005A65CE">
      <w:pPr>
        <w:jc w:val="both"/>
        <w:rPr>
          <w:rFonts w:cs="Arial"/>
          <w:snapToGrid/>
          <w:lang w:val="en-US" w:eastAsia="en-US"/>
        </w:rPr>
      </w:pPr>
    </w:p>
    <w:p w14:paraId="1AC23938" w14:textId="77777777" w:rsidR="005A65CE" w:rsidRPr="003171CD" w:rsidRDefault="005A65CE" w:rsidP="005A65CE">
      <w:pPr>
        <w:pStyle w:val="Prrafodelista"/>
        <w:numPr>
          <w:ilvl w:val="0"/>
          <w:numId w:val="1"/>
        </w:numPr>
        <w:tabs>
          <w:tab w:val="left" w:pos="720"/>
          <w:tab w:val="num" w:pos="5057"/>
        </w:tabs>
        <w:ind w:right="-90"/>
        <w:jc w:val="both"/>
        <w:rPr>
          <w:rFonts w:cs="Arial"/>
          <w:b/>
          <w:lang w:val="en-US"/>
        </w:rPr>
      </w:pPr>
      <w:r w:rsidRPr="003171CD">
        <w:rPr>
          <w:rFonts w:cs="Arial"/>
          <w:lang w:val="en-US"/>
        </w:rPr>
        <w:t xml:space="preserve">On May 9, 2013, the First Parole and </w:t>
      </w:r>
      <w:r w:rsidR="003C2E8C" w:rsidRPr="003171CD">
        <w:rPr>
          <w:rFonts w:cs="Arial"/>
          <w:lang w:val="en-US"/>
        </w:rPr>
        <w:t>Enforcement of Sentences Court</w:t>
      </w:r>
      <w:r w:rsidRPr="003171CD">
        <w:rPr>
          <w:rFonts w:cs="Arial"/>
          <w:lang w:val="en-US"/>
        </w:rPr>
        <w:t xml:space="preserve"> granted Mr. Ruano Torres parole, subject to a </w:t>
      </w:r>
      <w:r w:rsidR="001F02E7" w:rsidRPr="003171CD">
        <w:rPr>
          <w:rFonts w:cs="Arial"/>
          <w:lang w:val="en-US"/>
        </w:rPr>
        <w:t>probationary</w:t>
      </w:r>
      <w:r w:rsidRPr="003171CD">
        <w:rPr>
          <w:rFonts w:cs="Arial"/>
          <w:lang w:val="en-US"/>
        </w:rPr>
        <w:t xml:space="preserve"> period up to June 26, 2015.</w:t>
      </w:r>
      <w:r w:rsidRPr="003171CD">
        <w:rPr>
          <w:vertAlign w:val="superscript"/>
          <w:lang w:val="en-US"/>
        </w:rPr>
        <w:footnoteReference w:id="152"/>
      </w:r>
      <w:r w:rsidRPr="003171CD">
        <w:rPr>
          <w:rFonts w:cs="Arial"/>
          <w:lang w:val="en-US"/>
        </w:rPr>
        <w:t xml:space="preserve"> The court considered that José Agapito Ruano Torres</w:t>
      </w:r>
      <w:r w:rsidRPr="003171CD" w:rsidDel="00D913E2">
        <w:rPr>
          <w:rFonts w:cs="Arial"/>
          <w:lang w:val="en-US"/>
        </w:rPr>
        <w:t xml:space="preserve"> </w:t>
      </w:r>
      <w:r w:rsidRPr="003171CD">
        <w:rPr>
          <w:rFonts w:cs="Arial"/>
          <w:lang w:val="en-US"/>
        </w:rPr>
        <w:t xml:space="preserve">met the requirements set by the Criminal Code </w:t>
      </w:r>
      <w:r w:rsidR="000E6BE8" w:rsidRPr="003171CD">
        <w:rPr>
          <w:rFonts w:cs="Arial"/>
          <w:lang w:val="en-US"/>
        </w:rPr>
        <w:t xml:space="preserve">given </w:t>
      </w:r>
      <w:r w:rsidRPr="003171CD">
        <w:rPr>
          <w:rFonts w:cs="Arial"/>
          <w:lang w:val="en-US"/>
        </w:rPr>
        <w:t>that i) he had served two-thirds of his sentence; ii) he was a first-time offender; iii) he had paid the fine as ordered; iv) his record showed no offenses or disciplinary sanctions; and v) according to the criminology assessment carried out, he displayed “good conduct” and “good behavior” and “</w:t>
      </w:r>
      <w:r w:rsidR="003C2E8C" w:rsidRPr="003171CD">
        <w:rPr>
          <w:rFonts w:cs="Arial"/>
          <w:lang w:val="en-US"/>
        </w:rPr>
        <w:t xml:space="preserve">showed </w:t>
      </w:r>
      <w:r w:rsidRPr="003171CD">
        <w:rPr>
          <w:rFonts w:cs="Arial"/>
          <w:lang w:val="en-US"/>
        </w:rPr>
        <w:t>low levels of aggression and dangerousness,” on account of which “the prognosis for his social reinsertion [was] favorable.”</w:t>
      </w:r>
      <w:r w:rsidRPr="003171CD">
        <w:rPr>
          <w:vertAlign w:val="superscript"/>
          <w:lang w:val="en-US"/>
        </w:rPr>
        <w:footnoteReference w:id="153"/>
      </w:r>
      <w:r w:rsidRPr="003171CD">
        <w:rPr>
          <w:rFonts w:cs="Arial"/>
          <w:lang w:val="en-US"/>
        </w:rPr>
        <w:t xml:space="preserve"> According to the court’s decision, Mr. Ruano Torres was required to: i) not leave the country without prior judicial authorization; ii) remain resident at the address given; iii) keep away from the workplace or home of the victim and his family, and iv) report to the Department of Evidence and Probation</w:t>
      </w:r>
      <w:r w:rsidR="000E6BE8" w:rsidRPr="003171CD">
        <w:rPr>
          <w:rFonts w:cs="Arial"/>
          <w:lang w:val="en-US"/>
        </w:rPr>
        <w:t xml:space="preserve"> every four months</w:t>
      </w:r>
      <w:r w:rsidRPr="003171CD">
        <w:rPr>
          <w:rFonts w:cs="Arial"/>
          <w:lang w:val="en-US"/>
        </w:rPr>
        <w:t xml:space="preserve">. The court added that failure to comply with any of those requirements would result in the cancellation of the benefit </w:t>
      </w:r>
      <w:r w:rsidR="000E6BE8" w:rsidRPr="003171CD">
        <w:rPr>
          <w:rFonts w:cs="Arial"/>
          <w:lang w:val="en-US"/>
        </w:rPr>
        <w:t>granted</w:t>
      </w:r>
      <w:r w:rsidRPr="003171CD">
        <w:rPr>
          <w:rFonts w:cs="Arial"/>
          <w:lang w:val="en-US"/>
        </w:rPr>
        <w:t>.</w:t>
      </w:r>
      <w:r w:rsidRPr="003171CD">
        <w:rPr>
          <w:vertAlign w:val="superscript"/>
          <w:lang w:val="en-US"/>
        </w:rPr>
        <w:footnoteReference w:id="154"/>
      </w:r>
    </w:p>
    <w:p w14:paraId="2819E5D9" w14:textId="77777777" w:rsidR="005A65CE" w:rsidRPr="003171CD" w:rsidRDefault="005A65CE" w:rsidP="005A65CE">
      <w:pPr>
        <w:jc w:val="both"/>
        <w:rPr>
          <w:rFonts w:cs="Arial"/>
          <w:snapToGrid/>
          <w:lang w:val="en-US" w:eastAsia="en-US"/>
        </w:rPr>
      </w:pPr>
    </w:p>
    <w:p w14:paraId="04937AC5"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September 19, 2014, </w:t>
      </w:r>
      <w:r w:rsidR="00271081" w:rsidRPr="003171CD">
        <w:rPr>
          <w:rFonts w:cs="Arial"/>
          <w:lang w:val="en-US"/>
        </w:rPr>
        <w:t xml:space="preserve">after </w:t>
      </w:r>
      <w:r w:rsidR="00A074A5" w:rsidRPr="003171CD">
        <w:rPr>
          <w:rFonts w:cs="Arial"/>
          <w:lang w:val="en-US"/>
        </w:rPr>
        <w:t xml:space="preserve">the </w:t>
      </w:r>
      <w:r w:rsidRPr="003171CD">
        <w:rPr>
          <w:rFonts w:cs="Arial"/>
          <w:lang w:val="en-US"/>
        </w:rPr>
        <w:t xml:space="preserve">special review of judgment hearing, </w:t>
      </w:r>
      <w:r w:rsidR="000E6BE8" w:rsidRPr="003171CD">
        <w:rPr>
          <w:rFonts w:cs="Arial"/>
          <w:lang w:val="en-US"/>
        </w:rPr>
        <w:t xml:space="preserve">the Second Trial Court of San Salvador </w:t>
      </w:r>
      <w:r w:rsidRPr="003171CD">
        <w:rPr>
          <w:rFonts w:cs="Arial"/>
          <w:lang w:val="en-US"/>
        </w:rPr>
        <w:t xml:space="preserve">confirmed the conviction against José Agapito Ruano Torres in the context of a </w:t>
      </w:r>
      <w:r w:rsidR="00642EE2" w:rsidRPr="003171CD">
        <w:rPr>
          <w:rFonts w:cs="Arial"/>
          <w:lang w:val="en-US"/>
        </w:rPr>
        <w:t xml:space="preserve">motion </w:t>
      </w:r>
      <w:r w:rsidR="00642EE2" w:rsidRPr="003171CD">
        <w:rPr>
          <w:rFonts w:cs="Arial"/>
          <w:lang w:val="en-US"/>
        </w:rPr>
        <w:lastRenderedPageBreak/>
        <w:t>to</w:t>
      </w:r>
      <w:r w:rsidR="001011A8" w:rsidRPr="003171CD">
        <w:rPr>
          <w:rFonts w:cs="Arial"/>
          <w:lang w:val="en-US"/>
        </w:rPr>
        <w:t xml:space="preserve"> review</w:t>
      </w:r>
      <w:r w:rsidR="00642EE2" w:rsidRPr="003171CD">
        <w:rPr>
          <w:rFonts w:cs="Arial"/>
          <w:lang w:val="en-US"/>
        </w:rPr>
        <w:t xml:space="preserve"> the</w:t>
      </w:r>
      <w:r w:rsidRPr="003171CD">
        <w:rPr>
          <w:rFonts w:cs="Arial"/>
          <w:lang w:val="en-US"/>
        </w:rPr>
        <w:t xml:space="preserve"> </w:t>
      </w:r>
      <w:r w:rsidR="004F7132" w:rsidRPr="003171CD">
        <w:rPr>
          <w:rFonts w:cs="Arial"/>
          <w:lang w:val="en-US"/>
        </w:rPr>
        <w:t xml:space="preserve">final </w:t>
      </w:r>
      <w:r w:rsidR="00A074A5" w:rsidRPr="003171CD">
        <w:rPr>
          <w:rFonts w:cs="Arial"/>
          <w:lang w:val="en-US"/>
        </w:rPr>
        <w:t xml:space="preserve">conviction </w:t>
      </w:r>
      <w:r w:rsidRPr="003171CD">
        <w:rPr>
          <w:rFonts w:cs="Arial"/>
          <w:lang w:val="en-US"/>
        </w:rPr>
        <w:t xml:space="preserve">filed by the public defense </w:t>
      </w:r>
      <w:r w:rsidR="00A33CB1" w:rsidRPr="003171CD">
        <w:rPr>
          <w:rFonts w:cs="Arial"/>
          <w:lang w:val="en-US"/>
        </w:rPr>
        <w:t xml:space="preserve">team </w:t>
      </w:r>
      <w:r w:rsidR="00271081" w:rsidRPr="003171CD">
        <w:rPr>
          <w:rFonts w:cs="Arial"/>
          <w:lang w:val="en-US"/>
        </w:rPr>
        <w:t xml:space="preserve">after the </w:t>
      </w:r>
      <w:r w:rsidR="00535878" w:rsidRPr="003171CD">
        <w:rPr>
          <w:rFonts w:cs="Arial"/>
          <w:lang w:val="en-US"/>
        </w:rPr>
        <w:t xml:space="preserve">Commission had issued its </w:t>
      </w:r>
      <w:r w:rsidR="00A074A5" w:rsidRPr="003171CD">
        <w:rPr>
          <w:rFonts w:cs="Arial"/>
          <w:lang w:val="en-US"/>
        </w:rPr>
        <w:t>Merits R</w:t>
      </w:r>
      <w:r w:rsidRPr="003171CD">
        <w:rPr>
          <w:rFonts w:cs="Arial"/>
          <w:lang w:val="en-US"/>
        </w:rPr>
        <w:t>eport</w:t>
      </w:r>
      <w:r w:rsidR="00535878" w:rsidRPr="003171CD">
        <w:rPr>
          <w:rFonts w:cs="Arial"/>
          <w:lang w:val="en-US"/>
        </w:rPr>
        <w:t>,</w:t>
      </w:r>
      <w:r w:rsidRPr="003171CD">
        <w:rPr>
          <w:vertAlign w:val="superscript"/>
          <w:lang w:val="en-US"/>
        </w:rPr>
        <w:footnoteReference w:id="155"/>
      </w:r>
      <w:r w:rsidRPr="003171CD">
        <w:rPr>
          <w:rFonts w:cs="Arial"/>
          <w:lang w:val="en-US"/>
        </w:rPr>
        <w:t xml:space="preserve"> in the following terms:</w:t>
      </w:r>
    </w:p>
    <w:p w14:paraId="28D98F3D" w14:textId="77777777" w:rsidR="005A65CE" w:rsidRPr="003171CD" w:rsidRDefault="005A65CE" w:rsidP="005A65CE">
      <w:pPr>
        <w:pStyle w:val="Prrafodelista"/>
        <w:rPr>
          <w:rFonts w:cs="Arial"/>
          <w:lang w:val="en-US"/>
        </w:rPr>
      </w:pPr>
    </w:p>
    <w:p w14:paraId="3D58EF6D" w14:textId="77777777" w:rsidR="005A65CE" w:rsidRPr="003171CD" w:rsidRDefault="005A65CE" w:rsidP="005A65CE">
      <w:pPr>
        <w:pStyle w:val="Prrafodelista"/>
        <w:tabs>
          <w:tab w:val="left" w:pos="720"/>
        </w:tabs>
        <w:ind w:right="441"/>
        <w:jc w:val="both"/>
        <w:rPr>
          <w:rFonts w:cs="Arial"/>
          <w:sz w:val="16"/>
          <w:szCs w:val="16"/>
          <w:lang w:val="en-US"/>
        </w:rPr>
      </w:pPr>
      <w:r w:rsidRPr="003171CD">
        <w:rPr>
          <w:rFonts w:cs="Arial"/>
          <w:sz w:val="16"/>
          <w:szCs w:val="16"/>
          <w:lang w:val="en-US"/>
        </w:rPr>
        <w:t xml:space="preserve">[…] this Court has </w:t>
      </w:r>
      <w:r w:rsidR="00A33CB1" w:rsidRPr="003171CD">
        <w:rPr>
          <w:rFonts w:cs="Arial"/>
          <w:sz w:val="16"/>
          <w:szCs w:val="16"/>
          <w:lang w:val="en-US"/>
        </w:rPr>
        <w:t xml:space="preserve">unanimously </w:t>
      </w:r>
      <w:r w:rsidR="001F02E7" w:rsidRPr="003171CD">
        <w:rPr>
          <w:rFonts w:cs="Arial"/>
          <w:sz w:val="16"/>
          <w:szCs w:val="16"/>
          <w:lang w:val="en-US"/>
        </w:rPr>
        <w:t xml:space="preserve">concluded </w:t>
      </w:r>
      <w:r w:rsidRPr="003171CD">
        <w:rPr>
          <w:rFonts w:cs="Arial"/>
          <w:sz w:val="16"/>
          <w:szCs w:val="16"/>
          <w:lang w:val="en-US"/>
        </w:rPr>
        <w:t>that the as</w:t>
      </w:r>
      <w:r w:rsidR="001F02E7" w:rsidRPr="003171CD">
        <w:rPr>
          <w:rFonts w:cs="Arial"/>
          <w:sz w:val="16"/>
          <w:szCs w:val="16"/>
          <w:lang w:val="en-US"/>
        </w:rPr>
        <w:t xml:space="preserve">sertions made concerning </w:t>
      </w:r>
      <w:r w:rsidRPr="003171CD">
        <w:rPr>
          <w:rFonts w:cs="Arial"/>
          <w:sz w:val="16"/>
          <w:szCs w:val="16"/>
          <w:lang w:val="en-US"/>
        </w:rPr>
        <w:t xml:space="preserve">the violations </w:t>
      </w:r>
      <w:r w:rsidR="001F02E7" w:rsidRPr="003171CD">
        <w:rPr>
          <w:rFonts w:cs="Arial"/>
          <w:sz w:val="16"/>
          <w:szCs w:val="16"/>
          <w:lang w:val="en-US"/>
        </w:rPr>
        <w:t xml:space="preserve">of </w:t>
      </w:r>
      <w:r w:rsidRPr="003171CD">
        <w:rPr>
          <w:rFonts w:cs="Arial"/>
          <w:sz w:val="16"/>
          <w:szCs w:val="16"/>
          <w:lang w:val="en-US"/>
        </w:rPr>
        <w:t xml:space="preserve">fundamental rights have not been </w:t>
      </w:r>
      <w:r w:rsidR="00A33CB1" w:rsidRPr="003171CD">
        <w:rPr>
          <w:rFonts w:cs="Arial"/>
          <w:sz w:val="16"/>
          <w:szCs w:val="16"/>
          <w:lang w:val="en-US"/>
        </w:rPr>
        <w:t>proven during this hearing</w:t>
      </w:r>
      <w:r w:rsidRPr="003171CD">
        <w:rPr>
          <w:rFonts w:cs="Arial"/>
          <w:sz w:val="16"/>
          <w:szCs w:val="16"/>
          <w:lang w:val="en-US"/>
        </w:rPr>
        <w:t xml:space="preserve"> and</w:t>
      </w:r>
      <w:r w:rsidR="00A33CB1" w:rsidRPr="003171CD">
        <w:rPr>
          <w:rFonts w:cs="Arial"/>
          <w:sz w:val="16"/>
          <w:szCs w:val="16"/>
          <w:lang w:val="en-US"/>
        </w:rPr>
        <w:t>,</w:t>
      </w:r>
      <w:r w:rsidRPr="003171CD">
        <w:rPr>
          <w:rFonts w:cs="Arial"/>
          <w:sz w:val="16"/>
          <w:szCs w:val="16"/>
          <w:lang w:val="en-US"/>
        </w:rPr>
        <w:t xml:space="preserve"> </w:t>
      </w:r>
      <w:r w:rsidR="00A074A5" w:rsidRPr="003171CD">
        <w:rPr>
          <w:rFonts w:cs="Arial"/>
          <w:sz w:val="16"/>
          <w:szCs w:val="16"/>
          <w:lang w:val="en-US"/>
        </w:rPr>
        <w:t xml:space="preserve">having conducted a full </w:t>
      </w:r>
      <w:r w:rsidRPr="003171CD">
        <w:rPr>
          <w:rFonts w:cs="Arial"/>
          <w:sz w:val="16"/>
          <w:szCs w:val="16"/>
          <w:lang w:val="en-US"/>
        </w:rPr>
        <w:t>revi</w:t>
      </w:r>
      <w:r w:rsidR="0036359A" w:rsidRPr="003171CD">
        <w:rPr>
          <w:rFonts w:cs="Arial"/>
          <w:sz w:val="16"/>
          <w:szCs w:val="16"/>
          <w:lang w:val="en-US"/>
        </w:rPr>
        <w:t>ew</w:t>
      </w:r>
      <w:r w:rsidR="00A074A5" w:rsidRPr="003171CD">
        <w:rPr>
          <w:rFonts w:cs="Arial"/>
          <w:sz w:val="16"/>
          <w:szCs w:val="16"/>
          <w:lang w:val="en-US"/>
        </w:rPr>
        <w:t xml:space="preserve"> of</w:t>
      </w:r>
      <w:r w:rsidR="0036359A" w:rsidRPr="003171CD">
        <w:rPr>
          <w:rFonts w:cs="Arial"/>
          <w:sz w:val="16"/>
          <w:szCs w:val="16"/>
          <w:lang w:val="en-US"/>
        </w:rPr>
        <w:t xml:space="preserve"> </w:t>
      </w:r>
      <w:r w:rsidRPr="003171CD">
        <w:rPr>
          <w:rFonts w:cs="Arial"/>
          <w:sz w:val="16"/>
          <w:szCs w:val="16"/>
          <w:lang w:val="en-US"/>
        </w:rPr>
        <w:t xml:space="preserve">the </w:t>
      </w:r>
      <w:r w:rsidR="00A074A5" w:rsidRPr="003171CD">
        <w:rPr>
          <w:rFonts w:cs="Arial"/>
          <w:sz w:val="16"/>
          <w:szCs w:val="16"/>
          <w:lang w:val="en-US"/>
        </w:rPr>
        <w:t xml:space="preserve">grounds </w:t>
      </w:r>
      <w:r w:rsidR="00940256" w:rsidRPr="003171CD">
        <w:rPr>
          <w:rFonts w:cs="Arial"/>
          <w:sz w:val="16"/>
          <w:szCs w:val="16"/>
          <w:lang w:val="en-US"/>
        </w:rPr>
        <w:t xml:space="preserve">for </w:t>
      </w:r>
      <w:r w:rsidR="004F7132" w:rsidRPr="003171CD">
        <w:rPr>
          <w:rFonts w:cs="Arial"/>
          <w:sz w:val="16"/>
          <w:szCs w:val="16"/>
          <w:lang w:val="en-US"/>
        </w:rPr>
        <w:t>the judgment</w:t>
      </w:r>
      <w:r w:rsidR="00A074A5" w:rsidRPr="003171CD">
        <w:rPr>
          <w:rFonts w:cs="Arial"/>
          <w:sz w:val="16"/>
          <w:szCs w:val="16"/>
          <w:lang w:val="en-US"/>
        </w:rPr>
        <w:t xml:space="preserve">, the Court has confirmed </w:t>
      </w:r>
      <w:r w:rsidRPr="003171CD">
        <w:rPr>
          <w:rFonts w:cs="Arial"/>
          <w:sz w:val="16"/>
          <w:szCs w:val="16"/>
          <w:lang w:val="en-US"/>
        </w:rPr>
        <w:t>the credibility o</w:t>
      </w:r>
      <w:r w:rsidR="001F02E7" w:rsidRPr="003171CD">
        <w:rPr>
          <w:rFonts w:cs="Arial"/>
          <w:sz w:val="16"/>
          <w:szCs w:val="16"/>
          <w:lang w:val="en-US"/>
        </w:rPr>
        <w:t>f the victim in this</w:t>
      </w:r>
      <w:r w:rsidR="00A074A5" w:rsidRPr="003171CD">
        <w:rPr>
          <w:rFonts w:cs="Arial"/>
          <w:sz w:val="16"/>
          <w:szCs w:val="16"/>
          <w:lang w:val="en-US"/>
        </w:rPr>
        <w:t xml:space="preserve"> case</w:t>
      </w:r>
      <w:r w:rsidRPr="003171CD">
        <w:rPr>
          <w:rFonts w:cs="Arial"/>
          <w:sz w:val="16"/>
          <w:szCs w:val="16"/>
          <w:lang w:val="en-US"/>
        </w:rPr>
        <w:t xml:space="preserve">, and </w:t>
      </w:r>
      <w:r w:rsidR="00A074A5" w:rsidRPr="003171CD">
        <w:rPr>
          <w:rFonts w:cs="Arial"/>
          <w:sz w:val="16"/>
          <w:szCs w:val="16"/>
          <w:lang w:val="en-US"/>
        </w:rPr>
        <w:t xml:space="preserve">has found </w:t>
      </w:r>
      <w:r w:rsidRPr="003171CD">
        <w:rPr>
          <w:rFonts w:cs="Arial"/>
          <w:sz w:val="16"/>
          <w:szCs w:val="16"/>
          <w:lang w:val="en-US"/>
        </w:rPr>
        <w:t xml:space="preserve">that the </w:t>
      </w:r>
      <w:r w:rsidR="001F02E7" w:rsidRPr="003171CD">
        <w:rPr>
          <w:rFonts w:cs="Arial"/>
          <w:sz w:val="16"/>
          <w:szCs w:val="16"/>
          <w:lang w:val="en-US"/>
        </w:rPr>
        <w:t xml:space="preserve">evidence </w:t>
      </w:r>
      <w:r w:rsidR="00A074A5" w:rsidRPr="003171CD">
        <w:rPr>
          <w:rFonts w:cs="Arial"/>
          <w:sz w:val="16"/>
          <w:szCs w:val="16"/>
          <w:lang w:val="en-US"/>
        </w:rPr>
        <w:t xml:space="preserve">submitted </w:t>
      </w:r>
      <w:r w:rsidR="001011A8" w:rsidRPr="003171CD">
        <w:rPr>
          <w:rFonts w:cs="Arial"/>
          <w:sz w:val="16"/>
          <w:szCs w:val="16"/>
          <w:lang w:val="en-US"/>
        </w:rPr>
        <w:t xml:space="preserve">at </w:t>
      </w:r>
      <w:r w:rsidR="002E679E" w:rsidRPr="003171CD">
        <w:rPr>
          <w:rFonts w:cs="Arial"/>
          <w:sz w:val="16"/>
          <w:szCs w:val="16"/>
          <w:lang w:val="en-US"/>
        </w:rPr>
        <w:t xml:space="preserve">this </w:t>
      </w:r>
      <w:r w:rsidRPr="003171CD">
        <w:rPr>
          <w:rFonts w:cs="Arial"/>
          <w:sz w:val="16"/>
          <w:szCs w:val="16"/>
          <w:lang w:val="en-US"/>
        </w:rPr>
        <w:t>heari</w:t>
      </w:r>
      <w:r w:rsidR="00A074A5" w:rsidRPr="003171CD">
        <w:rPr>
          <w:rFonts w:cs="Arial"/>
          <w:sz w:val="16"/>
          <w:szCs w:val="16"/>
          <w:lang w:val="en-US"/>
        </w:rPr>
        <w:t>ng has</w:t>
      </w:r>
      <w:r w:rsidRPr="003171CD">
        <w:rPr>
          <w:rFonts w:cs="Arial"/>
          <w:sz w:val="16"/>
          <w:szCs w:val="16"/>
          <w:lang w:val="en-US"/>
        </w:rPr>
        <w:t xml:space="preserve"> been insufficient </w:t>
      </w:r>
      <w:r w:rsidR="001F02E7" w:rsidRPr="003171CD">
        <w:rPr>
          <w:rFonts w:cs="Arial"/>
          <w:sz w:val="16"/>
          <w:szCs w:val="16"/>
          <w:lang w:val="en-US"/>
        </w:rPr>
        <w:t xml:space="preserve">to </w:t>
      </w:r>
      <w:r w:rsidR="002E679E" w:rsidRPr="003171CD">
        <w:rPr>
          <w:rFonts w:cs="Arial"/>
          <w:sz w:val="16"/>
          <w:szCs w:val="16"/>
          <w:lang w:val="en-US"/>
        </w:rPr>
        <w:t xml:space="preserve">demonstrate </w:t>
      </w:r>
      <w:r w:rsidR="00A074A5" w:rsidRPr="003171CD">
        <w:rPr>
          <w:rFonts w:cs="Arial"/>
          <w:sz w:val="16"/>
          <w:szCs w:val="16"/>
          <w:lang w:val="en-US"/>
        </w:rPr>
        <w:t xml:space="preserve">any </w:t>
      </w:r>
      <w:r w:rsidR="004764AE" w:rsidRPr="003171CD">
        <w:rPr>
          <w:rFonts w:cs="Arial"/>
          <w:sz w:val="16"/>
          <w:szCs w:val="16"/>
          <w:lang w:val="en-US"/>
        </w:rPr>
        <w:t xml:space="preserve">errors </w:t>
      </w:r>
      <w:r w:rsidR="00A074A5" w:rsidRPr="003171CD">
        <w:rPr>
          <w:rFonts w:cs="Arial"/>
          <w:sz w:val="16"/>
          <w:szCs w:val="16"/>
          <w:lang w:val="en-US"/>
        </w:rPr>
        <w:t xml:space="preserve">regarding </w:t>
      </w:r>
      <w:r w:rsidRPr="003171CD">
        <w:rPr>
          <w:rFonts w:cs="Arial"/>
          <w:sz w:val="16"/>
          <w:szCs w:val="16"/>
          <w:lang w:val="en-US"/>
        </w:rPr>
        <w:t xml:space="preserve">the </w:t>
      </w:r>
      <w:r w:rsidR="0036359A" w:rsidRPr="003171CD">
        <w:rPr>
          <w:rFonts w:cs="Arial"/>
          <w:sz w:val="16"/>
          <w:szCs w:val="16"/>
          <w:lang w:val="en-US"/>
        </w:rPr>
        <w:t>violation of fundamental rights.</w:t>
      </w:r>
      <w:r w:rsidRPr="003171CD">
        <w:rPr>
          <w:rFonts w:cs="Arial"/>
          <w:sz w:val="16"/>
          <w:szCs w:val="16"/>
          <w:lang w:val="en-US"/>
        </w:rPr>
        <w:t xml:space="preserve"> </w:t>
      </w:r>
      <w:r w:rsidR="00A074A5" w:rsidRPr="003171CD">
        <w:rPr>
          <w:rFonts w:cs="Arial"/>
          <w:sz w:val="16"/>
          <w:szCs w:val="16"/>
          <w:lang w:val="en-US"/>
        </w:rPr>
        <w:t>Accordingly</w:t>
      </w:r>
      <w:r w:rsidR="0036359A" w:rsidRPr="003171CD">
        <w:rPr>
          <w:rFonts w:cs="Arial"/>
          <w:sz w:val="16"/>
          <w:szCs w:val="16"/>
          <w:lang w:val="en-US"/>
        </w:rPr>
        <w:t xml:space="preserve">, </w:t>
      </w:r>
      <w:r w:rsidRPr="003171CD">
        <w:rPr>
          <w:rFonts w:cs="Arial"/>
          <w:sz w:val="16"/>
          <w:szCs w:val="16"/>
          <w:lang w:val="en-US"/>
        </w:rPr>
        <w:t xml:space="preserve">the Court </w:t>
      </w:r>
      <w:r w:rsidR="00642EE2" w:rsidRPr="003171CD">
        <w:rPr>
          <w:rFonts w:cs="Arial"/>
          <w:sz w:val="16"/>
          <w:szCs w:val="16"/>
          <w:lang w:val="en-US"/>
        </w:rPr>
        <w:t xml:space="preserve">deems it </w:t>
      </w:r>
      <w:r w:rsidR="007D59F4" w:rsidRPr="003171CD">
        <w:rPr>
          <w:rFonts w:cs="Arial"/>
          <w:sz w:val="16"/>
          <w:szCs w:val="16"/>
          <w:lang w:val="en-US"/>
        </w:rPr>
        <w:t xml:space="preserve">pertinent </w:t>
      </w:r>
      <w:r w:rsidR="00642EE2" w:rsidRPr="003171CD">
        <w:rPr>
          <w:rFonts w:cs="Arial"/>
          <w:sz w:val="16"/>
          <w:szCs w:val="16"/>
          <w:lang w:val="en-US"/>
        </w:rPr>
        <w:t xml:space="preserve">to uphold </w:t>
      </w:r>
      <w:r w:rsidR="00535878" w:rsidRPr="003171CD">
        <w:rPr>
          <w:rFonts w:cs="Arial"/>
          <w:sz w:val="16"/>
          <w:szCs w:val="16"/>
          <w:lang w:val="en-US"/>
        </w:rPr>
        <w:t xml:space="preserve">the judgment </w:t>
      </w:r>
      <w:r w:rsidRPr="003171CD">
        <w:rPr>
          <w:rFonts w:cs="Arial"/>
          <w:sz w:val="16"/>
          <w:szCs w:val="16"/>
          <w:lang w:val="en-US"/>
        </w:rPr>
        <w:t xml:space="preserve">and </w:t>
      </w:r>
      <w:r w:rsidR="00A074A5" w:rsidRPr="003171CD">
        <w:rPr>
          <w:rFonts w:cs="Arial"/>
          <w:sz w:val="16"/>
          <w:szCs w:val="16"/>
          <w:lang w:val="en-US"/>
        </w:rPr>
        <w:t xml:space="preserve">to </w:t>
      </w:r>
      <w:r w:rsidRPr="003171CD">
        <w:rPr>
          <w:rFonts w:cs="Arial"/>
          <w:sz w:val="16"/>
          <w:szCs w:val="16"/>
          <w:lang w:val="en-US"/>
        </w:rPr>
        <w:t>decla</w:t>
      </w:r>
      <w:r w:rsidR="001011A8" w:rsidRPr="003171CD">
        <w:rPr>
          <w:rFonts w:cs="Arial"/>
          <w:sz w:val="16"/>
          <w:szCs w:val="16"/>
          <w:lang w:val="en-US"/>
        </w:rPr>
        <w:t xml:space="preserve">re inadmissible the </w:t>
      </w:r>
      <w:r w:rsidRPr="003171CD">
        <w:rPr>
          <w:rFonts w:cs="Arial"/>
          <w:sz w:val="16"/>
          <w:szCs w:val="16"/>
          <w:lang w:val="en-US"/>
        </w:rPr>
        <w:t>request of the defense</w:t>
      </w:r>
      <w:r w:rsidR="00A074A5" w:rsidRPr="003171CD">
        <w:rPr>
          <w:rFonts w:cs="Arial"/>
          <w:sz w:val="16"/>
          <w:szCs w:val="16"/>
          <w:lang w:val="en-US"/>
        </w:rPr>
        <w:t>,</w:t>
      </w:r>
      <w:r w:rsidRPr="003171CD">
        <w:rPr>
          <w:rFonts w:cs="Arial"/>
          <w:sz w:val="16"/>
          <w:szCs w:val="16"/>
          <w:lang w:val="en-US"/>
        </w:rPr>
        <w:t xml:space="preserve"> </w:t>
      </w:r>
      <w:r w:rsidR="00722645" w:rsidRPr="003171CD">
        <w:rPr>
          <w:rFonts w:cs="Arial"/>
          <w:sz w:val="16"/>
          <w:szCs w:val="16"/>
          <w:lang w:val="en-US"/>
        </w:rPr>
        <w:t xml:space="preserve">given that they did not </w:t>
      </w:r>
      <w:r w:rsidR="007D59F4" w:rsidRPr="003171CD">
        <w:rPr>
          <w:rFonts w:cs="Arial"/>
          <w:sz w:val="16"/>
          <w:szCs w:val="16"/>
          <w:lang w:val="en-US"/>
        </w:rPr>
        <w:t xml:space="preserve">demonstrate </w:t>
      </w:r>
      <w:r w:rsidRPr="003171CD">
        <w:rPr>
          <w:rFonts w:cs="Arial"/>
          <w:sz w:val="16"/>
          <w:szCs w:val="16"/>
          <w:lang w:val="en-US"/>
        </w:rPr>
        <w:t>th</w:t>
      </w:r>
      <w:r w:rsidR="001011A8" w:rsidRPr="003171CD">
        <w:rPr>
          <w:rFonts w:cs="Arial"/>
          <w:sz w:val="16"/>
          <w:szCs w:val="16"/>
          <w:lang w:val="en-US"/>
        </w:rPr>
        <w:t>e motive</w:t>
      </w:r>
      <w:r w:rsidRPr="003171CD">
        <w:rPr>
          <w:rFonts w:cs="Arial"/>
          <w:sz w:val="16"/>
          <w:szCs w:val="16"/>
          <w:lang w:val="en-US"/>
        </w:rPr>
        <w:t xml:space="preserve">s or reasons that </w:t>
      </w:r>
      <w:r w:rsidR="003E16F4" w:rsidRPr="003171CD">
        <w:rPr>
          <w:rFonts w:cs="Arial"/>
          <w:sz w:val="16"/>
          <w:szCs w:val="16"/>
          <w:lang w:val="en-US"/>
        </w:rPr>
        <w:t xml:space="preserve">prompted </w:t>
      </w:r>
      <w:r w:rsidRPr="003171CD">
        <w:rPr>
          <w:rFonts w:cs="Arial"/>
          <w:sz w:val="16"/>
          <w:szCs w:val="16"/>
          <w:lang w:val="en-US"/>
        </w:rPr>
        <w:t xml:space="preserve">a </w:t>
      </w:r>
      <w:r w:rsidR="000B6785" w:rsidRPr="003171CD">
        <w:rPr>
          <w:rFonts w:cs="Arial"/>
          <w:sz w:val="16"/>
          <w:szCs w:val="16"/>
          <w:lang w:val="en-US"/>
        </w:rPr>
        <w:t xml:space="preserve">motion for a Review of </w:t>
      </w:r>
      <w:r w:rsidR="001F02E7" w:rsidRPr="003171CD">
        <w:rPr>
          <w:rFonts w:cs="Arial"/>
          <w:sz w:val="16"/>
          <w:szCs w:val="16"/>
          <w:lang w:val="en-US"/>
        </w:rPr>
        <w:t xml:space="preserve">the Judgment; </w:t>
      </w:r>
      <w:r w:rsidR="00A074A5" w:rsidRPr="003171CD">
        <w:rPr>
          <w:rFonts w:cs="Arial"/>
          <w:sz w:val="16"/>
          <w:szCs w:val="16"/>
          <w:lang w:val="en-US"/>
        </w:rPr>
        <w:t>consequently</w:t>
      </w:r>
      <w:r w:rsidR="00B54FE7" w:rsidRPr="003171CD">
        <w:rPr>
          <w:rFonts w:cs="Arial"/>
          <w:sz w:val="16"/>
          <w:szCs w:val="16"/>
          <w:lang w:val="en-US"/>
        </w:rPr>
        <w:t>, the final con</w:t>
      </w:r>
      <w:r w:rsidR="00A074A5" w:rsidRPr="003171CD">
        <w:rPr>
          <w:rFonts w:cs="Arial"/>
          <w:sz w:val="16"/>
          <w:szCs w:val="16"/>
          <w:lang w:val="en-US"/>
        </w:rPr>
        <w:t xml:space="preserve">viction </w:t>
      </w:r>
      <w:r w:rsidR="00B54FE7" w:rsidRPr="003171CD">
        <w:rPr>
          <w:rFonts w:cs="Arial"/>
          <w:sz w:val="16"/>
          <w:szCs w:val="16"/>
          <w:lang w:val="en-US"/>
        </w:rPr>
        <w:t xml:space="preserve">must </w:t>
      </w:r>
      <w:r w:rsidR="007C5FBF" w:rsidRPr="003171CD">
        <w:rPr>
          <w:rFonts w:cs="Arial"/>
          <w:sz w:val="16"/>
          <w:szCs w:val="16"/>
          <w:lang w:val="en-US"/>
        </w:rPr>
        <w:t xml:space="preserve">remain in place </w:t>
      </w:r>
      <w:r w:rsidRPr="003171CD">
        <w:rPr>
          <w:rFonts w:cs="Arial"/>
          <w:sz w:val="16"/>
          <w:szCs w:val="16"/>
          <w:lang w:val="en-US"/>
        </w:rPr>
        <w:t>[.]</w:t>
      </w:r>
    </w:p>
    <w:p w14:paraId="17E60164" w14:textId="77777777" w:rsidR="005A65CE" w:rsidRPr="003171CD" w:rsidRDefault="005A65CE" w:rsidP="005A65CE">
      <w:pPr>
        <w:jc w:val="both"/>
        <w:rPr>
          <w:rFonts w:cs="Arial"/>
          <w:snapToGrid/>
          <w:lang w:val="en-US" w:eastAsia="en-US"/>
        </w:rPr>
      </w:pPr>
    </w:p>
    <w:p w14:paraId="6DD0162B"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June 26, 2015, Mr. Ruano Torres </w:t>
      </w:r>
      <w:r w:rsidR="001F02E7" w:rsidRPr="003171CD">
        <w:rPr>
          <w:rFonts w:cs="Arial"/>
          <w:lang w:val="en-US"/>
        </w:rPr>
        <w:t>would have served the full sentence imposed</w:t>
      </w:r>
      <w:r w:rsidRPr="003171CD">
        <w:rPr>
          <w:rFonts w:cs="Arial"/>
          <w:lang w:val="en-US"/>
        </w:rPr>
        <w:t>.</w:t>
      </w:r>
    </w:p>
    <w:p w14:paraId="62EF5C57" w14:textId="77777777" w:rsidR="005A65CE" w:rsidRPr="003171CD" w:rsidRDefault="005A65CE" w:rsidP="005A65CE">
      <w:pPr>
        <w:jc w:val="both"/>
        <w:rPr>
          <w:rFonts w:cs="Arial"/>
          <w:snapToGrid/>
          <w:lang w:val="en-US" w:eastAsia="en-US"/>
        </w:rPr>
      </w:pPr>
    </w:p>
    <w:p w14:paraId="13B66507" w14:textId="77777777" w:rsidR="005A65CE" w:rsidRPr="003171CD" w:rsidRDefault="001A1CDF" w:rsidP="005A65CE">
      <w:pPr>
        <w:pStyle w:val="Prrafodelista"/>
        <w:keepNext/>
        <w:keepLines/>
        <w:numPr>
          <w:ilvl w:val="0"/>
          <w:numId w:val="16"/>
        </w:numPr>
        <w:ind w:left="1418" w:hanging="709"/>
        <w:jc w:val="both"/>
        <w:outlineLvl w:val="1"/>
        <w:rPr>
          <w:rFonts w:cs="Arial"/>
          <w:b/>
          <w:i/>
          <w:lang w:val="en-US"/>
        </w:rPr>
      </w:pPr>
      <w:bookmarkStart w:id="38" w:name="_Toc45186703"/>
      <w:r w:rsidRPr="003171CD">
        <w:rPr>
          <w:rFonts w:cs="Arial"/>
          <w:b/>
          <w:i/>
          <w:lang w:val="en-US"/>
        </w:rPr>
        <w:t xml:space="preserve">Petition </w:t>
      </w:r>
      <w:r w:rsidR="005A65CE" w:rsidRPr="003171CD">
        <w:rPr>
          <w:rFonts w:cs="Arial"/>
          <w:b/>
          <w:i/>
          <w:lang w:val="en-US"/>
        </w:rPr>
        <w:t xml:space="preserve">for habeas corpus </w:t>
      </w:r>
      <w:r w:rsidRPr="003171CD">
        <w:rPr>
          <w:rFonts w:cs="Arial"/>
          <w:b/>
          <w:i/>
          <w:lang w:val="en-US"/>
        </w:rPr>
        <w:t xml:space="preserve">before </w:t>
      </w:r>
      <w:r w:rsidR="005A65CE" w:rsidRPr="003171CD">
        <w:rPr>
          <w:rFonts w:cs="Arial"/>
          <w:b/>
          <w:i/>
          <w:lang w:val="en-US"/>
        </w:rPr>
        <w:t>the Constitutional Chamber</w:t>
      </w:r>
      <w:bookmarkEnd w:id="38"/>
    </w:p>
    <w:p w14:paraId="574E74D7" w14:textId="77777777" w:rsidR="005A65CE" w:rsidRPr="003171CD" w:rsidRDefault="005A65CE" w:rsidP="005A65CE">
      <w:pPr>
        <w:jc w:val="both"/>
        <w:rPr>
          <w:rFonts w:cs="Arial"/>
          <w:snapToGrid/>
          <w:lang w:val="en-US" w:eastAsia="en-US"/>
        </w:rPr>
      </w:pPr>
    </w:p>
    <w:p w14:paraId="77E537E4"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December 7, 2000</w:t>
      </w:r>
      <w:r w:rsidR="001F02E7" w:rsidRPr="003171CD">
        <w:rPr>
          <w:rFonts w:cs="Arial"/>
          <w:lang w:val="en-US"/>
        </w:rPr>
        <w:t>,</w:t>
      </w:r>
      <w:r w:rsidRPr="003171CD">
        <w:rPr>
          <w:rFonts w:cs="Arial"/>
          <w:lang w:val="en-US"/>
        </w:rPr>
        <w:t xml:space="preserve"> José Agapito Ruano Torres filed a</w:t>
      </w:r>
      <w:r w:rsidR="001A1CDF" w:rsidRPr="003171CD">
        <w:rPr>
          <w:rFonts w:cs="Arial"/>
          <w:lang w:val="en-US"/>
        </w:rPr>
        <w:t xml:space="preserve"> petition </w:t>
      </w:r>
      <w:r w:rsidRPr="003171CD">
        <w:rPr>
          <w:rFonts w:cs="Arial"/>
          <w:lang w:val="en-US"/>
        </w:rPr>
        <w:t xml:space="preserve">for </w:t>
      </w:r>
      <w:r w:rsidRPr="003171CD">
        <w:rPr>
          <w:rFonts w:cs="Arial"/>
          <w:i/>
          <w:lang w:val="en-US"/>
        </w:rPr>
        <w:t>habeas corpus</w:t>
      </w:r>
      <w:r w:rsidRPr="003171CD">
        <w:rPr>
          <w:rFonts w:cs="Arial"/>
          <w:lang w:val="en-US"/>
        </w:rPr>
        <w:t xml:space="preserve"> </w:t>
      </w:r>
      <w:r w:rsidR="001A1CDF" w:rsidRPr="003171CD">
        <w:rPr>
          <w:rFonts w:cs="Arial"/>
          <w:lang w:val="en-US"/>
        </w:rPr>
        <w:t xml:space="preserve">with </w:t>
      </w:r>
      <w:r w:rsidRPr="003171CD">
        <w:rPr>
          <w:rFonts w:cs="Arial"/>
          <w:lang w:val="en-US"/>
        </w:rPr>
        <w:t xml:space="preserve">the Constitutional Chamber of the Supreme Court of Justice, in which </w:t>
      </w:r>
      <w:r w:rsidR="001A1CDF" w:rsidRPr="003171CD">
        <w:rPr>
          <w:rFonts w:cs="Arial"/>
          <w:lang w:val="en-US"/>
        </w:rPr>
        <w:t xml:space="preserve">he claimed </w:t>
      </w:r>
      <w:r w:rsidRPr="003171CD">
        <w:rPr>
          <w:rFonts w:cs="Arial"/>
          <w:lang w:val="en-US"/>
        </w:rPr>
        <w:t xml:space="preserve">that: i) his </w:t>
      </w:r>
      <w:r w:rsidR="001A1CDF" w:rsidRPr="003171CD">
        <w:rPr>
          <w:rFonts w:cs="Arial"/>
          <w:lang w:val="en-US"/>
        </w:rPr>
        <w:t xml:space="preserve">arrest had been </w:t>
      </w:r>
      <w:r w:rsidRPr="003171CD">
        <w:rPr>
          <w:rFonts w:cs="Arial"/>
          <w:lang w:val="en-US"/>
        </w:rPr>
        <w:t xml:space="preserve">arbitrary; ii) he was subjected to physical, mental and moral </w:t>
      </w:r>
      <w:r w:rsidR="001A1CDF" w:rsidRPr="003171CD">
        <w:rPr>
          <w:rFonts w:cs="Arial"/>
          <w:lang w:val="en-US"/>
        </w:rPr>
        <w:t>mistreatment</w:t>
      </w:r>
      <w:r w:rsidRPr="003171CD">
        <w:rPr>
          <w:rFonts w:cs="Arial"/>
          <w:lang w:val="en-US"/>
        </w:rPr>
        <w:t>; iii) a</w:t>
      </w:r>
      <w:r w:rsidR="001F02E7" w:rsidRPr="003171CD">
        <w:rPr>
          <w:rFonts w:cs="Arial"/>
          <w:lang w:val="en-US"/>
        </w:rPr>
        <w:t xml:space="preserve">t the time of his arrest he was not </w:t>
      </w:r>
      <w:r w:rsidR="001A1CDF" w:rsidRPr="003171CD">
        <w:rPr>
          <w:rFonts w:cs="Arial"/>
          <w:lang w:val="en-US"/>
        </w:rPr>
        <w:t xml:space="preserve">properly </w:t>
      </w:r>
      <w:r w:rsidR="001F02E7" w:rsidRPr="003171CD">
        <w:rPr>
          <w:rFonts w:cs="Arial"/>
          <w:lang w:val="en-US"/>
        </w:rPr>
        <w:t xml:space="preserve">identified, since they </w:t>
      </w:r>
      <w:r w:rsidR="001A1CDF" w:rsidRPr="003171CD">
        <w:rPr>
          <w:rFonts w:cs="Arial"/>
          <w:lang w:val="en-US"/>
        </w:rPr>
        <w:t xml:space="preserve">addressed </w:t>
      </w:r>
      <w:r w:rsidR="001F02E7" w:rsidRPr="003171CD">
        <w:rPr>
          <w:rFonts w:cs="Arial"/>
          <w:lang w:val="en-US"/>
        </w:rPr>
        <w:t>him</w:t>
      </w:r>
      <w:r w:rsidRPr="003171CD">
        <w:rPr>
          <w:rFonts w:cs="Arial"/>
          <w:lang w:val="en-US"/>
        </w:rPr>
        <w:t xml:space="preserve"> by the nickname </w:t>
      </w:r>
      <w:r w:rsidR="00A96DF3" w:rsidRPr="003171CD">
        <w:rPr>
          <w:rFonts w:cs="Arial"/>
          <w:i/>
          <w:lang w:val="en-US"/>
        </w:rPr>
        <w:t>Chopo</w:t>
      </w:r>
      <w:r w:rsidRPr="003171CD">
        <w:rPr>
          <w:rFonts w:cs="Arial"/>
          <w:lang w:val="en-US"/>
        </w:rPr>
        <w:t>, and iv)</w:t>
      </w:r>
      <w:r w:rsidR="001A1CDF" w:rsidRPr="003171CD">
        <w:rPr>
          <w:rFonts w:cs="Arial"/>
          <w:lang w:val="en-US"/>
        </w:rPr>
        <w:t xml:space="preserve"> it was not until </w:t>
      </w:r>
      <w:r w:rsidRPr="003171CD">
        <w:rPr>
          <w:rFonts w:cs="Arial"/>
          <w:lang w:val="en-US"/>
        </w:rPr>
        <w:t>a police office</w:t>
      </w:r>
      <w:r w:rsidR="001A1CDF" w:rsidRPr="003171CD">
        <w:rPr>
          <w:rFonts w:cs="Arial"/>
          <w:lang w:val="en-US"/>
        </w:rPr>
        <w:t>r found his identification card that</w:t>
      </w:r>
      <w:r w:rsidRPr="003171CD">
        <w:rPr>
          <w:rFonts w:cs="Arial"/>
          <w:lang w:val="en-US"/>
        </w:rPr>
        <w:t xml:space="preserve"> </w:t>
      </w:r>
      <w:r w:rsidR="001F02E7" w:rsidRPr="003171CD">
        <w:rPr>
          <w:rFonts w:cs="Arial"/>
          <w:lang w:val="en-US"/>
        </w:rPr>
        <w:t>they began to call him by his name.</w:t>
      </w:r>
      <w:r w:rsidRPr="003171CD">
        <w:rPr>
          <w:vertAlign w:val="superscript"/>
          <w:lang w:val="en-US"/>
        </w:rPr>
        <w:footnoteReference w:id="156"/>
      </w:r>
    </w:p>
    <w:p w14:paraId="2F9E133A" w14:textId="77777777" w:rsidR="005A65CE" w:rsidRPr="003171CD" w:rsidRDefault="005A65CE" w:rsidP="005A65CE">
      <w:pPr>
        <w:jc w:val="both"/>
        <w:rPr>
          <w:rFonts w:cs="Arial"/>
          <w:snapToGrid/>
          <w:lang w:val="en-US" w:eastAsia="en-US"/>
        </w:rPr>
      </w:pPr>
    </w:p>
    <w:p w14:paraId="5E54530A"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January 3, 2001, Mr. Ruano Torres </w:t>
      </w:r>
      <w:r w:rsidR="007A28C8" w:rsidRPr="003171CD">
        <w:rPr>
          <w:rFonts w:cs="Arial"/>
          <w:lang w:val="en-US"/>
        </w:rPr>
        <w:t>filed an exten</w:t>
      </w:r>
      <w:r w:rsidR="00D60AA3" w:rsidRPr="003171CD">
        <w:rPr>
          <w:rFonts w:cs="Arial"/>
          <w:lang w:val="en-US"/>
        </w:rPr>
        <w:t>sion</w:t>
      </w:r>
      <w:r w:rsidR="008551EB" w:rsidRPr="003171CD">
        <w:rPr>
          <w:rFonts w:cs="Arial"/>
          <w:lang w:val="en-US"/>
        </w:rPr>
        <w:t xml:space="preserve"> of </w:t>
      </w:r>
      <w:r w:rsidRPr="003171CD">
        <w:rPr>
          <w:rFonts w:cs="Arial"/>
          <w:i/>
          <w:lang w:val="en-US"/>
        </w:rPr>
        <w:t>habeas corpus</w:t>
      </w:r>
      <w:r w:rsidRPr="003171CD">
        <w:rPr>
          <w:rFonts w:cs="Arial"/>
          <w:lang w:val="en-US"/>
        </w:rPr>
        <w:t>, in which he: i</w:t>
      </w:r>
      <w:r w:rsidR="00940256" w:rsidRPr="003171CD">
        <w:rPr>
          <w:rFonts w:cs="Arial"/>
          <w:lang w:val="en-US"/>
        </w:rPr>
        <w:t xml:space="preserve">) requested </w:t>
      </w:r>
      <w:r w:rsidR="007A28C8" w:rsidRPr="003171CD">
        <w:rPr>
          <w:rFonts w:cs="Arial"/>
          <w:lang w:val="en-US"/>
        </w:rPr>
        <w:t xml:space="preserve">the investigation and sanction of </w:t>
      </w:r>
      <w:r w:rsidR="00940256" w:rsidRPr="003171CD">
        <w:rPr>
          <w:rFonts w:cs="Arial"/>
          <w:lang w:val="en-US"/>
        </w:rPr>
        <w:t>the prosecutor</w:t>
      </w:r>
      <w:r w:rsidRPr="003171CD">
        <w:rPr>
          <w:rFonts w:cs="Arial"/>
          <w:lang w:val="en-US"/>
        </w:rPr>
        <w:t xml:space="preserve"> and the police </w:t>
      </w:r>
      <w:r w:rsidR="000B6785" w:rsidRPr="003171CD">
        <w:rPr>
          <w:rFonts w:cs="Arial"/>
          <w:lang w:val="en-US"/>
        </w:rPr>
        <w:t xml:space="preserve">officers </w:t>
      </w:r>
      <w:r w:rsidR="00940256" w:rsidRPr="003171CD">
        <w:rPr>
          <w:rFonts w:cs="Arial"/>
          <w:lang w:val="en-US"/>
        </w:rPr>
        <w:t xml:space="preserve">who, without </w:t>
      </w:r>
      <w:r w:rsidRPr="003171CD">
        <w:rPr>
          <w:rFonts w:cs="Arial"/>
          <w:lang w:val="en-US"/>
        </w:rPr>
        <w:t xml:space="preserve">due diligence, identified him as </w:t>
      </w:r>
      <w:r w:rsidR="00A96DF3" w:rsidRPr="003171CD">
        <w:rPr>
          <w:rFonts w:cs="Arial"/>
          <w:i/>
          <w:lang w:val="en-US"/>
        </w:rPr>
        <w:t>Chopo</w:t>
      </w:r>
      <w:r w:rsidR="007A28C8" w:rsidRPr="003171CD">
        <w:rPr>
          <w:rFonts w:cs="Arial"/>
          <w:lang w:val="en-US"/>
        </w:rPr>
        <w:t xml:space="preserve"> and</w:t>
      </w:r>
      <w:r w:rsidRPr="003171CD">
        <w:rPr>
          <w:rFonts w:cs="Arial"/>
          <w:lang w:val="en-US"/>
        </w:rPr>
        <w:t xml:space="preserve"> </w:t>
      </w:r>
      <w:r w:rsidR="007A28C8" w:rsidRPr="003171CD">
        <w:rPr>
          <w:rFonts w:cs="Arial"/>
          <w:lang w:val="en-US"/>
        </w:rPr>
        <w:t xml:space="preserve">accused him of </w:t>
      </w:r>
      <w:r w:rsidR="001A1CDF" w:rsidRPr="003171CD">
        <w:rPr>
          <w:rFonts w:cs="Arial"/>
          <w:lang w:val="en-US"/>
        </w:rPr>
        <w:t xml:space="preserve">participating </w:t>
      </w:r>
      <w:r w:rsidR="007A28C8" w:rsidRPr="003171CD">
        <w:rPr>
          <w:rFonts w:cs="Arial"/>
          <w:lang w:val="en-US"/>
        </w:rPr>
        <w:t xml:space="preserve">in the </w:t>
      </w:r>
      <w:r w:rsidR="002E679E" w:rsidRPr="003171CD">
        <w:rPr>
          <w:rFonts w:cs="Arial"/>
          <w:lang w:val="en-US"/>
        </w:rPr>
        <w:t xml:space="preserve">kidnapping </w:t>
      </w:r>
      <w:r w:rsidR="007A28C8" w:rsidRPr="003171CD">
        <w:rPr>
          <w:rFonts w:cs="Arial"/>
          <w:lang w:val="en-US"/>
        </w:rPr>
        <w:t xml:space="preserve">of </w:t>
      </w:r>
      <w:r w:rsidRPr="003171CD">
        <w:rPr>
          <w:rFonts w:cs="Arial"/>
          <w:lang w:val="en-US"/>
        </w:rPr>
        <w:t xml:space="preserve">Mr. Rodríguez Marroquín; ii) reiterated the physical and </w:t>
      </w:r>
      <w:r w:rsidR="007A28C8" w:rsidRPr="003171CD">
        <w:rPr>
          <w:rFonts w:cs="Arial"/>
          <w:lang w:val="en-US"/>
        </w:rPr>
        <w:t xml:space="preserve">psychological harm inflicted on him </w:t>
      </w:r>
      <w:r w:rsidRPr="003171CD">
        <w:rPr>
          <w:rFonts w:cs="Arial"/>
          <w:lang w:val="en-US"/>
        </w:rPr>
        <w:t xml:space="preserve">during his </w:t>
      </w:r>
      <w:r w:rsidR="00940256" w:rsidRPr="003171CD">
        <w:rPr>
          <w:rFonts w:cs="Arial"/>
          <w:lang w:val="en-US"/>
        </w:rPr>
        <w:t>arrest</w:t>
      </w:r>
      <w:r w:rsidRPr="003171CD">
        <w:rPr>
          <w:rFonts w:cs="Arial"/>
          <w:lang w:val="en-US"/>
        </w:rPr>
        <w:t>; iii) denounced the “negligent and indifferent attitude” of his public defen</w:t>
      </w:r>
      <w:r w:rsidR="007A28C8" w:rsidRPr="003171CD">
        <w:rPr>
          <w:rFonts w:cs="Arial"/>
          <w:lang w:val="en-US"/>
        </w:rPr>
        <w:t>ders who did not allow hi</w:t>
      </w:r>
      <w:r w:rsidR="007B1015" w:rsidRPr="003171CD">
        <w:rPr>
          <w:rFonts w:cs="Arial"/>
          <w:lang w:val="en-US"/>
        </w:rPr>
        <w:t xml:space="preserve">m to file several motions and </w:t>
      </w:r>
      <w:r w:rsidR="008611C2" w:rsidRPr="003171CD">
        <w:rPr>
          <w:rFonts w:cs="Arial"/>
          <w:lang w:val="en-US"/>
        </w:rPr>
        <w:t xml:space="preserve">take </w:t>
      </w:r>
      <w:r w:rsidR="007B1015" w:rsidRPr="003171CD">
        <w:rPr>
          <w:rFonts w:cs="Arial"/>
          <w:lang w:val="en-US"/>
        </w:rPr>
        <w:t xml:space="preserve">other actions </w:t>
      </w:r>
      <w:r w:rsidRPr="003171CD">
        <w:rPr>
          <w:rFonts w:cs="Arial"/>
          <w:lang w:val="en-US"/>
        </w:rPr>
        <w:t>in order to prove that he was not involved in the kidnapping</w:t>
      </w:r>
      <w:r w:rsidR="007B1015" w:rsidRPr="003171CD">
        <w:rPr>
          <w:rFonts w:cs="Arial"/>
          <w:lang w:val="en-US"/>
        </w:rPr>
        <w:t>;</w:t>
      </w:r>
      <w:r w:rsidRPr="003171CD">
        <w:rPr>
          <w:vertAlign w:val="superscript"/>
          <w:lang w:val="en-US"/>
        </w:rPr>
        <w:footnoteReference w:id="157"/>
      </w:r>
      <w:r w:rsidRPr="003171CD">
        <w:rPr>
          <w:rFonts w:cs="Arial"/>
          <w:lang w:val="en-US"/>
        </w:rPr>
        <w:t xml:space="preserve"> and iv) </w:t>
      </w:r>
      <w:r w:rsidR="007B1015" w:rsidRPr="003171CD">
        <w:rPr>
          <w:rFonts w:cs="Arial"/>
          <w:lang w:val="en-US"/>
        </w:rPr>
        <w:t>indicated that he requested that his public defender be changed but that the prosecutor in</w:t>
      </w:r>
      <w:r w:rsidRPr="003171CD">
        <w:rPr>
          <w:rFonts w:cs="Arial"/>
          <w:lang w:val="en-US"/>
        </w:rPr>
        <w:t xml:space="preserve"> Apopa </w:t>
      </w:r>
      <w:r w:rsidR="007B1015" w:rsidRPr="003171CD">
        <w:rPr>
          <w:rFonts w:cs="Arial"/>
          <w:lang w:val="en-US"/>
        </w:rPr>
        <w:t xml:space="preserve">told him that </w:t>
      </w:r>
      <w:r w:rsidRPr="003171CD">
        <w:rPr>
          <w:rFonts w:cs="Arial"/>
          <w:lang w:val="en-US"/>
        </w:rPr>
        <w:t>“it was not necessary.”</w:t>
      </w:r>
      <w:r w:rsidRPr="003171CD">
        <w:rPr>
          <w:vertAlign w:val="superscript"/>
          <w:lang w:val="en-US"/>
        </w:rPr>
        <w:footnoteReference w:id="158"/>
      </w:r>
    </w:p>
    <w:p w14:paraId="64027E99" w14:textId="77777777" w:rsidR="005A65CE" w:rsidRPr="003171CD" w:rsidRDefault="005A65CE" w:rsidP="005A65CE">
      <w:pPr>
        <w:jc w:val="both"/>
        <w:rPr>
          <w:rFonts w:cs="Arial"/>
          <w:snapToGrid/>
          <w:lang w:val="en-US" w:eastAsia="en-US"/>
        </w:rPr>
      </w:pPr>
    </w:p>
    <w:p w14:paraId="4EBF96DD" w14:textId="77777777" w:rsidR="005A65CE" w:rsidRPr="003171CD" w:rsidRDefault="00940256" w:rsidP="005A65CE">
      <w:pPr>
        <w:pStyle w:val="Prrafodelista"/>
        <w:numPr>
          <w:ilvl w:val="0"/>
          <w:numId w:val="1"/>
        </w:numPr>
        <w:tabs>
          <w:tab w:val="left" w:pos="720"/>
          <w:tab w:val="num" w:pos="5057"/>
        </w:tabs>
        <w:ind w:right="-90"/>
        <w:jc w:val="both"/>
        <w:rPr>
          <w:rFonts w:cs="Arial"/>
          <w:lang w:val="en-US"/>
        </w:rPr>
      </w:pPr>
      <w:r w:rsidRPr="003171CD">
        <w:rPr>
          <w:lang w:val="en-US"/>
        </w:rPr>
        <w:t xml:space="preserve">On </w:t>
      </w:r>
      <w:r w:rsidR="005A65CE" w:rsidRPr="003171CD">
        <w:rPr>
          <w:lang w:val="en-US"/>
        </w:rPr>
        <w:t xml:space="preserve">February </w:t>
      </w:r>
      <w:r w:rsidRPr="003171CD">
        <w:rPr>
          <w:lang w:val="en-US"/>
        </w:rPr>
        <w:t xml:space="preserve">19, </w:t>
      </w:r>
      <w:r w:rsidR="005A65CE" w:rsidRPr="003171CD">
        <w:rPr>
          <w:lang w:val="en-US"/>
        </w:rPr>
        <w:t>2001</w:t>
      </w:r>
      <w:r w:rsidRPr="003171CD">
        <w:rPr>
          <w:lang w:val="en-US"/>
        </w:rPr>
        <w:t>,</w:t>
      </w:r>
      <w:r w:rsidR="005A65CE" w:rsidRPr="003171CD">
        <w:rPr>
          <w:lang w:val="en-US"/>
        </w:rPr>
        <w:t xml:space="preserve"> </w:t>
      </w:r>
      <w:r w:rsidR="005A65CE" w:rsidRPr="003171CD">
        <w:rPr>
          <w:rFonts w:cs="Arial"/>
          <w:lang w:val="en-US"/>
        </w:rPr>
        <w:t xml:space="preserve">Mr. </w:t>
      </w:r>
      <w:r w:rsidR="005A65CE" w:rsidRPr="003171CD">
        <w:rPr>
          <w:lang w:val="en-US"/>
        </w:rPr>
        <w:t xml:space="preserve">Ruano Torres requested a </w:t>
      </w:r>
      <w:r w:rsidR="009929AE" w:rsidRPr="003171CD">
        <w:rPr>
          <w:lang w:val="en-US"/>
        </w:rPr>
        <w:t xml:space="preserve">new </w:t>
      </w:r>
      <w:r w:rsidR="001011A8" w:rsidRPr="003171CD">
        <w:rPr>
          <w:lang w:val="en-US"/>
        </w:rPr>
        <w:t xml:space="preserve">extension </w:t>
      </w:r>
      <w:r w:rsidR="002A4CDC" w:rsidRPr="003171CD">
        <w:rPr>
          <w:lang w:val="en-US"/>
        </w:rPr>
        <w:t xml:space="preserve">of </w:t>
      </w:r>
      <w:r w:rsidR="005A65CE" w:rsidRPr="003171CD">
        <w:rPr>
          <w:rFonts w:cs="Arial"/>
          <w:i/>
          <w:lang w:val="en-US"/>
        </w:rPr>
        <w:t>habeas corpus</w:t>
      </w:r>
      <w:r w:rsidR="005A65CE" w:rsidRPr="003171CD" w:rsidDel="00717386">
        <w:rPr>
          <w:lang w:val="en-US"/>
        </w:rPr>
        <w:t xml:space="preserve"> </w:t>
      </w:r>
      <w:r w:rsidR="00B376B3" w:rsidRPr="003171CD">
        <w:rPr>
          <w:lang w:val="en-US"/>
        </w:rPr>
        <w:t>indicating</w:t>
      </w:r>
      <w:r w:rsidR="005A65CE" w:rsidRPr="003171CD">
        <w:rPr>
          <w:lang w:val="en-US"/>
        </w:rPr>
        <w:t xml:space="preserve"> that </w:t>
      </w:r>
      <w:r w:rsidRPr="003171CD">
        <w:rPr>
          <w:lang w:val="en-US"/>
        </w:rPr>
        <w:t xml:space="preserve">he was </w:t>
      </w:r>
      <w:r w:rsidR="008611C2" w:rsidRPr="003171CD">
        <w:rPr>
          <w:lang w:val="en-US"/>
        </w:rPr>
        <w:t xml:space="preserve">detained </w:t>
      </w:r>
      <w:r w:rsidR="009929AE" w:rsidRPr="003171CD">
        <w:rPr>
          <w:lang w:val="en-US"/>
        </w:rPr>
        <w:t xml:space="preserve">in </w:t>
      </w:r>
      <w:r w:rsidR="008611C2" w:rsidRPr="003171CD">
        <w:rPr>
          <w:lang w:val="en-US"/>
        </w:rPr>
        <w:t xml:space="preserve">prison </w:t>
      </w:r>
      <w:r w:rsidR="009929AE" w:rsidRPr="003171CD">
        <w:rPr>
          <w:lang w:val="en-US"/>
        </w:rPr>
        <w:t xml:space="preserve">due to </w:t>
      </w:r>
      <w:r w:rsidRPr="003171CD">
        <w:rPr>
          <w:lang w:val="en-US"/>
        </w:rPr>
        <w:t xml:space="preserve">a </w:t>
      </w:r>
      <w:r w:rsidR="005A65CE" w:rsidRPr="003171CD">
        <w:rPr>
          <w:lang w:val="en-US"/>
        </w:rPr>
        <w:t>judicial and polic</w:t>
      </w:r>
      <w:r w:rsidRPr="003171CD">
        <w:rPr>
          <w:lang w:val="en-US"/>
        </w:rPr>
        <w:t xml:space="preserve">e error </w:t>
      </w:r>
      <w:r w:rsidR="009929AE" w:rsidRPr="003171CD">
        <w:rPr>
          <w:lang w:val="en-US"/>
        </w:rPr>
        <w:t xml:space="preserve">regarding his </w:t>
      </w:r>
      <w:r w:rsidR="005A65CE" w:rsidRPr="003171CD">
        <w:rPr>
          <w:lang w:val="en-US"/>
        </w:rPr>
        <w:t>identity</w:t>
      </w:r>
      <w:r w:rsidRPr="003171CD">
        <w:rPr>
          <w:lang w:val="en-US"/>
        </w:rPr>
        <w:t>.</w:t>
      </w:r>
      <w:r w:rsidR="005A65CE" w:rsidRPr="003171CD">
        <w:rPr>
          <w:vertAlign w:val="superscript"/>
          <w:lang w:val="en-US"/>
        </w:rPr>
        <w:footnoteReference w:id="159"/>
      </w:r>
      <w:r w:rsidR="005A65CE" w:rsidRPr="003171CD">
        <w:rPr>
          <w:lang w:val="en-US"/>
        </w:rPr>
        <w:t xml:space="preserve"> </w:t>
      </w:r>
      <w:r w:rsidR="009929AE" w:rsidRPr="003171CD">
        <w:rPr>
          <w:lang w:val="en-US"/>
        </w:rPr>
        <w:t>On that basis</w:t>
      </w:r>
      <w:r w:rsidR="005A65CE" w:rsidRPr="003171CD">
        <w:rPr>
          <w:lang w:val="en-US"/>
        </w:rPr>
        <w:t xml:space="preserve">, </w:t>
      </w:r>
      <w:r w:rsidR="009929AE" w:rsidRPr="003171CD">
        <w:rPr>
          <w:lang w:val="en-US"/>
        </w:rPr>
        <w:t xml:space="preserve">he </w:t>
      </w:r>
      <w:r w:rsidR="005A65CE" w:rsidRPr="003171CD">
        <w:rPr>
          <w:lang w:val="en-US"/>
        </w:rPr>
        <w:t>requested that a</w:t>
      </w:r>
      <w:r w:rsidR="002A4CDC" w:rsidRPr="003171CD">
        <w:rPr>
          <w:lang w:val="en-US"/>
        </w:rPr>
        <w:t>n</w:t>
      </w:r>
      <w:r w:rsidR="005A65CE" w:rsidRPr="003171CD">
        <w:rPr>
          <w:lang w:val="en-US"/>
        </w:rPr>
        <w:t xml:space="preserve"> </w:t>
      </w:r>
      <w:r w:rsidR="00B376B3" w:rsidRPr="003171CD">
        <w:rPr>
          <w:lang w:val="en-US"/>
        </w:rPr>
        <w:t>investigator</w:t>
      </w:r>
      <w:r w:rsidR="005A65CE" w:rsidRPr="003171CD">
        <w:rPr>
          <w:lang w:val="en-US"/>
        </w:rPr>
        <w:t xml:space="preserve"> </w:t>
      </w:r>
      <w:r w:rsidR="002A4CDC" w:rsidRPr="003171CD">
        <w:rPr>
          <w:lang w:val="en-US"/>
        </w:rPr>
        <w:t xml:space="preserve">be </w:t>
      </w:r>
      <w:r w:rsidR="009929AE" w:rsidRPr="003171CD">
        <w:rPr>
          <w:lang w:val="en-US"/>
        </w:rPr>
        <w:t>sent to the area where he lived to</w:t>
      </w:r>
      <w:r w:rsidR="005A65CE" w:rsidRPr="003171CD">
        <w:rPr>
          <w:lang w:val="en-US"/>
        </w:rPr>
        <w:t xml:space="preserve"> </w:t>
      </w:r>
      <w:r w:rsidR="00A06B65" w:rsidRPr="003171CD">
        <w:rPr>
          <w:lang w:val="en-US"/>
        </w:rPr>
        <w:t xml:space="preserve">confirm </w:t>
      </w:r>
      <w:r w:rsidR="001011A8" w:rsidRPr="003171CD">
        <w:rPr>
          <w:lang w:val="en-US"/>
        </w:rPr>
        <w:t xml:space="preserve">that </w:t>
      </w:r>
      <w:r w:rsidR="00901D36" w:rsidRPr="003171CD">
        <w:rPr>
          <w:lang w:val="en-US"/>
        </w:rPr>
        <w:t>h</w:t>
      </w:r>
      <w:r w:rsidR="00C72E8A" w:rsidRPr="003171CD">
        <w:rPr>
          <w:lang w:val="en-US"/>
        </w:rPr>
        <w:t xml:space="preserve">is brother was the one </w:t>
      </w:r>
      <w:r w:rsidR="00A06B65" w:rsidRPr="003171CD">
        <w:rPr>
          <w:lang w:val="en-US"/>
        </w:rPr>
        <w:t xml:space="preserve">known </w:t>
      </w:r>
      <w:r w:rsidR="00C72E8A" w:rsidRPr="003171CD">
        <w:rPr>
          <w:lang w:val="en-US"/>
        </w:rPr>
        <w:t xml:space="preserve">as </w:t>
      </w:r>
      <w:r w:rsidR="00A96DF3" w:rsidRPr="003171CD">
        <w:rPr>
          <w:i/>
          <w:lang w:val="en-US"/>
        </w:rPr>
        <w:t>Chopo</w:t>
      </w:r>
      <w:r w:rsidR="00C72E8A" w:rsidRPr="003171CD">
        <w:rPr>
          <w:lang w:val="en-US"/>
        </w:rPr>
        <w:t xml:space="preserve"> and not him.</w:t>
      </w:r>
      <w:r w:rsidR="00B376B3" w:rsidRPr="003171CD">
        <w:rPr>
          <w:lang w:val="en-US"/>
        </w:rPr>
        <w:t xml:space="preserve"> </w:t>
      </w:r>
      <w:r w:rsidR="00A06B65" w:rsidRPr="003171CD">
        <w:rPr>
          <w:lang w:val="en-US"/>
        </w:rPr>
        <w:t xml:space="preserve">Furthermore, </w:t>
      </w:r>
      <w:r w:rsidR="00C72E8A" w:rsidRPr="003171CD">
        <w:rPr>
          <w:rFonts w:cs="Arial"/>
          <w:lang w:val="en-US"/>
        </w:rPr>
        <w:t xml:space="preserve">Mr. </w:t>
      </w:r>
      <w:r w:rsidR="009951A8" w:rsidRPr="003171CD">
        <w:rPr>
          <w:lang w:val="en-US"/>
        </w:rPr>
        <w:t xml:space="preserve">Ruano Torres </w:t>
      </w:r>
      <w:r w:rsidR="00C72E8A" w:rsidRPr="003171CD">
        <w:rPr>
          <w:lang w:val="en-US"/>
        </w:rPr>
        <w:t xml:space="preserve">maintained </w:t>
      </w:r>
      <w:r w:rsidR="005A65CE" w:rsidRPr="003171CD">
        <w:rPr>
          <w:lang w:val="en-US"/>
        </w:rPr>
        <w:t xml:space="preserve">that </w:t>
      </w:r>
      <w:r w:rsidR="00C72E8A" w:rsidRPr="003171CD">
        <w:rPr>
          <w:lang w:val="en-US"/>
        </w:rPr>
        <w:t xml:space="preserve">the case file should be reviewed to confirm </w:t>
      </w:r>
      <w:r w:rsidR="005A65CE" w:rsidRPr="003171CD">
        <w:rPr>
          <w:lang w:val="en-US"/>
        </w:rPr>
        <w:t xml:space="preserve">that </w:t>
      </w:r>
      <w:r w:rsidR="009951A8" w:rsidRPr="003171CD">
        <w:rPr>
          <w:lang w:val="en-US"/>
        </w:rPr>
        <w:t xml:space="preserve">his name did not appear among those mentioned by Francisco </w:t>
      </w:r>
      <w:r w:rsidR="009951A8" w:rsidRPr="003171CD">
        <w:rPr>
          <w:rFonts w:cs="Arial"/>
          <w:lang w:val="en-US"/>
        </w:rPr>
        <w:t xml:space="preserve">Javier </w:t>
      </w:r>
      <w:r w:rsidR="009951A8" w:rsidRPr="003171CD">
        <w:rPr>
          <w:lang w:val="en-US"/>
        </w:rPr>
        <w:t>Amaya Villalta.</w:t>
      </w:r>
      <w:r w:rsidR="001011A8" w:rsidRPr="003171CD">
        <w:rPr>
          <w:rFonts w:cs="Arial"/>
          <w:lang w:val="en-US"/>
        </w:rPr>
        <w:t xml:space="preserve"> He </w:t>
      </w:r>
      <w:r w:rsidR="009951A8" w:rsidRPr="003171CD">
        <w:rPr>
          <w:rFonts w:cs="Arial"/>
          <w:lang w:val="en-US"/>
        </w:rPr>
        <w:t xml:space="preserve">also </w:t>
      </w:r>
      <w:r w:rsidR="00C72E8A" w:rsidRPr="003171CD">
        <w:rPr>
          <w:rFonts w:cs="Arial"/>
          <w:lang w:val="en-US"/>
        </w:rPr>
        <w:t xml:space="preserve">pointed out </w:t>
      </w:r>
      <w:r w:rsidR="001011A8" w:rsidRPr="003171CD">
        <w:rPr>
          <w:rFonts w:cs="Arial"/>
          <w:lang w:val="en-US"/>
        </w:rPr>
        <w:t xml:space="preserve">that </w:t>
      </w:r>
      <w:r w:rsidR="009951A8" w:rsidRPr="003171CD">
        <w:rPr>
          <w:rFonts w:cs="Arial"/>
          <w:lang w:val="en-US"/>
        </w:rPr>
        <w:t xml:space="preserve">even </w:t>
      </w:r>
      <w:r w:rsidR="001011A8" w:rsidRPr="003171CD">
        <w:rPr>
          <w:rFonts w:cs="Arial"/>
          <w:lang w:val="en-US"/>
        </w:rPr>
        <w:t xml:space="preserve">the </w:t>
      </w:r>
      <w:r w:rsidR="005A65CE" w:rsidRPr="003171CD">
        <w:rPr>
          <w:rFonts w:cs="Arial"/>
          <w:lang w:val="en-US"/>
        </w:rPr>
        <w:t>Court of First Instance of Tonacatepeque</w:t>
      </w:r>
      <w:r w:rsidR="009951A8" w:rsidRPr="003171CD">
        <w:rPr>
          <w:rFonts w:cs="Arial"/>
          <w:lang w:val="en-US"/>
        </w:rPr>
        <w:t>, when</w:t>
      </w:r>
      <w:r w:rsidR="005A65CE" w:rsidRPr="003171CD">
        <w:rPr>
          <w:rFonts w:cs="Arial"/>
          <w:lang w:val="en-US"/>
        </w:rPr>
        <w:t xml:space="preserve"> </w:t>
      </w:r>
      <w:r w:rsidR="001011A8" w:rsidRPr="003171CD">
        <w:rPr>
          <w:rFonts w:cs="Arial"/>
          <w:lang w:val="en-US"/>
        </w:rPr>
        <w:t xml:space="preserve">asked about this </w:t>
      </w:r>
      <w:r w:rsidR="005A65CE" w:rsidRPr="003171CD">
        <w:rPr>
          <w:rFonts w:cs="Arial"/>
          <w:lang w:val="en-US"/>
        </w:rPr>
        <w:t xml:space="preserve">situation, </w:t>
      </w:r>
      <w:r w:rsidR="00C72E8A" w:rsidRPr="003171CD">
        <w:rPr>
          <w:rFonts w:cs="Arial"/>
          <w:lang w:val="en-US"/>
        </w:rPr>
        <w:t xml:space="preserve">stated </w:t>
      </w:r>
      <w:r w:rsidR="001011A8" w:rsidRPr="003171CD">
        <w:rPr>
          <w:rFonts w:cs="Arial"/>
          <w:lang w:val="en-US"/>
        </w:rPr>
        <w:t>that “[</w:t>
      </w:r>
      <w:r w:rsidR="007A28C8" w:rsidRPr="003171CD">
        <w:rPr>
          <w:rFonts w:cs="Arial"/>
          <w:lang w:val="en-US"/>
        </w:rPr>
        <w:t>in</w:t>
      </w:r>
      <w:r w:rsidR="001011A8" w:rsidRPr="003171CD">
        <w:rPr>
          <w:rFonts w:cs="Arial"/>
          <w:lang w:val="en-US"/>
        </w:rPr>
        <w:t>]</w:t>
      </w:r>
      <w:r w:rsidR="00A60E36" w:rsidRPr="003171CD">
        <w:rPr>
          <w:rFonts w:cs="Arial"/>
          <w:lang w:val="en-US"/>
        </w:rPr>
        <w:t xml:space="preserve"> </w:t>
      </w:r>
      <w:r w:rsidR="007A28C8" w:rsidRPr="003171CD">
        <w:rPr>
          <w:rFonts w:cs="Arial"/>
          <w:lang w:val="en-US"/>
        </w:rPr>
        <w:t xml:space="preserve">any </w:t>
      </w:r>
      <w:r w:rsidR="00C72E8A" w:rsidRPr="003171CD">
        <w:rPr>
          <w:rFonts w:cs="Arial"/>
          <w:lang w:val="en-US"/>
        </w:rPr>
        <w:t>event</w:t>
      </w:r>
      <w:r w:rsidR="007A28C8" w:rsidRPr="003171CD">
        <w:rPr>
          <w:rFonts w:cs="Arial"/>
          <w:lang w:val="en-US"/>
        </w:rPr>
        <w:t xml:space="preserve">, </w:t>
      </w:r>
      <w:r w:rsidR="00A60E36" w:rsidRPr="003171CD">
        <w:rPr>
          <w:rFonts w:cs="Arial"/>
          <w:lang w:val="en-US"/>
        </w:rPr>
        <w:t xml:space="preserve">there is a </w:t>
      </w:r>
      <w:r w:rsidR="005A65CE" w:rsidRPr="003171CD">
        <w:rPr>
          <w:rFonts w:cs="Arial"/>
          <w:lang w:val="en-US"/>
        </w:rPr>
        <w:t xml:space="preserve">nickname </w:t>
      </w:r>
      <w:r w:rsidR="00A60E36" w:rsidRPr="003171CD">
        <w:rPr>
          <w:rFonts w:cs="Arial"/>
          <w:lang w:val="en-US"/>
        </w:rPr>
        <w:t xml:space="preserve">based on which </w:t>
      </w:r>
      <w:r w:rsidR="001011A8" w:rsidRPr="003171CD">
        <w:rPr>
          <w:rFonts w:cs="Arial"/>
          <w:lang w:val="en-US"/>
        </w:rPr>
        <w:t xml:space="preserve">he </w:t>
      </w:r>
      <w:r w:rsidR="002A4CDC" w:rsidRPr="003171CD">
        <w:rPr>
          <w:rFonts w:cs="Arial"/>
          <w:lang w:val="en-US"/>
        </w:rPr>
        <w:t xml:space="preserve">has been deprived of his </w:t>
      </w:r>
      <w:r w:rsidR="00E755FC" w:rsidRPr="003171CD">
        <w:rPr>
          <w:rFonts w:cs="Arial"/>
          <w:lang w:val="en-US"/>
        </w:rPr>
        <w:t>liberty</w:t>
      </w:r>
      <w:r w:rsidR="005A65CE" w:rsidRPr="003171CD">
        <w:rPr>
          <w:rFonts w:cs="Arial"/>
          <w:lang w:val="en-US"/>
        </w:rPr>
        <w:t xml:space="preserve"> and </w:t>
      </w:r>
      <w:r w:rsidR="002A4CDC" w:rsidRPr="003171CD">
        <w:rPr>
          <w:rFonts w:cs="Arial"/>
          <w:lang w:val="en-US"/>
        </w:rPr>
        <w:t xml:space="preserve">is being </w:t>
      </w:r>
      <w:r w:rsidR="00C72E8A" w:rsidRPr="003171CD">
        <w:rPr>
          <w:rFonts w:cs="Arial"/>
          <w:lang w:val="en-US"/>
        </w:rPr>
        <w:t>prosecuted</w:t>
      </w:r>
      <w:r w:rsidR="002A4CDC" w:rsidRPr="003171CD">
        <w:rPr>
          <w:rFonts w:cs="Arial"/>
          <w:lang w:val="en-US"/>
        </w:rPr>
        <w:t>.”</w:t>
      </w:r>
    </w:p>
    <w:p w14:paraId="270B699D" w14:textId="77777777" w:rsidR="005A65CE" w:rsidRPr="003171CD" w:rsidRDefault="005A65CE" w:rsidP="005A65CE">
      <w:pPr>
        <w:jc w:val="both"/>
        <w:rPr>
          <w:rFonts w:cs="Arial"/>
          <w:snapToGrid/>
          <w:lang w:val="en-US" w:eastAsia="en-US"/>
        </w:rPr>
      </w:pPr>
    </w:p>
    <w:p w14:paraId="7BDF70E4" w14:textId="77777777" w:rsidR="005A65CE" w:rsidRPr="003171CD" w:rsidRDefault="00394BC6" w:rsidP="005A65CE">
      <w:pPr>
        <w:pStyle w:val="Prrafodelista"/>
        <w:numPr>
          <w:ilvl w:val="0"/>
          <w:numId w:val="1"/>
        </w:numPr>
        <w:tabs>
          <w:tab w:val="left" w:pos="720"/>
          <w:tab w:val="num" w:pos="5057"/>
        </w:tabs>
        <w:ind w:right="-90"/>
        <w:jc w:val="both"/>
        <w:rPr>
          <w:rFonts w:cs="Arial"/>
          <w:lang w:val="en-US"/>
        </w:rPr>
      </w:pPr>
      <w:r w:rsidRPr="003171CD">
        <w:rPr>
          <w:rFonts w:cs="Arial"/>
          <w:lang w:val="en-US"/>
        </w:rPr>
        <w:lastRenderedPageBreak/>
        <w:t>O</w:t>
      </w:r>
      <w:r w:rsidR="00B376B3" w:rsidRPr="003171CD">
        <w:rPr>
          <w:rFonts w:cs="Arial"/>
          <w:lang w:val="en-US"/>
        </w:rPr>
        <w:t xml:space="preserve">n March </w:t>
      </w:r>
      <w:r w:rsidR="00B376B3" w:rsidRPr="003171CD">
        <w:rPr>
          <w:lang w:val="en-US"/>
        </w:rPr>
        <w:t>14,</w:t>
      </w:r>
      <w:r w:rsidR="00B376B3" w:rsidRPr="003171CD">
        <w:rPr>
          <w:rFonts w:cs="Arial"/>
          <w:lang w:val="en-US"/>
        </w:rPr>
        <w:t xml:space="preserve"> 2001, </w:t>
      </w:r>
      <w:r w:rsidR="00EB04ED" w:rsidRPr="003171CD">
        <w:rPr>
          <w:rFonts w:cs="Arial"/>
          <w:lang w:val="en-US"/>
        </w:rPr>
        <w:t xml:space="preserve">Mr. </w:t>
      </w:r>
      <w:r w:rsidR="00523B89" w:rsidRPr="003171CD">
        <w:rPr>
          <w:rFonts w:cs="Arial"/>
          <w:lang w:val="en-US"/>
        </w:rPr>
        <w:t xml:space="preserve">Pedro </w:t>
      </w:r>
      <w:r w:rsidRPr="003171CD">
        <w:rPr>
          <w:rFonts w:cs="Arial"/>
          <w:lang w:val="en-US"/>
        </w:rPr>
        <w:t xml:space="preserve">Torres Hércules submitted a brief to the President of the Supreme Court of Justice </w:t>
      </w:r>
      <w:r w:rsidR="00B376B3" w:rsidRPr="003171CD">
        <w:rPr>
          <w:rFonts w:cs="Arial"/>
          <w:lang w:val="en-US"/>
        </w:rPr>
        <w:t>requesting that</w:t>
      </w:r>
      <w:r w:rsidRPr="003171CD">
        <w:rPr>
          <w:rFonts w:cs="Arial"/>
          <w:lang w:val="en-US"/>
        </w:rPr>
        <w:t xml:space="preserve">, due to the lack of response to the </w:t>
      </w:r>
      <w:r w:rsidRPr="003171CD">
        <w:rPr>
          <w:rFonts w:cs="Arial"/>
          <w:i/>
          <w:lang w:val="en-US"/>
        </w:rPr>
        <w:t>habeas corpus</w:t>
      </w:r>
      <w:r w:rsidRPr="003171CD">
        <w:rPr>
          <w:rFonts w:cs="Arial"/>
          <w:lang w:val="en-US"/>
        </w:rPr>
        <w:t xml:space="preserve"> </w:t>
      </w:r>
      <w:r w:rsidR="00EB04ED" w:rsidRPr="003171CD">
        <w:rPr>
          <w:rFonts w:cs="Arial"/>
          <w:lang w:val="en-US"/>
        </w:rPr>
        <w:t xml:space="preserve">petition </w:t>
      </w:r>
      <w:r w:rsidRPr="003171CD">
        <w:rPr>
          <w:rFonts w:cs="Arial"/>
          <w:lang w:val="en-US"/>
        </w:rPr>
        <w:t>lodged with the Constitutional Chamber on December 7, 2000, (</w:t>
      </w:r>
      <w:r w:rsidRPr="003171CD">
        <w:rPr>
          <w:rFonts w:cs="Arial"/>
          <w:i/>
          <w:lang w:val="en-US"/>
        </w:rPr>
        <w:t xml:space="preserve">supra </w:t>
      </w:r>
      <w:r w:rsidRPr="003171CD">
        <w:rPr>
          <w:rFonts w:cs="Arial"/>
          <w:lang w:val="en-US"/>
        </w:rPr>
        <w:t xml:space="preserve">para. 106) </w:t>
      </w:r>
      <w:r w:rsidR="005A65CE" w:rsidRPr="003171CD">
        <w:rPr>
          <w:rFonts w:cs="Arial"/>
          <w:lang w:val="en-US"/>
        </w:rPr>
        <w:t xml:space="preserve">a hearing </w:t>
      </w:r>
      <w:r w:rsidR="00523B89" w:rsidRPr="003171CD">
        <w:rPr>
          <w:rFonts w:cs="Arial"/>
          <w:lang w:val="en-US"/>
        </w:rPr>
        <w:t xml:space="preserve">be scheduled </w:t>
      </w:r>
      <w:r w:rsidRPr="003171CD">
        <w:rPr>
          <w:rFonts w:cs="Arial"/>
          <w:lang w:val="en-US"/>
        </w:rPr>
        <w:t xml:space="preserve">with </w:t>
      </w:r>
      <w:r w:rsidR="005A65CE" w:rsidRPr="003171CD">
        <w:rPr>
          <w:rFonts w:cs="Arial"/>
          <w:lang w:val="en-US"/>
        </w:rPr>
        <w:t xml:space="preserve">the </w:t>
      </w:r>
      <w:r w:rsidR="00940256" w:rsidRPr="003171CD">
        <w:rPr>
          <w:rFonts w:cs="Arial"/>
          <w:lang w:val="en-US"/>
        </w:rPr>
        <w:t>prosecutor</w:t>
      </w:r>
      <w:r w:rsidRPr="003171CD">
        <w:rPr>
          <w:rFonts w:cs="Arial"/>
          <w:lang w:val="en-US"/>
        </w:rPr>
        <w:t xml:space="preserve"> in</w:t>
      </w:r>
      <w:r w:rsidR="00B376B3" w:rsidRPr="003171CD">
        <w:rPr>
          <w:rFonts w:cs="Arial"/>
          <w:lang w:val="en-US"/>
        </w:rPr>
        <w:t xml:space="preserve"> </w:t>
      </w:r>
      <w:r w:rsidR="005A65CE" w:rsidRPr="003171CD">
        <w:rPr>
          <w:rFonts w:cs="Arial"/>
          <w:lang w:val="en-US"/>
        </w:rPr>
        <w:t xml:space="preserve">the case, </w:t>
      </w:r>
      <w:r w:rsidR="00EB04ED" w:rsidRPr="003171CD">
        <w:rPr>
          <w:rFonts w:cs="Arial"/>
          <w:lang w:val="en-US"/>
        </w:rPr>
        <w:t xml:space="preserve">as well as </w:t>
      </w:r>
      <w:r w:rsidR="005A65CE" w:rsidRPr="003171CD">
        <w:rPr>
          <w:rFonts w:cs="Arial"/>
          <w:lang w:val="en-US"/>
        </w:rPr>
        <w:t xml:space="preserve">Mr. Rodríguez Marroquín, Mr. Amaya Villalta and a </w:t>
      </w:r>
      <w:r w:rsidR="00B376B3" w:rsidRPr="003171CD">
        <w:rPr>
          <w:rFonts w:cs="Arial"/>
          <w:lang w:val="en-US"/>
        </w:rPr>
        <w:t>number of witnesse</w:t>
      </w:r>
      <w:r w:rsidR="002E679E" w:rsidRPr="003171CD">
        <w:rPr>
          <w:rFonts w:cs="Arial"/>
          <w:lang w:val="en-US"/>
        </w:rPr>
        <w:t>s</w:t>
      </w:r>
      <w:r w:rsidRPr="003171CD">
        <w:rPr>
          <w:rFonts w:cs="Arial"/>
          <w:lang w:val="en-US"/>
        </w:rPr>
        <w:t xml:space="preserve">. The purpose of this hearing would be to prove </w:t>
      </w:r>
      <w:r w:rsidR="005A65CE" w:rsidRPr="003171CD">
        <w:rPr>
          <w:rFonts w:cs="Arial"/>
          <w:lang w:val="en-US"/>
        </w:rPr>
        <w:t xml:space="preserve">that Mr. Ruano Torres was not </w:t>
      </w:r>
      <w:r w:rsidR="00A96DF3" w:rsidRPr="003171CD">
        <w:rPr>
          <w:rFonts w:cs="Arial"/>
          <w:i/>
          <w:lang w:val="en-US"/>
        </w:rPr>
        <w:t>Chopo</w:t>
      </w:r>
      <w:r w:rsidR="005A65CE" w:rsidRPr="003171CD">
        <w:rPr>
          <w:rFonts w:cs="Arial"/>
          <w:lang w:val="en-US"/>
        </w:rPr>
        <w:t xml:space="preserve"> and, </w:t>
      </w:r>
      <w:r w:rsidRPr="003171CD">
        <w:rPr>
          <w:rFonts w:cs="Arial"/>
          <w:lang w:val="en-US"/>
        </w:rPr>
        <w:t>therefore</w:t>
      </w:r>
      <w:r w:rsidR="005A65CE" w:rsidRPr="003171CD">
        <w:rPr>
          <w:rFonts w:cs="Arial"/>
          <w:lang w:val="en-US"/>
        </w:rPr>
        <w:t xml:space="preserve">, </w:t>
      </w:r>
      <w:r w:rsidRPr="003171CD">
        <w:rPr>
          <w:rFonts w:cs="Arial"/>
          <w:lang w:val="en-US"/>
        </w:rPr>
        <w:t xml:space="preserve">that he </w:t>
      </w:r>
      <w:r w:rsidR="005A65CE" w:rsidRPr="003171CD">
        <w:rPr>
          <w:rFonts w:cs="Arial"/>
          <w:lang w:val="en-US"/>
        </w:rPr>
        <w:t xml:space="preserve">did not </w:t>
      </w:r>
      <w:r w:rsidRPr="003171CD">
        <w:rPr>
          <w:rFonts w:cs="Arial"/>
          <w:lang w:val="en-US"/>
        </w:rPr>
        <w:t xml:space="preserve">take </w:t>
      </w:r>
      <w:r w:rsidR="005A65CE" w:rsidRPr="003171CD">
        <w:rPr>
          <w:rFonts w:cs="Arial"/>
          <w:lang w:val="en-US"/>
        </w:rPr>
        <w:t>part in the kidnapping.</w:t>
      </w:r>
      <w:r w:rsidR="005A65CE" w:rsidRPr="003171CD">
        <w:rPr>
          <w:vertAlign w:val="superscript"/>
          <w:lang w:val="en-US"/>
        </w:rPr>
        <w:footnoteReference w:id="160"/>
      </w:r>
      <w:r w:rsidR="005A65CE" w:rsidRPr="003171CD">
        <w:rPr>
          <w:rFonts w:cs="Arial"/>
          <w:lang w:val="en-US"/>
        </w:rPr>
        <w:t xml:space="preserve"> He also indicated that “the defense </w:t>
      </w:r>
      <w:r w:rsidR="00B376B3" w:rsidRPr="003171CD">
        <w:rPr>
          <w:rFonts w:cs="Arial"/>
          <w:lang w:val="en-US"/>
        </w:rPr>
        <w:t>has been unwilling to do its work and instead has</w:t>
      </w:r>
      <w:r w:rsidR="005A65CE" w:rsidRPr="003171CD">
        <w:rPr>
          <w:rFonts w:cs="Arial"/>
          <w:lang w:val="en-US"/>
        </w:rPr>
        <w:t xml:space="preserve"> </w:t>
      </w:r>
      <w:r w:rsidRPr="003171CD">
        <w:rPr>
          <w:rFonts w:cs="Arial"/>
          <w:lang w:val="en-US"/>
        </w:rPr>
        <w:t>a</w:t>
      </w:r>
      <w:r w:rsidR="00EB04ED" w:rsidRPr="003171CD">
        <w:rPr>
          <w:rFonts w:cs="Arial"/>
          <w:lang w:val="en-US"/>
        </w:rPr>
        <w:t xml:space="preserve">dopted </w:t>
      </w:r>
      <w:r w:rsidR="005A65CE" w:rsidRPr="003171CD">
        <w:rPr>
          <w:rFonts w:cs="Arial"/>
          <w:lang w:val="en-US"/>
        </w:rPr>
        <w:t>a submissive posture to</w:t>
      </w:r>
      <w:r w:rsidR="00523B89" w:rsidRPr="003171CD">
        <w:rPr>
          <w:rFonts w:cs="Arial"/>
          <w:lang w:val="en-US"/>
        </w:rPr>
        <w:t>ward</w:t>
      </w:r>
      <w:r w:rsidR="005A65CE" w:rsidRPr="003171CD">
        <w:rPr>
          <w:rFonts w:cs="Arial"/>
          <w:lang w:val="en-US"/>
        </w:rPr>
        <w:t xml:space="preserve"> the Office of the Attorney General</w:t>
      </w:r>
      <w:r w:rsidR="007A28C8" w:rsidRPr="003171CD">
        <w:rPr>
          <w:rFonts w:cs="Arial"/>
          <w:lang w:val="en-US"/>
        </w:rPr>
        <w:t>.</w:t>
      </w:r>
      <w:r w:rsidR="005A65CE" w:rsidRPr="003171CD">
        <w:rPr>
          <w:rFonts w:cs="Arial"/>
          <w:lang w:val="en-US"/>
        </w:rPr>
        <w:t>”</w:t>
      </w:r>
      <w:r w:rsidR="005A65CE" w:rsidRPr="003171CD">
        <w:rPr>
          <w:vertAlign w:val="superscript"/>
          <w:lang w:val="en-US"/>
        </w:rPr>
        <w:footnoteReference w:id="161"/>
      </w:r>
    </w:p>
    <w:p w14:paraId="45FAD842" w14:textId="77777777" w:rsidR="005A65CE" w:rsidRPr="003171CD" w:rsidRDefault="005A65CE" w:rsidP="005A65CE">
      <w:pPr>
        <w:jc w:val="both"/>
        <w:rPr>
          <w:rFonts w:cs="Arial"/>
          <w:snapToGrid/>
          <w:lang w:val="en-US" w:eastAsia="en-US"/>
        </w:rPr>
      </w:pPr>
    </w:p>
    <w:p w14:paraId="43473883"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June 8, 2001, Pedro Torres Hércules </w:t>
      </w:r>
      <w:r w:rsidR="0060023F" w:rsidRPr="003171CD">
        <w:rPr>
          <w:rFonts w:cs="Arial"/>
          <w:lang w:val="en-US"/>
        </w:rPr>
        <w:t xml:space="preserve">filed </w:t>
      </w:r>
      <w:r w:rsidR="002A4CDC" w:rsidRPr="003171CD">
        <w:rPr>
          <w:rFonts w:cs="Arial"/>
          <w:lang w:val="en-US"/>
        </w:rPr>
        <w:t>a</w:t>
      </w:r>
      <w:r w:rsidR="0018294B" w:rsidRPr="003171CD">
        <w:rPr>
          <w:rFonts w:cs="Arial"/>
          <w:lang w:val="en-US"/>
        </w:rPr>
        <w:t xml:space="preserve"> new </w:t>
      </w:r>
      <w:r w:rsidR="0060023F" w:rsidRPr="003171CD">
        <w:rPr>
          <w:rFonts w:cs="Arial"/>
          <w:lang w:val="en-US"/>
        </w:rPr>
        <w:t>petition for an</w:t>
      </w:r>
      <w:r w:rsidR="002A4CDC" w:rsidRPr="003171CD">
        <w:rPr>
          <w:rFonts w:cs="Arial"/>
          <w:lang w:val="en-US"/>
        </w:rPr>
        <w:t xml:space="preserve"> extension of </w:t>
      </w:r>
      <w:r w:rsidRPr="003171CD">
        <w:rPr>
          <w:rFonts w:cs="Arial"/>
          <w:i/>
          <w:lang w:val="en-US"/>
        </w:rPr>
        <w:t xml:space="preserve">habeas </w:t>
      </w:r>
      <w:r w:rsidR="00722645" w:rsidRPr="003171CD">
        <w:rPr>
          <w:rFonts w:cs="Arial"/>
          <w:i/>
          <w:lang w:val="en-US"/>
        </w:rPr>
        <w:t>corpus</w:t>
      </w:r>
      <w:r w:rsidR="00722645" w:rsidRPr="003171CD">
        <w:rPr>
          <w:rFonts w:cs="Arial"/>
          <w:lang w:val="en-US"/>
        </w:rPr>
        <w:t xml:space="preserve"> </w:t>
      </w:r>
      <w:r w:rsidR="002A4CDC" w:rsidRPr="003171CD">
        <w:rPr>
          <w:rFonts w:cs="Arial"/>
          <w:lang w:val="en-US"/>
        </w:rPr>
        <w:t xml:space="preserve">with </w:t>
      </w:r>
      <w:r w:rsidRPr="003171CD">
        <w:rPr>
          <w:rFonts w:cs="Arial"/>
          <w:lang w:val="en-US"/>
        </w:rPr>
        <w:t>the Constitutiona</w:t>
      </w:r>
      <w:r w:rsidR="002A4CDC" w:rsidRPr="003171CD">
        <w:rPr>
          <w:rFonts w:cs="Arial"/>
          <w:lang w:val="en-US"/>
        </w:rPr>
        <w:t xml:space="preserve">l Chamber of the Supreme Court </w:t>
      </w:r>
      <w:r w:rsidRPr="003171CD">
        <w:rPr>
          <w:rFonts w:cs="Arial"/>
          <w:lang w:val="en-US"/>
        </w:rPr>
        <w:t>of Justice</w:t>
      </w:r>
      <w:r w:rsidR="0018294B" w:rsidRPr="003171CD">
        <w:rPr>
          <w:rFonts w:cs="Arial"/>
          <w:lang w:val="en-US"/>
        </w:rPr>
        <w:t>.</w:t>
      </w:r>
      <w:r w:rsidRPr="003171CD">
        <w:rPr>
          <w:rFonts w:cs="Arial"/>
          <w:lang w:val="en-US"/>
        </w:rPr>
        <w:t xml:space="preserve"> </w:t>
      </w:r>
      <w:r w:rsidR="0018294B" w:rsidRPr="003171CD">
        <w:rPr>
          <w:rFonts w:cs="Arial"/>
          <w:lang w:val="en-US"/>
        </w:rPr>
        <w:t xml:space="preserve">He </w:t>
      </w:r>
      <w:r w:rsidR="002A4CDC" w:rsidRPr="003171CD">
        <w:rPr>
          <w:rFonts w:cs="Arial"/>
          <w:lang w:val="en-US"/>
        </w:rPr>
        <w:t>stat</w:t>
      </w:r>
      <w:r w:rsidR="0018294B" w:rsidRPr="003171CD">
        <w:rPr>
          <w:rFonts w:cs="Arial"/>
          <w:lang w:val="en-US"/>
        </w:rPr>
        <w:t xml:space="preserve">ed </w:t>
      </w:r>
      <w:r w:rsidRPr="003171CD">
        <w:rPr>
          <w:rFonts w:cs="Arial"/>
          <w:lang w:val="en-US"/>
        </w:rPr>
        <w:t>that</w:t>
      </w:r>
      <w:r w:rsidR="0018294B" w:rsidRPr="003171CD">
        <w:rPr>
          <w:rFonts w:cs="Arial"/>
          <w:lang w:val="en-US"/>
        </w:rPr>
        <w:t>, to</w:t>
      </w:r>
      <w:r w:rsidRPr="003171CD">
        <w:rPr>
          <w:rFonts w:cs="Arial"/>
          <w:lang w:val="en-US"/>
        </w:rPr>
        <w:t xml:space="preserve"> </w:t>
      </w:r>
      <w:r w:rsidR="00B376B3" w:rsidRPr="003171CD">
        <w:rPr>
          <w:rFonts w:cs="Arial"/>
          <w:lang w:val="en-US"/>
        </w:rPr>
        <w:t>date</w:t>
      </w:r>
      <w:r w:rsidR="0018294B" w:rsidRPr="003171CD">
        <w:rPr>
          <w:rFonts w:cs="Arial"/>
          <w:lang w:val="en-US"/>
        </w:rPr>
        <w:t>,</w:t>
      </w:r>
      <w:r w:rsidR="00B376B3" w:rsidRPr="003171CD">
        <w:rPr>
          <w:rFonts w:cs="Arial"/>
          <w:lang w:val="en-US"/>
        </w:rPr>
        <w:t xml:space="preserve"> </w:t>
      </w:r>
      <w:r w:rsidR="00EB04ED" w:rsidRPr="003171CD">
        <w:rPr>
          <w:rFonts w:cs="Arial"/>
          <w:lang w:val="en-US"/>
        </w:rPr>
        <w:t>the C</w:t>
      </w:r>
      <w:r w:rsidR="0018294B" w:rsidRPr="003171CD">
        <w:rPr>
          <w:rFonts w:cs="Arial"/>
          <w:lang w:val="en-US"/>
        </w:rPr>
        <w:t>ourt had not ruled on the matter and</w:t>
      </w:r>
      <w:r w:rsidRPr="003171CD">
        <w:rPr>
          <w:rFonts w:cs="Arial"/>
          <w:lang w:val="en-US"/>
        </w:rPr>
        <w:t xml:space="preserve"> reiterated the omissions and errors committed by the police </w:t>
      </w:r>
      <w:r w:rsidR="00EB04ED" w:rsidRPr="003171CD">
        <w:rPr>
          <w:rFonts w:cs="Arial"/>
          <w:lang w:val="en-US"/>
        </w:rPr>
        <w:t xml:space="preserve">officers </w:t>
      </w:r>
      <w:r w:rsidR="0018294B" w:rsidRPr="003171CD">
        <w:rPr>
          <w:rFonts w:cs="Arial"/>
          <w:lang w:val="en-US"/>
        </w:rPr>
        <w:t xml:space="preserve">in identifying </w:t>
      </w:r>
      <w:r w:rsidRPr="003171CD">
        <w:rPr>
          <w:rFonts w:cs="Arial"/>
          <w:lang w:val="en-US"/>
        </w:rPr>
        <w:t xml:space="preserve">Ruano Torres as </w:t>
      </w:r>
      <w:r w:rsidR="00A96DF3" w:rsidRPr="003171CD">
        <w:rPr>
          <w:rFonts w:cs="Arial"/>
          <w:i/>
          <w:lang w:val="en-US"/>
        </w:rPr>
        <w:t>Chopo</w:t>
      </w:r>
      <w:r w:rsidRPr="003171CD">
        <w:rPr>
          <w:rFonts w:cs="Arial"/>
          <w:lang w:val="en-US"/>
        </w:rPr>
        <w:t xml:space="preserve">, the acts of torture and mistreatment </w:t>
      </w:r>
      <w:r w:rsidR="00C07C2A" w:rsidRPr="003171CD">
        <w:rPr>
          <w:rFonts w:cs="Arial"/>
          <w:lang w:val="en-US"/>
        </w:rPr>
        <w:t xml:space="preserve">inflicted upon him </w:t>
      </w:r>
      <w:r w:rsidRPr="003171CD">
        <w:rPr>
          <w:rFonts w:cs="Arial"/>
          <w:lang w:val="en-US"/>
        </w:rPr>
        <w:t xml:space="preserve">during his arrest, and the alleged fraud </w:t>
      </w:r>
      <w:r w:rsidR="00C07C2A" w:rsidRPr="003171CD">
        <w:rPr>
          <w:rFonts w:cs="Arial"/>
          <w:lang w:val="en-US"/>
        </w:rPr>
        <w:t xml:space="preserve">committed </w:t>
      </w:r>
      <w:r w:rsidR="00EB04ED" w:rsidRPr="003171CD">
        <w:rPr>
          <w:rFonts w:cs="Arial"/>
          <w:lang w:val="en-US"/>
        </w:rPr>
        <w:t xml:space="preserve">during </w:t>
      </w:r>
      <w:r w:rsidRPr="003171CD">
        <w:rPr>
          <w:rFonts w:cs="Arial"/>
          <w:lang w:val="en-US"/>
        </w:rPr>
        <w:t>the identity parade.</w:t>
      </w:r>
      <w:r w:rsidRPr="003171CD">
        <w:rPr>
          <w:vertAlign w:val="superscript"/>
          <w:lang w:val="en-US"/>
        </w:rPr>
        <w:footnoteReference w:id="162"/>
      </w:r>
    </w:p>
    <w:p w14:paraId="1E4FDFF2" w14:textId="77777777" w:rsidR="005A65CE" w:rsidRPr="003171CD" w:rsidRDefault="005A65CE" w:rsidP="005A65CE">
      <w:pPr>
        <w:jc w:val="both"/>
        <w:rPr>
          <w:rFonts w:cs="Arial"/>
          <w:snapToGrid/>
          <w:lang w:val="en-US" w:eastAsia="en-US"/>
        </w:rPr>
      </w:pPr>
    </w:p>
    <w:p w14:paraId="794EFF08" w14:textId="77777777" w:rsidR="005A65CE" w:rsidRPr="003171CD" w:rsidRDefault="005A65CE" w:rsidP="005A65CE">
      <w:pPr>
        <w:pStyle w:val="Prrafodelista"/>
        <w:numPr>
          <w:ilvl w:val="0"/>
          <w:numId w:val="1"/>
        </w:numPr>
        <w:tabs>
          <w:tab w:val="left" w:pos="720"/>
          <w:tab w:val="num" w:pos="5057"/>
        </w:tabs>
        <w:ind w:right="-90"/>
        <w:jc w:val="both"/>
        <w:rPr>
          <w:lang w:val="en-US"/>
        </w:rPr>
      </w:pPr>
      <w:r w:rsidRPr="003171CD">
        <w:rPr>
          <w:rFonts w:cs="Arial"/>
          <w:lang w:val="en-US"/>
        </w:rPr>
        <w:t xml:space="preserve">On August 7, 2001, the Constitutional Chamber of the Supreme Court of Justice </w:t>
      </w:r>
      <w:r w:rsidR="00B376B3" w:rsidRPr="003171CD">
        <w:rPr>
          <w:rFonts w:cs="Arial"/>
          <w:lang w:val="en-US"/>
        </w:rPr>
        <w:t xml:space="preserve">ruled on </w:t>
      </w:r>
      <w:r w:rsidRPr="003171CD">
        <w:rPr>
          <w:rFonts w:cs="Arial"/>
          <w:lang w:val="en-US"/>
        </w:rPr>
        <w:t xml:space="preserve">the </w:t>
      </w:r>
      <w:r w:rsidR="002B25B7" w:rsidRPr="003171CD">
        <w:rPr>
          <w:rFonts w:cs="Arial"/>
          <w:lang w:val="en-US"/>
        </w:rPr>
        <w:t xml:space="preserve">petition for </w:t>
      </w:r>
      <w:r w:rsidRPr="003171CD">
        <w:rPr>
          <w:rFonts w:cs="Arial"/>
          <w:i/>
          <w:lang w:val="en-US"/>
        </w:rPr>
        <w:t>habeas corpus</w:t>
      </w:r>
      <w:r w:rsidR="00C07C2A" w:rsidRPr="003171CD">
        <w:rPr>
          <w:rFonts w:cs="Arial"/>
          <w:lang w:val="en-US"/>
        </w:rPr>
        <w:t xml:space="preserve"> </w:t>
      </w:r>
      <w:r w:rsidRPr="003171CD">
        <w:rPr>
          <w:rFonts w:cs="Arial"/>
          <w:lang w:val="en-US"/>
        </w:rPr>
        <w:t>and decided t</w:t>
      </w:r>
      <w:r w:rsidR="00C07C2A" w:rsidRPr="003171CD">
        <w:rPr>
          <w:rFonts w:cs="Arial"/>
          <w:lang w:val="en-US"/>
        </w:rPr>
        <w:t xml:space="preserve">hat </w:t>
      </w:r>
      <w:r w:rsidRPr="003171CD">
        <w:rPr>
          <w:rFonts w:cs="Arial"/>
          <w:lang w:val="en-US"/>
        </w:rPr>
        <w:t xml:space="preserve">Mr. Ruano Torres </w:t>
      </w:r>
      <w:r w:rsidR="00C07C2A" w:rsidRPr="003171CD">
        <w:rPr>
          <w:rFonts w:cs="Arial"/>
          <w:lang w:val="en-US"/>
        </w:rPr>
        <w:t xml:space="preserve">should remain in custody </w:t>
      </w:r>
      <w:r w:rsidRPr="003171CD">
        <w:rPr>
          <w:rFonts w:cs="Arial"/>
          <w:lang w:val="en-US"/>
        </w:rPr>
        <w:t>and th</w:t>
      </w:r>
      <w:r w:rsidR="002B25B7" w:rsidRPr="003171CD">
        <w:rPr>
          <w:rFonts w:cs="Arial"/>
          <w:lang w:val="en-US"/>
        </w:rPr>
        <w:t>at th</w:t>
      </w:r>
      <w:r w:rsidRPr="003171CD">
        <w:rPr>
          <w:rFonts w:cs="Arial"/>
          <w:lang w:val="en-US"/>
        </w:rPr>
        <w:t xml:space="preserve">e </w:t>
      </w:r>
      <w:r w:rsidR="00B376B3" w:rsidRPr="003171CD">
        <w:rPr>
          <w:rFonts w:cs="Arial"/>
          <w:lang w:val="en-US"/>
        </w:rPr>
        <w:t xml:space="preserve">criminal </w:t>
      </w:r>
      <w:r w:rsidR="00A05C23" w:rsidRPr="003171CD">
        <w:rPr>
          <w:rFonts w:cs="Arial"/>
          <w:lang w:val="en-US"/>
        </w:rPr>
        <w:t xml:space="preserve">case </w:t>
      </w:r>
      <w:r w:rsidR="00F7344E" w:rsidRPr="003171CD">
        <w:rPr>
          <w:rFonts w:cs="Arial"/>
          <w:lang w:val="en-US"/>
        </w:rPr>
        <w:t xml:space="preserve">should </w:t>
      </w:r>
      <w:r w:rsidR="00C72E8A" w:rsidRPr="003171CD">
        <w:rPr>
          <w:rFonts w:cs="Arial"/>
          <w:lang w:val="en-US"/>
        </w:rPr>
        <w:t>continue its course</w:t>
      </w:r>
      <w:r w:rsidR="00B376B3" w:rsidRPr="003171CD">
        <w:rPr>
          <w:rFonts w:cs="Arial"/>
          <w:lang w:val="en-US"/>
        </w:rPr>
        <w:t>.</w:t>
      </w:r>
      <w:r w:rsidRPr="003171CD">
        <w:rPr>
          <w:vertAlign w:val="superscript"/>
          <w:lang w:val="en-US"/>
        </w:rPr>
        <w:footnoteReference w:id="163"/>
      </w:r>
      <w:r w:rsidRPr="003171CD">
        <w:rPr>
          <w:rFonts w:cs="Arial"/>
          <w:lang w:val="en-US"/>
        </w:rPr>
        <w:t xml:space="preserve"> </w:t>
      </w:r>
      <w:r w:rsidR="002D32B1" w:rsidRPr="003171CD">
        <w:rPr>
          <w:rFonts w:cs="Arial"/>
          <w:lang w:val="en-US"/>
        </w:rPr>
        <w:t>The C</w:t>
      </w:r>
      <w:r w:rsidR="00C07C2A" w:rsidRPr="003171CD">
        <w:rPr>
          <w:rFonts w:cs="Arial"/>
          <w:lang w:val="en-US"/>
        </w:rPr>
        <w:t xml:space="preserve">ourt stated that </w:t>
      </w:r>
      <w:r w:rsidRPr="003171CD">
        <w:rPr>
          <w:rFonts w:cs="Arial"/>
          <w:lang w:val="en-US"/>
        </w:rPr>
        <w:t>pr</w:t>
      </w:r>
      <w:r w:rsidR="00B376B3" w:rsidRPr="003171CD">
        <w:rPr>
          <w:rFonts w:cs="Arial"/>
          <w:lang w:val="en-US"/>
        </w:rPr>
        <w:t xml:space="preserve">ior to </w:t>
      </w:r>
      <w:r w:rsidR="00C07C2A" w:rsidRPr="003171CD">
        <w:rPr>
          <w:rFonts w:cs="Arial"/>
          <w:lang w:val="en-US"/>
        </w:rPr>
        <w:t xml:space="preserve">Mr. Ruano Torres’ </w:t>
      </w:r>
      <w:r w:rsidRPr="003171CD">
        <w:rPr>
          <w:rFonts w:cs="Arial"/>
          <w:lang w:val="en-US"/>
        </w:rPr>
        <w:t>detention, “</w:t>
      </w:r>
      <w:r w:rsidR="00C07C2A" w:rsidRPr="003171CD">
        <w:rPr>
          <w:rFonts w:cs="Arial"/>
          <w:lang w:val="en-US"/>
        </w:rPr>
        <w:t xml:space="preserve">the identities of the accused were determined as a result of a properly conducted investigation </w:t>
      </w:r>
      <w:r w:rsidRPr="003171CD">
        <w:rPr>
          <w:lang w:val="en-US"/>
        </w:rPr>
        <w:t xml:space="preserve">[…] </w:t>
      </w:r>
      <w:r w:rsidR="00C07C2A" w:rsidRPr="003171CD">
        <w:rPr>
          <w:lang w:val="en-US"/>
        </w:rPr>
        <w:t xml:space="preserve">based on </w:t>
      </w:r>
      <w:r w:rsidRPr="003171CD">
        <w:rPr>
          <w:lang w:val="en-US"/>
        </w:rPr>
        <w:t xml:space="preserve">information obtained </w:t>
      </w:r>
      <w:r w:rsidR="00C07C2A" w:rsidRPr="003171CD">
        <w:rPr>
          <w:lang w:val="en-US"/>
        </w:rPr>
        <w:t>from the general public</w:t>
      </w:r>
      <w:r w:rsidRPr="003171CD">
        <w:rPr>
          <w:lang w:val="en-US"/>
        </w:rPr>
        <w:t>.”</w:t>
      </w:r>
      <w:r w:rsidRPr="003171CD">
        <w:rPr>
          <w:vertAlign w:val="superscript"/>
          <w:lang w:val="en-US"/>
        </w:rPr>
        <w:footnoteReference w:id="164"/>
      </w:r>
      <w:r w:rsidRPr="003171CD">
        <w:rPr>
          <w:lang w:val="en-US"/>
        </w:rPr>
        <w:t xml:space="preserve"> </w:t>
      </w:r>
      <w:r w:rsidR="00A05C23" w:rsidRPr="003171CD">
        <w:rPr>
          <w:lang w:val="en-US"/>
        </w:rPr>
        <w:t xml:space="preserve">As </w:t>
      </w:r>
      <w:r w:rsidR="00C07C2A" w:rsidRPr="003171CD">
        <w:rPr>
          <w:lang w:val="en-US"/>
        </w:rPr>
        <w:t xml:space="preserve">to </w:t>
      </w:r>
      <w:r w:rsidRPr="003171CD">
        <w:rPr>
          <w:lang w:val="en-US"/>
        </w:rPr>
        <w:t xml:space="preserve">the allegations of torture and mistreatment inflicted </w:t>
      </w:r>
      <w:r w:rsidR="00C07C2A" w:rsidRPr="003171CD">
        <w:rPr>
          <w:lang w:val="en-US"/>
        </w:rPr>
        <w:t>on Mr. Ruano Torres during his</w:t>
      </w:r>
      <w:r w:rsidRPr="003171CD">
        <w:rPr>
          <w:lang w:val="en-US"/>
        </w:rPr>
        <w:t xml:space="preserve"> </w:t>
      </w:r>
      <w:r w:rsidR="002B25B7" w:rsidRPr="003171CD">
        <w:rPr>
          <w:lang w:val="en-US"/>
        </w:rPr>
        <w:t>arrest</w:t>
      </w:r>
      <w:r w:rsidRPr="003171CD">
        <w:rPr>
          <w:lang w:val="en-US"/>
        </w:rPr>
        <w:t>, the Constit</w:t>
      </w:r>
      <w:r w:rsidR="00C07C2A" w:rsidRPr="003171CD">
        <w:rPr>
          <w:lang w:val="en-US"/>
        </w:rPr>
        <w:t>utional Chamber considered that</w:t>
      </w:r>
      <w:r w:rsidRPr="003171CD">
        <w:rPr>
          <w:lang w:val="en-US"/>
        </w:rPr>
        <w:t xml:space="preserve"> although there had been use of force, </w:t>
      </w:r>
      <w:r w:rsidR="00C07C2A" w:rsidRPr="003171CD">
        <w:rPr>
          <w:lang w:val="en-US"/>
        </w:rPr>
        <w:t xml:space="preserve">this had not violated </w:t>
      </w:r>
      <w:r w:rsidRPr="003171CD">
        <w:rPr>
          <w:lang w:val="en-US"/>
        </w:rPr>
        <w:t xml:space="preserve">his fundamental rights </w:t>
      </w:r>
      <w:r w:rsidR="00C07C2A" w:rsidRPr="003171CD">
        <w:rPr>
          <w:lang w:val="en-US"/>
        </w:rPr>
        <w:t>given that -</w:t>
      </w:r>
      <w:r w:rsidRPr="003171CD">
        <w:rPr>
          <w:lang w:val="en-US"/>
        </w:rPr>
        <w:t xml:space="preserve"> according to </w:t>
      </w:r>
      <w:r w:rsidR="00C07C2A" w:rsidRPr="003171CD">
        <w:rPr>
          <w:lang w:val="en-US"/>
        </w:rPr>
        <w:t xml:space="preserve">police report on the incident- </w:t>
      </w:r>
      <w:r w:rsidRPr="003171CD">
        <w:rPr>
          <w:lang w:val="en-US"/>
        </w:rPr>
        <w:t>it had been necessary to control him because he had resisted arrest.</w:t>
      </w:r>
      <w:r w:rsidRPr="003171CD">
        <w:rPr>
          <w:vertAlign w:val="superscript"/>
          <w:lang w:val="en-US"/>
        </w:rPr>
        <w:footnoteReference w:id="165"/>
      </w:r>
    </w:p>
    <w:p w14:paraId="669AD7FB" w14:textId="77777777" w:rsidR="005A65CE" w:rsidRPr="003171CD" w:rsidRDefault="005A65CE" w:rsidP="005A65CE">
      <w:pPr>
        <w:jc w:val="both"/>
        <w:rPr>
          <w:rFonts w:cs="Arial"/>
          <w:snapToGrid/>
          <w:lang w:val="en-US" w:eastAsia="en-US"/>
        </w:rPr>
      </w:pPr>
    </w:p>
    <w:p w14:paraId="5D5C9E9C" w14:textId="77777777" w:rsidR="005A65CE" w:rsidRPr="003171CD" w:rsidRDefault="005A65CE" w:rsidP="005A65CE">
      <w:pPr>
        <w:pStyle w:val="Prrafodelista"/>
        <w:keepNext/>
        <w:keepLines/>
        <w:numPr>
          <w:ilvl w:val="0"/>
          <w:numId w:val="16"/>
        </w:numPr>
        <w:ind w:left="1418" w:hanging="709"/>
        <w:jc w:val="both"/>
        <w:outlineLvl w:val="1"/>
        <w:rPr>
          <w:rFonts w:cs="Arial"/>
          <w:b/>
          <w:i/>
          <w:lang w:val="en-US"/>
        </w:rPr>
      </w:pPr>
      <w:bookmarkStart w:id="39" w:name="_Toc45186704"/>
      <w:r w:rsidRPr="003171CD">
        <w:rPr>
          <w:rFonts w:cs="Arial"/>
          <w:b/>
          <w:i/>
          <w:lang w:val="en-US"/>
        </w:rPr>
        <w:t>Proceeding before the Office of the Human Rights Ombudsman</w:t>
      </w:r>
      <w:bookmarkEnd w:id="39"/>
    </w:p>
    <w:p w14:paraId="453DAC20" w14:textId="77777777" w:rsidR="005A65CE" w:rsidRPr="003171CD" w:rsidRDefault="005A65CE" w:rsidP="005A65CE">
      <w:pPr>
        <w:jc w:val="both"/>
        <w:rPr>
          <w:rFonts w:cs="Arial"/>
          <w:snapToGrid/>
          <w:lang w:val="en-US" w:eastAsia="en-US"/>
        </w:rPr>
      </w:pPr>
    </w:p>
    <w:p w14:paraId="6A011F37"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October 15, 2001, José Agapito Ruano Torres </w:t>
      </w:r>
      <w:r w:rsidR="002B25B7" w:rsidRPr="003171CD">
        <w:rPr>
          <w:rFonts w:cs="Arial"/>
          <w:lang w:val="en-US"/>
        </w:rPr>
        <w:t xml:space="preserve">submitted </w:t>
      </w:r>
      <w:r w:rsidRPr="003171CD">
        <w:rPr>
          <w:rFonts w:cs="Arial"/>
          <w:lang w:val="en-US"/>
        </w:rPr>
        <w:t xml:space="preserve">a complaint </w:t>
      </w:r>
      <w:r w:rsidR="002033E5" w:rsidRPr="003171CD">
        <w:rPr>
          <w:rFonts w:cs="Arial"/>
          <w:lang w:val="en-US"/>
        </w:rPr>
        <w:t xml:space="preserve">to </w:t>
      </w:r>
      <w:r w:rsidRPr="003171CD">
        <w:rPr>
          <w:rFonts w:cs="Arial"/>
          <w:lang w:val="en-US"/>
        </w:rPr>
        <w:t>the Offic</w:t>
      </w:r>
      <w:r w:rsidR="00A05C23" w:rsidRPr="003171CD">
        <w:rPr>
          <w:rFonts w:cs="Arial"/>
          <w:lang w:val="en-US"/>
        </w:rPr>
        <w:t>e of the Human Rights Ombudsman</w:t>
      </w:r>
      <w:r w:rsidRPr="003171CD">
        <w:rPr>
          <w:vertAlign w:val="superscript"/>
          <w:lang w:val="en-US"/>
        </w:rPr>
        <w:footnoteReference w:id="166"/>
      </w:r>
      <w:r w:rsidRPr="003171CD">
        <w:rPr>
          <w:rFonts w:cs="Arial"/>
          <w:lang w:val="en-US"/>
        </w:rPr>
        <w:t xml:space="preserve"> </w:t>
      </w:r>
      <w:r w:rsidR="00A05C23" w:rsidRPr="003171CD">
        <w:rPr>
          <w:rFonts w:cs="Arial"/>
          <w:lang w:val="en-US"/>
        </w:rPr>
        <w:t xml:space="preserve">in which he </w:t>
      </w:r>
      <w:r w:rsidRPr="003171CD">
        <w:rPr>
          <w:rFonts w:cs="Arial"/>
          <w:lang w:val="en-US"/>
        </w:rPr>
        <w:t>requested that a</w:t>
      </w:r>
      <w:r w:rsidR="00D53DA9" w:rsidRPr="003171CD">
        <w:rPr>
          <w:rFonts w:cs="Arial"/>
          <w:lang w:val="en-US"/>
        </w:rPr>
        <w:t xml:space="preserve"> motion </w:t>
      </w:r>
      <w:r w:rsidR="000463B4" w:rsidRPr="003171CD">
        <w:rPr>
          <w:rFonts w:cs="Arial"/>
          <w:lang w:val="en-US"/>
        </w:rPr>
        <w:t xml:space="preserve">to </w:t>
      </w:r>
      <w:r w:rsidRPr="003171CD">
        <w:rPr>
          <w:rFonts w:cs="Arial"/>
          <w:lang w:val="en-US"/>
        </w:rPr>
        <w:t xml:space="preserve">review </w:t>
      </w:r>
      <w:r w:rsidR="002E679E" w:rsidRPr="003171CD">
        <w:rPr>
          <w:rFonts w:cs="Arial"/>
          <w:lang w:val="en-US"/>
        </w:rPr>
        <w:t xml:space="preserve">be </w:t>
      </w:r>
      <w:r w:rsidR="002B25B7" w:rsidRPr="003171CD">
        <w:rPr>
          <w:rFonts w:cs="Arial"/>
          <w:lang w:val="en-US"/>
        </w:rPr>
        <w:t xml:space="preserve">filed </w:t>
      </w:r>
      <w:r w:rsidRPr="003171CD">
        <w:rPr>
          <w:rFonts w:cs="Arial"/>
          <w:lang w:val="en-US"/>
        </w:rPr>
        <w:t xml:space="preserve">in order to reopen the judicial proceedings. </w:t>
      </w:r>
      <w:r w:rsidR="00A05C23" w:rsidRPr="003171CD">
        <w:rPr>
          <w:rFonts w:cs="Arial"/>
          <w:lang w:val="en-US"/>
        </w:rPr>
        <w:t>First,</w:t>
      </w:r>
      <w:r w:rsidRPr="003171CD">
        <w:rPr>
          <w:rFonts w:cs="Arial"/>
          <w:lang w:val="en-US"/>
        </w:rPr>
        <w:t xml:space="preserve"> </w:t>
      </w:r>
      <w:r w:rsidR="000463B4" w:rsidRPr="003171CD">
        <w:rPr>
          <w:rFonts w:cs="Arial"/>
          <w:lang w:val="en-US"/>
        </w:rPr>
        <w:t xml:space="preserve">Mr. Ruano Torres pointed out </w:t>
      </w:r>
      <w:r w:rsidRPr="003171CD">
        <w:rPr>
          <w:rFonts w:cs="Arial"/>
          <w:lang w:val="en-US"/>
        </w:rPr>
        <w:t xml:space="preserve">that a </w:t>
      </w:r>
      <w:r w:rsidR="00A05C23" w:rsidRPr="003171CD">
        <w:rPr>
          <w:rFonts w:cs="Arial"/>
          <w:lang w:val="en-US"/>
        </w:rPr>
        <w:t xml:space="preserve">serious </w:t>
      </w:r>
      <w:r w:rsidRPr="003171CD">
        <w:rPr>
          <w:rFonts w:cs="Arial"/>
          <w:lang w:val="en-US"/>
        </w:rPr>
        <w:t>judicial error had been</w:t>
      </w:r>
      <w:r w:rsidR="00A05C23" w:rsidRPr="003171CD">
        <w:rPr>
          <w:rFonts w:cs="Arial"/>
          <w:lang w:val="en-US"/>
        </w:rPr>
        <w:t xml:space="preserve"> committed</w:t>
      </w:r>
      <w:r w:rsidRPr="003171CD">
        <w:rPr>
          <w:rFonts w:cs="Arial"/>
          <w:lang w:val="en-US"/>
        </w:rPr>
        <w:t xml:space="preserve"> </w:t>
      </w:r>
      <w:r w:rsidR="00A05C23" w:rsidRPr="003171CD">
        <w:rPr>
          <w:rFonts w:cs="Arial"/>
          <w:lang w:val="en-US"/>
        </w:rPr>
        <w:t xml:space="preserve">in </w:t>
      </w:r>
      <w:r w:rsidR="000463B4" w:rsidRPr="003171CD">
        <w:rPr>
          <w:rFonts w:cs="Arial"/>
          <w:lang w:val="en-US"/>
        </w:rPr>
        <w:t xml:space="preserve">mistaking him for </w:t>
      </w:r>
      <w:r w:rsidR="007A702F" w:rsidRPr="003171CD">
        <w:rPr>
          <w:rFonts w:cs="Arial"/>
          <w:lang w:val="en-US"/>
        </w:rPr>
        <w:t>his brother</w:t>
      </w:r>
      <w:r w:rsidR="002B25B7" w:rsidRPr="003171CD">
        <w:rPr>
          <w:rFonts w:cs="Arial"/>
          <w:lang w:val="en-US"/>
        </w:rPr>
        <w:t>,</w:t>
      </w:r>
      <w:r w:rsidRPr="003171CD">
        <w:rPr>
          <w:rFonts w:cs="Arial"/>
          <w:lang w:val="en-US"/>
        </w:rPr>
        <w:t xml:space="preserve"> Rodolfo</w:t>
      </w:r>
      <w:r w:rsidR="000463B4" w:rsidRPr="003171CD">
        <w:rPr>
          <w:rFonts w:cs="Arial"/>
          <w:lang w:val="en-US"/>
        </w:rPr>
        <w:t xml:space="preserve"> Ruano Torres</w:t>
      </w:r>
      <w:r w:rsidRPr="003171CD">
        <w:rPr>
          <w:rFonts w:cs="Arial"/>
          <w:lang w:val="en-US"/>
        </w:rPr>
        <w:t xml:space="preserve">, known as </w:t>
      </w:r>
      <w:r w:rsidR="00A96DF3" w:rsidRPr="003171CD">
        <w:rPr>
          <w:rFonts w:cs="Arial"/>
          <w:i/>
          <w:lang w:val="en-US"/>
        </w:rPr>
        <w:t>Chopo</w:t>
      </w:r>
      <w:r w:rsidR="000463B4" w:rsidRPr="003171CD">
        <w:rPr>
          <w:rFonts w:cs="Arial"/>
          <w:i/>
          <w:lang w:val="en-US"/>
        </w:rPr>
        <w:t>,</w:t>
      </w:r>
      <w:r w:rsidRPr="003171CD">
        <w:rPr>
          <w:rFonts w:cs="Arial"/>
          <w:lang w:val="en-US"/>
        </w:rPr>
        <w:t xml:space="preserve"> “</w:t>
      </w:r>
      <w:r w:rsidR="000463B4" w:rsidRPr="003171CD">
        <w:rPr>
          <w:rFonts w:cs="Arial"/>
          <w:lang w:val="en-US"/>
        </w:rPr>
        <w:t xml:space="preserve">who admits </w:t>
      </w:r>
      <w:r w:rsidR="002B25B7" w:rsidRPr="003171CD">
        <w:rPr>
          <w:rFonts w:cs="Arial"/>
          <w:lang w:val="en-US"/>
        </w:rPr>
        <w:t xml:space="preserve">to </w:t>
      </w:r>
      <w:r w:rsidR="0057619E" w:rsidRPr="003171CD">
        <w:rPr>
          <w:rFonts w:cs="Arial"/>
          <w:lang w:val="en-US"/>
        </w:rPr>
        <w:t>having taken part in the facts</w:t>
      </w:r>
      <w:r w:rsidR="00B376B3" w:rsidRPr="003171CD">
        <w:rPr>
          <w:rFonts w:cs="Arial"/>
          <w:lang w:val="en-US"/>
        </w:rPr>
        <w:t>.”</w:t>
      </w:r>
      <w:r w:rsidRPr="003171CD">
        <w:rPr>
          <w:rFonts w:cs="Arial"/>
          <w:lang w:val="en-US"/>
        </w:rPr>
        <w:t xml:space="preserve"> </w:t>
      </w:r>
      <w:r w:rsidR="00A05C23" w:rsidRPr="003171CD">
        <w:rPr>
          <w:rFonts w:cs="Arial"/>
          <w:lang w:val="en-US"/>
        </w:rPr>
        <w:t>S</w:t>
      </w:r>
      <w:r w:rsidR="000463B4" w:rsidRPr="003171CD">
        <w:rPr>
          <w:rFonts w:cs="Arial"/>
          <w:lang w:val="en-US"/>
        </w:rPr>
        <w:t>econd</w:t>
      </w:r>
      <w:r w:rsidR="00A05C23" w:rsidRPr="003171CD">
        <w:rPr>
          <w:rFonts w:cs="Arial"/>
          <w:lang w:val="en-US"/>
        </w:rPr>
        <w:t xml:space="preserve">, </w:t>
      </w:r>
      <w:r w:rsidRPr="003171CD">
        <w:rPr>
          <w:rFonts w:cs="Arial"/>
          <w:lang w:val="en-US"/>
        </w:rPr>
        <w:t xml:space="preserve">he </w:t>
      </w:r>
      <w:r w:rsidR="0057619E" w:rsidRPr="003171CD">
        <w:rPr>
          <w:rFonts w:cs="Arial"/>
          <w:lang w:val="en-US"/>
        </w:rPr>
        <w:t xml:space="preserve">pointed out </w:t>
      </w:r>
      <w:r w:rsidRPr="003171CD">
        <w:rPr>
          <w:rFonts w:cs="Arial"/>
          <w:lang w:val="en-US"/>
        </w:rPr>
        <w:t xml:space="preserve">that he was not allowed to </w:t>
      </w:r>
      <w:r w:rsidR="000463B4" w:rsidRPr="003171CD">
        <w:rPr>
          <w:rFonts w:cs="Arial"/>
          <w:lang w:val="en-US"/>
        </w:rPr>
        <w:t xml:space="preserve">make a statement </w:t>
      </w:r>
      <w:r w:rsidRPr="003171CD">
        <w:rPr>
          <w:rFonts w:cs="Arial"/>
          <w:lang w:val="en-US"/>
        </w:rPr>
        <w:t>at the start of the p</w:t>
      </w:r>
      <w:r w:rsidR="000463B4" w:rsidRPr="003171CD">
        <w:rPr>
          <w:rFonts w:cs="Arial"/>
          <w:lang w:val="en-US"/>
        </w:rPr>
        <w:t xml:space="preserve">re-trial </w:t>
      </w:r>
      <w:r w:rsidRPr="003171CD">
        <w:rPr>
          <w:rFonts w:cs="Arial"/>
          <w:lang w:val="en-US"/>
        </w:rPr>
        <w:t xml:space="preserve">hearing, </w:t>
      </w:r>
      <w:r w:rsidR="000463B4" w:rsidRPr="003171CD">
        <w:rPr>
          <w:rFonts w:cs="Arial"/>
          <w:lang w:val="en-US"/>
        </w:rPr>
        <w:t>even though he was willing to do so</w:t>
      </w:r>
      <w:r w:rsidRPr="003171CD">
        <w:rPr>
          <w:rFonts w:cs="Arial"/>
          <w:lang w:val="en-US"/>
        </w:rPr>
        <w:t xml:space="preserve">. </w:t>
      </w:r>
      <w:r w:rsidR="00A05C23" w:rsidRPr="003171CD">
        <w:rPr>
          <w:rFonts w:cs="Arial"/>
          <w:lang w:val="en-US"/>
        </w:rPr>
        <w:t>Th</w:t>
      </w:r>
      <w:r w:rsidR="000463B4" w:rsidRPr="003171CD">
        <w:rPr>
          <w:rFonts w:cs="Arial"/>
          <w:lang w:val="en-US"/>
        </w:rPr>
        <w:t>ird</w:t>
      </w:r>
      <w:r w:rsidR="00A05C23" w:rsidRPr="003171CD">
        <w:rPr>
          <w:rFonts w:cs="Arial"/>
          <w:lang w:val="en-US"/>
        </w:rPr>
        <w:t xml:space="preserve">, </w:t>
      </w:r>
      <w:r w:rsidRPr="003171CD">
        <w:rPr>
          <w:rFonts w:cs="Arial"/>
          <w:lang w:val="en-US"/>
        </w:rPr>
        <w:t>he s</w:t>
      </w:r>
      <w:r w:rsidR="0057619E" w:rsidRPr="003171CD">
        <w:rPr>
          <w:rFonts w:cs="Arial"/>
          <w:lang w:val="en-US"/>
        </w:rPr>
        <w:t xml:space="preserve">tated </w:t>
      </w:r>
      <w:r w:rsidRPr="003171CD">
        <w:rPr>
          <w:rFonts w:cs="Arial"/>
          <w:lang w:val="en-US"/>
        </w:rPr>
        <w:t xml:space="preserve">that </w:t>
      </w:r>
      <w:r w:rsidR="000463B4" w:rsidRPr="003171CD">
        <w:rPr>
          <w:rFonts w:cs="Arial"/>
          <w:lang w:val="en-US"/>
        </w:rPr>
        <w:t xml:space="preserve">the </w:t>
      </w:r>
      <w:r w:rsidR="0057619E" w:rsidRPr="003171CD">
        <w:rPr>
          <w:rFonts w:cs="Arial"/>
          <w:lang w:val="en-US"/>
        </w:rPr>
        <w:t>C</w:t>
      </w:r>
      <w:r w:rsidR="000463B4" w:rsidRPr="003171CD">
        <w:rPr>
          <w:rFonts w:cs="Arial"/>
          <w:lang w:val="en-US"/>
        </w:rPr>
        <w:t xml:space="preserve">ourt had denied his </w:t>
      </w:r>
      <w:r w:rsidRPr="003171CD">
        <w:rPr>
          <w:rFonts w:cs="Arial"/>
          <w:lang w:val="en-US"/>
        </w:rPr>
        <w:t xml:space="preserve">request to </w:t>
      </w:r>
      <w:r w:rsidR="000463B4" w:rsidRPr="003171CD">
        <w:rPr>
          <w:rFonts w:cs="Arial"/>
          <w:lang w:val="en-US"/>
        </w:rPr>
        <w:t xml:space="preserve">have his </w:t>
      </w:r>
      <w:r w:rsidRPr="003171CD">
        <w:rPr>
          <w:rFonts w:cs="Arial"/>
          <w:lang w:val="en-US"/>
        </w:rPr>
        <w:t>brother</w:t>
      </w:r>
      <w:r w:rsidR="000463B4" w:rsidRPr="003171CD">
        <w:rPr>
          <w:rFonts w:cs="Arial"/>
          <w:lang w:val="en-US"/>
        </w:rPr>
        <w:t>,</w:t>
      </w:r>
      <w:r w:rsidRPr="003171CD">
        <w:rPr>
          <w:rFonts w:cs="Arial"/>
          <w:lang w:val="en-US"/>
        </w:rPr>
        <w:t xml:space="preserve"> Rodolfo</w:t>
      </w:r>
      <w:r w:rsidR="000463B4" w:rsidRPr="003171CD">
        <w:rPr>
          <w:rFonts w:cs="Arial"/>
          <w:lang w:val="en-US"/>
        </w:rPr>
        <w:t xml:space="preserve"> Ruano Torres,</w:t>
      </w:r>
      <w:r w:rsidRPr="003171CD">
        <w:rPr>
          <w:rFonts w:cs="Arial"/>
          <w:lang w:val="en-US"/>
        </w:rPr>
        <w:t xml:space="preserve"> </w:t>
      </w:r>
      <w:r w:rsidR="000463B4" w:rsidRPr="003171CD">
        <w:rPr>
          <w:rFonts w:cs="Arial"/>
          <w:lang w:val="en-US"/>
        </w:rPr>
        <w:t>testify at the hearing, although he was willing to do so</w:t>
      </w:r>
      <w:r w:rsidRPr="003171CD">
        <w:rPr>
          <w:rFonts w:cs="Arial"/>
          <w:lang w:val="en-US"/>
        </w:rPr>
        <w:t xml:space="preserve">. </w:t>
      </w:r>
      <w:r w:rsidR="000463B4" w:rsidRPr="003171CD">
        <w:rPr>
          <w:rFonts w:cs="Arial"/>
          <w:lang w:val="en-US"/>
        </w:rPr>
        <w:t>Fourth</w:t>
      </w:r>
      <w:r w:rsidRPr="003171CD">
        <w:rPr>
          <w:rFonts w:cs="Arial"/>
          <w:lang w:val="en-US"/>
        </w:rPr>
        <w:t xml:space="preserve">, he indicated that the Second Trial Court of </w:t>
      </w:r>
      <w:r w:rsidRPr="003171CD">
        <w:rPr>
          <w:lang w:val="en-US"/>
        </w:rPr>
        <w:t xml:space="preserve">San Salvador did not </w:t>
      </w:r>
      <w:r w:rsidR="0057619E" w:rsidRPr="003171CD">
        <w:rPr>
          <w:lang w:val="en-US"/>
        </w:rPr>
        <w:t xml:space="preserve">properly </w:t>
      </w:r>
      <w:r w:rsidRPr="003171CD">
        <w:rPr>
          <w:lang w:val="en-US"/>
        </w:rPr>
        <w:t xml:space="preserve">assess the </w:t>
      </w:r>
      <w:r w:rsidRPr="003171CD">
        <w:rPr>
          <w:rFonts w:cs="Arial"/>
          <w:lang w:val="en-US"/>
        </w:rPr>
        <w:t xml:space="preserve">testimonial and documentary evidence </w:t>
      </w:r>
      <w:r w:rsidR="000463B4" w:rsidRPr="003171CD">
        <w:rPr>
          <w:rFonts w:cs="Arial"/>
          <w:lang w:val="en-US"/>
        </w:rPr>
        <w:t>submitted</w:t>
      </w:r>
      <w:r w:rsidRPr="003171CD">
        <w:rPr>
          <w:rFonts w:cs="Arial"/>
          <w:lang w:val="en-US"/>
        </w:rPr>
        <w:t xml:space="preserve">. He </w:t>
      </w:r>
      <w:r w:rsidR="0057619E" w:rsidRPr="003171CD">
        <w:rPr>
          <w:rFonts w:cs="Arial"/>
          <w:lang w:val="en-US"/>
        </w:rPr>
        <w:t xml:space="preserve">also </w:t>
      </w:r>
      <w:r w:rsidR="000463B4" w:rsidRPr="003171CD">
        <w:rPr>
          <w:rFonts w:cs="Arial"/>
          <w:lang w:val="en-US"/>
        </w:rPr>
        <w:t xml:space="preserve">stated </w:t>
      </w:r>
      <w:r w:rsidRPr="003171CD">
        <w:rPr>
          <w:rFonts w:cs="Arial"/>
          <w:lang w:val="en-US"/>
        </w:rPr>
        <w:t xml:space="preserve">that the </w:t>
      </w:r>
      <w:r w:rsidRPr="003171CD">
        <w:rPr>
          <w:rFonts w:cs="Arial"/>
          <w:lang w:val="en-US"/>
        </w:rPr>
        <w:lastRenderedPageBreak/>
        <w:t xml:space="preserve">other persons </w:t>
      </w:r>
      <w:r w:rsidR="000463B4" w:rsidRPr="003171CD">
        <w:rPr>
          <w:rFonts w:cs="Arial"/>
          <w:lang w:val="en-US"/>
        </w:rPr>
        <w:t xml:space="preserve">convicted in the </w:t>
      </w:r>
      <w:r w:rsidRPr="003171CD">
        <w:rPr>
          <w:rFonts w:cs="Arial"/>
          <w:lang w:val="en-US"/>
        </w:rPr>
        <w:t xml:space="preserve">kidnapping </w:t>
      </w:r>
      <w:r w:rsidR="000463B4" w:rsidRPr="003171CD">
        <w:rPr>
          <w:rFonts w:cs="Arial"/>
          <w:lang w:val="en-US"/>
        </w:rPr>
        <w:t xml:space="preserve">admitted </w:t>
      </w:r>
      <w:r w:rsidRPr="003171CD">
        <w:rPr>
          <w:rFonts w:cs="Arial"/>
          <w:lang w:val="en-US"/>
        </w:rPr>
        <w:t xml:space="preserve">that he </w:t>
      </w:r>
      <w:r w:rsidR="000463B4" w:rsidRPr="003171CD">
        <w:rPr>
          <w:rFonts w:cs="Arial"/>
          <w:lang w:val="en-US"/>
        </w:rPr>
        <w:t>had not taken part in the crime</w:t>
      </w:r>
      <w:r w:rsidRPr="003171CD">
        <w:rPr>
          <w:rFonts w:cs="Arial"/>
          <w:lang w:val="en-US"/>
        </w:rPr>
        <w:t xml:space="preserve"> but</w:t>
      </w:r>
      <w:r w:rsidR="000463B4" w:rsidRPr="003171CD">
        <w:rPr>
          <w:rFonts w:cs="Arial"/>
          <w:lang w:val="en-US"/>
        </w:rPr>
        <w:t xml:space="preserve">, </w:t>
      </w:r>
      <w:r w:rsidR="002B25B7" w:rsidRPr="003171CD">
        <w:rPr>
          <w:rFonts w:cs="Arial"/>
          <w:lang w:val="en-US"/>
        </w:rPr>
        <w:t>rather</w:t>
      </w:r>
      <w:r w:rsidR="000463B4" w:rsidRPr="003171CD">
        <w:rPr>
          <w:rFonts w:cs="Arial"/>
          <w:lang w:val="en-US"/>
        </w:rPr>
        <w:t>,</w:t>
      </w:r>
      <w:r w:rsidRPr="003171CD">
        <w:rPr>
          <w:rFonts w:cs="Arial"/>
          <w:lang w:val="en-US"/>
        </w:rPr>
        <w:t xml:space="preserve"> </w:t>
      </w:r>
      <w:r w:rsidR="002033E5" w:rsidRPr="003171CD">
        <w:rPr>
          <w:rFonts w:cs="Arial"/>
          <w:lang w:val="en-US"/>
        </w:rPr>
        <w:t xml:space="preserve">that </w:t>
      </w:r>
      <w:r w:rsidR="000463B4" w:rsidRPr="003171CD">
        <w:rPr>
          <w:rFonts w:cs="Arial"/>
          <w:lang w:val="en-US"/>
        </w:rPr>
        <w:t xml:space="preserve">it had been </w:t>
      </w:r>
      <w:r w:rsidRPr="003171CD">
        <w:rPr>
          <w:rFonts w:cs="Arial"/>
          <w:lang w:val="en-US"/>
        </w:rPr>
        <w:t xml:space="preserve">his brother Rodolfo, known as </w:t>
      </w:r>
      <w:r w:rsidR="00A96DF3" w:rsidRPr="003171CD">
        <w:rPr>
          <w:rFonts w:cs="Arial"/>
          <w:i/>
          <w:lang w:val="en-US"/>
        </w:rPr>
        <w:t>Chopo</w:t>
      </w:r>
      <w:r w:rsidR="002033E5" w:rsidRPr="003171CD">
        <w:rPr>
          <w:rFonts w:cs="Arial"/>
          <w:i/>
          <w:lang w:val="en-US"/>
        </w:rPr>
        <w:t>,</w:t>
      </w:r>
      <w:r w:rsidR="000463B4" w:rsidRPr="003171CD">
        <w:rPr>
          <w:rFonts w:cs="Arial"/>
          <w:lang w:val="en-US"/>
        </w:rPr>
        <w:t xml:space="preserve"> who had </w:t>
      </w:r>
      <w:r w:rsidR="002033E5" w:rsidRPr="003171CD">
        <w:rPr>
          <w:rFonts w:cs="Arial"/>
          <w:lang w:val="en-US"/>
        </w:rPr>
        <w:t>been involved</w:t>
      </w:r>
      <w:r w:rsidR="000463B4" w:rsidRPr="003171CD">
        <w:rPr>
          <w:rFonts w:cs="Arial"/>
          <w:lang w:val="en-US"/>
        </w:rPr>
        <w:t>.</w:t>
      </w:r>
    </w:p>
    <w:p w14:paraId="481767C8" w14:textId="77777777" w:rsidR="005A65CE" w:rsidRPr="003171CD" w:rsidRDefault="005A65CE" w:rsidP="005A65CE">
      <w:pPr>
        <w:jc w:val="both"/>
        <w:rPr>
          <w:rFonts w:cs="Arial"/>
          <w:snapToGrid/>
          <w:lang w:val="en-US" w:eastAsia="en-US"/>
        </w:rPr>
      </w:pPr>
    </w:p>
    <w:p w14:paraId="44F54596"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On June</w:t>
      </w:r>
      <w:r w:rsidR="000F47B5" w:rsidRPr="003171CD">
        <w:rPr>
          <w:rFonts w:cs="Arial"/>
          <w:lang w:val="en-US"/>
        </w:rPr>
        <w:t xml:space="preserve"> </w:t>
      </w:r>
      <w:r w:rsidRPr="003171CD">
        <w:rPr>
          <w:rFonts w:cs="Arial"/>
          <w:lang w:val="en-US"/>
        </w:rPr>
        <w:t xml:space="preserve">9, 2003, the Office of the Human Rights Ombudsman issued a </w:t>
      </w:r>
      <w:r w:rsidR="00F7344E" w:rsidRPr="003171CD">
        <w:rPr>
          <w:rFonts w:cs="Arial"/>
          <w:lang w:val="en-US"/>
        </w:rPr>
        <w:t xml:space="preserve">resolution </w:t>
      </w:r>
      <w:r w:rsidRPr="003171CD">
        <w:rPr>
          <w:rFonts w:cs="Arial"/>
          <w:lang w:val="en-US"/>
        </w:rPr>
        <w:t xml:space="preserve">in which </w:t>
      </w:r>
      <w:r w:rsidR="00F7344E" w:rsidRPr="003171CD">
        <w:rPr>
          <w:rFonts w:cs="Arial"/>
          <w:lang w:val="en-US"/>
        </w:rPr>
        <w:t xml:space="preserve">it </w:t>
      </w:r>
      <w:r w:rsidR="000F47B5" w:rsidRPr="003171CD">
        <w:rPr>
          <w:rFonts w:cs="Arial"/>
          <w:lang w:val="en-US"/>
        </w:rPr>
        <w:t>established</w:t>
      </w:r>
      <w:r w:rsidRPr="003171CD">
        <w:rPr>
          <w:rFonts w:cs="Arial"/>
          <w:lang w:val="en-US"/>
        </w:rPr>
        <w:t xml:space="preserve"> the violation of due process to the detriment of José Agapito Ruano Torres</w:t>
      </w:r>
      <w:r w:rsidR="00F7344E" w:rsidRPr="003171CD">
        <w:rPr>
          <w:rFonts w:cs="Arial"/>
          <w:lang w:val="en-US"/>
        </w:rPr>
        <w:t>. The resolution also</w:t>
      </w:r>
      <w:r w:rsidRPr="003171CD">
        <w:rPr>
          <w:rFonts w:cs="Arial"/>
          <w:lang w:val="en-US"/>
        </w:rPr>
        <w:t xml:space="preserve"> </w:t>
      </w:r>
      <w:r w:rsidR="002B25B7" w:rsidRPr="003171CD">
        <w:rPr>
          <w:rFonts w:cs="Arial"/>
          <w:lang w:val="en-US"/>
        </w:rPr>
        <w:t xml:space="preserve">recommended to </w:t>
      </w:r>
      <w:r w:rsidR="00F7344E" w:rsidRPr="003171CD">
        <w:rPr>
          <w:rFonts w:cs="Arial"/>
          <w:lang w:val="en-US"/>
        </w:rPr>
        <w:t xml:space="preserve">the Office of the Public Defender </w:t>
      </w:r>
      <w:r w:rsidRPr="003171CD">
        <w:rPr>
          <w:rFonts w:cs="Arial"/>
          <w:lang w:val="en-US"/>
        </w:rPr>
        <w:t xml:space="preserve">of the </w:t>
      </w:r>
      <w:r w:rsidR="00F7344E" w:rsidRPr="003171CD">
        <w:rPr>
          <w:rFonts w:cs="Arial"/>
          <w:lang w:val="en-US"/>
        </w:rPr>
        <w:t xml:space="preserve">Office of the Attorney </w:t>
      </w:r>
      <w:r w:rsidRPr="003171CD">
        <w:rPr>
          <w:rFonts w:cs="Arial"/>
          <w:lang w:val="en-US"/>
        </w:rPr>
        <w:t xml:space="preserve">General of the Republic </w:t>
      </w:r>
      <w:r w:rsidR="00F7344E" w:rsidRPr="003171CD">
        <w:rPr>
          <w:rFonts w:cs="Arial"/>
          <w:lang w:val="en-US"/>
        </w:rPr>
        <w:t>that</w:t>
      </w:r>
      <w:r w:rsidRPr="003171CD">
        <w:rPr>
          <w:rFonts w:cs="Arial"/>
          <w:lang w:val="en-US"/>
        </w:rPr>
        <w:t>, given the irregularities in the proce</w:t>
      </w:r>
      <w:r w:rsidR="00F7344E" w:rsidRPr="003171CD">
        <w:rPr>
          <w:rFonts w:cs="Arial"/>
          <w:lang w:val="en-US"/>
        </w:rPr>
        <w:t>edings</w:t>
      </w:r>
      <w:r w:rsidR="0057619E" w:rsidRPr="003171CD">
        <w:rPr>
          <w:rFonts w:cs="Arial"/>
          <w:lang w:val="en-US"/>
        </w:rPr>
        <w:t xml:space="preserve"> -</w:t>
      </w:r>
      <w:r w:rsidRPr="003171CD">
        <w:rPr>
          <w:rFonts w:cs="Arial"/>
          <w:lang w:val="en-US"/>
        </w:rPr>
        <w:t xml:space="preserve"> </w:t>
      </w:r>
      <w:r w:rsidR="00F7344E" w:rsidRPr="003171CD">
        <w:rPr>
          <w:rFonts w:cs="Arial"/>
          <w:lang w:val="en-US"/>
        </w:rPr>
        <w:t xml:space="preserve">jointly endorsed </w:t>
      </w:r>
      <w:r w:rsidRPr="003171CD">
        <w:rPr>
          <w:rFonts w:cs="Arial"/>
          <w:lang w:val="en-US"/>
        </w:rPr>
        <w:t xml:space="preserve">by omission of the </w:t>
      </w:r>
      <w:r w:rsidR="00F7344E" w:rsidRPr="003171CD">
        <w:rPr>
          <w:rFonts w:cs="Arial"/>
          <w:lang w:val="en-US"/>
        </w:rPr>
        <w:t xml:space="preserve">various </w:t>
      </w:r>
      <w:r w:rsidRPr="003171CD">
        <w:rPr>
          <w:rFonts w:cs="Arial"/>
          <w:lang w:val="en-US"/>
        </w:rPr>
        <w:t>judges, p</w:t>
      </w:r>
      <w:r w:rsidR="0057619E" w:rsidRPr="003171CD">
        <w:rPr>
          <w:rFonts w:cs="Arial"/>
          <w:lang w:val="en-US"/>
        </w:rPr>
        <w:t>rosecutors and public defenders-</w:t>
      </w:r>
      <w:r w:rsidRPr="003171CD">
        <w:rPr>
          <w:rFonts w:cs="Arial"/>
          <w:lang w:val="en-US"/>
        </w:rPr>
        <w:t xml:space="preserve"> </w:t>
      </w:r>
      <w:r w:rsidR="002B25B7" w:rsidRPr="003171CD">
        <w:rPr>
          <w:rFonts w:cs="Arial"/>
          <w:lang w:val="en-US"/>
        </w:rPr>
        <w:t xml:space="preserve">it </w:t>
      </w:r>
      <w:r w:rsidR="002033E5" w:rsidRPr="003171CD">
        <w:rPr>
          <w:rFonts w:cs="Arial"/>
          <w:lang w:val="en-US"/>
        </w:rPr>
        <w:t xml:space="preserve">should </w:t>
      </w:r>
      <w:r w:rsidRPr="003171CD">
        <w:rPr>
          <w:rFonts w:cs="Arial"/>
          <w:lang w:val="en-US"/>
        </w:rPr>
        <w:t xml:space="preserve">review </w:t>
      </w:r>
      <w:r w:rsidR="00F7344E" w:rsidRPr="003171CD">
        <w:rPr>
          <w:rFonts w:cs="Arial"/>
          <w:lang w:val="en-US"/>
        </w:rPr>
        <w:t xml:space="preserve">the judgment against </w:t>
      </w:r>
      <w:r w:rsidR="0057619E" w:rsidRPr="003171CD">
        <w:rPr>
          <w:rFonts w:cs="Arial"/>
          <w:lang w:val="en-US"/>
        </w:rPr>
        <w:t>Mr. Ruano Torres</w:t>
      </w:r>
      <w:r w:rsidRPr="003171CD">
        <w:rPr>
          <w:rFonts w:cs="Arial"/>
          <w:lang w:val="en-US"/>
        </w:rPr>
        <w:t>.</w:t>
      </w:r>
      <w:r w:rsidRPr="003171CD">
        <w:rPr>
          <w:vertAlign w:val="superscript"/>
          <w:lang w:val="en-US"/>
        </w:rPr>
        <w:footnoteReference w:id="167"/>
      </w:r>
      <w:r w:rsidRPr="003171CD">
        <w:rPr>
          <w:rFonts w:cs="Arial"/>
          <w:lang w:val="en-US"/>
        </w:rPr>
        <w:t xml:space="preserve"> </w:t>
      </w:r>
      <w:r w:rsidR="00F7344E" w:rsidRPr="003171CD">
        <w:rPr>
          <w:rFonts w:cs="Arial"/>
          <w:lang w:val="en-US"/>
        </w:rPr>
        <w:t xml:space="preserve">Based on </w:t>
      </w:r>
      <w:r w:rsidRPr="003171CD">
        <w:rPr>
          <w:rFonts w:cs="Arial"/>
          <w:lang w:val="en-US"/>
        </w:rPr>
        <w:t xml:space="preserve">the information provided by </w:t>
      </w:r>
      <w:r w:rsidR="0057619E" w:rsidRPr="003171CD">
        <w:rPr>
          <w:rFonts w:cs="Arial"/>
          <w:lang w:val="en-US"/>
        </w:rPr>
        <w:t xml:space="preserve">both </w:t>
      </w:r>
      <w:r w:rsidRPr="003171CD">
        <w:rPr>
          <w:rFonts w:cs="Arial"/>
          <w:lang w:val="en-US"/>
        </w:rPr>
        <w:t xml:space="preserve">parties, there is no </w:t>
      </w:r>
      <w:r w:rsidR="007227A5" w:rsidRPr="003171CD">
        <w:rPr>
          <w:rFonts w:cs="Arial"/>
          <w:lang w:val="en-US"/>
        </w:rPr>
        <w:t xml:space="preserve">evidence </w:t>
      </w:r>
      <w:r w:rsidRPr="003171CD">
        <w:rPr>
          <w:rFonts w:cs="Arial"/>
          <w:lang w:val="en-US"/>
        </w:rPr>
        <w:t xml:space="preserve">that the </w:t>
      </w:r>
      <w:r w:rsidR="007227A5" w:rsidRPr="003171CD">
        <w:rPr>
          <w:rFonts w:cs="Arial"/>
          <w:lang w:val="en-US"/>
        </w:rPr>
        <w:t xml:space="preserve">Office of the </w:t>
      </w:r>
      <w:r w:rsidRPr="003171CD">
        <w:rPr>
          <w:rFonts w:cs="Arial"/>
          <w:lang w:val="en-US"/>
        </w:rPr>
        <w:t>Public Defen</w:t>
      </w:r>
      <w:r w:rsidR="0057619E" w:rsidRPr="003171CD">
        <w:rPr>
          <w:rFonts w:cs="Arial"/>
          <w:lang w:val="en-US"/>
        </w:rPr>
        <w:t>der</w:t>
      </w:r>
      <w:r w:rsidR="007227A5" w:rsidRPr="003171CD">
        <w:rPr>
          <w:rFonts w:cs="Arial"/>
          <w:lang w:val="en-US"/>
        </w:rPr>
        <w:t xml:space="preserve"> </w:t>
      </w:r>
      <w:r w:rsidRPr="003171CD">
        <w:rPr>
          <w:rFonts w:cs="Arial"/>
          <w:lang w:val="en-US"/>
        </w:rPr>
        <w:t xml:space="preserve">of the </w:t>
      </w:r>
      <w:r w:rsidR="00526238" w:rsidRPr="003171CD">
        <w:rPr>
          <w:rFonts w:cs="Arial"/>
          <w:lang w:val="en-US"/>
        </w:rPr>
        <w:t xml:space="preserve">Office of the Attorney </w:t>
      </w:r>
      <w:r w:rsidRPr="003171CD">
        <w:rPr>
          <w:rFonts w:cs="Arial"/>
          <w:lang w:val="en-US"/>
        </w:rPr>
        <w:t xml:space="preserve">General of the Republic </w:t>
      </w:r>
      <w:r w:rsidR="007227A5" w:rsidRPr="003171CD">
        <w:rPr>
          <w:rFonts w:cs="Arial"/>
          <w:lang w:val="en-US"/>
        </w:rPr>
        <w:t xml:space="preserve">ever pursued a </w:t>
      </w:r>
      <w:r w:rsidRPr="003171CD">
        <w:rPr>
          <w:rFonts w:cs="Arial"/>
          <w:lang w:val="en-US"/>
        </w:rPr>
        <w:t xml:space="preserve">review of </w:t>
      </w:r>
      <w:r w:rsidR="007227A5" w:rsidRPr="003171CD">
        <w:rPr>
          <w:rFonts w:cs="Arial"/>
          <w:lang w:val="en-US"/>
        </w:rPr>
        <w:t xml:space="preserve">the judgment against </w:t>
      </w:r>
      <w:r w:rsidRPr="003171CD">
        <w:rPr>
          <w:rFonts w:cs="Arial"/>
          <w:lang w:val="en-US"/>
        </w:rPr>
        <w:t xml:space="preserve">Mr. Ruano Torres. </w:t>
      </w:r>
      <w:r w:rsidR="00526238" w:rsidRPr="003171CD">
        <w:rPr>
          <w:rFonts w:cs="Arial"/>
          <w:lang w:val="en-US"/>
        </w:rPr>
        <w:t xml:space="preserve">With regard </w:t>
      </w:r>
      <w:r w:rsidRPr="003171CD">
        <w:rPr>
          <w:rFonts w:cs="Arial"/>
          <w:lang w:val="en-US"/>
        </w:rPr>
        <w:t xml:space="preserve">to the </w:t>
      </w:r>
      <w:r w:rsidR="00FD7FD0" w:rsidRPr="003171CD">
        <w:rPr>
          <w:rFonts w:cs="Arial"/>
          <w:lang w:val="en-US"/>
        </w:rPr>
        <w:t xml:space="preserve">pre-trial </w:t>
      </w:r>
      <w:r w:rsidRPr="003171CD">
        <w:rPr>
          <w:rFonts w:cs="Arial"/>
          <w:lang w:val="en-US"/>
        </w:rPr>
        <w:t xml:space="preserve">evidence </w:t>
      </w:r>
      <w:r w:rsidR="00526238" w:rsidRPr="003171CD">
        <w:rPr>
          <w:rFonts w:cs="Arial"/>
          <w:lang w:val="en-US"/>
        </w:rPr>
        <w:t xml:space="preserve">provided by </w:t>
      </w:r>
      <w:r w:rsidRPr="003171CD">
        <w:rPr>
          <w:rFonts w:cs="Arial"/>
          <w:lang w:val="en-US"/>
        </w:rPr>
        <w:t xml:space="preserve">Francisco Javier Amaya Villalta, the resolution </w:t>
      </w:r>
      <w:r w:rsidR="00526238" w:rsidRPr="003171CD">
        <w:rPr>
          <w:rFonts w:cs="Arial"/>
          <w:lang w:val="en-US"/>
        </w:rPr>
        <w:t xml:space="preserve">issued by </w:t>
      </w:r>
      <w:r w:rsidRPr="003171CD">
        <w:rPr>
          <w:rFonts w:cs="Arial"/>
          <w:lang w:val="en-US"/>
        </w:rPr>
        <w:t xml:space="preserve">the Office of the Human Rights Ombudsman </w:t>
      </w:r>
      <w:r w:rsidR="000F47B5" w:rsidRPr="003171CD">
        <w:rPr>
          <w:rFonts w:cs="Arial"/>
          <w:lang w:val="en-US"/>
        </w:rPr>
        <w:t>established</w:t>
      </w:r>
      <w:r w:rsidRPr="003171CD">
        <w:rPr>
          <w:rFonts w:cs="Arial"/>
          <w:lang w:val="en-US"/>
        </w:rPr>
        <w:t xml:space="preserve"> that</w:t>
      </w:r>
      <w:r w:rsidR="003A2C9B" w:rsidRPr="003171CD">
        <w:rPr>
          <w:rFonts w:cs="Arial"/>
          <w:lang w:val="en-US"/>
        </w:rPr>
        <w:t>:</w:t>
      </w:r>
      <w:r w:rsidRPr="003171CD">
        <w:rPr>
          <w:rFonts w:cs="Arial"/>
          <w:lang w:val="en-US"/>
        </w:rPr>
        <w:t xml:space="preserve"> </w:t>
      </w:r>
      <w:r w:rsidR="000F47B5" w:rsidRPr="003171CD">
        <w:rPr>
          <w:rFonts w:cs="Arial"/>
          <w:lang w:val="en-US"/>
        </w:rPr>
        <w:t xml:space="preserve">his real </w:t>
      </w:r>
      <w:r w:rsidR="00526238" w:rsidRPr="003171CD">
        <w:rPr>
          <w:rFonts w:cs="Arial"/>
          <w:lang w:val="en-US"/>
        </w:rPr>
        <w:t>name wa</w:t>
      </w:r>
      <w:r w:rsidRPr="003171CD">
        <w:rPr>
          <w:rFonts w:cs="Arial"/>
          <w:lang w:val="en-US"/>
        </w:rPr>
        <w:t xml:space="preserve">s Ricardo Flores Amaya, </w:t>
      </w:r>
      <w:r w:rsidR="000F47B5" w:rsidRPr="003171CD">
        <w:rPr>
          <w:rFonts w:cs="Arial"/>
          <w:lang w:val="en-US"/>
        </w:rPr>
        <w:t xml:space="preserve">a </w:t>
      </w:r>
      <w:r w:rsidR="00526238" w:rsidRPr="003171CD">
        <w:rPr>
          <w:rFonts w:cs="Arial"/>
          <w:lang w:val="en-US"/>
        </w:rPr>
        <w:t xml:space="preserve">fact </w:t>
      </w:r>
      <w:r w:rsidRPr="003171CD">
        <w:rPr>
          <w:rFonts w:cs="Arial"/>
          <w:lang w:val="en-US"/>
        </w:rPr>
        <w:t xml:space="preserve">that </w:t>
      </w:r>
      <w:r w:rsidR="000F47B5" w:rsidRPr="003171CD">
        <w:rPr>
          <w:rFonts w:cs="Arial"/>
          <w:lang w:val="en-US"/>
        </w:rPr>
        <w:t xml:space="preserve">was never </w:t>
      </w:r>
      <w:r w:rsidRPr="003171CD">
        <w:rPr>
          <w:rFonts w:cs="Arial"/>
          <w:lang w:val="en-US"/>
        </w:rPr>
        <w:t>investiga</w:t>
      </w:r>
      <w:r w:rsidR="003A2C9B" w:rsidRPr="003171CD">
        <w:rPr>
          <w:rFonts w:cs="Arial"/>
          <w:lang w:val="en-US"/>
        </w:rPr>
        <w:t>ted;</w:t>
      </w:r>
      <w:r w:rsidRPr="003171CD">
        <w:rPr>
          <w:rFonts w:cs="Arial"/>
          <w:lang w:val="en-US"/>
        </w:rPr>
        <w:t xml:space="preserve"> and</w:t>
      </w:r>
      <w:r w:rsidR="003A2C9B" w:rsidRPr="003171CD">
        <w:rPr>
          <w:rFonts w:cs="Arial"/>
          <w:lang w:val="en-US"/>
        </w:rPr>
        <w:t>,</w:t>
      </w:r>
      <w:r w:rsidRPr="003171CD">
        <w:rPr>
          <w:rFonts w:cs="Arial"/>
          <w:lang w:val="en-US"/>
        </w:rPr>
        <w:t xml:space="preserve"> the principle </w:t>
      </w:r>
      <w:r w:rsidR="00526238" w:rsidRPr="003171CD">
        <w:rPr>
          <w:rFonts w:cs="Arial"/>
          <w:lang w:val="en-US"/>
        </w:rPr>
        <w:t xml:space="preserve">that both parties must be heard was violated </w:t>
      </w:r>
      <w:r w:rsidRPr="003171CD">
        <w:rPr>
          <w:rFonts w:cs="Arial"/>
          <w:lang w:val="en-US"/>
        </w:rPr>
        <w:t xml:space="preserve">given that the accused </w:t>
      </w:r>
      <w:r w:rsidR="00526238" w:rsidRPr="003171CD">
        <w:rPr>
          <w:rFonts w:cs="Arial"/>
          <w:lang w:val="en-US"/>
        </w:rPr>
        <w:t xml:space="preserve">never had the opportunity to </w:t>
      </w:r>
      <w:r w:rsidR="000F47B5" w:rsidRPr="003171CD">
        <w:rPr>
          <w:rFonts w:cs="Arial"/>
          <w:lang w:val="en-US"/>
        </w:rPr>
        <w:t>re</w:t>
      </w:r>
      <w:r w:rsidR="00526238" w:rsidRPr="003171CD">
        <w:rPr>
          <w:rFonts w:cs="Arial"/>
          <w:lang w:val="en-US"/>
        </w:rPr>
        <w:t>but what he said</w:t>
      </w:r>
      <w:r w:rsidRPr="003171CD">
        <w:rPr>
          <w:rFonts w:cs="Arial"/>
          <w:lang w:val="en-US"/>
        </w:rPr>
        <w:t xml:space="preserve">. </w:t>
      </w:r>
      <w:r w:rsidR="003A2C9B" w:rsidRPr="003171CD">
        <w:rPr>
          <w:rFonts w:cs="Arial"/>
          <w:lang w:val="en-US"/>
        </w:rPr>
        <w:t>Furthermore, the</w:t>
      </w:r>
      <w:r w:rsidR="00526238" w:rsidRPr="003171CD">
        <w:rPr>
          <w:rFonts w:cs="Arial"/>
          <w:lang w:val="en-US"/>
        </w:rPr>
        <w:t xml:space="preserve"> resolution pointed out that there was no evidence that any inquiry was </w:t>
      </w:r>
      <w:r w:rsidR="00FD7FD0" w:rsidRPr="003171CD">
        <w:rPr>
          <w:rFonts w:cs="Arial"/>
          <w:lang w:val="en-US"/>
        </w:rPr>
        <w:t>c</w:t>
      </w:r>
      <w:r w:rsidR="0039316D" w:rsidRPr="003171CD">
        <w:rPr>
          <w:rFonts w:cs="Arial"/>
          <w:lang w:val="en-US"/>
        </w:rPr>
        <w:t xml:space="preserve">onducted </w:t>
      </w:r>
      <w:r w:rsidRPr="003171CD">
        <w:rPr>
          <w:rFonts w:cs="Arial"/>
          <w:lang w:val="en-US"/>
        </w:rPr>
        <w:t xml:space="preserve">to </w:t>
      </w:r>
      <w:r w:rsidR="00DD16C8" w:rsidRPr="003171CD">
        <w:rPr>
          <w:rFonts w:cs="Arial"/>
          <w:lang w:val="en-US"/>
        </w:rPr>
        <w:t xml:space="preserve">ascertain </w:t>
      </w:r>
      <w:r w:rsidRPr="003171CD">
        <w:rPr>
          <w:rFonts w:cs="Arial"/>
          <w:lang w:val="en-US"/>
        </w:rPr>
        <w:t xml:space="preserve">that the nickname </w:t>
      </w:r>
      <w:r w:rsidR="00A96DF3" w:rsidRPr="003171CD">
        <w:rPr>
          <w:rFonts w:cs="Arial"/>
          <w:i/>
          <w:lang w:val="en-US"/>
        </w:rPr>
        <w:t>Chopo</w:t>
      </w:r>
      <w:r w:rsidRPr="003171CD">
        <w:rPr>
          <w:rFonts w:cs="Arial"/>
          <w:lang w:val="en-US"/>
        </w:rPr>
        <w:t xml:space="preserve"> </w:t>
      </w:r>
      <w:r w:rsidR="00DD16C8" w:rsidRPr="003171CD">
        <w:rPr>
          <w:rFonts w:cs="Arial"/>
          <w:lang w:val="en-US"/>
        </w:rPr>
        <w:t xml:space="preserve">belonged to </w:t>
      </w:r>
      <w:r w:rsidRPr="003171CD">
        <w:rPr>
          <w:rFonts w:cs="Arial"/>
          <w:lang w:val="en-US"/>
        </w:rPr>
        <w:t>José Agapito Ruano Torres</w:t>
      </w:r>
      <w:r w:rsidR="00DD16C8" w:rsidRPr="003171CD">
        <w:rPr>
          <w:rFonts w:cs="Arial"/>
          <w:lang w:val="en-US"/>
        </w:rPr>
        <w:t>, which created a</w:t>
      </w:r>
      <w:r w:rsidRPr="003171CD">
        <w:rPr>
          <w:rFonts w:cs="Arial"/>
          <w:lang w:val="en-US"/>
        </w:rPr>
        <w:t xml:space="preserve"> situation of </w:t>
      </w:r>
      <w:r w:rsidR="00DD16C8" w:rsidRPr="003171CD">
        <w:rPr>
          <w:rFonts w:cs="Arial"/>
          <w:lang w:val="en-US"/>
        </w:rPr>
        <w:t>legal uncertainty</w:t>
      </w:r>
      <w:r w:rsidRPr="003171CD">
        <w:rPr>
          <w:rFonts w:cs="Arial"/>
          <w:lang w:val="en-US"/>
        </w:rPr>
        <w:t xml:space="preserve">. </w:t>
      </w:r>
      <w:r w:rsidR="0039316D" w:rsidRPr="003171CD">
        <w:rPr>
          <w:rFonts w:cs="Arial"/>
          <w:lang w:val="en-US"/>
        </w:rPr>
        <w:t xml:space="preserve">With regard </w:t>
      </w:r>
      <w:r w:rsidR="00B53199" w:rsidRPr="003171CD">
        <w:rPr>
          <w:rFonts w:cs="Arial"/>
          <w:lang w:val="en-US"/>
        </w:rPr>
        <w:t xml:space="preserve">to </w:t>
      </w:r>
      <w:r w:rsidRPr="003171CD">
        <w:rPr>
          <w:rFonts w:cs="Arial"/>
          <w:lang w:val="en-US"/>
        </w:rPr>
        <w:t xml:space="preserve">the identity parade </w:t>
      </w:r>
      <w:r w:rsidR="00B53199" w:rsidRPr="003171CD">
        <w:rPr>
          <w:rFonts w:cs="Arial"/>
          <w:lang w:val="en-US"/>
        </w:rPr>
        <w:t xml:space="preserve">in which </w:t>
      </w:r>
      <w:r w:rsidRPr="003171CD">
        <w:rPr>
          <w:rFonts w:cs="Arial"/>
          <w:lang w:val="en-US"/>
        </w:rPr>
        <w:t>José Agapito Ruano Torres</w:t>
      </w:r>
      <w:r w:rsidR="00B53199" w:rsidRPr="003171CD">
        <w:rPr>
          <w:rFonts w:cs="Arial"/>
          <w:lang w:val="en-US"/>
        </w:rPr>
        <w:t xml:space="preserve"> took part</w:t>
      </w:r>
      <w:r w:rsidRPr="003171CD">
        <w:rPr>
          <w:rFonts w:cs="Arial"/>
          <w:lang w:val="en-US"/>
        </w:rPr>
        <w:t>,</w:t>
      </w:r>
      <w:r w:rsidR="00B53199" w:rsidRPr="003171CD">
        <w:rPr>
          <w:rFonts w:cs="Arial"/>
          <w:lang w:val="en-US"/>
        </w:rPr>
        <w:t xml:space="preserve"> the resolution</w:t>
      </w:r>
      <w:r w:rsidRPr="003171CD">
        <w:rPr>
          <w:rFonts w:cs="Arial"/>
          <w:lang w:val="en-US"/>
        </w:rPr>
        <w:t xml:space="preserve"> </w:t>
      </w:r>
      <w:r w:rsidR="00B53199" w:rsidRPr="003171CD">
        <w:rPr>
          <w:rFonts w:cs="Arial"/>
          <w:lang w:val="en-US"/>
        </w:rPr>
        <w:t xml:space="preserve">pointed out that the </w:t>
      </w:r>
      <w:r w:rsidRPr="003171CD">
        <w:rPr>
          <w:rFonts w:cs="Arial"/>
          <w:lang w:val="en-US"/>
        </w:rPr>
        <w:t xml:space="preserve">principle of </w:t>
      </w:r>
      <w:r w:rsidR="00B53199" w:rsidRPr="003171CD">
        <w:rPr>
          <w:rFonts w:cs="Arial"/>
          <w:lang w:val="en-US"/>
        </w:rPr>
        <w:t xml:space="preserve">due process was violated because serious </w:t>
      </w:r>
      <w:r w:rsidRPr="003171CD">
        <w:rPr>
          <w:rFonts w:cs="Arial"/>
          <w:lang w:val="en-US"/>
        </w:rPr>
        <w:t xml:space="preserve">irregularities </w:t>
      </w:r>
      <w:r w:rsidR="00FD7FD0" w:rsidRPr="003171CD">
        <w:rPr>
          <w:rFonts w:cs="Arial"/>
          <w:lang w:val="en-US"/>
        </w:rPr>
        <w:t xml:space="preserve">were </w:t>
      </w:r>
      <w:r w:rsidR="00B53199" w:rsidRPr="003171CD">
        <w:rPr>
          <w:rFonts w:cs="Arial"/>
          <w:lang w:val="en-US"/>
        </w:rPr>
        <w:t>committed</w:t>
      </w:r>
      <w:r w:rsidRPr="003171CD">
        <w:rPr>
          <w:rFonts w:cs="Arial"/>
          <w:lang w:val="en-US"/>
        </w:rPr>
        <w:t xml:space="preserve">. </w:t>
      </w:r>
      <w:r w:rsidR="00FD7FD0" w:rsidRPr="003171CD">
        <w:rPr>
          <w:rFonts w:cs="Arial"/>
          <w:lang w:val="en-US"/>
        </w:rPr>
        <w:t>Likewise, i</w:t>
      </w:r>
      <w:r w:rsidR="003A2C9B" w:rsidRPr="003171CD">
        <w:rPr>
          <w:rFonts w:cs="Arial"/>
          <w:lang w:val="en-US"/>
        </w:rPr>
        <w:t xml:space="preserve">n </w:t>
      </w:r>
      <w:r w:rsidR="002033E5" w:rsidRPr="003171CD">
        <w:rPr>
          <w:rFonts w:cs="Arial"/>
          <w:lang w:val="en-US"/>
        </w:rPr>
        <w:t>its</w:t>
      </w:r>
      <w:r w:rsidR="00B53199" w:rsidRPr="003171CD">
        <w:rPr>
          <w:rFonts w:cs="Arial"/>
          <w:lang w:val="en-US"/>
        </w:rPr>
        <w:t xml:space="preserve"> resolution</w:t>
      </w:r>
      <w:r w:rsidR="003A2C9B" w:rsidRPr="003171CD">
        <w:rPr>
          <w:rFonts w:cs="Arial"/>
          <w:lang w:val="en-US"/>
        </w:rPr>
        <w:t xml:space="preserve">, the Office of the Human Rights Ombudsman </w:t>
      </w:r>
      <w:r w:rsidR="00B53199" w:rsidRPr="003171CD">
        <w:rPr>
          <w:rFonts w:cs="Arial"/>
          <w:lang w:val="en-US"/>
        </w:rPr>
        <w:t xml:space="preserve">maintained </w:t>
      </w:r>
      <w:r w:rsidRPr="003171CD">
        <w:rPr>
          <w:rFonts w:cs="Arial"/>
          <w:lang w:val="en-US"/>
        </w:rPr>
        <w:t>that the fact that Mr. Ruano Torres ha</w:t>
      </w:r>
      <w:r w:rsidR="000F47B5" w:rsidRPr="003171CD">
        <w:rPr>
          <w:rFonts w:cs="Arial"/>
          <w:lang w:val="en-US"/>
        </w:rPr>
        <w:t xml:space="preserve">d been </w:t>
      </w:r>
      <w:r w:rsidRPr="003171CD">
        <w:rPr>
          <w:rFonts w:cs="Arial"/>
          <w:lang w:val="en-US"/>
        </w:rPr>
        <w:t>ex</w:t>
      </w:r>
      <w:r w:rsidR="00B53199" w:rsidRPr="003171CD">
        <w:rPr>
          <w:rFonts w:cs="Arial"/>
          <w:lang w:val="en-US"/>
        </w:rPr>
        <w:t xml:space="preserve">posed to the </w:t>
      </w:r>
      <w:r w:rsidR="0039316D" w:rsidRPr="003171CD">
        <w:rPr>
          <w:rFonts w:cs="Arial"/>
          <w:lang w:val="en-US"/>
        </w:rPr>
        <w:t xml:space="preserve">communication </w:t>
      </w:r>
      <w:r w:rsidR="00B53199" w:rsidRPr="003171CD">
        <w:rPr>
          <w:rFonts w:cs="Arial"/>
          <w:lang w:val="en-US"/>
        </w:rPr>
        <w:t xml:space="preserve">media </w:t>
      </w:r>
      <w:r w:rsidR="002033E5" w:rsidRPr="003171CD">
        <w:rPr>
          <w:rFonts w:cs="Arial"/>
          <w:lang w:val="en-US"/>
        </w:rPr>
        <w:t xml:space="preserve">prior to </w:t>
      </w:r>
      <w:r w:rsidRPr="003171CD">
        <w:rPr>
          <w:rFonts w:cs="Arial"/>
          <w:lang w:val="en-US"/>
        </w:rPr>
        <w:t>th</w:t>
      </w:r>
      <w:r w:rsidR="00B53199" w:rsidRPr="003171CD">
        <w:rPr>
          <w:rFonts w:cs="Arial"/>
          <w:lang w:val="en-US"/>
        </w:rPr>
        <w:t xml:space="preserve">e identity parade, </w:t>
      </w:r>
      <w:r w:rsidR="002033E5" w:rsidRPr="003171CD">
        <w:rPr>
          <w:rFonts w:cs="Arial"/>
          <w:lang w:val="en-US"/>
        </w:rPr>
        <w:t xml:space="preserve">meant that this </w:t>
      </w:r>
      <w:r w:rsidR="00B53199" w:rsidRPr="003171CD">
        <w:rPr>
          <w:rFonts w:cs="Arial"/>
          <w:lang w:val="en-US"/>
        </w:rPr>
        <w:t xml:space="preserve">means to produce </w:t>
      </w:r>
      <w:r w:rsidRPr="003171CD">
        <w:rPr>
          <w:rFonts w:cs="Arial"/>
          <w:lang w:val="en-US"/>
        </w:rPr>
        <w:t xml:space="preserve">evidence </w:t>
      </w:r>
      <w:r w:rsidR="002033E5" w:rsidRPr="003171CD">
        <w:rPr>
          <w:rFonts w:cs="Arial"/>
          <w:lang w:val="en-US"/>
        </w:rPr>
        <w:t xml:space="preserve">was tainted </w:t>
      </w:r>
      <w:r w:rsidRPr="003171CD">
        <w:rPr>
          <w:rFonts w:cs="Arial"/>
          <w:lang w:val="en-US"/>
        </w:rPr>
        <w:t xml:space="preserve">and violated </w:t>
      </w:r>
      <w:r w:rsidR="003A2C9B" w:rsidRPr="003171CD">
        <w:rPr>
          <w:rFonts w:cs="Arial"/>
          <w:lang w:val="en-US"/>
        </w:rPr>
        <w:t xml:space="preserve">his </w:t>
      </w:r>
      <w:r w:rsidR="00821AEF" w:rsidRPr="003171CD">
        <w:rPr>
          <w:rFonts w:cs="Arial"/>
          <w:lang w:val="en-US"/>
        </w:rPr>
        <w:t xml:space="preserve">right to presumption of </w:t>
      </w:r>
      <w:r w:rsidRPr="003171CD">
        <w:rPr>
          <w:rFonts w:cs="Arial"/>
          <w:lang w:val="en-US"/>
        </w:rPr>
        <w:t xml:space="preserve">innocence. </w:t>
      </w:r>
      <w:r w:rsidR="0039316D" w:rsidRPr="003171CD">
        <w:rPr>
          <w:rFonts w:cs="Arial"/>
          <w:lang w:val="en-US"/>
        </w:rPr>
        <w:t xml:space="preserve">As </w:t>
      </w:r>
      <w:r w:rsidR="00B53199" w:rsidRPr="003171CD">
        <w:rPr>
          <w:rFonts w:cs="Arial"/>
          <w:lang w:val="en-US"/>
        </w:rPr>
        <w:t xml:space="preserve">to the </w:t>
      </w:r>
      <w:r w:rsidR="003A2C9B" w:rsidRPr="003171CD">
        <w:rPr>
          <w:rFonts w:cs="Arial"/>
          <w:lang w:val="en-US"/>
        </w:rPr>
        <w:t xml:space="preserve">various </w:t>
      </w:r>
      <w:r w:rsidR="007F7227" w:rsidRPr="003171CD">
        <w:rPr>
          <w:rFonts w:cs="Arial"/>
          <w:lang w:val="en-US"/>
        </w:rPr>
        <w:t xml:space="preserve">participants </w:t>
      </w:r>
      <w:r w:rsidR="000F47B5" w:rsidRPr="003171CD">
        <w:rPr>
          <w:rFonts w:cs="Arial"/>
          <w:lang w:val="en-US"/>
        </w:rPr>
        <w:t xml:space="preserve">involved in </w:t>
      </w:r>
      <w:r w:rsidRPr="003171CD">
        <w:rPr>
          <w:rFonts w:cs="Arial"/>
          <w:lang w:val="en-US"/>
        </w:rPr>
        <w:t>the proce</w:t>
      </w:r>
      <w:r w:rsidR="007F7227" w:rsidRPr="003171CD">
        <w:rPr>
          <w:rFonts w:cs="Arial"/>
          <w:lang w:val="en-US"/>
        </w:rPr>
        <w:t xml:space="preserve">edings to prosecute </w:t>
      </w:r>
      <w:r w:rsidR="0073623A" w:rsidRPr="003171CD">
        <w:rPr>
          <w:rFonts w:cs="Arial"/>
          <w:lang w:val="en-US"/>
        </w:rPr>
        <w:t xml:space="preserve">Mr. </w:t>
      </w:r>
      <w:r w:rsidRPr="003171CD">
        <w:rPr>
          <w:rFonts w:cs="Arial"/>
          <w:lang w:val="en-US"/>
        </w:rPr>
        <w:t xml:space="preserve">Ruano Torres, </w:t>
      </w:r>
      <w:r w:rsidR="007F7227" w:rsidRPr="003171CD">
        <w:rPr>
          <w:rFonts w:cs="Arial"/>
          <w:lang w:val="en-US"/>
        </w:rPr>
        <w:t>the resolution pointed out that</w:t>
      </w:r>
      <w:r w:rsidRPr="003171CD">
        <w:rPr>
          <w:rFonts w:cs="Arial"/>
          <w:lang w:val="en-US"/>
        </w:rPr>
        <w:t xml:space="preserve">: i) </w:t>
      </w:r>
      <w:r w:rsidR="000F47B5" w:rsidRPr="003171CD">
        <w:rPr>
          <w:rFonts w:cs="Arial"/>
          <w:lang w:val="en-US"/>
        </w:rPr>
        <w:t xml:space="preserve">his </w:t>
      </w:r>
      <w:r w:rsidRPr="003171CD">
        <w:rPr>
          <w:rFonts w:cs="Arial"/>
          <w:lang w:val="en-US"/>
        </w:rPr>
        <w:t xml:space="preserve">public defense </w:t>
      </w:r>
      <w:r w:rsidR="007F7227" w:rsidRPr="003171CD">
        <w:rPr>
          <w:rFonts w:cs="Arial"/>
          <w:lang w:val="en-US"/>
        </w:rPr>
        <w:t xml:space="preserve">harmed his position by not </w:t>
      </w:r>
      <w:r w:rsidRPr="003171CD">
        <w:rPr>
          <w:rFonts w:cs="Arial"/>
          <w:lang w:val="en-US"/>
        </w:rPr>
        <w:t>promo</w:t>
      </w:r>
      <w:r w:rsidR="000F47B5" w:rsidRPr="003171CD">
        <w:rPr>
          <w:rFonts w:cs="Arial"/>
          <w:lang w:val="en-US"/>
        </w:rPr>
        <w:t xml:space="preserve">ting </w:t>
      </w:r>
      <w:r w:rsidRPr="003171CD">
        <w:rPr>
          <w:rFonts w:cs="Arial"/>
          <w:lang w:val="en-US"/>
        </w:rPr>
        <w:t xml:space="preserve">the investigation of </w:t>
      </w:r>
      <w:r w:rsidR="000F47B5" w:rsidRPr="003171CD">
        <w:rPr>
          <w:rFonts w:cs="Arial"/>
          <w:lang w:val="en-US"/>
        </w:rPr>
        <w:t xml:space="preserve">his </w:t>
      </w:r>
      <w:r w:rsidRPr="003171CD">
        <w:rPr>
          <w:rFonts w:cs="Arial"/>
          <w:lang w:val="en-US"/>
        </w:rPr>
        <w:t>case</w:t>
      </w:r>
      <w:r w:rsidR="007F7227" w:rsidRPr="003171CD">
        <w:rPr>
          <w:rFonts w:cs="Arial"/>
          <w:lang w:val="en-US"/>
        </w:rPr>
        <w:t xml:space="preserve"> and by not recognizing </w:t>
      </w:r>
      <w:r w:rsidRPr="003171CD">
        <w:rPr>
          <w:rFonts w:cs="Arial"/>
          <w:lang w:val="en-US"/>
        </w:rPr>
        <w:t xml:space="preserve">the </w:t>
      </w:r>
      <w:r w:rsidR="007F7227" w:rsidRPr="003171CD">
        <w:rPr>
          <w:rFonts w:cs="Arial"/>
          <w:lang w:val="en-US"/>
        </w:rPr>
        <w:t xml:space="preserve">various </w:t>
      </w:r>
      <w:r w:rsidRPr="003171CD">
        <w:rPr>
          <w:rFonts w:cs="Arial"/>
          <w:lang w:val="en-US"/>
        </w:rPr>
        <w:t xml:space="preserve">irregularities </w:t>
      </w:r>
      <w:r w:rsidR="007F7227" w:rsidRPr="003171CD">
        <w:rPr>
          <w:rFonts w:cs="Arial"/>
          <w:lang w:val="en-US"/>
        </w:rPr>
        <w:t xml:space="preserve">committed </w:t>
      </w:r>
      <w:r w:rsidRPr="003171CD">
        <w:rPr>
          <w:rFonts w:cs="Arial"/>
          <w:lang w:val="en-US"/>
        </w:rPr>
        <w:t xml:space="preserve">in the identity parade and </w:t>
      </w:r>
      <w:r w:rsidR="00395C36" w:rsidRPr="003171CD">
        <w:rPr>
          <w:rFonts w:cs="Arial"/>
          <w:lang w:val="en-US"/>
        </w:rPr>
        <w:t xml:space="preserve">preventing him from exercising </w:t>
      </w:r>
      <w:r w:rsidR="007F7227" w:rsidRPr="003171CD">
        <w:rPr>
          <w:rFonts w:cs="Arial"/>
          <w:lang w:val="en-US"/>
        </w:rPr>
        <w:t xml:space="preserve">his </w:t>
      </w:r>
      <w:r w:rsidRPr="003171CD">
        <w:rPr>
          <w:rFonts w:cs="Arial"/>
          <w:lang w:val="en-US"/>
        </w:rPr>
        <w:t>material</w:t>
      </w:r>
      <w:r w:rsidR="007F7227" w:rsidRPr="003171CD">
        <w:rPr>
          <w:rFonts w:cs="Arial"/>
          <w:lang w:val="en-US"/>
        </w:rPr>
        <w:t xml:space="preserve"> defense</w:t>
      </w:r>
      <w:r w:rsidRPr="003171CD">
        <w:rPr>
          <w:rFonts w:cs="Arial"/>
          <w:lang w:val="en-US"/>
        </w:rPr>
        <w:t>; ii) the prosecutors</w:t>
      </w:r>
      <w:r w:rsidR="007F7227" w:rsidRPr="003171CD">
        <w:rPr>
          <w:rFonts w:cs="Arial"/>
          <w:lang w:val="en-US"/>
        </w:rPr>
        <w:t xml:space="preserve">’ </w:t>
      </w:r>
      <w:r w:rsidR="003A2C9B" w:rsidRPr="003171CD">
        <w:rPr>
          <w:rFonts w:cs="Arial"/>
          <w:lang w:val="en-US"/>
        </w:rPr>
        <w:t xml:space="preserve">performance </w:t>
      </w:r>
      <w:r w:rsidRPr="003171CD">
        <w:rPr>
          <w:rFonts w:cs="Arial"/>
          <w:lang w:val="en-US"/>
        </w:rPr>
        <w:t>violated the principles of promoti</w:t>
      </w:r>
      <w:r w:rsidR="007F7227" w:rsidRPr="003171CD">
        <w:rPr>
          <w:rFonts w:cs="Arial"/>
          <w:lang w:val="en-US"/>
        </w:rPr>
        <w:t xml:space="preserve">ng </w:t>
      </w:r>
      <w:r w:rsidRPr="003171CD">
        <w:rPr>
          <w:rFonts w:cs="Arial"/>
          <w:lang w:val="en-US"/>
        </w:rPr>
        <w:t>investigation</w:t>
      </w:r>
      <w:r w:rsidR="007F7227" w:rsidRPr="003171CD">
        <w:rPr>
          <w:rFonts w:cs="Arial"/>
          <w:lang w:val="en-US"/>
        </w:rPr>
        <w:t>s on their own initiative</w:t>
      </w:r>
      <w:r w:rsidRPr="003171CD">
        <w:rPr>
          <w:rFonts w:cs="Arial"/>
          <w:lang w:val="en-US"/>
        </w:rPr>
        <w:t xml:space="preserve">, impartiality and objectivity </w:t>
      </w:r>
      <w:r w:rsidR="00101A14" w:rsidRPr="003171CD">
        <w:rPr>
          <w:rFonts w:cs="Arial"/>
          <w:lang w:val="en-US"/>
        </w:rPr>
        <w:t>by failing to investigate</w:t>
      </w:r>
      <w:r w:rsidRPr="003171CD">
        <w:rPr>
          <w:rFonts w:cs="Arial"/>
          <w:lang w:val="en-US"/>
        </w:rPr>
        <w:t xml:space="preserve"> </w:t>
      </w:r>
      <w:r w:rsidR="00101A14" w:rsidRPr="003171CD">
        <w:rPr>
          <w:rFonts w:cs="Arial"/>
          <w:lang w:val="en-US"/>
        </w:rPr>
        <w:t xml:space="preserve">the </w:t>
      </w:r>
      <w:r w:rsidR="007F7227" w:rsidRPr="003171CD">
        <w:rPr>
          <w:rFonts w:cs="Arial"/>
          <w:lang w:val="en-US"/>
        </w:rPr>
        <w:t>mitigating</w:t>
      </w:r>
      <w:r w:rsidR="00101A14" w:rsidRPr="003171CD">
        <w:rPr>
          <w:rFonts w:cs="Arial"/>
          <w:lang w:val="en-US"/>
        </w:rPr>
        <w:t xml:space="preserve"> </w:t>
      </w:r>
      <w:r w:rsidRPr="003171CD">
        <w:rPr>
          <w:rFonts w:cs="Arial"/>
          <w:lang w:val="en-US"/>
        </w:rPr>
        <w:t xml:space="preserve">circumstances, and iii) the </w:t>
      </w:r>
      <w:r w:rsidR="007F7227" w:rsidRPr="003171CD">
        <w:rPr>
          <w:rFonts w:cs="Arial"/>
          <w:lang w:val="en-US"/>
        </w:rPr>
        <w:t xml:space="preserve">Magistrate’s Court </w:t>
      </w:r>
      <w:r w:rsidR="00493404" w:rsidRPr="003171CD">
        <w:rPr>
          <w:rFonts w:cs="Arial"/>
          <w:lang w:val="en-US"/>
        </w:rPr>
        <w:t>of Tona</w:t>
      </w:r>
      <w:r w:rsidRPr="003171CD">
        <w:rPr>
          <w:rFonts w:cs="Arial"/>
          <w:lang w:val="en-US"/>
        </w:rPr>
        <w:t xml:space="preserve">catepeque </w:t>
      </w:r>
      <w:r w:rsidR="007F7227" w:rsidRPr="003171CD">
        <w:rPr>
          <w:rFonts w:cs="Arial"/>
          <w:lang w:val="en-US"/>
        </w:rPr>
        <w:t xml:space="preserve">ignored </w:t>
      </w:r>
      <w:r w:rsidR="0073623A" w:rsidRPr="003171CD">
        <w:rPr>
          <w:rFonts w:cs="Arial"/>
          <w:lang w:val="en-US"/>
        </w:rPr>
        <w:t xml:space="preserve">all </w:t>
      </w:r>
      <w:r w:rsidRPr="003171CD">
        <w:rPr>
          <w:rFonts w:cs="Arial"/>
          <w:lang w:val="en-US"/>
        </w:rPr>
        <w:t xml:space="preserve">the irregularities </w:t>
      </w:r>
      <w:r w:rsidR="00101A14" w:rsidRPr="003171CD">
        <w:rPr>
          <w:rFonts w:cs="Arial"/>
          <w:lang w:val="en-US"/>
        </w:rPr>
        <w:t>that had</w:t>
      </w:r>
      <w:r w:rsidR="007F7227" w:rsidRPr="003171CD">
        <w:rPr>
          <w:rFonts w:cs="Arial"/>
          <w:lang w:val="en-US"/>
        </w:rPr>
        <w:t xml:space="preserve"> taken place </w:t>
      </w:r>
      <w:r w:rsidR="009065C2" w:rsidRPr="003171CD">
        <w:rPr>
          <w:rFonts w:cs="Arial"/>
          <w:lang w:val="en-US"/>
        </w:rPr>
        <w:t xml:space="preserve">prior to hearing </w:t>
      </w:r>
      <w:r w:rsidR="007F7227" w:rsidRPr="003171CD">
        <w:rPr>
          <w:rFonts w:cs="Arial"/>
          <w:lang w:val="en-US"/>
        </w:rPr>
        <w:t xml:space="preserve">the </w:t>
      </w:r>
      <w:r w:rsidRPr="003171CD">
        <w:rPr>
          <w:rFonts w:cs="Arial"/>
          <w:lang w:val="en-US"/>
        </w:rPr>
        <w:t>case and the</w:t>
      </w:r>
      <w:r w:rsidR="00493404" w:rsidRPr="003171CD">
        <w:rPr>
          <w:rFonts w:cs="Arial"/>
          <w:lang w:val="en-US"/>
        </w:rPr>
        <w:t xml:space="preserve"> Judge of First Instance of Tona</w:t>
      </w:r>
      <w:r w:rsidRPr="003171CD">
        <w:rPr>
          <w:rFonts w:cs="Arial"/>
          <w:lang w:val="en-US"/>
        </w:rPr>
        <w:t xml:space="preserve">catepeque </w:t>
      </w:r>
      <w:r w:rsidR="00101A14" w:rsidRPr="003171CD">
        <w:rPr>
          <w:rFonts w:cs="Arial"/>
          <w:lang w:val="en-US"/>
        </w:rPr>
        <w:t xml:space="preserve">endorsed </w:t>
      </w:r>
      <w:r w:rsidRPr="003171CD">
        <w:rPr>
          <w:rFonts w:cs="Arial"/>
          <w:lang w:val="en-US"/>
        </w:rPr>
        <w:t xml:space="preserve">the irregularities </w:t>
      </w:r>
      <w:r w:rsidR="00663EBA" w:rsidRPr="003171CD">
        <w:rPr>
          <w:rFonts w:cs="Arial"/>
          <w:lang w:val="en-US"/>
        </w:rPr>
        <w:t>by not exercising an</w:t>
      </w:r>
      <w:r w:rsidR="0073623A" w:rsidRPr="003171CD">
        <w:rPr>
          <w:rFonts w:cs="Arial"/>
          <w:lang w:val="en-US"/>
        </w:rPr>
        <w:t xml:space="preserve"> effective </w:t>
      </w:r>
      <w:r w:rsidRPr="003171CD">
        <w:rPr>
          <w:rFonts w:cs="Arial"/>
          <w:lang w:val="en-US"/>
        </w:rPr>
        <w:t xml:space="preserve">jurisdictional </w:t>
      </w:r>
      <w:r w:rsidR="0073623A" w:rsidRPr="003171CD">
        <w:rPr>
          <w:rFonts w:cs="Arial"/>
          <w:lang w:val="en-US"/>
        </w:rPr>
        <w:t xml:space="preserve">control </w:t>
      </w:r>
      <w:r w:rsidR="00663EBA" w:rsidRPr="003171CD">
        <w:rPr>
          <w:rFonts w:cs="Arial"/>
          <w:lang w:val="en-US"/>
        </w:rPr>
        <w:t xml:space="preserve">over </w:t>
      </w:r>
      <w:r w:rsidRPr="003171CD">
        <w:rPr>
          <w:rFonts w:cs="Arial"/>
          <w:lang w:val="en-US"/>
        </w:rPr>
        <w:t>the investigation</w:t>
      </w:r>
      <w:r w:rsidR="0073623A" w:rsidRPr="003171CD">
        <w:rPr>
          <w:rFonts w:cs="Arial"/>
          <w:lang w:val="en-US"/>
        </w:rPr>
        <w:t>.</w:t>
      </w:r>
      <w:r w:rsidRPr="003171CD">
        <w:rPr>
          <w:vertAlign w:val="superscript"/>
          <w:lang w:val="en-US"/>
        </w:rPr>
        <w:footnoteReference w:id="168"/>
      </w:r>
    </w:p>
    <w:p w14:paraId="107B74D8" w14:textId="77777777" w:rsidR="005A65CE" w:rsidRPr="003171CD" w:rsidRDefault="005A65CE" w:rsidP="005A65CE">
      <w:pPr>
        <w:jc w:val="both"/>
        <w:rPr>
          <w:rFonts w:cs="Arial"/>
          <w:snapToGrid/>
          <w:lang w:val="en-US" w:eastAsia="en-US"/>
        </w:rPr>
      </w:pPr>
    </w:p>
    <w:p w14:paraId="6B3E44C7"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 xml:space="preserve">On October 4, 2004, the Office of the Human Rights Ombudsman ratified its </w:t>
      </w:r>
      <w:r w:rsidR="0039316D" w:rsidRPr="003171CD">
        <w:rPr>
          <w:rFonts w:cs="Arial"/>
          <w:lang w:val="en-US"/>
        </w:rPr>
        <w:t xml:space="preserve">previous </w:t>
      </w:r>
      <w:r w:rsidR="00663EBA" w:rsidRPr="003171CD">
        <w:rPr>
          <w:rFonts w:cs="Arial"/>
          <w:lang w:val="en-US"/>
        </w:rPr>
        <w:t>resolution of June 9, 2003.</w:t>
      </w:r>
      <w:r w:rsidRPr="003171CD">
        <w:rPr>
          <w:rFonts w:cs="Arial"/>
          <w:lang w:val="en-US"/>
        </w:rPr>
        <w:t xml:space="preserve"> </w:t>
      </w:r>
      <w:r w:rsidR="00663EBA" w:rsidRPr="003171CD">
        <w:rPr>
          <w:rFonts w:cs="Arial"/>
          <w:lang w:val="en-US"/>
        </w:rPr>
        <w:t xml:space="preserve">It </w:t>
      </w:r>
      <w:r w:rsidRPr="003171CD">
        <w:rPr>
          <w:rFonts w:cs="Arial"/>
          <w:lang w:val="en-US"/>
        </w:rPr>
        <w:t>reiterated</w:t>
      </w:r>
      <w:r w:rsidR="00101A14" w:rsidRPr="003171CD">
        <w:rPr>
          <w:rFonts w:cs="Arial"/>
          <w:lang w:val="en-US"/>
        </w:rPr>
        <w:t xml:space="preserve"> the </w:t>
      </w:r>
      <w:r w:rsidRPr="003171CD">
        <w:rPr>
          <w:rFonts w:cs="Arial"/>
          <w:lang w:val="en-US"/>
        </w:rPr>
        <w:t>violations found during the pro</w:t>
      </w:r>
      <w:r w:rsidR="00663EBA" w:rsidRPr="003171CD">
        <w:rPr>
          <w:rFonts w:cs="Arial"/>
          <w:lang w:val="en-US"/>
        </w:rPr>
        <w:t xml:space="preserve">secution and trial of </w:t>
      </w:r>
      <w:r w:rsidR="00821AEF" w:rsidRPr="003171CD">
        <w:rPr>
          <w:rFonts w:cs="Arial"/>
          <w:lang w:val="en-US"/>
        </w:rPr>
        <w:t>Mr.</w:t>
      </w:r>
      <w:r w:rsidR="00101A14" w:rsidRPr="003171CD">
        <w:rPr>
          <w:rFonts w:cs="Arial"/>
          <w:lang w:val="en-US"/>
        </w:rPr>
        <w:t xml:space="preserve"> Ruano Torres;</w:t>
      </w:r>
      <w:r w:rsidRPr="003171CD">
        <w:rPr>
          <w:rFonts w:cs="Arial"/>
          <w:lang w:val="en-US"/>
        </w:rPr>
        <w:t xml:space="preserve"> the responsibility of the t</w:t>
      </w:r>
      <w:r w:rsidR="00821AEF" w:rsidRPr="003171CD">
        <w:rPr>
          <w:rFonts w:cs="Arial"/>
          <w:lang w:val="en-US"/>
        </w:rPr>
        <w:t>hree</w:t>
      </w:r>
      <w:r w:rsidRPr="003171CD">
        <w:rPr>
          <w:rFonts w:cs="Arial"/>
          <w:lang w:val="en-US"/>
        </w:rPr>
        <w:t xml:space="preserve"> public defenders, the </w:t>
      </w:r>
      <w:r w:rsidR="00663EBA" w:rsidRPr="003171CD">
        <w:rPr>
          <w:rFonts w:cs="Arial"/>
          <w:lang w:val="en-US"/>
        </w:rPr>
        <w:t xml:space="preserve">Office of the Attorney General </w:t>
      </w:r>
      <w:r w:rsidRPr="003171CD">
        <w:rPr>
          <w:rFonts w:cs="Arial"/>
          <w:lang w:val="en-US"/>
        </w:rPr>
        <w:t xml:space="preserve">and the </w:t>
      </w:r>
      <w:r w:rsidR="00663EBA" w:rsidRPr="003171CD">
        <w:rPr>
          <w:rFonts w:cs="Arial"/>
          <w:lang w:val="en-US"/>
        </w:rPr>
        <w:t xml:space="preserve">various </w:t>
      </w:r>
      <w:r w:rsidRPr="003171CD">
        <w:rPr>
          <w:rFonts w:cs="Arial"/>
          <w:lang w:val="en-US"/>
        </w:rPr>
        <w:t xml:space="preserve">judges </w:t>
      </w:r>
      <w:r w:rsidR="00821AEF" w:rsidRPr="003171CD">
        <w:rPr>
          <w:rFonts w:cs="Arial"/>
          <w:lang w:val="en-US"/>
        </w:rPr>
        <w:t xml:space="preserve">who </w:t>
      </w:r>
      <w:r w:rsidRPr="003171CD">
        <w:rPr>
          <w:rFonts w:cs="Arial"/>
          <w:lang w:val="en-US"/>
        </w:rPr>
        <w:t>participa</w:t>
      </w:r>
      <w:r w:rsidR="00821AEF" w:rsidRPr="003171CD">
        <w:rPr>
          <w:rFonts w:cs="Arial"/>
          <w:lang w:val="en-US"/>
        </w:rPr>
        <w:t>ted in the proceedings</w:t>
      </w:r>
      <w:r w:rsidR="00101A14" w:rsidRPr="003171CD">
        <w:rPr>
          <w:rFonts w:cs="Arial"/>
          <w:lang w:val="en-US"/>
        </w:rPr>
        <w:t>;</w:t>
      </w:r>
      <w:r w:rsidRPr="003171CD">
        <w:rPr>
          <w:rFonts w:cs="Arial"/>
          <w:lang w:val="en-US"/>
        </w:rPr>
        <w:t xml:space="preserve"> and</w:t>
      </w:r>
      <w:r w:rsidR="00101A14" w:rsidRPr="003171CD">
        <w:rPr>
          <w:rFonts w:cs="Arial"/>
          <w:lang w:val="en-US"/>
        </w:rPr>
        <w:t>, it</w:t>
      </w:r>
      <w:r w:rsidRPr="003171CD">
        <w:rPr>
          <w:rFonts w:cs="Arial"/>
          <w:lang w:val="en-US"/>
        </w:rPr>
        <w:t xml:space="preserve"> </w:t>
      </w:r>
      <w:r w:rsidR="00663EBA" w:rsidRPr="003171CD">
        <w:rPr>
          <w:rFonts w:cs="Arial"/>
          <w:lang w:val="en-US"/>
        </w:rPr>
        <w:t xml:space="preserve">requested that </w:t>
      </w:r>
      <w:r w:rsidRPr="003171CD">
        <w:rPr>
          <w:rFonts w:cs="Arial"/>
          <w:lang w:val="en-US"/>
        </w:rPr>
        <w:t xml:space="preserve">the public defenders </w:t>
      </w:r>
      <w:r w:rsidR="009065C2" w:rsidRPr="003171CD">
        <w:rPr>
          <w:rFonts w:cs="Arial"/>
          <w:lang w:val="en-US"/>
        </w:rPr>
        <w:t xml:space="preserve">seek </w:t>
      </w:r>
      <w:r w:rsidR="00821AEF" w:rsidRPr="003171CD">
        <w:rPr>
          <w:rFonts w:cs="Arial"/>
          <w:lang w:val="en-US"/>
        </w:rPr>
        <w:t xml:space="preserve">a </w:t>
      </w:r>
      <w:r w:rsidRPr="003171CD">
        <w:rPr>
          <w:rFonts w:cs="Arial"/>
          <w:lang w:val="en-US"/>
        </w:rPr>
        <w:t xml:space="preserve">review of </w:t>
      </w:r>
      <w:r w:rsidR="00663EBA" w:rsidRPr="003171CD">
        <w:rPr>
          <w:rFonts w:cs="Arial"/>
          <w:lang w:val="en-US"/>
        </w:rPr>
        <w:t xml:space="preserve">the judgment against </w:t>
      </w:r>
      <w:r w:rsidRPr="003171CD">
        <w:rPr>
          <w:rFonts w:cs="Arial"/>
          <w:lang w:val="en-US"/>
        </w:rPr>
        <w:t>Mr. Ruano Torres.</w:t>
      </w:r>
      <w:r w:rsidRPr="003171CD">
        <w:rPr>
          <w:vertAlign w:val="superscript"/>
          <w:lang w:val="en-US"/>
        </w:rPr>
        <w:footnoteReference w:id="169"/>
      </w:r>
    </w:p>
    <w:p w14:paraId="4EE17CFB" w14:textId="77777777" w:rsidR="005A65CE" w:rsidRPr="003171CD" w:rsidRDefault="005A65CE" w:rsidP="005A65CE">
      <w:pPr>
        <w:jc w:val="both"/>
        <w:rPr>
          <w:rFonts w:eastAsiaTheme="minorHAnsi" w:cs="Arial"/>
          <w:snapToGrid/>
          <w:lang w:val="en-US" w:eastAsia="en-US"/>
        </w:rPr>
      </w:pPr>
      <w:bookmarkStart w:id="40" w:name="_Toc416260576"/>
      <w:bookmarkStart w:id="41" w:name="_Toc416260684"/>
    </w:p>
    <w:p w14:paraId="3B84783C" w14:textId="77777777" w:rsidR="005A65CE" w:rsidRPr="003171CD" w:rsidRDefault="005A65CE" w:rsidP="005A65CE">
      <w:pPr>
        <w:jc w:val="both"/>
        <w:rPr>
          <w:rFonts w:eastAsiaTheme="minorHAnsi" w:cs="Arial"/>
          <w:snapToGrid/>
          <w:lang w:val="en-US" w:eastAsia="en-US"/>
        </w:rPr>
      </w:pPr>
    </w:p>
    <w:p w14:paraId="64056179" w14:textId="77777777" w:rsidR="005A65CE" w:rsidRPr="003171CD" w:rsidRDefault="005A65CE" w:rsidP="005A65CE">
      <w:pPr>
        <w:keepNext/>
        <w:keepLines/>
        <w:tabs>
          <w:tab w:val="left" w:pos="851"/>
        </w:tabs>
        <w:jc w:val="center"/>
        <w:outlineLvl w:val="0"/>
        <w:rPr>
          <w:rFonts w:eastAsia="Times New Roman" w:cs="Arial"/>
          <w:b/>
          <w:bCs/>
          <w:caps/>
          <w:snapToGrid/>
          <w:lang w:val="en-US" w:eastAsia="en-US"/>
        </w:rPr>
      </w:pPr>
      <w:bookmarkStart w:id="42" w:name="_Toc45186705"/>
      <w:r w:rsidRPr="003171CD">
        <w:rPr>
          <w:rFonts w:eastAsia="Times New Roman" w:cs="Arial"/>
          <w:b/>
          <w:bCs/>
          <w:caps/>
          <w:snapToGrid/>
          <w:lang w:val="en-US" w:eastAsia="en-US"/>
        </w:rPr>
        <w:t>VII</w:t>
      </w:r>
      <w:r w:rsidRPr="003171CD">
        <w:rPr>
          <w:rFonts w:eastAsia="Times New Roman" w:cs="Arial"/>
          <w:b/>
          <w:bCs/>
          <w:caps/>
          <w:snapToGrid/>
          <w:lang w:val="en-US" w:eastAsia="en-US"/>
        </w:rPr>
        <w:br/>
      </w:r>
      <w:bookmarkEnd w:id="40"/>
      <w:bookmarkEnd w:id="41"/>
      <w:r w:rsidRPr="003171CD">
        <w:rPr>
          <w:rFonts w:eastAsia="Times New Roman" w:cs="Arial"/>
          <w:b/>
          <w:bCs/>
          <w:caps/>
          <w:snapToGrid/>
          <w:lang w:val="en-US" w:eastAsia="en-US"/>
        </w:rPr>
        <w:t>MERITS</w:t>
      </w:r>
      <w:bookmarkEnd w:id="42"/>
    </w:p>
    <w:p w14:paraId="3D794A54" w14:textId="77777777" w:rsidR="005A65CE" w:rsidRPr="003171CD" w:rsidRDefault="005A65CE" w:rsidP="005A65CE">
      <w:pPr>
        <w:jc w:val="both"/>
        <w:rPr>
          <w:rFonts w:eastAsiaTheme="minorHAnsi" w:cs="Arial"/>
          <w:snapToGrid/>
          <w:lang w:val="en-US" w:eastAsia="en-US"/>
        </w:rPr>
      </w:pPr>
    </w:p>
    <w:p w14:paraId="71255D84" w14:textId="77777777" w:rsidR="005A65CE" w:rsidRPr="003171CD" w:rsidRDefault="00E4091D" w:rsidP="005A65CE">
      <w:pPr>
        <w:pStyle w:val="Prrafodelista"/>
        <w:numPr>
          <w:ilvl w:val="0"/>
          <w:numId w:val="1"/>
        </w:numPr>
        <w:tabs>
          <w:tab w:val="left" w:pos="720"/>
          <w:tab w:val="num" w:pos="5057"/>
        </w:tabs>
        <w:ind w:right="-90"/>
        <w:jc w:val="both"/>
        <w:rPr>
          <w:rFonts w:eastAsiaTheme="minorHAnsi" w:cs="Arial"/>
          <w:lang w:val="en-US"/>
        </w:rPr>
      </w:pPr>
      <w:bookmarkStart w:id="43" w:name="_Ref241298131"/>
      <w:r w:rsidRPr="003171CD">
        <w:rPr>
          <w:rFonts w:eastAsia="MS Mincho"/>
          <w:lang w:val="en-US"/>
        </w:rPr>
        <w:t>A</w:t>
      </w:r>
      <w:r w:rsidR="00821AEF" w:rsidRPr="003171CD">
        <w:rPr>
          <w:rFonts w:eastAsia="MS Mincho"/>
          <w:lang w:val="en-US"/>
        </w:rPr>
        <w:t>s it has in other cases,</w:t>
      </w:r>
      <w:r w:rsidR="005A65CE" w:rsidRPr="003171CD">
        <w:rPr>
          <w:rFonts w:eastAsia="MS Mincho"/>
          <w:vertAlign w:val="superscript"/>
          <w:lang w:val="en-US"/>
        </w:rPr>
        <w:footnoteReference w:id="170"/>
      </w:r>
      <w:bookmarkEnd w:id="43"/>
      <w:r w:rsidR="005A65CE" w:rsidRPr="003171CD">
        <w:rPr>
          <w:rFonts w:eastAsia="MS Mincho"/>
          <w:lang w:val="en-US"/>
        </w:rPr>
        <w:t xml:space="preserve"> this Court </w:t>
      </w:r>
      <w:r w:rsidRPr="003171CD">
        <w:rPr>
          <w:rFonts w:eastAsia="MS Mincho"/>
          <w:lang w:val="en-US"/>
        </w:rPr>
        <w:t xml:space="preserve">deems it essential to reiterate that it </w:t>
      </w:r>
      <w:r w:rsidR="005A65CE" w:rsidRPr="003171CD">
        <w:rPr>
          <w:rFonts w:eastAsia="MS Mincho"/>
          <w:lang w:val="en-US"/>
        </w:rPr>
        <w:t>does not a</w:t>
      </w:r>
      <w:r w:rsidR="00267D79" w:rsidRPr="003171CD">
        <w:rPr>
          <w:rFonts w:eastAsia="MS Mincho"/>
          <w:lang w:val="en-US"/>
        </w:rPr>
        <w:t xml:space="preserve">ssess </w:t>
      </w:r>
      <w:r w:rsidR="005A65CE" w:rsidRPr="003171CD">
        <w:rPr>
          <w:rFonts w:eastAsia="MS Mincho"/>
          <w:lang w:val="en-US"/>
        </w:rPr>
        <w:t xml:space="preserve">the criminal responsibility of individuals. </w:t>
      </w:r>
      <w:r w:rsidRPr="003171CD">
        <w:rPr>
          <w:rFonts w:eastAsia="MS Mincho"/>
          <w:lang w:val="en-US"/>
        </w:rPr>
        <w:t xml:space="preserve">Consequently, </w:t>
      </w:r>
      <w:r w:rsidR="005A65CE" w:rsidRPr="003171CD">
        <w:rPr>
          <w:rFonts w:eastAsia="MS Mincho"/>
          <w:lang w:val="en-US"/>
        </w:rPr>
        <w:t>in th</w:t>
      </w:r>
      <w:r w:rsidRPr="003171CD">
        <w:rPr>
          <w:rFonts w:eastAsia="MS Mincho"/>
          <w:lang w:val="en-US"/>
        </w:rPr>
        <w:t>is</w:t>
      </w:r>
      <w:r w:rsidR="00821AEF" w:rsidRPr="003171CD">
        <w:rPr>
          <w:rFonts w:eastAsia="MS Mincho"/>
          <w:lang w:val="en-US"/>
        </w:rPr>
        <w:t xml:space="preserve"> </w:t>
      </w:r>
      <w:r w:rsidR="005A65CE" w:rsidRPr="003171CD">
        <w:rPr>
          <w:rFonts w:eastAsia="MS Mincho"/>
          <w:lang w:val="en-US"/>
        </w:rPr>
        <w:t xml:space="preserve">case the Court </w:t>
      </w:r>
      <w:r w:rsidR="00821AEF" w:rsidRPr="003171CD">
        <w:rPr>
          <w:rFonts w:eastAsia="MS Mincho"/>
          <w:lang w:val="en-US"/>
        </w:rPr>
        <w:t xml:space="preserve">will not rule </w:t>
      </w:r>
      <w:r w:rsidR="005A65CE" w:rsidRPr="003171CD">
        <w:rPr>
          <w:rFonts w:eastAsia="MS Mincho"/>
          <w:lang w:val="en-US"/>
        </w:rPr>
        <w:t>o</w:t>
      </w:r>
      <w:r w:rsidR="00821AEF" w:rsidRPr="003171CD">
        <w:rPr>
          <w:rFonts w:eastAsia="MS Mincho"/>
          <w:lang w:val="en-US"/>
        </w:rPr>
        <w:t xml:space="preserve">n the </w:t>
      </w:r>
      <w:r w:rsidR="00267D79" w:rsidRPr="003171CD">
        <w:rPr>
          <w:rFonts w:eastAsia="MS Mincho"/>
          <w:lang w:val="en-US"/>
        </w:rPr>
        <w:t xml:space="preserve">guilt </w:t>
      </w:r>
      <w:r w:rsidR="00821AEF" w:rsidRPr="003171CD">
        <w:rPr>
          <w:rFonts w:eastAsia="MS Mincho"/>
          <w:lang w:val="en-US"/>
        </w:rPr>
        <w:t xml:space="preserve">or </w:t>
      </w:r>
      <w:r w:rsidR="00821AEF" w:rsidRPr="003171CD">
        <w:rPr>
          <w:rFonts w:eastAsia="MS Mincho"/>
          <w:lang w:val="en-US"/>
        </w:rPr>
        <w:lastRenderedPageBreak/>
        <w:t xml:space="preserve">innocence of </w:t>
      </w:r>
      <w:r w:rsidR="005A65CE" w:rsidRPr="003171CD">
        <w:rPr>
          <w:rFonts w:eastAsia="MS Mincho"/>
          <w:lang w:val="en-US"/>
        </w:rPr>
        <w:t>Mr. Ruano Torres</w:t>
      </w:r>
      <w:r w:rsidR="00E72BD9" w:rsidRPr="003171CD">
        <w:rPr>
          <w:rFonts w:eastAsia="MS Mincho"/>
          <w:lang w:val="en-US"/>
        </w:rPr>
        <w:t xml:space="preserve"> or any of the other persons who were tried with him</w:t>
      </w:r>
      <w:r w:rsidR="00B007CD" w:rsidRPr="003171CD">
        <w:rPr>
          <w:rFonts w:eastAsia="MS Mincho"/>
          <w:lang w:val="en-US"/>
        </w:rPr>
        <w:t>.</w:t>
      </w:r>
      <w:r w:rsidR="005A65CE" w:rsidRPr="003171CD">
        <w:rPr>
          <w:rFonts w:eastAsiaTheme="minorHAnsi" w:cs="Arial"/>
          <w:lang w:val="en-US"/>
        </w:rPr>
        <w:t xml:space="preserve"> </w:t>
      </w:r>
      <w:r w:rsidR="00B007CD" w:rsidRPr="003171CD">
        <w:rPr>
          <w:rFonts w:eastAsiaTheme="minorHAnsi" w:cs="Arial"/>
          <w:lang w:val="en-US"/>
        </w:rPr>
        <w:t xml:space="preserve">Instead, </w:t>
      </w:r>
      <w:r w:rsidR="000A3273" w:rsidRPr="003171CD">
        <w:rPr>
          <w:rFonts w:eastAsiaTheme="minorHAnsi" w:cs="Arial"/>
          <w:lang w:val="en-US"/>
        </w:rPr>
        <w:t xml:space="preserve">it will consider whether the criminal proceedings and the acts of certain public officials in this case </w:t>
      </w:r>
      <w:r w:rsidR="00B007CD" w:rsidRPr="003171CD">
        <w:rPr>
          <w:rFonts w:eastAsiaTheme="minorHAnsi" w:cs="Arial"/>
          <w:lang w:val="en-US"/>
        </w:rPr>
        <w:t xml:space="preserve">are compatible with </w:t>
      </w:r>
      <w:r w:rsidR="000A3273" w:rsidRPr="003171CD">
        <w:rPr>
          <w:rFonts w:eastAsiaTheme="minorHAnsi" w:cs="Arial"/>
          <w:lang w:val="en-US"/>
        </w:rPr>
        <w:t>the American Convention</w:t>
      </w:r>
      <w:r w:rsidR="005A65CE" w:rsidRPr="003171CD">
        <w:rPr>
          <w:rFonts w:eastAsiaTheme="minorHAnsi" w:cs="Arial"/>
          <w:lang w:val="en-US"/>
        </w:rPr>
        <w:t>.</w:t>
      </w:r>
      <w:r w:rsidR="005A65CE" w:rsidRPr="003171CD">
        <w:rPr>
          <w:rFonts w:eastAsiaTheme="minorHAnsi"/>
          <w:vertAlign w:val="superscript"/>
          <w:lang w:val="en-US"/>
        </w:rPr>
        <w:footnoteReference w:id="171"/>
      </w:r>
      <w:r w:rsidR="005A65CE" w:rsidRPr="003171CD">
        <w:rPr>
          <w:rFonts w:eastAsia="MS Mincho"/>
          <w:lang w:val="en-US"/>
        </w:rPr>
        <w:t xml:space="preserve"> </w:t>
      </w:r>
      <w:r w:rsidR="000A3273" w:rsidRPr="003171CD">
        <w:rPr>
          <w:rFonts w:eastAsia="MS Mincho"/>
          <w:lang w:val="en-US"/>
        </w:rPr>
        <w:t xml:space="preserve">In this </w:t>
      </w:r>
      <w:r w:rsidR="00B007CD" w:rsidRPr="003171CD">
        <w:rPr>
          <w:rFonts w:eastAsia="MS Mincho"/>
          <w:lang w:val="en-US"/>
        </w:rPr>
        <w:t>regard</w:t>
      </w:r>
      <w:r w:rsidR="000A3273" w:rsidRPr="003171CD">
        <w:rPr>
          <w:rFonts w:eastAsiaTheme="minorHAnsi" w:cs="Arial"/>
          <w:lang w:val="en-US"/>
        </w:rPr>
        <w:t>, the Court has established that “[</w:t>
      </w:r>
      <w:r w:rsidR="00B007CD" w:rsidRPr="003171CD">
        <w:rPr>
          <w:lang w:val="en-US"/>
        </w:rPr>
        <w:t>t</w:t>
      </w:r>
      <w:r w:rsidR="000A3273" w:rsidRPr="003171CD">
        <w:rPr>
          <w:lang w:val="en-US"/>
        </w:rPr>
        <w:t>]</w:t>
      </w:r>
      <w:r w:rsidR="00B007CD" w:rsidRPr="003171CD">
        <w:rPr>
          <w:lang w:val="en-US"/>
        </w:rPr>
        <w:t>he elucidation of whether or not the State has violated its international obligations owing to the actions of its judicial organs may make it necessary for the Court to examine the respective domestic proceedings</w:t>
      </w:r>
      <w:r w:rsidR="000A3273" w:rsidRPr="003171CD">
        <w:rPr>
          <w:rFonts w:eastAsia="MS Mincho"/>
          <w:lang w:val="en-US"/>
        </w:rPr>
        <w:t>.</w:t>
      </w:r>
      <w:r w:rsidR="005A65CE" w:rsidRPr="003171CD">
        <w:rPr>
          <w:rFonts w:eastAsiaTheme="minorHAnsi" w:cs="Arial"/>
          <w:lang w:val="en-US"/>
        </w:rPr>
        <w:t>”</w:t>
      </w:r>
      <w:r w:rsidR="005A65CE" w:rsidRPr="003171CD">
        <w:rPr>
          <w:rFonts w:eastAsiaTheme="minorHAnsi"/>
          <w:vertAlign w:val="superscript"/>
          <w:lang w:val="en-US"/>
        </w:rPr>
        <w:footnoteReference w:id="172"/>
      </w:r>
    </w:p>
    <w:p w14:paraId="41818B76" w14:textId="77777777" w:rsidR="005A65CE" w:rsidRPr="003171CD" w:rsidRDefault="005A65CE" w:rsidP="005A65CE">
      <w:pPr>
        <w:jc w:val="both"/>
        <w:rPr>
          <w:rFonts w:eastAsiaTheme="minorHAnsi" w:cs="Arial"/>
          <w:snapToGrid/>
          <w:lang w:val="en-US" w:eastAsia="en-US"/>
        </w:rPr>
      </w:pPr>
    </w:p>
    <w:p w14:paraId="21D0071C" w14:textId="77777777" w:rsidR="005A65CE" w:rsidRPr="003171CD" w:rsidRDefault="005A65CE" w:rsidP="005A65CE">
      <w:pPr>
        <w:pStyle w:val="Prrafodelista"/>
        <w:numPr>
          <w:ilvl w:val="0"/>
          <w:numId w:val="1"/>
        </w:numPr>
        <w:tabs>
          <w:tab w:val="left" w:pos="720"/>
          <w:tab w:val="num" w:pos="5057"/>
        </w:tabs>
        <w:ind w:right="-90"/>
        <w:jc w:val="both"/>
        <w:rPr>
          <w:lang w:val="en-US"/>
        </w:rPr>
      </w:pPr>
      <w:r w:rsidRPr="003171CD">
        <w:rPr>
          <w:lang w:val="en-US"/>
        </w:rPr>
        <w:t xml:space="preserve">As </w:t>
      </w:r>
      <w:r w:rsidR="00B007CD" w:rsidRPr="003171CD">
        <w:rPr>
          <w:lang w:val="en-US"/>
        </w:rPr>
        <w:t xml:space="preserve">noted </w:t>
      </w:r>
      <w:r w:rsidRPr="003171CD">
        <w:rPr>
          <w:lang w:val="en-US"/>
        </w:rPr>
        <w:t>in this Judgment (</w:t>
      </w:r>
      <w:r w:rsidRPr="003171CD">
        <w:rPr>
          <w:i/>
          <w:lang w:val="en-US"/>
        </w:rPr>
        <w:t>supra</w:t>
      </w:r>
      <w:r w:rsidRPr="003171CD">
        <w:rPr>
          <w:lang w:val="en-US"/>
        </w:rPr>
        <w:t xml:space="preserve"> paras. 25 and 35), the Court accepted the </w:t>
      </w:r>
      <w:r w:rsidR="00B007CD" w:rsidRPr="003171CD">
        <w:rPr>
          <w:lang w:val="en-US"/>
        </w:rPr>
        <w:t xml:space="preserve">State’s </w:t>
      </w:r>
      <w:r w:rsidRPr="003171CD">
        <w:rPr>
          <w:lang w:val="en-US"/>
        </w:rPr>
        <w:t xml:space="preserve">acknowledgment of international responsibility in relation to the </w:t>
      </w:r>
      <w:r w:rsidR="00B007CD" w:rsidRPr="003171CD">
        <w:rPr>
          <w:lang w:val="en-US"/>
        </w:rPr>
        <w:t>violations established by the Commission in its Merits R</w:t>
      </w:r>
      <w:r w:rsidR="00267D79" w:rsidRPr="003171CD">
        <w:rPr>
          <w:lang w:val="en-US"/>
        </w:rPr>
        <w:t>eport. In order t</w:t>
      </w:r>
      <w:r w:rsidR="000A3273" w:rsidRPr="003171CD">
        <w:rPr>
          <w:lang w:val="en-US"/>
        </w:rPr>
        <w:t xml:space="preserve">o </w:t>
      </w:r>
      <w:r w:rsidR="00B007CD" w:rsidRPr="003171CD">
        <w:rPr>
          <w:lang w:val="en-US"/>
        </w:rPr>
        <w:t xml:space="preserve">determine </w:t>
      </w:r>
      <w:r w:rsidR="000A3273" w:rsidRPr="003171CD">
        <w:rPr>
          <w:lang w:val="en-US"/>
        </w:rPr>
        <w:t xml:space="preserve">the scope of those violations, the Court will </w:t>
      </w:r>
      <w:r w:rsidR="00267D79" w:rsidRPr="003171CD">
        <w:rPr>
          <w:lang w:val="en-US"/>
        </w:rPr>
        <w:t xml:space="preserve">specify </w:t>
      </w:r>
      <w:r w:rsidRPr="003171CD">
        <w:rPr>
          <w:lang w:val="en-US"/>
        </w:rPr>
        <w:t xml:space="preserve">the human rights violations </w:t>
      </w:r>
      <w:r w:rsidR="000A3273" w:rsidRPr="003171CD">
        <w:rPr>
          <w:lang w:val="en-US"/>
        </w:rPr>
        <w:t>derived therefrom</w:t>
      </w:r>
      <w:r w:rsidRPr="003171CD">
        <w:rPr>
          <w:lang w:val="en-US"/>
        </w:rPr>
        <w:t xml:space="preserve">. </w:t>
      </w:r>
      <w:r w:rsidR="000A3273" w:rsidRPr="003171CD">
        <w:rPr>
          <w:lang w:val="en-US"/>
        </w:rPr>
        <w:t xml:space="preserve">It will then analyze the different aspects </w:t>
      </w:r>
      <w:r w:rsidR="00EA23FF" w:rsidRPr="003171CD">
        <w:rPr>
          <w:lang w:val="en-US"/>
        </w:rPr>
        <w:t xml:space="preserve">of </w:t>
      </w:r>
      <w:r w:rsidR="000A3273" w:rsidRPr="003171CD">
        <w:rPr>
          <w:lang w:val="en-US"/>
        </w:rPr>
        <w:t>the cas</w:t>
      </w:r>
      <w:r w:rsidR="00B007CD" w:rsidRPr="003171CD">
        <w:rPr>
          <w:lang w:val="en-US"/>
        </w:rPr>
        <w:t>e in relation to the right of</w:t>
      </w:r>
      <w:r w:rsidR="00EA23FF" w:rsidRPr="003171CD">
        <w:rPr>
          <w:lang w:val="en-US"/>
        </w:rPr>
        <w:t xml:space="preserve"> </w:t>
      </w:r>
      <w:r w:rsidR="000A3273" w:rsidRPr="003171CD">
        <w:rPr>
          <w:lang w:val="en-US"/>
        </w:rPr>
        <w:t>defense, since it is necessary to de</w:t>
      </w:r>
      <w:r w:rsidR="00EA23FF" w:rsidRPr="003171CD">
        <w:rPr>
          <w:lang w:val="en-US"/>
        </w:rPr>
        <w:t xml:space="preserve">fine </w:t>
      </w:r>
      <w:r w:rsidR="000A3273" w:rsidRPr="003171CD">
        <w:rPr>
          <w:lang w:val="en-US"/>
        </w:rPr>
        <w:t xml:space="preserve">the scope of the State’s responsibility regarding </w:t>
      </w:r>
      <w:r w:rsidR="006F1E1F" w:rsidRPr="003171CD">
        <w:rPr>
          <w:lang w:val="en-US"/>
        </w:rPr>
        <w:t xml:space="preserve">certain </w:t>
      </w:r>
      <w:r w:rsidR="000A3273" w:rsidRPr="003171CD">
        <w:rPr>
          <w:lang w:val="en-US"/>
        </w:rPr>
        <w:t xml:space="preserve">matters that have not been addressed previously </w:t>
      </w:r>
      <w:r w:rsidR="00B007CD" w:rsidRPr="003171CD">
        <w:rPr>
          <w:lang w:val="en-US"/>
        </w:rPr>
        <w:t>in the case law of this</w:t>
      </w:r>
      <w:r w:rsidR="000A3273" w:rsidRPr="003171CD">
        <w:rPr>
          <w:lang w:val="en-US"/>
        </w:rPr>
        <w:t xml:space="preserve"> Court</w:t>
      </w:r>
      <w:r w:rsidRPr="003171CD">
        <w:rPr>
          <w:lang w:val="en-US"/>
        </w:rPr>
        <w:t xml:space="preserve">. </w:t>
      </w:r>
      <w:r w:rsidR="00EA23FF" w:rsidRPr="003171CD">
        <w:rPr>
          <w:bCs/>
          <w:lang w:val="en-US"/>
        </w:rPr>
        <w:t>T</w:t>
      </w:r>
      <w:r w:rsidRPr="003171CD">
        <w:rPr>
          <w:bCs/>
          <w:lang w:val="en-US"/>
        </w:rPr>
        <w:t xml:space="preserve">he Court </w:t>
      </w:r>
      <w:r w:rsidR="000A3273" w:rsidRPr="003171CD">
        <w:rPr>
          <w:bCs/>
          <w:lang w:val="en-US"/>
        </w:rPr>
        <w:t xml:space="preserve">will </w:t>
      </w:r>
      <w:r w:rsidR="006F1E1F" w:rsidRPr="003171CD">
        <w:rPr>
          <w:bCs/>
          <w:lang w:val="en-US"/>
        </w:rPr>
        <w:t xml:space="preserve">also </w:t>
      </w:r>
      <w:r w:rsidR="00EA23FF" w:rsidRPr="003171CD">
        <w:rPr>
          <w:bCs/>
          <w:lang w:val="en-US"/>
        </w:rPr>
        <w:t xml:space="preserve">make </w:t>
      </w:r>
      <w:r w:rsidRPr="003171CD">
        <w:rPr>
          <w:bCs/>
          <w:lang w:val="en-US"/>
        </w:rPr>
        <w:t xml:space="preserve">the corresponding </w:t>
      </w:r>
      <w:r w:rsidR="005B0AD0" w:rsidRPr="003171CD">
        <w:rPr>
          <w:bCs/>
          <w:lang w:val="en-US"/>
        </w:rPr>
        <w:t>observations</w:t>
      </w:r>
      <w:r w:rsidR="00EA23FF" w:rsidRPr="003171CD">
        <w:rPr>
          <w:bCs/>
          <w:lang w:val="en-US"/>
        </w:rPr>
        <w:t xml:space="preserve"> </w:t>
      </w:r>
      <w:r w:rsidR="00F844A8" w:rsidRPr="003171CD">
        <w:rPr>
          <w:bCs/>
          <w:lang w:val="en-US"/>
        </w:rPr>
        <w:t xml:space="preserve">regarding </w:t>
      </w:r>
      <w:r w:rsidR="000A3273" w:rsidRPr="003171CD">
        <w:rPr>
          <w:bCs/>
          <w:lang w:val="en-US"/>
        </w:rPr>
        <w:t xml:space="preserve">the personal integrity of the </w:t>
      </w:r>
      <w:r w:rsidR="006F1E1F" w:rsidRPr="003171CD">
        <w:rPr>
          <w:bCs/>
          <w:lang w:val="en-US"/>
        </w:rPr>
        <w:t xml:space="preserve">victim’s </w:t>
      </w:r>
      <w:r w:rsidR="000A3273" w:rsidRPr="003171CD">
        <w:rPr>
          <w:bCs/>
          <w:lang w:val="en-US"/>
        </w:rPr>
        <w:t>next of kin</w:t>
      </w:r>
      <w:r w:rsidRPr="003171CD">
        <w:rPr>
          <w:bCs/>
          <w:lang w:val="en-US"/>
        </w:rPr>
        <w:t>.</w:t>
      </w:r>
    </w:p>
    <w:p w14:paraId="44AD7D76" w14:textId="77777777" w:rsidR="005A65CE" w:rsidRPr="003171CD" w:rsidRDefault="005A65CE" w:rsidP="005A65CE">
      <w:pPr>
        <w:jc w:val="both"/>
        <w:rPr>
          <w:rFonts w:eastAsiaTheme="minorHAnsi" w:cs="Arial"/>
          <w:b/>
          <w:snapToGrid/>
          <w:lang w:val="en-US" w:eastAsia="en-US"/>
        </w:rPr>
      </w:pPr>
    </w:p>
    <w:p w14:paraId="4EB2EBDC" w14:textId="77777777" w:rsidR="005A65CE" w:rsidRPr="003171CD" w:rsidRDefault="000A3273" w:rsidP="005A65CE">
      <w:pPr>
        <w:keepNext/>
        <w:keepLines/>
        <w:tabs>
          <w:tab w:val="left" w:pos="851"/>
        </w:tabs>
        <w:jc w:val="center"/>
        <w:outlineLvl w:val="0"/>
        <w:rPr>
          <w:rFonts w:eastAsia="Times New Roman" w:cs="Arial"/>
          <w:b/>
          <w:bCs/>
          <w:caps/>
          <w:snapToGrid/>
          <w:lang w:val="en-US" w:eastAsia="en-US"/>
        </w:rPr>
      </w:pPr>
      <w:bookmarkStart w:id="44" w:name="_Toc45186706"/>
      <w:r w:rsidRPr="003171CD">
        <w:rPr>
          <w:rFonts w:eastAsia="Times New Roman" w:cs="Arial"/>
          <w:b/>
          <w:bCs/>
          <w:caps/>
          <w:snapToGrid/>
          <w:lang w:val="en-US" w:eastAsia="en-US"/>
        </w:rPr>
        <w:t>VII-1</w:t>
      </w:r>
      <w:r w:rsidRPr="003171CD">
        <w:rPr>
          <w:rFonts w:eastAsia="Times New Roman" w:cs="Arial"/>
          <w:b/>
          <w:bCs/>
          <w:caps/>
          <w:snapToGrid/>
          <w:lang w:val="en-US" w:eastAsia="en-US"/>
        </w:rPr>
        <w:br/>
        <w:t xml:space="preserve">rights to </w:t>
      </w:r>
      <w:r w:rsidR="005A65CE" w:rsidRPr="003171CD">
        <w:rPr>
          <w:rFonts w:eastAsia="Times New Roman" w:cs="Arial"/>
          <w:b/>
          <w:bCs/>
          <w:caps/>
          <w:snapToGrid/>
          <w:lang w:val="en-US" w:eastAsia="en-US"/>
        </w:rPr>
        <w:t>personal integrity and the</w:t>
      </w:r>
      <w:r w:rsidR="006F1E1F" w:rsidRPr="003171CD">
        <w:rPr>
          <w:rFonts w:eastAsia="Times New Roman" w:cs="Arial"/>
          <w:b/>
          <w:bCs/>
          <w:caps/>
          <w:snapToGrid/>
          <w:lang w:val="en-US" w:eastAsia="en-US"/>
        </w:rPr>
        <w:t xml:space="preserve"> PROHIBITION of </w:t>
      </w:r>
      <w:r w:rsidR="005A65CE" w:rsidRPr="003171CD">
        <w:rPr>
          <w:rFonts w:eastAsia="Times New Roman" w:cs="Arial"/>
          <w:b/>
          <w:bCs/>
          <w:caps/>
          <w:snapToGrid/>
          <w:lang w:val="en-US" w:eastAsia="en-US"/>
        </w:rPr>
        <w:t>TORTURE, personal</w:t>
      </w:r>
      <w:r w:rsidRPr="003171CD">
        <w:rPr>
          <w:rFonts w:eastAsia="Times New Roman" w:cs="Arial"/>
          <w:b/>
          <w:bCs/>
          <w:caps/>
          <w:snapToGrid/>
          <w:lang w:val="en-US" w:eastAsia="en-US"/>
        </w:rPr>
        <w:t xml:space="preserve"> LIBERTY, presumption of </w:t>
      </w:r>
      <w:r w:rsidR="005A65CE" w:rsidRPr="003171CD">
        <w:rPr>
          <w:rFonts w:eastAsia="Times New Roman" w:cs="Arial"/>
          <w:b/>
          <w:bCs/>
          <w:caps/>
          <w:snapToGrid/>
          <w:lang w:val="en-US" w:eastAsia="en-US"/>
        </w:rPr>
        <w:t>innocence and JUDICIAL PROTECTION in relation to the obligation TO RESPECT AND GUARANTEE RIGHTS</w:t>
      </w:r>
      <w:bookmarkEnd w:id="44"/>
      <w:r w:rsidR="005A65CE" w:rsidRPr="003171CD">
        <w:rPr>
          <w:rFonts w:eastAsia="Times New Roman" w:cs="Arial"/>
          <w:b/>
          <w:bCs/>
          <w:caps/>
          <w:snapToGrid/>
          <w:lang w:val="en-US" w:eastAsia="en-US"/>
        </w:rPr>
        <w:t xml:space="preserve"> </w:t>
      </w:r>
    </w:p>
    <w:p w14:paraId="410F4883" w14:textId="77777777" w:rsidR="005A65CE" w:rsidRPr="003171CD" w:rsidRDefault="005A65CE" w:rsidP="005A65CE">
      <w:pPr>
        <w:jc w:val="both"/>
        <w:rPr>
          <w:rFonts w:eastAsiaTheme="minorHAnsi" w:cs="Arial"/>
          <w:snapToGrid/>
          <w:lang w:val="en-US" w:eastAsia="en-US"/>
        </w:rPr>
      </w:pPr>
    </w:p>
    <w:p w14:paraId="025DB185" w14:textId="77777777" w:rsidR="005A65CE" w:rsidRPr="003171CD" w:rsidRDefault="000A3273" w:rsidP="005A65CE">
      <w:pPr>
        <w:pStyle w:val="Prrafodelista"/>
        <w:numPr>
          <w:ilvl w:val="0"/>
          <w:numId w:val="1"/>
        </w:numPr>
        <w:tabs>
          <w:tab w:val="left" w:pos="720"/>
          <w:tab w:val="num" w:pos="5057"/>
        </w:tabs>
        <w:ind w:right="-90"/>
        <w:jc w:val="both"/>
        <w:rPr>
          <w:lang w:val="en-US"/>
        </w:rPr>
      </w:pPr>
      <w:r w:rsidRPr="003171CD">
        <w:rPr>
          <w:lang w:val="en-US"/>
        </w:rPr>
        <w:t>Once the scope of the State’s a</w:t>
      </w:r>
      <w:r w:rsidR="005E294A" w:rsidRPr="003171CD">
        <w:rPr>
          <w:lang w:val="en-US"/>
        </w:rPr>
        <w:t>cquiescence</w:t>
      </w:r>
      <w:r w:rsidR="005A65CE" w:rsidRPr="003171CD">
        <w:rPr>
          <w:lang w:val="en-US"/>
        </w:rPr>
        <w:t xml:space="preserve"> </w:t>
      </w:r>
      <w:r w:rsidRPr="003171CD">
        <w:rPr>
          <w:szCs w:val="20"/>
          <w:lang w:val="en-US"/>
        </w:rPr>
        <w:t>(</w:t>
      </w:r>
      <w:r w:rsidRPr="003171CD">
        <w:rPr>
          <w:i/>
          <w:szCs w:val="20"/>
          <w:lang w:val="en-US"/>
        </w:rPr>
        <w:t>supra</w:t>
      </w:r>
      <w:r w:rsidRPr="003171CD">
        <w:rPr>
          <w:szCs w:val="20"/>
          <w:lang w:val="en-US"/>
        </w:rPr>
        <w:t xml:space="preserve"> Chapter IV)</w:t>
      </w:r>
      <w:r w:rsidR="005E294A" w:rsidRPr="003171CD">
        <w:rPr>
          <w:lang w:val="en-US"/>
        </w:rPr>
        <w:t xml:space="preserve"> has been established,</w:t>
      </w:r>
      <w:r w:rsidRPr="003171CD">
        <w:rPr>
          <w:szCs w:val="20"/>
          <w:lang w:val="en-US"/>
        </w:rPr>
        <w:t xml:space="preserve"> </w:t>
      </w:r>
      <w:r w:rsidRPr="003171CD">
        <w:rPr>
          <w:lang w:val="en-US"/>
        </w:rPr>
        <w:t xml:space="preserve">the Court will proceed to </w:t>
      </w:r>
      <w:r w:rsidR="00CD271E" w:rsidRPr="003171CD">
        <w:rPr>
          <w:lang w:val="en-US"/>
        </w:rPr>
        <w:t xml:space="preserve">determine </w:t>
      </w:r>
      <w:r w:rsidRPr="003171CD">
        <w:rPr>
          <w:lang w:val="en-US"/>
        </w:rPr>
        <w:t>the human rights violations encompassed by the State’s acknowledgment of responsibility, as well</w:t>
      </w:r>
      <w:r w:rsidR="00CD271E" w:rsidRPr="003171CD">
        <w:rPr>
          <w:lang w:val="en-US"/>
        </w:rPr>
        <w:t xml:space="preserve"> as the origin and scope of th</w:t>
      </w:r>
      <w:r w:rsidRPr="003171CD">
        <w:rPr>
          <w:lang w:val="en-US"/>
        </w:rPr>
        <w:t xml:space="preserve">e </w:t>
      </w:r>
      <w:r w:rsidR="005E294A" w:rsidRPr="003171CD">
        <w:rPr>
          <w:lang w:val="en-US"/>
        </w:rPr>
        <w:t xml:space="preserve">rights </w:t>
      </w:r>
      <w:r w:rsidRPr="003171CD">
        <w:rPr>
          <w:lang w:val="en-US"/>
        </w:rPr>
        <w:t xml:space="preserve">invoked </w:t>
      </w:r>
      <w:r w:rsidR="005E294A" w:rsidRPr="003171CD">
        <w:rPr>
          <w:lang w:val="en-US"/>
        </w:rPr>
        <w:t xml:space="preserve">autonomously </w:t>
      </w:r>
      <w:r w:rsidRPr="003171CD">
        <w:rPr>
          <w:lang w:val="en-US"/>
        </w:rPr>
        <w:t>by the representatives</w:t>
      </w:r>
      <w:r w:rsidR="005E294A" w:rsidRPr="003171CD">
        <w:rPr>
          <w:lang w:val="en-US"/>
        </w:rPr>
        <w:t>,</w:t>
      </w:r>
      <w:r w:rsidRPr="003171CD">
        <w:rPr>
          <w:lang w:val="en-US"/>
        </w:rPr>
        <w:t xml:space="preserve"> </w:t>
      </w:r>
      <w:r w:rsidR="005E294A" w:rsidRPr="003171CD">
        <w:rPr>
          <w:lang w:val="en-US"/>
        </w:rPr>
        <w:t xml:space="preserve">related </w:t>
      </w:r>
      <w:r w:rsidRPr="003171CD">
        <w:rPr>
          <w:lang w:val="en-US"/>
        </w:rPr>
        <w:t xml:space="preserve">to </w:t>
      </w:r>
      <w:r w:rsidRPr="003171CD">
        <w:rPr>
          <w:rFonts w:cs="Verdana"/>
          <w:szCs w:val="20"/>
          <w:lang w:val="en-US"/>
        </w:rPr>
        <w:t>personal integrity and the prohibition of torture, personal liberty, the presumption of innocence and judicial protection, with respect to José Agapito Ruano Torres</w:t>
      </w:r>
      <w:r w:rsidR="005A65CE" w:rsidRPr="003171CD">
        <w:rPr>
          <w:rFonts w:cs="Verdana"/>
          <w:szCs w:val="20"/>
          <w:lang w:val="en-US"/>
        </w:rPr>
        <w:t>.</w:t>
      </w:r>
    </w:p>
    <w:p w14:paraId="5F6FEC51" w14:textId="77777777" w:rsidR="005A65CE" w:rsidRPr="003171CD" w:rsidRDefault="005A65CE" w:rsidP="005A65CE">
      <w:pPr>
        <w:jc w:val="both"/>
        <w:rPr>
          <w:rFonts w:eastAsiaTheme="minorHAnsi" w:cs="Arial"/>
          <w:snapToGrid/>
          <w:lang w:val="en-US" w:eastAsia="en-US"/>
        </w:rPr>
      </w:pPr>
    </w:p>
    <w:p w14:paraId="63C9D7B0" w14:textId="77777777" w:rsidR="005A65CE" w:rsidRPr="003171CD" w:rsidRDefault="005A65CE" w:rsidP="005A65CE">
      <w:pPr>
        <w:pStyle w:val="Prrafodelista"/>
        <w:keepNext/>
        <w:keepLines/>
        <w:numPr>
          <w:ilvl w:val="0"/>
          <w:numId w:val="17"/>
        </w:numPr>
        <w:ind w:left="1418" w:hanging="709"/>
        <w:jc w:val="both"/>
        <w:outlineLvl w:val="1"/>
        <w:rPr>
          <w:rFonts w:cs="Arial"/>
          <w:b/>
          <w:i/>
          <w:lang w:val="en-US"/>
        </w:rPr>
      </w:pPr>
      <w:bookmarkStart w:id="45" w:name="_Toc45186707"/>
      <w:r w:rsidRPr="003171CD">
        <w:rPr>
          <w:rFonts w:cs="Arial"/>
          <w:b/>
          <w:i/>
          <w:lang w:val="en-US"/>
        </w:rPr>
        <w:t>Violation of the right to personal integrity and prohibition of torture to the detriment of  José Agapito Ruano Torres</w:t>
      </w:r>
      <w:bookmarkEnd w:id="45"/>
    </w:p>
    <w:p w14:paraId="516459DF" w14:textId="77777777" w:rsidR="005A65CE" w:rsidRPr="003171CD" w:rsidRDefault="005A65CE" w:rsidP="005A65CE">
      <w:pPr>
        <w:jc w:val="both"/>
        <w:rPr>
          <w:rFonts w:eastAsiaTheme="minorHAnsi" w:cs="Arial"/>
          <w:snapToGrid/>
          <w:lang w:val="en-US"/>
        </w:rPr>
      </w:pPr>
    </w:p>
    <w:p w14:paraId="11D89F2C" w14:textId="77777777" w:rsidR="005A65CE" w:rsidRPr="003171CD" w:rsidRDefault="000A3273" w:rsidP="005A65CE">
      <w:pPr>
        <w:pStyle w:val="Prrafodelista"/>
        <w:numPr>
          <w:ilvl w:val="0"/>
          <w:numId w:val="1"/>
        </w:numPr>
        <w:tabs>
          <w:tab w:val="left" w:pos="720"/>
          <w:tab w:val="num" w:pos="5057"/>
        </w:tabs>
        <w:ind w:right="-90"/>
        <w:jc w:val="both"/>
        <w:rPr>
          <w:lang w:val="en-US"/>
        </w:rPr>
      </w:pPr>
      <w:r w:rsidRPr="003171CD">
        <w:rPr>
          <w:lang w:val="en-US"/>
        </w:rPr>
        <w:t xml:space="preserve">Article 5(1) of the Convention recognizes, in general terms, the right to personal integrity, </w:t>
      </w:r>
      <w:r w:rsidR="00562878" w:rsidRPr="003171CD">
        <w:rPr>
          <w:lang w:val="en-US"/>
        </w:rPr>
        <w:t xml:space="preserve">including </w:t>
      </w:r>
      <w:r w:rsidRPr="003171CD">
        <w:rPr>
          <w:lang w:val="en-US"/>
        </w:rPr>
        <w:t>physical, mental and moral</w:t>
      </w:r>
      <w:r w:rsidR="00562878" w:rsidRPr="003171CD">
        <w:rPr>
          <w:lang w:val="en-US"/>
        </w:rPr>
        <w:t xml:space="preserve"> integrity</w:t>
      </w:r>
      <w:r w:rsidRPr="003171CD">
        <w:rPr>
          <w:lang w:val="en-US"/>
        </w:rPr>
        <w:t xml:space="preserve">. For its part, Article 5(2) establishes, more specifically, the absolute prohibition to subject a person </w:t>
      </w:r>
      <w:r w:rsidRPr="003171CD">
        <w:rPr>
          <w:color w:val="000000"/>
          <w:lang w:val="en-US"/>
        </w:rPr>
        <w:t>to tort</w:t>
      </w:r>
      <w:r w:rsidR="005E294A" w:rsidRPr="003171CD">
        <w:rPr>
          <w:color w:val="000000"/>
          <w:lang w:val="en-US"/>
        </w:rPr>
        <w:t>ure or to cruel, inhuman</w:t>
      </w:r>
      <w:r w:rsidRPr="003171CD">
        <w:rPr>
          <w:color w:val="000000"/>
          <w:lang w:val="en-US"/>
        </w:rPr>
        <w:t xml:space="preserve"> or degrading treatment</w:t>
      </w:r>
      <w:r w:rsidR="00562878" w:rsidRPr="003171CD">
        <w:rPr>
          <w:color w:val="000000"/>
          <w:lang w:val="en-US"/>
        </w:rPr>
        <w:t xml:space="preserve"> or punishment</w:t>
      </w:r>
      <w:r w:rsidRPr="003171CD">
        <w:rPr>
          <w:lang w:val="en-US"/>
        </w:rPr>
        <w:t xml:space="preserve">, as well as the right of all </w:t>
      </w:r>
      <w:r w:rsidRPr="003171CD">
        <w:rPr>
          <w:color w:val="000000"/>
          <w:lang w:val="en-US"/>
        </w:rPr>
        <w:t>persons deprived of their liberty</w:t>
      </w:r>
      <w:r w:rsidRPr="003171CD">
        <w:rPr>
          <w:lang w:val="en-US"/>
        </w:rPr>
        <w:t xml:space="preserve"> to be treated with respect for </w:t>
      </w:r>
      <w:r w:rsidR="00E72BD9" w:rsidRPr="003171CD">
        <w:rPr>
          <w:lang w:val="en-US"/>
        </w:rPr>
        <w:t>the inherent dignity of the human being</w:t>
      </w:r>
      <w:r w:rsidR="005A65CE" w:rsidRPr="003171CD">
        <w:rPr>
          <w:lang w:val="en-US"/>
        </w:rPr>
        <w:t xml:space="preserve">. </w:t>
      </w:r>
      <w:r w:rsidRPr="003171CD">
        <w:rPr>
          <w:lang w:val="en-US"/>
        </w:rPr>
        <w:t>Any violation of Article 5(2) of the Convention necessarily implies a violation of Article 5(1) thereof.</w:t>
      </w:r>
      <w:r w:rsidR="005A65CE" w:rsidRPr="003171CD">
        <w:rPr>
          <w:vertAlign w:val="superscript"/>
          <w:lang w:val="en-US"/>
        </w:rPr>
        <w:footnoteReference w:id="173"/>
      </w:r>
    </w:p>
    <w:p w14:paraId="3E5F28AF" w14:textId="77777777" w:rsidR="005A65CE" w:rsidRPr="003171CD" w:rsidRDefault="005A65CE" w:rsidP="005A65CE">
      <w:pPr>
        <w:rPr>
          <w:bCs/>
          <w:lang w:val="en-US"/>
        </w:rPr>
      </w:pPr>
    </w:p>
    <w:p w14:paraId="63A8A946" w14:textId="77777777" w:rsidR="005A65CE" w:rsidRPr="003171CD" w:rsidRDefault="00293CBD" w:rsidP="005A65CE">
      <w:pPr>
        <w:pStyle w:val="Prrafodelista"/>
        <w:numPr>
          <w:ilvl w:val="0"/>
          <w:numId w:val="1"/>
        </w:numPr>
        <w:tabs>
          <w:tab w:val="left" w:pos="720"/>
          <w:tab w:val="num" w:pos="5057"/>
        </w:tabs>
        <w:ind w:right="-90"/>
        <w:jc w:val="both"/>
        <w:rPr>
          <w:lang w:val="en-US"/>
        </w:rPr>
      </w:pPr>
      <w:r w:rsidRPr="003171CD">
        <w:rPr>
          <w:lang w:val="en-US"/>
        </w:rPr>
        <w:t>In this regard, the</w:t>
      </w:r>
      <w:r w:rsidR="00561822" w:rsidRPr="003171CD">
        <w:rPr>
          <w:lang w:val="en-US"/>
        </w:rPr>
        <w:t xml:space="preserve"> Court has indicated that the violation of a person’s right to </w:t>
      </w:r>
      <w:r w:rsidR="005A65CE" w:rsidRPr="003171CD">
        <w:rPr>
          <w:lang w:val="en-US"/>
        </w:rPr>
        <w:t xml:space="preserve">physical and </w:t>
      </w:r>
      <w:r w:rsidR="00E437BD" w:rsidRPr="003171CD">
        <w:rPr>
          <w:lang w:val="en-US"/>
        </w:rPr>
        <w:t xml:space="preserve">psychological </w:t>
      </w:r>
      <w:r w:rsidR="00561822" w:rsidRPr="003171CD">
        <w:rPr>
          <w:lang w:val="en-US"/>
        </w:rPr>
        <w:t xml:space="preserve">integrity has </w:t>
      </w:r>
      <w:r w:rsidR="00B54BB5" w:rsidRPr="003171CD">
        <w:rPr>
          <w:lang w:val="en-US"/>
        </w:rPr>
        <w:t xml:space="preserve">several gradations </w:t>
      </w:r>
      <w:r w:rsidR="00E437BD" w:rsidRPr="003171CD">
        <w:rPr>
          <w:lang w:val="en-US"/>
        </w:rPr>
        <w:t xml:space="preserve">and encompasses </w:t>
      </w:r>
      <w:r w:rsidR="00B54BB5" w:rsidRPr="003171CD">
        <w:rPr>
          <w:lang w:val="en-US"/>
        </w:rPr>
        <w:t xml:space="preserve">treatment ranging from </w:t>
      </w:r>
      <w:r w:rsidR="005A65CE" w:rsidRPr="003171CD">
        <w:rPr>
          <w:lang w:val="en-US"/>
        </w:rPr>
        <w:t>torture</w:t>
      </w:r>
      <w:r w:rsidR="00CA51A0" w:rsidRPr="003171CD">
        <w:rPr>
          <w:lang w:val="en-US"/>
        </w:rPr>
        <w:t xml:space="preserve"> </w:t>
      </w:r>
      <w:r w:rsidR="00B54BB5" w:rsidRPr="003171CD">
        <w:rPr>
          <w:lang w:val="en-US"/>
        </w:rPr>
        <w:t xml:space="preserve">to </w:t>
      </w:r>
      <w:r w:rsidR="00CA51A0" w:rsidRPr="003171CD">
        <w:rPr>
          <w:lang w:val="en-US"/>
        </w:rPr>
        <w:t xml:space="preserve">other types of </w:t>
      </w:r>
      <w:r w:rsidR="00B54BB5" w:rsidRPr="003171CD">
        <w:rPr>
          <w:lang w:val="en-US"/>
        </w:rPr>
        <w:t>humiliation or cruel, inhuman</w:t>
      </w:r>
      <w:r w:rsidR="005A65CE" w:rsidRPr="003171CD">
        <w:rPr>
          <w:lang w:val="en-US"/>
        </w:rPr>
        <w:t xml:space="preserve"> or degrading</w:t>
      </w:r>
      <w:r w:rsidR="00CA51A0" w:rsidRPr="003171CD">
        <w:rPr>
          <w:lang w:val="en-US"/>
        </w:rPr>
        <w:t xml:space="preserve"> treatment</w:t>
      </w:r>
      <w:r w:rsidR="005A65CE" w:rsidRPr="003171CD">
        <w:rPr>
          <w:lang w:val="en-US"/>
        </w:rPr>
        <w:t xml:space="preserve">, </w:t>
      </w:r>
      <w:r w:rsidR="00B54BB5" w:rsidRPr="003171CD">
        <w:rPr>
          <w:lang w:val="en-US"/>
        </w:rPr>
        <w:t xml:space="preserve">with varying degrees of physical and psychological </w:t>
      </w:r>
      <w:r w:rsidR="004071BB" w:rsidRPr="003171CD">
        <w:rPr>
          <w:lang w:val="en-US"/>
        </w:rPr>
        <w:t>harm</w:t>
      </w:r>
      <w:r w:rsidR="00B54BB5" w:rsidRPr="003171CD">
        <w:rPr>
          <w:lang w:val="en-US"/>
        </w:rPr>
        <w:t>,</w:t>
      </w:r>
      <w:r w:rsidRPr="003171CD">
        <w:rPr>
          <w:lang w:val="en-US"/>
        </w:rPr>
        <w:t xml:space="preserve"> according to </w:t>
      </w:r>
      <w:r w:rsidR="00E437BD" w:rsidRPr="003171CD">
        <w:rPr>
          <w:lang w:val="en-US"/>
        </w:rPr>
        <w:t xml:space="preserve">extrinsic and intrinsic factors </w:t>
      </w:r>
      <w:r w:rsidR="005A65CE" w:rsidRPr="003171CD">
        <w:rPr>
          <w:lang w:val="en-US"/>
        </w:rPr>
        <w:t xml:space="preserve">(duration of the </w:t>
      </w:r>
      <w:r w:rsidR="00CA51A0" w:rsidRPr="003171CD">
        <w:rPr>
          <w:lang w:val="en-US"/>
        </w:rPr>
        <w:t>mis</w:t>
      </w:r>
      <w:r w:rsidR="005A65CE" w:rsidRPr="003171CD">
        <w:rPr>
          <w:lang w:val="en-US"/>
        </w:rPr>
        <w:t>tr</w:t>
      </w:r>
      <w:r w:rsidR="00CA51A0" w:rsidRPr="003171CD">
        <w:rPr>
          <w:lang w:val="en-US"/>
        </w:rPr>
        <w:t>e</w:t>
      </w:r>
      <w:r w:rsidR="005A65CE" w:rsidRPr="003171CD">
        <w:rPr>
          <w:lang w:val="en-US"/>
        </w:rPr>
        <w:t>at</w:t>
      </w:r>
      <w:r w:rsidR="00CA51A0" w:rsidRPr="003171CD">
        <w:rPr>
          <w:lang w:val="en-US"/>
        </w:rPr>
        <w:t>ment</w:t>
      </w:r>
      <w:r w:rsidR="005A65CE" w:rsidRPr="003171CD">
        <w:rPr>
          <w:lang w:val="en-US"/>
        </w:rPr>
        <w:t xml:space="preserve">, </w:t>
      </w:r>
      <w:r w:rsidR="005A65CE" w:rsidRPr="003171CD">
        <w:rPr>
          <w:lang w:val="en-US"/>
        </w:rPr>
        <w:lastRenderedPageBreak/>
        <w:t xml:space="preserve">age, sex, </w:t>
      </w:r>
      <w:r w:rsidR="00561822" w:rsidRPr="003171CD">
        <w:rPr>
          <w:lang w:val="en-US"/>
        </w:rPr>
        <w:t>health</w:t>
      </w:r>
      <w:r w:rsidR="005A65CE" w:rsidRPr="003171CD">
        <w:rPr>
          <w:lang w:val="en-US"/>
        </w:rPr>
        <w:t>, context, vulnerability, etc.)</w:t>
      </w:r>
      <w:r w:rsidR="00F02C96" w:rsidRPr="003171CD">
        <w:rPr>
          <w:lang w:val="en-US"/>
        </w:rPr>
        <w:t>,</w:t>
      </w:r>
      <w:r w:rsidR="005A65CE" w:rsidRPr="003171CD">
        <w:rPr>
          <w:lang w:val="en-US"/>
        </w:rPr>
        <w:t xml:space="preserve"> </w:t>
      </w:r>
      <w:r w:rsidR="0051727D" w:rsidRPr="003171CD">
        <w:rPr>
          <w:lang w:val="en-US"/>
        </w:rPr>
        <w:t xml:space="preserve">which </w:t>
      </w:r>
      <w:r w:rsidR="00561822" w:rsidRPr="003171CD">
        <w:rPr>
          <w:lang w:val="en-US"/>
        </w:rPr>
        <w:t xml:space="preserve">must be </w:t>
      </w:r>
      <w:r w:rsidR="007D59F4" w:rsidRPr="003171CD">
        <w:rPr>
          <w:lang w:val="en-US"/>
        </w:rPr>
        <w:t xml:space="preserve">evaluated </w:t>
      </w:r>
      <w:r w:rsidR="00561822" w:rsidRPr="003171CD">
        <w:rPr>
          <w:lang w:val="en-US"/>
        </w:rPr>
        <w:t xml:space="preserve">in each specific </w:t>
      </w:r>
      <w:r w:rsidR="005A65CE" w:rsidRPr="003171CD">
        <w:rPr>
          <w:lang w:val="en-US"/>
        </w:rPr>
        <w:t>situation</w:t>
      </w:r>
      <w:r w:rsidR="00561822" w:rsidRPr="003171CD">
        <w:rPr>
          <w:lang w:val="en-US"/>
        </w:rPr>
        <w:t>.</w:t>
      </w:r>
      <w:r w:rsidR="005A65CE" w:rsidRPr="003171CD">
        <w:rPr>
          <w:vertAlign w:val="superscript"/>
          <w:lang w:val="en-US" w:bidi="en-US"/>
        </w:rPr>
        <w:footnoteReference w:id="174"/>
      </w:r>
      <w:r w:rsidR="005A65CE" w:rsidRPr="003171CD">
        <w:rPr>
          <w:lang w:val="en-US"/>
        </w:rPr>
        <w:t xml:space="preserve"> </w:t>
      </w:r>
      <w:r w:rsidR="00CA51A0" w:rsidRPr="003171CD">
        <w:rPr>
          <w:lang w:val="en-US"/>
        </w:rPr>
        <w:t>In other words</w:t>
      </w:r>
      <w:r w:rsidR="005A65CE" w:rsidRPr="003171CD">
        <w:rPr>
          <w:lang w:val="en-US"/>
        </w:rPr>
        <w:t xml:space="preserve">, the </w:t>
      </w:r>
      <w:r w:rsidR="00561822" w:rsidRPr="003171CD">
        <w:rPr>
          <w:lang w:val="en-US"/>
        </w:rPr>
        <w:t>personal</w:t>
      </w:r>
      <w:r w:rsidR="005A65CE" w:rsidRPr="003171CD">
        <w:rPr>
          <w:lang w:val="en-US"/>
        </w:rPr>
        <w:t xml:space="preserve"> </w:t>
      </w:r>
      <w:r w:rsidR="00F02C96" w:rsidRPr="003171CD">
        <w:rPr>
          <w:lang w:val="en-US"/>
        </w:rPr>
        <w:t xml:space="preserve">characteristics </w:t>
      </w:r>
      <w:r w:rsidR="00BC6FAE" w:rsidRPr="003171CD">
        <w:rPr>
          <w:lang w:val="en-US"/>
        </w:rPr>
        <w:t>of an alleged victim of torture or cruel, inhuman, or degrading treatment should be taken into consideration when determining whether his or her personal integrity has been violated</w:t>
      </w:r>
      <w:r w:rsidR="005A65CE" w:rsidRPr="003171CD">
        <w:rPr>
          <w:lang w:val="en-US"/>
        </w:rPr>
        <w:t xml:space="preserve">, </w:t>
      </w:r>
      <w:r w:rsidR="004071BB" w:rsidRPr="003171CD">
        <w:rPr>
          <w:lang w:val="en-US"/>
        </w:rPr>
        <w:t xml:space="preserve">since those </w:t>
      </w:r>
      <w:r w:rsidR="00F02C96" w:rsidRPr="003171CD">
        <w:rPr>
          <w:lang w:val="en-US"/>
        </w:rPr>
        <w:t xml:space="preserve">characteristics </w:t>
      </w:r>
      <w:r w:rsidR="00BC6FAE" w:rsidRPr="003171CD">
        <w:rPr>
          <w:lang w:val="en-US"/>
        </w:rPr>
        <w:t>may change the insight of his or her individual reality and, therefore, increase the suffering and the sense of humiliation when the person is subjected to certain types of treatment</w:t>
      </w:r>
      <w:r w:rsidR="005A65CE" w:rsidRPr="003171CD">
        <w:rPr>
          <w:lang w:val="en-US"/>
        </w:rPr>
        <w:t>.</w:t>
      </w:r>
      <w:r w:rsidR="005A65CE" w:rsidRPr="003171CD">
        <w:rPr>
          <w:vertAlign w:val="superscript"/>
          <w:lang w:val="en-US"/>
        </w:rPr>
        <w:footnoteReference w:id="175"/>
      </w:r>
    </w:p>
    <w:p w14:paraId="5872CB41" w14:textId="77777777" w:rsidR="005A65CE" w:rsidRPr="003171CD" w:rsidRDefault="005A65CE" w:rsidP="005A65CE">
      <w:pPr>
        <w:jc w:val="both"/>
        <w:rPr>
          <w:bCs/>
          <w:lang w:val="en-US"/>
        </w:rPr>
      </w:pPr>
    </w:p>
    <w:p w14:paraId="46EC5ADF" w14:textId="77777777" w:rsidR="005A65CE" w:rsidRPr="003171CD" w:rsidRDefault="005A65CE" w:rsidP="005A65CE">
      <w:pPr>
        <w:pStyle w:val="Prrafodelista"/>
        <w:numPr>
          <w:ilvl w:val="0"/>
          <w:numId w:val="1"/>
        </w:numPr>
        <w:tabs>
          <w:tab w:val="left" w:pos="720"/>
          <w:tab w:val="num" w:pos="5057"/>
        </w:tabs>
        <w:ind w:right="-90"/>
        <w:jc w:val="both"/>
        <w:rPr>
          <w:lang w:val="en-US"/>
        </w:rPr>
      </w:pPr>
      <w:r w:rsidRPr="003171CD">
        <w:rPr>
          <w:bCs/>
          <w:lang w:val="en-US"/>
        </w:rPr>
        <w:t>The Court</w:t>
      </w:r>
      <w:r w:rsidRPr="003171CD">
        <w:rPr>
          <w:lang w:val="en-US"/>
        </w:rPr>
        <w:t xml:space="preserve"> reitera</w:t>
      </w:r>
      <w:r w:rsidR="00561822" w:rsidRPr="003171CD">
        <w:rPr>
          <w:lang w:val="en-US"/>
        </w:rPr>
        <w:t xml:space="preserve">tes its case law </w:t>
      </w:r>
      <w:r w:rsidR="004071BB" w:rsidRPr="003171CD">
        <w:rPr>
          <w:lang w:val="en-US"/>
        </w:rPr>
        <w:t xml:space="preserve">in the sense </w:t>
      </w:r>
      <w:r w:rsidR="00561822" w:rsidRPr="003171CD">
        <w:rPr>
          <w:lang w:val="en-US"/>
        </w:rPr>
        <w:t xml:space="preserve">that </w:t>
      </w:r>
      <w:r w:rsidRPr="003171CD">
        <w:rPr>
          <w:lang w:val="en-US"/>
        </w:rPr>
        <w:t>torture and cruel, inhuma</w:t>
      </w:r>
      <w:r w:rsidR="003F7F53" w:rsidRPr="003171CD">
        <w:rPr>
          <w:lang w:val="en-US"/>
        </w:rPr>
        <w:t>n</w:t>
      </w:r>
      <w:r w:rsidRPr="003171CD">
        <w:rPr>
          <w:lang w:val="en-US"/>
        </w:rPr>
        <w:t xml:space="preserve"> or degrading </w:t>
      </w:r>
      <w:r w:rsidR="00561822" w:rsidRPr="003171CD">
        <w:rPr>
          <w:lang w:val="en-US"/>
        </w:rPr>
        <w:t xml:space="preserve">treatment or punishment </w:t>
      </w:r>
      <w:r w:rsidR="00A7543D" w:rsidRPr="003171CD">
        <w:rPr>
          <w:lang w:val="en-US"/>
        </w:rPr>
        <w:t xml:space="preserve">are </w:t>
      </w:r>
      <w:r w:rsidR="00561822" w:rsidRPr="003171CD">
        <w:rPr>
          <w:lang w:val="en-US"/>
        </w:rPr>
        <w:t xml:space="preserve">strictly prohibited </w:t>
      </w:r>
      <w:r w:rsidR="00F02C96" w:rsidRPr="003171CD">
        <w:rPr>
          <w:lang w:val="en-US"/>
        </w:rPr>
        <w:t xml:space="preserve">under </w:t>
      </w:r>
      <w:r w:rsidR="00561822" w:rsidRPr="003171CD">
        <w:rPr>
          <w:lang w:val="en-US"/>
        </w:rPr>
        <w:t>international human rights law. T</w:t>
      </w:r>
      <w:r w:rsidRPr="003171CD">
        <w:rPr>
          <w:lang w:val="en-US"/>
        </w:rPr>
        <w:t xml:space="preserve">he </w:t>
      </w:r>
      <w:r w:rsidR="00561822" w:rsidRPr="003171CD">
        <w:rPr>
          <w:lang w:val="en-US"/>
        </w:rPr>
        <w:t xml:space="preserve">absolute </w:t>
      </w:r>
      <w:r w:rsidRPr="003171CD">
        <w:rPr>
          <w:lang w:val="en-US"/>
        </w:rPr>
        <w:t xml:space="preserve">prohibition of torture, </w:t>
      </w:r>
      <w:r w:rsidR="00561822" w:rsidRPr="003171CD">
        <w:rPr>
          <w:lang w:val="en-US"/>
        </w:rPr>
        <w:t xml:space="preserve">both </w:t>
      </w:r>
      <w:r w:rsidRPr="003171CD">
        <w:rPr>
          <w:lang w:val="en-US"/>
        </w:rPr>
        <w:t xml:space="preserve">physical and psychological, </w:t>
      </w:r>
      <w:r w:rsidR="003F7F53" w:rsidRPr="003171CD">
        <w:rPr>
          <w:lang w:val="en-US"/>
        </w:rPr>
        <w:t>now</w:t>
      </w:r>
      <w:r w:rsidR="00A7543D" w:rsidRPr="003171CD">
        <w:rPr>
          <w:lang w:val="en-US"/>
        </w:rPr>
        <w:t xml:space="preserve"> </w:t>
      </w:r>
      <w:r w:rsidR="00561822" w:rsidRPr="003171CD">
        <w:rPr>
          <w:lang w:val="en-US"/>
        </w:rPr>
        <w:t xml:space="preserve">belongs to the </w:t>
      </w:r>
      <w:r w:rsidR="00A7543D" w:rsidRPr="003171CD">
        <w:rPr>
          <w:lang w:val="en-US"/>
        </w:rPr>
        <w:t>domain of</w:t>
      </w:r>
      <w:r w:rsidRPr="003171CD">
        <w:rPr>
          <w:lang w:val="en-US"/>
        </w:rPr>
        <w:t xml:space="preserve"> </w:t>
      </w:r>
      <w:r w:rsidR="0051727D" w:rsidRPr="003171CD">
        <w:rPr>
          <w:lang w:val="en-US"/>
        </w:rPr>
        <w:t xml:space="preserve">international </w:t>
      </w:r>
      <w:r w:rsidRPr="003171CD">
        <w:rPr>
          <w:i/>
          <w:lang w:val="en-US"/>
        </w:rPr>
        <w:t>ius cogens</w:t>
      </w:r>
      <w:r w:rsidR="00561822" w:rsidRPr="003171CD">
        <w:rPr>
          <w:lang w:val="en-US"/>
        </w:rPr>
        <w:t>.</w:t>
      </w:r>
      <w:r w:rsidRPr="003171CD">
        <w:rPr>
          <w:vertAlign w:val="superscript"/>
          <w:lang w:val="en-US"/>
        </w:rPr>
        <w:footnoteReference w:id="176"/>
      </w:r>
    </w:p>
    <w:p w14:paraId="74670A2E" w14:textId="77777777" w:rsidR="005A65CE" w:rsidRPr="003171CD" w:rsidRDefault="005A65CE" w:rsidP="005A65CE">
      <w:pPr>
        <w:rPr>
          <w:bCs/>
          <w:lang w:val="en-US"/>
        </w:rPr>
      </w:pPr>
    </w:p>
    <w:p w14:paraId="2FFE7981" w14:textId="77777777" w:rsidR="005A65CE" w:rsidRPr="003171CD" w:rsidRDefault="00561822" w:rsidP="005A65CE">
      <w:pPr>
        <w:pStyle w:val="Prrafodelista"/>
        <w:numPr>
          <w:ilvl w:val="0"/>
          <w:numId w:val="1"/>
        </w:numPr>
        <w:tabs>
          <w:tab w:val="left" w:pos="720"/>
          <w:tab w:val="num" w:pos="5057"/>
        </w:tabs>
        <w:ind w:right="-90"/>
        <w:jc w:val="both"/>
        <w:rPr>
          <w:lang w:val="en-US"/>
        </w:rPr>
      </w:pPr>
      <w:r w:rsidRPr="003171CD">
        <w:rPr>
          <w:lang w:val="en-US"/>
        </w:rPr>
        <w:t xml:space="preserve">That said, </w:t>
      </w:r>
      <w:r w:rsidR="00B54BB5" w:rsidRPr="003171CD">
        <w:rPr>
          <w:lang w:val="en-US"/>
        </w:rPr>
        <w:t xml:space="preserve">in order to define </w:t>
      </w:r>
      <w:r w:rsidR="004071BB" w:rsidRPr="003171CD">
        <w:rPr>
          <w:lang w:val="en-US"/>
        </w:rPr>
        <w:t xml:space="preserve">the meaning of </w:t>
      </w:r>
      <w:r w:rsidR="00B54BB5" w:rsidRPr="003171CD">
        <w:rPr>
          <w:lang w:val="en-US"/>
        </w:rPr>
        <w:t xml:space="preserve">“torture” in light of Article 5(2) of the American Convention, the Court’s case law has indicated that an act that constitutes torture is committed when the ill-treatment: (a) is intentional; (b) causes severe physical or mental suffering, and (c) is </w:t>
      </w:r>
      <w:r w:rsidR="00F02C96" w:rsidRPr="003171CD">
        <w:rPr>
          <w:lang w:val="en-US"/>
        </w:rPr>
        <w:t xml:space="preserve">committed </w:t>
      </w:r>
      <w:r w:rsidR="00B54BB5" w:rsidRPr="003171CD">
        <w:rPr>
          <w:lang w:val="en-US"/>
        </w:rPr>
        <w:t xml:space="preserve">for a </w:t>
      </w:r>
      <w:r w:rsidR="00F02C96" w:rsidRPr="003171CD">
        <w:rPr>
          <w:lang w:val="en-US"/>
        </w:rPr>
        <w:t xml:space="preserve">particular </w:t>
      </w:r>
      <w:r w:rsidR="00B54BB5" w:rsidRPr="003171CD">
        <w:rPr>
          <w:lang w:val="en-US"/>
        </w:rPr>
        <w:t>purpose or objective</w:t>
      </w:r>
      <w:r w:rsidR="005A65CE" w:rsidRPr="003171CD">
        <w:rPr>
          <w:lang w:val="en-US"/>
        </w:rPr>
        <w:t>.</w:t>
      </w:r>
      <w:r w:rsidR="005A65CE" w:rsidRPr="003171CD">
        <w:rPr>
          <w:vertAlign w:val="superscript"/>
          <w:lang w:val="en-US"/>
        </w:rPr>
        <w:footnoteReference w:id="177"/>
      </w:r>
      <w:r w:rsidR="005A65CE" w:rsidRPr="003171CD">
        <w:rPr>
          <w:bCs/>
          <w:lang w:val="en-US"/>
        </w:rPr>
        <w:t xml:space="preserve"> </w:t>
      </w:r>
      <w:r w:rsidR="00B54BB5" w:rsidRPr="003171CD">
        <w:rPr>
          <w:lang w:val="en-US"/>
        </w:rPr>
        <w:t>It has also been recognized that</w:t>
      </w:r>
      <w:r w:rsidR="004071BB" w:rsidRPr="003171CD">
        <w:rPr>
          <w:lang w:val="en-US"/>
        </w:rPr>
        <w:t xml:space="preserve"> the threat and real danger of subjecting a</w:t>
      </w:r>
      <w:r w:rsidR="00B54BB5" w:rsidRPr="003171CD">
        <w:rPr>
          <w:lang w:val="en-US"/>
        </w:rPr>
        <w:t xml:space="preserve"> person to physical harm produces, in certain circumstances, a moral anguish of such intensity that it can be considered psychological torture</w:t>
      </w:r>
      <w:r w:rsidR="005A65CE" w:rsidRPr="003171CD">
        <w:rPr>
          <w:bCs/>
          <w:lang w:val="en-US"/>
        </w:rPr>
        <w:t>.</w:t>
      </w:r>
      <w:r w:rsidR="005A65CE" w:rsidRPr="003171CD">
        <w:rPr>
          <w:bCs/>
          <w:vertAlign w:val="superscript"/>
          <w:lang w:val="en-US"/>
        </w:rPr>
        <w:footnoteReference w:id="178"/>
      </w:r>
    </w:p>
    <w:p w14:paraId="508807D4" w14:textId="77777777" w:rsidR="005A65CE" w:rsidRPr="003171CD" w:rsidRDefault="005A65CE" w:rsidP="005A65CE">
      <w:pPr>
        <w:rPr>
          <w:lang w:val="en-US"/>
        </w:rPr>
      </w:pPr>
    </w:p>
    <w:p w14:paraId="0DA1322D" w14:textId="77777777" w:rsidR="005A65CE" w:rsidRPr="003171CD" w:rsidRDefault="005A65CE" w:rsidP="005A65CE">
      <w:pPr>
        <w:pStyle w:val="Prrafodelista"/>
        <w:numPr>
          <w:ilvl w:val="0"/>
          <w:numId w:val="1"/>
        </w:numPr>
        <w:tabs>
          <w:tab w:val="left" w:pos="720"/>
          <w:tab w:val="num" w:pos="5057"/>
        </w:tabs>
        <w:ind w:right="-90"/>
        <w:jc w:val="both"/>
        <w:rPr>
          <w:bCs/>
          <w:lang w:val="en-US"/>
        </w:rPr>
      </w:pPr>
      <w:r w:rsidRPr="003171CD">
        <w:rPr>
          <w:lang w:val="en-US"/>
        </w:rPr>
        <w:t xml:space="preserve">As to the use of force by the security forces, this Court has indicated that this must be based on </w:t>
      </w:r>
      <w:r w:rsidR="004071BB" w:rsidRPr="003171CD">
        <w:rPr>
          <w:lang w:val="en-US"/>
        </w:rPr>
        <w:t xml:space="preserve">the </w:t>
      </w:r>
      <w:r w:rsidRPr="003171CD">
        <w:rPr>
          <w:lang w:val="en-US"/>
        </w:rPr>
        <w:t xml:space="preserve">criteria </w:t>
      </w:r>
      <w:r w:rsidR="00F02C96" w:rsidRPr="003171CD">
        <w:rPr>
          <w:lang w:val="en-US"/>
        </w:rPr>
        <w:t xml:space="preserve">of </w:t>
      </w:r>
      <w:r w:rsidRPr="003171CD">
        <w:rPr>
          <w:lang w:val="en-US"/>
        </w:rPr>
        <w:t>legitimacy, necessity, suitability and proportionality.</w:t>
      </w:r>
      <w:r w:rsidRPr="003171CD">
        <w:rPr>
          <w:vertAlign w:val="superscript"/>
          <w:lang w:val="en-US"/>
        </w:rPr>
        <w:footnoteReference w:id="179"/>
      </w:r>
      <w:r w:rsidRPr="003171CD">
        <w:rPr>
          <w:lang w:val="en-US"/>
        </w:rPr>
        <w:t xml:space="preserve"> Likewise, the Court has indicated that </w:t>
      </w:r>
      <w:r w:rsidR="003F7F53" w:rsidRPr="003171CD">
        <w:rPr>
          <w:lang w:val="en-US"/>
        </w:rPr>
        <w:t>any use of force that is not strictly necessary to ensure proper behavior on the part of the detainee constitutes an assault on the dignity of the person</w:t>
      </w:r>
      <w:r w:rsidRPr="003171CD">
        <w:rPr>
          <w:lang w:val="en-US"/>
        </w:rPr>
        <w:t>, in violation of Article 5 of the American Convention.</w:t>
      </w:r>
      <w:r w:rsidRPr="003171CD">
        <w:rPr>
          <w:vertAlign w:val="superscript"/>
          <w:lang w:val="en-US"/>
        </w:rPr>
        <w:footnoteReference w:id="180"/>
      </w:r>
    </w:p>
    <w:p w14:paraId="7C0E99DF" w14:textId="77777777" w:rsidR="005A65CE" w:rsidRPr="003171CD" w:rsidRDefault="005A65CE" w:rsidP="005A65CE">
      <w:pPr>
        <w:rPr>
          <w:lang w:val="en-US"/>
        </w:rPr>
      </w:pPr>
    </w:p>
    <w:p w14:paraId="573202B0" w14:textId="77777777" w:rsidR="005A65CE" w:rsidRPr="003171CD" w:rsidRDefault="00F02C96" w:rsidP="005A65CE">
      <w:pPr>
        <w:pStyle w:val="Prrafodelista"/>
        <w:numPr>
          <w:ilvl w:val="0"/>
          <w:numId w:val="1"/>
        </w:numPr>
        <w:jc w:val="both"/>
        <w:rPr>
          <w:rFonts w:eastAsiaTheme="minorHAnsi" w:cs="Arial"/>
          <w:bCs/>
          <w:szCs w:val="20"/>
          <w:lang w:val="en-US"/>
        </w:rPr>
      </w:pPr>
      <w:r w:rsidRPr="003171CD">
        <w:rPr>
          <w:rFonts w:eastAsiaTheme="minorHAnsi" w:cs="Arial"/>
          <w:bCs/>
          <w:szCs w:val="20"/>
          <w:lang w:val="en-US"/>
        </w:rPr>
        <w:t xml:space="preserve">In </w:t>
      </w:r>
      <w:r w:rsidR="003E06E5" w:rsidRPr="003171CD">
        <w:rPr>
          <w:rFonts w:eastAsiaTheme="minorHAnsi" w:cs="Arial"/>
          <w:bCs/>
          <w:szCs w:val="20"/>
          <w:lang w:val="en-US"/>
        </w:rPr>
        <w:t xml:space="preserve">its </w:t>
      </w:r>
      <w:r w:rsidRPr="003171CD">
        <w:rPr>
          <w:rFonts w:eastAsiaTheme="minorHAnsi" w:cs="Arial"/>
          <w:bCs/>
          <w:szCs w:val="20"/>
          <w:lang w:val="en-US"/>
        </w:rPr>
        <w:t>Merits R</w:t>
      </w:r>
      <w:r w:rsidR="005A65CE" w:rsidRPr="003171CD">
        <w:rPr>
          <w:rFonts w:eastAsiaTheme="minorHAnsi" w:cs="Arial"/>
          <w:bCs/>
          <w:szCs w:val="20"/>
          <w:lang w:val="en-US"/>
        </w:rPr>
        <w:t xml:space="preserve">eport </w:t>
      </w:r>
      <w:r w:rsidR="005A65CE" w:rsidRPr="003171CD">
        <w:rPr>
          <w:rFonts w:eastAsia="Times"/>
          <w:bCs/>
          <w:szCs w:val="20"/>
          <w:lang w:val="en-US"/>
        </w:rPr>
        <w:t xml:space="preserve">No. 82/13, </w:t>
      </w:r>
      <w:r w:rsidR="005A65CE" w:rsidRPr="003171CD">
        <w:rPr>
          <w:rFonts w:eastAsiaTheme="minorHAnsi" w:cs="Arial"/>
          <w:bCs/>
          <w:szCs w:val="20"/>
          <w:lang w:val="en-US"/>
        </w:rPr>
        <w:t>the Inter-American Commission concluded</w:t>
      </w:r>
      <w:r w:rsidR="005A65CE" w:rsidRPr="003171CD">
        <w:rPr>
          <w:rFonts w:eastAsia="Times"/>
          <w:bCs/>
          <w:szCs w:val="20"/>
          <w:lang w:val="en-US"/>
        </w:rPr>
        <w:t xml:space="preserve"> that </w:t>
      </w:r>
      <w:r w:rsidR="005A65CE" w:rsidRPr="003171CD">
        <w:rPr>
          <w:rFonts w:eastAsiaTheme="minorHAnsi" w:cs="Arial"/>
          <w:bCs/>
          <w:szCs w:val="20"/>
          <w:lang w:val="en-US"/>
        </w:rPr>
        <w:t>the acts of violence to which Mr. Ruano Torres</w:t>
      </w:r>
      <w:r w:rsidR="005A65CE" w:rsidRPr="003171CD">
        <w:rPr>
          <w:rStyle w:val="Refdenotaalpie"/>
          <w:rFonts w:eastAsiaTheme="minorHAnsi" w:cs="Arial"/>
          <w:bCs/>
          <w:lang w:val="en-US"/>
        </w:rPr>
        <w:footnoteReference w:id="181"/>
      </w:r>
      <w:r w:rsidR="005A65CE" w:rsidRPr="003171CD">
        <w:rPr>
          <w:rFonts w:eastAsiaTheme="minorHAnsi" w:cs="Arial"/>
          <w:bCs/>
          <w:szCs w:val="20"/>
          <w:lang w:val="en-US"/>
        </w:rPr>
        <w:t>was subjected (</w:t>
      </w:r>
      <w:r w:rsidR="005A65CE" w:rsidRPr="003171CD">
        <w:rPr>
          <w:rFonts w:eastAsiaTheme="minorHAnsi" w:cs="Arial"/>
          <w:bCs/>
          <w:i/>
          <w:szCs w:val="20"/>
          <w:lang w:val="en-US"/>
        </w:rPr>
        <w:t xml:space="preserve">supra </w:t>
      </w:r>
      <w:r w:rsidR="005A65CE" w:rsidRPr="003171CD">
        <w:rPr>
          <w:rFonts w:eastAsiaTheme="minorHAnsi" w:cs="Arial"/>
          <w:bCs/>
          <w:szCs w:val="20"/>
          <w:lang w:val="en-US"/>
        </w:rPr>
        <w:t xml:space="preserve">para. 65) reached a </w:t>
      </w:r>
      <w:r w:rsidR="004071BB" w:rsidRPr="003171CD">
        <w:rPr>
          <w:rFonts w:eastAsiaTheme="minorHAnsi" w:cs="Arial"/>
          <w:bCs/>
          <w:szCs w:val="20"/>
          <w:lang w:val="en-US"/>
        </w:rPr>
        <w:t xml:space="preserve">sufficient </w:t>
      </w:r>
      <w:r w:rsidR="005A65CE" w:rsidRPr="003171CD">
        <w:rPr>
          <w:rFonts w:eastAsiaTheme="minorHAnsi" w:cs="Arial"/>
          <w:bCs/>
          <w:szCs w:val="20"/>
          <w:lang w:val="en-US"/>
        </w:rPr>
        <w:t xml:space="preserve">level of intensity to meet the </w:t>
      </w:r>
      <w:r w:rsidR="003E06E5" w:rsidRPr="003171CD">
        <w:rPr>
          <w:rFonts w:eastAsiaTheme="minorHAnsi" w:cs="Arial"/>
          <w:bCs/>
          <w:szCs w:val="20"/>
          <w:lang w:val="en-US"/>
        </w:rPr>
        <w:t xml:space="preserve">criterion of </w:t>
      </w:r>
      <w:r w:rsidR="00B60630" w:rsidRPr="003171CD">
        <w:rPr>
          <w:rFonts w:eastAsiaTheme="minorHAnsi" w:cs="Arial"/>
          <w:bCs/>
          <w:szCs w:val="20"/>
          <w:lang w:val="en-US"/>
        </w:rPr>
        <w:t>severe or intense harm</w:t>
      </w:r>
      <w:r w:rsidR="003E06E5" w:rsidRPr="003171CD">
        <w:rPr>
          <w:rFonts w:eastAsiaTheme="minorHAnsi" w:cs="Arial"/>
          <w:bCs/>
          <w:szCs w:val="20"/>
          <w:lang w:val="en-US"/>
        </w:rPr>
        <w:t xml:space="preserve"> that is implicit in </w:t>
      </w:r>
      <w:r w:rsidR="00B60630" w:rsidRPr="003171CD">
        <w:rPr>
          <w:rFonts w:eastAsiaTheme="minorHAnsi" w:cs="Arial"/>
          <w:bCs/>
          <w:szCs w:val="20"/>
          <w:lang w:val="en-US"/>
        </w:rPr>
        <w:t>torture</w:t>
      </w:r>
      <w:r w:rsidR="003E06E5" w:rsidRPr="003171CD">
        <w:rPr>
          <w:rFonts w:eastAsiaTheme="minorHAnsi" w:cs="Arial"/>
          <w:bCs/>
          <w:szCs w:val="20"/>
          <w:lang w:val="en-US"/>
        </w:rPr>
        <w:t>. This</w:t>
      </w:r>
      <w:r w:rsidR="005A65CE" w:rsidRPr="003171CD">
        <w:rPr>
          <w:rFonts w:eastAsiaTheme="minorHAnsi" w:cs="Arial"/>
          <w:bCs/>
          <w:szCs w:val="20"/>
          <w:lang w:val="en-US"/>
        </w:rPr>
        <w:t xml:space="preserve"> w</w:t>
      </w:r>
      <w:r w:rsidR="003E06E5" w:rsidRPr="003171CD">
        <w:rPr>
          <w:rFonts w:eastAsiaTheme="minorHAnsi" w:cs="Arial"/>
          <w:bCs/>
          <w:szCs w:val="20"/>
          <w:lang w:val="en-US"/>
        </w:rPr>
        <w:t xml:space="preserve">as </w:t>
      </w:r>
      <w:r w:rsidR="005A65CE" w:rsidRPr="003171CD">
        <w:rPr>
          <w:rFonts w:eastAsiaTheme="minorHAnsi" w:cs="Arial"/>
          <w:bCs/>
          <w:szCs w:val="20"/>
          <w:lang w:val="en-US"/>
        </w:rPr>
        <w:t xml:space="preserve">reinforced by the absence of a diligent investigation </w:t>
      </w:r>
      <w:r w:rsidR="00B60630" w:rsidRPr="003171CD">
        <w:rPr>
          <w:rFonts w:eastAsiaTheme="minorHAnsi" w:cs="Arial"/>
          <w:bCs/>
          <w:szCs w:val="20"/>
          <w:lang w:val="en-US"/>
        </w:rPr>
        <w:t xml:space="preserve">by </w:t>
      </w:r>
      <w:r w:rsidR="005A65CE" w:rsidRPr="003171CD">
        <w:rPr>
          <w:rFonts w:eastAsiaTheme="minorHAnsi" w:cs="Arial"/>
          <w:bCs/>
          <w:szCs w:val="20"/>
          <w:lang w:val="en-US"/>
        </w:rPr>
        <w:t xml:space="preserve">the State. </w:t>
      </w:r>
      <w:r w:rsidR="003F7F53" w:rsidRPr="003171CD">
        <w:rPr>
          <w:rFonts w:eastAsiaTheme="minorHAnsi" w:cs="Arial"/>
          <w:bCs/>
          <w:szCs w:val="20"/>
          <w:lang w:val="en-US"/>
        </w:rPr>
        <w:t xml:space="preserve">According to </w:t>
      </w:r>
      <w:r w:rsidR="005A65CE" w:rsidRPr="003171CD">
        <w:rPr>
          <w:rFonts w:eastAsiaTheme="minorHAnsi" w:cs="Arial"/>
          <w:bCs/>
          <w:szCs w:val="20"/>
          <w:lang w:val="en-US"/>
        </w:rPr>
        <w:t>the Commission,</w:t>
      </w:r>
      <w:r w:rsidR="005A65CE" w:rsidRPr="003171CD">
        <w:rPr>
          <w:rFonts w:eastAsiaTheme="minorHAnsi" w:cs="Verdana"/>
          <w:szCs w:val="20"/>
          <w:lang w:val="en-US"/>
        </w:rPr>
        <w:t xml:space="preserve"> the use of </w:t>
      </w:r>
      <w:r w:rsidR="005A65CE" w:rsidRPr="003171CD">
        <w:rPr>
          <w:rFonts w:eastAsiaTheme="minorHAnsi" w:cs="Verdana"/>
          <w:szCs w:val="20"/>
          <w:lang w:val="en-US"/>
        </w:rPr>
        <w:lastRenderedPageBreak/>
        <w:t>violence against Mr.</w:t>
      </w:r>
      <w:r w:rsidR="003F7F53" w:rsidRPr="003171CD">
        <w:rPr>
          <w:rFonts w:eastAsiaTheme="minorHAnsi" w:cs="Verdana"/>
          <w:szCs w:val="20"/>
          <w:lang w:val="en-US"/>
        </w:rPr>
        <w:t xml:space="preserve"> Ruano Torres was not necessary,</w:t>
      </w:r>
      <w:r w:rsidR="005A65CE" w:rsidRPr="003171CD">
        <w:rPr>
          <w:rFonts w:eastAsiaTheme="minorHAnsi" w:cs="Verdana"/>
          <w:szCs w:val="20"/>
          <w:lang w:val="en-US"/>
        </w:rPr>
        <w:t xml:space="preserve"> but was based on the </w:t>
      </w:r>
      <w:r w:rsidR="005A65CE" w:rsidRPr="003171CD">
        <w:rPr>
          <w:rFonts w:eastAsiaTheme="minorHAnsi" w:cs="Verdana"/>
          <w:i/>
          <w:szCs w:val="20"/>
          <w:lang w:val="en-US"/>
        </w:rPr>
        <w:t xml:space="preserve">a priori </w:t>
      </w:r>
      <w:r w:rsidR="005A65CE" w:rsidRPr="003171CD">
        <w:rPr>
          <w:rFonts w:eastAsiaTheme="minorHAnsi" w:cs="Verdana"/>
          <w:szCs w:val="20"/>
          <w:lang w:val="en-US"/>
        </w:rPr>
        <w:t xml:space="preserve">presumption by the police authorities </w:t>
      </w:r>
      <w:r w:rsidR="003E06E5" w:rsidRPr="003171CD">
        <w:rPr>
          <w:rFonts w:eastAsiaTheme="minorHAnsi" w:cs="Verdana"/>
          <w:szCs w:val="20"/>
          <w:lang w:val="en-US"/>
        </w:rPr>
        <w:t xml:space="preserve">involved in </w:t>
      </w:r>
      <w:r w:rsidR="005A65CE" w:rsidRPr="003171CD">
        <w:rPr>
          <w:rFonts w:eastAsiaTheme="minorHAnsi" w:cs="Verdana"/>
          <w:szCs w:val="20"/>
          <w:lang w:val="en-US"/>
        </w:rPr>
        <w:t xml:space="preserve">the </w:t>
      </w:r>
      <w:r w:rsidR="003E06E5" w:rsidRPr="003171CD">
        <w:rPr>
          <w:rFonts w:eastAsiaTheme="minorHAnsi" w:cs="Verdana"/>
          <w:szCs w:val="20"/>
          <w:lang w:val="en-US"/>
        </w:rPr>
        <w:t xml:space="preserve">arrest that Mr. Ruano Torres </w:t>
      </w:r>
      <w:r w:rsidR="00CC7748" w:rsidRPr="003171CD">
        <w:rPr>
          <w:rFonts w:eastAsiaTheme="minorHAnsi" w:cs="Verdana"/>
          <w:szCs w:val="20"/>
          <w:lang w:val="en-US"/>
        </w:rPr>
        <w:t>supposedly posed a danger</w:t>
      </w:r>
      <w:r w:rsidR="005A65CE" w:rsidRPr="003171CD">
        <w:rPr>
          <w:rFonts w:eastAsiaTheme="minorHAnsi" w:cs="Verdana"/>
          <w:szCs w:val="20"/>
          <w:lang w:val="en-US"/>
        </w:rPr>
        <w:t xml:space="preserve">. Thus, the </w:t>
      </w:r>
      <w:r w:rsidR="00EF7E56" w:rsidRPr="003171CD">
        <w:rPr>
          <w:rFonts w:eastAsiaTheme="minorHAnsi" w:cs="Verdana"/>
          <w:szCs w:val="20"/>
          <w:lang w:val="en-US"/>
        </w:rPr>
        <w:t xml:space="preserve">actions carried out by </w:t>
      </w:r>
      <w:r w:rsidR="005A65CE" w:rsidRPr="003171CD">
        <w:rPr>
          <w:rFonts w:eastAsiaTheme="minorHAnsi" w:cs="Verdana"/>
          <w:szCs w:val="20"/>
          <w:lang w:val="en-US"/>
        </w:rPr>
        <w:t xml:space="preserve">the police </w:t>
      </w:r>
      <w:r w:rsidR="004071BB" w:rsidRPr="003171CD">
        <w:rPr>
          <w:rFonts w:eastAsiaTheme="minorHAnsi" w:cs="Verdana"/>
          <w:szCs w:val="20"/>
          <w:lang w:val="en-US"/>
        </w:rPr>
        <w:t xml:space="preserve">officers </w:t>
      </w:r>
      <w:r w:rsidR="005A65CE" w:rsidRPr="003171CD">
        <w:rPr>
          <w:rFonts w:eastAsiaTheme="minorHAnsi" w:cs="Verdana"/>
          <w:szCs w:val="20"/>
          <w:lang w:val="en-US"/>
        </w:rPr>
        <w:t>w</w:t>
      </w:r>
      <w:r w:rsidR="00EF7E56" w:rsidRPr="003171CD">
        <w:rPr>
          <w:rFonts w:eastAsiaTheme="minorHAnsi" w:cs="Verdana"/>
          <w:szCs w:val="20"/>
          <w:lang w:val="en-US"/>
        </w:rPr>
        <w:t>ere</w:t>
      </w:r>
      <w:r w:rsidR="00CC7748" w:rsidRPr="003171CD">
        <w:rPr>
          <w:rFonts w:eastAsiaTheme="minorHAnsi" w:cs="Verdana"/>
          <w:szCs w:val="20"/>
          <w:lang w:val="en-US"/>
        </w:rPr>
        <w:t xml:space="preserve"> not intended to neutralize</w:t>
      </w:r>
      <w:r w:rsidR="00EF7E56" w:rsidRPr="003171CD">
        <w:rPr>
          <w:rFonts w:eastAsiaTheme="minorHAnsi" w:cs="Verdana"/>
          <w:szCs w:val="20"/>
          <w:lang w:val="en-US"/>
        </w:rPr>
        <w:t xml:space="preserve"> a risk or reduce</w:t>
      </w:r>
      <w:r w:rsidR="00DA70B9" w:rsidRPr="003171CD">
        <w:rPr>
          <w:rFonts w:eastAsiaTheme="minorHAnsi" w:cs="Verdana"/>
          <w:szCs w:val="20"/>
          <w:lang w:val="en-US"/>
        </w:rPr>
        <w:t xml:space="preserve"> resista</w:t>
      </w:r>
      <w:r w:rsidR="005A65CE" w:rsidRPr="003171CD">
        <w:rPr>
          <w:rFonts w:eastAsiaTheme="minorHAnsi" w:cs="Verdana"/>
          <w:szCs w:val="20"/>
          <w:lang w:val="en-US"/>
        </w:rPr>
        <w:t xml:space="preserve">nce that </w:t>
      </w:r>
      <w:r w:rsidR="00CC7748" w:rsidRPr="003171CD">
        <w:rPr>
          <w:rFonts w:eastAsiaTheme="minorHAnsi" w:cs="Verdana"/>
          <w:szCs w:val="20"/>
          <w:lang w:val="en-US"/>
        </w:rPr>
        <w:t xml:space="preserve">could have arisen </w:t>
      </w:r>
      <w:r w:rsidR="001F4896" w:rsidRPr="003171CD">
        <w:rPr>
          <w:rFonts w:eastAsiaTheme="minorHAnsi" w:cs="Verdana"/>
          <w:szCs w:val="20"/>
          <w:lang w:val="en-US"/>
        </w:rPr>
        <w:t xml:space="preserve">at the time </w:t>
      </w:r>
      <w:r w:rsidR="005A65CE" w:rsidRPr="003171CD">
        <w:rPr>
          <w:rFonts w:eastAsiaTheme="minorHAnsi" w:cs="Verdana"/>
          <w:szCs w:val="20"/>
          <w:lang w:val="en-US"/>
        </w:rPr>
        <w:t xml:space="preserve">of the facts. </w:t>
      </w:r>
      <w:r w:rsidR="00CC7748" w:rsidRPr="003171CD">
        <w:rPr>
          <w:rFonts w:eastAsiaTheme="minorHAnsi" w:cs="Verdana"/>
          <w:szCs w:val="20"/>
          <w:lang w:val="en-US"/>
        </w:rPr>
        <w:t xml:space="preserve">Rather, </w:t>
      </w:r>
      <w:r w:rsidR="005A65CE" w:rsidRPr="003171CD">
        <w:rPr>
          <w:rFonts w:eastAsiaTheme="minorHAnsi" w:cs="Verdana"/>
          <w:szCs w:val="20"/>
          <w:lang w:val="en-US"/>
        </w:rPr>
        <w:t>according to the Commission, “</w:t>
      </w:r>
      <w:r w:rsidR="00A7543D" w:rsidRPr="003171CD">
        <w:rPr>
          <w:rFonts w:eastAsiaTheme="minorHAnsi" w:cs="Verdana"/>
          <w:szCs w:val="20"/>
          <w:lang w:val="en-US"/>
        </w:rPr>
        <w:t xml:space="preserve">the </w:t>
      </w:r>
      <w:r w:rsidR="005A65CE" w:rsidRPr="003171CD">
        <w:rPr>
          <w:rFonts w:eastAsiaTheme="minorHAnsi" w:cs="Verdana"/>
          <w:szCs w:val="20"/>
          <w:lang w:val="en-US"/>
        </w:rPr>
        <w:t>obje</w:t>
      </w:r>
      <w:r w:rsidR="00A7543D" w:rsidRPr="003171CD">
        <w:rPr>
          <w:rFonts w:eastAsiaTheme="minorHAnsi" w:cs="Verdana"/>
          <w:szCs w:val="20"/>
          <w:lang w:val="en-US"/>
        </w:rPr>
        <w:t>ctive</w:t>
      </w:r>
      <w:r w:rsidR="005A65CE" w:rsidRPr="003171CD">
        <w:rPr>
          <w:rFonts w:eastAsiaTheme="minorHAnsi" w:cs="Verdana"/>
          <w:szCs w:val="20"/>
          <w:lang w:val="en-US"/>
        </w:rPr>
        <w:t xml:space="preserve"> was to redu</w:t>
      </w:r>
      <w:r w:rsidR="00A7543D" w:rsidRPr="003171CD">
        <w:rPr>
          <w:rFonts w:eastAsiaTheme="minorHAnsi" w:cs="Verdana"/>
          <w:szCs w:val="20"/>
          <w:lang w:val="en-US"/>
        </w:rPr>
        <w:t>c</w:t>
      </w:r>
      <w:r w:rsidR="005A65CE" w:rsidRPr="003171CD">
        <w:rPr>
          <w:rFonts w:eastAsiaTheme="minorHAnsi" w:cs="Verdana"/>
          <w:szCs w:val="20"/>
          <w:lang w:val="en-US"/>
        </w:rPr>
        <w:t>e the physic</w:t>
      </w:r>
      <w:r w:rsidR="001F4896" w:rsidRPr="003171CD">
        <w:rPr>
          <w:rFonts w:eastAsiaTheme="minorHAnsi" w:cs="Verdana"/>
          <w:szCs w:val="20"/>
          <w:lang w:val="en-US"/>
        </w:rPr>
        <w:t xml:space="preserve">al and psychological </w:t>
      </w:r>
      <w:r w:rsidR="007C5D1A" w:rsidRPr="003171CD">
        <w:rPr>
          <w:rFonts w:eastAsiaTheme="minorHAnsi" w:cs="Verdana"/>
          <w:szCs w:val="20"/>
          <w:lang w:val="en-US"/>
        </w:rPr>
        <w:t xml:space="preserve">endurance </w:t>
      </w:r>
      <w:r w:rsidR="005A65CE" w:rsidRPr="003171CD">
        <w:rPr>
          <w:rFonts w:eastAsiaTheme="minorHAnsi" w:cs="Verdana"/>
          <w:szCs w:val="20"/>
          <w:lang w:val="en-US"/>
        </w:rPr>
        <w:t xml:space="preserve">of Mr. Ruano Torres, and even </w:t>
      </w:r>
      <w:r w:rsidR="007C5D1A" w:rsidRPr="003171CD">
        <w:rPr>
          <w:rFonts w:eastAsiaTheme="minorHAnsi" w:cs="Verdana"/>
          <w:szCs w:val="20"/>
          <w:lang w:val="en-US"/>
        </w:rPr>
        <w:t xml:space="preserve">to </w:t>
      </w:r>
      <w:r w:rsidR="005A65CE" w:rsidRPr="003171CD">
        <w:rPr>
          <w:rFonts w:eastAsiaTheme="minorHAnsi" w:cs="Verdana"/>
          <w:szCs w:val="20"/>
          <w:lang w:val="en-US"/>
        </w:rPr>
        <w:t xml:space="preserve">obtain his confession or self-identification as </w:t>
      </w:r>
      <w:r w:rsidR="00A96DF3" w:rsidRPr="003171CD">
        <w:rPr>
          <w:rFonts w:eastAsiaTheme="minorHAnsi" w:cs="Verdana"/>
          <w:i/>
          <w:szCs w:val="20"/>
          <w:lang w:val="en-US"/>
        </w:rPr>
        <w:t>Chopo</w:t>
      </w:r>
      <w:r w:rsidR="00DA70B9" w:rsidRPr="003171CD">
        <w:rPr>
          <w:rFonts w:eastAsiaTheme="minorHAnsi" w:cs="Verdana"/>
          <w:i/>
          <w:iCs/>
          <w:szCs w:val="20"/>
          <w:lang w:val="en-US"/>
        </w:rPr>
        <w:t>.</w:t>
      </w:r>
      <w:r w:rsidR="005A65CE" w:rsidRPr="003171CD">
        <w:rPr>
          <w:rFonts w:eastAsiaTheme="minorHAnsi" w:cs="Verdana"/>
          <w:i/>
          <w:iCs/>
          <w:szCs w:val="20"/>
          <w:lang w:val="en-US"/>
        </w:rPr>
        <w:t>”</w:t>
      </w:r>
      <w:r w:rsidR="00DA70B9" w:rsidRPr="003171CD">
        <w:rPr>
          <w:rFonts w:eastAsiaTheme="minorHAnsi" w:cs="Verdana"/>
          <w:szCs w:val="20"/>
          <w:lang w:val="en-US"/>
        </w:rPr>
        <w:t xml:space="preserve"> </w:t>
      </w:r>
      <w:r w:rsidR="001F4896" w:rsidRPr="003171CD">
        <w:rPr>
          <w:rFonts w:eastAsiaTheme="minorHAnsi" w:cs="Verdana"/>
          <w:szCs w:val="20"/>
          <w:lang w:val="en-US"/>
        </w:rPr>
        <w:t>Th</w:t>
      </w:r>
      <w:r w:rsidR="007C5D1A" w:rsidRPr="003171CD">
        <w:rPr>
          <w:rFonts w:eastAsiaTheme="minorHAnsi" w:cs="Verdana"/>
          <w:szCs w:val="20"/>
          <w:lang w:val="en-US"/>
        </w:rPr>
        <w:t>e State accepted th</w:t>
      </w:r>
      <w:r w:rsidR="001F4896" w:rsidRPr="003171CD">
        <w:rPr>
          <w:rFonts w:eastAsiaTheme="minorHAnsi" w:cs="Verdana"/>
          <w:szCs w:val="20"/>
          <w:lang w:val="en-US"/>
        </w:rPr>
        <w:t xml:space="preserve">ose </w:t>
      </w:r>
      <w:r w:rsidR="00DA70B9" w:rsidRPr="003171CD">
        <w:rPr>
          <w:rFonts w:eastAsiaTheme="minorHAnsi" w:cs="Verdana"/>
          <w:szCs w:val="20"/>
          <w:lang w:val="en-US"/>
        </w:rPr>
        <w:t>conclusion</w:t>
      </w:r>
      <w:r w:rsidR="005A65CE" w:rsidRPr="003171CD">
        <w:rPr>
          <w:rFonts w:eastAsiaTheme="minorHAnsi" w:cs="Verdana"/>
          <w:szCs w:val="20"/>
          <w:lang w:val="en-US"/>
        </w:rPr>
        <w:t>s in its ack</w:t>
      </w:r>
      <w:r w:rsidR="00C467BE" w:rsidRPr="003171CD">
        <w:rPr>
          <w:rFonts w:eastAsiaTheme="minorHAnsi" w:cs="Verdana"/>
          <w:szCs w:val="20"/>
          <w:lang w:val="en-US"/>
        </w:rPr>
        <w:t xml:space="preserve">nowledgment of responsibility. </w:t>
      </w:r>
      <w:r w:rsidR="00DC05FB" w:rsidRPr="003171CD">
        <w:rPr>
          <w:rFonts w:eastAsiaTheme="minorHAnsi" w:cs="Verdana"/>
          <w:szCs w:val="20"/>
          <w:lang w:val="en-US"/>
        </w:rPr>
        <w:t>Accordingly</w:t>
      </w:r>
      <w:r w:rsidR="002E679E" w:rsidRPr="003171CD">
        <w:rPr>
          <w:rFonts w:eastAsiaTheme="minorHAnsi" w:cs="Arial"/>
          <w:szCs w:val="20"/>
          <w:lang w:val="en-US"/>
        </w:rPr>
        <w:t xml:space="preserve">, the Court accepts </w:t>
      </w:r>
      <w:r w:rsidR="005A65CE" w:rsidRPr="003171CD">
        <w:rPr>
          <w:rFonts w:eastAsiaTheme="minorHAnsi" w:cs="Arial"/>
          <w:szCs w:val="20"/>
          <w:lang w:val="en-US"/>
        </w:rPr>
        <w:t xml:space="preserve">the </w:t>
      </w:r>
      <w:r w:rsidR="00DA70B9" w:rsidRPr="003171CD">
        <w:rPr>
          <w:rFonts w:eastAsiaTheme="minorHAnsi" w:cs="Arial"/>
          <w:szCs w:val="20"/>
          <w:lang w:val="en-US"/>
        </w:rPr>
        <w:t xml:space="preserve">State’s </w:t>
      </w:r>
      <w:r w:rsidR="005A65CE" w:rsidRPr="003171CD">
        <w:rPr>
          <w:rFonts w:eastAsiaTheme="minorHAnsi" w:cs="Arial"/>
          <w:szCs w:val="20"/>
          <w:lang w:val="en-US"/>
        </w:rPr>
        <w:t>ac</w:t>
      </w:r>
      <w:r w:rsidR="004071BB" w:rsidRPr="003171CD">
        <w:rPr>
          <w:rFonts w:eastAsiaTheme="minorHAnsi" w:cs="Arial"/>
          <w:szCs w:val="20"/>
          <w:lang w:val="en-US"/>
        </w:rPr>
        <w:t xml:space="preserve">quiescence regarding the fact </w:t>
      </w:r>
      <w:r w:rsidR="005A65CE" w:rsidRPr="003171CD">
        <w:rPr>
          <w:rFonts w:eastAsiaTheme="minorHAnsi" w:cs="Arial"/>
          <w:szCs w:val="20"/>
          <w:lang w:val="en-US"/>
        </w:rPr>
        <w:t xml:space="preserve">that the </w:t>
      </w:r>
      <w:r w:rsidR="005A65CE" w:rsidRPr="003171CD">
        <w:rPr>
          <w:rFonts w:eastAsiaTheme="minorHAnsi" w:cs="Arial"/>
          <w:bCs/>
          <w:szCs w:val="20"/>
          <w:lang w:val="en-US"/>
        </w:rPr>
        <w:t>act</w:t>
      </w:r>
      <w:r w:rsidR="00DC05FB" w:rsidRPr="003171CD">
        <w:rPr>
          <w:rFonts w:eastAsiaTheme="minorHAnsi" w:cs="Arial"/>
          <w:bCs/>
          <w:szCs w:val="20"/>
          <w:lang w:val="en-US"/>
        </w:rPr>
        <w:t>ion</w:t>
      </w:r>
      <w:r w:rsidR="005A65CE" w:rsidRPr="003171CD">
        <w:rPr>
          <w:rFonts w:eastAsiaTheme="minorHAnsi" w:cs="Arial"/>
          <w:bCs/>
          <w:szCs w:val="20"/>
          <w:lang w:val="en-US"/>
        </w:rPr>
        <w:t xml:space="preserve">s </w:t>
      </w:r>
      <w:r w:rsidR="00DA70B9" w:rsidRPr="003171CD">
        <w:rPr>
          <w:rFonts w:eastAsiaTheme="minorHAnsi" w:cs="Arial"/>
          <w:bCs/>
          <w:szCs w:val="20"/>
          <w:lang w:val="en-US"/>
        </w:rPr>
        <w:t xml:space="preserve">carried out </w:t>
      </w:r>
      <w:r w:rsidR="005A65CE" w:rsidRPr="003171CD">
        <w:rPr>
          <w:rFonts w:eastAsiaTheme="minorHAnsi" w:cs="Arial"/>
          <w:bCs/>
          <w:szCs w:val="20"/>
          <w:lang w:val="en-US"/>
        </w:rPr>
        <w:t xml:space="preserve">by the </w:t>
      </w:r>
      <w:r w:rsidR="00C72E8A" w:rsidRPr="003171CD">
        <w:rPr>
          <w:rFonts w:eastAsiaTheme="minorHAnsi" w:cs="Arial"/>
          <w:bCs/>
          <w:szCs w:val="20"/>
          <w:lang w:val="en-US"/>
        </w:rPr>
        <w:t xml:space="preserve">police </w:t>
      </w:r>
      <w:r w:rsidR="005A65CE" w:rsidRPr="003171CD">
        <w:rPr>
          <w:rFonts w:eastAsiaTheme="minorHAnsi" w:cs="Arial"/>
          <w:bCs/>
          <w:szCs w:val="20"/>
          <w:lang w:val="en-US"/>
        </w:rPr>
        <w:t xml:space="preserve">authorities </w:t>
      </w:r>
      <w:r w:rsidR="00C72E8A" w:rsidRPr="003171CD">
        <w:rPr>
          <w:rFonts w:eastAsiaTheme="minorHAnsi" w:cs="Arial"/>
          <w:bCs/>
          <w:szCs w:val="20"/>
          <w:lang w:val="en-US"/>
        </w:rPr>
        <w:t xml:space="preserve">at the time </w:t>
      </w:r>
      <w:r w:rsidR="005A65CE" w:rsidRPr="003171CD">
        <w:rPr>
          <w:rFonts w:eastAsiaTheme="minorHAnsi" w:cs="Arial"/>
          <w:bCs/>
          <w:szCs w:val="20"/>
          <w:lang w:val="en-US"/>
        </w:rPr>
        <w:t xml:space="preserve">of </w:t>
      </w:r>
      <w:r w:rsidR="00DC05FB" w:rsidRPr="003171CD">
        <w:rPr>
          <w:rFonts w:eastAsiaTheme="minorHAnsi" w:cs="Verdana"/>
          <w:szCs w:val="20"/>
          <w:lang w:val="en-US"/>
        </w:rPr>
        <w:t>Mr. Ruano Torres’</w:t>
      </w:r>
      <w:r w:rsidR="00DC05FB" w:rsidRPr="003171CD">
        <w:rPr>
          <w:rFonts w:eastAsiaTheme="minorHAnsi" w:cs="Arial"/>
          <w:bCs/>
          <w:szCs w:val="20"/>
          <w:lang w:val="en-US"/>
        </w:rPr>
        <w:t xml:space="preserve"> </w:t>
      </w:r>
      <w:r w:rsidR="00C72E8A" w:rsidRPr="003171CD">
        <w:rPr>
          <w:rFonts w:eastAsiaTheme="minorHAnsi" w:cs="Arial"/>
          <w:bCs/>
          <w:szCs w:val="20"/>
          <w:lang w:val="en-US"/>
        </w:rPr>
        <w:t xml:space="preserve">arrest </w:t>
      </w:r>
      <w:r w:rsidR="005A65CE" w:rsidRPr="003171CD">
        <w:rPr>
          <w:rFonts w:eastAsiaTheme="minorHAnsi" w:cs="Arial"/>
          <w:szCs w:val="20"/>
          <w:lang w:val="en-US"/>
        </w:rPr>
        <w:t>constit</w:t>
      </w:r>
      <w:r w:rsidR="00DA70B9" w:rsidRPr="003171CD">
        <w:rPr>
          <w:rFonts w:eastAsiaTheme="minorHAnsi" w:cs="Arial"/>
          <w:szCs w:val="20"/>
          <w:lang w:val="en-US"/>
        </w:rPr>
        <w:t>uted torture. T</w:t>
      </w:r>
      <w:r w:rsidR="005A65CE" w:rsidRPr="003171CD">
        <w:rPr>
          <w:rFonts w:eastAsiaTheme="minorHAnsi" w:cs="Arial"/>
          <w:szCs w:val="20"/>
          <w:lang w:val="en-US"/>
        </w:rPr>
        <w:t>herefore</w:t>
      </w:r>
      <w:r w:rsidR="00DA70B9" w:rsidRPr="003171CD">
        <w:rPr>
          <w:rFonts w:eastAsiaTheme="minorHAnsi" w:cs="Arial"/>
          <w:bCs/>
          <w:szCs w:val="20"/>
          <w:lang w:val="en-US"/>
        </w:rPr>
        <w:t>, the Court declares</w:t>
      </w:r>
      <w:r w:rsidR="005A65CE" w:rsidRPr="003171CD">
        <w:rPr>
          <w:rFonts w:eastAsiaTheme="minorHAnsi" w:cs="Arial"/>
          <w:bCs/>
          <w:szCs w:val="20"/>
          <w:lang w:val="en-US"/>
        </w:rPr>
        <w:t xml:space="preserve"> that the State viol</w:t>
      </w:r>
      <w:r w:rsidR="00DA70B9" w:rsidRPr="003171CD">
        <w:rPr>
          <w:rFonts w:eastAsiaTheme="minorHAnsi" w:cs="Arial"/>
          <w:bCs/>
          <w:szCs w:val="20"/>
          <w:lang w:val="en-US"/>
        </w:rPr>
        <w:t>ated Article 5(</w:t>
      </w:r>
      <w:r w:rsidR="005A65CE" w:rsidRPr="003171CD">
        <w:rPr>
          <w:rFonts w:eastAsiaTheme="minorHAnsi" w:cs="Arial"/>
          <w:bCs/>
          <w:szCs w:val="20"/>
          <w:lang w:val="en-US"/>
        </w:rPr>
        <w:t>1</w:t>
      </w:r>
      <w:r w:rsidR="00DA70B9" w:rsidRPr="003171CD">
        <w:rPr>
          <w:rFonts w:eastAsiaTheme="minorHAnsi" w:cs="Arial"/>
          <w:bCs/>
          <w:szCs w:val="20"/>
          <w:lang w:val="en-US"/>
        </w:rPr>
        <w:t>)</w:t>
      </w:r>
      <w:r w:rsidR="005A65CE" w:rsidRPr="003171CD">
        <w:rPr>
          <w:rFonts w:eastAsiaTheme="minorHAnsi" w:cs="Arial"/>
          <w:bCs/>
          <w:szCs w:val="20"/>
          <w:lang w:val="en-US"/>
        </w:rPr>
        <w:t xml:space="preserve"> and 5(2) of the American Convention, in relation to Article 1(1) thereof, to the detriment of </w:t>
      </w:r>
      <w:r w:rsidR="00DA70B9" w:rsidRPr="003171CD">
        <w:rPr>
          <w:rFonts w:eastAsiaTheme="minorHAnsi" w:cs="Arial"/>
          <w:bCs/>
          <w:szCs w:val="20"/>
          <w:lang w:val="en-US"/>
        </w:rPr>
        <w:t>Mr.</w:t>
      </w:r>
      <w:r w:rsidR="005A65CE" w:rsidRPr="003171CD">
        <w:rPr>
          <w:rFonts w:eastAsiaTheme="minorHAnsi" w:cs="Arial"/>
          <w:bCs/>
          <w:szCs w:val="20"/>
          <w:lang w:val="en-US"/>
        </w:rPr>
        <w:t xml:space="preserve"> José Agapito Ruano Torres.</w:t>
      </w:r>
    </w:p>
    <w:p w14:paraId="349DEB63" w14:textId="77777777" w:rsidR="005A65CE" w:rsidRPr="003171CD" w:rsidRDefault="005A65CE" w:rsidP="005A65CE">
      <w:pPr>
        <w:jc w:val="both"/>
        <w:rPr>
          <w:rFonts w:eastAsiaTheme="minorHAnsi" w:cs="Arial"/>
          <w:bCs/>
          <w:lang w:val="en-US" w:eastAsia="en-US"/>
        </w:rPr>
      </w:pPr>
    </w:p>
    <w:p w14:paraId="295BF973" w14:textId="77777777" w:rsidR="005A65CE" w:rsidRPr="003171CD" w:rsidRDefault="005A65CE" w:rsidP="005A65CE">
      <w:pPr>
        <w:pStyle w:val="Prrafodelista"/>
        <w:numPr>
          <w:ilvl w:val="0"/>
          <w:numId w:val="1"/>
        </w:numPr>
        <w:tabs>
          <w:tab w:val="left" w:pos="720"/>
          <w:tab w:val="num" w:pos="5057"/>
        </w:tabs>
        <w:ind w:right="-90"/>
        <w:jc w:val="both"/>
        <w:rPr>
          <w:lang w:val="en-US"/>
        </w:rPr>
      </w:pPr>
      <w:r w:rsidRPr="003171CD">
        <w:rPr>
          <w:lang w:val="en-US"/>
        </w:rPr>
        <w:t>The Court ha</w:t>
      </w:r>
      <w:r w:rsidR="00DA70B9" w:rsidRPr="003171CD">
        <w:rPr>
          <w:lang w:val="en-US"/>
        </w:rPr>
        <w:t>s indicated that</w:t>
      </w:r>
      <w:r w:rsidRPr="003171CD">
        <w:rPr>
          <w:lang w:val="en-US"/>
        </w:rPr>
        <w:t xml:space="preserve">, </w:t>
      </w:r>
      <w:r w:rsidR="006A15F4" w:rsidRPr="003171CD">
        <w:rPr>
          <w:lang w:val="en-US"/>
        </w:rPr>
        <w:t xml:space="preserve">according </w:t>
      </w:r>
      <w:r w:rsidRPr="003171CD">
        <w:rPr>
          <w:lang w:val="en-US"/>
        </w:rPr>
        <w:t>to Article 1(1) of the American Convention, the obligation to ensure the</w:t>
      </w:r>
      <w:r w:rsidR="002E679E" w:rsidRPr="003171CD">
        <w:rPr>
          <w:lang w:val="en-US"/>
        </w:rPr>
        <w:t xml:space="preserve"> rights recognized in Article 5(</w:t>
      </w:r>
      <w:r w:rsidRPr="003171CD">
        <w:rPr>
          <w:lang w:val="en-US"/>
        </w:rPr>
        <w:t>1</w:t>
      </w:r>
      <w:r w:rsidR="002E679E" w:rsidRPr="003171CD">
        <w:rPr>
          <w:lang w:val="en-US"/>
        </w:rPr>
        <w:t>)</w:t>
      </w:r>
      <w:r w:rsidRPr="003171CD">
        <w:rPr>
          <w:lang w:val="en-US"/>
        </w:rPr>
        <w:t xml:space="preserve"> and 5(2) of the American Convention implies the duty of the State to investigate possible acts of </w:t>
      </w:r>
      <w:r w:rsidR="00DC05FB" w:rsidRPr="003171CD">
        <w:rPr>
          <w:lang w:val="en-US"/>
        </w:rPr>
        <w:t>torture or other cruel, inhuman</w:t>
      </w:r>
      <w:r w:rsidRPr="003171CD">
        <w:rPr>
          <w:lang w:val="en-US"/>
        </w:rPr>
        <w:t xml:space="preserve"> or degrading treatment.</w:t>
      </w:r>
      <w:r w:rsidRPr="003171CD">
        <w:rPr>
          <w:rStyle w:val="Refdenotaalpie"/>
          <w:lang w:val="en-US"/>
        </w:rPr>
        <w:footnoteReference w:id="182"/>
      </w:r>
      <w:r w:rsidRPr="003171CD">
        <w:rPr>
          <w:lang w:val="en-US"/>
        </w:rPr>
        <w:t xml:space="preserve"> </w:t>
      </w:r>
      <w:r w:rsidR="00DC05FB" w:rsidRPr="003171CD">
        <w:rPr>
          <w:lang w:val="en-US"/>
        </w:rPr>
        <w:t>In th</w:t>
      </w:r>
      <w:r w:rsidR="006A15F4" w:rsidRPr="003171CD">
        <w:rPr>
          <w:lang w:val="en-US"/>
        </w:rPr>
        <w:t xml:space="preserve">e instant </w:t>
      </w:r>
      <w:r w:rsidR="00DC05FB" w:rsidRPr="003171CD">
        <w:rPr>
          <w:lang w:val="en-US"/>
        </w:rPr>
        <w:t>case, t</w:t>
      </w:r>
      <w:r w:rsidR="00DA70B9" w:rsidRPr="003171CD">
        <w:rPr>
          <w:lang w:val="en-US"/>
        </w:rPr>
        <w:t xml:space="preserve">his </w:t>
      </w:r>
      <w:r w:rsidR="006A15F4" w:rsidRPr="003171CD">
        <w:rPr>
          <w:lang w:val="en-US"/>
        </w:rPr>
        <w:t xml:space="preserve">duty </w:t>
      </w:r>
      <w:r w:rsidR="00DA70B9" w:rsidRPr="003171CD">
        <w:rPr>
          <w:lang w:val="en-US"/>
        </w:rPr>
        <w:t xml:space="preserve">is based </w:t>
      </w:r>
      <w:r w:rsidR="00DC05FB" w:rsidRPr="003171CD">
        <w:rPr>
          <w:lang w:val="en-US"/>
        </w:rPr>
        <w:t>o</w:t>
      </w:r>
      <w:r w:rsidRPr="003171CD">
        <w:rPr>
          <w:lang w:val="en-US"/>
        </w:rPr>
        <w:t>n the facts established previously (</w:t>
      </w:r>
      <w:r w:rsidRPr="003171CD">
        <w:rPr>
          <w:i/>
          <w:lang w:val="en-US"/>
        </w:rPr>
        <w:t xml:space="preserve">supra </w:t>
      </w:r>
      <w:r w:rsidRPr="003171CD">
        <w:rPr>
          <w:lang w:val="en-US"/>
        </w:rPr>
        <w:t xml:space="preserve">para. 65), which the </w:t>
      </w:r>
      <w:r w:rsidR="003359D2" w:rsidRPr="003171CD">
        <w:rPr>
          <w:lang w:val="en-US"/>
        </w:rPr>
        <w:t>domestic courts should have investigated</w:t>
      </w:r>
      <w:r w:rsidRPr="003171CD">
        <w:rPr>
          <w:lang w:val="en-US"/>
        </w:rPr>
        <w:t xml:space="preserve">. The Court finds that, </w:t>
      </w:r>
      <w:r w:rsidR="00DC05FB" w:rsidRPr="003171CD">
        <w:rPr>
          <w:lang w:val="en-US"/>
        </w:rPr>
        <w:t xml:space="preserve">despite </w:t>
      </w:r>
      <w:r w:rsidR="00DA70B9" w:rsidRPr="003171CD">
        <w:rPr>
          <w:lang w:val="en-US"/>
        </w:rPr>
        <w:t xml:space="preserve">the fact that those acts were brought to the attention of </w:t>
      </w:r>
      <w:r w:rsidRPr="003171CD">
        <w:rPr>
          <w:lang w:val="en-US"/>
        </w:rPr>
        <w:t>the authorities (</w:t>
      </w:r>
      <w:r w:rsidRPr="003171CD">
        <w:rPr>
          <w:i/>
          <w:lang w:val="en-US"/>
        </w:rPr>
        <w:t>supra</w:t>
      </w:r>
      <w:r w:rsidRPr="003171CD">
        <w:rPr>
          <w:lang w:val="en-US"/>
        </w:rPr>
        <w:t xml:space="preserve"> paras. 73 and 106), </w:t>
      </w:r>
      <w:r w:rsidR="00DA70B9" w:rsidRPr="003171CD">
        <w:rPr>
          <w:lang w:val="en-US"/>
        </w:rPr>
        <w:t xml:space="preserve">they </w:t>
      </w:r>
      <w:r w:rsidR="006A15F4" w:rsidRPr="003171CD">
        <w:rPr>
          <w:lang w:val="en-US"/>
        </w:rPr>
        <w:t xml:space="preserve">failed to </w:t>
      </w:r>
      <w:r w:rsidR="00DC05FB" w:rsidRPr="003171CD">
        <w:rPr>
          <w:lang w:val="en-US"/>
        </w:rPr>
        <w:t>initiate</w:t>
      </w:r>
      <w:r w:rsidR="00DA70B9" w:rsidRPr="003171CD">
        <w:rPr>
          <w:lang w:val="en-US"/>
        </w:rPr>
        <w:t xml:space="preserve">, immediately and </w:t>
      </w:r>
      <w:r w:rsidR="00DA70B9" w:rsidRPr="003171CD">
        <w:rPr>
          <w:i/>
          <w:lang w:val="en-US"/>
        </w:rPr>
        <w:t>ex officio</w:t>
      </w:r>
      <w:r w:rsidR="00DA70B9" w:rsidRPr="003171CD">
        <w:rPr>
          <w:lang w:val="en-US"/>
        </w:rPr>
        <w:t>, an impartial, independent</w:t>
      </w:r>
      <w:r w:rsidRPr="003171CD">
        <w:rPr>
          <w:lang w:val="en-US"/>
        </w:rPr>
        <w:t xml:space="preserve"> and </w:t>
      </w:r>
      <w:r w:rsidR="00DA70B9" w:rsidRPr="003171CD">
        <w:rPr>
          <w:lang w:val="en-US"/>
        </w:rPr>
        <w:t xml:space="preserve">thorough investigation </w:t>
      </w:r>
      <w:r w:rsidRPr="003171CD">
        <w:rPr>
          <w:lang w:val="en-US"/>
        </w:rPr>
        <w:t>t</w:t>
      </w:r>
      <w:r w:rsidR="00DC7061" w:rsidRPr="003171CD">
        <w:rPr>
          <w:lang w:val="en-US"/>
        </w:rPr>
        <w:t xml:space="preserve">o ensure the prompt </w:t>
      </w:r>
      <w:r w:rsidR="00DC05FB" w:rsidRPr="003171CD">
        <w:rPr>
          <w:lang w:val="en-US"/>
        </w:rPr>
        <w:t>collection</w:t>
      </w:r>
      <w:r w:rsidR="00DC7061" w:rsidRPr="003171CD">
        <w:rPr>
          <w:lang w:val="en-US"/>
        </w:rPr>
        <w:t xml:space="preserve"> </w:t>
      </w:r>
      <w:r w:rsidRPr="003171CD">
        <w:rPr>
          <w:lang w:val="en-US"/>
        </w:rPr>
        <w:t xml:space="preserve">and preservation of evidence </w:t>
      </w:r>
      <w:r w:rsidR="002E679E" w:rsidRPr="003171CD">
        <w:rPr>
          <w:lang w:val="en-US"/>
        </w:rPr>
        <w:t xml:space="preserve">in order to </w:t>
      </w:r>
      <w:r w:rsidRPr="003171CD">
        <w:rPr>
          <w:lang w:val="en-US"/>
        </w:rPr>
        <w:t xml:space="preserve">establish </w:t>
      </w:r>
      <w:r w:rsidR="00DC7061" w:rsidRPr="003171CD">
        <w:rPr>
          <w:lang w:val="en-US"/>
        </w:rPr>
        <w:t>w</w:t>
      </w:r>
      <w:r w:rsidRPr="003171CD">
        <w:rPr>
          <w:lang w:val="en-US"/>
        </w:rPr>
        <w:t>hat ha</w:t>
      </w:r>
      <w:r w:rsidR="00AF20C6" w:rsidRPr="003171CD">
        <w:rPr>
          <w:lang w:val="en-US"/>
        </w:rPr>
        <w:t>d</w:t>
      </w:r>
      <w:r w:rsidRPr="003171CD">
        <w:rPr>
          <w:lang w:val="en-US"/>
        </w:rPr>
        <w:t xml:space="preserve"> </w:t>
      </w:r>
      <w:r w:rsidR="00DC7061" w:rsidRPr="003171CD">
        <w:rPr>
          <w:lang w:val="en-US"/>
        </w:rPr>
        <w:t xml:space="preserve">happened to </w:t>
      </w:r>
      <w:r w:rsidR="00821AEF" w:rsidRPr="003171CD">
        <w:rPr>
          <w:lang w:val="en-US"/>
        </w:rPr>
        <w:t>Mr.</w:t>
      </w:r>
      <w:r w:rsidR="00C467BE" w:rsidRPr="003171CD">
        <w:rPr>
          <w:lang w:val="en-US"/>
        </w:rPr>
        <w:t xml:space="preserve"> Ruano Torres. I</w:t>
      </w:r>
      <w:r w:rsidRPr="003171CD">
        <w:rPr>
          <w:lang w:val="en-US"/>
        </w:rPr>
        <w:t xml:space="preserve">n this </w:t>
      </w:r>
      <w:r w:rsidR="00C467BE" w:rsidRPr="003171CD">
        <w:rPr>
          <w:lang w:val="en-US"/>
        </w:rPr>
        <w:t>regard</w:t>
      </w:r>
      <w:r w:rsidRPr="003171CD">
        <w:rPr>
          <w:lang w:val="en-US"/>
        </w:rPr>
        <w:t xml:space="preserve">, the Court </w:t>
      </w:r>
      <w:r w:rsidR="00F92D62" w:rsidRPr="003171CD">
        <w:rPr>
          <w:lang w:val="en-US"/>
        </w:rPr>
        <w:t xml:space="preserve">notes </w:t>
      </w:r>
      <w:r w:rsidRPr="003171CD">
        <w:rPr>
          <w:lang w:val="en-US"/>
        </w:rPr>
        <w:t xml:space="preserve">that the Court of First Instance of Tonacatepeque </w:t>
      </w:r>
      <w:r w:rsidR="00B90F96" w:rsidRPr="003171CD">
        <w:rPr>
          <w:lang w:val="en-US"/>
        </w:rPr>
        <w:t xml:space="preserve">did not allow </w:t>
      </w:r>
      <w:r w:rsidR="00DC05FB" w:rsidRPr="003171CD">
        <w:rPr>
          <w:lang w:val="en-US"/>
        </w:rPr>
        <w:t xml:space="preserve">him to undergo </w:t>
      </w:r>
      <w:r w:rsidRPr="003171CD">
        <w:rPr>
          <w:lang w:val="en-US"/>
        </w:rPr>
        <w:t xml:space="preserve">a psychological </w:t>
      </w:r>
      <w:r w:rsidR="001E0E89" w:rsidRPr="003171CD">
        <w:rPr>
          <w:lang w:val="en-US"/>
        </w:rPr>
        <w:t>evaluation</w:t>
      </w:r>
      <w:r w:rsidR="00DC05FB" w:rsidRPr="003171CD">
        <w:rPr>
          <w:lang w:val="en-US"/>
        </w:rPr>
        <w:t>, as</w:t>
      </w:r>
      <w:r w:rsidR="001E0E89" w:rsidRPr="003171CD">
        <w:rPr>
          <w:lang w:val="en-US"/>
        </w:rPr>
        <w:t xml:space="preserve"> </w:t>
      </w:r>
      <w:r w:rsidRPr="003171CD">
        <w:rPr>
          <w:lang w:val="en-US"/>
        </w:rPr>
        <w:t xml:space="preserve">requested by the </w:t>
      </w:r>
      <w:r w:rsidR="00940256" w:rsidRPr="003171CD">
        <w:rPr>
          <w:lang w:val="en-US"/>
        </w:rPr>
        <w:t>prosecutor</w:t>
      </w:r>
      <w:r w:rsidRPr="003171CD">
        <w:rPr>
          <w:lang w:val="en-US"/>
        </w:rPr>
        <w:t xml:space="preserve"> (</w:t>
      </w:r>
      <w:r w:rsidRPr="003171CD">
        <w:rPr>
          <w:i/>
          <w:lang w:val="en-US"/>
        </w:rPr>
        <w:t>supra</w:t>
      </w:r>
      <w:r w:rsidRPr="003171CD">
        <w:rPr>
          <w:lang w:val="en-US"/>
        </w:rPr>
        <w:t xml:space="preserve"> para. 79), </w:t>
      </w:r>
      <w:r w:rsidR="00DC05FB" w:rsidRPr="003171CD">
        <w:rPr>
          <w:lang w:val="en-US"/>
        </w:rPr>
        <w:t xml:space="preserve">and that no subsequent effort was made to </w:t>
      </w:r>
      <w:r w:rsidR="00AF20C6" w:rsidRPr="003171CD">
        <w:rPr>
          <w:lang w:val="en-US"/>
        </w:rPr>
        <w:t xml:space="preserve">pursue </w:t>
      </w:r>
      <w:r w:rsidR="00DC05FB" w:rsidRPr="003171CD">
        <w:rPr>
          <w:lang w:val="en-US"/>
        </w:rPr>
        <w:t>the investigation</w:t>
      </w:r>
      <w:r w:rsidRPr="003171CD">
        <w:rPr>
          <w:lang w:val="en-US"/>
        </w:rPr>
        <w:t xml:space="preserve"> </w:t>
      </w:r>
      <w:r w:rsidR="00AF20C6" w:rsidRPr="003171CD">
        <w:rPr>
          <w:lang w:val="en-US"/>
        </w:rPr>
        <w:t xml:space="preserve">into the acts </w:t>
      </w:r>
      <w:r w:rsidRPr="003171CD">
        <w:rPr>
          <w:lang w:val="en-US"/>
        </w:rPr>
        <w:t>of torture.</w:t>
      </w:r>
    </w:p>
    <w:p w14:paraId="487D8B5E" w14:textId="77777777" w:rsidR="005A65CE" w:rsidRPr="003171CD" w:rsidRDefault="005A65CE" w:rsidP="005A65CE">
      <w:pPr>
        <w:pStyle w:val="Prrafodelista"/>
        <w:ind w:left="0"/>
        <w:jc w:val="both"/>
        <w:rPr>
          <w:lang w:val="en-US"/>
        </w:rPr>
      </w:pPr>
    </w:p>
    <w:p w14:paraId="13585FC8" w14:textId="77777777" w:rsidR="005A65CE" w:rsidRPr="003171CD" w:rsidRDefault="005A65CE" w:rsidP="005A65CE">
      <w:pPr>
        <w:pStyle w:val="Prrafodelista"/>
        <w:numPr>
          <w:ilvl w:val="0"/>
          <w:numId w:val="1"/>
        </w:numPr>
        <w:jc w:val="both"/>
        <w:rPr>
          <w:lang w:val="en-US"/>
        </w:rPr>
      </w:pPr>
      <w:r w:rsidRPr="003171CD">
        <w:rPr>
          <w:rFonts w:eastAsiaTheme="minorHAnsi" w:cs="Arial"/>
          <w:szCs w:val="20"/>
          <w:lang w:val="en-US"/>
        </w:rPr>
        <w:t xml:space="preserve">Therefore, the Court </w:t>
      </w:r>
      <w:r w:rsidR="00B90F96" w:rsidRPr="003171CD">
        <w:rPr>
          <w:rFonts w:eastAsiaTheme="minorHAnsi" w:cs="Arial"/>
          <w:szCs w:val="20"/>
          <w:lang w:val="en-US"/>
        </w:rPr>
        <w:t xml:space="preserve">accepts </w:t>
      </w:r>
      <w:r w:rsidRPr="003171CD">
        <w:rPr>
          <w:rFonts w:eastAsiaTheme="minorHAnsi" w:cs="Arial"/>
          <w:szCs w:val="20"/>
          <w:lang w:val="en-US"/>
        </w:rPr>
        <w:t xml:space="preserve">the </w:t>
      </w:r>
      <w:r w:rsidR="00B90F96" w:rsidRPr="003171CD">
        <w:rPr>
          <w:rFonts w:eastAsiaTheme="minorHAnsi" w:cs="Arial"/>
          <w:szCs w:val="20"/>
          <w:lang w:val="en-US"/>
        </w:rPr>
        <w:t xml:space="preserve">State’s </w:t>
      </w:r>
      <w:r w:rsidRPr="003171CD">
        <w:rPr>
          <w:rFonts w:eastAsiaTheme="minorHAnsi" w:cs="Arial"/>
          <w:szCs w:val="20"/>
          <w:lang w:val="en-US"/>
        </w:rPr>
        <w:t xml:space="preserve">acknowledgment of responsibility </w:t>
      </w:r>
      <w:r w:rsidR="00AF20C6" w:rsidRPr="003171CD">
        <w:rPr>
          <w:rFonts w:eastAsiaTheme="minorHAnsi" w:cs="Arial"/>
          <w:szCs w:val="20"/>
          <w:lang w:val="en-US"/>
        </w:rPr>
        <w:t xml:space="preserve">regarding the fact that it did not open, </w:t>
      </w:r>
      <w:r w:rsidR="00AF20C6" w:rsidRPr="003171CD">
        <w:rPr>
          <w:rFonts w:eastAsiaTheme="minorHAnsi" w:cs="Arial"/>
          <w:i/>
          <w:szCs w:val="20"/>
          <w:lang w:val="en-US"/>
        </w:rPr>
        <w:t>ex officio</w:t>
      </w:r>
      <w:r w:rsidR="00AF20C6" w:rsidRPr="003171CD">
        <w:rPr>
          <w:rFonts w:eastAsiaTheme="minorHAnsi" w:cs="Arial"/>
          <w:szCs w:val="20"/>
          <w:lang w:val="en-US"/>
        </w:rPr>
        <w:t xml:space="preserve"> </w:t>
      </w:r>
      <w:r w:rsidRPr="003171CD">
        <w:rPr>
          <w:rFonts w:eastAsiaTheme="minorHAnsi" w:cs="Arial"/>
          <w:szCs w:val="20"/>
          <w:lang w:val="en-US"/>
        </w:rPr>
        <w:t>a</w:t>
      </w:r>
      <w:r w:rsidR="00B90F96" w:rsidRPr="003171CD">
        <w:rPr>
          <w:rFonts w:eastAsiaTheme="minorHAnsi" w:cs="Arial"/>
          <w:szCs w:val="20"/>
          <w:lang w:val="en-US"/>
        </w:rPr>
        <w:t xml:space="preserve">nd with </w:t>
      </w:r>
      <w:r w:rsidRPr="003171CD">
        <w:rPr>
          <w:rFonts w:eastAsiaTheme="minorHAnsi" w:cs="Arial"/>
          <w:szCs w:val="20"/>
          <w:lang w:val="en-US"/>
        </w:rPr>
        <w:t>due diligence</w:t>
      </w:r>
      <w:r w:rsidR="00AF20C6" w:rsidRPr="003171CD">
        <w:rPr>
          <w:rFonts w:eastAsiaTheme="minorHAnsi" w:cs="Arial"/>
          <w:szCs w:val="20"/>
          <w:lang w:val="en-US"/>
        </w:rPr>
        <w:t>,</w:t>
      </w:r>
      <w:r w:rsidRPr="003171CD">
        <w:rPr>
          <w:rFonts w:eastAsiaTheme="minorHAnsi" w:cs="Arial"/>
          <w:szCs w:val="20"/>
          <w:lang w:val="en-US"/>
        </w:rPr>
        <w:t xml:space="preserve"> an investigation </w:t>
      </w:r>
      <w:r w:rsidR="00AF20C6" w:rsidRPr="003171CD">
        <w:rPr>
          <w:rFonts w:eastAsiaTheme="minorHAnsi" w:cs="Arial"/>
          <w:szCs w:val="20"/>
          <w:lang w:val="en-US"/>
        </w:rPr>
        <w:t xml:space="preserve">into </w:t>
      </w:r>
      <w:r w:rsidRPr="003171CD">
        <w:rPr>
          <w:rFonts w:eastAsiaTheme="minorHAnsi" w:cs="Arial"/>
          <w:szCs w:val="20"/>
          <w:lang w:val="en-US"/>
        </w:rPr>
        <w:t xml:space="preserve">the acts of torture and </w:t>
      </w:r>
      <w:r w:rsidR="00B90F96" w:rsidRPr="003171CD">
        <w:rPr>
          <w:rFonts w:eastAsiaTheme="minorHAnsi" w:cs="Arial"/>
          <w:szCs w:val="20"/>
          <w:lang w:val="en-US"/>
        </w:rPr>
        <w:t xml:space="preserve">mistreatment </w:t>
      </w:r>
      <w:r w:rsidR="00411425" w:rsidRPr="003171CD">
        <w:rPr>
          <w:rFonts w:eastAsiaTheme="minorHAnsi" w:cs="Arial"/>
          <w:szCs w:val="20"/>
          <w:lang w:val="en-US"/>
        </w:rPr>
        <w:t xml:space="preserve">inflicted on </w:t>
      </w:r>
      <w:r w:rsidRPr="003171CD">
        <w:rPr>
          <w:rFonts w:eastAsiaTheme="minorHAnsi" w:cs="Arial"/>
          <w:szCs w:val="20"/>
          <w:lang w:val="en-US"/>
        </w:rPr>
        <w:t xml:space="preserve">Mr. Ruano Torres </w:t>
      </w:r>
      <w:r w:rsidR="00411425" w:rsidRPr="003171CD">
        <w:rPr>
          <w:rFonts w:eastAsiaTheme="minorHAnsi" w:cs="Arial"/>
          <w:szCs w:val="20"/>
          <w:lang w:val="en-US"/>
        </w:rPr>
        <w:t xml:space="preserve">following the </w:t>
      </w:r>
      <w:r w:rsidR="001E0E89" w:rsidRPr="003171CD">
        <w:rPr>
          <w:rFonts w:eastAsiaTheme="minorHAnsi" w:cs="Arial"/>
          <w:szCs w:val="20"/>
          <w:lang w:val="en-US"/>
        </w:rPr>
        <w:t xml:space="preserve">complaint filed before </w:t>
      </w:r>
      <w:r w:rsidRPr="003171CD">
        <w:rPr>
          <w:rFonts w:eastAsiaTheme="minorHAnsi" w:cs="Arial"/>
          <w:szCs w:val="20"/>
          <w:lang w:val="en-US"/>
        </w:rPr>
        <w:t>the Disciplinary Investigation Unit of the Nation</w:t>
      </w:r>
      <w:r w:rsidR="00AF20C6" w:rsidRPr="003171CD">
        <w:rPr>
          <w:rFonts w:eastAsiaTheme="minorHAnsi" w:cs="Arial"/>
          <w:szCs w:val="20"/>
          <w:lang w:val="en-US"/>
        </w:rPr>
        <w:t>al Civil Police</w:t>
      </w:r>
      <w:r w:rsidR="00B90F96" w:rsidRPr="003171CD">
        <w:rPr>
          <w:rFonts w:eastAsiaTheme="minorHAnsi" w:cs="Arial"/>
          <w:szCs w:val="20"/>
          <w:lang w:val="en-US"/>
        </w:rPr>
        <w:t xml:space="preserve">. Thus, </w:t>
      </w:r>
      <w:r w:rsidRPr="003171CD">
        <w:rPr>
          <w:rFonts w:eastAsiaTheme="minorHAnsi" w:cs="Arial"/>
          <w:szCs w:val="20"/>
          <w:lang w:val="en-US"/>
        </w:rPr>
        <w:t xml:space="preserve">the State </w:t>
      </w:r>
      <w:r w:rsidR="00B90F96" w:rsidRPr="003171CD">
        <w:rPr>
          <w:rFonts w:eastAsiaTheme="minorHAnsi" w:cs="Arial"/>
          <w:szCs w:val="20"/>
          <w:lang w:val="en-US"/>
        </w:rPr>
        <w:t xml:space="preserve">failed in its obligation to ensure the </w:t>
      </w:r>
      <w:r w:rsidRPr="003171CD">
        <w:rPr>
          <w:rFonts w:eastAsiaTheme="minorHAnsi" w:cs="Arial"/>
          <w:szCs w:val="20"/>
          <w:lang w:val="en-US"/>
        </w:rPr>
        <w:t>right to personal integrity recognized in Article 5(1) and 5(2) of the American Convention, in con</w:t>
      </w:r>
      <w:r w:rsidR="00B90F96" w:rsidRPr="003171CD">
        <w:rPr>
          <w:rFonts w:eastAsiaTheme="minorHAnsi" w:cs="Arial"/>
          <w:szCs w:val="20"/>
          <w:lang w:val="en-US"/>
        </w:rPr>
        <w:t xml:space="preserve">nection </w:t>
      </w:r>
      <w:r w:rsidRPr="003171CD">
        <w:rPr>
          <w:rFonts w:eastAsiaTheme="minorHAnsi" w:cs="Arial"/>
          <w:szCs w:val="20"/>
          <w:lang w:val="en-US"/>
        </w:rPr>
        <w:t xml:space="preserve">with Article 1(1) thereof, </w:t>
      </w:r>
      <w:r w:rsidRPr="003171CD">
        <w:rPr>
          <w:rFonts w:eastAsiaTheme="minorHAnsi" w:cs="Arial"/>
          <w:bCs/>
          <w:szCs w:val="20"/>
          <w:lang w:val="en-US"/>
        </w:rPr>
        <w:t>to the detriment of Mr. José Agapito Ruano Torres.</w:t>
      </w:r>
    </w:p>
    <w:p w14:paraId="405F2BD6" w14:textId="77777777" w:rsidR="005A65CE" w:rsidRPr="003171CD" w:rsidRDefault="005A65CE" w:rsidP="005A65CE">
      <w:pPr>
        <w:jc w:val="both"/>
        <w:rPr>
          <w:rFonts w:eastAsiaTheme="minorHAnsi" w:cs="Arial"/>
          <w:snapToGrid/>
          <w:lang w:val="en-US" w:eastAsia="en-US"/>
        </w:rPr>
      </w:pPr>
    </w:p>
    <w:p w14:paraId="1E2182B7" w14:textId="77777777" w:rsidR="005A65CE" w:rsidRPr="003171CD" w:rsidRDefault="005A65CE" w:rsidP="005A65CE">
      <w:pPr>
        <w:pStyle w:val="Prrafodelista"/>
        <w:keepNext/>
        <w:keepLines/>
        <w:numPr>
          <w:ilvl w:val="0"/>
          <w:numId w:val="17"/>
        </w:numPr>
        <w:ind w:left="1418" w:hanging="709"/>
        <w:jc w:val="both"/>
        <w:outlineLvl w:val="1"/>
        <w:rPr>
          <w:rFonts w:cs="Arial"/>
          <w:b/>
          <w:i/>
          <w:lang w:val="en-US"/>
        </w:rPr>
      </w:pPr>
      <w:bookmarkStart w:id="46" w:name="_Toc45186708"/>
      <w:r w:rsidRPr="003171CD">
        <w:rPr>
          <w:rFonts w:cs="Arial"/>
          <w:b/>
          <w:i/>
          <w:lang w:val="en-US"/>
        </w:rPr>
        <w:t>V</w:t>
      </w:r>
      <w:r w:rsidR="003735D8" w:rsidRPr="003171CD">
        <w:rPr>
          <w:rFonts w:cs="Arial"/>
          <w:b/>
          <w:i/>
          <w:lang w:val="en-US"/>
        </w:rPr>
        <w:t xml:space="preserve">iolation of the right to presumption of </w:t>
      </w:r>
      <w:r w:rsidRPr="003171CD">
        <w:rPr>
          <w:rFonts w:cs="Arial"/>
          <w:b/>
          <w:i/>
          <w:lang w:val="en-US"/>
        </w:rPr>
        <w:t xml:space="preserve">innocence </w:t>
      </w:r>
      <w:r w:rsidR="00C625EC" w:rsidRPr="003171CD">
        <w:rPr>
          <w:rFonts w:cs="Arial"/>
          <w:b/>
          <w:i/>
          <w:lang w:val="en-US"/>
        </w:rPr>
        <w:t xml:space="preserve">to the detriment </w:t>
      </w:r>
      <w:r w:rsidR="003735D8" w:rsidRPr="003171CD">
        <w:rPr>
          <w:rFonts w:cs="Arial"/>
          <w:b/>
          <w:i/>
          <w:lang w:val="en-US"/>
        </w:rPr>
        <w:t xml:space="preserve">of </w:t>
      </w:r>
      <w:r w:rsidRPr="003171CD">
        <w:rPr>
          <w:rFonts w:cs="Arial"/>
          <w:b/>
          <w:i/>
          <w:lang w:val="en-US"/>
        </w:rPr>
        <w:t>José Agapito Ruano Torres</w:t>
      </w:r>
      <w:bookmarkEnd w:id="46"/>
    </w:p>
    <w:p w14:paraId="06A07562" w14:textId="77777777" w:rsidR="005A65CE" w:rsidRPr="003171CD" w:rsidRDefault="005A65CE" w:rsidP="005A65CE">
      <w:pPr>
        <w:jc w:val="both"/>
        <w:rPr>
          <w:rFonts w:eastAsiaTheme="minorHAnsi" w:cs="Arial"/>
          <w:snapToGrid/>
          <w:lang w:val="en-US" w:eastAsia="en-US"/>
        </w:rPr>
      </w:pPr>
    </w:p>
    <w:p w14:paraId="54C3EE57"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bookmarkStart w:id="47" w:name="_Ref375063243"/>
      <w:r w:rsidRPr="003171CD">
        <w:rPr>
          <w:rFonts w:eastAsiaTheme="minorHAnsi" w:cs="Arial"/>
          <w:bCs/>
          <w:iCs/>
          <w:lang w:val="en-US"/>
        </w:rPr>
        <w:t xml:space="preserve">Article 8(2) of the Convention </w:t>
      </w:r>
      <w:r w:rsidR="00E31D85" w:rsidRPr="003171CD">
        <w:rPr>
          <w:rFonts w:eastAsiaTheme="minorHAnsi" w:cs="Arial"/>
          <w:bCs/>
          <w:iCs/>
          <w:lang w:val="en-US"/>
        </w:rPr>
        <w:t>establishes t</w:t>
      </w:r>
      <w:r w:rsidRPr="003171CD">
        <w:rPr>
          <w:rFonts w:eastAsiaTheme="minorHAnsi" w:cs="Arial"/>
          <w:bCs/>
          <w:iCs/>
          <w:lang w:val="en-US"/>
        </w:rPr>
        <w:t>hat “[e]</w:t>
      </w:r>
      <w:r w:rsidRPr="003171CD">
        <w:rPr>
          <w:color w:val="000000"/>
          <w:lang w:val="en-US"/>
        </w:rPr>
        <w:t>very person accused of a criminal offense has the right to be presumed innocent so long as his guilt has not been proven according to law</w:t>
      </w:r>
      <w:r w:rsidRPr="003171CD">
        <w:rPr>
          <w:rFonts w:eastAsiaTheme="minorHAnsi" w:cs="Arial"/>
          <w:bCs/>
          <w:iCs/>
          <w:lang w:val="en-US"/>
        </w:rPr>
        <w:t xml:space="preserve">.” </w:t>
      </w:r>
      <w:r w:rsidR="00B90F96" w:rsidRPr="003171CD">
        <w:rPr>
          <w:rFonts w:eastAsiaTheme="minorHAnsi" w:cs="Arial"/>
          <w:bCs/>
          <w:iCs/>
          <w:lang w:val="en-US"/>
        </w:rPr>
        <w:t>Thus</w:t>
      </w:r>
      <w:r w:rsidRPr="003171CD">
        <w:rPr>
          <w:rFonts w:eastAsiaTheme="minorHAnsi" w:cs="Arial"/>
          <w:bCs/>
          <w:iCs/>
          <w:lang w:val="en-US"/>
        </w:rPr>
        <w:t xml:space="preserve">, the Court </w:t>
      </w:r>
      <w:r w:rsidRPr="003171CD">
        <w:rPr>
          <w:rFonts w:eastAsiaTheme="minorHAnsi" w:cs="Arial"/>
          <w:lang w:val="en-US"/>
        </w:rPr>
        <w:t>has s</w:t>
      </w:r>
      <w:r w:rsidR="00B90F96" w:rsidRPr="003171CD">
        <w:rPr>
          <w:rFonts w:eastAsiaTheme="minorHAnsi" w:cs="Arial"/>
          <w:lang w:val="en-US"/>
        </w:rPr>
        <w:t xml:space="preserve">tated </w:t>
      </w:r>
      <w:r w:rsidRPr="003171CD">
        <w:rPr>
          <w:rFonts w:eastAsiaTheme="minorHAnsi" w:cs="Arial"/>
          <w:lang w:val="en-US"/>
        </w:rPr>
        <w:t xml:space="preserve">that the principle of presumption of innocence constitutes </w:t>
      </w:r>
      <w:r w:rsidR="00411425" w:rsidRPr="003171CD">
        <w:rPr>
          <w:rFonts w:eastAsiaTheme="minorHAnsi" w:cs="Arial"/>
          <w:lang w:val="en-US"/>
        </w:rPr>
        <w:t>a</w:t>
      </w:r>
      <w:r w:rsidRPr="003171CD">
        <w:rPr>
          <w:rFonts w:eastAsiaTheme="minorHAnsi" w:cs="Arial"/>
          <w:lang w:val="en-US"/>
        </w:rPr>
        <w:t xml:space="preserve"> </w:t>
      </w:r>
      <w:r w:rsidR="00411425" w:rsidRPr="003171CD">
        <w:rPr>
          <w:rFonts w:eastAsiaTheme="minorHAnsi" w:cs="Arial"/>
          <w:lang w:val="en-US"/>
        </w:rPr>
        <w:t xml:space="preserve">cornerstone </w:t>
      </w:r>
      <w:r w:rsidR="00B90F96" w:rsidRPr="003171CD">
        <w:rPr>
          <w:rFonts w:eastAsiaTheme="minorHAnsi" w:cs="Arial"/>
          <w:lang w:val="en-US"/>
        </w:rPr>
        <w:t xml:space="preserve">of </w:t>
      </w:r>
      <w:r w:rsidRPr="003171CD">
        <w:rPr>
          <w:rFonts w:eastAsiaTheme="minorHAnsi" w:cs="Arial"/>
          <w:lang w:val="en-US"/>
        </w:rPr>
        <w:t>judicial guarantees.</w:t>
      </w:r>
      <w:r w:rsidRPr="003171CD">
        <w:rPr>
          <w:rFonts w:eastAsiaTheme="minorHAnsi" w:cs="Arial"/>
          <w:vertAlign w:val="superscript"/>
          <w:lang w:val="en-US"/>
        </w:rPr>
        <w:footnoteReference w:id="183"/>
      </w:r>
      <w:bookmarkEnd w:id="47"/>
      <w:r w:rsidRPr="003171CD">
        <w:rPr>
          <w:rFonts w:eastAsiaTheme="minorHAnsi" w:cs="Arial"/>
          <w:lang w:val="en-US"/>
        </w:rPr>
        <w:t xml:space="preserve"> The presumption of innocence implies that the </w:t>
      </w:r>
      <w:r w:rsidR="00B90F96" w:rsidRPr="003171CD">
        <w:rPr>
          <w:rFonts w:eastAsiaTheme="minorHAnsi" w:cs="Arial"/>
          <w:lang w:val="en-US"/>
        </w:rPr>
        <w:t xml:space="preserve">defendant enjoys </w:t>
      </w:r>
      <w:r w:rsidRPr="003171CD">
        <w:rPr>
          <w:rFonts w:eastAsiaTheme="minorHAnsi" w:cs="Arial"/>
          <w:lang w:val="en-US"/>
        </w:rPr>
        <w:t xml:space="preserve">a </w:t>
      </w:r>
      <w:r w:rsidR="00B90F96" w:rsidRPr="003171CD">
        <w:rPr>
          <w:rFonts w:eastAsiaTheme="minorHAnsi" w:cs="Arial"/>
          <w:lang w:val="en-US"/>
        </w:rPr>
        <w:t xml:space="preserve">legal status </w:t>
      </w:r>
      <w:r w:rsidRPr="003171CD">
        <w:rPr>
          <w:rFonts w:eastAsiaTheme="minorHAnsi" w:cs="Arial"/>
          <w:lang w:val="en-US"/>
        </w:rPr>
        <w:t>of innocence or no</w:t>
      </w:r>
      <w:r w:rsidR="00B90F96" w:rsidRPr="003171CD">
        <w:rPr>
          <w:rFonts w:eastAsiaTheme="minorHAnsi" w:cs="Arial"/>
          <w:lang w:val="en-US"/>
        </w:rPr>
        <w:t>n-</w:t>
      </w:r>
      <w:r w:rsidRPr="003171CD">
        <w:rPr>
          <w:rFonts w:eastAsiaTheme="minorHAnsi" w:cs="Arial"/>
          <w:lang w:val="en-US"/>
        </w:rPr>
        <w:t xml:space="preserve">culpability </w:t>
      </w:r>
      <w:r w:rsidR="00B90F96" w:rsidRPr="003171CD">
        <w:rPr>
          <w:rFonts w:eastAsiaTheme="minorHAnsi" w:cs="Arial"/>
          <w:lang w:val="en-US"/>
        </w:rPr>
        <w:t xml:space="preserve">while </w:t>
      </w:r>
      <w:r w:rsidR="00AF20C6" w:rsidRPr="003171CD">
        <w:rPr>
          <w:rFonts w:eastAsiaTheme="minorHAnsi" w:cs="Arial"/>
          <w:lang w:val="en-US"/>
        </w:rPr>
        <w:t xml:space="preserve">a decision is taken </w:t>
      </w:r>
      <w:r w:rsidR="00E31D85" w:rsidRPr="003171CD">
        <w:rPr>
          <w:rFonts w:eastAsiaTheme="minorHAnsi" w:cs="Arial"/>
          <w:lang w:val="en-US"/>
        </w:rPr>
        <w:t xml:space="preserve">regarding </w:t>
      </w:r>
      <w:r w:rsidR="00DC16E1" w:rsidRPr="003171CD">
        <w:rPr>
          <w:rFonts w:eastAsiaTheme="minorHAnsi" w:cs="Arial"/>
          <w:lang w:val="en-US"/>
        </w:rPr>
        <w:t xml:space="preserve">his </w:t>
      </w:r>
      <w:r w:rsidR="00AF20C6" w:rsidRPr="003171CD">
        <w:rPr>
          <w:rFonts w:eastAsiaTheme="minorHAnsi" w:cs="Arial"/>
          <w:lang w:val="en-US"/>
        </w:rPr>
        <w:t xml:space="preserve">criminal </w:t>
      </w:r>
      <w:r w:rsidR="00DC16E1" w:rsidRPr="003171CD">
        <w:rPr>
          <w:rFonts w:eastAsiaTheme="minorHAnsi" w:cs="Arial"/>
          <w:lang w:val="en-US"/>
        </w:rPr>
        <w:t>liability</w:t>
      </w:r>
      <w:r w:rsidR="00AF20C6" w:rsidRPr="003171CD">
        <w:rPr>
          <w:rFonts w:eastAsiaTheme="minorHAnsi" w:cs="Arial"/>
          <w:lang w:val="en-US"/>
        </w:rPr>
        <w:t>. This</w:t>
      </w:r>
      <w:r w:rsidRPr="003171CD">
        <w:rPr>
          <w:rFonts w:eastAsiaTheme="minorHAnsi" w:cs="Arial"/>
          <w:lang w:val="en-US"/>
        </w:rPr>
        <w:t xml:space="preserve"> </w:t>
      </w:r>
      <w:r w:rsidR="00AF20C6" w:rsidRPr="003171CD">
        <w:rPr>
          <w:lang w:val="en-US"/>
        </w:rPr>
        <w:t xml:space="preserve">means that </w:t>
      </w:r>
      <w:r w:rsidR="00411425" w:rsidRPr="003171CD">
        <w:rPr>
          <w:lang w:val="en-US"/>
        </w:rPr>
        <w:t xml:space="preserve">the defendant </w:t>
      </w:r>
      <w:r w:rsidR="00AF20C6" w:rsidRPr="003171CD">
        <w:rPr>
          <w:lang w:val="en-US"/>
        </w:rPr>
        <w:t xml:space="preserve">must be treated by the State in a manner </w:t>
      </w:r>
      <w:r w:rsidR="001020DB" w:rsidRPr="003171CD">
        <w:rPr>
          <w:lang w:val="en-US"/>
        </w:rPr>
        <w:t xml:space="preserve">that </w:t>
      </w:r>
      <w:r w:rsidR="00E31D85" w:rsidRPr="003171CD">
        <w:rPr>
          <w:lang w:val="en-US"/>
        </w:rPr>
        <w:t xml:space="preserve">accords with </w:t>
      </w:r>
      <w:r w:rsidR="00AF20C6" w:rsidRPr="003171CD">
        <w:rPr>
          <w:lang w:val="en-US"/>
        </w:rPr>
        <w:t>their status as a person who has not been convicted</w:t>
      </w:r>
      <w:r w:rsidR="00AF20C6" w:rsidRPr="003171CD">
        <w:rPr>
          <w:rFonts w:eastAsiaTheme="minorHAnsi" w:cs="Arial"/>
          <w:lang w:val="en-US"/>
        </w:rPr>
        <w:t>.</w:t>
      </w:r>
      <w:r w:rsidRPr="003171CD">
        <w:rPr>
          <w:rFonts w:eastAsiaTheme="minorHAnsi"/>
          <w:vertAlign w:val="superscript"/>
          <w:lang w:val="en-US"/>
        </w:rPr>
        <w:footnoteReference w:id="184"/>
      </w:r>
      <w:r w:rsidR="00B90F96" w:rsidRPr="003171CD">
        <w:rPr>
          <w:rFonts w:eastAsiaTheme="minorHAnsi" w:cs="Arial"/>
          <w:lang w:val="en-US"/>
        </w:rPr>
        <w:t xml:space="preserve"> </w:t>
      </w:r>
      <w:r w:rsidR="001020DB" w:rsidRPr="003171CD">
        <w:rPr>
          <w:rFonts w:eastAsiaTheme="minorHAnsi" w:cs="Arial"/>
          <w:lang w:val="en-US"/>
        </w:rPr>
        <w:t>Th</w:t>
      </w:r>
      <w:r w:rsidR="00E31D85" w:rsidRPr="003171CD">
        <w:rPr>
          <w:rFonts w:eastAsiaTheme="minorHAnsi" w:cs="Arial"/>
          <w:lang w:val="en-US"/>
        </w:rPr>
        <w:t>erefore</w:t>
      </w:r>
      <w:r w:rsidRPr="003171CD">
        <w:rPr>
          <w:rFonts w:eastAsiaTheme="minorHAnsi" w:cs="Helvetica"/>
          <w:lang w:val="en-US"/>
        </w:rPr>
        <w:t>, t</w:t>
      </w:r>
      <w:r w:rsidR="001020DB" w:rsidRPr="003171CD">
        <w:rPr>
          <w:rFonts w:eastAsiaTheme="minorHAnsi" w:cs="Helvetica"/>
          <w:lang w:val="en-US"/>
        </w:rPr>
        <w:t xml:space="preserve">he principle of presumption of </w:t>
      </w:r>
      <w:r w:rsidRPr="003171CD">
        <w:rPr>
          <w:rFonts w:eastAsiaTheme="minorHAnsi" w:cs="Helvetica"/>
          <w:lang w:val="en-US"/>
        </w:rPr>
        <w:t xml:space="preserve">innocence </w:t>
      </w:r>
      <w:r w:rsidR="001020DB" w:rsidRPr="003171CD">
        <w:rPr>
          <w:rFonts w:eastAsiaTheme="minorHAnsi" w:cs="Helvetica"/>
          <w:lang w:val="en-US"/>
        </w:rPr>
        <w:t xml:space="preserve">means </w:t>
      </w:r>
      <w:r w:rsidR="001020DB" w:rsidRPr="003171CD">
        <w:rPr>
          <w:lang w:val="en-US"/>
        </w:rPr>
        <w:t xml:space="preserve">that a person cannot be convicted unless there is clear evidence, </w:t>
      </w:r>
      <w:r w:rsidR="00751491" w:rsidRPr="003171CD">
        <w:rPr>
          <w:rFonts w:eastAsiaTheme="minorHAnsi" w:cs="Helvetica"/>
          <w:lang w:val="en-US"/>
        </w:rPr>
        <w:t>or evidence</w:t>
      </w:r>
      <w:r w:rsidRPr="003171CD">
        <w:rPr>
          <w:rFonts w:eastAsiaTheme="minorHAnsi" w:cs="Helvetica"/>
          <w:lang w:val="en-US"/>
        </w:rPr>
        <w:t xml:space="preserve"> beyond all reasonable doubt</w:t>
      </w:r>
      <w:r w:rsidR="00751491" w:rsidRPr="003171CD">
        <w:rPr>
          <w:rFonts w:eastAsiaTheme="minorHAnsi" w:cs="Helvetica"/>
          <w:lang w:val="en-US"/>
        </w:rPr>
        <w:t>,</w:t>
      </w:r>
      <w:r w:rsidRPr="003171CD">
        <w:rPr>
          <w:rFonts w:eastAsiaTheme="minorHAnsi" w:cs="Helvetica"/>
          <w:lang w:val="en-US"/>
        </w:rPr>
        <w:t xml:space="preserve"> of </w:t>
      </w:r>
      <w:r w:rsidR="00751491" w:rsidRPr="003171CD">
        <w:rPr>
          <w:rFonts w:eastAsiaTheme="minorHAnsi" w:cs="Helvetica"/>
          <w:lang w:val="en-US"/>
        </w:rPr>
        <w:t>their guilt</w:t>
      </w:r>
      <w:r w:rsidR="00AF20C6" w:rsidRPr="003171CD">
        <w:rPr>
          <w:rFonts w:eastAsiaTheme="minorHAnsi" w:cs="Helvetica"/>
          <w:lang w:val="en-US"/>
        </w:rPr>
        <w:t>,</w:t>
      </w:r>
      <w:r w:rsidRPr="003171CD">
        <w:rPr>
          <w:rFonts w:eastAsiaTheme="minorHAnsi" w:cs="Helvetica"/>
          <w:vertAlign w:val="superscript"/>
          <w:lang w:val="en-US"/>
        </w:rPr>
        <w:footnoteReference w:id="185"/>
      </w:r>
      <w:r w:rsidRPr="003171CD">
        <w:rPr>
          <w:rFonts w:eastAsiaTheme="minorHAnsi" w:cs="Helvetica"/>
          <w:lang w:val="en-US"/>
        </w:rPr>
        <w:t xml:space="preserve"> </w:t>
      </w:r>
      <w:r w:rsidR="00751491" w:rsidRPr="003171CD">
        <w:rPr>
          <w:rFonts w:eastAsiaTheme="minorHAnsi" w:cs="Helvetica"/>
          <w:lang w:val="en-US"/>
        </w:rPr>
        <w:t xml:space="preserve">following </w:t>
      </w:r>
      <w:r w:rsidRPr="003171CD">
        <w:rPr>
          <w:rFonts w:eastAsiaTheme="minorHAnsi" w:cs="Helvetica"/>
          <w:lang w:val="en-US"/>
        </w:rPr>
        <w:t xml:space="preserve">a </w:t>
      </w:r>
      <w:r w:rsidR="00E31D85" w:rsidRPr="003171CD">
        <w:rPr>
          <w:rFonts w:eastAsiaTheme="minorHAnsi" w:cs="Helvetica"/>
          <w:lang w:val="en-US"/>
        </w:rPr>
        <w:t xml:space="preserve">trial </w:t>
      </w:r>
      <w:r w:rsidR="00751491" w:rsidRPr="003171CD">
        <w:rPr>
          <w:rFonts w:eastAsiaTheme="minorHAnsi" w:cs="Helvetica"/>
          <w:lang w:val="en-US"/>
        </w:rPr>
        <w:t xml:space="preserve">with </w:t>
      </w:r>
      <w:r w:rsidR="00E31D85" w:rsidRPr="003171CD">
        <w:rPr>
          <w:rFonts w:eastAsiaTheme="minorHAnsi" w:cs="Helvetica"/>
          <w:lang w:val="en-US"/>
        </w:rPr>
        <w:t xml:space="preserve">full </w:t>
      </w:r>
      <w:r w:rsidRPr="003171CD">
        <w:rPr>
          <w:rFonts w:eastAsiaTheme="minorHAnsi" w:cs="Helvetica"/>
          <w:lang w:val="en-US"/>
        </w:rPr>
        <w:t>guarantees</w:t>
      </w:r>
      <w:r w:rsidR="00E31D85" w:rsidRPr="003171CD">
        <w:rPr>
          <w:rFonts w:eastAsiaTheme="minorHAnsi" w:cs="Helvetica"/>
          <w:lang w:val="en-US"/>
        </w:rPr>
        <w:t xml:space="preserve"> of due process</w:t>
      </w:r>
      <w:r w:rsidRPr="003171CD">
        <w:rPr>
          <w:rFonts w:eastAsiaTheme="minorHAnsi" w:cs="Helvetica"/>
          <w:lang w:val="en-US"/>
        </w:rPr>
        <w:t>.</w:t>
      </w:r>
    </w:p>
    <w:p w14:paraId="7B9B7337" w14:textId="77777777" w:rsidR="005A65CE" w:rsidRPr="003171CD" w:rsidRDefault="005A65CE" w:rsidP="005A65CE">
      <w:pPr>
        <w:tabs>
          <w:tab w:val="num" w:pos="11028"/>
        </w:tabs>
        <w:autoSpaceDE/>
        <w:autoSpaceDN/>
        <w:adjustRightInd/>
        <w:contextualSpacing/>
        <w:jc w:val="both"/>
        <w:rPr>
          <w:rFonts w:eastAsiaTheme="minorHAnsi" w:cs="Arial"/>
          <w:snapToGrid/>
          <w:lang w:val="en-US" w:eastAsia="en-US"/>
        </w:rPr>
      </w:pPr>
    </w:p>
    <w:p w14:paraId="15A00F9A" w14:textId="77777777" w:rsidR="005A65CE" w:rsidRPr="003171CD" w:rsidRDefault="00F509F1"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lastRenderedPageBreak/>
        <w:t>The</w:t>
      </w:r>
      <w:r w:rsidR="006509D0" w:rsidRPr="003171CD">
        <w:rPr>
          <w:rFonts w:eastAsiaTheme="minorHAnsi" w:cs="Arial"/>
          <w:lang w:val="en-US"/>
        </w:rPr>
        <w:t xml:space="preserve"> legal status </w:t>
      </w:r>
      <w:r w:rsidR="005A65CE" w:rsidRPr="003171CD">
        <w:rPr>
          <w:rFonts w:eastAsiaTheme="minorHAnsi" w:cs="Arial"/>
          <w:lang w:val="en-US"/>
        </w:rPr>
        <w:t xml:space="preserve">of innocence </w:t>
      </w:r>
      <w:r w:rsidR="006509D0" w:rsidRPr="003171CD">
        <w:rPr>
          <w:rFonts w:eastAsiaTheme="minorHAnsi" w:cs="Arial"/>
          <w:lang w:val="en-US"/>
        </w:rPr>
        <w:t xml:space="preserve">is </w:t>
      </w:r>
      <w:r w:rsidR="00F23C3B" w:rsidRPr="003171CD">
        <w:rPr>
          <w:rFonts w:eastAsiaTheme="minorHAnsi" w:cs="Arial"/>
          <w:lang w:val="en-US"/>
        </w:rPr>
        <w:t xml:space="preserve">expressed </w:t>
      </w:r>
      <w:r w:rsidR="005A65CE" w:rsidRPr="003171CD">
        <w:rPr>
          <w:rFonts w:eastAsiaTheme="minorHAnsi" w:cs="Arial"/>
          <w:lang w:val="en-US"/>
        </w:rPr>
        <w:t xml:space="preserve">in </w:t>
      </w:r>
      <w:r w:rsidR="006509D0" w:rsidRPr="003171CD">
        <w:rPr>
          <w:rFonts w:eastAsiaTheme="minorHAnsi" w:cs="Arial"/>
          <w:lang w:val="en-US"/>
        </w:rPr>
        <w:t xml:space="preserve">a number of </w:t>
      </w:r>
      <w:r w:rsidR="005A65CE" w:rsidRPr="003171CD">
        <w:rPr>
          <w:rFonts w:eastAsiaTheme="minorHAnsi" w:cs="Arial"/>
          <w:lang w:val="en-US"/>
        </w:rPr>
        <w:t xml:space="preserve">obligations that </w:t>
      </w:r>
      <w:r w:rsidR="006509D0" w:rsidRPr="003171CD">
        <w:rPr>
          <w:rFonts w:eastAsiaTheme="minorHAnsi" w:cs="Arial"/>
          <w:lang w:val="en-US"/>
        </w:rPr>
        <w:t xml:space="preserve">guide </w:t>
      </w:r>
      <w:r w:rsidR="005A65CE" w:rsidRPr="003171CD">
        <w:rPr>
          <w:rFonts w:eastAsiaTheme="minorHAnsi" w:cs="Arial"/>
          <w:lang w:val="en-US"/>
        </w:rPr>
        <w:t xml:space="preserve">the </w:t>
      </w:r>
      <w:r w:rsidR="00F23C3B" w:rsidRPr="003171CD">
        <w:rPr>
          <w:rFonts w:eastAsiaTheme="minorHAnsi" w:cs="Arial"/>
          <w:lang w:val="en-US"/>
        </w:rPr>
        <w:t xml:space="preserve">overall </w:t>
      </w:r>
      <w:r w:rsidR="00F92D62" w:rsidRPr="003171CD">
        <w:rPr>
          <w:rFonts w:eastAsiaTheme="minorHAnsi" w:cs="Arial"/>
          <w:lang w:val="en-US"/>
        </w:rPr>
        <w:t xml:space="preserve">conduct </w:t>
      </w:r>
      <w:r w:rsidR="005A65CE" w:rsidRPr="003171CD">
        <w:rPr>
          <w:rFonts w:eastAsiaTheme="minorHAnsi" w:cs="Arial"/>
          <w:lang w:val="en-US"/>
        </w:rPr>
        <w:t xml:space="preserve">of </w:t>
      </w:r>
      <w:r w:rsidR="00F23C3B" w:rsidRPr="003171CD">
        <w:rPr>
          <w:rFonts w:eastAsiaTheme="minorHAnsi" w:cs="Arial"/>
          <w:lang w:val="en-US"/>
        </w:rPr>
        <w:t xml:space="preserve">the </w:t>
      </w:r>
      <w:r w:rsidR="006D65DA" w:rsidRPr="003171CD">
        <w:rPr>
          <w:rFonts w:eastAsiaTheme="minorHAnsi" w:cs="Arial"/>
          <w:lang w:val="en-US"/>
        </w:rPr>
        <w:t xml:space="preserve">criminal </w:t>
      </w:r>
      <w:r w:rsidR="00F23C3B" w:rsidRPr="003171CD">
        <w:rPr>
          <w:rFonts w:eastAsiaTheme="minorHAnsi" w:cs="Arial"/>
          <w:lang w:val="en-US"/>
        </w:rPr>
        <w:t>proceedings</w:t>
      </w:r>
      <w:r w:rsidR="005A65CE" w:rsidRPr="003171CD">
        <w:rPr>
          <w:rFonts w:eastAsiaTheme="minorHAnsi" w:cs="Arial"/>
          <w:lang w:val="en-US"/>
        </w:rPr>
        <w:t xml:space="preserve">. </w:t>
      </w:r>
      <w:r w:rsidRPr="003171CD">
        <w:rPr>
          <w:rFonts w:eastAsiaTheme="minorHAnsi" w:cs="Arial"/>
          <w:lang w:val="en-US"/>
        </w:rPr>
        <w:t>Thus, i</w:t>
      </w:r>
      <w:r w:rsidR="00411425" w:rsidRPr="003171CD">
        <w:rPr>
          <w:lang w:val="en-US"/>
        </w:rPr>
        <w:t>rrefutable proof of guilt constitutes an essential requirement for imposing criminal punishment; hence, the burden of proof lies with the accuser and not with the accused</w:t>
      </w:r>
      <w:r w:rsidR="005A65CE" w:rsidRPr="003171CD">
        <w:rPr>
          <w:rFonts w:eastAsiaTheme="minorHAnsi" w:cs="Arial"/>
          <w:lang w:val="en-US"/>
        </w:rPr>
        <w:t>.</w:t>
      </w:r>
      <w:r w:rsidR="005A65CE" w:rsidRPr="003171CD">
        <w:rPr>
          <w:rFonts w:eastAsiaTheme="minorHAnsi" w:cs="Arial"/>
          <w:vertAlign w:val="superscript"/>
          <w:lang w:val="en-US"/>
        </w:rPr>
        <w:footnoteReference w:id="186"/>
      </w:r>
      <w:r w:rsidR="008C0930" w:rsidRPr="003171CD">
        <w:rPr>
          <w:rFonts w:eastAsiaTheme="minorHAnsi" w:cs="Arial"/>
          <w:lang w:val="en-US"/>
        </w:rPr>
        <w:t xml:space="preserve"> </w:t>
      </w:r>
      <w:r w:rsidR="00D86E22" w:rsidRPr="003171CD">
        <w:rPr>
          <w:rFonts w:eastAsiaTheme="minorHAnsi" w:cs="Arial"/>
          <w:lang w:val="en-US"/>
        </w:rPr>
        <w:t xml:space="preserve">This </w:t>
      </w:r>
      <w:r w:rsidR="00CB4C61" w:rsidRPr="003171CD">
        <w:rPr>
          <w:rFonts w:eastAsiaTheme="minorHAnsi" w:cs="Arial"/>
          <w:lang w:val="en-US"/>
        </w:rPr>
        <w:t xml:space="preserve">means </w:t>
      </w:r>
      <w:r w:rsidR="00D86E22" w:rsidRPr="003171CD">
        <w:rPr>
          <w:rFonts w:eastAsiaTheme="minorHAnsi" w:cs="Arial"/>
          <w:lang w:val="en-US"/>
        </w:rPr>
        <w:t>that the defendant does not have to prove that he has not committed the offense of which he is accused</w:t>
      </w:r>
      <w:r w:rsidR="005A65CE" w:rsidRPr="003171CD">
        <w:rPr>
          <w:rFonts w:eastAsiaTheme="minorHAnsi" w:cs="Arial"/>
          <w:lang w:val="en-US"/>
        </w:rPr>
        <w:t xml:space="preserve">, </w:t>
      </w:r>
      <w:r w:rsidR="00D86E22" w:rsidRPr="003171CD">
        <w:rPr>
          <w:rFonts w:eastAsiaTheme="minorHAnsi" w:cs="Arial"/>
          <w:lang w:val="en-US"/>
        </w:rPr>
        <w:t xml:space="preserve">because </w:t>
      </w:r>
      <w:r w:rsidR="005A65CE" w:rsidRPr="003171CD">
        <w:rPr>
          <w:rFonts w:eastAsiaTheme="minorHAnsi" w:cs="Arial"/>
          <w:lang w:val="en-US"/>
        </w:rPr>
        <w:t xml:space="preserve">the </w:t>
      </w:r>
      <w:r w:rsidR="005A65CE" w:rsidRPr="003171CD">
        <w:rPr>
          <w:rFonts w:eastAsiaTheme="minorHAnsi" w:cs="Arial"/>
          <w:i/>
          <w:lang w:val="en-US"/>
        </w:rPr>
        <w:t>onus probandi</w:t>
      </w:r>
      <w:r w:rsidR="00D86E22" w:rsidRPr="003171CD">
        <w:rPr>
          <w:rFonts w:eastAsiaTheme="minorHAnsi" w:cs="Arial"/>
          <w:lang w:val="en-US"/>
        </w:rPr>
        <w:t xml:space="preserve"> is on th</w:t>
      </w:r>
      <w:r w:rsidR="003C3735" w:rsidRPr="003171CD">
        <w:rPr>
          <w:rFonts w:eastAsiaTheme="minorHAnsi" w:cs="Arial"/>
          <w:lang w:val="en-US"/>
        </w:rPr>
        <w:t>os</w:t>
      </w:r>
      <w:r w:rsidR="00D86E22" w:rsidRPr="003171CD">
        <w:rPr>
          <w:rFonts w:eastAsiaTheme="minorHAnsi" w:cs="Arial"/>
          <w:lang w:val="en-US"/>
        </w:rPr>
        <w:t xml:space="preserve">e </w:t>
      </w:r>
      <w:r w:rsidR="00DC16E1" w:rsidRPr="003171CD">
        <w:rPr>
          <w:rFonts w:eastAsiaTheme="minorHAnsi" w:cs="Arial"/>
          <w:lang w:val="en-US"/>
        </w:rPr>
        <w:t>who have made the accusation</w:t>
      </w:r>
      <w:r w:rsidR="005A65CE" w:rsidRPr="003171CD">
        <w:rPr>
          <w:rFonts w:eastAsiaTheme="minorHAnsi" w:cs="Arial"/>
          <w:vertAlign w:val="superscript"/>
          <w:lang w:val="en-US"/>
        </w:rPr>
        <w:footnoteReference w:id="187"/>
      </w:r>
      <w:r w:rsidR="005A65CE" w:rsidRPr="003171CD">
        <w:rPr>
          <w:rFonts w:eastAsiaTheme="minorHAnsi" w:cs="Arial"/>
          <w:lang w:val="en-US"/>
        </w:rPr>
        <w:t xml:space="preserve"> and any </w:t>
      </w:r>
      <w:r w:rsidR="00B90F96" w:rsidRPr="003171CD">
        <w:rPr>
          <w:rFonts w:eastAsiaTheme="minorHAnsi" w:cs="Arial"/>
          <w:lang w:val="en-US"/>
        </w:rPr>
        <w:t>doubt</w:t>
      </w:r>
      <w:r w:rsidR="005A65CE" w:rsidRPr="003171CD">
        <w:rPr>
          <w:rFonts w:eastAsiaTheme="minorHAnsi" w:cs="Arial"/>
          <w:lang w:val="en-US"/>
        </w:rPr>
        <w:t xml:space="preserve"> </w:t>
      </w:r>
      <w:r w:rsidR="00D0343C" w:rsidRPr="003171CD">
        <w:rPr>
          <w:rFonts w:eastAsiaTheme="minorHAnsi" w:cs="Arial"/>
          <w:lang w:val="en-US"/>
        </w:rPr>
        <w:t xml:space="preserve">that arises must </w:t>
      </w:r>
      <w:r w:rsidR="005A65CE" w:rsidRPr="003171CD">
        <w:rPr>
          <w:rFonts w:eastAsiaTheme="minorHAnsi" w:cs="Arial"/>
          <w:lang w:val="en-US"/>
        </w:rPr>
        <w:t>benefi</w:t>
      </w:r>
      <w:r w:rsidR="00D86E22" w:rsidRPr="003171CD">
        <w:rPr>
          <w:rFonts w:eastAsiaTheme="minorHAnsi" w:cs="Arial"/>
          <w:lang w:val="en-US"/>
        </w:rPr>
        <w:t xml:space="preserve">t </w:t>
      </w:r>
      <w:r w:rsidR="00B90F96" w:rsidRPr="003171CD">
        <w:rPr>
          <w:rFonts w:eastAsiaTheme="minorHAnsi" w:cs="Arial"/>
          <w:lang w:val="en-US"/>
        </w:rPr>
        <w:t xml:space="preserve">the </w:t>
      </w:r>
      <w:r w:rsidR="005A65CE" w:rsidRPr="003171CD">
        <w:rPr>
          <w:rFonts w:eastAsiaTheme="minorHAnsi" w:cs="Arial"/>
          <w:lang w:val="en-US"/>
        </w:rPr>
        <w:t>ac</w:t>
      </w:r>
      <w:r w:rsidR="00B90F96" w:rsidRPr="003171CD">
        <w:rPr>
          <w:rFonts w:eastAsiaTheme="minorHAnsi" w:cs="Arial"/>
          <w:lang w:val="en-US"/>
        </w:rPr>
        <w:t>c</w:t>
      </w:r>
      <w:r w:rsidR="005A65CE" w:rsidRPr="003171CD">
        <w:rPr>
          <w:rFonts w:eastAsiaTheme="minorHAnsi" w:cs="Arial"/>
          <w:lang w:val="en-US"/>
        </w:rPr>
        <w:t>us</w:t>
      </w:r>
      <w:r w:rsidR="00B90F96" w:rsidRPr="003171CD">
        <w:rPr>
          <w:rFonts w:eastAsiaTheme="minorHAnsi" w:cs="Arial"/>
          <w:lang w:val="en-US"/>
        </w:rPr>
        <w:t>ed</w:t>
      </w:r>
      <w:r w:rsidR="005A65CE" w:rsidRPr="003171CD">
        <w:rPr>
          <w:rFonts w:eastAsiaTheme="minorHAnsi" w:cs="Arial"/>
          <w:lang w:val="en-US"/>
        </w:rPr>
        <w:t xml:space="preserve">. </w:t>
      </w:r>
      <w:r w:rsidR="00CB4C61" w:rsidRPr="003171CD">
        <w:rPr>
          <w:lang w:val="en-US"/>
        </w:rPr>
        <w:t>In addition, the principle of the presumption of innocence signifies that the judges must not open the proceedings with a preconceived idea that the accused has committed the offense of which he is accused</w:t>
      </w:r>
      <w:r w:rsidR="00B90F96" w:rsidRPr="003171CD">
        <w:rPr>
          <w:rFonts w:eastAsiaTheme="minorHAnsi" w:cs="Arial"/>
          <w:lang w:val="en-US"/>
        </w:rPr>
        <w:t>.</w:t>
      </w:r>
      <w:r w:rsidR="005A65CE" w:rsidRPr="003171CD">
        <w:rPr>
          <w:rFonts w:eastAsiaTheme="minorHAnsi" w:cs="Arial"/>
          <w:vertAlign w:val="superscript"/>
          <w:lang w:val="en-US"/>
        </w:rPr>
        <w:footnoteReference w:id="188"/>
      </w:r>
      <w:r w:rsidR="005A65CE" w:rsidRPr="003171CD">
        <w:rPr>
          <w:rFonts w:eastAsiaTheme="minorHAnsi" w:cs="Arial"/>
          <w:lang w:val="en-US"/>
        </w:rPr>
        <w:t xml:space="preserve"> </w:t>
      </w:r>
      <w:r w:rsidR="00CB4C61" w:rsidRPr="003171CD">
        <w:rPr>
          <w:rFonts w:eastAsiaTheme="minorHAnsi" w:cs="Arial"/>
          <w:lang w:val="en-US"/>
        </w:rPr>
        <w:t xml:space="preserve">Furthermore, </w:t>
      </w:r>
      <w:r w:rsidR="00D86E22" w:rsidRPr="003171CD">
        <w:rPr>
          <w:lang w:val="en-US"/>
        </w:rPr>
        <w:t xml:space="preserve">the State </w:t>
      </w:r>
      <w:r w:rsidR="00FA08BF" w:rsidRPr="003171CD">
        <w:rPr>
          <w:lang w:val="en-US"/>
        </w:rPr>
        <w:t xml:space="preserve">must </w:t>
      </w:r>
      <w:r w:rsidR="00D86E22" w:rsidRPr="003171CD">
        <w:rPr>
          <w:lang w:val="en-US"/>
        </w:rPr>
        <w:t>not convict someone informally or issue a judgment before society, th</w:t>
      </w:r>
      <w:r w:rsidR="00FA08BF" w:rsidRPr="003171CD">
        <w:rPr>
          <w:lang w:val="en-US"/>
        </w:rPr>
        <w:t xml:space="preserve">ereby </w:t>
      </w:r>
      <w:r w:rsidR="00D86E22" w:rsidRPr="003171CD">
        <w:rPr>
          <w:lang w:val="en-US"/>
        </w:rPr>
        <w:t>contributing to form public opinion, while that person’s criminal re</w:t>
      </w:r>
      <w:r w:rsidRPr="003171CD">
        <w:rPr>
          <w:lang w:val="en-US"/>
        </w:rPr>
        <w:t>sponsibility has not been proved</w:t>
      </w:r>
      <w:r w:rsidR="00D86E22" w:rsidRPr="003171CD">
        <w:rPr>
          <w:lang w:val="en-US"/>
        </w:rPr>
        <w:t xml:space="preserve"> according to </w:t>
      </w:r>
      <w:r w:rsidR="00CB4C61" w:rsidRPr="003171CD">
        <w:rPr>
          <w:lang w:val="en-US"/>
        </w:rPr>
        <w:t xml:space="preserve">the </w:t>
      </w:r>
      <w:r w:rsidR="00D86E22" w:rsidRPr="003171CD">
        <w:rPr>
          <w:lang w:val="en-US"/>
        </w:rPr>
        <w:t>law</w:t>
      </w:r>
      <w:r w:rsidR="008C0930" w:rsidRPr="003171CD">
        <w:rPr>
          <w:rFonts w:eastAsiaTheme="minorHAnsi" w:cs="Arial"/>
          <w:lang w:val="en-US"/>
        </w:rPr>
        <w:t>.</w:t>
      </w:r>
      <w:r w:rsidR="005A65CE" w:rsidRPr="003171CD">
        <w:rPr>
          <w:rFonts w:eastAsiaTheme="minorHAnsi" w:cs="Arial"/>
          <w:vertAlign w:val="superscript"/>
          <w:lang w:val="en-US"/>
        </w:rPr>
        <w:footnoteReference w:id="189"/>
      </w:r>
    </w:p>
    <w:p w14:paraId="38833BEC" w14:textId="77777777" w:rsidR="005A65CE" w:rsidRPr="003171CD" w:rsidRDefault="005A65CE" w:rsidP="005A65CE">
      <w:pPr>
        <w:tabs>
          <w:tab w:val="num" w:pos="11028"/>
        </w:tabs>
        <w:autoSpaceDE/>
        <w:autoSpaceDN/>
        <w:adjustRightInd/>
        <w:contextualSpacing/>
        <w:jc w:val="both"/>
        <w:rPr>
          <w:rFonts w:eastAsiaTheme="minorHAnsi" w:cs="Arial"/>
          <w:snapToGrid/>
          <w:lang w:val="en-US" w:eastAsia="en-US"/>
        </w:rPr>
      </w:pPr>
    </w:p>
    <w:p w14:paraId="1D9E9052" w14:textId="77777777" w:rsidR="005A65CE" w:rsidRPr="003171CD" w:rsidRDefault="005A65CE" w:rsidP="005A65CE">
      <w:pPr>
        <w:pStyle w:val="Prrafodelista"/>
        <w:numPr>
          <w:ilvl w:val="0"/>
          <w:numId w:val="1"/>
        </w:numPr>
        <w:tabs>
          <w:tab w:val="left" w:pos="720"/>
        </w:tabs>
        <w:ind w:right="-90"/>
        <w:jc w:val="both"/>
        <w:rPr>
          <w:rFonts w:eastAsiaTheme="minorHAnsi" w:cs="Arial"/>
          <w:lang w:val="en-US"/>
        </w:rPr>
      </w:pPr>
      <w:r w:rsidRPr="003171CD">
        <w:rPr>
          <w:rFonts w:eastAsiaTheme="minorHAnsi" w:cs="Arial"/>
          <w:lang w:val="en-US"/>
        </w:rPr>
        <w:t>In this regard, the Court con</w:t>
      </w:r>
      <w:r w:rsidR="00D0343C" w:rsidRPr="003171CD">
        <w:rPr>
          <w:rFonts w:eastAsiaTheme="minorHAnsi" w:cs="Arial"/>
          <w:lang w:val="en-US"/>
        </w:rPr>
        <w:t xml:space="preserve">siders that the presumption of </w:t>
      </w:r>
      <w:r w:rsidRPr="003171CD">
        <w:rPr>
          <w:rFonts w:eastAsiaTheme="minorHAnsi" w:cs="Arial"/>
          <w:lang w:val="en-US"/>
        </w:rPr>
        <w:t xml:space="preserve">innocence </w:t>
      </w:r>
      <w:r w:rsidR="00B90F96" w:rsidRPr="003171CD">
        <w:rPr>
          <w:rFonts w:eastAsiaTheme="minorHAnsi" w:cs="Arial"/>
          <w:lang w:val="en-US"/>
        </w:rPr>
        <w:t xml:space="preserve">requires </w:t>
      </w:r>
      <w:r w:rsidRPr="003171CD">
        <w:rPr>
          <w:rFonts w:eastAsiaTheme="minorHAnsi" w:cs="Arial"/>
          <w:lang w:val="en-US"/>
        </w:rPr>
        <w:t xml:space="preserve">the </w:t>
      </w:r>
      <w:r w:rsidR="00B90F96" w:rsidRPr="003171CD">
        <w:rPr>
          <w:rFonts w:eastAsiaTheme="minorHAnsi" w:cs="Arial"/>
          <w:lang w:val="en-US"/>
        </w:rPr>
        <w:t xml:space="preserve">accuser to </w:t>
      </w:r>
      <w:r w:rsidR="00F509F1" w:rsidRPr="003171CD">
        <w:rPr>
          <w:rFonts w:eastAsiaTheme="minorHAnsi" w:cs="Arial"/>
          <w:lang w:val="en-US"/>
        </w:rPr>
        <w:t xml:space="preserve">prove </w:t>
      </w:r>
      <w:r w:rsidRPr="003171CD">
        <w:rPr>
          <w:rFonts w:eastAsiaTheme="minorHAnsi" w:cs="Arial"/>
          <w:lang w:val="en-US"/>
        </w:rPr>
        <w:t xml:space="preserve">that </w:t>
      </w:r>
      <w:r w:rsidR="00D0343C" w:rsidRPr="003171CD">
        <w:rPr>
          <w:rFonts w:eastAsiaTheme="minorHAnsi" w:cs="Arial"/>
          <w:lang w:val="en-US"/>
        </w:rPr>
        <w:t>an unlawful act can be attributed to</w:t>
      </w:r>
      <w:r w:rsidRPr="003171CD">
        <w:rPr>
          <w:rFonts w:eastAsiaTheme="minorHAnsi" w:cs="Arial"/>
          <w:lang w:val="en-US"/>
        </w:rPr>
        <w:t xml:space="preserve"> the </w:t>
      </w:r>
      <w:r w:rsidR="00D0343C" w:rsidRPr="003171CD">
        <w:rPr>
          <w:rFonts w:eastAsiaTheme="minorHAnsi" w:cs="Arial"/>
          <w:lang w:val="en-US"/>
        </w:rPr>
        <w:t xml:space="preserve">accused </w:t>
      </w:r>
      <w:r w:rsidRPr="003171CD">
        <w:rPr>
          <w:rFonts w:eastAsiaTheme="minorHAnsi" w:cs="Arial"/>
          <w:lang w:val="en-US"/>
        </w:rPr>
        <w:t xml:space="preserve">person, </w:t>
      </w:r>
      <w:r w:rsidR="00FA08BF" w:rsidRPr="003171CD">
        <w:rPr>
          <w:rFonts w:eastAsiaTheme="minorHAnsi" w:cs="Arial"/>
          <w:lang w:val="en-US"/>
        </w:rPr>
        <w:t>in other words</w:t>
      </w:r>
      <w:r w:rsidRPr="003171CD">
        <w:rPr>
          <w:rFonts w:eastAsiaTheme="minorHAnsi" w:cs="Arial"/>
          <w:lang w:val="en-US"/>
        </w:rPr>
        <w:t xml:space="preserve">, that </w:t>
      </w:r>
      <w:r w:rsidR="00D0343C" w:rsidRPr="003171CD">
        <w:rPr>
          <w:rFonts w:eastAsiaTheme="minorHAnsi" w:cs="Arial"/>
          <w:lang w:val="en-US"/>
        </w:rPr>
        <w:t xml:space="preserve">he or she </w:t>
      </w:r>
      <w:r w:rsidRPr="003171CD">
        <w:rPr>
          <w:rFonts w:eastAsiaTheme="minorHAnsi" w:cs="Arial"/>
          <w:lang w:val="en-US"/>
        </w:rPr>
        <w:t>ha</w:t>
      </w:r>
      <w:r w:rsidR="00D0343C" w:rsidRPr="003171CD">
        <w:rPr>
          <w:rFonts w:eastAsiaTheme="minorHAnsi" w:cs="Arial"/>
          <w:lang w:val="en-US"/>
        </w:rPr>
        <w:t>s</w:t>
      </w:r>
      <w:r w:rsidRPr="003171CD">
        <w:rPr>
          <w:rFonts w:eastAsiaTheme="minorHAnsi" w:cs="Arial"/>
          <w:lang w:val="en-US"/>
        </w:rPr>
        <w:t xml:space="preserve"> p</w:t>
      </w:r>
      <w:r w:rsidR="00D0343C" w:rsidRPr="003171CD">
        <w:rPr>
          <w:rFonts w:eastAsiaTheme="minorHAnsi" w:cs="Arial"/>
          <w:lang w:val="en-US"/>
        </w:rPr>
        <w:t>articipated culpably in its c</w:t>
      </w:r>
      <w:r w:rsidRPr="003171CD">
        <w:rPr>
          <w:rFonts w:eastAsiaTheme="minorHAnsi" w:cs="Arial"/>
          <w:lang w:val="en-US"/>
        </w:rPr>
        <w:t xml:space="preserve">ommission and that the judicial </w:t>
      </w:r>
      <w:r w:rsidR="00D0343C" w:rsidRPr="003171CD">
        <w:rPr>
          <w:rFonts w:eastAsiaTheme="minorHAnsi" w:cs="Arial"/>
          <w:lang w:val="en-US"/>
        </w:rPr>
        <w:t xml:space="preserve">authorities must rule </w:t>
      </w:r>
      <w:r w:rsidRPr="003171CD">
        <w:rPr>
          <w:rFonts w:eastAsiaTheme="minorHAnsi" w:cs="Arial"/>
          <w:lang w:val="en-US"/>
        </w:rPr>
        <w:t>with cert</w:t>
      </w:r>
      <w:r w:rsidR="00B90F96" w:rsidRPr="003171CD">
        <w:rPr>
          <w:rFonts w:eastAsiaTheme="minorHAnsi" w:cs="Arial"/>
          <w:lang w:val="en-US"/>
        </w:rPr>
        <w:t>ainty</w:t>
      </w:r>
      <w:r w:rsidR="00FA08BF" w:rsidRPr="003171CD">
        <w:rPr>
          <w:rFonts w:eastAsiaTheme="minorHAnsi" w:cs="Arial"/>
          <w:lang w:val="en-US"/>
        </w:rPr>
        <w:t>, and</w:t>
      </w:r>
      <w:r w:rsidR="00B90F96" w:rsidRPr="003171CD">
        <w:rPr>
          <w:rFonts w:eastAsiaTheme="minorHAnsi" w:cs="Arial"/>
          <w:lang w:val="en-US"/>
        </w:rPr>
        <w:t xml:space="preserve"> beyond any </w:t>
      </w:r>
      <w:r w:rsidRPr="003171CD">
        <w:rPr>
          <w:rFonts w:eastAsiaTheme="minorHAnsi" w:cs="Arial"/>
          <w:lang w:val="en-US"/>
        </w:rPr>
        <w:t xml:space="preserve">reasonable </w:t>
      </w:r>
      <w:r w:rsidR="00B90F96" w:rsidRPr="003171CD">
        <w:rPr>
          <w:rFonts w:eastAsiaTheme="minorHAnsi" w:cs="Arial"/>
          <w:lang w:val="en-US"/>
        </w:rPr>
        <w:t>doubt</w:t>
      </w:r>
      <w:r w:rsidR="00FA08BF" w:rsidRPr="003171CD">
        <w:rPr>
          <w:rFonts w:eastAsiaTheme="minorHAnsi" w:cs="Arial"/>
          <w:lang w:val="en-US"/>
        </w:rPr>
        <w:t>,</w:t>
      </w:r>
      <w:r w:rsidR="00B90F96" w:rsidRPr="003171CD">
        <w:rPr>
          <w:rFonts w:eastAsiaTheme="minorHAnsi" w:cs="Arial"/>
          <w:lang w:val="en-US"/>
        </w:rPr>
        <w:t xml:space="preserve"> </w:t>
      </w:r>
      <w:r w:rsidR="00FA08BF" w:rsidRPr="003171CD">
        <w:rPr>
          <w:rFonts w:eastAsiaTheme="minorHAnsi" w:cs="Arial"/>
          <w:lang w:val="en-US"/>
        </w:rPr>
        <w:t xml:space="preserve">in order </w:t>
      </w:r>
      <w:r w:rsidR="00B90F96" w:rsidRPr="003171CD">
        <w:rPr>
          <w:rFonts w:eastAsiaTheme="minorHAnsi" w:cs="Arial"/>
          <w:lang w:val="en-US"/>
        </w:rPr>
        <w:t>to declare</w:t>
      </w:r>
      <w:r w:rsidRPr="003171CD">
        <w:rPr>
          <w:rFonts w:eastAsiaTheme="minorHAnsi" w:cs="Arial"/>
          <w:lang w:val="en-US"/>
        </w:rPr>
        <w:t xml:space="preserve"> the </w:t>
      </w:r>
      <w:r w:rsidR="00FA08BF" w:rsidRPr="003171CD">
        <w:rPr>
          <w:rFonts w:eastAsiaTheme="minorHAnsi" w:cs="Arial"/>
          <w:lang w:val="en-US"/>
        </w:rPr>
        <w:t xml:space="preserve">criminal </w:t>
      </w:r>
      <w:r w:rsidRPr="003171CD">
        <w:rPr>
          <w:rFonts w:eastAsiaTheme="minorHAnsi" w:cs="Arial"/>
          <w:lang w:val="en-US"/>
        </w:rPr>
        <w:t xml:space="preserve">responsibility </w:t>
      </w:r>
      <w:r w:rsidR="00D0343C" w:rsidRPr="003171CD">
        <w:rPr>
          <w:rFonts w:eastAsiaTheme="minorHAnsi" w:cs="Arial"/>
          <w:lang w:val="en-US"/>
        </w:rPr>
        <w:t>of the accused</w:t>
      </w:r>
      <w:r w:rsidRPr="003171CD">
        <w:rPr>
          <w:rFonts w:eastAsiaTheme="minorHAnsi" w:cs="Arial"/>
          <w:lang w:val="en-US"/>
        </w:rPr>
        <w:t xml:space="preserve">, including </w:t>
      </w:r>
      <w:r w:rsidR="00D0343C" w:rsidRPr="003171CD">
        <w:rPr>
          <w:rFonts w:eastAsiaTheme="minorHAnsi" w:cs="Arial"/>
          <w:lang w:val="en-US"/>
        </w:rPr>
        <w:t xml:space="preserve">certain </w:t>
      </w:r>
      <w:r w:rsidR="00B90F96" w:rsidRPr="003171CD">
        <w:rPr>
          <w:rFonts w:eastAsiaTheme="minorHAnsi" w:cs="Arial"/>
          <w:lang w:val="en-US"/>
        </w:rPr>
        <w:t xml:space="preserve">factual </w:t>
      </w:r>
      <w:r w:rsidRPr="003171CD">
        <w:rPr>
          <w:rFonts w:eastAsiaTheme="minorHAnsi" w:cs="Arial"/>
          <w:lang w:val="en-US"/>
        </w:rPr>
        <w:t xml:space="preserve">aspects </w:t>
      </w:r>
      <w:r w:rsidR="00B90F96" w:rsidRPr="003171CD">
        <w:rPr>
          <w:rFonts w:eastAsiaTheme="minorHAnsi" w:cs="Arial"/>
          <w:lang w:val="en-US"/>
        </w:rPr>
        <w:t>relat</w:t>
      </w:r>
      <w:r w:rsidR="00D0343C" w:rsidRPr="003171CD">
        <w:rPr>
          <w:rFonts w:eastAsiaTheme="minorHAnsi" w:cs="Arial"/>
          <w:lang w:val="en-US"/>
        </w:rPr>
        <w:t xml:space="preserve">ed </w:t>
      </w:r>
      <w:r w:rsidR="00B90F96" w:rsidRPr="003171CD">
        <w:rPr>
          <w:rFonts w:eastAsiaTheme="minorHAnsi" w:cs="Arial"/>
          <w:lang w:val="en-US"/>
        </w:rPr>
        <w:t xml:space="preserve">to </w:t>
      </w:r>
      <w:r w:rsidRPr="003171CD">
        <w:rPr>
          <w:rFonts w:eastAsiaTheme="minorHAnsi" w:cs="Arial"/>
          <w:lang w:val="en-US"/>
        </w:rPr>
        <w:t xml:space="preserve">the </w:t>
      </w:r>
      <w:r w:rsidR="00D0343C" w:rsidRPr="003171CD">
        <w:rPr>
          <w:rFonts w:eastAsiaTheme="minorHAnsi" w:cs="Arial"/>
          <w:lang w:val="en-US"/>
        </w:rPr>
        <w:t xml:space="preserve">guilt </w:t>
      </w:r>
      <w:r w:rsidR="00B90F96" w:rsidRPr="003171CD">
        <w:rPr>
          <w:rFonts w:eastAsiaTheme="minorHAnsi" w:cs="Arial"/>
          <w:lang w:val="en-US"/>
        </w:rPr>
        <w:t>of the defendant</w:t>
      </w:r>
      <w:r w:rsidRPr="003171CD">
        <w:rPr>
          <w:rFonts w:eastAsiaTheme="minorHAnsi" w:cs="Arial"/>
          <w:lang w:val="en-US"/>
        </w:rPr>
        <w:t>.</w:t>
      </w:r>
    </w:p>
    <w:p w14:paraId="67136D7B" w14:textId="77777777" w:rsidR="005A65CE" w:rsidRPr="003171CD" w:rsidRDefault="005A65CE" w:rsidP="005A65CE">
      <w:pPr>
        <w:rPr>
          <w:rFonts w:eastAsiaTheme="minorHAnsi" w:cs="Arial"/>
          <w:lang w:val="en-US"/>
        </w:rPr>
      </w:pPr>
    </w:p>
    <w:p w14:paraId="6F5C03C3"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In the </w:t>
      </w:r>
      <w:r w:rsidR="00B90F96" w:rsidRPr="003171CD">
        <w:rPr>
          <w:rFonts w:eastAsiaTheme="minorHAnsi" w:cs="Arial"/>
          <w:lang w:val="en-US"/>
        </w:rPr>
        <w:t xml:space="preserve">instant </w:t>
      </w:r>
      <w:r w:rsidRPr="003171CD">
        <w:rPr>
          <w:rFonts w:eastAsiaTheme="minorHAnsi" w:cs="Arial"/>
          <w:lang w:val="en-US"/>
        </w:rPr>
        <w:t>case, the Commission</w:t>
      </w:r>
      <w:r w:rsidR="008158BC" w:rsidRPr="003171CD">
        <w:rPr>
          <w:rFonts w:eastAsiaTheme="minorHAnsi" w:cs="Arial"/>
          <w:lang w:val="en-US"/>
        </w:rPr>
        <w:t xml:space="preserve">’s </w:t>
      </w:r>
      <w:r w:rsidR="00FA08BF" w:rsidRPr="003171CD">
        <w:rPr>
          <w:rFonts w:eastAsiaTheme="minorHAnsi" w:cs="Arial"/>
          <w:lang w:val="en-US"/>
        </w:rPr>
        <w:t xml:space="preserve">observations on </w:t>
      </w:r>
      <w:r w:rsidR="001020DB" w:rsidRPr="003171CD">
        <w:rPr>
          <w:rFonts w:eastAsiaTheme="minorHAnsi" w:cs="Arial"/>
          <w:lang w:val="en-US"/>
        </w:rPr>
        <w:t xml:space="preserve">the presumption of </w:t>
      </w:r>
      <w:r w:rsidRPr="003171CD">
        <w:rPr>
          <w:rFonts w:eastAsiaTheme="minorHAnsi" w:cs="Arial"/>
          <w:lang w:val="en-US"/>
        </w:rPr>
        <w:t xml:space="preserve">innocence </w:t>
      </w:r>
      <w:r w:rsidR="00D0343C" w:rsidRPr="003171CD">
        <w:rPr>
          <w:rFonts w:eastAsiaTheme="minorHAnsi" w:cs="Arial"/>
          <w:lang w:val="en-US"/>
        </w:rPr>
        <w:t xml:space="preserve">refer to </w:t>
      </w:r>
      <w:r w:rsidR="00B90F96" w:rsidRPr="003171CD">
        <w:rPr>
          <w:rFonts w:eastAsiaTheme="minorHAnsi" w:cs="Arial"/>
          <w:lang w:val="en-US"/>
        </w:rPr>
        <w:t xml:space="preserve">two </w:t>
      </w:r>
      <w:r w:rsidRPr="003171CD">
        <w:rPr>
          <w:rFonts w:eastAsiaTheme="minorHAnsi" w:cs="Arial"/>
          <w:lang w:val="en-US"/>
        </w:rPr>
        <w:t>interrela</w:t>
      </w:r>
      <w:r w:rsidR="00B90F96" w:rsidRPr="003171CD">
        <w:rPr>
          <w:rFonts w:eastAsiaTheme="minorHAnsi" w:cs="Arial"/>
          <w:lang w:val="en-US"/>
        </w:rPr>
        <w:t>ted a</w:t>
      </w:r>
      <w:r w:rsidR="008158BC" w:rsidRPr="003171CD">
        <w:rPr>
          <w:rFonts w:eastAsiaTheme="minorHAnsi" w:cs="Arial"/>
          <w:lang w:val="en-US"/>
        </w:rPr>
        <w:t xml:space="preserve">spects </w:t>
      </w:r>
      <w:r w:rsidR="00D0343C" w:rsidRPr="003171CD">
        <w:rPr>
          <w:rFonts w:eastAsiaTheme="minorHAnsi" w:cs="Arial"/>
          <w:lang w:val="en-US"/>
        </w:rPr>
        <w:t xml:space="preserve">protected by this right </w:t>
      </w:r>
      <w:r w:rsidR="00FA08BF" w:rsidRPr="003171CD">
        <w:rPr>
          <w:rFonts w:eastAsiaTheme="minorHAnsi" w:cs="Arial"/>
          <w:lang w:val="en-US"/>
        </w:rPr>
        <w:t xml:space="preserve">regarding </w:t>
      </w:r>
      <w:r w:rsidR="007308EF" w:rsidRPr="003171CD">
        <w:rPr>
          <w:rFonts w:eastAsiaTheme="minorHAnsi" w:cs="Arial"/>
          <w:lang w:val="en-US"/>
        </w:rPr>
        <w:t xml:space="preserve">the </w:t>
      </w:r>
      <w:r w:rsidR="00D0343C" w:rsidRPr="003171CD">
        <w:rPr>
          <w:rFonts w:eastAsiaTheme="minorHAnsi" w:cs="Arial"/>
          <w:lang w:val="en-US"/>
        </w:rPr>
        <w:t xml:space="preserve">level of certainty </w:t>
      </w:r>
      <w:r w:rsidRPr="003171CD">
        <w:rPr>
          <w:rFonts w:eastAsiaTheme="minorHAnsi" w:cs="Arial"/>
          <w:lang w:val="en-US"/>
        </w:rPr>
        <w:t>requ</w:t>
      </w:r>
      <w:r w:rsidR="00D0343C" w:rsidRPr="003171CD">
        <w:rPr>
          <w:rFonts w:eastAsiaTheme="minorHAnsi" w:cs="Arial"/>
          <w:lang w:val="en-US"/>
        </w:rPr>
        <w:t xml:space="preserve">ired as </w:t>
      </w:r>
      <w:r w:rsidR="00A74903" w:rsidRPr="003171CD">
        <w:rPr>
          <w:rFonts w:eastAsiaTheme="minorHAnsi" w:cs="Arial"/>
          <w:lang w:val="en-US"/>
        </w:rPr>
        <w:t xml:space="preserve">a </w:t>
      </w:r>
      <w:r w:rsidRPr="003171CD">
        <w:rPr>
          <w:rFonts w:eastAsiaTheme="minorHAnsi" w:cs="Arial"/>
          <w:lang w:val="en-US"/>
        </w:rPr>
        <w:t>pre</w:t>
      </w:r>
      <w:r w:rsidR="008158BC" w:rsidRPr="003171CD">
        <w:rPr>
          <w:rFonts w:eastAsiaTheme="minorHAnsi" w:cs="Arial"/>
          <w:lang w:val="en-US"/>
        </w:rPr>
        <w:t>mise</w:t>
      </w:r>
      <w:r w:rsidR="00A74903" w:rsidRPr="003171CD">
        <w:rPr>
          <w:rFonts w:eastAsiaTheme="minorHAnsi" w:cs="Arial"/>
          <w:lang w:val="en-US"/>
        </w:rPr>
        <w:t xml:space="preserve"> for </w:t>
      </w:r>
      <w:r w:rsidRPr="003171CD">
        <w:rPr>
          <w:rFonts w:eastAsiaTheme="minorHAnsi" w:cs="Arial"/>
          <w:lang w:val="en-US"/>
        </w:rPr>
        <w:t xml:space="preserve">the legitimacy of a conviction. </w:t>
      </w:r>
      <w:r w:rsidR="008158BC" w:rsidRPr="003171CD">
        <w:rPr>
          <w:rFonts w:eastAsiaTheme="minorHAnsi" w:cs="Arial"/>
          <w:lang w:val="en-US"/>
        </w:rPr>
        <w:t xml:space="preserve">The first </w:t>
      </w:r>
      <w:r w:rsidR="00FA08BF" w:rsidRPr="003171CD">
        <w:rPr>
          <w:rFonts w:eastAsiaTheme="minorHAnsi" w:cs="Arial"/>
          <w:lang w:val="en-US"/>
        </w:rPr>
        <w:t xml:space="preserve">concerns </w:t>
      </w:r>
      <w:r w:rsidR="00454A99" w:rsidRPr="003171CD">
        <w:rPr>
          <w:rFonts w:eastAsiaTheme="minorHAnsi" w:cs="Arial"/>
          <w:lang w:val="en-US"/>
        </w:rPr>
        <w:t>the individualization and</w:t>
      </w:r>
      <w:r w:rsidRPr="003171CD">
        <w:rPr>
          <w:rFonts w:eastAsiaTheme="minorHAnsi" w:cs="Arial"/>
          <w:lang w:val="en-US"/>
        </w:rPr>
        <w:t xml:space="preserve"> identification of a person </w:t>
      </w:r>
      <w:r w:rsidR="00454A99" w:rsidRPr="003171CD">
        <w:rPr>
          <w:rFonts w:eastAsiaTheme="minorHAnsi" w:cs="Arial"/>
          <w:lang w:val="en-US"/>
        </w:rPr>
        <w:t xml:space="preserve">before </w:t>
      </w:r>
      <w:r w:rsidR="00D0343C" w:rsidRPr="003171CD">
        <w:rPr>
          <w:rFonts w:eastAsiaTheme="minorHAnsi" w:cs="Arial"/>
          <w:lang w:val="en-US"/>
        </w:rPr>
        <w:t xml:space="preserve">linking him </w:t>
      </w:r>
      <w:r w:rsidR="00454A99" w:rsidRPr="003171CD">
        <w:rPr>
          <w:rFonts w:eastAsiaTheme="minorHAnsi" w:cs="Arial"/>
          <w:lang w:val="en-US"/>
        </w:rPr>
        <w:t xml:space="preserve">to an </w:t>
      </w:r>
      <w:r w:rsidRPr="003171CD">
        <w:rPr>
          <w:rFonts w:eastAsiaTheme="minorHAnsi" w:cs="Arial"/>
          <w:lang w:val="en-US"/>
        </w:rPr>
        <w:t xml:space="preserve">investigation and </w:t>
      </w:r>
      <w:r w:rsidR="00454A99" w:rsidRPr="003171CD">
        <w:rPr>
          <w:rFonts w:eastAsiaTheme="minorHAnsi" w:cs="Arial"/>
          <w:lang w:val="en-US"/>
        </w:rPr>
        <w:t>a criminal proceeding. T</w:t>
      </w:r>
      <w:r w:rsidRPr="003171CD">
        <w:rPr>
          <w:rFonts w:eastAsiaTheme="minorHAnsi" w:cs="Arial"/>
          <w:lang w:val="en-US"/>
        </w:rPr>
        <w:t xml:space="preserve">he </w:t>
      </w:r>
      <w:r w:rsidR="008158BC" w:rsidRPr="003171CD">
        <w:rPr>
          <w:rFonts w:eastAsiaTheme="minorHAnsi" w:cs="Arial"/>
          <w:lang w:val="en-US"/>
        </w:rPr>
        <w:t xml:space="preserve">second </w:t>
      </w:r>
      <w:r w:rsidR="00FA08BF" w:rsidRPr="003171CD">
        <w:rPr>
          <w:rFonts w:eastAsiaTheme="minorHAnsi" w:cs="Arial"/>
          <w:lang w:val="en-US"/>
        </w:rPr>
        <w:t xml:space="preserve">concerns </w:t>
      </w:r>
      <w:r w:rsidRPr="003171CD">
        <w:rPr>
          <w:rFonts w:eastAsiaTheme="minorHAnsi" w:cs="Arial"/>
          <w:lang w:val="en-US"/>
        </w:rPr>
        <w:t xml:space="preserve">the </w:t>
      </w:r>
      <w:r w:rsidRPr="003171CD">
        <w:rPr>
          <w:rFonts w:eastAsiaTheme="minorHAnsi" w:cs="Arial"/>
          <w:i/>
          <w:lang w:val="en-US"/>
        </w:rPr>
        <w:t>onus probandi</w:t>
      </w:r>
      <w:r w:rsidR="00454A99" w:rsidRPr="003171CD">
        <w:rPr>
          <w:rFonts w:eastAsiaTheme="minorHAnsi" w:cs="Arial"/>
          <w:lang w:val="en-US"/>
        </w:rPr>
        <w:t xml:space="preserve"> and the evidence upon </w:t>
      </w:r>
      <w:r w:rsidRPr="003171CD">
        <w:rPr>
          <w:rFonts w:eastAsiaTheme="minorHAnsi" w:cs="Arial"/>
          <w:lang w:val="en-US"/>
        </w:rPr>
        <w:t>which the con</w:t>
      </w:r>
      <w:r w:rsidR="00454A99" w:rsidRPr="003171CD">
        <w:rPr>
          <w:rFonts w:eastAsiaTheme="minorHAnsi" w:cs="Arial"/>
          <w:lang w:val="en-US"/>
        </w:rPr>
        <w:t>viction in this</w:t>
      </w:r>
      <w:r w:rsidRPr="003171CD">
        <w:rPr>
          <w:rFonts w:eastAsiaTheme="minorHAnsi" w:cs="Arial"/>
          <w:lang w:val="en-US"/>
        </w:rPr>
        <w:t xml:space="preserve"> case</w:t>
      </w:r>
      <w:r w:rsidR="00454A99" w:rsidRPr="003171CD">
        <w:rPr>
          <w:rFonts w:eastAsiaTheme="minorHAnsi" w:cs="Arial"/>
          <w:lang w:val="en-US"/>
        </w:rPr>
        <w:t xml:space="preserve"> was based</w:t>
      </w:r>
      <w:r w:rsidRPr="003171CD">
        <w:rPr>
          <w:rFonts w:eastAsiaTheme="minorHAnsi" w:cs="Arial"/>
          <w:lang w:val="en-US"/>
        </w:rPr>
        <w:t>.</w:t>
      </w:r>
    </w:p>
    <w:p w14:paraId="38094840" w14:textId="77777777" w:rsidR="005A65CE" w:rsidRPr="003171CD" w:rsidRDefault="005A65CE" w:rsidP="005A65CE">
      <w:pPr>
        <w:pStyle w:val="Prrafodelista"/>
        <w:tabs>
          <w:tab w:val="left" w:pos="720"/>
        </w:tabs>
        <w:ind w:left="0" w:right="-90"/>
        <w:jc w:val="both"/>
        <w:rPr>
          <w:rFonts w:eastAsiaTheme="minorHAnsi" w:cs="Arial"/>
          <w:lang w:val="en-US"/>
        </w:rPr>
      </w:pPr>
    </w:p>
    <w:p w14:paraId="57259531"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On the first aspect, </w:t>
      </w:r>
      <w:r w:rsidR="0002359A" w:rsidRPr="003171CD">
        <w:rPr>
          <w:rFonts w:eastAsiaTheme="minorHAnsi" w:cs="Arial"/>
          <w:lang w:val="en-US"/>
        </w:rPr>
        <w:t>in its Merits R</w:t>
      </w:r>
      <w:r w:rsidR="008158BC" w:rsidRPr="003171CD">
        <w:rPr>
          <w:rFonts w:eastAsiaTheme="minorHAnsi" w:cs="Arial"/>
          <w:lang w:val="en-US"/>
        </w:rPr>
        <w:t xml:space="preserve">eport </w:t>
      </w:r>
      <w:r w:rsidRPr="003171CD">
        <w:rPr>
          <w:rFonts w:eastAsiaTheme="minorHAnsi" w:cs="Arial"/>
          <w:lang w:val="en-US"/>
        </w:rPr>
        <w:t xml:space="preserve">the Commission </w:t>
      </w:r>
      <w:r w:rsidR="008C41DF" w:rsidRPr="003171CD">
        <w:rPr>
          <w:rFonts w:eastAsiaTheme="minorHAnsi" w:cs="Arial"/>
          <w:lang w:val="en-US"/>
        </w:rPr>
        <w:t xml:space="preserve">identified numerous </w:t>
      </w:r>
      <w:r w:rsidRPr="003171CD">
        <w:rPr>
          <w:rFonts w:eastAsiaTheme="minorHAnsi" w:cs="Arial"/>
          <w:lang w:val="en-US"/>
        </w:rPr>
        <w:t xml:space="preserve">elements </w:t>
      </w:r>
      <w:r w:rsidR="0049187B" w:rsidRPr="003171CD">
        <w:rPr>
          <w:rFonts w:eastAsiaTheme="minorHAnsi" w:cs="Arial"/>
          <w:lang w:val="en-US"/>
        </w:rPr>
        <w:t xml:space="preserve">- </w:t>
      </w:r>
      <w:r w:rsidR="00454A99" w:rsidRPr="003171CD">
        <w:rPr>
          <w:rFonts w:eastAsiaTheme="minorHAnsi" w:cs="Arial"/>
          <w:lang w:val="en-US"/>
        </w:rPr>
        <w:t xml:space="preserve">from the </w:t>
      </w:r>
      <w:r w:rsidR="008C41DF" w:rsidRPr="003171CD">
        <w:rPr>
          <w:rFonts w:eastAsiaTheme="minorHAnsi" w:cs="Arial"/>
          <w:lang w:val="en-US"/>
        </w:rPr>
        <w:t xml:space="preserve">time of the </w:t>
      </w:r>
      <w:r w:rsidR="00454A99" w:rsidRPr="003171CD">
        <w:rPr>
          <w:rFonts w:eastAsiaTheme="minorHAnsi" w:cs="Arial"/>
          <w:lang w:val="en-US"/>
        </w:rPr>
        <w:t xml:space="preserve">preliminary </w:t>
      </w:r>
      <w:r w:rsidRPr="003171CD">
        <w:rPr>
          <w:rFonts w:eastAsiaTheme="minorHAnsi" w:cs="Arial"/>
          <w:lang w:val="en-US"/>
        </w:rPr>
        <w:t>investigatio</w:t>
      </w:r>
      <w:r w:rsidR="0049187B" w:rsidRPr="003171CD">
        <w:rPr>
          <w:rFonts w:eastAsiaTheme="minorHAnsi" w:cs="Arial"/>
          <w:lang w:val="en-US"/>
        </w:rPr>
        <w:t>n and throughout the proceedings -</w:t>
      </w:r>
      <w:r w:rsidRPr="003171CD">
        <w:rPr>
          <w:rFonts w:eastAsiaTheme="minorHAnsi" w:cs="Arial"/>
          <w:lang w:val="en-US"/>
        </w:rPr>
        <w:t xml:space="preserve"> </w:t>
      </w:r>
      <w:r w:rsidR="008C41DF" w:rsidRPr="003171CD">
        <w:rPr>
          <w:rFonts w:eastAsiaTheme="minorHAnsi" w:cs="Arial"/>
          <w:lang w:val="en-US"/>
        </w:rPr>
        <w:t xml:space="preserve">which </w:t>
      </w:r>
      <w:r w:rsidR="008158BC" w:rsidRPr="003171CD">
        <w:rPr>
          <w:rFonts w:eastAsiaTheme="minorHAnsi" w:cs="Arial"/>
          <w:lang w:val="en-US"/>
        </w:rPr>
        <w:t xml:space="preserve">cast </w:t>
      </w:r>
      <w:r w:rsidR="00F509F1" w:rsidRPr="003171CD">
        <w:rPr>
          <w:rFonts w:eastAsiaTheme="minorHAnsi" w:cs="Arial"/>
          <w:lang w:val="en-US"/>
        </w:rPr>
        <w:t>doubt</w:t>
      </w:r>
      <w:r w:rsidRPr="003171CD">
        <w:rPr>
          <w:rFonts w:eastAsiaTheme="minorHAnsi" w:cs="Arial"/>
          <w:lang w:val="en-US"/>
        </w:rPr>
        <w:t xml:space="preserve"> </w:t>
      </w:r>
      <w:r w:rsidR="008C41DF" w:rsidRPr="003171CD">
        <w:rPr>
          <w:rFonts w:eastAsiaTheme="minorHAnsi" w:cs="Arial"/>
          <w:lang w:val="en-US"/>
        </w:rPr>
        <w:t xml:space="preserve">on </w:t>
      </w:r>
      <w:r w:rsidR="0049187B" w:rsidRPr="003171CD">
        <w:rPr>
          <w:rFonts w:eastAsiaTheme="minorHAnsi" w:cs="Arial"/>
          <w:lang w:val="en-US"/>
        </w:rPr>
        <w:t xml:space="preserve">the identity of </w:t>
      </w:r>
      <w:r w:rsidR="008C41DF" w:rsidRPr="003171CD">
        <w:rPr>
          <w:rFonts w:eastAsiaTheme="minorHAnsi" w:cs="Arial"/>
          <w:lang w:val="en-US"/>
        </w:rPr>
        <w:t xml:space="preserve">Mr. José Agapito Ruano Torres </w:t>
      </w:r>
      <w:r w:rsidR="0049187B" w:rsidRPr="003171CD">
        <w:rPr>
          <w:rFonts w:eastAsiaTheme="minorHAnsi" w:cs="Arial"/>
          <w:lang w:val="en-US"/>
        </w:rPr>
        <w:t xml:space="preserve">as </w:t>
      </w:r>
      <w:r w:rsidR="00A96DF3" w:rsidRPr="003171CD">
        <w:rPr>
          <w:rFonts w:eastAsiaTheme="minorHAnsi" w:cs="Arial"/>
          <w:i/>
          <w:lang w:val="en-US"/>
        </w:rPr>
        <w:t>Chopo</w:t>
      </w:r>
      <w:r w:rsidRPr="003171CD">
        <w:rPr>
          <w:rFonts w:eastAsiaTheme="minorHAnsi" w:cs="Arial"/>
          <w:i/>
          <w:iCs/>
          <w:lang w:val="en-US"/>
        </w:rPr>
        <w:t>.</w:t>
      </w:r>
      <w:r w:rsidRPr="003171CD">
        <w:rPr>
          <w:rFonts w:eastAsiaTheme="minorHAnsi" w:cs="Arial"/>
          <w:lang w:val="en-US"/>
        </w:rPr>
        <w:t xml:space="preserve"> </w:t>
      </w:r>
      <w:r w:rsidR="0049187B" w:rsidRPr="003171CD">
        <w:rPr>
          <w:rFonts w:eastAsiaTheme="minorHAnsi" w:cs="Arial"/>
          <w:lang w:val="en-US"/>
        </w:rPr>
        <w:t>In spite of this</w:t>
      </w:r>
      <w:r w:rsidRPr="003171CD">
        <w:rPr>
          <w:rFonts w:eastAsiaTheme="minorHAnsi" w:cs="Arial"/>
          <w:lang w:val="en-US"/>
        </w:rPr>
        <w:t>, Mr. Ruano Torres was c</w:t>
      </w:r>
      <w:r w:rsidR="00722645" w:rsidRPr="003171CD">
        <w:rPr>
          <w:rFonts w:eastAsiaTheme="minorHAnsi" w:cs="Arial"/>
          <w:lang w:val="en-US"/>
        </w:rPr>
        <w:t>onvicted without the police</w:t>
      </w:r>
      <w:r w:rsidR="0049187B" w:rsidRPr="003171CD">
        <w:rPr>
          <w:rFonts w:eastAsiaTheme="minorHAnsi" w:cs="Arial"/>
          <w:lang w:val="en-US"/>
        </w:rPr>
        <w:t xml:space="preserve"> authorities</w:t>
      </w:r>
      <w:r w:rsidR="00722645" w:rsidRPr="003171CD">
        <w:rPr>
          <w:rFonts w:eastAsiaTheme="minorHAnsi" w:cs="Arial"/>
          <w:lang w:val="en-US"/>
        </w:rPr>
        <w:t xml:space="preserve">, the </w:t>
      </w:r>
      <w:r w:rsidR="008C41DF" w:rsidRPr="003171CD">
        <w:rPr>
          <w:rFonts w:eastAsiaTheme="minorHAnsi" w:cs="Arial"/>
          <w:lang w:val="en-US"/>
        </w:rPr>
        <w:t>investigators or the</w:t>
      </w:r>
      <w:r w:rsidR="00722645" w:rsidRPr="003171CD">
        <w:rPr>
          <w:rFonts w:eastAsiaTheme="minorHAnsi" w:cs="Arial"/>
          <w:lang w:val="en-US"/>
        </w:rPr>
        <w:t xml:space="preserve"> judicial authorities taking</w:t>
      </w:r>
      <w:r w:rsidRPr="003171CD">
        <w:rPr>
          <w:rFonts w:eastAsiaTheme="minorHAnsi" w:cs="Arial"/>
          <w:lang w:val="en-US"/>
        </w:rPr>
        <w:t xml:space="preserve"> </w:t>
      </w:r>
      <w:r w:rsidR="0049187B" w:rsidRPr="003171CD">
        <w:rPr>
          <w:rFonts w:eastAsiaTheme="minorHAnsi" w:cs="Arial"/>
          <w:lang w:val="en-US"/>
        </w:rPr>
        <w:t xml:space="preserve">even basic </w:t>
      </w:r>
      <w:r w:rsidR="00722645" w:rsidRPr="003171CD">
        <w:rPr>
          <w:rFonts w:eastAsiaTheme="minorHAnsi" w:cs="Arial"/>
          <w:lang w:val="en-US"/>
        </w:rPr>
        <w:t xml:space="preserve">steps to </w:t>
      </w:r>
      <w:r w:rsidR="0049187B" w:rsidRPr="003171CD">
        <w:rPr>
          <w:rFonts w:eastAsiaTheme="minorHAnsi" w:cs="Arial"/>
          <w:lang w:val="en-US"/>
        </w:rPr>
        <w:t xml:space="preserve">respond to </w:t>
      </w:r>
      <w:r w:rsidRPr="003171CD">
        <w:rPr>
          <w:rFonts w:eastAsiaTheme="minorHAnsi" w:cs="Arial"/>
          <w:lang w:val="en-US"/>
        </w:rPr>
        <w:t xml:space="preserve">the </w:t>
      </w:r>
      <w:r w:rsidR="00B90F96" w:rsidRPr="003171CD">
        <w:rPr>
          <w:rFonts w:eastAsiaTheme="minorHAnsi" w:cs="Arial"/>
          <w:lang w:val="en-US"/>
        </w:rPr>
        <w:t>doubt</w:t>
      </w:r>
      <w:r w:rsidRPr="003171CD">
        <w:rPr>
          <w:rFonts w:eastAsiaTheme="minorHAnsi" w:cs="Arial"/>
          <w:lang w:val="en-US"/>
        </w:rPr>
        <w:t xml:space="preserve">s </w:t>
      </w:r>
      <w:r w:rsidR="008C41DF" w:rsidRPr="003171CD">
        <w:rPr>
          <w:rFonts w:eastAsiaTheme="minorHAnsi" w:cs="Arial"/>
          <w:lang w:val="en-US"/>
        </w:rPr>
        <w:t xml:space="preserve">raised </w:t>
      </w:r>
      <w:r w:rsidR="0049187B" w:rsidRPr="003171CD">
        <w:rPr>
          <w:rFonts w:eastAsiaTheme="minorHAnsi" w:cs="Arial"/>
          <w:lang w:val="en-US"/>
        </w:rPr>
        <w:t xml:space="preserve">about </w:t>
      </w:r>
      <w:r w:rsidR="00D0343C" w:rsidRPr="003171CD">
        <w:rPr>
          <w:rFonts w:eastAsiaTheme="minorHAnsi" w:cs="Arial"/>
          <w:lang w:val="en-US"/>
        </w:rPr>
        <w:t xml:space="preserve">his </w:t>
      </w:r>
      <w:r w:rsidRPr="003171CD">
        <w:rPr>
          <w:rFonts w:eastAsiaTheme="minorHAnsi" w:cs="Arial"/>
          <w:lang w:val="en-US"/>
        </w:rPr>
        <w:t>identity</w:t>
      </w:r>
      <w:r w:rsidR="00E87C47" w:rsidRPr="003171CD">
        <w:rPr>
          <w:rFonts w:eastAsiaTheme="minorHAnsi" w:cs="Arial"/>
          <w:iCs/>
          <w:lang w:val="en-US"/>
        </w:rPr>
        <w:t xml:space="preserve">, a point </w:t>
      </w:r>
      <w:r w:rsidR="0049187B" w:rsidRPr="003171CD">
        <w:rPr>
          <w:rFonts w:eastAsiaTheme="minorHAnsi" w:cs="Arial"/>
          <w:iCs/>
          <w:lang w:val="en-US"/>
        </w:rPr>
        <w:t xml:space="preserve">that was </w:t>
      </w:r>
      <w:r w:rsidR="00F509F1" w:rsidRPr="003171CD">
        <w:rPr>
          <w:rFonts w:eastAsiaTheme="minorHAnsi" w:cs="Arial"/>
          <w:iCs/>
          <w:lang w:val="en-US"/>
        </w:rPr>
        <w:t xml:space="preserve">acknowledged </w:t>
      </w:r>
      <w:r w:rsidRPr="003171CD">
        <w:rPr>
          <w:rFonts w:eastAsiaTheme="minorHAnsi" w:cs="Arial"/>
          <w:lang w:val="en-US"/>
        </w:rPr>
        <w:t xml:space="preserve">by the State. The Court </w:t>
      </w:r>
      <w:r w:rsidR="00D0343C" w:rsidRPr="003171CD">
        <w:rPr>
          <w:rFonts w:eastAsiaTheme="minorHAnsi" w:cs="Arial"/>
          <w:lang w:val="en-US"/>
        </w:rPr>
        <w:t>emphasizes that</w:t>
      </w:r>
      <w:r w:rsidRPr="003171CD">
        <w:rPr>
          <w:rFonts w:eastAsiaTheme="minorHAnsi" w:cs="Arial"/>
          <w:lang w:val="en-US"/>
        </w:rPr>
        <w:t xml:space="preserve"> the State should have </w:t>
      </w:r>
      <w:r w:rsidR="008C41DF" w:rsidRPr="003171CD">
        <w:rPr>
          <w:rFonts w:eastAsiaTheme="minorHAnsi" w:cs="Arial"/>
          <w:lang w:val="en-US"/>
        </w:rPr>
        <w:t xml:space="preserve">made every effort to </w:t>
      </w:r>
      <w:r w:rsidRPr="003171CD">
        <w:rPr>
          <w:rFonts w:eastAsiaTheme="minorHAnsi" w:cs="Arial"/>
          <w:lang w:val="en-US"/>
        </w:rPr>
        <w:t xml:space="preserve">investigate and </w:t>
      </w:r>
      <w:r w:rsidR="00D0343C" w:rsidRPr="003171CD">
        <w:rPr>
          <w:rFonts w:eastAsiaTheme="minorHAnsi" w:cs="Arial"/>
          <w:lang w:val="en-US"/>
        </w:rPr>
        <w:t xml:space="preserve">reliably ascertain </w:t>
      </w:r>
      <w:r w:rsidRPr="003171CD">
        <w:rPr>
          <w:rFonts w:eastAsiaTheme="minorHAnsi" w:cs="Arial"/>
          <w:lang w:val="en-US"/>
        </w:rPr>
        <w:t xml:space="preserve">the </w:t>
      </w:r>
      <w:r w:rsidR="00D0343C" w:rsidRPr="003171CD">
        <w:rPr>
          <w:rFonts w:eastAsiaTheme="minorHAnsi" w:cs="Arial"/>
          <w:lang w:val="en-US"/>
        </w:rPr>
        <w:t xml:space="preserve">identity of the person whose nickname was </w:t>
      </w:r>
      <w:r w:rsidR="00A96DF3" w:rsidRPr="003171CD">
        <w:rPr>
          <w:rFonts w:eastAsiaTheme="minorHAnsi" w:cs="Arial"/>
          <w:i/>
          <w:lang w:val="en-US"/>
        </w:rPr>
        <w:t>Chopo</w:t>
      </w:r>
      <w:r w:rsidRPr="003171CD">
        <w:rPr>
          <w:rFonts w:eastAsiaTheme="minorHAnsi" w:cs="Arial"/>
          <w:i/>
          <w:lang w:val="en-US"/>
        </w:rPr>
        <w:t>.</w:t>
      </w:r>
      <w:r w:rsidRPr="003171CD">
        <w:rPr>
          <w:rFonts w:eastAsiaTheme="minorHAnsi" w:cs="Arial"/>
          <w:lang w:val="en-US"/>
        </w:rPr>
        <w:t xml:space="preserve"> In this </w:t>
      </w:r>
      <w:r w:rsidR="008C41DF" w:rsidRPr="003171CD">
        <w:rPr>
          <w:rFonts w:eastAsiaTheme="minorHAnsi" w:cs="Arial"/>
          <w:lang w:val="en-US"/>
        </w:rPr>
        <w:t>regard</w:t>
      </w:r>
      <w:r w:rsidRPr="003171CD">
        <w:rPr>
          <w:rFonts w:eastAsiaTheme="minorHAnsi" w:cs="Arial"/>
          <w:lang w:val="en-US"/>
        </w:rPr>
        <w:t xml:space="preserve">, El Salvador’s legislation </w:t>
      </w:r>
      <w:r w:rsidR="00D0343C" w:rsidRPr="003171CD">
        <w:rPr>
          <w:rFonts w:eastAsiaTheme="minorHAnsi" w:cs="Arial"/>
          <w:lang w:val="en-US"/>
        </w:rPr>
        <w:t xml:space="preserve">requires that </w:t>
      </w:r>
      <w:r w:rsidRPr="003171CD">
        <w:rPr>
          <w:rFonts w:eastAsiaTheme="minorHAnsi" w:cs="Arial"/>
          <w:lang w:val="en-US"/>
        </w:rPr>
        <w:t xml:space="preserve">the </w:t>
      </w:r>
      <w:r w:rsidR="00D0343C" w:rsidRPr="003171CD">
        <w:rPr>
          <w:rFonts w:eastAsiaTheme="minorHAnsi" w:cs="Arial"/>
          <w:lang w:val="en-US"/>
        </w:rPr>
        <w:t xml:space="preserve">Office of the Public Prosecutor </w:t>
      </w:r>
      <w:r w:rsidRPr="003171CD">
        <w:rPr>
          <w:rFonts w:eastAsiaTheme="minorHAnsi" w:cs="Arial"/>
          <w:lang w:val="en-US"/>
        </w:rPr>
        <w:t xml:space="preserve">“investigate not only the facts and circumstances </w:t>
      </w:r>
      <w:r w:rsidR="00D50396" w:rsidRPr="003171CD">
        <w:rPr>
          <w:rFonts w:eastAsiaTheme="minorHAnsi" w:cs="Arial"/>
          <w:lang w:val="en-US"/>
        </w:rPr>
        <w:t>of the charges, but also those that</w:t>
      </w:r>
      <w:r w:rsidR="001D32B5" w:rsidRPr="003171CD">
        <w:rPr>
          <w:rFonts w:eastAsiaTheme="minorHAnsi" w:cs="Arial"/>
          <w:lang w:val="en-US"/>
        </w:rPr>
        <w:t xml:space="preserve"> serve</w:t>
      </w:r>
      <w:r w:rsidRPr="003171CD">
        <w:rPr>
          <w:rFonts w:eastAsiaTheme="minorHAnsi" w:cs="Arial"/>
          <w:lang w:val="en-US"/>
        </w:rPr>
        <w:t xml:space="preserve"> </w:t>
      </w:r>
      <w:r w:rsidR="001D32B5" w:rsidRPr="003171CD">
        <w:rPr>
          <w:rFonts w:eastAsiaTheme="minorHAnsi" w:cs="Arial"/>
          <w:lang w:val="en-US"/>
        </w:rPr>
        <w:t xml:space="preserve">to </w:t>
      </w:r>
      <w:r w:rsidR="00D50396" w:rsidRPr="003171CD">
        <w:rPr>
          <w:rFonts w:eastAsiaTheme="minorHAnsi" w:cs="Arial"/>
          <w:lang w:val="en-US"/>
        </w:rPr>
        <w:t xml:space="preserve">acquit </w:t>
      </w:r>
      <w:r w:rsidR="007308EF" w:rsidRPr="003171CD">
        <w:rPr>
          <w:rFonts w:eastAsiaTheme="minorHAnsi" w:cs="Arial"/>
          <w:lang w:val="en-US"/>
        </w:rPr>
        <w:t>the defendant</w:t>
      </w:r>
      <w:r w:rsidR="00D0343C" w:rsidRPr="003171CD">
        <w:rPr>
          <w:rFonts w:eastAsiaTheme="minorHAnsi" w:cs="Arial"/>
          <w:lang w:val="en-US"/>
        </w:rPr>
        <w:t>.</w:t>
      </w:r>
      <w:r w:rsidRPr="003171CD">
        <w:rPr>
          <w:rFonts w:eastAsiaTheme="minorHAnsi" w:cs="Arial"/>
          <w:lang w:val="en-US"/>
        </w:rPr>
        <w:t>”</w:t>
      </w:r>
      <w:r w:rsidRPr="003171CD">
        <w:rPr>
          <w:rFonts w:eastAsiaTheme="minorHAnsi"/>
          <w:vertAlign w:val="superscript"/>
          <w:lang w:val="en-US"/>
        </w:rPr>
        <w:footnoteReference w:id="190"/>
      </w:r>
      <w:r w:rsidRPr="003171CD">
        <w:rPr>
          <w:rFonts w:eastAsiaTheme="minorHAnsi" w:cs="Arial"/>
          <w:lang w:val="en-US"/>
        </w:rPr>
        <w:t xml:space="preserve"> However, the Office of the Attorney General did nothing to investigate the facts </w:t>
      </w:r>
      <w:r w:rsidR="00BC1D90" w:rsidRPr="003171CD">
        <w:rPr>
          <w:rFonts w:eastAsiaTheme="minorHAnsi" w:cs="Arial"/>
          <w:lang w:val="en-US"/>
        </w:rPr>
        <w:t xml:space="preserve">provided </w:t>
      </w:r>
      <w:r w:rsidRPr="003171CD">
        <w:rPr>
          <w:rFonts w:eastAsiaTheme="minorHAnsi" w:cs="Arial"/>
          <w:lang w:val="en-US"/>
        </w:rPr>
        <w:t xml:space="preserve">by José Agapito Ruano Torres </w:t>
      </w:r>
      <w:r w:rsidR="00454A99" w:rsidRPr="003171CD">
        <w:rPr>
          <w:rFonts w:eastAsiaTheme="minorHAnsi" w:cs="Arial"/>
          <w:lang w:val="en-US"/>
        </w:rPr>
        <w:t xml:space="preserve">to rule out his </w:t>
      </w:r>
      <w:r w:rsidR="00E87C47" w:rsidRPr="003171CD">
        <w:rPr>
          <w:rFonts w:eastAsiaTheme="minorHAnsi" w:cs="Arial"/>
          <w:lang w:val="en-US"/>
        </w:rPr>
        <w:t xml:space="preserve">involvement </w:t>
      </w:r>
      <w:r w:rsidRPr="003171CD">
        <w:rPr>
          <w:rFonts w:eastAsiaTheme="minorHAnsi" w:cs="Arial"/>
          <w:lang w:val="en-US"/>
        </w:rPr>
        <w:t xml:space="preserve">in the </w:t>
      </w:r>
      <w:r w:rsidR="00E87C47" w:rsidRPr="003171CD">
        <w:rPr>
          <w:rFonts w:eastAsiaTheme="minorHAnsi" w:cs="Arial"/>
          <w:lang w:val="en-US"/>
        </w:rPr>
        <w:t xml:space="preserve">kidnapping or </w:t>
      </w:r>
      <w:r w:rsidR="00D0343C" w:rsidRPr="003171CD">
        <w:rPr>
          <w:rFonts w:eastAsiaTheme="minorHAnsi" w:cs="Arial"/>
          <w:lang w:val="en-US"/>
        </w:rPr>
        <w:t xml:space="preserve">to ensure </w:t>
      </w:r>
      <w:r w:rsidRPr="003171CD">
        <w:rPr>
          <w:rFonts w:eastAsiaTheme="minorHAnsi" w:cs="Arial"/>
          <w:lang w:val="en-US"/>
        </w:rPr>
        <w:t xml:space="preserve">the appearance of the person </w:t>
      </w:r>
      <w:r w:rsidR="00D167C2" w:rsidRPr="003171CD">
        <w:rPr>
          <w:rFonts w:eastAsiaTheme="minorHAnsi" w:cs="Arial"/>
          <w:lang w:val="en-US"/>
        </w:rPr>
        <w:t xml:space="preserve">purported to be </w:t>
      </w:r>
      <w:r w:rsidR="00A96DF3" w:rsidRPr="003171CD">
        <w:rPr>
          <w:rFonts w:eastAsiaTheme="minorHAnsi" w:cs="Arial"/>
          <w:i/>
          <w:lang w:val="en-US"/>
        </w:rPr>
        <w:t>Chopo</w:t>
      </w:r>
      <w:r w:rsidRPr="003171CD">
        <w:rPr>
          <w:rFonts w:eastAsiaTheme="minorHAnsi" w:cs="Arial"/>
          <w:lang w:val="en-US"/>
        </w:rPr>
        <w:t xml:space="preserve">. For their part, the authorities did not </w:t>
      </w:r>
      <w:r w:rsidR="00D50396" w:rsidRPr="003171CD">
        <w:rPr>
          <w:rFonts w:eastAsiaTheme="minorHAnsi" w:cs="Arial"/>
          <w:lang w:val="en-US"/>
        </w:rPr>
        <w:t xml:space="preserve">provide a full response </w:t>
      </w:r>
      <w:r w:rsidR="007D7CA1" w:rsidRPr="003171CD">
        <w:rPr>
          <w:rFonts w:eastAsiaTheme="minorHAnsi" w:cs="Arial"/>
          <w:lang w:val="en-US"/>
        </w:rPr>
        <w:t xml:space="preserve">as to whether </w:t>
      </w:r>
      <w:r w:rsidR="007308EF" w:rsidRPr="003171CD">
        <w:rPr>
          <w:rFonts w:eastAsiaTheme="minorHAnsi" w:cs="Arial"/>
          <w:lang w:val="en-US"/>
        </w:rPr>
        <w:t xml:space="preserve">the </w:t>
      </w:r>
      <w:r w:rsidR="00B90F96" w:rsidRPr="003171CD">
        <w:rPr>
          <w:rFonts w:eastAsiaTheme="minorHAnsi" w:cs="Arial"/>
          <w:lang w:val="en-US"/>
        </w:rPr>
        <w:t>doubt</w:t>
      </w:r>
      <w:r w:rsidR="00E87C47" w:rsidRPr="003171CD">
        <w:rPr>
          <w:rFonts w:eastAsiaTheme="minorHAnsi" w:cs="Arial"/>
          <w:lang w:val="en-US"/>
        </w:rPr>
        <w:t>s</w:t>
      </w:r>
      <w:r w:rsidRPr="003171CD">
        <w:rPr>
          <w:rFonts w:eastAsiaTheme="minorHAnsi" w:cs="Arial"/>
          <w:lang w:val="en-US"/>
        </w:rPr>
        <w:t xml:space="preserve"> regarding this factual aspect</w:t>
      </w:r>
      <w:r w:rsidR="00E87C47" w:rsidRPr="003171CD">
        <w:rPr>
          <w:rFonts w:eastAsiaTheme="minorHAnsi" w:cs="Arial"/>
          <w:lang w:val="en-US"/>
        </w:rPr>
        <w:t xml:space="preserve"> had been </w:t>
      </w:r>
      <w:r w:rsidR="00F509F1" w:rsidRPr="003171CD">
        <w:rPr>
          <w:rFonts w:eastAsiaTheme="minorHAnsi" w:cs="Arial"/>
          <w:lang w:val="en-US"/>
        </w:rPr>
        <w:t>resolved</w:t>
      </w:r>
      <w:r w:rsidR="00BC1D90" w:rsidRPr="003171CD">
        <w:rPr>
          <w:rFonts w:eastAsiaTheme="minorHAnsi" w:cs="Arial"/>
          <w:lang w:val="en-US"/>
        </w:rPr>
        <w:t xml:space="preserve">. The Court considers that in situations such as </w:t>
      </w:r>
      <w:r w:rsidRPr="003171CD">
        <w:rPr>
          <w:rFonts w:eastAsiaTheme="minorHAnsi" w:cs="Arial"/>
          <w:lang w:val="en-US"/>
        </w:rPr>
        <w:t>th</w:t>
      </w:r>
      <w:r w:rsidR="00BC1D90" w:rsidRPr="003171CD">
        <w:rPr>
          <w:rFonts w:eastAsiaTheme="minorHAnsi" w:cs="Arial"/>
          <w:lang w:val="en-US"/>
        </w:rPr>
        <w:t xml:space="preserve">is </w:t>
      </w:r>
      <w:r w:rsidRPr="003171CD">
        <w:rPr>
          <w:rFonts w:eastAsiaTheme="minorHAnsi" w:cs="Arial"/>
          <w:lang w:val="en-US"/>
        </w:rPr>
        <w:t>case</w:t>
      </w:r>
      <w:r w:rsidR="00BC1D90" w:rsidRPr="003171CD">
        <w:rPr>
          <w:rFonts w:eastAsiaTheme="minorHAnsi" w:cs="Arial"/>
          <w:lang w:val="en-US"/>
        </w:rPr>
        <w:t xml:space="preserve">, in which reasonable arguments </w:t>
      </w:r>
      <w:r w:rsidR="00821400" w:rsidRPr="003171CD">
        <w:rPr>
          <w:rFonts w:eastAsiaTheme="minorHAnsi" w:cs="Arial"/>
          <w:lang w:val="en-US"/>
        </w:rPr>
        <w:t>we</w:t>
      </w:r>
      <w:r w:rsidRPr="003171CD">
        <w:rPr>
          <w:rFonts w:eastAsiaTheme="minorHAnsi" w:cs="Arial"/>
          <w:lang w:val="en-US"/>
        </w:rPr>
        <w:t xml:space="preserve">re presented </w:t>
      </w:r>
      <w:r w:rsidR="00821400" w:rsidRPr="003171CD">
        <w:rPr>
          <w:rFonts w:eastAsiaTheme="minorHAnsi" w:cs="Arial"/>
          <w:lang w:val="en-US"/>
        </w:rPr>
        <w:t xml:space="preserve">regarding </w:t>
      </w:r>
      <w:r w:rsidRPr="003171CD">
        <w:rPr>
          <w:rFonts w:eastAsiaTheme="minorHAnsi" w:cs="Arial"/>
          <w:lang w:val="en-US"/>
        </w:rPr>
        <w:t xml:space="preserve">the non-participation of one of the accused in the </w:t>
      </w:r>
      <w:r w:rsidR="007308EF" w:rsidRPr="003171CD">
        <w:rPr>
          <w:rFonts w:eastAsiaTheme="minorHAnsi" w:cs="Arial"/>
          <w:lang w:val="en-US"/>
        </w:rPr>
        <w:t>crime</w:t>
      </w:r>
      <w:r w:rsidR="00BC1D90" w:rsidRPr="003171CD">
        <w:rPr>
          <w:rFonts w:eastAsiaTheme="minorHAnsi" w:cs="Arial"/>
          <w:lang w:val="en-US"/>
        </w:rPr>
        <w:t>,</w:t>
      </w:r>
      <w:r w:rsidR="007308EF" w:rsidRPr="003171CD">
        <w:rPr>
          <w:rFonts w:eastAsiaTheme="minorHAnsi" w:cs="Arial"/>
          <w:lang w:val="en-US"/>
        </w:rPr>
        <w:t xml:space="preserve"> </w:t>
      </w:r>
      <w:r w:rsidR="00F509F1" w:rsidRPr="003171CD">
        <w:rPr>
          <w:rFonts w:eastAsiaTheme="minorHAnsi" w:cs="Arial"/>
          <w:lang w:val="en-US"/>
        </w:rPr>
        <w:t xml:space="preserve">since </w:t>
      </w:r>
      <w:r w:rsidR="00BC1D90" w:rsidRPr="003171CD">
        <w:rPr>
          <w:rFonts w:eastAsiaTheme="minorHAnsi" w:cs="Arial"/>
          <w:lang w:val="en-US"/>
        </w:rPr>
        <w:t xml:space="preserve">he was </w:t>
      </w:r>
      <w:r w:rsidRPr="003171CD">
        <w:rPr>
          <w:rFonts w:eastAsiaTheme="minorHAnsi" w:cs="Arial"/>
          <w:lang w:val="en-US"/>
        </w:rPr>
        <w:t>not the person known by the nickname</w:t>
      </w:r>
      <w:r w:rsidR="00821400" w:rsidRPr="003171CD">
        <w:rPr>
          <w:rFonts w:eastAsiaTheme="minorHAnsi" w:cs="Arial"/>
          <w:lang w:val="en-US"/>
        </w:rPr>
        <w:t xml:space="preserve"> </w:t>
      </w:r>
      <w:r w:rsidR="00821400" w:rsidRPr="003171CD">
        <w:rPr>
          <w:rFonts w:eastAsiaTheme="minorHAnsi" w:cs="Arial"/>
          <w:i/>
          <w:lang w:val="en-US"/>
        </w:rPr>
        <w:t>Chopo</w:t>
      </w:r>
      <w:r w:rsidRPr="003171CD">
        <w:rPr>
          <w:rFonts w:eastAsiaTheme="minorHAnsi" w:cs="Arial"/>
          <w:lang w:val="en-US"/>
        </w:rPr>
        <w:t xml:space="preserve">, the Court considers that </w:t>
      </w:r>
      <w:r w:rsidR="00A200CF" w:rsidRPr="003171CD">
        <w:rPr>
          <w:rFonts w:eastAsiaTheme="minorHAnsi" w:cs="Arial"/>
          <w:lang w:val="en-US"/>
        </w:rPr>
        <w:t>respect</w:t>
      </w:r>
      <w:r w:rsidRPr="003171CD">
        <w:rPr>
          <w:rFonts w:eastAsiaTheme="minorHAnsi" w:cs="Arial"/>
          <w:lang w:val="en-US"/>
        </w:rPr>
        <w:t xml:space="preserve"> </w:t>
      </w:r>
      <w:r w:rsidR="00A200CF" w:rsidRPr="003171CD">
        <w:rPr>
          <w:rFonts w:eastAsiaTheme="minorHAnsi" w:cs="Arial"/>
          <w:lang w:val="en-US"/>
        </w:rPr>
        <w:t xml:space="preserve">for </w:t>
      </w:r>
      <w:r w:rsidRPr="003171CD">
        <w:rPr>
          <w:rFonts w:eastAsiaTheme="minorHAnsi" w:cs="Arial"/>
          <w:lang w:val="en-US"/>
        </w:rPr>
        <w:t xml:space="preserve">and </w:t>
      </w:r>
      <w:r w:rsidR="00A200CF" w:rsidRPr="003171CD">
        <w:rPr>
          <w:rFonts w:eastAsiaTheme="minorHAnsi" w:cs="Arial"/>
          <w:lang w:val="en-US"/>
        </w:rPr>
        <w:t xml:space="preserve">the </w:t>
      </w:r>
      <w:r w:rsidRPr="003171CD">
        <w:rPr>
          <w:rFonts w:eastAsiaTheme="minorHAnsi" w:cs="Arial"/>
          <w:lang w:val="en-US"/>
        </w:rPr>
        <w:t>g</w:t>
      </w:r>
      <w:r w:rsidR="00A200CF" w:rsidRPr="003171CD">
        <w:rPr>
          <w:rFonts w:eastAsiaTheme="minorHAnsi" w:cs="Arial"/>
          <w:lang w:val="en-US"/>
        </w:rPr>
        <w:t>u</w:t>
      </w:r>
      <w:r w:rsidRPr="003171CD">
        <w:rPr>
          <w:rFonts w:eastAsiaTheme="minorHAnsi" w:cs="Arial"/>
          <w:lang w:val="en-US"/>
        </w:rPr>
        <w:t>arant</w:t>
      </w:r>
      <w:r w:rsidR="00A200CF" w:rsidRPr="003171CD">
        <w:rPr>
          <w:rFonts w:eastAsiaTheme="minorHAnsi" w:cs="Arial"/>
          <w:lang w:val="en-US"/>
        </w:rPr>
        <w:t xml:space="preserve">ee of the presumption of </w:t>
      </w:r>
      <w:r w:rsidRPr="003171CD">
        <w:rPr>
          <w:rFonts w:eastAsiaTheme="minorHAnsi" w:cs="Arial"/>
          <w:lang w:val="en-US"/>
        </w:rPr>
        <w:t>innocence</w:t>
      </w:r>
      <w:r w:rsidR="00A200CF" w:rsidRPr="003171CD">
        <w:rPr>
          <w:rFonts w:eastAsiaTheme="minorHAnsi" w:cs="Arial"/>
          <w:lang w:val="en-US"/>
        </w:rPr>
        <w:t xml:space="preserve"> should have prevailed</w:t>
      </w:r>
      <w:r w:rsidRPr="003171CD">
        <w:rPr>
          <w:rFonts w:eastAsiaTheme="minorHAnsi" w:cs="Arial"/>
          <w:lang w:val="en-US"/>
        </w:rPr>
        <w:t>.</w:t>
      </w:r>
    </w:p>
    <w:p w14:paraId="57D95FC0" w14:textId="77777777" w:rsidR="005A65CE" w:rsidRPr="003171CD" w:rsidRDefault="005A65CE" w:rsidP="005A65CE">
      <w:pPr>
        <w:jc w:val="both"/>
        <w:rPr>
          <w:rFonts w:eastAsiaTheme="minorHAnsi" w:cs="Arial"/>
          <w:snapToGrid/>
          <w:lang w:val="en-US" w:eastAsia="en-US"/>
        </w:rPr>
      </w:pPr>
    </w:p>
    <w:p w14:paraId="493B389E"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lang w:val="en-US"/>
        </w:rPr>
        <w:lastRenderedPageBreak/>
        <w:t xml:space="preserve">Regarding the second </w:t>
      </w:r>
      <w:r w:rsidR="00821400" w:rsidRPr="003171CD">
        <w:rPr>
          <w:rFonts w:eastAsiaTheme="minorHAnsi"/>
          <w:lang w:val="en-US"/>
        </w:rPr>
        <w:t>aspect</w:t>
      </w:r>
      <w:r w:rsidRPr="003171CD">
        <w:rPr>
          <w:rFonts w:eastAsiaTheme="minorHAnsi"/>
          <w:lang w:val="en-US"/>
        </w:rPr>
        <w:t xml:space="preserve">, the Court notes that the </w:t>
      </w:r>
      <w:r w:rsidRPr="003171CD">
        <w:rPr>
          <w:rFonts w:eastAsiaTheme="minorHAnsi" w:cs="Arial"/>
          <w:lang w:val="en-US"/>
        </w:rPr>
        <w:t>judgment</w:t>
      </w:r>
      <w:r w:rsidRPr="003171CD">
        <w:rPr>
          <w:rFonts w:eastAsiaTheme="minorHAnsi"/>
          <w:lang w:val="en-US"/>
        </w:rPr>
        <w:t xml:space="preserve"> delivered on October 5, 2001, (</w:t>
      </w:r>
      <w:r w:rsidRPr="003171CD">
        <w:rPr>
          <w:rFonts w:eastAsiaTheme="minorHAnsi"/>
          <w:i/>
          <w:lang w:val="en-US"/>
        </w:rPr>
        <w:t xml:space="preserve">supra </w:t>
      </w:r>
      <w:r w:rsidRPr="003171CD">
        <w:rPr>
          <w:rFonts w:eastAsiaTheme="minorHAnsi"/>
          <w:lang w:val="en-US"/>
        </w:rPr>
        <w:t xml:space="preserve">para. 90) by the Second Trial Court of </w:t>
      </w:r>
      <w:r w:rsidRPr="003171CD">
        <w:rPr>
          <w:lang w:val="en-US"/>
        </w:rPr>
        <w:t xml:space="preserve">San Salvador was based on </w:t>
      </w:r>
      <w:r w:rsidRPr="003171CD">
        <w:rPr>
          <w:rFonts w:eastAsiaTheme="minorHAnsi" w:cs="Arial"/>
          <w:lang w:val="en-US"/>
        </w:rPr>
        <w:t xml:space="preserve">the </w:t>
      </w:r>
      <w:r w:rsidR="007308EF" w:rsidRPr="003171CD">
        <w:rPr>
          <w:rFonts w:eastAsiaTheme="minorHAnsi" w:cs="Arial"/>
          <w:lang w:val="en-US"/>
        </w:rPr>
        <w:t xml:space="preserve">corroborating </w:t>
      </w:r>
      <w:r w:rsidR="00A200CF" w:rsidRPr="003171CD">
        <w:rPr>
          <w:rFonts w:eastAsiaTheme="minorHAnsi" w:cs="Arial"/>
          <w:lang w:val="en-US"/>
        </w:rPr>
        <w:t xml:space="preserve">statements </w:t>
      </w:r>
      <w:r w:rsidRPr="003171CD">
        <w:rPr>
          <w:rFonts w:eastAsiaTheme="minorHAnsi" w:cs="Arial"/>
          <w:lang w:val="en-US"/>
        </w:rPr>
        <w:t>of Jaime Ernesto Rodríguez Marroquín and Francisco Javier Amaya Villalta</w:t>
      </w:r>
      <w:r w:rsidR="00F83D48" w:rsidRPr="003171CD">
        <w:rPr>
          <w:rFonts w:eastAsiaTheme="minorHAnsi" w:cs="Arial"/>
          <w:lang w:val="en-US"/>
        </w:rPr>
        <w:t>, which resulted in a conviction</w:t>
      </w:r>
      <w:r w:rsidRPr="003171CD">
        <w:rPr>
          <w:rFonts w:eastAsiaTheme="minorHAnsi" w:cs="Arial"/>
          <w:lang w:val="en-US"/>
        </w:rPr>
        <w:t xml:space="preserve">. </w:t>
      </w:r>
      <w:r w:rsidR="00F83D48" w:rsidRPr="003171CD">
        <w:rPr>
          <w:rFonts w:eastAsiaTheme="minorHAnsi" w:cs="Arial"/>
          <w:lang w:val="en-US"/>
        </w:rPr>
        <w:t xml:space="preserve">It </w:t>
      </w:r>
      <w:r w:rsidRPr="003171CD">
        <w:rPr>
          <w:rFonts w:eastAsiaTheme="minorHAnsi"/>
          <w:lang w:val="en-US"/>
        </w:rPr>
        <w:t>did not allude to other evidence for corroboration.</w:t>
      </w:r>
      <w:r w:rsidRPr="003171CD">
        <w:rPr>
          <w:rFonts w:eastAsiaTheme="minorHAnsi" w:cs="Arial"/>
          <w:lang w:val="en-US"/>
        </w:rPr>
        <w:t xml:space="preserve"> </w:t>
      </w:r>
      <w:r w:rsidR="00F83D48" w:rsidRPr="003171CD">
        <w:rPr>
          <w:rFonts w:eastAsiaTheme="minorHAnsi" w:cs="Arial"/>
          <w:lang w:val="en-US"/>
        </w:rPr>
        <w:t xml:space="preserve">As </w:t>
      </w:r>
      <w:r w:rsidRPr="003171CD">
        <w:rPr>
          <w:rFonts w:eastAsiaTheme="minorHAnsi" w:cs="Arial"/>
          <w:lang w:val="en-US"/>
        </w:rPr>
        <w:t xml:space="preserve">to the testimonial evidence </w:t>
      </w:r>
      <w:r w:rsidR="00557254" w:rsidRPr="003171CD">
        <w:rPr>
          <w:rFonts w:eastAsiaTheme="minorHAnsi" w:cs="Arial"/>
          <w:lang w:val="en-US"/>
        </w:rPr>
        <w:t xml:space="preserve">regarding </w:t>
      </w:r>
      <w:r w:rsidRPr="003171CD">
        <w:rPr>
          <w:rFonts w:eastAsiaTheme="minorHAnsi" w:cs="Arial"/>
          <w:lang w:val="en-US"/>
        </w:rPr>
        <w:t xml:space="preserve">José Agapito Ruano Torres’ work at the school </w:t>
      </w:r>
      <w:r w:rsidR="00F83D48" w:rsidRPr="003171CD">
        <w:rPr>
          <w:rFonts w:eastAsiaTheme="minorHAnsi" w:cs="Arial"/>
          <w:lang w:val="en-US"/>
        </w:rPr>
        <w:t xml:space="preserve">at the time when </w:t>
      </w:r>
      <w:r w:rsidRPr="003171CD">
        <w:rPr>
          <w:rFonts w:eastAsiaTheme="minorHAnsi" w:cs="Arial"/>
          <w:lang w:val="en-US"/>
        </w:rPr>
        <w:t xml:space="preserve">the kidnapping occurred, the </w:t>
      </w:r>
      <w:r w:rsidR="00F83D48" w:rsidRPr="003171CD">
        <w:rPr>
          <w:rFonts w:eastAsiaTheme="minorHAnsi"/>
          <w:lang w:val="en-US"/>
        </w:rPr>
        <w:t xml:space="preserve">Second Trial Court </w:t>
      </w:r>
      <w:r w:rsidRPr="003171CD">
        <w:rPr>
          <w:rFonts w:eastAsiaTheme="minorHAnsi" w:cs="Arial"/>
          <w:lang w:val="en-US"/>
        </w:rPr>
        <w:t>affirmed that “</w:t>
      </w:r>
      <w:r w:rsidR="00557254" w:rsidRPr="003171CD">
        <w:rPr>
          <w:rFonts w:eastAsiaTheme="minorHAnsi" w:cs="Arial"/>
          <w:lang w:val="en-US"/>
        </w:rPr>
        <w:t xml:space="preserve">those </w:t>
      </w:r>
      <w:r w:rsidRPr="003171CD">
        <w:rPr>
          <w:rFonts w:eastAsiaTheme="minorHAnsi" w:cs="Arial"/>
          <w:lang w:val="en-US"/>
        </w:rPr>
        <w:t xml:space="preserve">circumstances have not been corroborated by any other </w:t>
      </w:r>
      <w:r w:rsidR="00A200CF" w:rsidRPr="003171CD">
        <w:rPr>
          <w:rFonts w:eastAsiaTheme="minorHAnsi" w:cs="Arial"/>
          <w:lang w:val="en-US"/>
        </w:rPr>
        <w:t>eviden</w:t>
      </w:r>
      <w:r w:rsidR="00557254" w:rsidRPr="003171CD">
        <w:rPr>
          <w:rFonts w:eastAsiaTheme="minorHAnsi" w:cs="Arial"/>
          <w:lang w:val="en-US"/>
        </w:rPr>
        <w:t>tiary sources</w:t>
      </w:r>
      <w:r w:rsidRPr="003171CD">
        <w:rPr>
          <w:rFonts w:eastAsiaTheme="minorHAnsi" w:cs="Arial"/>
          <w:lang w:val="en-US"/>
        </w:rPr>
        <w:t xml:space="preserve">; […] </w:t>
      </w:r>
      <w:r w:rsidR="00557254" w:rsidRPr="003171CD">
        <w:rPr>
          <w:rFonts w:eastAsiaTheme="minorHAnsi" w:cs="Arial"/>
          <w:lang w:val="en-US"/>
        </w:rPr>
        <w:t xml:space="preserve">it comes from </w:t>
      </w:r>
      <w:r w:rsidR="00A200CF" w:rsidRPr="003171CD">
        <w:rPr>
          <w:rFonts w:eastAsiaTheme="minorHAnsi" w:cs="Arial"/>
          <w:lang w:val="en-US"/>
        </w:rPr>
        <w:t xml:space="preserve">relatives </w:t>
      </w:r>
      <w:r w:rsidRPr="003171CD">
        <w:rPr>
          <w:rFonts w:eastAsiaTheme="minorHAnsi" w:cs="Arial"/>
          <w:lang w:val="en-US"/>
        </w:rPr>
        <w:t>and friends.”</w:t>
      </w:r>
      <w:r w:rsidRPr="003171CD">
        <w:rPr>
          <w:vertAlign w:val="superscript"/>
          <w:lang w:val="en-US"/>
        </w:rPr>
        <w:footnoteReference w:id="191"/>
      </w:r>
      <w:r w:rsidRPr="003171CD">
        <w:rPr>
          <w:rFonts w:eastAsiaTheme="minorHAnsi" w:cs="Arial"/>
          <w:lang w:val="en-US"/>
        </w:rPr>
        <w:t xml:space="preserve"> The Court </w:t>
      </w:r>
      <w:r w:rsidR="00A200CF" w:rsidRPr="003171CD">
        <w:rPr>
          <w:rFonts w:eastAsiaTheme="minorHAnsi" w:cs="Arial"/>
          <w:lang w:val="en-US"/>
        </w:rPr>
        <w:t xml:space="preserve">emphasizes </w:t>
      </w:r>
      <w:r w:rsidR="00557254" w:rsidRPr="003171CD">
        <w:rPr>
          <w:rFonts w:eastAsiaTheme="minorHAnsi" w:cs="Arial"/>
          <w:lang w:val="en-US"/>
        </w:rPr>
        <w:t>that in this</w:t>
      </w:r>
      <w:r w:rsidRPr="003171CD">
        <w:rPr>
          <w:rFonts w:eastAsiaTheme="minorHAnsi" w:cs="Arial"/>
          <w:lang w:val="en-US"/>
        </w:rPr>
        <w:t xml:space="preserve"> case</w:t>
      </w:r>
      <w:r w:rsidR="00557254" w:rsidRPr="003171CD">
        <w:rPr>
          <w:rFonts w:eastAsiaTheme="minorHAnsi" w:cs="Arial"/>
          <w:lang w:val="en-US"/>
        </w:rPr>
        <w:t>, the tw</w:t>
      </w:r>
      <w:r w:rsidR="00A200CF" w:rsidRPr="003171CD">
        <w:rPr>
          <w:rFonts w:eastAsiaTheme="minorHAnsi" w:cs="Arial"/>
          <w:lang w:val="en-US"/>
        </w:rPr>
        <w:t xml:space="preserve">o pieces of evidence </w:t>
      </w:r>
      <w:r w:rsidR="00557254" w:rsidRPr="003171CD">
        <w:rPr>
          <w:rFonts w:eastAsiaTheme="minorHAnsi" w:cs="Arial"/>
          <w:lang w:val="en-US"/>
        </w:rPr>
        <w:t xml:space="preserve">mentioned </w:t>
      </w:r>
      <w:r w:rsidRPr="003171CD">
        <w:rPr>
          <w:rFonts w:eastAsiaTheme="minorHAnsi" w:cs="Arial"/>
          <w:lang w:val="en-US"/>
        </w:rPr>
        <w:t>determin</w:t>
      </w:r>
      <w:r w:rsidR="00A200CF" w:rsidRPr="003171CD">
        <w:rPr>
          <w:rFonts w:eastAsiaTheme="minorHAnsi" w:cs="Arial"/>
          <w:lang w:val="en-US"/>
        </w:rPr>
        <w:t xml:space="preserve">ed </w:t>
      </w:r>
      <w:r w:rsidRPr="003171CD">
        <w:rPr>
          <w:rFonts w:eastAsiaTheme="minorHAnsi" w:cs="Arial"/>
          <w:lang w:val="en-US"/>
        </w:rPr>
        <w:t xml:space="preserve">the outcome of the criminal case, </w:t>
      </w:r>
      <w:r w:rsidR="00557254" w:rsidRPr="003171CD">
        <w:rPr>
          <w:rFonts w:eastAsiaTheme="minorHAnsi" w:cs="Arial"/>
          <w:lang w:val="en-US"/>
        </w:rPr>
        <w:t xml:space="preserve">and </w:t>
      </w:r>
      <w:r w:rsidR="00C71C53" w:rsidRPr="003171CD">
        <w:rPr>
          <w:rFonts w:eastAsiaTheme="minorHAnsi" w:cs="Arial"/>
          <w:lang w:val="en-US"/>
        </w:rPr>
        <w:t xml:space="preserve">were </w:t>
      </w:r>
      <w:r w:rsidR="00557254" w:rsidRPr="003171CD">
        <w:rPr>
          <w:rFonts w:eastAsiaTheme="minorHAnsi" w:cs="Arial"/>
          <w:lang w:val="en-US"/>
        </w:rPr>
        <w:t xml:space="preserve">the </w:t>
      </w:r>
      <w:r w:rsidR="00C71C53" w:rsidRPr="003171CD">
        <w:rPr>
          <w:rFonts w:eastAsiaTheme="minorHAnsi" w:cs="Arial"/>
          <w:lang w:val="en-US"/>
        </w:rPr>
        <w:t xml:space="preserve">main </w:t>
      </w:r>
      <w:r w:rsidR="00557254" w:rsidRPr="003171CD">
        <w:rPr>
          <w:rFonts w:eastAsiaTheme="minorHAnsi" w:cs="Arial"/>
          <w:lang w:val="en-US"/>
        </w:rPr>
        <w:t xml:space="preserve">basis for </w:t>
      </w:r>
      <w:r w:rsidR="00A200CF" w:rsidRPr="003171CD">
        <w:rPr>
          <w:rFonts w:eastAsiaTheme="minorHAnsi" w:cs="Arial"/>
          <w:lang w:val="en-US"/>
        </w:rPr>
        <w:t xml:space="preserve">the </w:t>
      </w:r>
      <w:r w:rsidR="00557254" w:rsidRPr="003171CD">
        <w:rPr>
          <w:rFonts w:eastAsiaTheme="minorHAnsi" w:cs="Arial"/>
          <w:lang w:val="en-US"/>
        </w:rPr>
        <w:t xml:space="preserve">trial </w:t>
      </w:r>
      <w:r w:rsidRPr="003171CD">
        <w:rPr>
          <w:rFonts w:eastAsiaTheme="minorHAnsi" w:cs="Arial"/>
          <w:lang w:val="en-US"/>
        </w:rPr>
        <w:t xml:space="preserve">and </w:t>
      </w:r>
      <w:r w:rsidR="00A200CF" w:rsidRPr="003171CD">
        <w:rPr>
          <w:rFonts w:eastAsiaTheme="minorHAnsi" w:cs="Arial"/>
          <w:lang w:val="en-US"/>
        </w:rPr>
        <w:t>subsequent conviction</w:t>
      </w:r>
      <w:r w:rsidR="00557254" w:rsidRPr="003171CD">
        <w:rPr>
          <w:rFonts w:eastAsiaTheme="minorHAnsi" w:cs="Arial"/>
          <w:lang w:val="en-US"/>
        </w:rPr>
        <w:t xml:space="preserve"> of José Agapito Ruano Torres</w:t>
      </w:r>
      <w:r w:rsidRPr="003171CD">
        <w:rPr>
          <w:rFonts w:eastAsiaTheme="minorHAnsi" w:cs="Arial"/>
          <w:lang w:val="en-US"/>
        </w:rPr>
        <w:t xml:space="preserve">. </w:t>
      </w:r>
    </w:p>
    <w:p w14:paraId="7FF7E680" w14:textId="77777777" w:rsidR="005A65CE" w:rsidRPr="003171CD" w:rsidRDefault="005A65CE" w:rsidP="005A65CE">
      <w:pPr>
        <w:jc w:val="both"/>
        <w:rPr>
          <w:rFonts w:eastAsiaTheme="minorHAnsi" w:cs="Arial"/>
          <w:snapToGrid/>
          <w:lang w:val="en-US" w:eastAsia="en-US"/>
        </w:rPr>
      </w:pPr>
    </w:p>
    <w:p w14:paraId="6452CC49"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lang w:val="en-US"/>
        </w:rPr>
      </w:pPr>
      <w:r w:rsidRPr="003171CD">
        <w:rPr>
          <w:rFonts w:eastAsiaTheme="minorHAnsi" w:cs="Arial"/>
          <w:lang w:val="en-US"/>
        </w:rPr>
        <w:t xml:space="preserve">On this point, </w:t>
      </w:r>
      <w:r w:rsidRPr="003171CD">
        <w:rPr>
          <w:rFonts w:eastAsiaTheme="minorHAnsi"/>
          <w:lang w:val="en-US"/>
        </w:rPr>
        <w:t xml:space="preserve">as </w:t>
      </w:r>
      <w:r w:rsidR="00D65CFD" w:rsidRPr="003171CD">
        <w:rPr>
          <w:rFonts w:eastAsiaTheme="minorHAnsi"/>
          <w:lang w:val="en-US"/>
        </w:rPr>
        <w:t xml:space="preserve">noted </w:t>
      </w:r>
      <w:r w:rsidRPr="003171CD">
        <w:rPr>
          <w:rFonts w:eastAsiaTheme="minorHAnsi"/>
          <w:lang w:val="en-US"/>
        </w:rPr>
        <w:t xml:space="preserve">by the Commission, </w:t>
      </w:r>
      <w:r w:rsidR="00D65CFD" w:rsidRPr="003171CD">
        <w:rPr>
          <w:rFonts w:eastAsiaTheme="minorHAnsi"/>
          <w:lang w:val="en-US"/>
        </w:rPr>
        <w:t xml:space="preserve">the Court advises that </w:t>
      </w:r>
      <w:r w:rsidRPr="003171CD">
        <w:rPr>
          <w:rFonts w:eastAsiaTheme="minorHAnsi"/>
          <w:lang w:val="en-US"/>
        </w:rPr>
        <w:t>the</w:t>
      </w:r>
      <w:r w:rsidR="00D65CFD" w:rsidRPr="003171CD">
        <w:rPr>
          <w:rFonts w:eastAsiaTheme="minorHAnsi"/>
          <w:lang w:val="en-US"/>
        </w:rPr>
        <w:t>re is no</w:t>
      </w:r>
      <w:r w:rsidR="005B2A59" w:rsidRPr="003171CD">
        <w:rPr>
          <w:rFonts w:eastAsiaTheme="minorHAnsi"/>
          <w:lang w:val="en-US"/>
        </w:rPr>
        <w:t xml:space="preserve"> procedural justification in</w:t>
      </w:r>
      <w:r w:rsidR="003A348D" w:rsidRPr="003171CD">
        <w:rPr>
          <w:rFonts w:eastAsiaTheme="minorHAnsi"/>
          <w:lang w:val="en-US"/>
        </w:rPr>
        <w:t xml:space="preserve"> </w:t>
      </w:r>
      <w:r w:rsidR="005B2A59" w:rsidRPr="003171CD">
        <w:rPr>
          <w:rFonts w:eastAsiaTheme="minorHAnsi"/>
          <w:lang w:val="en-US"/>
        </w:rPr>
        <w:t xml:space="preserve">the </w:t>
      </w:r>
      <w:r w:rsidR="003A348D" w:rsidRPr="003171CD">
        <w:rPr>
          <w:rFonts w:eastAsiaTheme="minorHAnsi"/>
          <w:lang w:val="en-US"/>
        </w:rPr>
        <w:t xml:space="preserve">case file </w:t>
      </w:r>
      <w:r w:rsidR="00225134" w:rsidRPr="003171CD">
        <w:rPr>
          <w:rFonts w:eastAsiaTheme="minorHAnsi"/>
          <w:lang w:val="en-US"/>
        </w:rPr>
        <w:t>to</w:t>
      </w:r>
      <w:r w:rsidRPr="003171CD">
        <w:rPr>
          <w:rFonts w:eastAsiaTheme="minorHAnsi"/>
          <w:lang w:val="en-US"/>
        </w:rPr>
        <w:t xml:space="preserve"> indi</w:t>
      </w:r>
      <w:r w:rsidR="002E679E" w:rsidRPr="003171CD">
        <w:rPr>
          <w:rFonts w:eastAsiaTheme="minorHAnsi"/>
          <w:lang w:val="en-US"/>
        </w:rPr>
        <w:t xml:space="preserve">cate </w:t>
      </w:r>
      <w:r w:rsidRPr="003171CD">
        <w:rPr>
          <w:rFonts w:eastAsiaTheme="minorHAnsi"/>
          <w:lang w:val="en-US"/>
        </w:rPr>
        <w:t xml:space="preserve">the reasons </w:t>
      </w:r>
      <w:r w:rsidR="002E679E" w:rsidRPr="003171CD">
        <w:rPr>
          <w:rFonts w:eastAsiaTheme="minorHAnsi"/>
          <w:lang w:val="en-US"/>
        </w:rPr>
        <w:t xml:space="preserve">why the statement of </w:t>
      </w:r>
      <w:r w:rsidRPr="003171CD">
        <w:rPr>
          <w:rFonts w:eastAsiaTheme="minorHAnsi"/>
          <w:lang w:val="en-US"/>
        </w:rPr>
        <w:t xml:space="preserve">Amaya Villalta </w:t>
      </w:r>
      <w:r w:rsidR="00225134" w:rsidRPr="003171CD">
        <w:rPr>
          <w:rFonts w:eastAsiaTheme="minorHAnsi"/>
          <w:lang w:val="en-US"/>
        </w:rPr>
        <w:t xml:space="preserve">was made in </w:t>
      </w:r>
      <w:r w:rsidR="00E83B3C" w:rsidRPr="003171CD">
        <w:rPr>
          <w:rFonts w:eastAsiaTheme="minorHAnsi"/>
          <w:lang w:val="en-US"/>
        </w:rPr>
        <w:t>advance</w:t>
      </w:r>
      <w:r w:rsidR="00D65CFD" w:rsidRPr="003171CD">
        <w:rPr>
          <w:rFonts w:eastAsiaTheme="minorHAnsi"/>
          <w:lang w:val="en-US"/>
        </w:rPr>
        <w:t xml:space="preserve"> of the trial</w:t>
      </w:r>
      <w:r w:rsidRPr="003171CD">
        <w:rPr>
          <w:rFonts w:eastAsiaTheme="minorHAnsi"/>
          <w:lang w:val="en-US"/>
        </w:rPr>
        <w:t>.</w:t>
      </w:r>
      <w:r w:rsidR="003A348D" w:rsidRPr="003171CD">
        <w:rPr>
          <w:rFonts w:eastAsiaTheme="minorHAnsi"/>
          <w:lang w:val="en-US"/>
        </w:rPr>
        <w:t xml:space="preserve"> </w:t>
      </w:r>
      <w:r w:rsidR="00D65CFD" w:rsidRPr="003171CD">
        <w:rPr>
          <w:rFonts w:eastAsiaTheme="minorHAnsi"/>
          <w:lang w:val="en-US"/>
        </w:rPr>
        <w:t>The record shows that during his statement</w:t>
      </w:r>
      <w:r w:rsidR="004764AE" w:rsidRPr="003171CD">
        <w:rPr>
          <w:rFonts w:eastAsiaTheme="minorHAnsi"/>
          <w:lang w:val="en-US"/>
        </w:rPr>
        <w:t>,</w:t>
      </w:r>
      <w:r w:rsidR="00A200CF" w:rsidRPr="003171CD">
        <w:rPr>
          <w:rFonts w:eastAsiaTheme="minorHAnsi"/>
          <w:lang w:val="en-US"/>
        </w:rPr>
        <w:t xml:space="preserve"> </w:t>
      </w:r>
      <w:r w:rsidR="00D65CFD" w:rsidRPr="003171CD">
        <w:rPr>
          <w:rFonts w:eastAsiaTheme="minorHAnsi"/>
          <w:lang w:val="en-US"/>
        </w:rPr>
        <w:t>only the private attorney of one of the accused was present.</w:t>
      </w:r>
      <w:r w:rsidRPr="003171CD">
        <w:rPr>
          <w:rFonts w:eastAsiaTheme="minorHAnsi"/>
          <w:lang w:val="en-US"/>
        </w:rPr>
        <w:t xml:space="preserve"> </w:t>
      </w:r>
      <w:r w:rsidR="00A200CF" w:rsidRPr="003171CD">
        <w:rPr>
          <w:rFonts w:eastAsiaTheme="minorHAnsi"/>
          <w:lang w:val="en-US"/>
        </w:rPr>
        <w:t xml:space="preserve">Once </w:t>
      </w:r>
      <w:r w:rsidRPr="003171CD">
        <w:rPr>
          <w:rFonts w:eastAsiaTheme="minorHAnsi"/>
          <w:lang w:val="en-US"/>
        </w:rPr>
        <w:t xml:space="preserve">Amaya Villalta </w:t>
      </w:r>
      <w:r w:rsidR="005B2A59" w:rsidRPr="003171CD">
        <w:rPr>
          <w:rFonts w:eastAsiaTheme="minorHAnsi"/>
          <w:lang w:val="en-US"/>
        </w:rPr>
        <w:t>had i</w:t>
      </w:r>
      <w:r w:rsidR="009604F5" w:rsidRPr="003171CD">
        <w:rPr>
          <w:rFonts w:eastAsiaTheme="minorHAnsi"/>
          <w:lang w:val="en-US"/>
        </w:rPr>
        <w:t xml:space="preserve">dentified </w:t>
      </w:r>
      <w:r w:rsidR="005B2A59" w:rsidRPr="003171CD">
        <w:rPr>
          <w:rFonts w:eastAsiaTheme="minorHAnsi"/>
          <w:lang w:val="en-US"/>
        </w:rPr>
        <w:t xml:space="preserve">the </w:t>
      </w:r>
      <w:r w:rsidR="009604F5" w:rsidRPr="003171CD">
        <w:rPr>
          <w:rFonts w:eastAsiaTheme="minorHAnsi"/>
          <w:lang w:val="en-US"/>
        </w:rPr>
        <w:t xml:space="preserve">other </w:t>
      </w:r>
      <w:r w:rsidR="002E679E" w:rsidRPr="003171CD">
        <w:rPr>
          <w:rFonts w:eastAsiaTheme="minorHAnsi"/>
          <w:lang w:val="en-US"/>
        </w:rPr>
        <w:t xml:space="preserve">alleged participants </w:t>
      </w:r>
      <w:r w:rsidRPr="003171CD">
        <w:rPr>
          <w:rFonts w:eastAsiaTheme="minorHAnsi"/>
          <w:lang w:val="en-US"/>
        </w:rPr>
        <w:t>in the crime</w:t>
      </w:r>
      <w:r w:rsidR="009604F5" w:rsidRPr="003171CD">
        <w:rPr>
          <w:rFonts w:eastAsiaTheme="minorHAnsi"/>
          <w:lang w:val="en-US"/>
        </w:rPr>
        <w:t>,</w:t>
      </w:r>
      <w:r w:rsidR="00DC2F40" w:rsidRPr="003171CD">
        <w:rPr>
          <w:rFonts w:eastAsiaTheme="minorHAnsi"/>
          <w:lang w:val="en-US"/>
        </w:rPr>
        <w:t xml:space="preserve"> </w:t>
      </w:r>
      <w:r w:rsidR="009604F5" w:rsidRPr="003171CD">
        <w:rPr>
          <w:rFonts w:eastAsiaTheme="minorHAnsi"/>
          <w:lang w:val="en-US"/>
        </w:rPr>
        <w:t xml:space="preserve">they </w:t>
      </w:r>
      <w:r w:rsidR="00DC2F40" w:rsidRPr="003171CD">
        <w:rPr>
          <w:rFonts w:eastAsiaTheme="minorHAnsi"/>
          <w:lang w:val="en-US"/>
        </w:rPr>
        <w:t xml:space="preserve">did not have an opportunity to exercise their </w:t>
      </w:r>
      <w:r w:rsidR="002625A5" w:rsidRPr="003171CD">
        <w:rPr>
          <w:rFonts w:eastAsiaTheme="minorHAnsi"/>
          <w:lang w:val="en-US"/>
        </w:rPr>
        <w:t>right to defense</w:t>
      </w:r>
      <w:r w:rsidR="009656AE" w:rsidRPr="003171CD">
        <w:rPr>
          <w:rFonts w:eastAsiaTheme="minorHAnsi"/>
          <w:lang w:val="en-US"/>
        </w:rPr>
        <w:t xml:space="preserve">, including </w:t>
      </w:r>
      <w:r w:rsidR="009604F5" w:rsidRPr="003171CD">
        <w:rPr>
          <w:rFonts w:eastAsiaTheme="minorHAnsi"/>
          <w:lang w:val="en-US"/>
        </w:rPr>
        <w:t>the right to cross</w:t>
      </w:r>
      <w:r w:rsidR="009604F5" w:rsidRPr="003171CD">
        <w:rPr>
          <w:rFonts w:eastAsiaTheme="minorHAnsi"/>
          <w:lang w:val="en-GB"/>
        </w:rPr>
        <w:t>-</w:t>
      </w:r>
      <w:r w:rsidR="009604F5" w:rsidRPr="003171CD">
        <w:rPr>
          <w:rFonts w:eastAsiaTheme="minorHAnsi"/>
          <w:lang w:val="en-US"/>
        </w:rPr>
        <w:t>examine, which is one of the fundamental components of the adversarial system</w:t>
      </w:r>
      <w:r w:rsidRPr="003171CD">
        <w:rPr>
          <w:rFonts w:eastAsiaTheme="minorHAnsi"/>
          <w:lang w:val="en-US"/>
        </w:rPr>
        <w:t xml:space="preserve">. </w:t>
      </w:r>
      <w:r w:rsidR="009656AE" w:rsidRPr="003171CD">
        <w:rPr>
          <w:rFonts w:eastAsiaTheme="minorHAnsi"/>
          <w:lang w:val="en-US"/>
        </w:rPr>
        <w:t xml:space="preserve">Finally, </w:t>
      </w:r>
      <w:r w:rsidRPr="003171CD">
        <w:rPr>
          <w:rFonts w:eastAsiaTheme="minorHAnsi"/>
          <w:lang w:val="en-US"/>
        </w:rPr>
        <w:t xml:space="preserve">the </w:t>
      </w:r>
      <w:r w:rsidR="00C817B6" w:rsidRPr="003171CD">
        <w:rPr>
          <w:rFonts w:eastAsiaTheme="minorHAnsi"/>
          <w:lang w:val="en-US"/>
        </w:rPr>
        <w:t xml:space="preserve">aforementioned statement </w:t>
      </w:r>
      <w:r w:rsidRPr="003171CD">
        <w:rPr>
          <w:rFonts w:eastAsiaTheme="minorHAnsi"/>
          <w:lang w:val="en-US"/>
        </w:rPr>
        <w:t xml:space="preserve">was </w:t>
      </w:r>
      <w:r w:rsidR="001464DB" w:rsidRPr="003171CD">
        <w:rPr>
          <w:rFonts w:eastAsiaTheme="minorHAnsi"/>
          <w:lang w:val="en-US"/>
        </w:rPr>
        <w:t xml:space="preserve">made </w:t>
      </w:r>
      <w:r w:rsidR="009604F5" w:rsidRPr="003171CD">
        <w:rPr>
          <w:rFonts w:eastAsiaTheme="minorHAnsi"/>
          <w:lang w:val="en-US"/>
        </w:rPr>
        <w:t xml:space="preserve">in the absence of </w:t>
      </w:r>
      <w:r w:rsidRPr="003171CD">
        <w:rPr>
          <w:rFonts w:eastAsiaTheme="minorHAnsi"/>
          <w:lang w:val="en-US"/>
        </w:rPr>
        <w:t>the other co</w:t>
      </w:r>
      <w:r w:rsidR="009656AE" w:rsidRPr="003171CD">
        <w:rPr>
          <w:rFonts w:eastAsiaTheme="minorHAnsi"/>
          <w:lang w:val="en-US"/>
        </w:rPr>
        <w:t>-</w:t>
      </w:r>
      <w:r w:rsidR="009604F5" w:rsidRPr="003171CD">
        <w:rPr>
          <w:rFonts w:eastAsiaTheme="minorHAnsi"/>
          <w:lang w:val="en-US"/>
        </w:rPr>
        <w:t>defendants</w:t>
      </w:r>
      <w:r w:rsidRPr="003171CD">
        <w:rPr>
          <w:rFonts w:eastAsiaTheme="minorHAnsi"/>
          <w:lang w:val="en-US"/>
        </w:rPr>
        <w:t xml:space="preserve">, </w:t>
      </w:r>
      <w:r w:rsidR="009656AE" w:rsidRPr="003171CD">
        <w:rPr>
          <w:rFonts w:eastAsiaTheme="minorHAnsi"/>
          <w:lang w:val="en-US"/>
        </w:rPr>
        <w:t xml:space="preserve">among them </w:t>
      </w:r>
      <w:r w:rsidRPr="003171CD">
        <w:rPr>
          <w:rFonts w:eastAsiaTheme="minorHAnsi"/>
          <w:lang w:val="en-US"/>
        </w:rPr>
        <w:t>Mr. Ruano Torres</w:t>
      </w:r>
      <w:r w:rsidR="009656AE" w:rsidRPr="003171CD">
        <w:rPr>
          <w:rFonts w:eastAsiaTheme="minorHAnsi"/>
          <w:lang w:val="en-US"/>
        </w:rPr>
        <w:t xml:space="preserve">, </w:t>
      </w:r>
      <w:r w:rsidR="009604F5" w:rsidRPr="003171CD">
        <w:rPr>
          <w:rFonts w:eastAsiaTheme="minorHAnsi"/>
          <w:lang w:val="en-US"/>
        </w:rPr>
        <w:t xml:space="preserve">who were unable to </w:t>
      </w:r>
      <w:r w:rsidR="009656AE" w:rsidRPr="003171CD">
        <w:rPr>
          <w:rFonts w:eastAsiaTheme="minorHAnsi"/>
          <w:lang w:val="en-US"/>
        </w:rPr>
        <w:t xml:space="preserve">exercise their right </w:t>
      </w:r>
      <w:r w:rsidR="009604F5" w:rsidRPr="003171CD">
        <w:rPr>
          <w:rFonts w:eastAsiaTheme="minorHAnsi"/>
          <w:lang w:val="en-US"/>
        </w:rPr>
        <w:t xml:space="preserve">to </w:t>
      </w:r>
      <w:r w:rsidRPr="003171CD">
        <w:rPr>
          <w:rFonts w:eastAsiaTheme="minorHAnsi"/>
          <w:lang w:val="en-US"/>
        </w:rPr>
        <w:t xml:space="preserve">defense </w:t>
      </w:r>
      <w:r w:rsidR="002E679E" w:rsidRPr="003171CD">
        <w:rPr>
          <w:rFonts w:eastAsiaTheme="minorHAnsi"/>
          <w:lang w:val="en-US"/>
        </w:rPr>
        <w:t xml:space="preserve">at that </w:t>
      </w:r>
      <w:r w:rsidRPr="003171CD">
        <w:rPr>
          <w:rFonts w:eastAsiaTheme="minorHAnsi"/>
          <w:lang w:val="en-US"/>
        </w:rPr>
        <w:t>moment</w:t>
      </w:r>
      <w:r w:rsidR="009604F5" w:rsidRPr="003171CD">
        <w:rPr>
          <w:rFonts w:eastAsiaTheme="minorHAnsi"/>
          <w:lang w:val="en-US"/>
        </w:rPr>
        <w:t>,</w:t>
      </w:r>
      <w:r w:rsidRPr="003171CD">
        <w:rPr>
          <w:rFonts w:eastAsiaTheme="minorHAnsi"/>
          <w:lang w:val="en-US"/>
        </w:rPr>
        <w:t xml:space="preserve"> or </w:t>
      </w:r>
      <w:r w:rsidR="002E679E" w:rsidRPr="003171CD">
        <w:rPr>
          <w:rFonts w:eastAsiaTheme="minorHAnsi"/>
          <w:lang w:val="en-US"/>
        </w:rPr>
        <w:t xml:space="preserve">at a later </w:t>
      </w:r>
      <w:r w:rsidR="009604F5" w:rsidRPr="003171CD">
        <w:rPr>
          <w:rFonts w:eastAsiaTheme="minorHAnsi"/>
          <w:lang w:val="en-US"/>
        </w:rPr>
        <w:t xml:space="preserve">stage </w:t>
      </w:r>
      <w:r w:rsidR="002E679E" w:rsidRPr="003171CD">
        <w:rPr>
          <w:rFonts w:eastAsiaTheme="minorHAnsi"/>
          <w:lang w:val="en-US"/>
        </w:rPr>
        <w:t xml:space="preserve">of the </w:t>
      </w:r>
      <w:r w:rsidR="006D65DA" w:rsidRPr="003171CD">
        <w:rPr>
          <w:rFonts w:eastAsiaTheme="minorHAnsi"/>
          <w:lang w:val="en-US"/>
        </w:rPr>
        <w:t>criminal trial</w:t>
      </w:r>
      <w:r w:rsidRPr="003171CD">
        <w:rPr>
          <w:rFonts w:eastAsiaTheme="minorHAnsi"/>
          <w:lang w:val="en-US"/>
        </w:rPr>
        <w:t xml:space="preserve">, </w:t>
      </w:r>
      <w:r w:rsidR="009604F5" w:rsidRPr="003171CD">
        <w:rPr>
          <w:rFonts w:eastAsiaTheme="minorHAnsi"/>
          <w:lang w:val="en-US"/>
        </w:rPr>
        <w:t xml:space="preserve">and </w:t>
      </w:r>
      <w:r w:rsidR="00E83B3C" w:rsidRPr="003171CD">
        <w:rPr>
          <w:rFonts w:eastAsiaTheme="minorHAnsi"/>
          <w:lang w:val="en-US"/>
        </w:rPr>
        <w:t xml:space="preserve">did not have an </w:t>
      </w:r>
      <w:r w:rsidRPr="003171CD">
        <w:rPr>
          <w:rFonts w:eastAsiaTheme="minorHAnsi"/>
          <w:lang w:val="en-US"/>
        </w:rPr>
        <w:t>o</w:t>
      </w:r>
      <w:r w:rsidR="002E679E" w:rsidRPr="003171CD">
        <w:rPr>
          <w:rFonts w:eastAsiaTheme="minorHAnsi"/>
          <w:lang w:val="en-US"/>
        </w:rPr>
        <w:t>p</w:t>
      </w:r>
      <w:r w:rsidRPr="003171CD">
        <w:rPr>
          <w:rFonts w:eastAsiaTheme="minorHAnsi"/>
          <w:lang w:val="en-US"/>
        </w:rPr>
        <w:t>portunit</w:t>
      </w:r>
      <w:r w:rsidR="00E83B3C" w:rsidRPr="003171CD">
        <w:rPr>
          <w:rFonts w:eastAsiaTheme="minorHAnsi"/>
          <w:lang w:val="en-US"/>
        </w:rPr>
        <w:t xml:space="preserve">y to </w:t>
      </w:r>
      <w:r w:rsidR="00225134" w:rsidRPr="003171CD">
        <w:rPr>
          <w:rFonts w:eastAsiaTheme="minorHAnsi"/>
          <w:lang w:val="en-US"/>
        </w:rPr>
        <w:t>cross-examine him</w:t>
      </w:r>
      <w:r w:rsidR="00D84DF2" w:rsidRPr="003171CD">
        <w:rPr>
          <w:rFonts w:eastAsiaTheme="minorHAnsi"/>
          <w:lang w:val="en-US"/>
        </w:rPr>
        <w:t xml:space="preserve">, thereby undermining </w:t>
      </w:r>
      <w:r w:rsidR="001464DB" w:rsidRPr="003171CD">
        <w:rPr>
          <w:rFonts w:eastAsiaTheme="minorHAnsi"/>
          <w:lang w:val="en-US"/>
        </w:rPr>
        <w:t xml:space="preserve">the </w:t>
      </w:r>
      <w:r w:rsidR="00E83B3C" w:rsidRPr="003171CD">
        <w:rPr>
          <w:rFonts w:eastAsiaTheme="minorHAnsi"/>
          <w:lang w:val="en-US"/>
        </w:rPr>
        <w:t xml:space="preserve">reliability </w:t>
      </w:r>
      <w:r w:rsidR="001464DB" w:rsidRPr="003171CD">
        <w:rPr>
          <w:rFonts w:eastAsiaTheme="minorHAnsi"/>
          <w:lang w:val="en-US"/>
        </w:rPr>
        <w:t xml:space="preserve">of the process </w:t>
      </w:r>
      <w:r w:rsidRPr="003171CD">
        <w:rPr>
          <w:rFonts w:eastAsiaTheme="minorHAnsi"/>
          <w:lang w:val="en-US"/>
        </w:rPr>
        <w:t>and viol</w:t>
      </w:r>
      <w:r w:rsidR="00D84DF2" w:rsidRPr="003171CD">
        <w:rPr>
          <w:rFonts w:eastAsiaTheme="minorHAnsi"/>
          <w:lang w:val="en-US"/>
        </w:rPr>
        <w:t>ating</w:t>
      </w:r>
      <w:r w:rsidR="00A200CF" w:rsidRPr="003171CD">
        <w:rPr>
          <w:rFonts w:eastAsiaTheme="minorHAnsi"/>
          <w:lang w:val="en-US"/>
        </w:rPr>
        <w:t xml:space="preserve"> </w:t>
      </w:r>
      <w:r w:rsidRPr="003171CD">
        <w:rPr>
          <w:rFonts w:eastAsiaTheme="minorHAnsi"/>
          <w:lang w:val="en-US"/>
        </w:rPr>
        <w:t xml:space="preserve">the </w:t>
      </w:r>
      <w:r w:rsidR="00A200CF" w:rsidRPr="003171CD">
        <w:rPr>
          <w:rFonts w:eastAsiaTheme="minorHAnsi"/>
          <w:lang w:val="en-US"/>
        </w:rPr>
        <w:t xml:space="preserve">minimum </w:t>
      </w:r>
      <w:r w:rsidRPr="003171CD">
        <w:rPr>
          <w:rFonts w:eastAsiaTheme="minorHAnsi"/>
          <w:lang w:val="en-US"/>
        </w:rPr>
        <w:t xml:space="preserve">guarantees </w:t>
      </w:r>
      <w:r w:rsidR="00C817B6" w:rsidRPr="003171CD">
        <w:rPr>
          <w:rFonts w:eastAsiaTheme="minorHAnsi"/>
          <w:lang w:val="en-US"/>
        </w:rPr>
        <w:t xml:space="preserve">afforded to any person accused of a </w:t>
      </w:r>
      <w:r w:rsidRPr="003171CD">
        <w:rPr>
          <w:rFonts w:eastAsiaTheme="minorHAnsi"/>
          <w:lang w:val="en-US"/>
        </w:rPr>
        <w:t>crime.</w:t>
      </w:r>
    </w:p>
    <w:p w14:paraId="5773FC3D" w14:textId="77777777" w:rsidR="005A65CE" w:rsidRPr="003171CD" w:rsidRDefault="005A65CE" w:rsidP="005A65CE">
      <w:pPr>
        <w:jc w:val="both"/>
        <w:rPr>
          <w:rFonts w:eastAsiaTheme="minorHAnsi"/>
          <w:snapToGrid/>
          <w:lang w:val="en-US" w:eastAsia="en-US"/>
        </w:rPr>
      </w:pPr>
    </w:p>
    <w:p w14:paraId="17A08355" w14:textId="77777777" w:rsidR="005A65CE" w:rsidRPr="003171CD" w:rsidRDefault="005F095A" w:rsidP="005A65CE">
      <w:pPr>
        <w:pStyle w:val="Prrafodelista"/>
        <w:numPr>
          <w:ilvl w:val="0"/>
          <w:numId w:val="1"/>
        </w:numPr>
        <w:tabs>
          <w:tab w:val="left" w:pos="720"/>
          <w:tab w:val="num" w:pos="5057"/>
        </w:tabs>
        <w:ind w:right="-90"/>
        <w:jc w:val="both"/>
        <w:rPr>
          <w:rFonts w:eastAsiaTheme="minorHAnsi"/>
          <w:lang w:val="en-US"/>
        </w:rPr>
      </w:pPr>
      <w:r w:rsidRPr="003171CD">
        <w:rPr>
          <w:rFonts w:eastAsiaTheme="minorHAnsi"/>
          <w:lang w:val="en-US"/>
        </w:rPr>
        <w:t xml:space="preserve">As to the use of </w:t>
      </w:r>
      <w:r w:rsidR="00635691" w:rsidRPr="003171CD">
        <w:rPr>
          <w:rFonts w:eastAsiaTheme="minorHAnsi"/>
          <w:lang w:val="en-US"/>
        </w:rPr>
        <w:t xml:space="preserve">mechanisms </w:t>
      </w:r>
      <w:r w:rsidRPr="003171CD">
        <w:rPr>
          <w:rFonts w:eastAsiaTheme="minorHAnsi"/>
          <w:lang w:val="en-US"/>
        </w:rPr>
        <w:t xml:space="preserve">aimed at securing </w:t>
      </w:r>
      <w:r w:rsidR="00EC52EB" w:rsidRPr="003171CD">
        <w:rPr>
          <w:rFonts w:eastAsiaTheme="minorHAnsi"/>
          <w:lang w:val="en-US"/>
        </w:rPr>
        <w:t>one of the</w:t>
      </w:r>
      <w:r w:rsidR="001464DB" w:rsidRPr="003171CD">
        <w:rPr>
          <w:rFonts w:eastAsiaTheme="minorHAnsi"/>
          <w:lang w:val="en-US"/>
        </w:rPr>
        <w:t xml:space="preserve"> defendant’s</w:t>
      </w:r>
      <w:r w:rsidR="005A65CE" w:rsidRPr="003171CD">
        <w:rPr>
          <w:rFonts w:eastAsiaTheme="minorHAnsi"/>
          <w:lang w:val="en-US"/>
        </w:rPr>
        <w:t xml:space="preserve"> co</w:t>
      </w:r>
      <w:r w:rsidR="00635691" w:rsidRPr="003171CD">
        <w:rPr>
          <w:rFonts w:eastAsiaTheme="minorHAnsi"/>
          <w:lang w:val="en-US"/>
        </w:rPr>
        <w:t xml:space="preserve">operation </w:t>
      </w:r>
      <w:r w:rsidR="00E83B3C" w:rsidRPr="003171CD">
        <w:rPr>
          <w:rFonts w:eastAsiaTheme="minorHAnsi"/>
          <w:lang w:val="en-US"/>
        </w:rPr>
        <w:t xml:space="preserve">with the </w:t>
      </w:r>
      <w:r w:rsidR="001020DB" w:rsidRPr="003171CD">
        <w:rPr>
          <w:rFonts w:eastAsiaTheme="minorHAnsi"/>
          <w:lang w:val="en-US"/>
        </w:rPr>
        <w:t xml:space="preserve">prosecution </w:t>
      </w:r>
      <w:r w:rsidR="00D84DF2" w:rsidRPr="003171CD">
        <w:rPr>
          <w:rFonts w:eastAsiaTheme="minorHAnsi"/>
          <w:lang w:val="en-US"/>
        </w:rPr>
        <w:t>in exchange for certain</w:t>
      </w:r>
      <w:r w:rsidR="00125843" w:rsidRPr="003171CD">
        <w:rPr>
          <w:rFonts w:eastAsiaTheme="minorHAnsi"/>
          <w:lang w:val="en-US"/>
        </w:rPr>
        <w:t xml:space="preserve"> </w:t>
      </w:r>
      <w:r w:rsidR="00D84DF2" w:rsidRPr="003171CD">
        <w:rPr>
          <w:rFonts w:eastAsiaTheme="minorHAnsi"/>
          <w:lang w:val="en-US"/>
        </w:rPr>
        <w:t>con</w:t>
      </w:r>
      <w:r w:rsidR="00125843" w:rsidRPr="003171CD">
        <w:rPr>
          <w:rFonts w:eastAsiaTheme="minorHAnsi"/>
          <w:lang w:val="en-US"/>
        </w:rPr>
        <w:t>cessions</w:t>
      </w:r>
      <w:r w:rsidR="00C817B6" w:rsidRPr="003171CD">
        <w:rPr>
          <w:rFonts w:eastAsiaTheme="minorHAnsi"/>
          <w:lang w:val="en-US"/>
        </w:rPr>
        <w:t xml:space="preserve">– such as </w:t>
      </w:r>
      <w:r w:rsidR="00635691" w:rsidRPr="003171CD">
        <w:rPr>
          <w:rFonts w:eastAsiaTheme="minorHAnsi"/>
          <w:lang w:val="en-US"/>
        </w:rPr>
        <w:t>the</w:t>
      </w:r>
      <w:r w:rsidRPr="003171CD">
        <w:rPr>
          <w:rFonts w:eastAsiaTheme="minorHAnsi"/>
          <w:lang w:val="en-US"/>
        </w:rPr>
        <w:t xml:space="preserve"> mechanism of the</w:t>
      </w:r>
      <w:r w:rsidR="00635691" w:rsidRPr="003171CD">
        <w:rPr>
          <w:rFonts w:eastAsiaTheme="minorHAnsi"/>
          <w:lang w:val="en-US"/>
        </w:rPr>
        <w:t xml:space="preserve"> </w:t>
      </w:r>
      <w:r w:rsidR="00125843" w:rsidRPr="003171CD">
        <w:rPr>
          <w:rFonts w:eastAsiaTheme="minorHAnsi"/>
          <w:lang w:val="en-US"/>
        </w:rPr>
        <w:t>“</w:t>
      </w:r>
      <w:r w:rsidR="005A65CE" w:rsidRPr="003171CD">
        <w:rPr>
          <w:rFonts w:eastAsiaTheme="minorHAnsi"/>
          <w:lang w:val="en-US"/>
        </w:rPr>
        <w:t>effecti</w:t>
      </w:r>
      <w:r w:rsidR="00DC2F40" w:rsidRPr="003171CD">
        <w:rPr>
          <w:rFonts w:eastAsiaTheme="minorHAnsi"/>
          <w:lang w:val="en-US"/>
        </w:rPr>
        <w:t>ve</w:t>
      </w:r>
      <w:r w:rsidR="00635691" w:rsidRPr="003171CD">
        <w:rPr>
          <w:rFonts w:eastAsiaTheme="minorHAnsi"/>
          <w:lang w:val="en-US"/>
        </w:rPr>
        <w:t xml:space="preserve"> collaborator</w:t>
      </w:r>
      <w:r w:rsidR="00125843" w:rsidRPr="003171CD">
        <w:rPr>
          <w:rFonts w:eastAsiaTheme="minorHAnsi"/>
          <w:lang w:val="en-US"/>
        </w:rPr>
        <w:t>,”</w:t>
      </w:r>
      <w:r w:rsidR="00DC2F40" w:rsidRPr="003171CD">
        <w:rPr>
          <w:rFonts w:eastAsiaTheme="minorHAnsi"/>
          <w:lang w:val="en-US"/>
        </w:rPr>
        <w:t xml:space="preserve"> the </w:t>
      </w:r>
      <w:r w:rsidR="001E69A5" w:rsidRPr="003171CD">
        <w:rPr>
          <w:rFonts w:eastAsiaTheme="minorHAnsi"/>
          <w:lang w:val="en-US"/>
        </w:rPr>
        <w:t>“</w:t>
      </w:r>
      <w:r w:rsidR="00DC2F40" w:rsidRPr="003171CD">
        <w:rPr>
          <w:rFonts w:eastAsiaTheme="minorHAnsi"/>
          <w:i/>
          <w:lang w:val="en-US"/>
        </w:rPr>
        <w:t>arrepentido</w:t>
      </w:r>
      <w:r w:rsidR="001E69A5" w:rsidRPr="003171CD">
        <w:rPr>
          <w:rFonts w:eastAsiaTheme="minorHAnsi"/>
          <w:i/>
          <w:lang w:val="en-US"/>
        </w:rPr>
        <w:t>”</w:t>
      </w:r>
      <w:r w:rsidR="00DC2F40" w:rsidRPr="003171CD">
        <w:rPr>
          <w:rFonts w:eastAsiaTheme="minorHAnsi"/>
          <w:lang w:val="en-US"/>
        </w:rPr>
        <w:t xml:space="preserve"> </w:t>
      </w:r>
      <w:r w:rsidR="001E69A5" w:rsidRPr="003171CD">
        <w:rPr>
          <w:rFonts w:eastAsiaTheme="minorHAnsi"/>
          <w:lang w:val="en-US"/>
        </w:rPr>
        <w:t>(repentant</w:t>
      </w:r>
      <w:r w:rsidRPr="003171CD">
        <w:rPr>
          <w:rFonts w:eastAsiaTheme="minorHAnsi"/>
          <w:lang w:val="en-US"/>
        </w:rPr>
        <w:t xml:space="preserve"> </w:t>
      </w:r>
      <w:r w:rsidR="00EC5B13" w:rsidRPr="003171CD">
        <w:rPr>
          <w:rFonts w:eastAsiaTheme="minorHAnsi"/>
          <w:lang w:val="en-US"/>
        </w:rPr>
        <w:t>suspect</w:t>
      </w:r>
      <w:r w:rsidRPr="003171CD">
        <w:rPr>
          <w:rFonts w:eastAsiaTheme="minorHAnsi"/>
          <w:lang w:val="en-US"/>
        </w:rPr>
        <w:t>) or,</w:t>
      </w:r>
      <w:r w:rsidR="00DC2F40" w:rsidRPr="003171CD">
        <w:rPr>
          <w:rFonts w:eastAsiaTheme="minorHAnsi"/>
          <w:lang w:val="en-US"/>
        </w:rPr>
        <w:t xml:space="preserve"> in this </w:t>
      </w:r>
      <w:r w:rsidR="005A65CE" w:rsidRPr="003171CD">
        <w:rPr>
          <w:rFonts w:eastAsiaTheme="minorHAnsi"/>
          <w:lang w:val="en-US"/>
        </w:rPr>
        <w:t>case</w:t>
      </w:r>
      <w:r w:rsidR="00125843" w:rsidRPr="003171CD">
        <w:rPr>
          <w:rFonts w:eastAsiaTheme="minorHAnsi"/>
          <w:lang w:val="en-US"/>
        </w:rPr>
        <w:t>, a plea bargain offered to</w:t>
      </w:r>
      <w:r w:rsidR="005A65CE" w:rsidRPr="003171CD">
        <w:rPr>
          <w:rFonts w:eastAsiaTheme="minorHAnsi"/>
          <w:lang w:val="en-US"/>
        </w:rPr>
        <w:t xml:space="preserve"> </w:t>
      </w:r>
      <w:r w:rsidR="009656AE" w:rsidRPr="003171CD">
        <w:rPr>
          <w:rFonts w:eastAsiaTheme="minorHAnsi"/>
          <w:lang w:val="en-US"/>
        </w:rPr>
        <w:t xml:space="preserve">one </w:t>
      </w:r>
      <w:r w:rsidR="005A65CE" w:rsidRPr="003171CD">
        <w:rPr>
          <w:rFonts w:eastAsiaTheme="minorHAnsi"/>
          <w:lang w:val="en-US"/>
        </w:rPr>
        <w:t xml:space="preserve">of the </w:t>
      </w:r>
      <w:r w:rsidR="007D59F4" w:rsidRPr="003171CD">
        <w:rPr>
          <w:rFonts w:eastAsiaTheme="minorHAnsi"/>
          <w:lang w:val="en-US"/>
        </w:rPr>
        <w:t xml:space="preserve">suspects </w:t>
      </w:r>
      <w:r w:rsidR="00125843" w:rsidRPr="003171CD">
        <w:rPr>
          <w:rFonts w:eastAsiaTheme="minorHAnsi"/>
          <w:lang w:val="en-US"/>
        </w:rPr>
        <w:t xml:space="preserve">after </w:t>
      </w:r>
      <w:r w:rsidRPr="003171CD">
        <w:rPr>
          <w:rFonts w:eastAsiaTheme="minorHAnsi"/>
          <w:lang w:val="en-US"/>
        </w:rPr>
        <w:t>helping to clarify</w:t>
      </w:r>
      <w:r w:rsidR="00D84DF2" w:rsidRPr="003171CD">
        <w:rPr>
          <w:rFonts w:eastAsiaTheme="minorHAnsi"/>
          <w:lang w:val="en-US"/>
        </w:rPr>
        <w:t xml:space="preserve"> </w:t>
      </w:r>
      <w:r w:rsidR="005A65CE" w:rsidRPr="003171CD">
        <w:rPr>
          <w:rFonts w:eastAsiaTheme="minorHAnsi"/>
          <w:lang w:val="en-US"/>
        </w:rPr>
        <w:t xml:space="preserve">the participation of </w:t>
      </w:r>
      <w:r w:rsidR="00C817B6" w:rsidRPr="003171CD">
        <w:rPr>
          <w:rFonts w:eastAsiaTheme="minorHAnsi"/>
          <w:lang w:val="en-US"/>
        </w:rPr>
        <w:t>an</w:t>
      </w:r>
      <w:r w:rsidR="005A65CE" w:rsidRPr="003171CD">
        <w:rPr>
          <w:rFonts w:eastAsiaTheme="minorHAnsi"/>
          <w:lang w:val="en-US"/>
        </w:rPr>
        <w:t xml:space="preserve">other </w:t>
      </w:r>
      <w:r w:rsidRPr="003171CD">
        <w:rPr>
          <w:rFonts w:eastAsiaTheme="minorHAnsi"/>
          <w:lang w:val="en-US"/>
        </w:rPr>
        <w:t xml:space="preserve">defendant accused </w:t>
      </w:r>
      <w:r w:rsidR="00C50C53" w:rsidRPr="003171CD">
        <w:rPr>
          <w:rFonts w:eastAsiaTheme="minorHAnsi"/>
          <w:lang w:val="en-US"/>
        </w:rPr>
        <w:t xml:space="preserve">of </w:t>
      </w:r>
      <w:r w:rsidR="005A65CE" w:rsidRPr="003171CD">
        <w:rPr>
          <w:rFonts w:eastAsiaTheme="minorHAnsi"/>
          <w:lang w:val="en-US"/>
        </w:rPr>
        <w:t xml:space="preserve">the </w:t>
      </w:r>
      <w:r w:rsidR="00DC2F40" w:rsidRPr="003171CD">
        <w:rPr>
          <w:rFonts w:eastAsiaTheme="minorHAnsi"/>
          <w:lang w:val="en-US"/>
        </w:rPr>
        <w:t xml:space="preserve">same </w:t>
      </w:r>
      <w:r w:rsidRPr="003171CD">
        <w:rPr>
          <w:rFonts w:eastAsiaTheme="minorHAnsi"/>
          <w:lang w:val="en-US"/>
        </w:rPr>
        <w:t xml:space="preserve">crime </w:t>
      </w:r>
      <w:r w:rsidR="00C817B6" w:rsidRPr="003171CD">
        <w:rPr>
          <w:rFonts w:eastAsiaTheme="minorHAnsi"/>
          <w:lang w:val="en-US"/>
        </w:rPr>
        <w:t xml:space="preserve">or </w:t>
      </w:r>
      <w:r w:rsidR="00C50C53" w:rsidRPr="003171CD">
        <w:rPr>
          <w:rFonts w:eastAsiaTheme="minorHAnsi"/>
          <w:lang w:val="en-US"/>
        </w:rPr>
        <w:t xml:space="preserve">of </w:t>
      </w:r>
      <w:r w:rsidR="00C817B6" w:rsidRPr="003171CD">
        <w:rPr>
          <w:rFonts w:eastAsiaTheme="minorHAnsi"/>
          <w:lang w:val="en-US"/>
        </w:rPr>
        <w:t xml:space="preserve">another more serious one </w:t>
      </w:r>
      <w:r w:rsidR="005A65CE" w:rsidRPr="003171CD">
        <w:rPr>
          <w:rFonts w:eastAsiaTheme="minorHAnsi"/>
          <w:lang w:val="en-US"/>
        </w:rPr>
        <w:t xml:space="preserve">- </w:t>
      </w:r>
      <w:r w:rsidRPr="003171CD">
        <w:rPr>
          <w:rFonts w:eastAsiaTheme="minorHAnsi"/>
          <w:lang w:val="en-US"/>
        </w:rPr>
        <w:t xml:space="preserve">beyond their compatibility with the American Convention, </w:t>
      </w:r>
      <w:r w:rsidR="00EC5B13" w:rsidRPr="003171CD">
        <w:rPr>
          <w:rFonts w:eastAsiaTheme="minorHAnsi"/>
          <w:lang w:val="en-US"/>
        </w:rPr>
        <w:t>a</w:t>
      </w:r>
      <w:r w:rsidR="00C50C53" w:rsidRPr="003171CD">
        <w:rPr>
          <w:rFonts w:eastAsiaTheme="minorHAnsi"/>
          <w:lang w:val="en-US"/>
        </w:rPr>
        <w:t>n issue not addressed</w:t>
      </w:r>
      <w:r w:rsidR="00EC5B13" w:rsidRPr="003171CD">
        <w:rPr>
          <w:rFonts w:eastAsiaTheme="minorHAnsi"/>
          <w:lang w:val="en-US"/>
        </w:rPr>
        <w:t xml:space="preserve"> in this case, </w:t>
      </w:r>
      <w:r w:rsidR="00C817B6" w:rsidRPr="003171CD">
        <w:rPr>
          <w:rFonts w:eastAsiaTheme="minorHAnsi"/>
          <w:lang w:val="en-US"/>
        </w:rPr>
        <w:t xml:space="preserve">it is </w:t>
      </w:r>
      <w:r w:rsidR="005A65CE" w:rsidRPr="003171CD">
        <w:rPr>
          <w:rFonts w:eastAsiaTheme="minorHAnsi"/>
          <w:lang w:val="en-US"/>
        </w:rPr>
        <w:t xml:space="preserve">possible </w:t>
      </w:r>
      <w:r w:rsidR="00C817B6" w:rsidRPr="003171CD">
        <w:rPr>
          <w:rFonts w:eastAsiaTheme="minorHAnsi"/>
          <w:lang w:val="en-US"/>
        </w:rPr>
        <w:t xml:space="preserve">to affirm </w:t>
      </w:r>
      <w:r w:rsidR="005A65CE" w:rsidRPr="003171CD">
        <w:rPr>
          <w:rFonts w:eastAsiaTheme="minorHAnsi"/>
          <w:lang w:val="en-US"/>
        </w:rPr>
        <w:t>th</w:t>
      </w:r>
      <w:r w:rsidR="00EC5B13" w:rsidRPr="003171CD">
        <w:rPr>
          <w:rFonts w:eastAsiaTheme="minorHAnsi"/>
          <w:lang w:val="en-US"/>
        </w:rPr>
        <w:t xml:space="preserve">at </w:t>
      </w:r>
      <w:r w:rsidR="00C50C53" w:rsidRPr="003171CD">
        <w:rPr>
          <w:rFonts w:eastAsiaTheme="minorHAnsi"/>
          <w:lang w:val="en-US"/>
        </w:rPr>
        <w:t xml:space="preserve">the statement of a co-defendant should be </w:t>
      </w:r>
      <w:r w:rsidR="00EC52EB" w:rsidRPr="003171CD">
        <w:rPr>
          <w:rFonts w:eastAsiaTheme="minorHAnsi"/>
          <w:lang w:val="en-US"/>
        </w:rPr>
        <w:t xml:space="preserve">given </w:t>
      </w:r>
      <w:r w:rsidR="005A65CE" w:rsidRPr="003171CD">
        <w:rPr>
          <w:rFonts w:eastAsiaTheme="minorHAnsi"/>
          <w:lang w:val="en-US"/>
        </w:rPr>
        <w:t>limit</w:t>
      </w:r>
      <w:r w:rsidR="00E83B3C" w:rsidRPr="003171CD">
        <w:rPr>
          <w:rFonts w:eastAsiaTheme="minorHAnsi"/>
          <w:lang w:val="en-US"/>
        </w:rPr>
        <w:t xml:space="preserve">ed </w:t>
      </w:r>
      <w:r w:rsidR="00C817B6" w:rsidRPr="003171CD">
        <w:rPr>
          <w:rFonts w:eastAsiaTheme="minorHAnsi"/>
          <w:lang w:val="en-US"/>
        </w:rPr>
        <w:t xml:space="preserve">evidentiary </w:t>
      </w:r>
      <w:r w:rsidR="00EC52EB" w:rsidRPr="003171CD">
        <w:rPr>
          <w:rFonts w:eastAsiaTheme="minorHAnsi"/>
          <w:lang w:val="en-US"/>
        </w:rPr>
        <w:t>value</w:t>
      </w:r>
      <w:r w:rsidR="00C50C53" w:rsidRPr="003171CD">
        <w:rPr>
          <w:rFonts w:eastAsiaTheme="minorHAnsi"/>
          <w:lang w:val="en-US"/>
        </w:rPr>
        <w:t>,</w:t>
      </w:r>
      <w:r w:rsidR="00E83B3C" w:rsidRPr="003171CD">
        <w:rPr>
          <w:rFonts w:eastAsiaTheme="minorHAnsi"/>
          <w:lang w:val="en-US"/>
        </w:rPr>
        <w:t xml:space="preserve"> </w:t>
      </w:r>
      <w:r w:rsidR="00C50C53" w:rsidRPr="003171CD">
        <w:rPr>
          <w:rFonts w:eastAsiaTheme="minorHAnsi"/>
          <w:lang w:val="en-US"/>
        </w:rPr>
        <w:t xml:space="preserve">aside from </w:t>
      </w:r>
      <w:r w:rsidR="00C817B6" w:rsidRPr="003171CD">
        <w:rPr>
          <w:rFonts w:eastAsiaTheme="minorHAnsi"/>
          <w:lang w:val="en-US"/>
        </w:rPr>
        <w:t xml:space="preserve">its </w:t>
      </w:r>
      <w:r w:rsidR="00E83B3C" w:rsidRPr="003171CD">
        <w:rPr>
          <w:rFonts w:eastAsiaTheme="minorHAnsi"/>
          <w:lang w:val="en-US"/>
        </w:rPr>
        <w:t>specific content</w:t>
      </w:r>
      <w:r w:rsidR="005A65CE" w:rsidRPr="003171CD">
        <w:rPr>
          <w:rFonts w:eastAsiaTheme="minorHAnsi"/>
          <w:lang w:val="en-US"/>
        </w:rPr>
        <w:t>, when i</w:t>
      </w:r>
      <w:r w:rsidR="00C50C53" w:rsidRPr="003171CD">
        <w:rPr>
          <w:rFonts w:eastAsiaTheme="minorHAnsi"/>
          <w:lang w:val="en-US"/>
        </w:rPr>
        <w:t>t i</w:t>
      </w:r>
      <w:r w:rsidR="005A65CE" w:rsidRPr="003171CD">
        <w:rPr>
          <w:rFonts w:eastAsiaTheme="minorHAnsi"/>
          <w:lang w:val="en-US"/>
        </w:rPr>
        <w:t xml:space="preserve">s the </w:t>
      </w:r>
      <w:r w:rsidR="00E83B3C" w:rsidRPr="003171CD">
        <w:rPr>
          <w:rFonts w:eastAsiaTheme="minorHAnsi"/>
          <w:lang w:val="en-US"/>
        </w:rPr>
        <w:t xml:space="preserve">only </w:t>
      </w:r>
      <w:r w:rsidR="005A65CE" w:rsidRPr="003171CD">
        <w:rPr>
          <w:rFonts w:eastAsiaTheme="minorHAnsi"/>
          <w:lang w:val="en-US"/>
        </w:rPr>
        <w:t xml:space="preserve">evidence </w:t>
      </w:r>
      <w:r w:rsidR="00C50C53" w:rsidRPr="003171CD">
        <w:rPr>
          <w:rFonts w:eastAsiaTheme="minorHAnsi"/>
          <w:lang w:val="en-US"/>
        </w:rPr>
        <w:t>up</w:t>
      </w:r>
      <w:r w:rsidR="00E83B3C" w:rsidRPr="003171CD">
        <w:rPr>
          <w:rFonts w:eastAsiaTheme="minorHAnsi"/>
          <w:lang w:val="en-US"/>
        </w:rPr>
        <w:t>on which the decision to convict is based</w:t>
      </w:r>
      <w:r w:rsidR="005A65CE" w:rsidRPr="003171CD">
        <w:rPr>
          <w:rFonts w:eastAsiaTheme="minorHAnsi"/>
          <w:lang w:val="en-US"/>
        </w:rPr>
        <w:t xml:space="preserve">, </w:t>
      </w:r>
      <w:r w:rsidR="009656AE" w:rsidRPr="003171CD">
        <w:rPr>
          <w:rFonts w:eastAsiaTheme="minorHAnsi"/>
          <w:lang w:val="en-US"/>
        </w:rPr>
        <w:t xml:space="preserve">since objectively it would not be sufficient in and of itself to </w:t>
      </w:r>
      <w:r w:rsidR="005A65CE" w:rsidRPr="003171CD">
        <w:rPr>
          <w:rFonts w:eastAsiaTheme="minorHAnsi"/>
          <w:lang w:val="en-US"/>
        </w:rPr>
        <w:t>d</w:t>
      </w:r>
      <w:r w:rsidR="009656AE" w:rsidRPr="003171CD">
        <w:rPr>
          <w:rFonts w:eastAsiaTheme="minorHAnsi"/>
          <w:lang w:val="en-US"/>
        </w:rPr>
        <w:t xml:space="preserve">isregard </w:t>
      </w:r>
      <w:r w:rsidR="00E83B3C" w:rsidRPr="003171CD">
        <w:rPr>
          <w:rFonts w:eastAsiaTheme="minorHAnsi"/>
          <w:lang w:val="en-US"/>
        </w:rPr>
        <w:t>the presumption of  innocence. T</w:t>
      </w:r>
      <w:r w:rsidR="005A65CE" w:rsidRPr="003171CD">
        <w:rPr>
          <w:rFonts w:eastAsiaTheme="minorHAnsi"/>
          <w:lang w:val="en-US"/>
        </w:rPr>
        <w:t xml:space="preserve">herefore, </w:t>
      </w:r>
      <w:r w:rsidR="00C817B6" w:rsidRPr="003171CD">
        <w:rPr>
          <w:rFonts w:eastAsiaTheme="minorHAnsi"/>
          <w:lang w:val="en-US"/>
        </w:rPr>
        <w:t xml:space="preserve">basing </w:t>
      </w:r>
      <w:r w:rsidR="005A65CE" w:rsidRPr="003171CD">
        <w:rPr>
          <w:rFonts w:eastAsiaTheme="minorHAnsi"/>
          <w:lang w:val="en-US"/>
        </w:rPr>
        <w:t xml:space="preserve">a </w:t>
      </w:r>
      <w:r w:rsidR="009656AE" w:rsidRPr="003171CD">
        <w:rPr>
          <w:rFonts w:eastAsiaTheme="minorHAnsi"/>
          <w:lang w:val="en-US"/>
        </w:rPr>
        <w:t>conviction</w:t>
      </w:r>
      <w:r w:rsidR="005A65CE" w:rsidRPr="003171CD">
        <w:rPr>
          <w:rFonts w:eastAsiaTheme="minorHAnsi"/>
          <w:lang w:val="en-US"/>
        </w:rPr>
        <w:t xml:space="preserve"> on </w:t>
      </w:r>
      <w:r w:rsidR="00C817B6" w:rsidRPr="003171CD">
        <w:rPr>
          <w:rFonts w:eastAsiaTheme="minorHAnsi"/>
          <w:lang w:val="en-US"/>
        </w:rPr>
        <w:t xml:space="preserve">the statement </w:t>
      </w:r>
      <w:r w:rsidR="005A65CE" w:rsidRPr="003171CD">
        <w:rPr>
          <w:rFonts w:eastAsiaTheme="minorHAnsi"/>
          <w:lang w:val="en-US"/>
        </w:rPr>
        <w:t>of a co</w:t>
      </w:r>
      <w:r w:rsidR="00E83B3C" w:rsidRPr="003171CD">
        <w:rPr>
          <w:rFonts w:eastAsiaTheme="minorHAnsi"/>
          <w:lang w:val="en-US"/>
        </w:rPr>
        <w:t>-</w:t>
      </w:r>
      <w:r w:rsidR="00C817B6" w:rsidRPr="003171CD">
        <w:rPr>
          <w:rFonts w:eastAsiaTheme="minorHAnsi"/>
          <w:lang w:val="en-US"/>
        </w:rPr>
        <w:t xml:space="preserve">defendant </w:t>
      </w:r>
      <w:r w:rsidR="00E83B3C" w:rsidRPr="003171CD">
        <w:rPr>
          <w:rFonts w:eastAsiaTheme="minorHAnsi"/>
          <w:lang w:val="en-US"/>
        </w:rPr>
        <w:t>without any other elements of</w:t>
      </w:r>
      <w:r w:rsidR="005A65CE" w:rsidRPr="003171CD">
        <w:rPr>
          <w:rFonts w:eastAsiaTheme="minorHAnsi"/>
          <w:lang w:val="en-US"/>
        </w:rPr>
        <w:t xml:space="preserve"> corroboration </w:t>
      </w:r>
      <w:r w:rsidR="00E83B3C" w:rsidRPr="003171CD">
        <w:rPr>
          <w:rFonts w:eastAsiaTheme="minorHAnsi"/>
          <w:lang w:val="en-US"/>
        </w:rPr>
        <w:t xml:space="preserve">would violate </w:t>
      </w:r>
      <w:r w:rsidR="00C817B6" w:rsidRPr="003171CD">
        <w:rPr>
          <w:rFonts w:eastAsiaTheme="minorHAnsi"/>
          <w:lang w:val="en-US"/>
        </w:rPr>
        <w:t xml:space="preserve">the presumption of </w:t>
      </w:r>
      <w:r w:rsidR="005A65CE" w:rsidRPr="003171CD">
        <w:rPr>
          <w:rFonts w:eastAsiaTheme="minorHAnsi"/>
          <w:lang w:val="en-US"/>
        </w:rPr>
        <w:t>innocence.</w:t>
      </w:r>
    </w:p>
    <w:p w14:paraId="03DB1F30" w14:textId="77777777" w:rsidR="005A65CE" w:rsidRPr="003171CD" w:rsidRDefault="005A65CE" w:rsidP="005A65CE">
      <w:pPr>
        <w:jc w:val="both"/>
        <w:rPr>
          <w:rFonts w:eastAsiaTheme="minorHAnsi"/>
          <w:snapToGrid/>
          <w:lang w:val="en-US" w:eastAsia="en-US"/>
        </w:rPr>
      </w:pPr>
    </w:p>
    <w:p w14:paraId="0848169C" w14:textId="77777777" w:rsidR="005A65CE" w:rsidRPr="003171CD" w:rsidRDefault="00C41546" w:rsidP="005A65CE">
      <w:pPr>
        <w:pStyle w:val="Prrafodelista"/>
        <w:numPr>
          <w:ilvl w:val="0"/>
          <w:numId w:val="1"/>
        </w:numPr>
        <w:tabs>
          <w:tab w:val="left" w:pos="720"/>
          <w:tab w:val="num" w:pos="5057"/>
        </w:tabs>
        <w:ind w:right="-90"/>
        <w:jc w:val="both"/>
        <w:rPr>
          <w:rFonts w:eastAsiaTheme="minorHAnsi"/>
          <w:lang w:val="en-US"/>
        </w:rPr>
      </w:pPr>
      <w:r w:rsidRPr="003171CD">
        <w:rPr>
          <w:rFonts w:eastAsiaTheme="minorHAnsi" w:cs="Arial"/>
          <w:lang w:val="en-US"/>
        </w:rPr>
        <w:t>A</w:t>
      </w:r>
      <w:r w:rsidR="005F095A" w:rsidRPr="003171CD">
        <w:rPr>
          <w:rFonts w:eastAsiaTheme="minorHAnsi"/>
          <w:lang w:val="en-US"/>
        </w:rPr>
        <w:t>n</w:t>
      </w:r>
      <w:r w:rsidR="005A65CE" w:rsidRPr="003171CD">
        <w:rPr>
          <w:rFonts w:eastAsiaTheme="minorHAnsi"/>
          <w:lang w:val="en-US"/>
        </w:rPr>
        <w:t>ot</w:t>
      </w:r>
      <w:r w:rsidR="009656AE" w:rsidRPr="003171CD">
        <w:rPr>
          <w:rFonts w:eastAsiaTheme="minorHAnsi"/>
          <w:lang w:val="en-US"/>
        </w:rPr>
        <w:t xml:space="preserve">her </w:t>
      </w:r>
      <w:r w:rsidR="005A65CE" w:rsidRPr="003171CD">
        <w:rPr>
          <w:rFonts w:eastAsiaTheme="minorHAnsi"/>
          <w:lang w:val="en-US"/>
        </w:rPr>
        <w:t xml:space="preserve">element </w:t>
      </w:r>
      <w:r w:rsidR="009656AE" w:rsidRPr="003171CD">
        <w:rPr>
          <w:rFonts w:eastAsiaTheme="minorHAnsi"/>
          <w:lang w:val="en-US"/>
        </w:rPr>
        <w:t xml:space="preserve">assessed </w:t>
      </w:r>
      <w:r w:rsidR="005A65CE" w:rsidRPr="003171CD">
        <w:rPr>
          <w:rFonts w:eastAsiaTheme="minorHAnsi"/>
          <w:lang w:val="en-US"/>
        </w:rPr>
        <w:t xml:space="preserve">by the Court </w:t>
      </w:r>
      <w:r w:rsidRPr="003171CD">
        <w:rPr>
          <w:rFonts w:eastAsiaTheme="minorHAnsi"/>
          <w:lang w:val="en-US"/>
        </w:rPr>
        <w:t xml:space="preserve">in this case </w:t>
      </w:r>
      <w:r w:rsidR="005A65CE" w:rsidRPr="003171CD">
        <w:rPr>
          <w:rFonts w:eastAsiaTheme="minorHAnsi"/>
          <w:lang w:val="en-US"/>
        </w:rPr>
        <w:t xml:space="preserve">was the </w:t>
      </w:r>
      <w:r w:rsidR="009656AE" w:rsidRPr="003171CD">
        <w:rPr>
          <w:rFonts w:eastAsiaTheme="minorHAnsi"/>
          <w:lang w:val="en-US"/>
        </w:rPr>
        <w:t xml:space="preserve">statement made </w:t>
      </w:r>
      <w:r w:rsidR="005A65CE" w:rsidRPr="003171CD">
        <w:rPr>
          <w:rFonts w:eastAsiaTheme="minorHAnsi"/>
          <w:lang w:val="en-US"/>
        </w:rPr>
        <w:t xml:space="preserve">by Mr. Rodríguez Marroquín, </w:t>
      </w:r>
      <w:r w:rsidR="009656AE" w:rsidRPr="003171CD">
        <w:rPr>
          <w:rFonts w:eastAsiaTheme="minorHAnsi"/>
          <w:lang w:val="en-US"/>
        </w:rPr>
        <w:t xml:space="preserve">the </w:t>
      </w:r>
      <w:r w:rsidR="005A65CE" w:rsidRPr="003171CD">
        <w:rPr>
          <w:rFonts w:eastAsiaTheme="minorHAnsi"/>
          <w:lang w:val="en-US"/>
        </w:rPr>
        <w:t xml:space="preserve">victim </w:t>
      </w:r>
      <w:r w:rsidR="009656AE" w:rsidRPr="003171CD">
        <w:rPr>
          <w:rFonts w:eastAsiaTheme="minorHAnsi"/>
          <w:lang w:val="en-US"/>
        </w:rPr>
        <w:t xml:space="preserve">of the </w:t>
      </w:r>
      <w:r w:rsidR="005A65CE" w:rsidRPr="003171CD">
        <w:rPr>
          <w:rFonts w:eastAsiaTheme="minorHAnsi"/>
          <w:lang w:val="en-US"/>
        </w:rPr>
        <w:t xml:space="preserve">crime, </w:t>
      </w:r>
      <w:r w:rsidR="009656AE" w:rsidRPr="003171CD">
        <w:rPr>
          <w:rFonts w:eastAsiaTheme="minorHAnsi"/>
          <w:lang w:val="en-US"/>
        </w:rPr>
        <w:t xml:space="preserve">regarding </w:t>
      </w:r>
      <w:r w:rsidR="005A65CE" w:rsidRPr="003171CD">
        <w:rPr>
          <w:rFonts w:eastAsiaTheme="minorHAnsi"/>
          <w:lang w:val="en-US"/>
        </w:rPr>
        <w:t xml:space="preserve">the accused and the </w:t>
      </w:r>
      <w:r w:rsidR="009656AE" w:rsidRPr="003171CD">
        <w:rPr>
          <w:rFonts w:eastAsiaTheme="minorHAnsi"/>
          <w:lang w:val="en-US"/>
        </w:rPr>
        <w:t xml:space="preserve">positive identification </w:t>
      </w:r>
      <w:r w:rsidR="005A65CE" w:rsidRPr="003171CD">
        <w:rPr>
          <w:rFonts w:eastAsiaTheme="minorHAnsi"/>
          <w:lang w:val="en-US"/>
        </w:rPr>
        <w:t xml:space="preserve">of José Agapito Ruano Torres </w:t>
      </w:r>
      <w:r w:rsidR="009656AE" w:rsidRPr="003171CD">
        <w:rPr>
          <w:rFonts w:eastAsiaTheme="minorHAnsi"/>
          <w:lang w:val="en-US"/>
        </w:rPr>
        <w:t xml:space="preserve">as one </w:t>
      </w:r>
      <w:r w:rsidR="005A65CE" w:rsidRPr="003171CD">
        <w:rPr>
          <w:rFonts w:eastAsiaTheme="minorHAnsi"/>
          <w:lang w:val="en-US"/>
        </w:rPr>
        <w:t>of the part</w:t>
      </w:r>
      <w:r w:rsidR="009656AE" w:rsidRPr="003171CD">
        <w:rPr>
          <w:rFonts w:eastAsiaTheme="minorHAnsi"/>
          <w:lang w:val="en-US"/>
        </w:rPr>
        <w:t xml:space="preserve">icipants </w:t>
      </w:r>
      <w:r w:rsidR="005A65CE" w:rsidRPr="003171CD">
        <w:rPr>
          <w:rFonts w:eastAsiaTheme="minorHAnsi"/>
          <w:lang w:val="en-US"/>
        </w:rPr>
        <w:t xml:space="preserve">in the </w:t>
      </w:r>
      <w:r w:rsidR="00C50C53" w:rsidRPr="003171CD">
        <w:rPr>
          <w:rFonts w:eastAsiaTheme="minorHAnsi"/>
          <w:lang w:val="en-US"/>
        </w:rPr>
        <w:t xml:space="preserve">kidnapping </w:t>
      </w:r>
      <w:r w:rsidR="005A65CE" w:rsidRPr="003171CD">
        <w:rPr>
          <w:rFonts w:eastAsiaTheme="minorHAnsi"/>
          <w:lang w:val="en-US"/>
        </w:rPr>
        <w:t xml:space="preserve">during the </w:t>
      </w:r>
      <w:r w:rsidR="00664DD4" w:rsidRPr="003171CD">
        <w:rPr>
          <w:rFonts w:eastAsiaTheme="minorHAnsi"/>
          <w:lang w:val="en-US"/>
        </w:rPr>
        <w:t>identity parade</w:t>
      </w:r>
      <w:r w:rsidR="005A65CE" w:rsidRPr="003171CD">
        <w:rPr>
          <w:rFonts w:eastAsiaTheme="minorHAnsi"/>
          <w:lang w:val="en-US"/>
        </w:rPr>
        <w:t xml:space="preserve"> and </w:t>
      </w:r>
      <w:r w:rsidR="009656AE" w:rsidRPr="003171CD">
        <w:rPr>
          <w:rFonts w:eastAsiaTheme="minorHAnsi"/>
          <w:lang w:val="en-US"/>
        </w:rPr>
        <w:t xml:space="preserve">at </w:t>
      </w:r>
      <w:r w:rsidR="005A65CE" w:rsidRPr="003171CD">
        <w:rPr>
          <w:rFonts w:eastAsiaTheme="minorHAnsi"/>
          <w:lang w:val="en-US"/>
        </w:rPr>
        <w:t xml:space="preserve">the public hearing. The State </w:t>
      </w:r>
      <w:r w:rsidR="002454BF" w:rsidRPr="003171CD">
        <w:rPr>
          <w:rFonts w:eastAsiaTheme="minorHAnsi"/>
          <w:lang w:val="en-US"/>
        </w:rPr>
        <w:t>acknowledged the irregularities com</w:t>
      </w:r>
      <w:r w:rsidR="00C50C53" w:rsidRPr="003171CD">
        <w:rPr>
          <w:rFonts w:eastAsiaTheme="minorHAnsi"/>
          <w:lang w:val="en-US"/>
        </w:rPr>
        <w:t xml:space="preserve">mitted </w:t>
      </w:r>
      <w:r w:rsidR="002454BF" w:rsidRPr="003171CD">
        <w:rPr>
          <w:rFonts w:eastAsiaTheme="minorHAnsi"/>
          <w:lang w:val="en-US"/>
        </w:rPr>
        <w:t xml:space="preserve">in </w:t>
      </w:r>
      <w:r w:rsidR="005A65CE" w:rsidRPr="003171CD">
        <w:rPr>
          <w:rFonts w:eastAsiaTheme="minorHAnsi"/>
          <w:lang w:val="en-US"/>
        </w:rPr>
        <w:t xml:space="preserve">the identity </w:t>
      </w:r>
      <w:r w:rsidR="009656AE" w:rsidRPr="003171CD">
        <w:rPr>
          <w:rFonts w:eastAsiaTheme="minorHAnsi"/>
          <w:lang w:val="en-US"/>
        </w:rPr>
        <w:t>p</w:t>
      </w:r>
      <w:r w:rsidR="005A65CE" w:rsidRPr="003171CD">
        <w:rPr>
          <w:rFonts w:eastAsiaTheme="minorHAnsi"/>
          <w:lang w:val="en-US"/>
        </w:rPr>
        <w:t>arade</w:t>
      </w:r>
      <w:r w:rsidR="002454BF" w:rsidRPr="003171CD">
        <w:rPr>
          <w:rFonts w:eastAsiaTheme="minorHAnsi"/>
          <w:lang w:val="en-US"/>
        </w:rPr>
        <w:t xml:space="preserve">, namely that the prosecutor had </w:t>
      </w:r>
      <w:r w:rsidR="005A65CE" w:rsidRPr="003171CD">
        <w:rPr>
          <w:rFonts w:eastAsiaTheme="minorHAnsi"/>
          <w:lang w:val="en-US"/>
        </w:rPr>
        <w:t xml:space="preserve">pointed out José Agapito Ruano Torres </w:t>
      </w:r>
      <w:r w:rsidR="002454BF" w:rsidRPr="003171CD">
        <w:rPr>
          <w:rFonts w:eastAsiaTheme="minorHAnsi"/>
          <w:lang w:val="en-US"/>
        </w:rPr>
        <w:t xml:space="preserve">in order for the </w:t>
      </w:r>
      <w:r w:rsidR="005A65CE" w:rsidRPr="003171CD">
        <w:rPr>
          <w:rFonts w:eastAsiaTheme="minorHAnsi"/>
          <w:lang w:val="en-US"/>
        </w:rPr>
        <w:t xml:space="preserve">victim of the kidnapping </w:t>
      </w:r>
      <w:r w:rsidR="002454BF" w:rsidRPr="003171CD">
        <w:rPr>
          <w:rFonts w:eastAsiaTheme="minorHAnsi"/>
          <w:lang w:val="en-US"/>
        </w:rPr>
        <w:t xml:space="preserve">to </w:t>
      </w:r>
      <w:r w:rsidR="005A65CE" w:rsidRPr="003171CD">
        <w:rPr>
          <w:rFonts w:eastAsiaTheme="minorHAnsi"/>
          <w:lang w:val="en-US"/>
        </w:rPr>
        <w:t>identify him</w:t>
      </w:r>
      <w:r w:rsidR="00C50C53" w:rsidRPr="003171CD">
        <w:rPr>
          <w:rFonts w:eastAsiaTheme="minorHAnsi"/>
          <w:lang w:val="en-US"/>
        </w:rPr>
        <w:t>,</w:t>
      </w:r>
      <w:r w:rsidR="005A65CE" w:rsidRPr="003171CD">
        <w:rPr>
          <w:rFonts w:eastAsiaTheme="minorHAnsi"/>
          <w:lang w:val="en-US"/>
        </w:rPr>
        <w:t xml:space="preserve"> and </w:t>
      </w:r>
      <w:r w:rsidR="002454BF" w:rsidRPr="003171CD">
        <w:rPr>
          <w:rFonts w:eastAsiaTheme="minorHAnsi"/>
          <w:lang w:val="en-US"/>
        </w:rPr>
        <w:t xml:space="preserve">that </w:t>
      </w:r>
      <w:r w:rsidR="009656AE" w:rsidRPr="003171CD">
        <w:rPr>
          <w:rFonts w:eastAsiaTheme="minorHAnsi"/>
          <w:lang w:val="en-US"/>
        </w:rPr>
        <w:t>false names had been entered in the record</w:t>
      </w:r>
      <w:r w:rsidR="002454BF" w:rsidRPr="003171CD">
        <w:rPr>
          <w:rFonts w:eastAsiaTheme="minorHAnsi"/>
          <w:lang w:val="en-US"/>
        </w:rPr>
        <w:t xml:space="preserve"> of the procedure</w:t>
      </w:r>
      <w:r w:rsidR="005A65CE" w:rsidRPr="003171CD">
        <w:rPr>
          <w:rFonts w:eastAsiaTheme="minorHAnsi"/>
          <w:lang w:val="en-US"/>
        </w:rPr>
        <w:t xml:space="preserve">. </w:t>
      </w:r>
      <w:r w:rsidR="009656AE" w:rsidRPr="003171CD">
        <w:rPr>
          <w:rFonts w:eastAsiaTheme="minorHAnsi"/>
          <w:lang w:val="en-US"/>
        </w:rPr>
        <w:t xml:space="preserve">Furthermore, the State acknowledged </w:t>
      </w:r>
      <w:r w:rsidR="005A65CE" w:rsidRPr="003171CD">
        <w:rPr>
          <w:rFonts w:eastAsiaTheme="minorHAnsi"/>
          <w:lang w:val="en-US"/>
        </w:rPr>
        <w:t xml:space="preserve">that Mr. Rodríguez Marroquín </w:t>
      </w:r>
      <w:r w:rsidR="002454BF" w:rsidRPr="003171CD">
        <w:rPr>
          <w:rFonts w:eastAsiaTheme="minorHAnsi"/>
          <w:lang w:val="en-US"/>
        </w:rPr>
        <w:t xml:space="preserve">had seen pictures in the media of </w:t>
      </w:r>
      <w:r w:rsidR="005A65CE" w:rsidRPr="003171CD">
        <w:rPr>
          <w:rFonts w:eastAsiaTheme="minorHAnsi"/>
          <w:lang w:val="en-US"/>
        </w:rPr>
        <w:t xml:space="preserve">the </w:t>
      </w:r>
      <w:r w:rsidR="002454BF" w:rsidRPr="003171CD">
        <w:rPr>
          <w:rFonts w:eastAsiaTheme="minorHAnsi"/>
          <w:lang w:val="en-US"/>
        </w:rPr>
        <w:t xml:space="preserve">suspects </w:t>
      </w:r>
      <w:r w:rsidR="009656AE" w:rsidRPr="003171CD">
        <w:rPr>
          <w:rFonts w:eastAsiaTheme="minorHAnsi"/>
          <w:lang w:val="en-US"/>
        </w:rPr>
        <w:t xml:space="preserve">arrested </w:t>
      </w:r>
      <w:r w:rsidR="005A65CE" w:rsidRPr="003171CD">
        <w:rPr>
          <w:rFonts w:eastAsiaTheme="minorHAnsi"/>
          <w:lang w:val="en-US"/>
        </w:rPr>
        <w:t xml:space="preserve">in the context of “Operation Guaza” and </w:t>
      </w:r>
      <w:r w:rsidR="009656AE" w:rsidRPr="003171CD">
        <w:rPr>
          <w:rFonts w:eastAsiaTheme="minorHAnsi"/>
          <w:lang w:val="en-US"/>
        </w:rPr>
        <w:t xml:space="preserve">linked to the criminal process </w:t>
      </w:r>
      <w:r w:rsidR="005A65CE" w:rsidRPr="003171CD">
        <w:rPr>
          <w:rFonts w:eastAsiaTheme="minorHAnsi"/>
          <w:lang w:val="en-US"/>
        </w:rPr>
        <w:t>(</w:t>
      </w:r>
      <w:r w:rsidR="005A65CE" w:rsidRPr="003171CD">
        <w:rPr>
          <w:rFonts w:eastAsiaTheme="minorHAnsi"/>
          <w:i/>
          <w:lang w:val="en-US"/>
        </w:rPr>
        <w:t>supra</w:t>
      </w:r>
      <w:r w:rsidR="005A65CE" w:rsidRPr="003171CD">
        <w:rPr>
          <w:rFonts w:eastAsiaTheme="minorHAnsi"/>
          <w:lang w:val="en-US"/>
        </w:rPr>
        <w:t xml:space="preserve"> para. 113).</w:t>
      </w:r>
    </w:p>
    <w:p w14:paraId="50980B8E" w14:textId="77777777" w:rsidR="005A65CE" w:rsidRPr="003171CD" w:rsidRDefault="005A65CE" w:rsidP="005A65CE">
      <w:pPr>
        <w:jc w:val="both"/>
        <w:rPr>
          <w:rFonts w:eastAsiaTheme="minorHAnsi" w:cs="Arial"/>
          <w:snapToGrid/>
          <w:lang w:val="en-US" w:eastAsia="en-US"/>
        </w:rPr>
      </w:pPr>
    </w:p>
    <w:p w14:paraId="740018DB"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Based on </w:t>
      </w:r>
      <w:r w:rsidR="00543E32" w:rsidRPr="003171CD">
        <w:rPr>
          <w:rFonts w:eastAsiaTheme="minorHAnsi" w:cs="Arial"/>
          <w:lang w:val="en-US"/>
        </w:rPr>
        <w:t>the foregoing and o</w:t>
      </w:r>
      <w:r w:rsidRPr="003171CD">
        <w:rPr>
          <w:rFonts w:eastAsiaTheme="minorHAnsi" w:cs="Arial"/>
          <w:lang w:val="en-US"/>
        </w:rPr>
        <w:t xml:space="preserve">n the </w:t>
      </w:r>
      <w:r w:rsidR="00543E32" w:rsidRPr="003171CD">
        <w:rPr>
          <w:rFonts w:eastAsiaTheme="minorHAnsi" w:cs="Arial"/>
          <w:lang w:val="en-US"/>
        </w:rPr>
        <w:t xml:space="preserve">State’s </w:t>
      </w:r>
      <w:r w:rsidRPr="003171CD">
        <w:rPr>
          <w:rFonts w:eastAsiaTheme="minorHAnsi" w:cs="Arial"/>
          <w:lang w:val="en-US"/>
        </w:rPr>
        <w:t>ac</w:t>
      </w:r>
      <w:r w:rsidR="00543E32" w:rsidRPr="003171CD">
        <w:rPr>
          <w:rFonts w:eastAsiaTheme="minorHAnsi" w:cs="Arial"/>
          <w:lang w:val="en-US"/>
        </w:rPr>
        <w:t>knowledgment of responsibility, the Court considers</w:t>
      </w:r>
      <w:r w:rsidRPr="003171CD">
        <w:rPr>
          <w:rFonts w:eastAsiaTheme="minorHAnsi" w:cs="Arial"/>
          <w:lang w:val="en-US"/>
        </w:rPr>
        <w:t xml:space="preserve"> that the State is internationally</w:t>
      </w:r>
      <w:r w:rsidR="00543E32" w:rsidRPr="003171CD">
        <w:rPr>
          <w:rFonts w:eastAsiaTheme="minorHAnsi" w:cs="Arial"/>
          <w:lang w:val="en-US"/>
        </w:rPr>
        <w:t xml:space="preserve"> responsible for the violation of </w:t>
      </w:r>
      <w:r w:rsidRPr="003171CD">
        <w:rPr>
          <w:rFonts w:eastAsiaTheme="minorHAnsi" w:cs="Arial"/>
          <w:lang w:val="en-US"/>
        </w:rPr>
        <w:t>Article 8(2) of the American Convention</w:t>
      </w:r>
      <w:r w:rsidR="002454BF" w:rsidRPr="003171CD">
        <w:rPr>
          <w:rFonts w:eastAsiaTheme="minorHAnsi" w:cs="Arial"/>
          <w:lang w:val="en-US"/>
        </w:rPr>
        <w:t xml:space="preserve">, which </w:t>
      </w:r>
      <w:r w:rsidRPr="003171CD">
        <w:rPr>
          <w:rFonts w:eastAsiaTheme="minorHAnsi" w:cs="Arial"/>
          <w:lang w:val="en-US"/>
        </w:rPr>
        <w:t>reco</w:t>
      </w:r>
      <w:r w:rsidR="00543E32" w:rsidRPr="003171CD">
        <w:rPr>
          <w:rFonts w:eastAsiaTheme="minorHAnsi" w:cs="Arial"/>
          <w:lang w:val="en-US"/>
        </w:rPr>
        <w:t xml:space="preserve">gnizes </w:t>
      </w:r>
      <w:r w:rsidR="00DC2F40" w:rsidRPr="003171CD">
        <w:rPr>
          <w:rFonts w:eastAsiaTheme="minorHAnsi" w:cs="Arial"/>
          <w:lang w:val="en-US"/>
        </w:rPr>
        <w:t xml:space="preserve">the presumption of </w:t>
      </w:r>
      <w:r w:rsidRPr="003171CD">
        <w:rPr>
          <w:rFonts w:eastAsiaTheme="minorHAnsi" w:cs="Arial"/>
          <w:lang w:val="en-US"/>
        </w:rPr>
        <w:t>innocence, in relation to Article 1(1</w:t>
      </w:r>
      <w:r w:rsidR="00C817B6" w:rsidRPr="003171CD">
        <w:rPr>
          <w:rFonts w:eastAsiaTheme="minorHAnsi" w:cs="Arial"/>
          <w:lang w:val="en-US"/>
        </w:rPr>
        <w:t xml:space="preserve">) thereof, to the detriment of </w:t>
      </w:r>
      <w:r w:rsidRPr="003171CD">
        <w:rPr>
          <w:rFonts w:eastAsiaTheme="minorHAnsi" w:cs="Arial"/>
          <w:lang w:val="en-US"/>
        </w:rPr>
        <w:t>José Agapito Ruano Torres.</w:t>
      </w:r>
    </w:p>
    <w:p w14:paraId="42C67455" w14:textId="77777777" w:rsidR="005A65CE" w:rsidRPr="003171CD" w:rsidRDefault="005A65CE" w:rsidP="005A65CE">
      <w:pPr>
        <w:jc w:val="both"/>
        <w:rPr>
          <w:rFonts w:eastAsiaTheme="minorHAnsi"/>
          <w:snapToGrid/>
          <w:lang w:val="en-US" w:eastAsia="en-US"/>
        </w:rPr>
      </w:pPr>
    </w:p>
    <w:p w14:paraId="5269B493" w14:textId="77777777" w:rsidR="005A65CE" w:rsidRPr="003171CD" w:rsidRDefault="005A65CE" w:rsidP="005A65CE">
      <w:pPr>
        <w:pStyle w:val="Prrafodelista"/>
        <w:keepNext/>
        <w:keepLines/>
        <w:numPr>
          <w:ilvl w:val="0"/>
          <w:numId w:val="17"/>
        </w:numPr>
        <w:ind w:left="1418" w:hanging="709"/>
        <w:jc w:val="both"/>
        <w:outlineLvl w:val="1"/>
        <w:rPr>
          <w:rFonts w:cs="Arial"/>
          <w:b/>
          <w:i/>
          <w:lang w:val="en-US"/>
        </w:rPr>
      </w:pPr>
      <w:bookmarkStart w:id="48" w:name="_Toc45186709"/>
      <w:r w:rsidRPr="003171CD">
        <w:rPr>
          <w:rFonts w:cs="Arial"/>
          <w:b/>
          <w:i/>
          <w:lang w:val="en-US"/>
        </w:rPr>
        <w:lastRenderedPageBreak/>
        <w:t xml:space="preserve">Violation </w:t>
      </w:r>
      <w:r w:rsidR="00C817B6" w:rsidRPr="003171CD">
        <w:rPr>
          <w:rFonts w:cs="Arial"/>
          <w:b/>
          <w:i/>
          <w:lang w:val="en-US"/>
        </w:rPr>
        <w:t xml:space="preserve">of the </w:t>
      </w:r>
      <w:r w:rsidRPr="003171CD">
        <w:rPr>
          <w:rFonts w:cs="Arial"/>
          <w:b/>
          <w:i/>
          <w:lang w:val="en-US"/>
        </w:rPr>
        <w:t>right to judicial protection to the detriment of José Agapito Ruano Torres</w:t>
      </w:r>
      <w:bookmarkEnd w:id="48"/>
    </w:p>
    <w:p w14:paraId="3C41411F" w14:textId="77777777" w:rsidR="005A65CE" w:rsidRPr="003171CD" w:rsidRDefault="005A65CE" w:rsidP="005A65CE">
      <w:pPr>
        <w:jc w:val="both"/>
        <w:rPr>
          <w:rFonts w:eastAsiaTheme="minorHAnsi"/>
          <w:snapToGrid/>
          <w:lang w:val="en-US" w:eastAsia="en-US"/>
        </w:rPr>
      </w:pPr>
    </w:p>
    <w:p w14:paraId="2E6C144F"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Article </w:t>
      </w:r>
      <w:r w:rsidRPr="003171CD">
        <w:rPr>
          <w:rFonts w:eastAsiaTheme="minorHAnsi"/>
          <w:lang w:val="en-US"/>
        </w:rPr>
        <w:t>25</w:t>
      </w:r>
      <w:r w:rsidR="00543E32" w:rsidRPr="003171CD">
        <w:rPr>
          <w:rFonts w:eastAsiaTheme="minorHAnsi" w:cs="Arial"/>
          <w:lang w:val="en-US"/>
        </w:rPr>
        <w:t>(</w:t>
      </w:r>
      <w:r w:rsidRPr="003171CD">
        <w:rPr>
          <w:rFonts w:eastAsiaTheme="minorHAnsi" w:cs="Arial"/>
          <w:lang w:val="en-US"/>
        </w:rPr>
        <w:t>1</w:t>
      </w:r>
      <w:r w:rsidR="00543E32" w:rsidRPr="003171CD">
        <w:rPr>
          <w:rFonts w:eastAsiaTheme="minorHAnsi" w:cs="Arial"/>
          <w:lang w:val="en-US"/>
        </w:rPr>
        <w:t>)</w:t>
      </w:r>
      <w:r w:rsidRPr="003171CD">
        <w:rPr>
          <w:rFonts w:eastAsiaTheme="minorHAnsi" w:cs="Arial"/>
          <w:vertAlign w:val="superscript"/>
          <w:lang w:val="en-US"/>
        </w:rPr>
        <w:footnoteReference w:id="192"/>
      </w:r>
      <w:r w:rsidRPr="003171CD">
        <w:rPr>
          <w:rFonts w:eastAsiaTheme="minorHAnsi" w:cs="Arial"/>
          <w:lang w:val="en-US"/>
        </w:rPr>
        <w:t xml:space="preserve"> of the Convention establ</w:t>
      </w:r>
      <w:r w:rsidR="00543E32" w:rsidRPr="003171CD">
        <w:rPr>
          <w:rFonts w:eastAsiaTheme="minorHAnsi" w:cs="Arial"/>
          <w:lang w:val="en-US"/>
        </w:rPr>
        <w:t xml:space="preserve">ishes, in general </w:t>
      </w:r>
      <w:r w:rsidRPr="003171CD">
        <w:rPr>
          <w:rFonts w:eastAsiaTheme="minorHAnsi" w:cs="Arial"/>
          <w:lang w:val="en-US"/>
        </w:rPr>
        <w:t>terms, the obligation of the</w:t>
      </w:r>
      <w:r w:rsidR="00543E32" w:rsidRPr="003171CD">
        <w:rPr>
          <w:rFonts w:eastAsiaTheme="minorHAnsi" w:cs="Arial"/>
          <w:lang w:val="en-US"/>
        </w:rPr>
        <w:t xml:space="preserve"> States to guarantee an effective judicial remedy against </w:t>
      </w:r>
      <w:r w:rsidRPr="003171CD">
        <w:rPr>
          <w:rFonts w:eastAsiaTheme="minorHAnsi" w:cs="Arial"/>
          <w:lang w:val="en-US"/>
        </w:rPr>
        <w:t>acts that viol</w:t>
      </w:r>
      <w:r w:rsidR="00543E32" w:rsidRPr="003171CD">
        <w:rPr>
          <w:rFonts w:eastAsiaTheme="minorHAnsi" w:cs="Arial"/>
          <w:lang w:val="en-US"/>
        </w:rPr>
        <w:t xml:space="preserve">ate </w:t>
      </w:r>
      <w:r w:rsidRPr="003171CD">
        <w:rPr>
          <w:rFonts w:eastAsiaTheme="minorHAnsi" w:cs="Arial"/>
          <w:lang w:val="en-US"/>
        </w:rPr>
        <w:t xml:space="preserve">fundamental rights. </w:t>
      </w:r>
      <w:r w:rsidR="00543E32" w:rsidRPr="003171CD">
        <w:rPr>
          <w:rFonts w:eastAsiaTheme="minorHAnsi" w:cs="Arial"/>
          <w:lang w:val="en-US"/>
        </w:rPr>
        <w:t xml:space="preserve">In interpreting the text of </w:t>
      </w:r>
      <w:r w:rsidRPr="003171CD">
        <w:rPr>
          <w:rFonts w:eastAsiaTheme="minorHAnsi" w:cs="Arial"/>
          <w:lang w:val="en-US"/>
        </w:rPr>
        <w:t>Article 25 of the Convention, the Court ha</w:t>
      </w:r>
      <w:r w:rsidR="00543E32" w:rsidRPr="003171CD">
        <w:rPr>
          <w:rFonts w:eastAsiaTheme="minorHAnsi" w:cs="Arial"/>
          <w:lang w:val="en-US"/>
        </w:rPr>
        <w:t>s held</w:t>
      </w:r>
      <w:r w:rsidRPr="003171CD">
        <w:rPr>
          <w:rFonts w:eastAsiaTheme="minorHAnsi" w:cs="Arial"/>
          <w:lang w:val="en-US"/>
        </w:rPr>
        <w:t xml:space="preserve"> that the </w:t>
      </w:r>
      <w:r w:rsidR="00543E32" w:rsidRPr="003171CD">
        <w:rPr>
          <w:rFonts w:eastAsiaTheme="minorHAnsi" w:cs="Arial"/>
          <w:lang w:val="en-US"/>
        </w:rPr>
        <w:t xml:space="preserve">State’s </w:t>
      </w:r>
      <w:r w:rsidRPr="003171CD">
        <w:rPr>
          <w:rFonts w:eastAsiaTheme="minorHAnsi" w:cs="Arial"/>
          <w:lang w:val="en-US"/>
        </w:rPr>
        <w:t xml:space="preserve">obligation </w:t>
      </w:r>
      <w:r w:rsidR="00543E32" w:rsidRPr="003171CD">
        <w:rPr>
          <w:rFonts w:eastAsiaTheme="minorHAnsi" w:cs="Arial"/>
          <w:lang w:val="en-US"/>
        </w:rPr>
        <w:t xml:space="preserve">to provide a </w:t>
      </w:r>
      <w:r w:rsidRPr="003171CD">
        <w:rPr>
          <w:rFonts w:eastAsiaTheme="minorHAnsi" w:cs="Arial"/>
          <w:lang w:val="en-US"/>
        </w:rPr>
        <w:t xml:space="preserve">judicial </w:t>
      </w:r>
      <w:r w:rsidR="00C817B6" w:rsidRPr="003171CD">
        <w:rPr>
          <w:rFonts w:eastAsiaTheme="minorHAnsi" w:cs="Arial"/>
          <w:lang w:val="en-US"/>
        </w:rPr>
        <w:t>remedy is</w:t>
      </w:r>
      <w:r w:rsidR="00543E32" w:rsidRPr="003171CD">
        <w:rPr>
          <w:rFonts w:eastAsiaTheme="minorHAnsi" w:cs="Arial"/>
          <w:lang w:val="en-US"/>
        </w:rPr>
        <w:t xml:space="preserve"> not limited </w:t>
      </w:r>
      <w:r w:rsidR="00C41546" w:rsidRPr="003171CD">
        <w:rPr>
          <w:rFonts w:eastAsiaTheme="minorHAnsi" w:cs="Arial"/>
          <w:lang w:val="en-US"/>
        </w:rPr>
        <w:t xml:space="preserve">solely </w:t>
      </w:r>
      <w:r w:rsidR="00543E32" w:rsidRPr="003171CD">
        <w:rPr>
          <w:rFonts w:eastAsiaTheme="minorHAnsi" w:cs="Arial"/>
          <w:lang w:val="en-US"/>
        </w:rPr>
        <w:t>to the mere</w:t>
      </w:r>
      <w:r w:rsidRPr="003171CD">
        <w:rPr>
          <w:rFonts w:eastAsiaTheme="minorHAnsi" w:cs="Arial"/>
          <w:lang w:val="en-US"/>
        </w:rPr>
        <w:t xml:space="preserve"> existence of the </w:t>
      </w:r>
      <w:r w:rsidR="007F07C8" w:rsidRPr="003171CD">
        <w:rPr>
          <w:rFonts w:eastAsiaTheme="minorHAnsi" w:cs="Arial"/>
          <w:lang w:val="en-US"/>
        </w:rPr>
        <w:t>c</w:t>
      </w:r>
      <w:r w:rsidR="00543E32" w:rsidRPr="003171CD">
        <w:rPr>
          <w:rFonts w:eastAsiaTheme="minorHAnsi" w:cs="Arial"/>
          <w:lang w:val="en-US"/>
        </w:rPr>
        <w:t>ourts</w:t>
      </w:r>
      <w:r w:rsidRPr="003171CD">
        <w:rPr>
          <w:rFonts w:eastAsiaTheme="minorHAnsi" w:cs="Arial"/>
          <w:lang w:val="en-US"/>
        </w:rPr>
        <w:t xml:space="preserve"> or </w:t>
      </w:r>
      <w:r w:rsidR="00543E32" w:rsidRPr="003171CD">
        <w:rPr>
          <w:rFonts w:eastAsiaTheme="minorHAnsi" w:cs="Arial"/>
          <w:lang w:val="en-US"/>
        </w:rPr>
        <w:t xml:space="preserve">formal </w:t>
      </w:r>
      <w:r w:rsidRPr="003171CD">
        <w:rPr>
          <w:rFonts w:eastAsiaTheme="minorHAnsi" w:cs="Arial"/>
          <w:lang w:val="en-US"/>
        </w:rPr>
        <w:t>proceedings</w:t>
      </w:r>
      <w:r w:rsidR="007F07C8" w:rsidRPr="003171CD">
        <w:rPr>
          <w:rFonts w:eastAsiaTheme="minorHAnsi" w:cs="Arial"/>
          <w:lang w:val="en-US"/>
        </w:rPr>
        <w:t>,</w:t>
      </w:r>
      <w:r w:rsidRPr="003171CD">
        <w:rPr>
          <w:rFonts w:eastAsiaTheme="minorHAnsi" w:cs="Arial"/>
          <w:lang w:val="en-US"/>
        </w:rPr>
        <w:t xml:space="preserve"> or </w:t>
      </w:r>
      <w:r w:rsidR="00543E32" w:rsidRPr="003171CD">
        <w:rPr>
          <w:rFonts w:eastAsiaTheme="minorHAnsi" w:cs="Arial"/>
          <w:lang w:val="en-US"/>
        </w:rPr>
        <w:t xml:space="preserve">even to </w:t>
      </w:r>
      <w:r w:rsidRPr="003171CD">
        <w:rPr>
          <w:rFonts w:eastAsiaTheme="minorHAnsi" w:cs="Arial"/>
          <w:lang w:val="en-US"/>
        </w:rPr>
        <w:t>the po</w:t>
      </w:r>
      <w:r w:rsidR="00543E32" w:rsidRPr="003171CD">
        <w:rPr>
          <w:rFonts w:eastAsiaTheme="minorHAnsi" w:cs="Arial"/>
          <w:lang w:val="en-US"/>
        </w:rPr>
        <w:t>s</w:t>
      </w:r>
      <w:r w:rsidRPr="003171CD">
        <w:rPr>
          <w:rFonts w:eastAsiaTheme="minorHAnsi" w:cs="Arial"/>
          <w:lang w:val="en-US"/>
        </w:rPr>
        <w:t xml:space="preserve">sibility of </w:t>
      </w:r>
      <w:r w:rsidR="00C817B6" w:rsidRPr="003171CD">
        <w:rPr>
          <w:rFonts w:eastAsiaTheme="minorHAnsi" w:cs="Arial"/>
          <w:lang w:val="en-US"/>
        </w:rPr>
        <w:t>having recourse to th</w:t>
      </w:r>
      <w:r w:rsidR="007F07C8" w:rsidRPr="003171CD">
        <w:rPr>
          <w:rFonts w:eastAsiaTheme="minorHAnsi" w:cs="Arial"/>
          <w:lang w:val="en-US"/>
        </w:rPr>
        <w:t>os</w:t>
      </w:r>
      <w:r w:rsidR="00C817B6" w:rsidRPr="003171CD">
        <w:rPr>
          <w:rFonts w:eastAsiaTheme="minorHAnsi" w:cs="Arial"/>
          <w:lang w:val="en-US"/>
        </w:rPr>
        <w:t>e courts,</w:t>
      </w:r>
      <w:r w:rsidRPr="003171CD">
        <w:rPr>
          <w:rFonts w:eastAsiaTheme="minorHAnsi"/>
          <w:vertAlign w:val="superscript"/>
          <w:lang w:val="en-US"/>
        </w:rPr>
        <w:footnoteReference w:id="193"/>
      </w:r>
      <w:r w:rsidRPr="003171CD">
        <w:rPr>
          <w:rFonts w:eastAsiaTheme="minorHAnsi" w:cs="Arial"/>
          <w:lang w:val="en-US"/>
        </w:rPr>
        <w:t xml:space="preserve"> </w:t>
      </w:r>
      <w:r w:rsidR="00C817B6" w:rsidRPr="003171CD">
        <w:rPr>
          <w:rFonts w:eastAsiaTheme="minorHAnsi" w:cs="Arial"/>
          <w:lang w:val="en-US"/>
        </w:rPr>
        <w:t xml:space="preserve">but that </w:t>
      </w:r>
      <w:r w:rsidRPr="003171CD">
        <w:rPr>
          <w:rFonts w:eastAsiaTheme="minorHAnsi" w:cs="Arial"/>
          <w:lang w:val="en-US"/>
        </w:rPr>
        <w:t>the re</w:t>
      </w:r>
      <w:r w:rsidR="00264C4D" w:rsidRPr="003171CD">
        <w:rPr>
          <w:rFonts w:eastAsiaTheme="minorHAnsi" w:cs="Arial"/>
          <w:lang w:val="en-US"/>
        </w:rPr>
        <w:t xml:space="preserve">medies </w:t>
      </w:r>
      <w:r w:rsidR="004764AE" w:rsidRPr="003171CD">
        <w:rPr>
          <w:rFonts w:eastAsiaTheme="minorHAnsi" w:cs="Arial"/>
          <w:lang w:val="en-US"/>
        </w:rPr>
        <w:t>must be effective</w:t>
      </w:r>
      <w:r w:rsidR="00CA1A20" w:rsidRPr="003171CD">
        <w:rPr>
          <w:rFonts w:eastAsiaTheme="minorHAnsi" w:cs="Arial"/>
          <w:lang w:val="en-US"/>
        </w:rPr>
        <w:t>.</w:t>
      </w:r>
      <w:r w:rsidRPr="003171CD">
        <w:rPr>
          <w:rFonts w:eastAsiaTheme="minorHAnsi" w:cs="Arial"/>
          <w:lang w:val="en-US"/>
        </w:rPr>
        <w:t xml:space="preserve"> </w:t>
      </w:r>
      <w:r w:rsidR="00CA1A20" w:rsidRPr="003171CD">
        <w:rPr>
          <w:rFonts w:eastAsiaTheme="minorHAnsi" w:cs="Arial"/>
          <w:lang w:val="en-US"/>
        </w:rPr>
        <w:t xml:space="preserve">In other words, </w:t>
      </w:r>
      <w:r w:rsidR="00734E18" w:rsidRPr="003171CD">
        <w:rPr>
          <w:lang w:val="en-US"/>
        </w:rPr>
        <w:t xml:space="preserve">they must </w:t>
      </w:r>
      <w:r w:rsidR="00CA1A20" w:rsidRPr="003171CD">
        <w:rPr>
          <w:lang w:val="en-US"/>
        </w:rPr>
        <w:t xml:space="preserve">provide </w:t>
      </w:r>
      <w:r w:rsidR="00734E18" w:rsidRPr="003171CD">
        <w:rPr>
          <w:lang w:val="en-US"/>
        </w:rPr>
        <w:t xml:space="preserve">results or </w:t>
      </w:r>
      <w:r w:rsidR="00C41546" w:rsidRPr="003171CD">
        <w:rPr>
          <w:lang w:val="en-US"/>
        </w:rPr>
        <w:t xml:space="preserve">answers </w:t>
      </w:r>
      <w:r w:rsidR="00734E18" w:rsidRPr="003171CD">
        <w:rPr>
          <w:lang w:val="en-US"/>
        </w:rPr>
        <w:t>to the violations of rights established in the Convention</w:t>
      </w:r>
      <w:r w:rsidRPr="003171CD">
        <w:rPr>
          <w:rFonts w:eastAsiaTheme="minorHAnsi" w:cs="Arial"/>
          <w:lang w:val="en-US"/>
        </w:rPr>
        <w:t xml:space="preserve">, in the Constitution or </w:t>
      </w:r>
      <w:r w:rsidR="007F07C8" w:rsidRPr="003171CD">
        <w:rPr>
          <w:rFonts w:eastAsiaTheme="minorHAnsi" w:cs="Arial"/>
          <w:lang w:val="en-US"/>
        </w:rPr>
        <w:t>by law</w:t>
      </w:r>
      <w:r w:rsidR="007057ED" w:rsidRPr="003171CD">
        <w:rPr>
          <w:rFonts w:eastAsiaTheme="minorHAnsi" w:cs="Arial"/>
          <w:lang w:val="en-US"/>
        </w:rPr>
        <w:t>.</w:t>
      </w:r>
      <w:r w:rsidRPr="003171CD">
        <w:rPr>
          <w:rFonts w:eastAsiaTheme="minorHAnsi"/>
          <w:vertAlign w:val="superscript"/>
          <w:lang w:val="en-US"/>
        </w:rPr>
        <w:footnoteReference w:id="194"/>
      </w:r>
      <w:r w:rsidR="00543E32" w:rsidRPr="003171CD">
        <w:rPr>
          <w:rFonts w:eastAsiaTheme="minorHAnsi" w:cs="Arial"/>
          <w:lang w:val="en-US"/>
        </w:rPr>
        <w:t xml:space="preserve"> </w:t>
      </w:r>
      <w:r w:rsidR="00CA1A20" w:rsidRPr="003171CD">
        <w:rPr>
          <w:lang w:val="en-US"/>
        </w:rPr>
        <w:t xml:space="preserve">This Court has also held that </w:t>
      </w:r>
      <w:r w:rsidR="007F07C8" w:rsidRPr="003171CD">
        <w:rPr>
          <w:lang w:val="en-US"/>
        </w:rPr>
        <w:t>a remedy which proves illusory because of the general conditions prevailing in the country, or even in the particular circumstances of a given case, cannot be considered effective</w:t>
      </w:r>
      <w:r w:rsidRPr="003171CD">
        <w:rPr>
          <w:rFonts w:eastAsiaTheme="minorHAnsi" w:cs="Arial"/>
          <w:lang w:val="en-US"/>
        </w:rPr>
        <w:t xml:space="preserve">. </w:t>
      </w:r>
      <w:r w:rsidR="007F07C8" w:rsidRPr="003171CD">
        <w:rPr>
          <w:lang w:val="en-US"/>
        </w:rPr>
        <w:t xml:space="preserve">That could be the case, for example, when </w:t>
      </w:r>
      <w:r w:rsidR="00C41546" w:rsidRPr="003171CD">
        <w:rPr>
          <w:lang w:val="en-US"/>
        </w:rPr>
        <w:t xml:space="preserve">its </w:t>
      </w:r>
      <w:r w:rsidR="007F07C8" w:rsidRPr="003171CD">
        <w:rPr>
          <w:lang w:val="en-US"/>
        </w:rPr>
        <w:t>practic</w:t>
      </w:r>
      <w:r w:rsidR="00C41546" w:rsidRPr="003171CD">
        <w:rPr>
          <w:lang w:val="en-US"/>
        </w:rPr>
        <w:t>al application</w:t>
      </w:r>
      <w:r w:rsidR="00410751" w:rsidRPr="003171CD">
        <w:rPr>
          <w:lang w:val="en-US"/>
        </w:rPr>
        <w:t xml:space="preserve"> has </w:t>
      </w:r>
      <w:r w:rsidR="00C41546" w:rsidRPr="003171CD">
        <w:rPr>
          <w:lang w:val="en-US"/>
        </w:rPr>
        <w:t xml:space="preserve">been </w:t>
      </w:r>
      <w:r w:rsidR="00410751" w:rsidRPr="003171CD">
        <w:rPr>
          <w:lang w:val="en-US"/>
        </w:rPr>
        <w:t xml:space="preserve">shown </w:t>
      </w:r>
      <w:r w:rsidR="00C41546" w:rsidRPr="003171CD">
        <w:rPr>
          <w:lang w:val="en-US"/>
        </w:rPr>
        <w:t>to be ineffective</w:t>
      </w:r>
      <w:r w:rsidR="00410751" w:rsidRPr="003171CD">
        <w:rPr>
          <w:lang w:val="en-US"/>
        </w:rPr>
        <w:t>; when the Judiciary</w:t>
      </w:r>
      <w:r w:rsidR="007F07C8" w:rsidRPr="003171CD">
        <w:rPr>
          <w:lang w:val="en-US"/>
        </w:rPr>
        <w:t xml:space="preserve"> lacks the means to carry out its judgments; or in any other situation that constitutes a denial of justice</w:t>
      </w:r>
      <w:r w:rsidR="00834B13" w:rsidRPr="003171CD">
        <w:rPr>
          <w:rFonts w:eastAsiaTheme="minorHAnsi" w:cs="Arial"/>
          <w:lang w:val="en-US"/>
        </w:rPr>
        <w:t>.</w:t>
      </w:r>
      <w:r w:rsidRPr="003171CD">
        <w:rPr>
          <w:rFonts w:eastAsiaTheme="minorHAnsi" w:cs="Arial"/>
          <w:vertAlign w:val="superscript"/>
          <w:lang w:val="en-US"/>
        </w:rPr>
        <w:footnoteReference w:id="195"/>
      </w:r>
      <w:r w:rsidRPr="003171CD">
        <w:rPr>
          <w:rFonts w:eastAsiaTheme="minorHAnsi" w:cs="Arial"/>
          <w:lang w:val="en-US"/>
        </w:rPr>
        <w:t xml:space="preserve"> </w:t>
      </w:r>
      <w:r w:rsidR="00410751" w:rsidRPr="003171CD">
        <w:rPr>
          <w:rFonts w:eastAsiaTheme="minorHAnsi" w:cs="Arial"/>
          <w:lang w:val="en-US"/>
        </w:rPr>
        <w:t>Therefore, a</w:t>
      </w:r>
      <w:r w:rsidR="00DC2F40" w:rsidRPr="003171CD">
        <w:rPr>
          <w:rFonts w:eastAsiaTheme="minorHAnsi" w:cs="Arial"/>
          <w:lang w:val="en-US"/>
        </w:rPr>
        <w:t>n effective judicial remedy is</w:t>
      </w:r>
      <w:r w:rsidRPr="003171CD">
        <w:rPr>
          <w:rFonts w:eastAsiaTheme="minorHAnsi" w:cs="Arial"/>
          <w:lang w:val="en-US"/>
        </w:rPr>
        <w:t xml:space="preserve"> </w:t>
      </w:r>
      <w:r w:rsidR="00DC2F40" w:rsidRPr="003171CD">
        <w:rPr>
          <w:rFonts w:eastAsiaTheme="minorHAnsi" w:cs="Arial"/>
          <w:lang w:val="en-US"/>
        </w:rPr>
        <w:t xml:space="preserve">one that </w:t>
      </w:r>
      <w:r w:rsidR="00410751" w:rsidRPr="003171CD">
        <w:rPr>
          <w:rFonts w:eastAsiaTheme="minorHAnsi" w:cs="Arial"/>
          <w:lang w:val="en-US"/>
        </w:rPr>
        <w:t xml:space="preserve">allows for </w:t>
      </w:r>
      <w:r w:rsidR="00DC2F40" w:rsidRPr="003171CD">
        <w:rPr>
          <w:rFonts w:eastAsiaTheme="minorHAnsi" w:cs="Arial"/>
          <w:lang w:val="en-US"/>
        </w:rPr>
        <w:t>analysis</w:t>
      </w:r>
      <w:r w:rsidRPr="003171CD">
        <w:rPr>
          <w:rFonts w:eastAsiaTheme="minorHAnsi" w:cs="Arial"/>
          <w:lang w:val="en-US"/>
        </w:rPr>
        <w:t xml:space="preserve"> by a </w:t>
      </w:r>
      <w:r w:rsidR="00834B13" w:rsidRPr="003171CD">
        <w:rPr>
          <w:rFonts w:eastAsiaTheme="minorHAnsi" w:cs="Arial"/>
          <w:lang w:val="en-US"/>
        </w:rPr>
        <w:t>competent c</w:t>
      </w:r>
      <w:r w:rsidRPr="003171CD">
        <w:rPr>
          <w:rFonts w:eastAsiaTheme="minorHAnsi" w:cs="Arial"/>
          <w:lang w:val="en-US"/>
        </w:rPr>
        <w:t xml:space="preserve">ourt </w:t>
      </w:r>
      <w:r w:rsidR="00834B13" w:rsidRPr="003171CD">
        <w:rPr>
          <w:rFonts w:eastAsiaTheme="minorHAnsi" w:cs="Arial"/>
          <w:lang w:val="en-US"/>
        </w:rPr>
        <w:t xml:space="preserve">in order to </w:t>
      </w:r>
      <w:r w:rsidR="00410751" w:rsidRPr="003171CD">
        <w:rPr>
          <w:rFonts w:eastAsiaTheme="minorHAnsi" w:cs="Arial"/>
          <w:lang w:val="en-US"/>
        </w:rPr>
        <w:t xml:space="preserve">determine </w:t>
      </w:r>
      <w:r w:rsidR="00DC2F40" w:rsidRPr="003171CD">
        <w:rPr>
          <w:rFonts w:eastAsiaTheme="minorHAnsi" w:cs="Arial"/>
          <w:lang w:val="en-US"/>
        </w:rPr>
        <w:t xml:space="preserve">whether or not there has been a </w:t>
      </w:r>
      <w:r w:rsidR="00834B13" w:rsidRPr="003171CD">
        <w:rPr>
          <w:rFonts w:eastAsiaTheme="minorHAnsi" w:cs="Arial"/>
          <w:lang w:val="en-US"/>
        </w:rPr>
        <w:t xml:space="preserve">human rights </w:t>
      </w:r>
      <w:r w:rsidR="00DC2F40" w:rsidRPr="003171CD">
        <w:rPr>
          <w:rFonts w:eastAsiaTheme="minorHAnsi" w:cs="Arial"/>
          <w:lang w:val="en-US"/>
        </w:rPr>
        <w:t xml:space="preserve">violation </w:t>
      </w:r>
      <w:r w:rsidR="00834B13" w:rsidRPr="003171CD">
        <w:rPr>
          <w:rFonts w:eastAsiaTheme="minorHAnsi" w:cs="Arial"/>
          <w:lang w:val="en-US"/>
        </w:rPr>
        <w:t>and</w:t>
      </w:r>
      <w:r w:rsidRPr="003171CD">
        <w:rPr>
          <w:rFonts w:eastAsiaTheme="minorHAnsi" w:cs="Arial"/>
          <w:lang w:val="en-US"/>
        </w:rPr>
        <w:t>, i</w:t>
      </w:r>
      <w:r w:rsidR="00DC2F40" w:rsidRPr="003171CD">
        <w:rPr>
          <w:rFonts w:eastAsiaTheme="minorHAnsi" w:cs="Arial"/>
          <w:lang w:val="en-US"/>
        </w:rPr>
        <w:t xml:space="preserve">f so, </w:t>
      </w:r>
      <w:r w:rsidR="00410751" w:rsidRPr="003171CD">
        <w:rPr>
          <w:rFonts w:eastAsiaTheme="minorHAnsi" w:cs="Arial"/>
          <w:lang w:val="en-US"/>
        </w:rPr>
        <w:t xml:space="preserve">to </w:t>
      </w:r>
      <w:r w:rsidRPr="003171CD">
        <w:rPr>
          <w:rFonts w:eastAsiaTheme="minorHAnsi" w:cs="Arial"/>
          <w:lang w:val="en-US"/>
        </w:rPr>
        <w:t>pro</w:t>
      </w:r>
      <w:r w:rsidR="00410751" w:rsidRPr="003171CD">
        <w:rPr>
          <w:rFonts w:eastAsiaTheme="minorHAnsi" w:cs="Arial"/>
          <w:lang w:val="en-US"/>
        </w:rPr>
        <w:t>vide</w:t>
      </w:r>
      <w:r w:rsidR="00DC2F40" w:rsidRPr="003171CD">
        <w:rPr>
          <w:rFonts w:eastAsiaTheme="minorHAnsi" w:cs="Arial"/>
          <w:lang w:val="en-US"/>
        </w:rPr>
        <w:t xml:space="preserve"> </w:t>
      </w:r>
      <w:r w:rsidRPr="003171CD">
        <w:rPr>
          <w:rFonts w:eastAsiaTheme="minorHAnsi" w:cs="Arial"/>
          <w:lang w:val="en-US"/>
        </w:rPr>
        <w:t>re</w:t>
      </w:r>
      <w:r w:rsidR="00DC2F40" w:rsidRPr="003171CD">
        <w:rPr>
          <w:rFonts w:eastAsiaTheme="minorHAnsi" w:cs="Arial"/>
          <w:lang w:val="en-US"/>
        </w:rPr>
        <w:t>dress</w:t>
      </w:r>
      <w:r w:rsidR="00834B13" w:rsidRPr="003171CD">
        <w:rPr>
          <w:rFonts w:eastAsiaTheme="minorHAnsi" w:cs="Arial"/>
          <w:lang w:val="en-US"/>
        </w:rPr>
        <w:t>.</w:t>
      </w:r>
      <w:r w:rsidRPr="003171CD">
        <w:rPr>
          <w:rFonts w:eastAsiaTheme="minorHAnsi" w:cs="Arial"/>
          <w:vertAlign w:val="superscript"/>
          <w:lang w:val="en-US"/>
        </w:rPr>
        <w:footnoteReference w:id="196"/>
      </w:r>
      <w:r w:rsidR="00834B13" w:rsidRPr="003171CD">
        <w:rPr>
          <w:rFonts w:eastAsiaTheme="minorHAnsi" w:cs="Arial"/>
          <w:lang w:val="en-US"/>
        </w:rPr>
        <w:t xml:space="preserve"> T</w:t>
      </w:r>
      <w:r w:rsidR="00DC2F40" w:rsidRPr="003171CD">
        <w:rPr>
          <w:rFonts w:eastAsiaTheme="minorHAnsi" w:cs="Arial"/>
          <w:lang w:val="en-US"/>
        </w:rPr>
        <w:t xml:space="preserve">he existence of this </w:t>
      </w:r>
      <w:r w:rsidR="000B69EC" w:rsidRPr="003171CD">
        <w:rPr>
          <w:rFonts w:eastAsiaTheme="minorHAnsi" w:cs="Arial"/>
          <w:lang w:val="en-US"/>
        </w:rPr>
        <w:t>guarantee</w:t>
      </w:r>
      <w:r w:rsidRPr="003171CD">
        <w:rPr>
          <w:rFonts w:eastAsiaTheme="minorHAnsi" w:cs="Arial"/>
          <w:lang w:val="en-US"/>
        </w:rPr>
        <w:t xml:space="preserve"> “</w:t>
      </w:r>
      <w:r w:rsidR="00CA1A20" w:rsidRPr="003171CD">
        <w:rPr>
          <w:rFonts w:eastAsiaTheme="minorHAnsi" w:cs="Arial"/>
          <w:lang w:val="en-US"/>
        </w:rPr>
        <w:t xml:space="preserve">is </w:t>
      </w:r>
      <w:r w:rsidR="00834B13" w:rsidRPr="003171CD">
        <w:rPr>
          <w:rFonts w:eastAsiaTheme="minorHAnsi" w:cs="Arial"/>
          <w:lang w:val="en-US"/>
        </w:rPr>
        <w:t xml:space="preserve">one of the </w:t>
      </w:r>
      <w:r w:rsidR="00410751" w:rsidRPr="003171CD">
        <w:rPr>
          <w:lang w:val="en-US"/>
        </w:rPr>
        <w:t>fundamental pillars not only of the American Convention, but of the very rule of law in a democratic society in the terms of the Convention</w:t>
      </w:r>
      <w:r w:rsidR="006663CD" w:rsidRPr="003171CD">
        <w:rPr>
          <w:rFonts w:eastAsiaTheme="minorHAnsi" w:cs="Arial"/>
          <w:lang w:val="en-US"/>
        </w:rPr>
        <w:t>.</w:t>
      </w:r>
      <w:r w:rsidRPr="003171CD">
        <w:rPr>
          <w:rFonts w:eastAsiaTheme="minorHAnsi" w:cs="Arial"/>
          <w:lang w:val="en-US"/>
        </w:rPr>
        <w:t>”</w:t>
      </w:r>
      <w:r w:rsidRPr="003171CD">
        <w:rPr>
          <w:rFonts w:eastAsiaTheme="minorHAnsi"/>
          <w:vertAlign w:val="superscript"/>
          <w:lang w:val="en-US"/>
        </w:rPr>
        <w:footnoteReference w:id="197"/>
      </w:r>
    </w:p>
    <w:p w14:paraId="0353F092" w14:textId="77777777" w:rsidR="005A65CE" w:rsidRPr="003171CD" w:rsidRDefault="005A65CE" w:rsidP="005A65CE">
      <w:pPr>
        <w:jc w:val="both"/>
        <w:rPr>
          <w:rFonts w:eastAsiaTheme="minorHAnsi" w:cs="Arial"/>
          <w:b/>
          <w:snapToGrid/>
          <w:lang w:val="en-US" w:eastAsia="en-US"/>
        </w:rPr>
      </w:pPr>
    </w:p>
    <w:p w14:paraId="4640CAA9" w14:textId="77777777" w:rsidR="005A65CE" w:rsidRPr="003171CD" w:rsidRDefault="003440E5"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According to the </w:t>
      </w:r>
      <w:r w:rsidR="00B471E5" w:rsidRPr="003171CD">
        <w:rPr>
          <w:rFonts w:eastAsiaTheme="minorHAnsi" w:cs="Arial"/>
          <w:lang w:val="en-US"/>
        </w:rPr>
        <w:t>Merits R</w:t>
      </w:r>
      <w:r w:rsidR="00834B13" w:rsidRPr="003171CD">
        <w:rPr>
          <w:rFonts w:eastAsiaTheme="minorHAnsi" w:cs="Arial"/>
          <w:lang w:val="en-US"/>
        </w:rPr>
        <w:t xml:space="preserve">eport, the violation of </w:t>
      </w:r>
      <w:r w:rsidR="005A65CE" w:rsidRPr="003171CD">
        <w:rPr>
          <w:rFonts w:eastAsiaTheme="minorHAnsi" w:cs="Arial"/>
          <w:lang w:val="en-US"/>
        </w:rPr>
        <w:t xml:space="preserve">Article </w:t>
      </w:r>
      <w:r w:rsidR="00834B13" w:rsidRPr="003171CD">
        <w:rPr>
          <w:rFonts w:eastAsiaTheme="minorHAnsi" w:cs="Arial"/>
          <w:lang w:val="en-US"/>
        </w:rPr>
        <w:t>25(1)</w:t>
      </w:r>
      <w:r w:rsidR="005A65CE" w:rsidRPr="003171CD">
        <w:rPr>
          <w:rFonts w:eastAsiaTheme="minorHAnsi" w:cs="Arial"/>
          <w:lang w:val="en-US"/>
        </w:rPr>
        <w:t xml:space="preserve"> of the American Convention </w:t>
      </w:r>
      <w:r w:rsidR="00614336" w:rsidRPr="003171CD">
        <w:rPr>
          <w:rFonts w:eastAsiaTheme="minorHAnsi" w:cs="Arial"/>
          <w:lang w:val="en-US"/>
        </w:rPr>
        <w:t xml:space="preserve">was based on </w:t>
      </w:r>
      <w:r w:rsidR="005A65CE" w:rsidRPr="003171CD">
        <w:rPr>
          <w:rFonts w:eastAsiaTheme="minorHAnsi" w:cs="Arial"/>
          <w:lang w:val="en-US"/>
        </w:rPr>
        <w:t xml:space="preserve">the </w:t>
      </w:r>
      <w:r w:rsidR="00834B13" w:rsidRPr="003171CD">
        <w:rPr>
          <w:rFonts w:eastAsiaTheme="minorHAnsi" w:cs="Arial"/>
          <w:lang w:val="en-US"/>
        </w:rPr>
        <w:t xml:space="preserve">authorities’ failure to </w:t>
      </w:r>
      <w:r w:rsidR="003158D1" w:rsidRPr="003171CD">
        <w:rPr>
          <w:rFonts w:eastAsiaTheme="minorHAnsi" w:cs="Arial"/>
          <w:lang w:val="en-US"/>
        </w:rPr>
        <w:t>address</w:t>
      </w:r>
      <w:r w:rsidR="00834B13" w:rsidRPr="003171CD">
        <w:rPr>
          <w:rFonts w:eastAsiaTheme="minorHAnsi" w:cs="Arial"/>
          <w:lang w:val="en-US"/>
        </w:rPr>
        <w:t xml:space="preserve"> the violations of</w:t>
      </w:r>
      <w:r w:rsidR="005A65CE" w:rsidRPr="003171CD">
        <w:rPr>
          <w:rFonts w:eastAsiaTheme="minorHAnsi" w:cs="Arial"/>
          <w:lang w:val="en-US"/>
        </w:rPr>
        <w:t xml:space="preserve"> due process den</w:t>
      </w:r>
      <w:r w:rsidR="00834B13" w:rsidRPr="003171CD">
        <w:rPr>
          <w:rFonts w:eastAsiaTheme="minorHAnsi" w:cs="Arial"/>
          <w:lang w:val="en-US"/>
        </w:rPr>
        <w:t xml:space="preserve">ounced </w:t>
      </w:r>
      <w:r w:rsidR="005A65CE" w:rsidRPr="003171CD">
        <w:rPr>
          <w:rFonts w:eastAsiaTheme="minorHAnsi" w:cs="Arial"/>
          <w:lang w:val="en-US"/>
        </w:rPr>
        <w:t xml:space="preserve">in </w:t>
      </w:r>
      <w:r w:rsidR="00614336" w:rsidRPr="003171CD">
        <w:rPr>
          <w:rFonts w:eastAsiaTheme="minorHAnsi" w:cs="Arial"/>
          <w:lang w:val="en-US"/>
        </w:rPr>
        <w:t xml:space="preserve">various briefs </w:t>
      </w:r>
      <w:r w:rsidR="00367FA5" w:rsidRPr="003171CD">
        <w:rPr>
          <w:rFonts w:eastAsiaTheme="minorHAnsi" w:cs="Arial"/>
          <w:lang w:val="en-US"/>
        </w:rPr>
        <w:t xml:space="preserve">throughout the </w:t>
      </w:r>
      <w:r w:rsidR="006D65DA" w:rsidRPr="003171CD">
        <w:rPr>
          <w:rFonts w:eastAsiaTheme="minorHAnsi" w:cs="Arial"/>
          <w:lang w:val="en-US"/>
        </w:rPr>
        <w:t>criminal trial</w:t>
      </w:r>
      <w:r w:rsidR="005A65CE" w:rsidRPr="003171CD">
        <w:rPr>
          <w:rFonts w:eastAsiaTheme="minorHAnsi" w:cs="Arial"/>
          <w:lang w:val="en-US"/>
        </w:rPr>
        <w:t>, a</w:t>
      </w:r>
      <w:r w:rsidR="00614336" w:rsidRPr="003171CD">
        <w:rPr>
          <w:rFonts w:eastAsiaTheme="minorHAnsi" w:cs="Arial"/>
          <w:lang w:val="en-US"/>
        </w:rPr>
        <w:t xml:space="preserve">nd their rejection </w:t>
      </w:r>
      <w:r w:rsidR="005A65CE" w:rsidRPr="003171CD">
        <w:rPr>
          <w:rFonts w:eastAsiaTheme="minorHAnsi" w:cs="Arial"/>
          <w:lang w:val="en-US"/>
        </w:rPr>
        <w:t xml:space="preserve">of the </w:t>
      </w:r>
      <w:r w:rsidR="00367FA5" w:rsidRPr="003171CD">
        <w:rPr>
          <w:rFonts w:eastAsiaTheme="minorHAnsi" w:cs="Arial"/>
          <w:lang w:val="en-US"/>
        </w:rPr>
        <w:t>motions for review</w:t>
      </w:r>
      <w:r w:rsidR="005A65CE" w:rsidRPr="003171CD">
        <w:rPr>
          <w:rFonts w:eastAsiaTheme="minorHAnsi" w:cs="Arial"/>
          <w:lang w:val="en-US"/>
        </w:rPr>
        <w:t xml:space="preserve"> </w:t>
      </w:r>
      <w:r w:rsidR="00834B13" w:rsidRPr="003171CD">
        <w:rPr>
          <w:rFonts w:eastAsiaTheme="minorHAnsi" w:cs="Arial"/>
          <w:lang w:val="en-US"/>
        </w:rPr>
        <w:t xml:space="preserve">filed </w:t>
      </w:r>
      <w:r w:rsidR="005A65CE" w:rsidRPr="003171CD">
        <w:rPr>
          <w:rFonts w:eastAsiaTheme="minorHAnsi" w:cs="Arial"/>
          <w:lang w:val="en-US"/>
        </w:rPr>
        <w:t xml:space="preserve">in </w:t>
      </w:r>
      <w:r w:rsidR="00614336" w:rsidRPr="003171CD">
        <w:rPr>
          <w:rFonts w:eastAsiaTheme="minorHAnsi" w:cs="Arial"/>
          <w:lang w:val="en-US"/>
        </w:rPr>
        <w:t xml:space="preserve">August and September of </w:t>
      </w:r>
      <w:r w:rsidR="00834B13" w:rsidRPr="003171CD">
        <w:rPr>
          <w:rFonts w:eastAsiaTheme="minorHAnsi" w:cs="Arial"/>
          <w:lang w:val="en-US"/>
        </w:rPr>
        <w:t>2003 and in Nov</w:t>
      </w:r>
      <w:r w:rsidR="005A65CE" w:rsidRPr="003171CD">
        <w:rPr>
          <w:rFonts w:eastAsiaTheme="minorHAnsi" w:cs="Arial"/>
          <w:lang w:val="en-US"/>
        </w:rPr>
        <w:t>emb</w:t>
      </w:r>
      <w:r w:rsidR="00834B13" w:rsidRPr="003171CD">
        <w:rPr>
          <w:rFonts w:eastAsiaTheme="minorHAnsi" w:cs="Arial"/>
          <w:lang w:val="en-US"/>
        </w:rPr>
        <w:t>er</w:t>
      </w:r>
      <w:r w:rsidR="00614336" w:rsidRPr="003171CD">
        <w:rPr>
          <w:rFonts w:eastAsiaTheme="minorHAnsi" w:cs="Arial"/>
          <w:lang w:val="en-US"/>
        </w:rPr>
        <w:t xml:space="preserve"> of </w:t>
      </w:r>
      <w:r w:rsidR="005A65CE" w:rsidRPr="003171CD">
        <w:rPr>
          <w:rFonts w:eastAsiaTheme="minorHAnsi" w:cs="Arial"/>
          <w:lang w:val="en-US"/>
        </w:rPr>
        <w:t>2006 (</w:t>
      </w:r>
      <w:r w:rsidR="005A65CE" w:rsidRPr="003171CD">
        <w:rPr>
          <w:rFonts w:eastAsiaTheme="minorHAnsi" w:cs="Arial"/>
          <w:i/>
          <w:lang w:val="en-US"/>
        </w:rPr>
        <w:t xml:space="preserve">supra </w:t>
      </w:r>
      <w:r w:rsidR="005A65CE" w:rsidRPr="003171CD">
        <w:rPr>
          <w:rFonts w:eastAsiaTheme="minorHAnsi" w:cs="Arial"/>
          <w:lang w:val="en-US"/>
        </w:rPr>
        <w:t xml:space="preserve">paras. 96, 97 and 99), </w:t>
      </w:r>
      <w:r w:rsidR="003158D1" w:rsidRPr="003171CD">
        <w:rPr>
          <w:rFonts w:eastAsiaTheme="minorHAnsi" w:cs="Arial"/>
          <w:lang w:val="en-US"/>
        </w:rPr>
        <w:t xml:space="preserve">which proved </w:t>
      </w:r>
      <w:r w:rsidR="00834B13" w:rsidRPr="003171CD">
        <w:rPr>
          <w:rFonts w:eastAsiaTheme="minorHAnsi" w:cs="Arial"/>
          <w:lang w:val="en-US"/>
        </w:rPr>
        <w:t>ineffective</w:t>
      </w:r>
      <w:r w:rsidR="005A65CE" w:rsidRPr="003171CD">
        <w:rPr>
          <w:rFonts w:eastAsiaTheme="minorHAnsi" w:cs="Arial"/>
          <w:lang w:val="en-US"/>
        </w:rPr>
        <w:t>.</w:t>
      </w:r>
    </w:p>
    <w:p w14:paraId="3EAB8306" w14:textId="77777777" w:rsidR="005A65CE" w:rsidRPr="003171CD" w:rsidRDefault="005A65CE" w:rsidP="005A65CE">
      <w:pPr>
        <w:jc w:val="both"/>
        <w:rPr>
          <w:rFonts w:eastAsiaTheme="minorHAnsi"/>
          <w:snapToGrid/>
          <w:lang w:val="en-US" w:eastAsia="en-US"/>
        </w:rPr>
      </w:pPr>
    </w:p>
    <w:p w14:paraId="54CE4E8D" w14:textId="77777777" w:rsidR="005A65CE" w:rsidRPr="003171CD" w:rsidRDefault="001D32B5" w:rsidP="005A65CE">
      <w:pPr>
        <w:pStyle w:val="Prrafodelista"/>
        <w:numPr>
          <w:ilvl w:val="0"/>
          <w:numId w:val="1"/>
        </w:numPr>
        <w:jc w:val="both"/>
        <w:rPr>
          <w:rFonts w:eastAsiaTheme="minorHAnsi" w:cs="Arial"/>
          <w:lang w:val="en-US"/>
        </w:rPr>
      </w:pPr>
      <w:r w:rsidRPr="003171CD">
        <w:rPr>
          <w:rFonts w:eastAsiaTheme="minorHAnsi" w:cs="Arial"/>
          <w:lang w:val="en-US"/>
        </w:rPr>
        <w:t>I</w:t>
      </w:r>
      <w:r w:rsidR="005A65CE" w:rsidRPr="003171CD">
        <w:rPr>
          <w:rFonts w:eastAsiaTheme="minorHAnsi" w:cs="Arial"/>
          <w:lang w:val="en-US"/>
        </w:rPr>
        <w:t>n th</w:t>
      </w:r>
      <w:r w:rsidR="00525621" w:rsidRPr="003171CD">
        <w:rPr>
          <w:rFonts w:eastAsiaTheme="minorHAnsi" w:cs="Arial"/>
          <w:lang w:val="en-US"/>
        </w:rPr>
        <w:t>is</w:t>
      </w:r>
      <w:r w:rsidRPr="003171CD">
        <w:rPr>
          <w:rFonts w:eastAsiaTheme="minorHAnsi" w:cs="Arial"/>
          <w:lang w:val="en-US"/>
        </w:rPr>
        <w:t xml:space="preserve"> </w:t>
      </w:r>
      <w:r w:rsidR="005A65CE" w:rsidRPr="003171CD">
        <w:rPr>
          <w:rFonts w:eastAsiaTheme="minorHAnsi" w:cs="Arial"/>
          <w:lang w:val="en-US"/>
        </w:rPr>
        <w:t xml:space="preserve">case, the Court </w:t>
      </w:r>
      <w:r w:rsidRPr="003171CD">
        <w:rPr>
          <w:rFonts w:eastAsiaTheme="minorHAnsi" w:cs="Arial"/>
          <w:lang w:val="en-US"/>
        </w:rPr>
        <w:t xml:space="preserve">considers that the violation of </w:t>
      </w:r>
      <w:r w:rsidR="005A65CE" w:rsidRPr="003171CD">
        <w:rPr>
          <w:rFonts w:eastAsiaTheme="minorHAnsi" w:cs="Arial"/>
          <w:lang w:val="en-US"/>
        </w:rPr>
        <w:t xml:space="preserve">Article </w:t>
      </w:r>
      <w:r w:rsidR="00834B13" w:rsidRPr="003171CD">
        <w:rPr>
          <w:rFonts w:eastAsiaTheme="minorHAnsi" w:cs="Arial"/>
          <w:lang w:val="en-US"/>
        </w:rPr>
        <w:t>25(1)</w:t>
      </w:r>
      <w:r w:rsidR="005A65CE" w:rsidRPr="003171CD">
        <w:rPr>
          <w:rFonts w:eastAsiaTheme="minorHAnsi" w:cs="Arial"/>
          <w:lang w:val="en-US"/>
        </w:rPr>
        <w:t xml:space="preserve"> of the Convention </w:t>
      </w:r>
      <w:r w:rsidR="00367FA5" w:rsidRPr="003171CD">
        <w:rPr>
          <w:rFonts w:eastAsiaTheme="minorHAnsi" w:cs="Arial"/>
          <w:lang w:val="en-US"/>
        </w:rPr>
        <w:t xml:space="preserve">is not </w:t>
      </w:r>
      <w:r w:rsidR="0038071C" w:rsidRPr="003171CD">
        <w:rPr>
          <w:rFonts w:eastAsiaTheme="minorHAnsi" w:cs="Arial"/>
          <w:lang w:val="en-US"/>
        </w:rPr>
        <w:t xml:space="preserve">configured by </w:t>
      </w:r>
      <w:r w:rsidRPr="003171CD">
        <w:rPr>
          <w:rFonts w:eastAsiaTheme="minorHAnsi" w:cs="Arial"/>
          <w:lang w:val="en-US"/>
        </w:rPr>
        <w:t>the mere</w:t>
      </w:r>
      <w:r w:rsidR="005A65CE" w:rsidRPr="003171CD">
        <w:rPr>
          <w:rFonts w:eastAsiaTheme="minorHAnsi" w:cs="Arial"/>
          <w:lang w:val="en-US"/>
        </w:rPr>
        <w:t xml:space="preserve"> </w:t>
      </w:r>
      <w:r w:rsidRPr="003171CD">
        <w:rPr>
          <w:rFonts w:eastAsiaTheme="minorHAnsi" w:cs="Arial"/>
          <w:lang w:val="en-US"/>
        </w:rPr>
        <w:t xml:space="preserve">disagreement </w:t>
      </w:r>
      <w:r w:rsidR="005A65CE" w:rsidRPr="003171CD">
        <w:rPr>
          <w:rFonts w:eastAsiaTheme="minorHAnsi" w:cs="Arial"/>
          <w:lang w:val="en-US"/>
        </w:rPr>
        <w:t>with a</w:t>
      </w:r>
      <w:r w:rsidRPr="003171CD">
        <w:rPr>
          <w:rFonts w:eastAsiaTheme="minorHAnsi" w:cs="Arial"/>
          <w:lang w:val="en-US"/>
        </w:rPr>
        <w:t>n unfavorable</w:t>
      </w:r>
      <w:r w:rsidR="005A65CE" w:rsidRPr="003171CD">
        <w:rPr>
          <w:rFonts w:eastAsiaTheme="minorHAnsi" w:cs="Arial"/>
          <w:lang w:val="en-US"/>
        </w:rPr>
        <w:t xml:space="preserve"> decision</w:t>
      </w:r>
      <w:r w:rsidR="0038071C" w:rsidRPr="003171CD">
        <w:rPr>
          <w:rFonts w:eastAsiaTheme="minorHAnsi" w:cs="Arial"/>
          <w:lang w:val="en-US"/>
        </w:rPr>
        <w:t>;</w:t>
      </w:r>
      <w:r w:rsidRPr="003171CD">
        <w:rPr>
          <w:rFonts w:eastAsiaTheme="minorHAnsi" w:cs="Arial"/>
          <w:lang w:val="en-US"/>
        </w:rPr>
        <w:t xml:space="preserve"> rather</w:t>
      </w:r>
      <w:r w:rsidR="0038071C" w:rsidRPr="003171CD">
        <w:rPr>
          <w:rFonts w:eastAsiaTheme="minorHAnsi" w:cs="Arial"/>
          <w:lang w:val="en-US"/>
        </w:rPr>
        <w:t>, it</w:t>
      </w:r>
      <w:r w:rsidRPr="003171CD">
        <w:rPr>
          <w:rFonts w:eastAsiaTheme="minorHAnsi" w:cs="Arial"/>
          <w:lang w:val="en-US"/>
        </w:rPr>
        <w:t xml:space="preserve"> is related to</w:t>
      </w:r>
      <w:r w:rsidR="005A65CE" w:rsidRPr="003171CD">
        <w:rPr>
          <w:rFonts w:eastAsiaTheme="minorHAnsi" w:cs="Arial"/>
          <w:lang w:val="en-US"/>
        </w:rPr>
        <w:t xml:space="preserve"> the authorities</w:t>
      </w:r>
      <w:r w:rsidR="0038071C" w:rsidRPr="003171CD">
        <w:rPr>
          <w:rFonts w:eastAsiaTheme="minorHAnsi" w:cs="Arial"/>
          <w:lang w:val="en-US"/>
        </w:rPr>
        <w:t>’ lack of response</w:t>
      </w:r>
      <w:r w:rsidR="005A65CE" w:rsidRPr="003171CD">
        <w:rPr>
          <w:rFonts w:eastAsiaTheme="minorHAnsi" w:cs="Arial"/>
          <w:lang w:val="en-US"/>
        </w:rPr>
        <w:t xml:space="preserve"> </w:t>
      </w:r>
      <w:r w:rsidRPr="003171CD">
        <w:rPr>
          <w:rFonts w:eastAsiaTheme="minorHAnsi" w:cs="Arial"/>
          <w:lang w:val="en-US"/>
        </w:rPr>
        <w:t xml:space="preserve">to </w:t>
      </w:r>
      <w:r w:rsidR="005A65CE" w:rsidRPr="003171CD">
        <w:rPr>
          <w:rFonts w:eastAsiaTheme="minorHAnsi" w:cs="Arial"/>
          <w:lang w:val="en-US"/>
        </w:rPr>
        <w:t xml:space="preserve">the </w:t>
      </w:r>
      <w:r w:rsidRPr="003171CD">
        <w:rPr>
          <w:rFonts w:eastAsiaTheme="minorHAnsi" w:cs="Arial"/>
          <w:lang w:val="en-US"/>
        </w:rPr>
        <w:t xml:space="preserve">merits </w:t>
      </w:r>
      <w:r w:rsidR="005A65CE" w:rsidRPr="003171CD">
        <w:rPr>
          <w:rFonts w:eastAsiaTheme="minorHAnsi" w:cs="Arial"/>
          <w:lang w:val="en-US"/>
        </w:rPr>
        <w:t>of the arguments</w:t>
      </w:r>
      <w:r w:rsidRPr="003171CD">
        <w:rPr>
          <w:rFonts w:eastAsiaTheme="minorHAnsi" w:cs="Arial"/>
          <w:lang w:val="en-US"/>
        </w:rPr>
        <w:t xml:space="preserve">, </w:t>
      </w:r>
      <w:r w:rsidR="0038071C" w:rsidRPr="003171CD">
        <w:rPr>
          <w:rFonts w:eastAsiaTheme="minorHAnsi" w:cs="Arial"/>
          <w:lang w:val="en-US"/>
        </w:rPr>
        <w:t xml:space="preserve">since the judicial authorities </w:t>
      </w:r>
      <w:r w:rsidR="009F1072" w:rsidRPr="003171CD">
        <w:rPr>
          <w:rFonts w:eastAsiaTheme="minorHAnsi" w:cs="Arial"/>
          <w:lang w:val="en-US"/>
        </w:rPr>
        <w:t>did not conduct</w:t>
      </w:r>
      <w:r w:rsidR="0038071C" w:rsidRPr="003171CD">
        <w:rPr>
          <w:rFonts w:eastAsiaTheme="minorHAnsi" w:cs="Arial"/>
          <w:lang w:val="en-US"/>
        </w:rPr>
        <w:t xml:space="preserve"> </w:t>
      </w:r>
      <w:r w:rsidR="00367FA5" w:rsidRPr="003171CD">
        <w:rPr>
          <w:rFonts w:eastAsiaTheme="minorHAnsi" w:cs="Arial"/>
          <w:lang w:val="en-US"/>
        </w:rPr>
        <w:t>an analy</w:t>
      </w:r>
      <w:r w:rsidR="005A65CE" w:rsidRPr="003171CD">
        <w:rPr>
          <w:rFonts w:eastAsiaTheme="minorHAnsi" w:cs="Arial"/>
          <w:lang w:val="en-US"/>
        </w:rPr>
        <w:t xml:space="preserve">sis </w:t>
      </w:r>
      <w:r w:rsidR="0038071C" w:rsidRPr="003171CD">
        <w:rPr>
          <w:rFonts w:eastAsiaTheme="minorHAnsi" w:cs="Arial"/>
          <w:lang w:val="en-US"/>
        </w:rPr>
        <w:t xml:space="preserve">to determine </w:t>
      </w:r>
      <w:r w:rsidRPr="003171CD">
        <w:rPr>
          <w:rFonts w:eastAsiaTheme="minorHAnsi" w:cs="Arial"/>
          <w:lang w:val="en-US"/>
        </w:rPr>
        <w:t xml:space="preserve">whether or not any human rights had been violated, such as the right to the presumption of </w:t>
      </w:r>
      <w:r w:rsidR="005A65CE" w:rsidRPr="003171CD">
        <w:rPr>
          <w:rFonts w:eastAsiaTheme="minorHAnsi" w:cs="Arial"/>
          <w:lang w:val="en-US"/>
        </w:rPr>
        <w:t xml:space="preserve">innocence and the right to </w:t>
      </w:r>
      <w:r w:rsidRPr="003171CD">
        <w:rPr>
          <w:rFonts w:eastAsiaTheme="minorHAnsi" w:cs="Arial"/>
          <w:lang w:val="en-US"/>
        </w:rPr>
        <w:t>defense, and</w:t>
      </w:r>
      <w:r w:rsidR="005A65CE" w:rsidRPr="003171CD">
        <w:rPr>
          <w:rFonts w:eastAsiaTheme="minorHAnsi" w:cs="Arial"/>
          <w:lang w:val="en-US"/>
        </w:rPr>
        <w:t xml:space="preserve">, </w:t>
      </w:r>
      <w:r w:rsidRPr="003171CD">
        <w:rPr>
          <w:rFonts w:eastAsiaTheme="minorHAnsi" w:cs="Arial"/>
          <w:lang w:val="en-US"/>
        </w:rPr>
        <w:t xml:space="preserve">if </w:t>
      </w:r>
      <w:r w:rsidR="009F1072" w:rsidRPr="003171CD">
        <w:rPr>
          <w:rFonts w:eastAsiaTheme="minorHAnsi" w:cs="Arial"/>
          <w:lang w:val="en-US"/>
        </w:rPr>
        <w:t>appropriate</w:t>
      </w:r>
      <w:r w:rsidR="005A65CE" w:rsidRPr="003171CD">
        <w:rPr>
          <w:rFonts w:eastAsiaTheme="minorHAnsi" w:cs="Arial"/>
          <w:lang w:val="en-US"/>
        </w:rPr>
        <w:t xml:space="preserve">, </w:t>
      </w:r>
      <w:r w:rsidRPr="003171CD">
        <w:rPr>
          <w:rFonts w:eastAsiaTheme="minorHAnsi" w:cs="Arial"/>
          <w:lang w:val="en-US"/>
        </w:rPr>
        <w:t xml:space="preserve">to provide adequate </w:t>
      </w:r>
      <w:r w:rsidR="005A65CE" w:rsidRPr="003171CD">
        <w:rPr>
          <w:rFonts w:eastAsiaTheme="minorHAnsi" w:cs="Arial"/>
          <w:lang w:val="en-US"/>
        </w:rPr>
        <w:t>reparation</w:t>
      </w:r>
      <w:r w:rsidRPr="003171CD">
        <w:rPr>
          <w:rFonts w:eastAsiaTheme="minorHAnsi" w:cs="Arial"/>
          <w:lang w:val="en-US"/>
        </w:rPr>
        <w:t>. In sum</w:t>
      </w:r>
      <w:r w:rsidR="005A65CE" w:rsidRPr="003171CD">
        <w:rPr>
          <w:rFonts w:eastAsiaTheme="minorHAnsi" w:cs="Arial"/>
          <w:lang w:val="en-US"/>
        </w:rPr>
        <w:t xml:space="preserve">, the </w:t>
      </w:r>
      <w:r w:rsidR="005A65CE" w:rsidRPr="003171CD">
        <w:rPr>
          <w:rFonts w:eastAsiaTheme="minorHAnsi"/>
          <w:lang w:val="en-US"/>
        </w:rPr>
        <w:t>re</w:t>
      </w:r>
      <w:r w:rsidRPr="003171CD">
        <w:rPr>
          <w:rFonts w:eastAsiaTheme="minorHAnsi"/>
          <w:lang w:val="en-US"/>
        </w:rPr>
        <w:t xml:space="preserve">medies </w:t>
      </w:r>
      <w:r w:rsidR="005A65CE" w:rsidRPr="003171CD">
        <w:rPr>
          <w:rFonts w:eastAsiaTheme="minorHAnsi"/>
          <w:lang w:val="en-US"/>
        </w:rPr>
        <w:t xml:space="preserve">of review </w:t>
      </w:r>
      <w:r w:rsidRPr="003171CD">
        <w:rPr>
          <w:rFonts w:eastAsiaTheme="minorHAnsi"/>
          <w:lang w:val="en-US"/>
        </w:rPr>
        <w:t xml:space="preserve">did not constitute an effective </w:t>
      </w:r>
      <w:r w:rsidR="005A65CE" w:rsidRPr="003171CD">
        <w:rPr>
          <w:rFonts w:eastAsiaTheme="minorHAnsi"/>
          <w:lang w:val="en-US"/>
        </w:rPr>
        <w:t>re</w:t>
      </w:r>
      <w:r w:rsidRPr="003171CD">
        <w:rPr>
          <w:rFonts w:eastAsiaTheme="minorHAnsi"/>
          <w:lang w:val="en-US"/>
        </w:rPr>
        <w:t xml:space="preserve">medy to </w:t>
      </w:r>
      <w:r w:rsidR="005A65CE" w:rsidRPr="003171CD">
        <w:rPr>
          <w:rFonts w:eastAsiaTheme="minorHAnsi"/>
          <w:lang w:val="en-US"/>
        </w:rPr>
        <w:t>re</w:t>
      </w:r>
      <w:r w:rsidR="003E02EA" w:rsidRPr="003171CD">
        <w:rPr>
          <w:rFonts w:eastAsiaTheme="minorHAnsi"/>
          <w:lang w:val="en-US"/>
        </w:rPr>
        <w:t xml:space="preserve">dress </w:t>
      </w:r>
      <w:r w:rsidR="005A65CE" w:rsidRPr="003171CD">
        <w:rPr>
          <w:rFonts w:eastAsiaTheme="minorHAnsi"/>
          <w:lang w:val="en-US"/>
        </w:rPr>
        <w:t>th</w:t>
      </w:r>
      <w:r w:rsidRPr="003171CD">
        <w:rPr>
          <w:rFonts w:eastAsiaTheme="minorHAnsi"/>
          <w:lang w:val="en-US"/>
        </w:rPr>
        <w:t>e human rights violations and</w:t>
      </w:r>
      <w:r w:rsidR="005A65CE" w:rsidRPr="003171CD">
        <w:rPr>
          <w:rFonts w:eastAsiaTheme="minorHAnsi"/>
          <w:lang w:val="en-US"/>
        </w:rPr>
        <w:t xml:space="preserve">, in particular, </w:t>
      </w:r>
      <w:r w:rsidRPr="003171CD">
        <w:rPr>
          <w:rFonts w:eastAsiaTheme="minorHAnsi"/>
          <w:lang w:val="en-US"/>
        </w:rPr>
        <w:t xml:space="preserve">to </w:t>
      </w:r>
      <w:r w:rsidR="0038071C" w:rsidRPr="003171CD">
        <w:rPr>
          <w:rFonts w:eastAsiaTheme="minorHAnsi"/>
          <w:lang w:val="en-US"/>
        </w:rPr>
        <w:t xml:space="preserve">ensure </w:t>
      </w:r>
      <w:r w:rsidR="00A200CF" w:rsidRPr="003171CD">
        <w:rPr>
          <w:rFonts w:eastAsiaTheme="minorHAnsi"/>
          <w:lang w:val="en-US"/>
        </w:rPr>
        <w:t>respect</w:t>
      </w:r>
      <w:r w:rsidR="005A65CE" w:rsidRPr="003171CD">
        <w:rPr>
          <w:rFonts w:eastAsiaTheme="minorHAnsi"/>
          <w:lang w:val="en-US"/>
        </w:rPr>
        <w:t xml:space="preserve"> </w:t>
      </w:r>
      <w:r w:rsidRPr="003171CD">
        <w:rPr>
          <w:rFonts w:eastAsiaTheme="minorHAnsi"/>
          <w:lang w:val="en-US"/>
        </w:rPr>
        <w:t xml:space="preserve">for the presumption of </w:t>
      </w:r>
      <w:r w:rsidR="0038071C" w:rsidRPr="003171CD">
        <w:rPr>
          <w:rFonts w:eastAsiaTheme="minorHAnsi"/>
          <w:lang w:val="en-US"/>
        </w:rPr>
        <w:t>innocence and the</w:t>
      </w:r>
      <w:r w:rsidR="005A65CE" w:rsidRPr="003171CD">
        <w:rPr>
          <w:rFonts w:eastAsiaTheme="minorHAnsi"/>
          <w:lang w:val="en-US"/>
        </w:rPr>
        <w:t xml:space="preserve"> right </w:t>
      </w:r>
      <w:r w:rsidR="0038071C" w:rsidRPr="003171CD">
        <w:rPr>
          <w:rFonts w:eastAsiaTheme="minorHAnsi"/>
          <w:lang w:val="en-US"/>
        </w:rPr>
        <w:t xml:space="preserve">of </w:t>
      </w:r>
      <w:r w:rsidR="005A65CE" w:rsidRPr="003171CD">
        <w:rPr>
          <w:rFonts w:eastAsiaTheme="minorHAnsi"/>
          <w:lang w:val="en-US"/>
        </w:rPr>
        <w:t>defense</w:t>
      </w:r>
      <w:r w:rsidR="005A65CE" w:rsidRPr="003171CD">
        <w:rPr>
          <w:rFonts w:eastAsiaTheme="minorHAnsi" w:cs="Arial"/>
          <w:lang w:val="en-US"/>
        </w:rPr>
        <w:t>.</w:t>
      </w:r>
    </w:p>
    <w:p w14:paraId="09A85B1B" w14:textId="77777777" w:rsidR="005A65CE" w:rsidRPr="003171CD" w:rsidRDefault="005A65CE" w:rsidP="005A65CE">
      <w:pPr>
        <w:pStyle w:val="Prrafodelista"/>
        <w:rPr>
          <w:rFonts w:eastAsiaTheme="minorHAnsi" w:cs="Arial"/>
          <w:lang w:val="en-US"/>
        </w:rPr>
      </w:pPr>
    </w:p>
    <w:p w14:paraId="1ABBD328" w14:textId="77777777" w:rsidR="005A65CE" w:rsidRPr="003171CD" w:rsidRDefault="00B73310" w:rsidP="005A65CE">
      <w:pPr>
        <w:pStyle w:val="Prrafodelista"/>
        <w:numPr>
          <w:ilvl w:val="0"/>
          <w:numId w:val="1"/>
        </w:numPr>
        <w:jc w:val="both"/>
        <w:rPr>
          <w:rFonts w:eastAsiaTheme="minorHAnsi" w:cs="Arial"/>
          <w:lang w:val="en-US"/>
        </w:rPr>
      </w:pPr>
      <w:r w:rsidRPr="003171CD">
        <w:rPr>
          <w:rFonts w:eastAsiaTheme="minorHAnsi" w:cs="Arial"/>
          <w:lang w:val="en-US"/>
        </w:rPr>
        <w:t xml:space="preserve">Accordingly, </w:t>
      </w:r>
      <w:r w:rsidR="005A65CE" w:rsidRPr="003171CD">
        <w:rPr>
          <w:rFonts w:eastAsiaTheme="minorHAnsi" w:cs="Arial"/>
          <w:lang w:val="en-US"/>
        </w:rPr>
        <w:t>and t</w:t>
      </w:r>
      <w:r w:rsidR="001D32B5" w:rsidRPr="003171CD">
        <w:rPr>
          <w:rFonts w:eastAsiaTheme="minorHAnsi" w:cs="Arial"/>
          <w:lang w:val="en-US"/>
        </w:rPr>
        <w:t xml:space="preserve">aking into account </w:t>
      </w:r>
      <w:r w:rsidR="005A65CE" w:rsidRPr="003171CD">
        <w:rPr>
          <w:rFonts w:eastAsiaTheme="minorHAnsi" w:cs="Arial"/>
          <w:lang w:val="en-US"/>
        </w:rPr>
        <w:t xml:space="preserve">the </w:t>
      </w:r>
      <w:r w:rsidR="001D32B5" w:rsidRPr="003171CD">
        <w:rPr>
          <w:rFonts w:eastAsiaTheme="minorHAnsi" w:cs="Arial"/>
          <w:lang w:val="en-US"/>
        </w:rPr>
        <w:t xml:space="preserve">State’s </w:t>
      </w:r>
      <w:r w:rsidR="005A65CE" w:rsidRPr="003171CD">
        <w:rPr>
          <w:rFonts w:eastAsiaTheme="minorHAnsi" w:cs="Arial"/>
          <w:lang w:val="en-US"/>
        </w:rPr>
        <w:t>acknowledgment of responsibility, the Court conclu</w:t>
      </w:r>
      <w:r w:rsidR="001D32B5" w:rsidRPr="003171CD">
        <w:rPr>
          <w:rFonts w:eastAsiaTheme="minorHAnsi" w:cs="Arial"/>
          <w:lang w:val="en-US"/>
        </w:rPr>
        <w:t xml:space="preserve">des </w:t>
      </w:r>
      <w:r w:rsidR="005A65CE" w:rsidRPr="003171CD">
        <w:rPr>
          <w:rFonts w:eastAsiaTheme="minorHAnsi" w:cs="Arial"/>
          <w:lang w:val="en-US"/>
        </w:rPr>
        <w:t>that the State is responsible for the v</w:t>
      </w:r>
      <w:r w:rsidR="001D32B5" w:rsidRPr="003171CD">
        <w:rPr>
          <w:rFonts w:eastAsiaTheme="minorHAnsi" w:cs="Arial"/>
          <w:lang w:val="en-US"/>
        </w:rPr>
        <w:t xml:space="preserve">iolation of </w:t>
      </w:r>
      <w:r w:rsidR="005A65CE" w:rsidRPr="003171CD">
        <w:rPr>
          <w:rFonts w:eastAsiaTheme="minorHAnsi" w:cs="Arial"/>
          <w:lang w:val="en-US"/>
        </w:rPr>
        <w:t xml:space="preserve">Article </w:t>
      </w:r>
      <w:r w:rsidR="00834B13" w:rsidRPr="003171CD">
        <w:rPr>
          <w:rFonts w:eastAsiaTheme="minorHAnsi" w:cs="Arial"/>
          <w:lang w:val="en-US"/>
        </w:rPr>
        <w:t>25(1)</w:t>
      </w:r>
      <w:r w:rsidR="005A65CE" w:rsidRPr="003171CD">
        <w:rPr>
          <w:rFonts w:eastAsiaTheme="minorHAnsi" w:cs="Arial"/>
          <w:lang w:val="en-US"/>
        </w:rPr>
        <w:t xml:space="preserve"> of the American Convention, in relation to Article 1(1) thereof, to the detriment of  José Agapito Ruano Torres.</w:t>
      </w:r>
    </w:p>
    <w:p w14:paraId="32A06FC9" w14:textId="77777777" w:rsidR="005A65CE" w:rsidRPr="003171CD" w:rsidRDefault="005A65CE" w:rsidP="005A65CE">
      <w:pPr>
        <w:jc w:val="both"/>
        <w:rPr>
          <w:lang w:val="en-US"/>
        </w:rPr>
      </w:pPr>
    </w:p>
    <w:p w14:paraId="4FED4C15" w14:textId="77777777" w:rsidR="005A65CE" w:rsidRPr="003171CD" w:rsidRDefault="005A65CE" w:rsidP="005A65CE">
      <w:pPr>
        <w:pStyle w:val="Prrafodelista"/>
        <w:keepNext/>
        <w:keepLines/>
        <w:numPr>
          <w:ilvl w:val="0"/>
          <w:numId w:val="17"/>
        </w:numPr>
        <w:ind w:left="1418" w:hanging="709"/>
        <w:jc w:val="both"/>
        <w:outlineLvl w:val="1"/>
        <w:rPr>
          <w:rFonts w:cs="Arial"/>
          <w:b/>
          <w:i/>
          <w:lang w:val="en-US"/>
        </w:rPr>
      </w:pPr>
      <w:bookmarkStart w:id="49" w:name="_Toc45186710"/>
      <w:r w:rsidRPr="003171CD">
        <w:rPr>
          <w:rFonts w:cs="Arial"/>
          <w:b/>
          <w:i/>
          <w:lang w:val="en-US"/>
        </w:rPr>
        <w:t xml:space="preserve">Violation </w:t>
      </w:r>
      <w:r w:rsidR="001D32B5" w:rsidRPr="003171CD">
        <w:rPr>
          <w:rFonts w:cs="Arial"/>
          <w:b/>
          <w:i/>
          <w:lang w:val="en-US"/>
        </w:rPr>
        <w:t xml:space="preserve">of the right to </w:t>
      </w:r>
      <w:r w:rsidRPr="003171CD">
        <w:rPr>
          <w:rFonts w:cs="Arial"/>
          <w:b/>
          <w:i/>
          <w:lang w:val="en-US"/>
        </w:rPr>
        <w:t xml:space="preserve">personal </w:t>
      </w:r>
      <w:r w:rsidR="001D32B5" w:rsidRPr="003171CD">
        <w:rPr>
          <w:rFonts w:cs="Arial"/>
          <w:b/>
          <w:i/>
          <w:lang w:val="en-US"/>
        </w:rPr>
        <w:t xml:space="preserve">liberty of </w:t>
      </w:r>
      <w:r w:rsidRPr="003171CD">
        <w:rPr>
          <w:rFonts w:cs="Arial"/>
          <w:b/>
          <w:i/>
          <w:lang w:val="en-US"/>
        </w:rPr>
        <w:t>José Agapito Ruano Torres</w:t>
      </w:r>
      <w:bookmarkEnd w:id="49"/>
    </w:p>
    <w:p w14:paraId="5D8CA834" w14:textId="77777777" w:rsidR="005A65CE" w:rsidRPr="003171CD" w:rsidRDefault="005A65CE" w:rsidP="005A65CE">
      <w:pPr>
        <w:jc w:val="both"/>
        <w:rPr>
          <w:lang w:val="en-US"/>
        </w:rPr>
      </w:pPr>
    </w:p>
    <w:p w14:paraId="781DC647" w14:textId="77777777" w:rsidR="005A65CE" w:rsidRPr="003171CD" w:rsidRDefault="005A65CE" w:rsidP="005A65CE">
      <w:pPr>
        <w:pStyle w:val="Prrafodelista"/>
        <w:numPr>
          <w:ilvl w:val="0"/>
          <w:numId w:val="1"/>
        </w:numPr>
        <w:jc w:val="both"/>
        <w:rPr>
          <w:lang w:val="en-US"/>
        </w:rPr>
      </w:pPr>
      <w:r w:rsidRPr="003171CD">
        <w:rPr>
          <w:lang w:val="en-US"/>
        </w:rPr>
        <w:t>The Court ha</w:t>
      </w:r>
      <w:r w:rsidR="00DC6D48" w:rsidRPr="003171CD">
        <w:rPr>
          <w:lang w:val="en-US"/>
        </w:rPr>
        <w:t>s</w:t>
      </w:r>
      <w:r w:rsidRPr="003171CD">
        <w:rPr>
          <w:lang w:val="en-US"/>
        </w:rPr>
        <w:t xml:space="preserve"> </w:t>
      </w:r>
      <w:r w:rsidR="003E02EA" w:rsidRPr="003171CD">
        <w:rPr>
          <w:lang w:val="en-US"/>
        </w:rPr>
        <w:t xml:space="preserve">indicated </w:t>
      </w:r>
      <w:r w:rsidRPr="003171CD">
        <w:rPr>
          <w:lang w:val="en-US"/>
        </w:rPr>
        <w:t>that the es</w:t>
      </w:r>
      <w:r w:rsidR="00DC6D48" w:rsidRPr="003171CD">
        <w:rPr>
          <w:lang w:val="en-US"/>
        </w:rPr>
        <w:t>sen</w:t>
      </w:r>
      <w:r w:rsidR="0049626F" w:rsidRPr="003171CD">
        <w:rPr>
          <w:lang w:val="en-US"/>
        </w:rPr>
        <w:t xml:space="preserve">ce </w:t>
      </w:r>
      <w:r w:rsidR="00DC6D48" w:rsidRPr="003171CD">
        <w:rPr>
          <w:lang w:val="en-US"/>
        </w:rPr>
        <w:t xml:space="preserve">of </w:t>
      </w:r>
      <w:r w:rsidRPr="003171CD">
        <w:rPr>
          <w:lang w:val="en-US"/>
        </w:rPr>
        <w:t>Article 7</w:t>
      </w:r>
      <w:r w:rsidRPr="003171CD">
        <w:rPr>
          <w:vertAlign w:val="superscript"/>
          <w:lang w:val="en-US"/>
        </w:rPr>
        <w:footnoteReference w:id="198"/>
      </w:r>
      <w:r w:rsidRPr="003171CD">
        <w:rPr>
          <w:lang w:val="en-US"/>
        </w:rPr>
        <w:t xml:space="preserve"> of the American Convention</w:t>
      </w:r>
      <w:r w:rsidRPr="003171CD">
        <w:rPr>
          <w:szCs w:val="20"/>
          <w:lang w:val="en-US"/>
        </w:rPr>
        <w:t xml:space="preserve"> is the protecti</w:t>
      </w:r>
      <w:r w:rsidR="00D52A83" w:rsidRPr="003171CD">
        <w:rPr>
          <w:szCs w:val="20"/>
          <w:lang w:val="en-US"/>
        </w:rPr>
        <w:t xml:space="preserve">on of the </w:t>
      </w:r>
      <w:r w:rsidR="00E755FC" w:rsidRPr="003171CD">
        <w:rPr>
          <w:szCs w:val="20"/>
          <w:lang w:val="en-US"/>
        </w:rPr>
        <w:t>liberty</w:t>
      </w:r>
      <w:r w:rsidR="00D52A83" w:rsidRPr="003171CD">
        <w:rPr>
          <w:szCs w:val="20"/>
          <w:lang w:val="en-US"/>
        </w:rPr>
        <w:t xml:space="preserve"> </w:t>
      </w:r>
      <w:r w:rsidR="008D5B5F" w:rsidRPr="003171CD">
        <w:rPr>
          <w:szCs w:val="20"/>
          <w:lang w:val="en-US"/>
        </w:rPr>
        <w:t xml:space="preserve">of the </w:t>
      </w:r>
      <w:r w:rsidR="00D52A83" w:rsidRPr="003171CD">
        <w:rPr>
          <w:szCs w:val="20"/>
          <w:lang w:val="en-US"/>
        </w:rPr>
        <w:t xml:space="preserve">individual </w:t>
      </w:r>
      <w:r w:rsidR="0049626F" w:rsidRPr="003171CD">
        <w:rPr>
          <w:szCs w:val="20"/>
          <w:lang w:val="en-US"/>
        </w:rPr>
        <w:t xml:space="preserve">from </w:t>
      </w:r>
      <w:r w:rsidRPr="003171CD">
        <w:rPr>
          <w:szCs w:val="20"/>
          <w:lang w:val="en-US"/>
        </w:rPr>
        <w:t>arbitrary or il</w:t>
      </w:r>
      <w:r w:rsidR="00D52A83" w:rsidRPr="003171CD">
        <w:rPr>
          <w:szCs w:val="20"/>
          <w:lang w:val="en-US"/>
        </w:rPr>
        <w:t>l</w:t>
      </w:r>
      <w:r w:rsidRPr="003171CD">
        <w:rPr>
          <w:szCs w:val="20"/>
          <w:lang w:val="en-US"/>
        </w:rPr>
        <w:t xml:space="preserve">egal </w:t>
      </w:r>
      <w:r w:rsidR="0049626F" w:rsidRPr="003171CD">
        <w:rPr>
          <w:szCs w:val="20"/>
          <w:lang w:val="en-US"/>
        </w:rPr>
        <w:t>interference by</w:t>
      </w:r>
      <w:r w:rsidR="00D52A83" w:rsidRPr="003171CD">
        <w:rPr>
          <w:szCs w:val="20"/>
          <w:lang w:val="en-US"/>
        </w:rPr>
        <w:t xml:space="preserve"> </w:t>
      </w:r>
      <w:r w:rsidRPr="003171CD">
        <w:rPr>
          <w:szCs w:val="20"/>
          <w:lang w:val="en-US"/>
        </w:rPr>
        <w:t>the State</w:t>
      </w:r>
      <w:r w:rsidR="00D52A83" w:rsidRPr="003171CD">
        <w:rPr>
          <w:szCs w:val="20"/>
          <w:lang w:val="en-US"/>
        </w:rPr>
        <w:t>.</w:t>
      </w:r>
      <w:r w:rsidRPr="003171CD">
        <w:rPr>
          <w:rStyle w:val="TextonotapieCar"/>
          <w:vertAlign w:val="superscript"/>
          <w:lang w:val="en-US"/>
        </w:rPr>
        <w:footnoteReference w:id="199"/>
      </w:r>
      <w:r w:rsidR="00DC6D48" w:rsidRPr="003171CD">
        <w:rPr>
          <w:lang w:val="en-US"/>
        </w:rPr>
        <w:t xml:space="preserve"> </w:t>
      </w:r>
      <w:r w:rsidR="00AF1F35" w:rsidRPr="003171CD">
        <w:rPr>
          <w:lang w:val="en-US"/>
        </w:rPr>
        <w:t xml:space="preserve">In general terms, </w:t>
      </w:r>
      <w:r w:rsidRPr="003171CD">
        <w:rPr>
          <w:lang w:val="en-US"/>
        </w:rPr>
        <w:t>Article 7</w:t>
      </w:r>
      <w:r w:rsidR="00D731AF" w:rsidRPr="003171CD">
        <w:rPr>
          <w:lang w:val="en-US"/>
        </w:rPr>
        <w:t>(1)</w:t>
      </w:r>
      <w:r w:rsidRPr="003171CD">
        <w:rPr>
          <w:lang w:val="en-US"/>
        </w:rPr>
        <w:t xml:space="preserve"> </w:t>
      </w:r>
      <w:r w:rsidR="00AF1F35" w:rsidRPr="003171CD">
        <w:rPr>
          <w:lang w:val="en-US"/>
        </w:rPr>
        <w:t>protects</w:t>
      </w:r>
      <w:r w:rsidRPr="003171CD">
        <w:rPr>
          <w:lang w:val="en-US"/>
        </w:rPr>
        <w:t xml:space="preserve"> the right to </w:t>
      </w:r>
      <w:r w:rsidR="00D52A83" w:rsidRPr="003171CD">
        <w:rPr>
          <w:lang w:val="en-US"/>
        </w:rPr>
        <w:t>personal liberty and security</w:t>
      </w:r>
      <w:r w:rsidRPr="003171CD">
        <w:rPr>
          <w:lang w:val="en-US"/>
        </w:rPr>
        <w:t xml:space="preserve">, </w:t>
      </w:r>
      <w:r w:rsidR="00D731AF" w:rsidRPr="003171CD">
        <w:rPr>
          <w:lang w:val="en-US"/>
        </w:rPr>
        <w:t>wh</w:t>
      </w:r>
      <w:r w:rsidR="00AF1F35" w:rsidRPr="003171CD">
        <w:rPr>
          <w:lang w:val="en-US"/>
        </w:rPr>
        <w:t xml:space="preserve">ereas </w:t>
      </w:r>
      <w:r w:rsidRPr="003171CD">
        <w:rPr>
          <w:lang w:val="en-US"/>
        </w:rPr>
        <w:t xml:space="preserve">the </w:t>
      </w:r>
      <w:r w:rsidR="008D5B5F" w:rsidRPr="003171CD">
        <w:rPr>
          <w:lang w:val="en-US"/>
        </w:rPr>
        <w:t xml:space="preserve">other </w:t>
      </w:r>
      <w:r w:rsidR="00D731AF" w:rsidRPr="003171CD">
        <w:rPr>
          <w:lang w:val="en-US"/>
        </w:rPr>
        <w:t xml:space="preserve">subparagraphs </w:t>
      </w:r>
      <w:r w:rsidR="007639FA" w:rsidRPr="003171CD">
        <w:rPr>
          <w:lang w:val="en-US"/>
        </w:rPr>
        <w:t xml:space="preserve">of that article </w:t>
      </w:r>
      <w:r w:rsidR="00D52A83" w:rsidRPr="003171CD">
        <w:rPr>
          <w:lang w:val="en-US"/>
        </w:rPr>
        <w:t xml:space="preserve">protect </w:t>
      </w:r>
      <w:r w:rsidR="00DC6D48" w:rsidRPr="003171CD">
        <w:rPr>
          <w:lang w:val="en-US"/>
        </w:rPr>
        <w:t xml:space="preserve">specific </w:t>
      </w:r>
      <w:r w:rsidRPr="003171CD">
        <w:rPr>
          <w:lang w:val="en-US"/>
        </w:rPr>
        <w:t xml:space="preserve">aspects </w:t>
      </w:r>
      <w:r w:rsidR="00AF1F35" w:rsidRPr="003171CD">
        <w:rPr>
          <w:lang w:val="en-US"/>
        </w:rPr>
        <w:t>of that right. Any</w:t>
      </w:r>
      <w:r w:rsidRPr="003171CD">
        <w:rPr>
          <w:lang w:val="en-US"/>
        </w:rPr>
        <w:t xml:space="preserve"> violation of </w:t>
      </w:r>
      <w:r w:rsidR="008A2EFC" w:rsidRPr="003171CD">
        <w:rPr>
          <w:lang w:val="en-US"/>
        </w:rPr>
        <w:t>those</w:t>
      </w:r>
      <w:r w:rsidRPr="003171CD">
        <w:rPr>
          <w:lang w:val="en-US"/>
        </w:rPr>
        <w:t xml:space="preserve"> </w:t>
      </w:r>
      <w:r w:rsidR="00D731AF" w:rsidRPr="003171CD">
        <w:rPr>
          <w:lang w:val="en-US"/>
        </w:rPr>
        <w:t xml:space="preserve">subparagraphs necessarily entails the violation </w:t>
      </w:r>
      <w:r w:rsidR="00DC6D48" w:rsidRPr="003171CD">
        <w:rPr>
          <w:lang w:val="en-US"/>
        </w:rPr>
        <w:t xml:space="preserve">of </w:t>
      </w:r>
      <w:r w:rsidRPr="003171CD">
        <w:rPr>
          <w:lang w:val="en-US"/>
        </w:rPr>
        <w:t xml:space="preserve">Article </w:t>
      </w:r>
      <w:r w:rsidR="00DC6D48" w:rsidRPr="003171CD">
        <w:rPr>
          <w:lang w:val="en-US"/>
        </w:rPr>
        <w:t>7(1)</w:t>
      </w:r>
      <w:r w:rsidRPr="003171CD">
        <w:rPr>
          <w:lang w:val="en-US"/>
        </w:rPr>
        <w:t xml:space="preserve"> of the Convention, “</w:t>
      </w:r>
      <w:r w:rsidR="00D731AF" w:rsidRPr="003171CD">
        <w:rPr>
          <w:lang w:val="en-US"/>
        </w:rPr>
        <w:t xml:space="preserve">because the failure </w:t>
      </w:r>
      <w:r w:rsidR="007639FA" w:rsidRPr="003171CD">
        <w:rPr>
          <w:lang w:val="en-US"/>
        </w:rPr>
        <w:t>to respect the guarantees of a</w:t>
      </w:r>
      <w:r w:rsidR="00D731AF" w:rsidRPr="003171CD">
        <w:rPr>
          <w:lang w:val="en-US"/>
        </w:rPr>
        <w:t xml:space="preserve"> person deprived of liberty leads to the lack of protection of that person’s right to liberty</w:t>
      </w:r>
      <w:r w:rsidR="003E02EA" w:rsidRPr="003171CD">
        <w:rPr>
          <w:lang w:val="en-US"/>
        </w:rPr>
        <w:t>.</w:t>
      </w:r>
      <w:r w:rsidRPr="003171CD">
        <w:rPr>
          <w:lang w:val="en-US"/>
        </w:rPr>
        <w:t>”</w:t>
      </w:r>
      <w:r w:rsidRPr="003171CD">
        <w:rPr>
          <w:vertAlign w:val="superscript"/>
          <w:lang w:val="en-US"/>
        </w:rPr>
        <w:footnoteReference w:id="200"/>
      </w:r>
      <w:r w:rsidRPr="003171CD">
        <w:rPr>
          <w:lang w:val="en-US"/>
        </w:rPr>
        <w:t xml:space="preserve"> Art</w:t>
      </w:r>
      <w:r w:rsidR="00D52A83" w:rsidRPr="003171CD">
        <w:rPr>
          <w:lang w:val="en-US"/>
        </w:rPr>
        <w:t xml:space="preserve">icle 7 also </w:t>
      </w:r>
      <w:r w:rsidR="00AF1F35" w:rsidRPr="003171CD">
        <w:rPr>
          <w:lang w:val="en-US"/>
        </w:rPr>
        <w:t xml:space="preserve">contains regulatory mandates that prohibit </w:t>
      </w:r>
      <w:r w:rsidR="007639FA" w:rsidRPr="003171CD">
        <w:rPr>
          <w:lang w:val="en-US"/>
        </w:rPr>
        <w:t>unlawful</w:t>
      </w:r>
      <w:r w:rsidRPr="003171CD">
        <w:rPr>
          <w:rStyle w:val="Refdenotaalpie"/>
          <w:lang w:val="en-US"/>
        </w:rPr>
        <w:footnoteReference w:id="201"/>
      </w:r>
      <w:r w:rsidRPr="003171CD">
        <w:rPr>
          <w:lang w:val="en-US"/>
        </w:rPr>
        <w:t xml:space="preserve"> </w:t>
      </w:r>
      <w:r w:rsidR="007639FA" w:rsidRPr="003171CD">
        <w:rPr>
          <w:lang w:val="en-US"/>
        </w:rPr>
        <w:t xml:space="preserve">or </w:t>
      </w:r>
      <w:r w:rsidR="00A624CA" w:rsidRPr="003171CD">
        <w:rPr>
          <w:lang w:val="en-US"/>
        </w:rPr>
        <w:t>arbitrary detentions or arrests</w:t>
      </w:r>
      <w:r w:rsidRPr="003171CD">
        <w:rPr>
          <w:rStyle w:val="Refdenotaalpie"/>
          <w:lang w:val="en-US"/>
        </w:rPr>
        <w:footnoteReference w:id="202"/>
      </w:r>
      <w:r w:rsidRPr="003171CD">
        <w:rPr>
          <w:lang w:val="en-US"/>
        </w:rPr>
        <w:t xml:space="preserve"> and </w:t>
      </w:r>
      <w:r w:rsidR="003E02EA" w:rsidRPr="003171CD">
        <w:rPr>
          <w:lang w:val="en-US"/>
        </w:rPr>
        <w:t>guarantee</w:t>
      </w:r>
      <w:r w:rsidR="00E87FF4" w:rsidRPr="003171CD">
        <w:rPr>
          <w:lang w:val="en-US"/>
        </w:rPr>
        <w:t>s</w:t>
      </w:r>
      <w:r w:rsidR="003E02EA" w:rsidRPr="003171CD">
        <w:rPr>
          <w:lang w:val="en-US"/>
        </w:rPr>
        <w:t xml:space="preserve"> </w:t>
      </w:r>
      <w:r w:rsidRPr="003171CD">
        <w:rPr>
          <w:lang w:val="en-US"/>
        </w:rPr>
        <w:t xml:space="preserve">that </w:t>
      </w:r>
      <w:r w:rsidR="003E02EA" w:rsidRPr="003171CD">
        <w:rPr>
          <w:lang w:val="en-US"/>
        </w:rPr>
        <w:t xml:space="preserve">anyone deprived </w:t>
      </w:r>
      <w:r w:rsidRPr="003171CD">
        <w:rPr>
          <w:lang w:val="en-US"/>
        </w:rPr>
        <w:t xml:space="preserve">of </w:t>
      </w:r>
      <w:r w:rsidR="003E02EA" w:rsidRPr="003171CD">
        <w:rPr>
          <w:lang w:val="en-US"/>
        </w:rPr>
        <w:t xml:space="preserve">his </w:t>
      </w:r>
      <w:r w:rsidR="00E755FC" w:rsidRPr="003171CD">
        <w:rPr>
          <w:lang w:val="en-US"/>
        </w:rPr>
        <w:t>liberty</w:t>
      </w:r>
      <w:r w:rsidRPr="003171CD">
        <w:rPr>
          <w:lang w:val="en-US"/>
        </w:rPr>
        <w:t xml:space="preserve"> </w:t>
      </w:r>
      <w:r w:rsidR="00D731AF" w:rsidRPr="003171CD">
        <w:rPr>
          <w:lang w:val="en-US"/>
        </w:rPr>
        <w:t xml:space="preserve">may appeal </w:t>
      </w:r>
      <w:r w:rsidRPr="003171CD">
        <w:rPr>
          <w:lang w:val="en-US"/>
        </w:rPr>
        <w:t>the l</w:t>
      </w:r>
      <w:r w:rsidR="007639FA" w:rsidRPr="003171CD">
        <w:rPr>
          <w:lang w:val="en-US"/>
        </w:rPr>
        <w:t xml:space="preserve">egality </w:t>
      </w:r>
      <w:r w:rsidR="00982E4F" w:rsidRPr="003171CD">
        <w:rPr>
          <w:lang w:val="en-US"/>
        </w:rPr>
        <w:t xml:space="preserve">of his </w:t>
      </w:r>
      <w:r w:rsidRPr="003171CD">
        <w:rPr>
          <w:lang w:val="en-US"/>
        </w:rPr>
        <w:t>detention</w:t>
      </w:r>
      <w:r w:rsidR="00EA0B61" w:rsidRPr="003171CD">
        <w:rPr>
          <w:lang w:val="en-US"/>
        </w:rPr>
        <w:t xml:space="preserve"> before a competent judge or c</w:t>
      </w:r>
      <w:r w:rsidR="00D118CB" w:rsidRPr="003171CD">
        <w:rPr>
          <w:lang w:val="en-US"/>
        </w:rPr>
        <w:t>ourt</w:t>
      </w:r>
      <w:r w:rsidRPr="003171CD">
        <w:rPr>
          <w:lang w:val="en-US"/>
        </w:rPr>
        <w:t xml:space="preserve">, </w:t>
      </w:r>
      <w:r w:rsidR="00A624CA" w:rsidRPr="003171CD">
        <w:rPr>
          <w:lang w:val="en-US"/>
        </w:rPr>
        <w:t xml:space="preserve">for a </w:t>
      </w:r>
      <w:r w:rsidR="00614336" w:rsidRPr="003171CD">
        <w:rPr>
          <w:lang w:val="en-US"/>
        </w:rPr>
        <w:t>deci</w:t>
      </w:r>
      <w:r w:rsidR="00A624CA" w:rsidRPr="003171CD">
        <w:rPr>
          <w:lang w:val="en-US"/>
        </w:rPr>
        <w:t>sion on the lawfulness of the arrest or detention, so that the latter can decide, promptly, on the lawfulness of the deprivation of liberty and, if appropriate, order his release</w:t>
      </w:r>
      <w:r w:rsidR="00EA0B61" w:rsidRPr="003171CD">
        <w:rPr>
          <w:lang w:val="en-US"/>
        </w:rPr>
        <w:t>.</w:t>
      </w:r>
      <w:r w:rsidRPr="003171CD">
        <w:rPr>
          <w:vertAlign w:val="superscript"/>
          <w:lang w:val="en-US"/>
        </w:rPr>
        <w:footnoteReference w:id="203"/>
      </w:r>
      <w:r w:rsidRPr="003171CD">
        <w:rPr>
          <w:lang w:val="en-US"/>
        </w:rPr>
        <w:t xml:space="preserve"> The Court ha</w:t>
      </w:r>
      <w:r w:rsidR="00AF7E01" w:rsidRPr="003171CD">
        <w:rPr>
          <w:lang w:val="en-US"/>
        </w:rPr>
        <w:t xml:space="preserve">s </w:t>
      </w:r>
      <w:r w:rsidR="00E87FF4" w:rsidRPr="003171CD">
        <w:rPr>
          <w:lang w:val="en-US"/>
        </w:rPr>
        <w:t xml:space="preserve">also </w:t>
      </w:r>
      <w:r w:rsidR="00AF7E01" w:rsidRPr="003171CD">
        <w:rPr>
          <w:lang w:val="en-US"/>
        </w:rPr>
        <w:t>emphasized that such</w:t>
      </w:r>
      <w:r w:rsidR="00EA0B61" w:rsidRPr="003171CD">
        <w:rPr>
          <w:lang w:val="en-US"/>
        </w:rPr>
        <w:t xml:space="preserve"> </w:t>
      </w:r>
      <w:r w:rsidR="000B69EC" w:rsidRPr="003171CD">
        <w:rPr>
          <w:lang w:val="en-US"/>
        </w:rPr>
        <w:t>guarantee</w:t>
      </w:r>
      <w:r w:rsidR="00E87FF4" w:rsidRPr="003171CD">
        <w:rPr>
          <w:lang w:val="en-US"/>
        </w:rPr>
        <w:t>s</w:t>
      </w:r>
      <w:r w:rsidR="00EA0B61" w:rsidRPr="003171CD">
        <w:rPr>
          <w:lang w:val="en-US"/>
        </w:rPr>
        <w:t xml:space="preserve"> </w:t>
      </w:r>
      <w:r w:rsidR="00EA0B61" w:rsidRPr="003171CD">
        <w:rPr>
          <w:lang w:val="en-US"/>
        </w:rPr>
        <w:lastRenderedPageBreak/>
        <w:t>“</w:t>
      </w:r>
      <w:r w:rsidR="00AF7E01" w:rsidRPr="003171CD">
        <w:rPr>
          <w:lang w:val="en-US"/>
        </w:rPr>
        <w:t xml:space="preserve">should not only exist formally </w:t>
      </w:r>
      <w:r w:rsidRPr="003171CD">
        <w:rPr>
          <w:lang w:val="en-US"/>
        </w:rPr>
        <w:t>in the legislation</w:t>
      </w:r>
      <w:r w:rsidR="00E87FF4" w:rsidRPr="003171CD">
        <w:rPr>
          <w:lang w:val="en-US"/>
        </w:rPr>
        <w:t>,</w:t>
      </w:r>
      <w:r w:rsidRPr="003171CD">
        <w:rPr>
          <w:lang w:val="en-US"/>
        </w:rPr>
        <w:t xml:space="preserve"> </w:t>
      </w:r>
      <w:r w:rsidR="00EA0B61" w:rsidRPr="003171CD">
        <w:rPr>
          <w:lang w:val="en-US"/>
        </w:rPr>
        <w:t xml:space="preserve">but </w:t>
      </w:r>
      <w:r w:rsidR="00E87FF4" w:rsidRPr="003171CD">
        <w:rPr>
          <w:lang w:val="en-US"/>
        </w:rPr>
        <w:t xml:space="preserve">they </w:t>
      </w:r>
      <w:r w:rsidR="00EA0B61" w:rsidRPr="003171CD">
        <w:rPr>
          <w:lang w:val="en-US"/>
        </w:rPr>
        <w:t>must also be effective</w:t>
      </w:r>
      <w:r w:rsidRPr="003171CD">
        <w:rPr>
          <w:lang w:val="en-US"/>
        </w:rPr>
        <w:t xml:space="preserve">, </w:t>
      </w:r>
      <w:r w:rsidR="00EA0B61" w:rsidRPr="003171CD">
        <w:rPr>
          <w:lang w:val="en-US"/>
        </w:rPr>
        <w:t>that is</w:t>
      </w:r>
      <w:r w:rsidRPr="003171CD">
        <w:rPr>
          <w:lang w:val="en-US"/>
        </w:rPr>
        <w:t xml:space="preserve">, </w:t>
      </w:r>
      <w:r w:rsidR="00E87FF4" w:rsidRPr="003171CD">
        <w:rPr>
          <w:lang w:val="en-US"/>
        </w:rPr>
        <w:t xml:space="preserve">they </w:t>
      </w:r>
      <w:r w:rsidR="00AF7E01" w:rsidRPr="003171CD">
        <w:rPr>
          <w:lang w:val="en-US"/>
        </w:rPr>
        <w:t xml:space="preserve">must </w:t>
      </w:r>
      <w:r w:rsidR="00DC2F40" w:rsidRPr="003171CD">
        <w:rPr>
          <w:lang w:val="en-US"/>
        </w:rPr>
        <w:t xml:space="preserve">fulfill </w:t>
      </w:r>
      <w:r w:rsidRPr="003171CD">
        <w:rPr>
          <w:lang w:val="en-US"/>
        </w:rPr>
        <w:t>the obje</w:t>
      </w:r>
      <w:r w:rsidR="00DC2F40" w:rsidRPr="003171CD">
        <w:rPr>
          <w:lang w:val="en-US"/>
        </w:rPr>
        <w:t>ctive</w:t>
      </w:r>
      <w:r w:rsidRPr="003171CD">
        <w:rPr>
          <w:lang w:val="en-US"/>
        </w:rPr>
        <w:t xml:space="preserve"> of obt</w:t>
      </w:r>
      <w:r w:rsidR="00EA0B61" w:rsidRPr="003171CD">
        <w:rPr>
          <w:lang w:val="en-US"/>
        </w:rPr>
        <w:t xml:space="preserve">aining, without delay, </w:t>
      </w:r>
      <w:r w:rsidRPr="003171CD">
        <w:rPr>
          <w:lang w:val="en-US"/>
        </w:rPr>
        <w:t>a decis</w:t>
      </w:r>
      <w:r w:rsidR="00D731AF" w:rsidRPr="003171CD">
        <w:rPr>
          <w:lang w:val="en-US"/>
        </w:rPr>
        <w:t>ion on the l</w:t>
      </w:r>
      <w:r w:rsidR="00E87FF4" w:rsidRPr="003171CD">
        <w:rPr>
          <w:lang w:val="en-US"/>
        </w:rPr>
        <w:t xml:space="preserve">egality </w:t>
      </w:r>
      <w:r w:rsidR="000B69EC" w:rsidRPr="003171CD">
        <w:rPr>
          <w:lang w:val="en-US"/>
        </w:rPr>
        <w:t xml:space="preserve">of the </w:t>
      </w:r>
      <w:r w:rsidR="00D731AF" w:rsidRPr="003171CD">
        <w:rPr>
          <w:lang w:val="en-US"/>
        </w:rPr>
        <w:t>arrest</w:t>
      </w:r>
      <w:r w:rsidRPr="003171CD">
        <w:rPr>
          <w:lang w:val="en-US"/>
        </w:rPr>
        <w:t xml:space="preserve"> or detention</w:t>
      </w:r>
      <w:r w:rsidR="00D731AF" w:rsidRPr="003171CD">
        <w:rPr>
          <w:lang w:val="en-US"/>
        </w:rPr>
        <w:t>.</w:t>
      </w:r>
      <w:r w:rsidRPr="003171CD">
        <w:rPr>
          <w:lang w:val="en-US"/>
        </w:rPr>
        <w:t>”</w:t>
      </w:r>
      <w:r w:rsidRPr="003171CD">
        <w:rPr>
          <w:vertAlign w:val="superscript"/>
          <w:lang w:val="en-US"/>
        </w:rPr>
        <w:footnoteReference w:id="204"/>
      </w:r>
    </w:p>
    <w:p w14:paraId="294C8782" w14:textId="77777777" w:rsidR="005A65CE" w:rsidRPr="003171CD" w:rsidRDefault="005A65CE" w:rsidP="005A65CE">
      <w:pPr>
        <w:jc w:val="both"/>
        <w:rPr>
          <w:lang w:val="en-US"/>
        </w:rPr>
      </w:pPr>
    </w:p>
    <w:p w14:paraId="77F7477C" w14:textId="77777777" w:rsidR="005A65CE" w:rsidRPr="003171CD" w:rsidRDefault="000F378E" w:rsidP="005A65CE">
      <w:pPr>
        <w:pStyle w:val="Prrafodelista"/>
        <w:numPr>
          <w:ilvl w:val="0"/>
          <w:numId w:val="1"/>
        </w:numPr>
        <w:jc w:val="both"/>
        <w:rPr>
          <w:b/>
          <w:lang w:val="en-US"/>
        </w:rPr>
      </w:pPr>
      <w:r w:rsidRPr="003171CD">
        <w:rPr>
          <w:lang w:val="en-US"/>
        </w:rPr>
        <w:t>I</w:t>
      </w:r>
      <w:r w:rsidR="000B69EC" w:rsidRPr="003171CD">
        <w:rPr>
          <w:lang w:val="en-US"/>
        </w:rPr>
        <w:t>n</w:t>
      </w:r>
      <w:r w:rsidR="00097EAA" w:rsidRPr="003171CD">
        <w:rPr>
          <w:lang w:val="en-US"/>
        </w:rPr>
        <w:t xml:space="preserve"> its Merits R</w:t>
      </w:r>
      <w:r w:rsidRPr="003171CD">
        <w:rPr>
          <w:lang w:val="en-US"/>
        </w:rPr>
        <w:t>eport t</w:t>
      </w:r>
      <w:r w:rsidR="005A65CE" w:rsidRPr="003171CD">
        <w:rPr>
          <w:lang w:val="en-US"/>
        </w:rPr>
        <w:t>he Commission conclu</w:t>
      </w:r>
      <w:r w:rsidRPr="003171CD">
        <w:rPr>
          <w:lang w:val="en-US"/>
        </w:rPr>
        <w:t xml:space="preserve">ded </w:t>
      </w:r>
      <w:r w:rsidR="00EA0B61" w:rsidRPr="003171CD">
        <w:rPr>
          <w:lang w:val="en-US"/>
        </w:rPr>
        <w:t xml:space="preserve">that </w:t>
      </w:r>
      <w:r w:rsidR="00DC2F40" w:rsidRPr="003171CD">
        <w:rPr>
          <w:lang w:val="en-US"/>
        </w:rPr>
        <w:t>the</w:t>
      </w:r>
      <w:r w:rsidR="00097EAA" w:rsidRPr="003171CD">
        <w:rPr>
          <w:lang w:val="en-US"/>
        </w:rPr>
        <w:t xml:space="preserve"> State violated </w:t>
      </w:r>
      <w:r w:rsidR="00EA0B61" w:rsidRPr="003171CD">
        <w:rPr>
          <w:lang w:val="en-US"/>
        </w:rPr>
        <w:t>Article 7(</w:t>
      </w:r>
      <w:r w:rsidR="005A65CE" w:rsidRPr="003171CD">
        <w:rPr>
          <w:lang w:val="en-US"/>
        </w:rPr>
        <w:t>3</w:t>
      </w:r>
      <w:r w:rsidR="00EA0B61" w:rsidRPr="003171CD">
        <w:rPr>
          <w:lang w:val="en-US"/>
        </w:rPr>
        <w:t>) and 7(</w:t>
      </w:r>
      <w:r w:rsidR="005A65CE" w:rsidRPr="003171CD">
        <w:rPr>
          <w:lang w:val="en-US"/>
        </w:rPr>
        <w:t>6</w:t>
      </w:r>
      <w:r w:rsidR="00EA0B61" w:rsidRPr="003171CD">
        <w:rPr>
          <w:lang w:val="en-US"/>
        </w:rPr>
        <w:t>)</w:t>
      </w:r>
      <w:r w:rsidR="005A65CE" w:rsidRPr="003171CD">
        <w:rPr>
          <w:lang w:val="en-US"/>
        </w:rPr>
        <w:t xml:space="preserve"> of the American Convention. The representatives requested that </w:t>
      </w:r>
      <w:r w:rsidR="00AF7E01" w:rsidRPr="003171CD">
        <w:rPr>
          <w:lang w:val="en-US"/>
        </w:rPr>
        <w:t xml:space="preserve">the Court also declare </w:t>
      </w:r>
      <w:r w:rsidR="005A65CE" w:rsidRPr="003171CD">
        <w:rPr>
          <w:lang w:val="en-US"/>
        </w:rPr>
        <w:t xml:space="preserve">the State responsible for the violation of Articles </w:t>
      </w:r>
      <w:r w:rsidR="00DC6D48" w:rsidRPr="003171CD">
        <w:rPr>
          <w:lang w:val="en-US"/>
        </w:rPr>
        <w:t>7(1)</w:t>
      </w:r>
      <w:r w:rsidRPr="003171CD">
        <w:rPr>
          <w:lang w:val="en-US"/>
        </w:rPr>
        <w:t xml:space="preserve"> and 7(</w:t>
      </w:r>
      <w:r w:rsidR="005A65CE" w:rsidRPr="003171CD">
        <w:rPr>
          <w:lang w:val="en-US"/>
        </w:rPr>
        <w:t>2</w:t>
      </w:r>
      <w:r w:rsidRPr="003171CD">
        <w:rPr>
          <w:lang w:val="en-US"/>
        </w:rPr>
        <w:t>)</w:t>
      </w:r>
      <w:r w:rsidR="005A65CE" w:rsidRPr="003171CD">
        <w:rPr>
          <w:lang w:val="en-US"/>
        </w:rPr>
        <w:t xml:space="preserve"> of the American Convention </w:t>
      </w:r>
      <w:r w:rsidR="00AF7E01" w:rsidRPr="003171CD">
        <w:rPr>
          <w:lang w:val="en-US"/>
        </w:rPr>
        <w:t xml:space="preserve">to the </w:t>
      </w:r>
      <w:r w:rsidR="005A65CE" w:rsidRPr="003171CD">
        <w:rPr>
          <w:lang w:val="en-US"/>
        </w:rPr>
        <w:t>detriment of José Agapi</w:t>
      </w:r>
      <w:r w:rsidR="00AF7E01" w:rsidRPr="003171CD">
        <w:rPr>
          <w:lang w:val="en-US"/>
        </w:rPr>
        <w:t>to Ruano Torres. I</w:t>
      </w:r>
      <w:r w:rsidR="005A65CE" w:rsidRPr="003171CD">
        <w:rPr>
          <w:lang w:val="en-US"/>
        </w:rPr>
        <w:t xml:space="preserve">n particular, </w:t>
      </w:r>
      <w:r w:rsidR="00AF7E01" w:rsidRPr="003171CD">
        <w:rPr>
          <w:lang w:val="en-US"/>
        </w:rPr>
        <w:t xml:space="preserve">they </w:t>
      </w:r>
      <w:r w:rsidRPr="003171CD">
        <w:rPr>
          <w:lang w:val="en-US"/>
        </w:rPr>
        <w:t xml:space="preserve">held </w:t>
      </w:r>
      <w:r w:rsidR="00AF7E01" w:rsidRPr="003171CD">
        <w:rPr>
          <w:lang w:val="en-US"/>
        </w:rPr>
        <w:t xml:space="preserve">that “even when the </w:t>
      </w:r>
      <w:r w:rsidR="008D3B52" w:rsidRPr="003171CD">
        <w:rPr>
          <w:lang w:val="en-US"/>
        </w:rPr>
        <w:t xml:space="preserve">arrest </w:t>
      </w:r>
      <w:r w:rsidR="005A65CE" w:rsidRPr="003171CD">
        <w:rPr>
          <w:lang w:val="en-US"/>
        </w:rPr>
        <w:t xml:space="preserve">of a person </w:t>
      </w:r>
      <w:r w:rsidR="00AF7E01" w:rsidRPr="003171CD">
        <w:rPr>
          <w:lang w:val="en-US"/>
        </w:rPr>
        <w:t>is lawful</w:t>
      </w:r>
      <w:r w:rsidR="005A65CE" w:rsidRPr="003171CD">
        <w:rPr>
          <w:lang w:val="en-US"/>
        </w:rPr>
        <w:t xml:space="preserve">, </w:t>
      </w:r>
      <w:r w:rsidR="008D3B52" w:rsidRPr="003171CD">
        <w:rPr>
          <w:lang w:val="en-US"/>
        </w:rPr>
        <w:t xml:space="preserve">that is, if an arrest warrant was </w:t>
      </w:r>
      <w:r w:rsidR="00AF7E01" w:rsidRPr="003171CD">
        <w:rPr>
          <w:lang w:val="en-US"/>
        </w:rPr>
        <w:t xml:space="preserve">issued in accordance with </w:t>
      </w:r>
      <w:r w:rsidR="005A65CE" w:rsidRPr="003171CD">
        <w:rPr>
          <w:lang w:val="en-US"/>
        </w:rPr>
        <w:t xml:space="preserve">the requirements </w:t>
      </w:r>
      <w:r w:rsidR="00AF7E01" w:rsidRPr="003171CD">
        <w:rPr>
          <w:lang w:val="en-US"/>
        </w:rPr>
        <w:t xml:space="preserve">established by law </w:t>
      </w:r>
      <w:r w:rsidR="005A65CE" w:rsidRPr="003171CD">
        <w:rPr>
          <w:lang w:val="en-US"/>
        </w:rPr>
        <w:t xml:space="preserve">and </w:t>
      </w:r>
      <w:r w:rsidR="00AF7E01" w:rsidRPr="003171CD">
        <w:rPr>
          <w:lang w:val="en-US"/>
        </w:rPr>
        <w:t xml:space="preserve">within the framework of </w:t>
      </w:r>
      <w:r w:rsidR="005A65CE" w:rsidRPr="003171CD">
        <w:rPr>
          <w:lang w:val="en-US"/>
        </w:rPr>
        <w:t xml:space="preserve">the </w:t>
      </w:r>
      <w:r w:rsidR="007C5FBF" w:rsidRPr="003171CD">
        <w:rPr>
          <w:lang w:val="en-US"/>
        </w:rPr>
        <w:t xml:space="preserve">judicial jurisdiction </w:t>
      </w:r>
      <w:r w:rsidR="005A65CE" w:rsidRPr="003171CD">
        <w:rPr>
          <w:lang w:val="en-US"/>
        </w:rPr>
        <w:t xml:space="preserve">[,] </w:t>
      </w:r>
      <w:r w:rsidR="006F2488" w:rsidRPr="003171CD">
        <w:rPr>
          <w:lang w:val="en-US"/>
        </w:rPr>
        <w:t xml:space="preserve">it </w:t>
      </w:r>
      <w:r w:rsidR="00AF7E01" w:rsidRPr="003171CD">
        <w:rPr>
          <w:lang w:val="en-US"/>
        </w:rPr>
        <w:t xml:space="preserve">may become </w:t>
      </w:r>
      <w:r w:rsidR="005A65CE" w:rsidRPr="003171CD">
        <w:rPr>
          <w:lang w:val="en-US"/>
        </w:rPr>
        <w:t xml:space="preserve">arbitrary </w:t>
      </w:r>
      <w:r w:rsidR="00EA0B61" w:rsidRPr="003171CD">
        <w:rPr>
          <w:lang w:val="en-US"/>
        </w:rPr>
        <w:t>if</w:t>
      </w:r>
      <w:r w:rsidR="008D3B52" w:rsidRPr="003171CD">
        <w:rPr>
          <w:lang w:val="en-US"/>
        </w:rPr>
        <w:t>,</w:t>
      </w:r>
      <w:r w:rsidR="00EA0B61" w:rsidRPr="003171CD">
        <w:rPr>
          <w:lang w:val="en-US"/>
        </w:rPr>
        <w:t xml:space="preserve"> </w:t>
      </w:r>
      <w:r w:rsidR="00AF7E01" w:rsidRPr="003171CD">
        <w:rPr>
          <w:lang w:val="en-US"/>
        </w:rPr>
        <w:t xml:space="preserve">during the arrest of the </w:t>
      </w:r>
      <w:r w:rsidR="00367FA5" w:rsidRPr="003171CD">
        <w:rPr>
          <w:lang w:val="en-US"/>
        </w:rPr>
        <w:t>accused</w:t>
      </w:r>
      <w:r w:rsidR="006F2488" w:rsidRPr="003171CD">
        <w:rPr>
          <w:lang w:val="en-US"/>
        </w:rPr>
        <w:t>,</w:t>
      </w:r>
      <w:r w:rsidR="005A65CE" w:rsidRPr="003171CD">
        <w:rPr>
          <w:lang w:val="en-US"/>
        </w:rPr>
        <w:t xml:space="preserve"> or in </w:t>
      </w:r>
      <w:r w:rsidR="00AF7E01" w:rsidRPr="003171CD">
        <w:rPr>
          <w:lang w:val="en-US"/>
        </w:rPr>
        <w:t xml:space="preserve">subsequent </w:t>
      </w:r>
      <w:r w:rsidR="00E86957" w:rsidRPr="003171CD">
        <w:rPr>
          <w:lang w:val="en-US"/>
        </w:rPr>
        <w:t>stage</w:t>
      </w:r>
      <w:r w:rsidR="00AF7E01" w:rsidRPr="003171CD">
        <w:rPr>
          <w:lang w:val="en-US"/>
        </w:rPr>
        <w:t>s of his tria</w:t>
      </w:r>
      <w:r w:rsidR="00367FA5" w:rsidRPr="003171CD">
        <w:rPr>
          <w:lang w:val="en-US"/>
        </w:rPr>
        <w:t>l</w:t>
      </w:r>
      <w:r w:rsidR="006F2488" w:rsidRPr="003171CD">
        <w:rPr>
          <w:lang w:val="en-US"/>
        </w:rPr>
        <w:t>, his</w:t>
      </w:r>
      <w:r w:rsidR="00AF7E01" w:rsidRPr="003171CD">
        <w:rPr>
          <w:lang w:val="en-US"/>
        </w:rPr>
        <w:t xml:space="preserve"> </w:t>
      </w:r>
      <w:r w:rsidR="005A65CE" w:rsidRPr="003171CD">
        <w:rPr>
          <w:lang w:val="en-US"/>
        </w:rPr>
        <w:t>funda</w:t>
      </w:r>
      <w:r w:rsidR="00AF7E01" w:rsidRPr="003171CD">
        <w:rPr>
          <w:lang w:val="en-US"/>
        </w:rPr>
        <w:t xml:space="preserve">mental or </w:t>
      </w:r>
      <w:r w:rsidR="00367FA5" w:rsidRPr="003171CD">
        <w:rPr>
          <w:lang w:val="en-US"/>
        </w:rPr>
        <w:t xml:space="preserve">basic </w:t>
      </w:r>
      <w:r w:rsidR="00AF7E01" w:rsidRPr="003171CD">
        <w:rPr>
          <w:lang w:val="en-US"/>
        </w:rPr>
        <w:t xml:space="preserve">judicial </w:t>
      </w:r>
      <w:r w:rsidR="00367FA5" w:rsidRPr="003171CD">
        <w:rPr>
          <w:lang w:val="en-US"/>
        </w:rPr>
        <w:t xml:space="preserve">guarantees </w:t>
      </w:r>
      <w:r w:rsidR="006F2488" w:rsidRPr="003171CD">
        <w:rPr>
          <w:lang w:val="en-US"/>
        </w:rPr>
        <w:t xml:space="preserve">have been </w:t>
      </w:r>
      <w:r w:rsidR="00367FA5" w:rsidRPr="003171CD">
        <w:rPr>
          <w:lang w:val="en-US"/>
        </w:rPr>
        <w:t>violated</w:t>
      </w:r>
      <w:r w:rsidR="008D3B52" w:rsidRPr="003171CD">
        <w:rPr>
          <w:lang w:val="en-US"/>
        </w:rPr>
        <w:t xml:space="preserve">. This </w:t>
      </w:r>
      <w:r w:rsidR="005A65CE" w:rsidRPr="003171CD">
        <w:rPr>
          <w:lang w:val="en-US"/>
        </w:rPr>
        <w:t xml:space="preserve">is the case </w:t>
      </w:r>
      <w:r w:rsidR="008D3B52" w:rsidRPr="003171CD">
        <w:rPr>
          <w:lang w:val="en-US"/>
        </w:rPr>
        <w:t>with</w:t>
      </w:r>
      <w:r w:rsidR="00E755FC" w:rsidRPr="003171CD">
        <w:rPr>
          <w:lang w:val="en-US"/>
        </w:rPr>
        <w:t xml:space="preserve"> Mr</w:t>
      </w:r>
      <w:r w:rsidR="005A65CE" w:rsidRPr="003171CD">
        <w:rPr>
          <w:lang w:val="en-US"/>
        </w:rPr>
        <w:t xml:space="preserve">. José Agapito Ruano Torres, </w:t>
      </w:r>
      <w:r w:rsidR="00A66254" w:rsidRPr="003171CD">
        <w:rPr>
          <w:lang w:val="en-US"/>
        </w:rPr>
        <w:t xml:space="preserve">whose </w:t>
      </w:r>
      <w:r w:rsidR="005A65CE" w:rsidRPr="003171CD">
        <w:rPr>
          <w:lang w:val="en-US"/>
        </w:rPr>
        <w:t>[…</w:t>
      </w:r>
      <w:r w:rsidR="00493404" w:rsidRPr="003171CD">
        <w:rPr>
          <w:lang w:val="en-US"/>
        </w:rPr>
        <w:t>] right</w:t>
      </w:r>
      <w:r w:rsidR="00614336" w:rsidRPr="003171CD">
        <w:rPr>
          <w:lang w:val="en-US"/>
        </w:rPr>
        <w:t xml:space="preserve"> to presumption </w:t>
      </w:r>
      <w:r w:rsidR="00493404" w:rsidRPr="003171CD">
        <w:rPr>
          <w:lang w:val="en-US"/>
        </w:rPr>
        <w:t>of innocence</w:t>
      </w:r>
      <w:r w:rsidR="00614336" w:rsidRPr="003171CD">
        <w:rPr>
          <w:lang w:val="en-US"/>
        </w:rPr>
        <w:t xml:space="preserve"> and </w:t>
      </w:r>
      <w:r w:rsidR="006F2488" w:rsidRPr="003171CD">
        <w:rPr>
          <w:lang w:val="en-US"/>
        </w:rPr>
        <w:t>personal integrity</w:t>
      </w:r>
      <w:r w:rsidR="00E11824" w:rsidRPr="003171CD">
        <w:rPr>
          <w:lang w:val="en-US"/>
        </w:rPr>
        <w:t xml:space="preserve"> were violated</w:t>
      </w:r>
      <w:r w:rsidR="006F2488" w:rsidRPr="003171CD">
        <w:rPr>
          <w:lang w:val="en-US"/>
        </w:rPr>
        <w:t>; therefore,</w:t>
      </w:r>
      <w:r w:rsidR="005A65CE" w:rsidRPr="003171CD">
        <w:rPr>
          <w:lang w:val="en-US"/>
        </w:rPr>
        <w:t xml:space="preserve"> </w:t>
      </w:r>
      <w:r w:rsidR="00AF7E01" w:rsidRPr="003171CD">
        <w:rPr>
          <w:lang w:val="en-US"/>
        </w:rPr>
        <w:t>ev</w:t>
      </w:r>
      <w:r w:rsidR="006F2488" w:rsidRPr="003171CD">
        <w:rPr>
          <w:lang w:val="en-US"/>
        </w:rPr>
        <w:t>en though his arrest was lawful</w:t>
      </w:r>
      <w:r w:rsidR="005A65CE" w:rsidRPr="003171CD">
        <w:rPr>
          <w:lang w:val="en-US"/>
        </w:rPr>
        <w:t xml:space="preserve">, </w:t>
      </w:r>
      <w:r w:rsidR="008D3B52" w:rsidRPr="003171CD">
        <w:rPr>
          <w:lang w:val="en-US"/>
        </w:rPr>
        <w:t xml:space="preserve">it was </w:t>
      </w:r>
      <w:r w:rsidR="00DC2F40" w:rsidRPr="003171CD">
        <w:rPr>
          <w:lang w:val="en-US"/>
        </w:rPr>
        <w:t xml:space="preserve">based on </w:t>
      </w:r>
      <w:r w:rsidR="00614336" w:rsidRPr="003171CD">
        <w:rPr>
          <w:lang w:val="en-US"/>
        </w:rPr>
        <w:t xml:space="preserve">two </w:t>
      </w:r>
      <w:r w:rsidR="00EA0B61" w:rsidRPr="003171CD">
        <w:rPr>
          <w:lang w:val="en-US"/>
        </w:rPr>
        <w:t>irreparable and irreversible</w:t>
      </w:r>
      <w:r w:rsidR="00614336" w:rsidRPr="003171CD">
        <w:rPr>
          <w:lang w:val="en-US"/>
        </w:rPr>
        <w:t xml:space="preserve"> errors</w:t>
      </w:r>
      <w:r w:rsidR="005A65CE" w:rsidRPr="003171CD">
        <w:rPr>
          <w:lang w:val="en-US"/>
        </w:rPr>
        <w:t xml:space="preserve">, </w:t>
      </w:r>
      <w:r w:rsidR="00EB24CC" w:rsidRPr="003171CD">
        <w:rPr>
          <w:lang w:val="en-US"/>
        </w:rPr>
        <w:t xml:space="preserve">the consequence of which resulted in </w:t>
      </w:r>
      <w:r w:rsidR="005A65CE" w:rsidRPr="003171CD">
        <w:rPr>
          <w:lang w:val="en-US"/>
        </w:rPr>
        <w:t>the arbitrar</w:t>
      </w:r>
      <w:r w:rsidR="006F1D38" w:rsidRPr="003171CD">
        <w:rPr>
          <w:lang w:val="en-US"/>
        </w:rPr>
        <w:t xml:space="preserve">y nature of </w:t>
      </w:r>
      <w:r w:rsidR="005A65CE" w:rsidRPr="003171CD">
        <w:rPr>
          <w:lang w:val="en-US"/>
        </w:rPr>
        <w:t xml:space="preserve">the </w:t>
      </w:r>
      <w:r w:rsidR="00EB24CC" w:rsidRPr="003171CD">
        <w:rPr>
          <w:lang w:val="en-US"/>
        </w:rPr>
        <w:t>arrest</w:t>
      </w:r>
      <w:r w:rsidR="00454D64" w:rsidRPr="003171CD">
        <w:rPr>
          <w:lang w:val="en-US"/>
        </w:rPr>
        <w:t xml:space="preserve">, which would then make it </w:t>
      </w:r>
      <w:r w:rsidR="00D20647" w:rsidRPr="003171CD">
        <w:rPr>
          <w:lang w:val="en-US"/>
        </w:rPr>
        <w:t>i</w:t>
      </w:r>
      <w:r w:rsidR="00AF7E01" w:rsidRPr="003171CD">
        <w:rPr>
          <w:lang w:val="en-US"/>
        </w:rPr>
        <w:t>l</w:t>
      </w:r>
      <w:r w:rsidR="00D20647" w:rsidRPr="003171CD">
        <w:rPr>
          <w:lang w:val="en-US"/>
        </w:rPr>
        <w:t>legal</w:t>
      </w:r>
      <w:r w:rsidR="00AF7E01" w:rsidRPr="003171CD">
        <w:rPr>
          <w:lang w:val="en-US"/>
        </w:rPr>
        <w:t>.”</w:t>
      </w:r>
      <w:r w:rsidR="00D20647" w:rsidRPr="003171CD">
        <w:rPr>
          <w:lang w:val="en-US"/>
        </w:rPr>
        <w:t xml:space="preserve"> T</w:t>
      </w:r>
      <w:r w:rsidR="006F2488" w:rsidRPr="003171CD">
        <w:rPr>
          <w:lang w:val="en-US"/>
        </w:rPr>
        <w:t>he</w:t>
      </w:r>
      <w:r w:rsidR="00454D64" w:rsidRPr="003171CD">
        <w:rPr>
          <w:lang w:val="en-US"/>
        </w:rPr>
        <w:t xml:space="preserve"> representative added that</w:t>
      </w:r>
      <w:r w:rsidR="006F2488" w:rsidRPr="003171CD">
        <w:rPr>
          <w:lang w:val="en-US"/>
        </w:rPr>
        <w:t>, “[a</w:t>
      </w:r>
      <w:r w:rsidR="005A65CE" w:rsidRPr="003171CD">
        <w:rPr>
          <w:lang w:val="en-US"/>
        </w:rPr>
        <w:t>]</w:t>
      </w:r>
      <w:r w:rsidR="006F2488" w:rsidRPr="003171CD">
        <w:rPr>
          <w:lang w:val="en-US"/>
        </w:rPr>
        <w:t xml:space="preserve">lthough it is true </w:t>
      </w:r>
      <w:r w:rsidR="005A65CE" w:rsidRPr="003171CD">
        <w:rPr>
          <w:lang w:val="en-US"/>
        </w:rPr>
        <w:t>[</w:t>
      </w:r>
      <w:r w:rsidR="006F2488" w:rsidRPr="003171CD">
        <w:rPr>
          <w:lang w:val="en-US"/>
        </w:rPr>
        <w:t>that</w:t>
      </w:r>
      <w:r w:rsidR="005A65CE" w:rsidRPr="003171CD">
        <w:rPr>
          <w:lang w:val="en-US"/>
        </w:rPr>
        <w:t xml:space="preserve">] the </w:t>
      </w:r>
      <w:r w:rsidR="006F2488" w:rsidRPr="003171CD">
        <w:rPr>
          <w:lang w:val="en-US"/>
        </w:rPr>
        <w:t xml:space="preserve">arrest </w:t>
      </w:r>
      <w:r w:rsidR="00E755FC" w:rsidRPr="003171CD">
        <w:rPr>
          <w:lang w:val="en-US"/>
        </w:rPr>
        <w:t>of Mr</w:t>
      </w:r>
      <w:r w:rsidR="005A65CE" w:rsidRPr="003171CD">
        <w:rPr>
          <w:lang w:val="en-US"/>
        </w:rPr>
        <w:t>. Ruano Torres was l</w:t>
      </w:r>
      <w:r w:rsidR="00454D64" w:rsidRPr="003171CD">
        <w:rPr>
          <w:lang w:val="en-US"/>
        </w:rPr>
        <w:t>awful</w:t>
      </w:r>
      <w:r w:rsidR="005A65CE" w:rsidRPr="003171CD">
        <w:rPr>
          <w:lang w:val="en-US"/>
        </w:rPr>
        <w:t xml:space="preserve">, since </w:t>
      </w:r>
      <w:r w:rsidR="006F2488" w:rsidRPr="003171CD">
        <w:rPr>
          <w:lang w:val="en-US"/>
        </w:rPr>
        <w:t>there w</w:t>
      </w:r>
      <w:r w:rsidR="00693F7A" w:rsidRPr="003171CD">
        <w:rPr>
          <w:lang w:val="en-US"/>
        </w:rPr>
        <w:t>as a warrant for his arrest</w:t>
      </w:r>
      <w:r w:rsidR="00DC2F40" w:rsidRPr="003171CD">
        <w:rPr>
          <w:lang w:val="en-US"/>
        </w:rPr>
        <w:t xml:space="preserve"> end</w:t>
      </w:r>
      <w:r w:rsidR="006F2488" w:rsidRPr="003171CD">
        <w:rPr>
          <w:lang w:val="en-US"/>
        </w:rPr>
        <w:t xml:space="preserve">orsed by </w:t>
      </w:r>
      <w:r w:rsidR="005A65CE" w:rsidRPr="003171CD">
        <w:rPr>
          <w:lang w:val="en-US"/>
        </w:rPr>
        <w:t xml:space="preserve">Article 13 of the Constitution of [E]l Salvador […] </w:t>
      </w:r>
      <w:r w:rsidR="006F2488" w:rsidRPr="003171CD">
        <w:rPr>
          <w:lang w:val="en-US"/>
        </w:rPr>
        <w:t>it is also true</w:t>
      </w:r>
      <w:r w:rsidR="005A65CE" w:rsidRPr="003171CD">
        <w:rPr>
          <w:lang w:val="en-US"/>
        </w:rPr>
        <w:t xml:space="preserve"> that </w:t>
      </w:r>
      <w:r w:rsidR="00AF7E01" w:rsidRPr="003171CD">
        <w:rPr>
          <w:lang w:val="en-US"/>
        </w:rPr>
        <w:t xml:space="preserve">it became </w:t>
      </w:r>
      <w:r w:rsidR="005A65CE" w:rsidRPr="003171CD">
        <w:rPr>
          <w:lang w:val="en-US"/>
        </w:rPr>
        <w:t>arbitrary</w:t>
      </w:r>
      <w:r w:rsidR="00AF7E01" w:rsidRPr="003171CD">
        <w:rPr>
          <w:lang w:val="en-US"/>
        </w:rPr>
        <w:t>.”</w:t>
      </w:r>
    </w:p>
    <w:p w14:paraId="647E6844" w14:textId="77777777" w:rsidR="005A65CE" w:rsidRPr="003171CD" w:rsidRDefault="005A65CE" w:rsidP="005A65CE">
      <w:pPr>
        <w:rPr>
          <w:b/>
          <w:bCs/>
          <w:lang w:val="en-US"/>
        </w:rPr>
      </w:pPr>
    </w:p>
    <w:p w14:paraId="6072DB3B" w14:textId="77777777" w:rsidR="005A65CE" w:rsidRPr="003171CD" w:rsidRDefault="005A65CE" w:rsidP="005A65CE">
      <w:pPr>
        <w:pStyle w:val="Prrafodelista"/>
        <w:numPr>
          <w:ilvl w:val="0"/>
          <w:numId w:val="1"/>
        </w:numPr>
        <w:jc w:val="both"/>
        <w:rPr>
          <w:rFonts w:cs="Verdana"/>
          <w:szCs w:val="20"/>
          <w:lang w:val="en-US"/>
        </w:rPr>
      </w:pPr>
      <w:r w:rsidRPr="003171CD">
        <w:rPr>
          <w:rFonts w:eastAsiaTheme="minorHAnsi" w:cs="Arial"/>
          <w:lang w:val="en-US"/>
        </w:rPr>
        <w:t>The Court</w:t>
      </w:r>
      <w:r w:rsidR="00E55CE6" w:rsidRPr="003171CD">
        <w:rPr>
          <w:rFonts w:eastAsiaTheme="minorHAnsi" w:cs="Arial"/>
          <w:szCs w:val="20"/>
          <w:lang w:val="en-US"/>
        </w:rPr>
        <w:t xml:space="preserve"> accepts</w:t>
      </w:r>
      <w:r w:rsidRPr="003171CD">
        <w:rPr>
          <w:rFonts w:eastAsiaTheme="minorHAnsi" w:cs="Arial"/>
          <w:szCs w:val="20"/>
          <w:lang w:val="en-US"/>
        </w:rPr>
        <w:t xml:space="preserve"> the </w:t>
      </w:r>
      <w:r w:rsidR="00E55CE6" w:rsidRPr="003171CD">
        <w:rPr>
          <w:rFonts w:eastAsiaTheme="minorHAnsi" w:cs="Arial"/>
          <w:szCs w:val="20"/>
          <w:lang w:val="en-US"/>
        </w:rPr>
        <w:t xml:space="preserve">State’s </w:t>
      </w:r>
      <w:r w:rsidR="00693F7A" w:rsidRPr="003171CD">
        <w:rPr>
          <w:rFonts w:eastAsiaTheme="minorHAnsi" w:cs="Arial"/>
          <w:szCs w:val="20"/>
          <w:lang w:val="en-US"/>
        </w:rPr>
        <w:t xml:space="preserve">acknowledgement of responsibility </w:t>
      </w:r>
      <w:r w:rsidR="00DB6FA3" w:rsidRPr="003171CD">
        <w:rPr>
          <w:rFonts w:eastAsiaTheme="minorHAnsi" w:cs="Arial"/>
          <w:szCs w:val="20"/>
          <w:lang w:val="en-US"/>
        </w:rPr>
        <w:t xml:space="preserve">regarding the fact </w:t>
      </w:r>
      <w:r w:rsidR="00493404" w:rsidRPr="003171CD">
        <w:rPr>
          <w:rFonts w:eastAsiaTheme="minorHAnsi" w:cs="Arial"/>
          <w:szCs w:val="20"/>
          <w:lang w:val="en-US"/>
        </w:rPr>
        <w:t xml:space="preserve">that </w:t>
      </w:r>
      <w:r w:rsidRPr="003171CD">
        <w:rPr>
          <w:rFonts w:eastAsiaTheme="minorHAnsi" w:cs="Arial"/>
          <w:szCs w:val="20"/>
          <w:lang w:val="en-US"/>
        </w:rPr>
        <w:t xml:space="preserve">the </w:t>
      </w:r>
      <w:r w:rsidR="00E55CE6" w:rsidRPr="003171CD">
        <w:rPr>
          <w:rFonts w:eastAsiaTheme="minorHAnsi" w:cs="Arial"/>
          <w:szCs w:val="20"/>
          <w:lang w:val="en-US"/>
        </w:rPr>
        <w:t>de</w:t>
      </w:r>
      <w:r w:rsidRPr="003171CD">
        <w:rPr>
          <w:rFonts w:eastAsiaTheme="minorHAnsi" w:cs="Arial"/>
          <w:bCs/>
          <w:szCs w:val="20"/>
          <w:lang w:val="en-US"/>
        </w:rPr>
        <w:t>privation of libert</w:t>
      </w:r>
      <w:r w:rsidR="00E55CE6" w:rsidRPr="003171CD">
        <w:rPr>
          <w:rFonts w:eastAsiaTheme="minorHAnsi" w:cs="Arial"/>
          <w:bCs/>
          <w:szCs w:val="20"/>
          <w:lang w:val="en-US"/>
        </w:rPr>
        <w:t>y o</w:t>
      </w:r>
      <w:r w:rsidRPr="003171CD">
        <w:rPr>
          <w:rFonts w:eastAsiaTheme="minorHAnsi" w:cs="Arial"/>
          <w:bCs/>
          <w:szCs w:val="20"/>
          <w:lang w:val="en-US"/>
        </w:rPr>
        <w:t xml:space="preserve">f José Agapito Ruano Torres </w:t>
      </w:r>
      <w:r w:rsidR="00E55CE6" w:rsidRPr="003171CD">
        <w:rPr>
          <w:rFonts w:eastAsiaTheme="minorHAnsi" w:cs="Arial"/>
          <w:bCs/>
          <w:szCs w:val="20"/>
          <w:lang w:val="en-US"/>
        </w:rPr>
        <w:t>was arbitrary, in violation of Article 7(</w:t>
      </w:r>
      <w:r w:rsidRPr="003171CD">
        <w:rPr>
          <w:rFonts w:eastAsiaTheme="minorHAnsi" w:cs="Arial"/>
          <w:bCs/>
          <w:szCs w:val="20"/>
          <w:lang w:val="en-US"/>
        </w:rPr>
        <w:t>3</w:t>
      </w:r>
      <w:r w:rsidR="00E55CE6" w:rsidRPr="003171CD">
        <w:rPr>
          <w:rFonts w:eastAsiaTheme="minorHAnsi" w:cs="Arial"/>
          <w:bCs/>
          <w:szCs w:val="20"/>
          <w:lang w:val="en-US"/>
        </w:rPr>
        <w:t>)</w:t>
      </w:r>
      <w:r w:rsidRPr="003171CD">
        <w:rPr>
          <w:rFonts w:eastAsiaTheme="minorHAnsi" w:cs="Arial"/>
          <w:bCs/>
          <w:szCs w:val="20"/>
          <w:lang w:val="en-US"/>
        </w:rPr>
        <w:t xml:space="preserve"> of the Convention, </w:t>
      </w:r>
      <w:r w:rsidR="00493404" w:rsidRPr="003171CD">
        <w:rPr>
          <w:rFonts w:eastAsiaTheme="minorHAnsi" w:cs="Arial"/>
          <w:bCs/>
          <w:szCs w:val="20"/>
          <w:lang w:val="en-US"/>
        </w:rPr>
        <w:t xml:space="preserve">given that his conviction </w:t>
      </w:r>
      <w:r w:rsidR="00E55CE6" w:rsidRPr="003171CD">
        <w:rPr>
          <w:rFonts w:eastAsiaTheme="minorHAnsi" w:cs="Arial"/>
          <w:bCs/>
          <w:szCs w:val="20"/>
          <w:lang w:val="en-US"/>
        </w:rPr>
        <w:t>was based on</w:t>
      </w:r>
      <w:r w:rsidRPr="003171CD">
        <w:rPr>
          <w:rFonts w:eastAsiaTheme="minorHAnsi" w:cs="Arial"/>
          <w:bCs/>
          <w:szCs w:val="20"/>
          <w:lang w:val="en-US"/>
        </w:rPr>
        <w:t xml:space="preserve"> a </w:t>
      </w:r>
      <w:r w:rsidR="00E55CE6" w:rsidRPr="003171CD">
        <w:rPr>
          <w:rFonts w:eastAsiaTheme="minorHAnsi" w:cs="Arial"/>
          <w:bCs/>
          <w:szCs w:val="20"/>
          <w:lang w:val="en-US"/>
        </w:rPr>
        <w:t xml:space="preserve">criminal </w:t>
      </w:r>
      <w:r w:rsidR="00493404" w:rsidRPr="003171CD">
        <w:rPr>
          <w:rFonts w:eastAsiaTheme="minorHAnsi" w:cs="Arial"/>
          <w:bCs/>
          <w:szCs w:val="20"/>
          <w:lang w:val="en-US"/>
        </w:rPr>
        <w:t xml:space="preserve">trial </w:t>
      </w:r>
      <w:r w:rsidR="00E55CE6" w:rsidRPr="003171CD">
        <w:rPr>
          <w:rFonts w:eastAsiaTheme="minorHAnsi" w:cs="Arial"/>
          <w:bCs/>
          <w:szCs w:val="20"/>
          <w:lang w:val="en-US"/>
        </w:rPr>
        <w:t xml:space="preserve">that </w:t>
      </w:r>
      <w:r w:rsidRPr="003171CD">
        <w:rPr>
          <w:rFonts w:eastAsiaTheme="minorHAnsi" w:cs="Arial"/>
          <w:bCs/>
          <w:szCs w:val="20"/>
          <w:lang w:val="en-US"/>
        </w:rPr>
        <w:t>violat</w:t>
      </w:r>
      <w:r w:rsidR="00E55CE6" w:rsidRPr="003171CD">
        <w:rPr>
          <w:rFonts w:eastAsiaTheme="minorHAnsi" w:cs="Arial"/>
          <w:bCs/>
          <w:szCs w:val="20"/>
          <w:lang w:val="en-US"/>
        </w:rPr>
        <w:t>ed judicial guarantees</w:t>
      </w:r>
      <w:r w:rsidRPr="003171CD">
        <w:rPr>
          <w:rFonts w:eastAsiaTheme="minorHAnsi" w:cs="Arial"/>
          <w:bCs/>
          <w:szCs w:val="20"/>
          <w:lang w:val="en-US"/>
        </w:rPr>
        <w:t xml:space="preserve">, in the terms </w:t>
      </w:r>
      <w:r w:rsidR="00493404" w:rsidRPr="003171CD">
        <w:rPr>
          <w:rFonts w:eastAsiaTheme="minorHAnsi" w:cs="Arial"/>
          <w:bCs/>
          <w:szCs w:val="20"/>
          <w:lang w:val="en-US"/>
        </w:rPr>
        <w:t>established in this</w:t>
      </w:r>
      <w:r w:rsidR="00E55CE6" w:rsidRPr="003171CD">
        <w:rPr>
          <w:rFonts w:eastAsiaTheme="minorHAnsi" w:cs="Arial"/>
          <w:bCs/>
          <w:szCs w:val="20"/>
          <w:lang w:val="en-US"/>
        </w:rPr>
        <w:t xml:space="preserve"> J</w:t>
      </w:r>
      <w:r w:rsidRPr="003171CD">
        <w:rPr>
          <w:rFonts w:eastAsiaTheme="minorHAnsi" w:cs="Arial"/>
          <w:bCs/>
          <w:szCs w:val="20"/>
          <w:lang w:val="en-US"/>
        </w:rPr>
        <w:t>udgment</w:t>
      </w:r>
      <w:r w:rsidRPr="003171CD">
        <w:rPr>
          <w:rFonts w:eastAsiaTheme="minorHAnsi" w:cs="Arial"/>
          <w:szCs w:val="20"/>
          <w:lang w:val="en-US"/>
        </w:rPr>
        <w:t>.</w:t>
      </w:r>
    </w:p>
    <w:p w14:paraId="3151612B" w14:textId="77777777" w:rsidR="005A65CE" w:rsidRPr="003171CD" w:rsidRDefault="005A65CE" w:rsidP="005A65CE">
      <w:pPr>
        <w:pStyle w:val="Prrafodelista"/>
        <w:ind w:left="0"/>
        <w:jc w:val="both"/>
        <w:rPr>
          <w:rFonts w:cs="Verdana"/>
          <w:szCs w:val="20"/>
          <w:lang w:val="en-US"/>
        </w:rPr>
      </w:pPr>
    </w:p>
    <w:p w14:paraId="1A097655" w14:textId="77777777" w:rsidR="005A65CE" w:rsidRPr="003171CD" w:rsidRDefault="008139FE" w:rsidP="005A65CE">
      <w:pPr>
        <w:pStyle w:val="Prrafodelista"/>
        <w:numPr>
          <w:ilvl w:val="0"/>
          <w:numId w:val="1"/>
        </w:numPr>
        <w:jc w:val="both"/>
        <w:rPr>
          <w:rFonts w:cs="Verdana"/>
          <w:szCs w:val="20"/>
          <w:lang w:val="en-US"/>
        </w:rPr>
      </w:pPr>
      <w:r w:rsidRPr="003171CD">
        <w:rPr>
          <w:rFonts w:cs="Verdana"/>
          <w:szCs w:val="20"/>
          <w:lang w:val="en-US"/>
        </w:rPr>
        <w:t xml:space="preserve">Regarding </w:t>
      </w:r>
      <w:r w:rsidR="00493404" w:rsidRPr="003171CD">
        <w:rPr>
          <w:rFonts w:cs="Verdana"/>
          <w:szCs w:val="20"/>
          <w:lang w:val="en-US"/>
        </w:rPr>
        <w:t xml:space="preserve">the violation of </w:t>
      </w:r>
      <w:r w:rsidR="005A65CE" w:rsidRPr="003171CD">
        <w:rPr>
          <w:rFonts w:cs="Verdana"/>
          <w:szCs w:val="20"/>
          <w:lang w:val="en-US"/>
        </w:rPr>
        <w:t>Article 7</w:t>
      </w:r>
      <w:r w:rsidR="00493404" w:rsidRPr="003171CD">
        <w:rPr>
          <w:rFonts w:cs="Verdana"/>
          <w:szCs w:val="20"/>
          <w:lang w:val="en-US"/>
        </w:rPr>
        <w:t>(6)</w:t>
      </w:r>
      <w:r w:rsidR="005A65CE" w:rsidRPr="003171CD">
        <w:rPr>
          <w:rFonts w:cs="Verdana"/>
          <w:szCs w:val="20"/>
          <w:lang w:val="en-US"/>
        </w:rPr>
        <w:t xml:space="preserve">, </w:t>
      </w:r>
      <w:r w:rsidR="00AF7E01" w:rsidRPr="003171CD">
        <w:rPr>
          <w:rFonts w:cs="Verdana"/>
          <w:szCs w:val="20"/>
          <w:lang w:val="en-US"/>
        </w:rPr>
        <w:t xml:space="preserve">as </w:t>
      </w:r>
      <w:r w:rsidR="005A65CE" w:rsidRPr="003171CD">
        <w:rPr>
          <w:rFonts w:cs="Verdana"/>
          <w:szCs w:val="20"/>
          <w:lang w:val="en-US"/>
        </w:rPr>
        <w:t xml:space="preserve">was established by the Commission and </w:t>
      </w:r>
      <w:r w:rsidR="00E755FC" w:rsidRPr="003171CD">
        <w:rPr>
          <w:rFonts w:cs="Verdana"/>
          <w:szCs w:val="20"/>
          <w:lang w:val="en-US"/>
        </w:rPr>
        <w:t xml:space="preserve">accepted by the State, the </w:t>
      </w:r>
      <w:r w:rsidR="005A65CE" w:rsidRPr="003171CD">
        <w:rPr>
          <w:rFonts w:cs="Verdana"/>
          <w:i/>
          <w:szCs w:val="20"/>
          <w:lang w:val="en-US"/>
        </w:rPr>
        <w:t>habeas corpus</w:t>
      </w:r>
      <w:r w:rsidR="005A65CE" w:rsidRPr="003171CD">
        <w:rPr>
          <w:rFonts w:cs="Verdana"/>
          <w:szCs w:val="20"/>
          <w:lang w:val="en-US"/>
        </w:rPr>
        <w:t xml:space="preserve"> </w:t>
      </w:r>
      <w:r w:rsidRPr="003171CD">
        <w:rPr>
          <w:rFonts w:cs="Verdana"/>
          <w:szCs w:val="20"/>
          <w:lang w:val="en-US"/>
        </w:rPr>
        <w:t xml:space="preserve">remedy </w:t>
      </w:r>
      <w:r w:rsidR="00E755FC" w:rsidRPr="003171CD">
        <w:rPr>
          <w:rFonts w:cs="Verdana"/>
          <w:szCs w:val="20"/>
          <w:lang w:val="en-US"/>
        </w:rPr>
        <w:t xml:space="preserve">was </w:t>
      </w:r>
      <w:r w:rsidR="005A65CE" w:rsidRPr="003171CD">
        <w:rPr>
          <w:rFonts w:cs="Verdana"/>
          <w:szCs w:val="20"/>
          <w:lang w:val="en-US"/>
        </w:rPr>
        <w:t xml:space="preserve">ineffective </w:t>
      </w:r>
      <w:r w:rsidRPr="003171CD">
        <w:rPr>
          <w:rFonts w:cs="Verdana"/>
          <w:szCs w:val="20"/>
          <w:lang w:val="en-US"/>
        </w:rPr>
        <w:t xml:space="preserve">because it failed </w:t>
      </w:r>
      <w:r w:rsidR="00AF7E01" w:rsidRPr="003171CD">
        <w:rPr>
          <w:rFonts w:cs="Verdana"/>
          <w:szCs w:val="20"/>
          <w:lang w:val="en-US"/>
        </w:rPr>
        <w:t xml:space="preserve">to protect Mr. Ruano Torres’ </w:t>
      </w:r>
      <w:r w:rsidR="00943A87" w:rsidRPr="003171CD">
        <w:rPr>
          <w:rFonts w:cs="Verdana"/>
          <w:szCs w:val="20"/>
          <w:lang w:val="en-US"/>
        </w:rPr>
        <w:t xml:space="preserve">right to </w:t>
      </w:r>
      <w:r w:rsidR="005A65CE" w:rsidRPr="003171CD">
        <w:rPr>
          <w:rFonts w:cs="Verdana"/>
          <w:szCs w:val="20"/>
          <w:lang w:val="en-US"/>
        </w:rPr>
        <w:t xml:space="preserve">personal </w:t>
      </w:r>
      <w:r w:rsidR="00AF7E01" w:rsidRPr="003171CD">
        <w:rPr>
          <w:rFonts w:cs="Verdana"/>
          <w:szCs w:val="20"/>
          <w:lang w:val="en-US"/>
        </w:rPr>
        <w:t>liberty</w:t>
      </w:r>
      <w:r w:rsidR="005A65CE" w:rsidRPr="003171CD">
        <w:rPr>
          <w:rFonts w:cs="Verdana"/>
          <w:szCs w:val="20"/>
          <w:lang w:val="en-US"/>
        </w:rPr>
        <w:t xml:space="preserve">, given that the </w:t>
      </w:r>
      <w:r w:rsidR="005A65CE" w:rsidRPr="003171CD">
        <w:rPr>
          <w:bCs/>
          <w:lang w:val="en-US"/>
        </w:rPr>
        <w:t xml:space="preserve">judicial </w:t>
      </w:r>
      <w:r w:rsidRPr="003171CD">
        <w:rPr>
          <w:bCs/>
          <w:lang w:val="en-US"/>
        </w:rPr>
        <w:t xml:space="preserve">authorities </w:t>
      </w:r>
      <w:r w:rsidR="00E55CE6" w:rsidRPr="003171CD">
        <w:rPr>
          <w:bCs/>
          <w:lang w:val="en-US"/>
        </w:rPr>
        <w:t xml:space="preserve">did not </w:t>
      </w:r>
      <w:r w:rsidRPr="003171CD">
        <w:rPr>
          <w:bCs/>
          <w:lang w:val="en-US"/>
        </w:rPr>
        <w:t xml:space="preserve">pursue the minimal formalities needed </w:t>
      </w:r>
      <w:r w:rsidR="004764AE" w:rsidRPr="003171CD">
        <w:rPr>
          <w:bCs/>
          <w:lang w:val="en-US"/>
        </w:rPr>
        <w:t xml:space="preserve">to </w:t>
      </w:r>
      <w:r w:rsidR="00E55CE6" w:rsidRPr="003171CD">
        <w:rPr>
          <w:bCs/>
          <w:lang w:val="en-US"/>
        </w:rPr>
        <w:t xml:space="preserve">determine whether </w:t>
      </w:r>
      <w:r w:rsidR="007E4705" w:rsidRPr="003171CD">
        <w:rPr>
          <w:bCs/>
          <w:lang w:val="en-US"/>
        </w:rPr>
        <w:t xml:space="preserve">or not </w:t>
      </w:r>
      <w:r w:rsidRPr="003171CD">
        <w:rPr>
          <w:bCs/>
          <w:lang w:val="en-US"/>
        </w:rPr>
        <w:t xml:space="preserve">his arrest </w:t>
      </w:r>
      <w:r w:rsidR="005A65CE" w:rsidRPr="003171CD">
        <w:rPr>
          <w:bCs/>
          <w:lang w:val="en-US"/>
        </w:rPr>
        <w:t>ha</w:t>
      </w:r>
      <w:r w:rsidR="00E55CE6" w:rsidRPr="003171CD">
        <w:rPr>
          <w:bCs/>
          <w:lang w:val="en-US"/>
        </w:rPr>
        <w:t xml:space="preserve">d been </w:t>
      </w:r>
      <w:r w:rsidRPr="003171CD">
        <w:rPr>
          <w:bCs/>
          <w:lang w:val="en-US"/>
        </w:rPr>
        <w:t>arbitrary,</w:t>
      </w:r>
      <w:r w:rsidR="005A65CE" w:rsidRPr="003171CD">
        <w:rPr>
          <w:bCs/>
          <w:lang w:val="en-US"/>
        </w:rPr>
        <w:t xml:space="preserve"> </w:t>
      </w:r>
      <w:r w:rsidRPr="003171CD">
        <w:rPr>
          <w:bCs/>
          <w:lang w:val="en-US"/>
        </w:rPr>
        <w:t xml:space="preserve">did not </w:t>
      </w:r>
      <w:r w:rsidR="00E755FC" w:rsidRPr="003171CD">
        <w:rPr>
          <w:bCs/>
          <w:lang w:val="en-US"/>
        </w:rPr>
        <w:t xml:space="preserve">recognize any </w:t>
      </w:r>
      <w:r w:rsidR="005A65CE" w:rsidRPr="003171CD">
        <w:rPr>
          <w:bCs/>
          <w:lang w:val="en-US"/>
        </w:rPr>
        <w:t xml:space="preserve">violation of </w:t>
      </w:r>
      <w:r w:rsidR="00E755FC" w:rsidRPr="003171CD">
        <w:rPr>
          <w:bCs/>
          <w:lang w:val="en-US"/>
        </w:rPr>
        <w:t xml:space="preserve">his </w:t>
      </w:r>
      <w:r w:rsidRPr="003171CD">
        <w:rPr>
          <w:bCs/>
          <w:lang w:val="en-US"/>
        </w:rPr>
        <w:t xml:space="preserve">constitutional </w:t>
      </w:r>
      <w:r w:rsidR="00E755FC" w:rsidRPr="003171CD">
        <w:rPr>
          <w:bCs/>
          <w:lang w:val="en-US"/>
        </w:rPr>
        <w:t xml:space="preserve">rights </w:t>
      </w:r>
      <w:r w:rsidRPr="003171CD">
        <w:rPr>
          <w:bCs/>
          <w:lang w:val="en-US"/>
        </w:rPr>
        <w:t xml:space="preserve">and </w:t>
      </w:r>
      <w:r w:rsidR="005A65CE" w:rsidRPr="003171CD">
        <w:rPr>
          <w:bCs/>
          <w:lang w:val="en-US"/>
        </w:rPr>
        <w:t>orde</w:t>
      </w:r>
      <w:r w:rsidR="00E755FC" w:rsidRPr="003171CD">
        <w:rPr>
          <w:bCs/>
          <w:lang w:val="en-US"/>
        </w:rPr>
        <w:t xml:space="preserve">red </w:t>
      </w:r>
      <w:r w:rsidRPr="003171CD">
        <w:rPr>
          <w:bCs/>
          <w:lang w:val="en-US"/>
        </w:rPr>
        <w:t xml:space="preserve">that he </w:t>
      </w:r>
      <w:r w:rsidR="00E755FC" w:rsidRPr="003171CD">
        <w:rPr>
          <w:bCs/>
          <w:lang w:val="en-US"/>
        </w:rPr>
        <w:t xml:space="preserve">remain in </w:t>
      </w:r>
      <w:r w:rsidRPr="003171CD">
        <w:rPr>
          <w:bCs/>
          <w:lang w:val="en-US"/>
        </w:rPr>
        <w:t xml:space="preserve">custody </w:t>
      </w:r>
      <w:r w:rsidR="005A65CE" w:rsidRPr="003171CD">
        <w:rPr>
          <w:bCs/>
          <w:lang w:val="en-US"/>
        </w:rPr>
        <w:t>(</w:t>
      </w:r>
      <w:r w:rsidR="005A65CE" w:rsidRPr="003171CD">
        <w:rPr>
          <w:bCs/>
          <w:i/>
          <w:lang w:val="en-US"/>
        </w:rPr>
        <w:t xml:space="preserve">supra </w:t>
      </w:r>
      <w:r w:rsidRPr="003171CD">
        <w:rPr>
          <w:bCs/>
          <w:lang w:val="en-US"/>
        </w:rPr>
        <w:t>para. 111).</w:t>
      </w:r>
      <w:r w:rsidR="005A65CE" w:rsidRPr="003171CD">
        <w:rPr>
          <w:bCs/>
          <w:lang w:val="en-US"/>
        </w:rPr>
        <w:t xml:space="preserve"> </w:t>
      </w:r>
      <w:r w:rsidRPr="003171CD">
        <w:rPr>
          <w:bCs/>
          <w:lang w:val="en-US"/>
        </w:rPr>
        <w:t xml:space="preserve">Moreover, </w:t>
      </w:r>
      <w:r w:rsidR="006F2488" w:rsidRPr="003171CD">
        <w:rPr>
          <w:bCs/>
          <w:lang w:val="en-US"/>
        </w:rPr>
        <w:t>i</w:t>
      </w:r>
      <w:r w:rsidR="00943A87" w:rsidRPr="003171CD">
        <w:rPr>
          <w:bCs/>
          <w:lang w:val="en-US"/>
        </w:rPr>
        <w:t xml:space="preserve">t took nine months for the </w:t>
      </w:r>
      <w:r w:rsidR="00943A87" w:rsidRPr="003171CD">
        <w:rPr>
          <w:bCs/>
          <w:i/>
          <w:lang w:val="en-US"/>
        </w:rPr>
        <w:t>habeas corpus</w:t>
      </w:r>
      <w:r w:rsidR="00943A87" w:rsidRPr="003171CD">
        <w:rPr>
          <w:bCs/>
          <w:lang w:val="en-US"/>
        </w:rPr>
        <w:t xml:space="preserve"> petition to be resolved, which is an </w:t>
      </w:r>
      <w:r w:rsidR="00E55CE6" w:rsidRPr="003171CD">
        <w:rPr>
          <w:bCs/>
          <w:lang w:val="en-US"/>
        </w:rPr>
        <w:t>un</w:t>
      </w:r>
      <w:r w:rsidR="005A65CE" w:rsidRPr="003171CD">
        <w:rPr>
          <w:bCs/>
          <w:lang w:val="en-US"/>
        </w:rPr>
        <w:t>reasonable</w:t>
      </w:r>
      <w:r w:rsidR="00E55CE6" w:rsidRPr="003171CD">
        <w:rPr>
          <w:bCs/>
          <w:lang w:val="en-US"/>
        </w:rPr>
        <w:t xml:space="preserve"> time</w:t>
      </w:r>
      <w:r w:rsidR="005A65CE" w:rsidRPr="003171CD">
        <w:rPr>
          <w:bCs/>
          <w:lang w:val="en-US"/>
        </w:rPr>
        <w:t xml:space="preserve">, </w:t>
      </w:r>
      <w:r w:rsidR="00943A87" w:rsidRPr="003171CD">
        <w:rPr>
          <w:bCs/>
          <w:lang w:val="en-US"/>
        </w:rPr>
        <w:t xml:space="preserve">particularly </w:t>
      </w:r>
      <w:r w:rsidR="00E55CE6" w:rsidRPr="003171CD">
        <w:rPr>
          <w:bCs/>
          <w:lang w:val="en-US"/>
        </w:rPr>
        <w:t xml:space="preserve">aggravated by the fact that </w:t>
      </w:r>
      <w:r w:rsidR="005A65CE" w:rsidRPr="003171CD">
        <w:rPr>
          <w:bCs/>
          <w:lang w:val="en-US"/>
        </w:rPr>
        <w:t>Mr. Ruano Torres</w:t>
      </w:r>
      <w:r w:rsidR="00E55CE6" w:rsidRPr="003171CD">
        <w:rPr>
          <w:bCs/>
          <w:lang w:val="en-US"/>
        </w:rPr>
        <w:t xml:space="preserve"> was deprived of his liberty</w:t>
      </w:r>
      <w:r w:rsidR="005A65CE" w:rsidRPr="003171CD">
        <w:rPr>
          <w:bCs/>
          <w:lang w:val="en-US"/>
        </w:rPr>
        <w:t>.</w:t>
      </w:r>
    </w:p>
    <w:p w14:paraId="780D47D5" w14:textId="77777777" w:rsidR="005A65CE" w:rsidRPr="003171CD" w:rsidRDefault="005A65CE" w:rsidP="005A65CE">
      <w:pPr>
        <w:pStyle w:val="Prrafodelista"/>
        <w:ind w:left="0"/>
        <w:jc w:val="both"/>
        <w:rPr>
          <w:rFonts w:cs="Verdana"/>
          <w:szCs w:val="20"/>
          <w:lang w:val="en-US"/>
        </w:rPr>
      </w:pPr>
    </w:p>
    <w:p w14:paraId="3089B5FC" w14:textId="77777777" w:rsidR="005A65CE" w:rsidRPr="003171CD" w:rsidRDefault="00943A87" w:rsidP="005A65CE">
      <w:pPr>
        <w:pStyle w:val="Prrafodelista"/>
        <w:numPr>
          <w:ilvl w:val="0"/>
          <w:numId w:val="1"/>
        </w:numPr>
        <w:jc w:val="both"/>
        <w:rPr>
          <w:rFonts w:cs="Verdana"/>
          <w:szCs w:val="20"/>
          <w:lang w:val="en-US"/>
        </w:rPr>
      </w:pPr>
      <w:r w:rsidRPr="003171CD">
        <w:rPr>
          <w:rFonts w:eastAsiaTheme="minorHAnsi" w:cs="Arial"/>
          <w:szCs w:val="20"/>
          <w:lang w:val="en-US"/>
        </w:rPr>
        <w:t>T</w:t>
      </w:r>
      <w:r w:rsidR="005A65CE" w:rsidRPr="003171CD">
        <w:rPr>
          <w:rFonts w:eastAsiaTheme="minorHAnsi" w:cs="Arial"/>
          <w:szCs w:val="20"/>
          <w:lang w:val="en-US"/>
        </w:rPr>
        <w:t>he Court rec</w:t>
      </w:r>
      <w:r w:rsidR="00E755FC" w:rsidRPr="003171CD">
        <w:rPr>
          <w:rFonts w:eastAsiaTheme="minorHAnsi" w:cs="Arial"/>
          <w:szCs w:val="20"/>
          <w:lang w:val="en-US"/>
        </w:rPr>
        <w:t xml:space="preserve">alls </w:t>
      </w:r>
      <w:r w:rsidR="005A65CE" w:rsidRPr="003171CD">
        <w:rPr>
          <w:rFonts w:eastAsiaTheme="minorHAnsi" w:cs="Arial"/>
          <w:szCs w:val="20"/>
          <w:lang w:val="en-US"/>
        </w:rPr>
        <w:t xml:space="preserve">that any violation of </w:t>
      </w:r>
      <w:r w:rsidR="00982E4F" w:rsidRPr="003171CD">
        <w:rPr>
          <w:rFonts w:eastAsiaTheme="minorHAnsi" w:cs="Arial"/>
          <w:szCs w:val="20"/>
          <w:lang w:val="en-US"/>
        </w:rPr>
        <w:t>clauses</w:t>
      </w:r>
      <w:r w:rsidR="00E755FC" w:rsidRPr="003171CD">
        <w:rPr>
          <w:rFonts w:eastAsiaTheme="minorHAnsi" w:cs="Arial"/>
          <w:szCs w:val="20"/>
          <w:lang w:val="en-US"/>
        </w:rPr>
        <w:t xml:space="preserve"> 2 to 7 of </w:t>
      </w:r>
      <w:r w:rsidR="005A65CE" w:rsidRPr="003171CD">
        <w:rPr>
          <w:rFonts w:eastAsiaTheme="minorHAnsi" w:cs="Arial"/>
          <w:szCs w:val="20"/>
          <w:lang w:val="en-US"/>
        </w:rPr>
        <w:t>Article 7 of the Convention necessar</w:t>
      </w:r>
      <w:r w:rsidR="00AF7E01" w:rsidRPr="003171CD">
        <w:rPr>
          <w:rFonts w:eastAsiaTheme="minorHAnsi" w:cs="Arial"/>
          <w:szCs w:val="20"/>
          <w:lang w:val="en-US"/>
        </w:rPr>
        <w:t>ily entails</w:t>
      </w:r>
      <w:r w:rsidR="00E755FC" w:rsidRPr="003171CD">
        <w:rPr>
          <w:rFonts w:eastAsiaTheme="minorHAnsi" w:cs="Arial"/>
          <w:szCs w:val="20"/>
          <w:lang w:val="en-US"/>
        </w:rPr>
        <w:t xml:space="preserve"> the violation of </w:t>
      </w:r>
      <w:r w:rsidRPr="003171CD">
        <w:rPr>
          <w:rFonts w:eastAsiaTheme="minorHAnsi" w:cs="Arial"/>
          <w:szCs w:val="20"/>
          <w:lang w:val="en-US"/>
        </w:rPr>
        <w:t xml:space="preserve">clause 1 of </w:t>
      </w:r>
      <w:r w:rsidR="005A65CE" w:rsidRPr="003171CD">
        <w:rPr>
          <w:rFonts w:eastAsiaTheme="minorHAnsi" w:cs="Arial"/>
          <w:szCs w:val="20"/>
          <w:lang w:val="en-US"/>
        </w:rPr>
        <w:t xml:space="preserve">Article </w:t>
      </w:r>
      <w:r w:rsidR="00DC6D48" w:rsidRPr="003171CD">
        <w:rPr>
          <w:rFonts w:eastAsiaTheme="minorHAnsi" w:cs="Arial"/>
          <w:szCs w:val="20"/>
          <w:lang w:val="en-US"/>
        </w:rPr>
        <w:t>7</w:t>
      </w:r>
      <w:r w:rsidR="005A65CE" w:rsidRPr="003171CD">
        <w:rPr>
          <w:rFonts w:eastAsiaTheme="minorHAnsi" w:cs="Arial"/>
          <w:szCs w:val="20"/>
          <w:lang w:val="en-US"/>
        </w:rPr>
        <w:t xml:space="preserve"> </w:t>
      </w:r>
      <w:r w:rsidR="00E755FC" w:rsidRPr="003171CD">
        <w:rPr>
          <w:rFonts w:eastAsiaTheme="minorHAnsi" w:cs="Arial"/>
          <w:szCs w:val="20"/>
          <w:lang w:val="en-US"/>
        </w:rPr>
        <w:t>there</w:t>
      </w:r>
      <w:r w:rsidR="005A65CE" w:rsidRPr="003171CD">
        <w:rPr>
          <w:rFonts w:eastAsiaTheme="minorHAnsi" w:cs="Arial"/>
          <w:szCs w:val="20"/>
          <w:lang w:val="en-US"/>
        </w:rPr>
        <w:t>of</w:t>
      </w:r>
      <w:r w:rsidR="00E755FC" w:rsidRPr="003171CD">
        <w:rPr>
          <w:rFonts w:eastAsiaTheme="minorHAnsi" w:cs="Arial"/>
          <w:szCs w:val="20"/>
          <w:lang w:val="en-US"/>
        </w:rPr>
        <w:t>,</w:t>
      </w:r>
      <w:r w:rsidR="005A65CE" w:rsidRPr="003171CD">
        <w:rPr>
          <w:rFonts w:eastAsiaTheme="minorHAnsi"/>
          <w:szCs w:val="20"/>
          <w:vertAlign w:val="superscript"/>
          <w:lang w:val="en-US"/>
        </w:rPr>
        <w:footnoteReference w:id="205"/>
      </w:r>
      <w:r w:rsidR="005A65CE" w:rsidRPr="003171CD">
        <w:rPr>
          <w:rFonts w:eastAsiaTheme="minorHAnsi" w:cs="Arial"/>
          <w:szCs w:val="20"/>
          <w:lang w:val="en-US"/>
        </w:rPr>
        <w:t xml:space="preserve"> </w:t>
      </w:r>
      <w:r w:rsidR="00E755FC" w:rsidRPr="003171CD">
        <w:rPr>
          <w:rFonts w:eastAsiaTheme="minorHAnsi" w:cs="Arial"/>
          <w:szCs w:val="20"/>
          <w:lang w:val="en-US"/>
        </w:rPr>
        <w:t xml:space="preserve">as </w:t>
      </w:r>
      <w:r w:rsidR="007E4705" w:rsidRPr="003171CD">
        <w:rPr>
          <w:rFonts w:eastAsiaTheme="minorHAnsi" w:cs="Arial"/>
          <w:szCs w:val="20"/>
          <w:lang w:val="en-US"/>
        </w:rPr>
        <w:t xml:space="preserve">stated </w:t>
      </w:r>
      <w:r w:rsidR="005A65CE" w:rsidRPr="003171CD">
        <w:rPr>
          <w:rFonts w:eastAsiaTheme="minorHAnsi" w:cs="Arial"/>
          <w:szCs w:val="20"/>
          <w:lang w:val="en-US"/>
        </w:rPr>
        <w:t xml:space="preserve">by the representatives. </w:t>
      </w:r>
      <w:r w:rsidR="00E755FC" w:rsidRPr="003171CD">
        <w:rPr>
          <w:rFonts w:eastAsiaTheme="minorHAnsi" w:cs="Arial"/>
          <w:szCs w:val="20"/>
          <w:lang w:val="en-US"/>
        </w:rPr>
        <w:t xml:space="preserve">Therefore, in this </w:t>
      </w:r>
      <w:r w:rsidR="005A65CE" w:rsidRPr="003171CD">
        <w:rPr>
          <w:rFonts w:eastAsiaTheme="minorHAnsi" w:cs="Arial"/>
          <w:szCs w:val="20"/>
          <w:lang w:val="en-US"/>
        </w:rPr>
        <w:t xml:space="preserve">case </w:t>
      </w:r>
      <w:r w:rsidRPr="003171CD">
        <w:rPr>
          <w:rFonts w:eastAsiaTheme="minorHAnsi" w:cs="Arial"/>
          <w:szCs w:val="20"/>
          <w:lang w:val="en-US"/>
        </w:rPr>
        <w:t>the Court also finds it</w:t>
      </w:r>
      <w:r w:rsidR="00E755FC" w:rsidRPr="003171CD">
        <w:rPr>
          <w:rFonts w:eastAsiaTheme="minorHAnsi" w:cs="Arial"/>
          <w:szCs w:val="20"/>
          <w:lang w:val="en-US"/>
        </w:rPr>
        <w:t xml:space="preserve"> pertinent to declare </w:t>
      </w:r>
      <w:r w:rsidR="005A65CE" w:rsidRPr="003171CD">
        <w:rPr>
          <w:rFonts w:eastAsiaTheme="minorHAnsi" w:cs="Arial"/>
          <w:szCs w:val="20"/>
          <w:lang w:val="en-US"/>
        </w:rPr>
        <w:t xml:space="preserve">a violation </w:t>
      </w:r>
      <w:r w:rsidR="00E755FC" w:rsidRPr="003171CD">
        <w:rPr>
          <w:rFonts w:eastAsiaTheme="minorHAnsi" w:cs="Arial"/>
          <w:szCs w:val="20"/>
          <w:lang w:val="en-US"/>
        </w:rPr>
        <w:t xml:space="preserve">of </w:t>
      </w:r>
      <w:r w:rsidR="005A65CE" w:rsidRPr="003171CD">
        <w:rPr>
          <w:rFonts w:eastAsiaTheme="minorHAnsi" w:cs="Arial"/>
          <w:szCs w:val="20"/>
          <w:lang w:val="en-US"/>
        </w:rPr>
        <w:t>Article 7</w:t>
      </w:r>
      <w:r w:rsidRPr="003171CD">
        <w:rPr>
          <w:rFonts w:eastAsiaTheme="minorHAnsi" w:cs="Arial"/>
          <w:szCs w:val="20"/>
          <w:lang w:val="en-US"/>
        </w:rPr>
        <w:t>(1)</w:t>
      </w:r>
      <w:r w:rsidR="005A65CE" w:rsidRPr="003171CD">
        <w:rPr>
          <w:rFonts w:eastAsiaTheme="minorHAnsi" w:cs="Arial"/>
          <w:szCs w:val="20"/>
          <w:lang w:val="en-US"/>
        </w:rPr>
        <w:t xml:space="preserve"> of the Convention.</w:t>
      </w:r>
    </w:p>
    <w:p w14:paraId="2E1744E9" w14:textId="77777777" w:rsidR="005A65CE" w:rsidRPr="003171CD" w:rsidRDefault="005A65CE" w:rsidP="005A65CE">
      <w:pPr>
        <w:pStyle w:val="Prrafodelista"/>
        <w:ind w:left="0"/>
        <w:jc w:val="both"/>
        <w:rPr>
          <w:rFonts w:cs="Verdana"/>
          <w:szCs w:val="20"/>
          <w:lang w:val="en-US"/>
        </w:rPr>
      </w:pPr>
    </w:p>
    <w:p w14:paraId="4DBB799B" w14:textId="77777777" w:rsidR="005A65CE" w:rsidRPr="003171CD" w:rsidRDefault="005A65CE" w:rsidP="005A65CE">
      <w:pPr>
        <w:pStyle w:val="Prrafodelista"/>
        <w:numPr>
          <w:ilvl w:val="0"/>
          <w:numId w:val="1"/>
        </w:numPr>
        <w:jc w:val="both"/>
        <w:rPr>
          <w:rFonts w:cs="Verdana"/>
          <w:szCs w:val="20"/>
          <w:lang w:val="en-US"/>
        </w:rPr>
      </w:pPr>
      <w:r w:rsidRPr="003171CD">
        <w:rPr>
          <w:rFonts w:eastAsiaTheme="minorHAnsi" w:cs="Arial"/>
          <w:szCs w:val="20"/>
          <w:lang w:val="en-US"/>
        </w:rPr>
        <w:t>Although the representatives also invo</w:t>
      </w:r>
      <w:r w:rsidR="00E755FC" w:rsidRPr="003171CD">
        <w:rPr>
          <w:rFonts w:eastAsiaTheme="minorHAnsi" w:cs="Arial"/>
          <w:szCs w:val="20"/>
          <w:lang w:val="en-US"/>
        </w:rPr>
        <w:t xml:space="preserve">ked </w:t>
      </w:r>
      <w:r w:rsidR="00AF7E01" w:rsidRPr="003171CD">
        <w:rPr>
          <w:rFonts w:eastAsiaTheme="minorHAnsi" w:cs="Arial"/>
          <w:szCs w:val="20"/>
          <w:lang w:val="en-US"/>
        </w:rPr>
        <w:t>Article 7(</w:t>
      </w:r>
      <w:r w:rsidRPr="003171CD">
        <w:rPr>
          <w:rFonts w:eastAsiaTheme="minorHAnsi" w:cs="Arial"/>
          <w:szCs w:val="20"/>
          <w:lang w:val="en-US"/>
        </w:rPr>
        <w:t>2</w:t>
      </w:r>
      <w:r w:rsidR="00AF7E01" w:rsidRPr="003171CD">
        <w:rPr>
          <w:rFonts w:eastAsiaTheme="minorHAnsi" w:cs="Arial"/>
          <w:szCs w:val="20"/>
          <w:lang w:val="en-US"/>
        </w:rPr>
        <w:t>)</w:t>
      </w:r>
      <w:r w:rsidRPr="003171CD">
        <w:rPr>
          <w:rFonts w:eastAsiaTheme="minorHAnsi" w:cs="Arial"/>
          <w:szCs w:val="20"/>
          <w:lang w:val="en-US"/>
        </w:rPr>
        <w:t xml:space="preserve"> of the Convention, </w:t>
      </w:r>
      <w:r w:rsidR="00AF7E01" w:rsidRPr="003171CD">
        <w:rPr>
          <w:rFonts w:eastAsiaTheme="minorHAnsi" w:cs="Arial"/>
          <w:szCs w:val="20"/>
          <w:lang w:val="en-US"/>
        </w:rPr>
        <w:t xml:space="preserve">they recognized at the same time </w:t>
      </w:r>
      <w:r w:rsidRPr="003171CD">
        <w:rPr>
          <w:rFonts w:eastAsiaTheme="minorHAnsi" w:cs="Arial"/>
          <w:szCs w:val="20"/>
          <w:lang w:val="en-US"/>
        </w:rPr>
        <w:t xml:space="preserve">that the </w:t>
      </w:r>
      <w:r w:rsidR="00E755FC" w:rsidRPr="003171CD">
        <w:rPr>
          <w:rFonts w:eastAsiaTheme="minorHAnsi" w:cs="Arial"/>
          <w:szCs w:val="20"/>
          <w:lang w:val="en-US"/>
        </w:rPr>
        <w:t>de</w:t>
      </w:r>
      <w:r w:rsidR="00943A87" w:rsidRPr="003171CD">
        <w:rPr>
          <w:rFonts w:eastAsiaTheme="minorHAnsi" w:cs="Arial"/>
          <w:szCs w:val="20"/>
          <w:lang w:val="en-US"/>
        </w:rPr>
        <w:t xml:space="preserve">tention </w:t>
      </w:r>
      <w:r w:rsidRPr="003171CD">
        <w:rPr>
          <w:rFonts w:eastAsiaTheme="minorHAnsi" w:cs="Arial"/>
          <w:szCs w:val="20"/>
          <w:lang w:val="en-US"/>
        </w:rPr>
        <w:t>was l</w:t>
      </w:r>
      <w:r w:rsidR="00943A87" w:rsidRPr="003171CD">
        <w:rPr>
          <w:rFonts w:eastAsiaTheme="minorHAnsi" w:cs="Arial"/>
          <w:szCs w:val="20"/>
          <w:lang w:val="en-US"/>
        </w:rPr>
        <w:t xml:space="preserve">awful </w:t>
      </w:r>
      <w:r w:rsidRPr="003171CD">
        <w:rPr>
          <w:rFonts w:eastAsiaTheme="minorHAnsi" w:cs="Arial"/>
          <w:szCs w:val="20"/>
          <w:lang w:val="en-US"/>
        </w:rPr>
        <w:t>(</w:t>
      </w:r>
      <w:r w:rsidRPr="003171CD">
        <w:rPr>
          <w:rFonts w:eastAsiaTheme="minorHAnsi" w:cs="Arial"/>
          <w:i/>
          <w:szCs w:val="20"/>
          <w:lang w:val="en-US"/>
        </w:rPr>
        <w:t>supra</w:t>
      </w:r>
      <w:r w:rsidR="00E755FC" w:rsidRPr="003171CD">
        <w:rPr>
          <w:rFonts w:eastAsiaTheme="minorHAnsi" w:cs="Arial"/>
          <w:szCs w:val="20"/>
          <w:lang w:val="en-US"/>
        </w:rPr>
        <w:t xml:space="preserve"> para. 141).</w:t>
      </w:r>
      <w:r w:rsidRPr="003171CD">
        <w:rPr>
          <w:rFonts w:eastAsiaTheme="minorHAnsi" w:cs="Arial"/>
          <w:szCs w:val="20"/>
          <w:lang w:val="en-US"/>
        </w:rPr>
        <w:t xml:space="preserve"> </w:t>
      </w:r>
      <w:r w:rsidR="00E755FC" w:rsidRPr="003171CD">
        <w:rPr>
          <w:rFonts w:eastAsiaTheme="minorHAnsi" w:cs="Arial"/>
          <w:szCs w:val="20"/>
          <w:lang w:val="en-US"/>
        </w:rPr>
        <w:t xml:space="preserve">Therefore, </w:t>
      </w:r>
      <w:r w:rsidRPr="003171CD">
        <w:rPr>
          <w:rFonts w:eastAsiaTheme="minorHAnsi" w:cs="Arial"/>
          <w:szCs w:val="20"/>
          <w:lang w:val="en-US"/>
        </w:rPr>
        <w:t xml:space="preserve">the Court </w:t>
      </w:r>
      <w:r w:rsidR="00E755FC" w:rsidRPr="003171CD">
        <w:rPr>
          <w:rFonts w:eastAsiaTheme="minorHAnsi" w:cs="Arial"/>
          <w:szCs w:val="20"/>
          <w:lang w:val="en-US"/>
        </w:rPr>
        <w:t xml:space="preserve">considers </w:t>
      </w:r>
      <w:r w:rsidRPr="003171CD">
        <w:rPr>
          <w:rFonts w:eastAsiaTheme="minorHAnsi" w:cs="Arial"/>
          <w:szCs w:val="20"/>
          <w:lang w:val="en-US"/>
        </w:rPr>
        <w:t xml:space="preserve">that </w:t>
      </w:r>
      <w:r w:rsidR="00535878" w:rsidRPr="003171CD">
        <w:rPr>
          <w:rFonts w:eastAsiaTheme="minorHAnsi" w:cs="Arial"/>
          <w:szCs w:val="20"/>
          <w:lang w:val="en-US"/>
        </w:rPr>
        <w:t xml:space="preserve">there are not sufficient </w:t>
      </w:r>
      <w:r w:rsidRPr="003171CD">
        <w:rPr>
          <w:rFonts w:eastAsiaTheme="minorHAnsi" w:cs="Arial"/>
          <w:szCs w:val="20"/>
          <w:lang w:val="en-US"/>
        </w:rPr>
        <w:t xml:space="preserve">elements </w:t>
      </w:r>
      <w:r w:rsidR="00AF7E01" w:rsidRPr="003171CD">
        <w:rPr>
          <w:rFonts w:eastAsiaTheme="minorHAnsi" w:cs="Arial"/>
          <w:szCs w:val="20"/>
          <w:lang w:val="en-US"/>
        </w:rPr>
        <w:t>to rule on this matter</w:t>
      </w:r>
      <w:r w:rsidRPr="003171CD">
        <w:rPr>
          <w:rFonts w:eastAsiaTheme="minorHAnsi" w:cs="Arial"/>
          <w:szCs w:val="20"/>
          <w:lang w:val="en-US"/>
        </w:rPr>
        <w:t>.</w:t>
      </w:r>
    </w:p>
    <w:p w14:paraId="2C351CC8" w14:textId="77777777" w:rsidR="005A65CE" w:rsidRPr="003171CD" w:rsidRDefault="005A65CE" w:rsidP="005A65CE">
      <w:pPr>
        <w:pStyle w:val="Prrafodelista"/>
        <w:ind w:left="0"/>
        <w:jc w:val="both"/>
        <w:rPr>
          <w:rFonts w:cs="Verdana"/>
          <w:szCs w:val="20"/>
          <w:lang w:val="en-US"/>
        </w:rPr>
      </w:pPr>
    </w:p>
    <w:p w14:paraId="0C9DE699" w14:textId="77777777" w:rsidR="005A65CE" w:rsidRPr="003171CD" w:rsidRDefault="005A65CE" w:rsidP="005A65CE">
      <w:pPr>
        <w:pStyle w:val="Prrafodelista"/>
        <w:numPr>
          <w:ilvl w:val="0"/>
          <w:numId w:val="1"/>
        </w:numPr>
        <w:jc w:val="both"/>
        <w:rPr>
          <w:rFonts w:cs="Verdana"/>
          <w:szCs w:val="20"/>
          <w:lang w:val="en-US"/>
        </w:rPr>
      </w:pPr>
      <w:r w:rsidRPr="003171CD">
        <w:rPr>
          <w:rFonts w:eastAsiaTheme="minorHAnsi" w:cs="Arial"/>
          <w:szCs w:val="20"/>
          <w:lang w:val="en-US"/>
        </w:rPr>
        <w:t>C</w:t>
      </w:r>
      <w:r w:rsidR="00E755FC" w:rsidRPr="003171CD">
        <w:rPr>
          <w:rFonts w:eastAsiaTheme="minorHAnsi" w:cs="Arial"/>
          <w:szCs w:val="20"/>
          <w:lang w:val="en-US"/>
        </w:rPr>
        <w:t>onsequently, the Court considers</w:t>
      </w:r>
      <w:r w:rsidRPr="003171CD">
        <w:rPr>
          <w:rFonts w:eastAsiaTheme="minorHAnsi" w:cs="Arial"/>
          <w:szCs w:val="20"/>
          <w:lang w:val="en-US"/>
        </w:rPr>
        <w:t xml:space="preserve"> that the State viol</w:t>
      </w:r>
      <w:r w:rsidR="00E755FC" w:rsidRPr="003171CD">
        <w:rPr>
          <w:rFonts w:eastAsiaTheme="minorHAnsi" w:cs="Arial"/>
          <w:szCs w:val="20"/>
          <w:lang w:val="en-US"/>
        </w:rPr>
        <w:t xml:space="preserve">ated the right to </w:t>
      </w:r>
      <w:r w:rsidRPr="003171CD">
        <w:rPr>
          <w:rFonts w:eastAsiaTheme="minorHAnsi" w:cs="Arial"/>
          <w:szCs w:val="20"/>
          <w:lang w:val="en-US"/>
        </w:rPr>
        <w:t xml:space="preserve">personal </w:t>
      </w:r>
      <w:r w:rsidR="00E755FC" w:rsidRPr="003171CD">
        <w:rPr>
          <w:rFonts w:eastAsiaTheme="minorHAnsi" w:cs="Arial"/>
          <w:szCs w:val="20"/>
          <w:lang w:val="en-US"/>
        </w:rPr>
        <w:t xml:space="preserve">liberty </w:t>
      </w:r>
      <w:r w:rsidRPr="003171CD">
        <w:rPr>
          <w:rFonts w:eastAsiaTheme="minorHAnsi" w:cs="Arial"/>
          <w:szCs w:val="20"/>
          <w:lang w:val="en-US"/>
        </w:rPr>
        <w:t xml:space="preserve">recognized in Article </w:t>
      </w:r>
      <w:r w:rsidR="00DC6D48" w:rsidRPr="003171CD">
        <w:rPr>
          <w:rFonts w:eastAsiaTheme="minorHAnsi" w:cs="Arial"/>
          <w:szCs w:val="20"/>
          <w:lang w:val="en-US"/>
        </w:rPr>
        <w:t>7(1)</w:t>
      </w:r>
      <w:r w:rsidR="006D65DA" w:rsidRPr="003171CD">
        <w:rPr>
          <w:rFonts w:eastAsiaTheme="minorHAnsi" w:cs="Arial"/>
          <w:szCs w:val="20"/>
          <w:lang w:val="en-US"/>
        </w:rPr>
        <w:t>, 7(</w:t>
      </w:r>
      <w:r w:rsidRPr="003171CD">
        <w:rPr>
          <w:rFonts w:eastAsiaTheme="minorHAnsi" w:cs="Arial"/>
          <w:szCs w:val="20"/>
          <w:lang w:val="en-US"/>
        </w:rPr>
        <w:t>3</w:t>
      </w:r>
      <w:r w:rsidR="006D65DA" w:rsidRPr="003171CD">
        <w:rPr>
          <w:rFonts w:eastAsiaTheme="minorHAnsi" w:cs="Arial"/>
          <w:szCs w:val="20"/>
          <w:lang w:val="en-US"/>
        </w:rPr>
        <w:t>) and 7(</w:t>
      </w:r>
      <w:r w:rsidRPr="003171CD">
        <w:rPr>
          <w:rFonts w:eastAsiaTheme="minorHAnsi" w:cs="Arial"/>
          <w:szCs w:val="20"/>
          <w:lang w:val="en-US"/>
        </w:rPr>
        <w:t>6</w:t>
      </w:r>
      <w:r w:rsidR="006D65DA" w:rsidRPr="003171CD">
        <w:rPr>
          <w:rFonts w:eastAsiaTheme="minorHAnsi" w:cs="Arial"/>
          <w:szCs w:val="20"/>
          <w:lang w:val="en-US"/>
        </w:rPr>
        <w:t>)</w:t>
      </w:r>
      <w:r w:rsidRPr="003171CD">
        <w:rPr>
          <w:rFonts w:eastAsiaTheme="minorHAnsi" w:cs="Arial"/>
          <w:szCs w:val="20"/>
          <w:lang w:val="en-US"/>
        </w:rPr>
        <w:t xml:space="preserve"> of the American Convention, in relation to Article 1(1</w:t>
      </w:r>
      <w:r w:rsidR="006D65DA" w:rsidRPr="003171CD">
        <w:rPr>
          <w:rFonts w:eastAsiaTheme="minorHAnsi" w:cs="Arial"/>
          <w:szCs w:val="20"/>
          <w:lang w:val="en-US"/>
        </w:rPr>
        <w:t xml:space="preserve">) thereof, to the detriment of </w:t>
      </w:r>
      <w:r w:rsidRPr="003171CD">
        <w:rPr>
          <w:rFonts w:eastAsiaTheme="minorHAnsi" w:cs="Arial"/>
          <w:szCs w:val="20"/>
          <w:lang w:val="en-US"/>
        </w:rPr>
        <w:t>José Agapito Ruano Torres.</w:t>
      </w:r>
    </w:p>
    <w:p w14:paraId="20A42911" w14:textId="77777777" w:rsidR="005A65CE" w:rsidRPr="003171CD" w:rsidRDefault="005A65CE" w:rsidP="005A65CE">
      <w:pPr>
        <w:jc w:val="both"/>
        <w:rPr>
          <w:rFonts w:eastAsiaTheme="minorHAnsi" w:cs="Arial"/>
          <w:snapToGrid/>
          <w:lang w:val="en-US" w:eastAsia="en-US"/>
        </w:rPr>
      </w:pPr>
    </w:p>
    <w:p w14:paraId="54C82E77" w14:textId="77777777" w:rsidR="006D65DA" w:rsidRPr="003171CD" w:rsidRDefault="005C0077" w:rsidP="005A65CE">
      <w:pPr>
        <w:keepNext/>
        <w:keepLines/>
        <w:tabs>
          <w:tab w:val="left" w:pos="851"/>
        </w:tabs>
        <w:jc w:val="center"/>
        <w:outlineLvl w:val="0"/>
        <w:rPr>
          <w:rFonts w:eastAsia="Times New Roman" w:cs="Arial"/>
          <w:b/>
          <w:bCs/>
          <w:caps/>
          <w:snapToGrid/>
          <w:lang w:val="en-US" w:eastAsia="en-US"/>
        </w:rPr>
      </w:pPr>
      <w:bookmarkStart w:id="50" w:name="_Toc45186711"/>
      <w:r w:rsidRPr="003171CD">
        <w:rPr>
          <w:rFonts w:eastAsia="Times New Roman" w:cs="Arial"/>
          <w:b/>
          <w:bCs/>
          <w:caps/>
          <w:snapToGrid/>
          <w:lang w:val="en-US" w:eastAsia="en-US"/>
        </w:rPr>
        <w:t>VII-2</w:t>
      </w:r>
      <w:r w:rsidRPr="003171CD">
        <w:rPr>
          <w:rFonts w:eastAsia="Times New Roman" w:cs="Arial"/>
          <w:b/>
          <w:bCs/>
          <w:caps/>
          <w:snapToGrid/>
          <w:lang w:val="en-US" w:eastAsia="en-US"/>
        </w:rPr>
        <w:br/>
        <w:t>right OF</w:t>
      </w:r>
      <w:r w:rsidR="00BF3FEC" w:rsidRPr="003171CD">
        <w:rPr>
          <w:rFonts w:eastAsia="Times New Roman" w:cs="Arial"/>
          <w:b/>
          <w:bCs/>
          <w:caps/>
          <w:snapToGrid/>
          <w:lang w:val="en-US" w:eastAsia="en-US"/>
        </w:rPr>
        <w:t xml:space="preserve"> </w:t>
      </w:r>
      <w:r w:rsidR="005A65CE" w:rsidRPr="003171CD">
        <w:rPr>
          <w:rFonts w:eastAsia="Times New Roman" w:cs="Arial"/>
          <w:b/>
          <w:bCs/>
          <w:caps/>
          <w:snapToGrid/>
          <w:lang w:val="en-US" w:eastAsia="en-US"/>
        </w:rPr>
        <w:t xml:space="preserve">DEFENSE in relation to the obligation </w:t>
      </w:r>
      <w:r w:rsidR="006D65DA" w:rsidRPr="003171CD">
        <w:rPr>
          <w:rFonts w:eastAsia="Times New Roman" w:cs="Arial"/>
          <w:b/>
          <w:bCs/>
          <w:caps/>
          <w:snapToGrid/>
          <w:lang w:val="en-US" w:eastAsia="en-US"/>
        </w:rPr>
        <w:t>TO RESPECT</w:t>
      </w:r>
      <w:bookmarkEnd w:id="50"/>
      <w:r w:rsidR="006D65DA" w:rsidRPr="003171CD">
        <w:rPr>
          <w:rFonts w:eastAsia="Times New Roman" w:cs="Arial"/>
          <w:b/>
          <w:bCs/>
          <w:caps/>
          <w:snapToGrid/>
          <w:lang w:val="en-US" w:eastAsia="en-US"/>
        </w:rPr>
        <w:t xml:space="preserve"> </w:t>
      </w:r>
    </w:p>
    <w:p w14:paraId="1EAB7B67" w14:textId="77777777" w:rsidR="005A65CE" w:rsidRPr="003171CD" w:rsidRDefault="006D65DA" w:rsidP="005A65CE">
      <w:pPr>
        <w:keepNext/>
        <w:keepLines/>
        <w:tabs>
          <w:tab w:val="left" w:pos="851"/>
        </w:tabs>
        <w:jc w:val="center"/>
        <w:outlineLvl w:val="0"/>
        <w:rPr>
          <w:rFonts w:eastAsia="Times New Roman" w:cs="Arial"/>
          <w:b/>
          <w:bCs/>
          <w:caps/>
          <w:snapToGrid/>
          <w:lang w:val="en-US" w:eastAsia="en-US"/>
        </w:rPr>
      </w:pPr>
      <w:bookmarkStart w:id="51" w:name="_Toc45186712"/>
      <w:r w:rsidRPr="003171CD">
        <w:rPr>
          <w:rFonts w:eastAsia="Times New Roman" w:cs="Arial"/>
          <w:b/>
          <w:bCs/>
          <w:caps/>
          <w:snapToGrid/>
          <w:lang w:val="en-US" w:eastAsia="en-US"/>
        </w:rPr>
        <w:t xml:space="preserve">AND guarantee </w:t>
      </w:r>
      <w:r w:rsidR="00834B13" w:rsidRPr="003171CD">
        <w:rPr>
          <w:rFonts w:eastAsia="Times New Roman" w:cs="Arial"/>
          <w:b/>
          <w:bCs/>
          <w:caps/>
          <w:snapToGrid/>
          <w:lang w:val="en-US" w:eastAsia="en-US"/>
        </w:rPr>
        <w:t>rights</w:t>
      </w:r>
      <w:bookmarkEnd w:id="51"/>
    </w:p>
    <w:p w14:paraId="33A9CEAC" w14:textId="77777777" w:rsidR="005A65CE" w:rsidRPr="003171CD" w:rsidRDefault="005A65CE" w:rsidP="005A65CE">
      <w:pPr>
        <w:jc w:val="both"/>
        <w:rPr>
          <w:rFonts w:eastAsiaTheme="minorHAnsi" w:cs="Arial"/>
          <w:snapToGrid/>
          <w:lang w:val="en-US" w:eastAsia="en-US"/>
        </w:rPr>
      </w:pPr>
    </w:p>
    <w:p w14:paraId="146A756D" w14:textId="77777777" w:rsidR="005A65CE" w:rsidRPr="003171CD" w:rsidRDefault="005A65CE" w:rsidP="005A65CE">
      <w:pPr>
        <w:pStyle w:val="Prrafodelista"/>
        <w:keepNext/>
        <w:keepLines/>
        <w:numPr>
          <w:ilvl w:val="0"/>
          <w:numId w:val="18"/>
        </w:numPr>
        <w:ind w:left="1418" w:hanging="709"/>
        <w:jc w:val="both"/>
        <w:outlineLvl w:val="1"/>
        <w:rPr>
          <w:rFonts w:cs="Arial"/>
          <w:b/>
          <w:i/>
          <w:lang w:val="en-US"/>
        </w:rPr>
      </w:pPr>
      <w:bookmarkStart w:id="52" w:name="_Toc45186713"/>
      <w:r w:rsidRPr="003171CD">
        <w:rPr>
          <w:rFonts w:cs="Arial"/>
          <w:b/>
          <w:i/>
          <w:lang w:val="en-US"/>
        </w:rPr>
        <w:lastRenderedPageBreak/>
        <w:t>Arguments of the parties and of the Commission</w:t>
      </w:r>
      <w:bookmarkEnd w:id="52"/>
    </w:p>
    <w:p w14:paraId="5327A160" w14:textId="77777777" w:rsidR="005A65CE" w:rsidRPr="003171CD" w:rsidRDefault="005A65CE" w:rsidP="005A65CE">
      <w:pPr>
        <w:jc w:val="both"/>
        <w:rPr>
          <w:rFonts w:cs="Arial"/>
          <w:i/>
          <w:snapToGrid/>
          <w:lang w:val="en-US" w:eastAsia="en-US"/>
        </w:rPr>
      </w:pPr>
    </w:p>
    <w:p w14:paraId="3266C45B" w14:textId="77777777" w:rsidR="005A65CE" w:rsidRPr="003171CD" w:rsidRDefault="00943A87" w:rsidP="005A65CE">
      <w:pPr>
        <w:pStyle w:val="Prrafodelista"/>
        <w:numPr>
          <w:ilvl w:val="0"/>
          <w:numId w:val="1"/>
        </w:numPr>
        <w:tabs>
          <w:tab w:val="left" w:pos="720"/>
          <w:tab w:val="num" w:pos="5057"/>
        </w:tabs>
        <w:ind w:right="-90"/>
        <w:contextualSpacing/>
        <w:jc w:val="both"/>
        <w:rPr>
          <w:rFonts w:eastAsiaTheme="minorHAnsi"/>
          <w:lang w:val="en-US"/>
        </w:rPr>
      </w:pPr>
      <w:r w:rsidRPr="003171CD">
        <w:rPr>
          <w:rFonts w:eastAsiaTheme="minorHAnsi" w:cs="Arial"/>
          <w:lang w:val="en-US"/>
        </w:rPr>
        <w:t xml:space="preserve">The </w:t>
      </w:r>
      <w:r w:rsidRPr="003171CD">
        <w:rPr>
          <w:rFonts w:eastAsiaTheme="minorHAnsi" w:cs="Arial"/>
          <w:b/>
          <w:i/>
          <w:lang w:val="en-US"/>
        </w:rPr>
        <w:t>Commission</w:t>
      </w:r>
      <w:r w:rsidRPr="003171CD">
        <w:rPr>
          <w:rFonts w:cs="Arial"/>
          <w:lang w:val="en-US"/>
        </w:rPr>
        <w:t xml:space="preserve"> </w:t>
      </w:r>
      <w:r w:rsidR="00906A87" w:rsidRPr="003171CD">
        <w:rPr>
          <w:rFonts w:cs="Arial"/>
          <w:lang w:val="en-US"/>
        </w:rPr>
        <w:t xml:space="preserve">indicated that, together with </w:t>
      </w:r>
      <w:r w:rsidR="005A65CE" w:rsidRPr="003171CD">
        <w:rPr>
          <w:rFonts w:cs="Arial"/>
          <w:lang w:val="en-US"/>
        </w:rPr>
        <w:t xml:space="preserve">the </w:t>
      </w:r>
      <w:r w:rsidR="006F1D38" w:rsidRPr="003171CD">
        <w:rPr>
          <w:rFonts w:cs="Arial"/>
          <w:lang w:val="en-US"/>
        </w:rPr>
        <w:t>Human R</w:t>
      </w:r>
      <w:r w:rsidR="006D65DA" w:rsidRPr="003171CD">
        <w:rPr>
          <w:rFonts w:cs="Arial"/>
          <w:lang w:val="en-US"/>
        </w:rPr>
        <w:t xml:space="preserve">ights </w:t>
      </w:r>
      <w:r w:rsidR="00E11824" w:rsidRPr="003171CD">
        <w:rPr>
          <w:rFonts w:cs="Arial"/>
          <w:lang w:val="en-US"/>
        </w:rPr>
        <w:t xml:space="preserve">Committee </w:t>
      </w:r>
      <w:r w:rsidR="006D65DA" w:rsidRPr="003171CD">
        <w:rPr>
          <w:rFonts w:cs="Arial"/>
          <w:lang w:val="en-US"/>
        </w:rPr>
        <w:t xml:space="preserve">and the </w:t>
      </w:r>
      <w:r w:rsidR="005A65CE" w:rsidRPr="003171CD">
        <w:rPr>
          <w:rFonts w:cs="Arial"/>
          <w:lang w:val="en-US"/>
        </w:rPr>
        <w:t>Europe</w:t>
      </w:r>
      <w:r w:rsidR="006D65DA" w:rsidRPr="003171CD">
        <w:rPr>
          <w:rFonts w:cs="Arial"/>
          <w:lang w:val="en-US"/>
        </w:rPr>
        <w:t>an Court of Human R</w:t>
      </w:r>
      <w:r w:rsidR="005A65CE" w:rsidRPr="003171CD">
        <w:rPr>
          <w:rFonts w:cs="Arial"/>
          <w:lang w:val="en-US"/>
        </w:rPr>
        <w:t xml:space="preserve">ights, </w:t>
      </w:r>
      <w:r w:rsidR="00906A87" w:rsidRPr="003171CD">
        <w:rPr>
          <w:rFonts w:cs="Arial"/>
          <w:lang w:val="en-US"/>
        </w:rPr>
        <w:t xml:space="preserve">it considers </w:t>
      </w:r>
      <w:r w:rsidR="00E11824" w:rsidRPr="003171CD">
        <w:rPr>
          <w:rFonts w:cs="Arial"/>
          <w:lang w:val="en-US"/>
        </w:rPr>
        <w:t>that “</w:t>
      </w:r>
      <w:r w:rsidR="005A65CE" w:rsidRPr="003171CD">
        <w:rPr>
          <w:rFonts w:cs="Arial"/>
          <w:lang w:val="en-US"/>
        </w:rPr>
        <w:t>State</w:t>
      </w:r>
      <w:r w:rsidR="00E11824" w:rsidRPr="003171CD">
        <w:rPr>
          <w:rFonts w:cs="Arial"/>
          <w:lang w:val="en-US"/>
        </w:rPr>
        <w:t>s</w:t>
      </w:r>
      <w:r w:rsidR="005A65CE" w:rsidRPr="003171CD">
        <w:rPr>
          <w:rFonts w:cs="Arial"/>
          <w:lang w:val="en-US"/>
        </w:rPr>
        <w:t xml:space="preserve"> </w:t>
      </w:r>
      <w:r w:rsidR="00DC2F40" w:rsidRPr="003171CD">
        <w:rPr>
          <w:rFonts w:cs="Arial"/>
          <w:lang w:val="en-US"/>
        </w:rPr>
        <w:t xml:space="preserve">cannot be </w:t>
      </w:r>
      <w:r w:rsidR="00526B6E" w:rsidRPr="003171CD">
        <w:rPr>
          <w:rFonts w:cs="Arial"/>
          <w:lang w:val="en-US"/>
        </w:rPr>
        <w:t xml:space="preserve">held </w:t>
      </w:r>
      <w:r w:rsidR="00DC2F40" w:rsidRPr="003171CD">
        <w:rPr>
          <w:rFonts w:cs="Arial"/>
          <w:lang w:val="en-US"/>
        </w:rPr>
        <w:t xml:space="preserve">responsible for all </w:t>
      </w:r>
      <w:r w:rsidR="005A65CE" w:rsidRPr="003171CD">
        <w:rPr>
          <w:rFonts w:cs="Arial"/>
          <w:lang w:val="en-US"/>
        </w:rPr>
        <w:t xml:space="preserve">the </w:t>
      </w:r>
      <w:r w:rsidR="00D80B4C" w:rsidRPr="003171CD">
        <w:rPr>
          <w:rFonts w:cs="Arial"/>
          <w:lang w:val="en-US"/>
        </w:rPr>
        <w:t>failings</w:t>
      </w:r>
      <w:r w:rsidR="005A65CE" w:rsidRPr="003171CD">
        <w:rPr>
          <w:rFonts w:cs="Arial"/>
          <w:lang w:val="en-US"/>
        </w:rPr>
        <w:t xml:space="preserve"> </w:t>
      </w:r>
      <w:r w:rsidR="00526B6E" w:rsidRPr="003171CD">
        <w:rPr>
          <w:rFonts w:cs="Arial"/>
          <w:lang w:val="en-US"/>
        </w:rPr>
        <w:t xml:space="preserve">of the </w:t>
      </w:r>
      <w:r w:rsidR="005A65CE" w:rsidRPr="003171CD">
        <w:rPr>
          <w:rFonts w:cs="Arial"/>
          <w:lang w:val="en-US"/>
        </w:rPr>
        <w:t>public defen</w:t>
      </w:r>
      <w:r w:rsidR="00526B6E" w:rsidRPr="003171CD">
        <w:rPr>
          <w:rFonts w:cs="Arial"/>
          <w:lang w:val="en-US"/>
        </w:rPr>
        <w:t>se counsel</w:t>
      </w:r>
      <w:r w:rsidR="00DC2F40" w:rsidRPr="003171CD">
        <w:rPr>
          <w:rFonts w:cs="Arial"/>
          <w:lang w:val="en-US"/>
        </w:rPr>
        <w:t xml:space="preserve">.” </w:t>
      </w:r>
      <w:r w:rsidR="005C0077" w:rsidRPr="003171CD">
        <w:rPr>
          <w:rFonts w:cs="Arial"/>
          <w:lang w:val="en-US"/>
        </w:rPr>
        <w:t xml:space="preserve">Nevertheless, </w:t>
      </w:r>
      <w:r w:rsidR="00906A87" w:rsidRPr="003171CD">
        <w:rPr>
          <w:rFonts w:cs="Arial"/>
          <w:lang w:val="en-US"/>
        </w:rPr>
        <w:t xml:space="preserve">it considers that </w:t>
      </w:r>
      <w:r w:rsidR="005A65CE" w:rsidRPr="003171CD">
        <w:rPr>
          <w:rFonts w:cs="Arial"/>
          <w:lang w:val="en-US"/>
        </w:rPr>
        <w:t xml:space="preserve">the </w:t>
      </w:r>
      <w:r w:rsidR="00DC2F40" w:rsidRPr="003171CD">
        <w:rPr>
          <w:rFonts w:cs="Arial"/>
          <w:lang w:val="en-US"/>
        </w:rPr>
        <w:t>St</w:t>
      </w:r>
      <w:r w:rsidR="00E11824" w:rsidRPr="003171CD">
        <w:rPr>
          <w:rFonts w:cs="Arial"/>
          <w:lang w:val="en-US"/>
        </w:rPr>
        <w:t>ate is</w:t>
      </w:r>
      <w:r w:rsidR="00DC2F40" w:rsidRPr="003171CD">
        <w:rPr>
          <w:rFonts w:cs="Arial"/>
          <w:lang w:val="en-US"/>
        </w:rPr>
        <w:t xml:space="preserve"> </w:t>
      </w:r>
      <w:r w:rsidR="00E11824" w:rsidRPr="003171CD">
        <w:rPr>
          <w:rFonts w:cs="Arial"/>
          <w:lang w:val="en-US"/>
        </w:rPr>
        <w:t>responsible</w:t>
      </w:r>
      <w:r w:rsidR="005A65CE" w:rsidRPr="003171CD">
        <w:rPr>
          <w:rFonts w:cs="Arial"/>
          <w:lang w:val="en-US"/>
        </w:rPr>
        <w:t xml:space="preserve"> “</w:t>
      </w:r>
      <w:r w:rsidR="00DC2F40" w:rsidRPr="003171CD">
        <w:rPr>
          <w:rFonts w:cs="Arial"/>
          <w:lang w:val="en-US"/>
        </w:rPr>
        <w:t xml:space="preserve">if </w:t>
      </w:r>
      <w:r w:rsidR="00E11824" w:rsidRPr="003171CD">
        <w:rPr>
          <w:rFonts w:cs="Arial"/>
          <w:lang w:val="en-US"/>
        </w:rPr>
        <w:t>public defenders</w:t>
      </w:r>
      <w:r w:rsidR="005A65CE" w:rsidRPr="003171CD">
        <w:rPr>
          <w:rFonts w:cs="Arial"/>
          <w:lang w:val="en-US"/>
        </w:rPr>
        <w:t xml:space="preserve"> incur</w:t>
      </w:r>
      <w:r w:rsidR="004764AE" w:rsidRPr="003171CD">
        <w:rPr>
          <w:rFonts w:cs="Arial"/>
          <w:lang w:val="en-US"/>
        </w:rPr>
        <w:t xml:space="preserve"> </w:t>
      </w:r>
      <w:r w:rsidR="005A65CE" w:rsidRPr="003171CD">
        <w:rPr>
          <w:rFonts w:cs="Arial"/>
          <w:lang w:val="en-US"/>
        </w:rPr>
        <w:t>in omis</w:t>
      </w:r>
      <w:r w:rsidR="00DC2F40" w:rsidRPr="003171CD">
        <w:rPr>
          <w:rFonts w:cs="Arial"/>
          <w:lang w:val="en-US"/>
        </w:rPr>
        <w:t>sion</w:t>
      </w:r>
      <w:r w:rsidR="005A65CE" w:rsidRPr="003171CD">
        <w:rPr>
          <w:rFonts w:cs="Arial"/>
          <w:lang w:val="en-US"/>
        </w:rPr>
        <w:t xml:space="preserve">s or </w:t>
      </w:r>
      <w:r w:rsidR="00D80B4C" w:rsidRPr="003171CD">
        <w:rPr>
          <w:rFonts w:cs="Arial"/>
          <w:lang w:val="en-US"/>
        </w:rPr>
        <w:t>failings</w:t>
      </w:r>
      <w:r w:rsidR="005A65CE" w:rsidRPr="003171CD">
        <w:rPr>
          <w:rFonts w:cs="Arial"/>
          <w:lang w:val="en-US"/>
        </w:rPr>
        <w:t xml:space="preserve"> that </w:t>
      </w:r>
      <w:r w:rsidR="00E11824" w:rsidRPr="003171CD">
        <w:rPr>
          <w:rFonts w:cs="Arial"/>
          <w:lang w:val="en-US"/>
        </w:rPr>
        <w:t xml:space="preserve">evidently allow the </w:t>
      </w:r>
      <w:r w:rsidR="005A65CE" w:rsidRPr="003171CD">
        <w:rPr>
          <w:rFonts w:cs="Arial"/>
          <w:lang w:val="en-US"/>
        </w:rPr>
        <w:t>conclu</w:t>
      </w:r>
      <w:r w:rsidR="00E11824" w:rsidRPr="003171CD">
        <w:rPr>
          <w:rFonts w:cs="Arial"/>
          <w:lang w:val="en-US"/>
        </w:rPr>
        <w:t xml:space="preserve">sion </w:t>
      </w:r>
      <w:r w:rsidR="005A65CE" w:rsidRPr="003171CD">
        <w:rPr>
          <w:rFonts w:cs="Arial"/>
          <w:lang w:val="en-US"/>
        </w:rPr>
        <w:t xml:space="preserve">that </w:t>
      </w:r>
      <w:r w:rsidR="00E11824" w:rsidRPr="003171CD">
        <w:rPr>
          <w:rFonts w:cs="Arial"/>
          <w:lang w:val="en-US"/>
        </w:rPr>
        <w:t xml:space="preserve">effective assistance was </w:t>
      </w:r>
      <w:r w:rsidR="005A65CE" w:rsidRPr="003171CD">
        <w:rPr>
          <w:rFonts w:cs="Arial"/>
          <w:lang w:val="en-US"/>
        </w:rPr>
        <w:t>no</w:t>
      </w:r>
      <w:r w:rsidR="006F1D38" w:rsidRPr="003171CD">
        <w:rPr>
          <w:rFonts w:cs="Arial"/>
          <w:lang w:val="en-US"/>
        </w:rPr>
        <w:t xml:space="preserve">t </w:t>
      </w:r>
      <w:r w:rsidR="00E11824" w:rsidRPr="003171CD">
        <w:rPr>
          <w:rFonts w:cs="Arial"/>
          <w:lang w:val="en-US"/>
        </w:rPr>
        <w:t>rendered</w:t>
      </w:r>
      <w:r w:rsidR="00DC2F40" w:rsidRPr="003171CD">
        <w:rPr>
          <w:rFonts w:cs="Arial"/>
          <w:lang w:val="en-US"/>
        </w:rPr>
        <w:t>.”</w:t>
      </w:r>
      <w:r w:rsidR="005A65CE" w:rsidRPr="003171CD">
        <w:rPr>
          <w:rFonts w:cs="Arial"/>
          <w:b/>
          <w:sz w:val="16"/>
          <w:szCs w:val="16"/>
          <w:lang w:val="en-US"/>
        </w:rPr>
        <w:t xml:space="preserve"> </w:t>
      </w:r>
      <w:r w:rsidR="005A65CE" w:rsidRPr="003171CD">
        <w:rPr>
          <w:rFonts w:eastAsiaTheme="minorHAnsi" w:cs="Arial"/>
          <w:lang w:val="en-US"/>
        </w:rPr>
        <w:t>The Commission argu</w:t>
      </w:r>
      <w:r w:rsidR="006D65DA" w:rsidRPr="003171CD">
        <w:rPr>
          <w:rFonts w:eastAsiaTheme="minorHAnsi" w:cs="Arial"/>
          <w:lang w:val="en-US"/>
        </w:rPr>
        <w:t xml:space="preserve">ed </w:t>
      </w:r>
      <w:r w:rsidR="005A65CE" w:rsidRPr="003171CD">
        <w:rPr>
          <w:rFonts w:eastAsiaTheme="minorHAnsi" w:cs="Arial"/>
          <w:lang w:val="en-US"/>
        </w:rPr>
        <w:t xml:space="preserve">that </w:t>
      </w:r>
      <w:r w:rsidR="001A1AB1" w:rsidRPr="003171CD">
        <w:rPr>
          <w:rFonts w:eastAsiaTheme="minorHAnsi" w:cs="Arial"/>
          <w:lang w:val="en-US"/>
        </w:rPr>
        <w:t xml:space="preserve">during the criminal trial followed against Mr. Ruano Torres, the public defenders </w:t>
      </w:r>
      <w:r w:rsidR="005C0077" w:rsidRPr="003171CD">
        <w:rPr>
          <w:rFonts w:eastAsiaTheme="minorHAnsi" w:cs="Arial"/>
          <w:lang w:val="en-US"/>
        </w:rPr>
        <w:t xml:space="preserve">were </w:t>
      </w:r>
      <w:r w:rsidR="001A1AB1" w:rsidRPr="003171CD">
        <w:rPr>
          <w:rFonts w:eastAsiaTheme="minorHAnsi" w:cs="Arial"/>
          <w:lang w:val="en-US"/>
        </w:rPr>
        <w:t xml:space="preserve">responsible for </w:t>
      </w:r>
      <w:r w:rsidR="005C0077" w:rsidRPr="003171CD">
        <w:rPr>
          <w:rFonts w:eastAsiaTheme="minorHAnsi" w:cs="Arial"/>
          <w:lang w:val="en-US"/>
        </w:rPr>
        <w:t xml:space="preserve">the following </w:t>
      </w:r>
      <w:r w:rsidR="006D65DA" w:rsidRPr="003171CD">
        <w:rPr>
          <w:rFonts w:eastAsiaTheme="minorHAnsi" w:cs="Arial"/>
          <w:lang w:val="en-US"/>
        </w:rPr>
        <w:t>grave acts or</w:t>
      </w:r>
      <w:r w:rsidR="005A65CE" w:rsidRPr="003171CD">
        <w:rPr>
          <w:rFonts w:eastAsiaTheme="minorHAnsi" w:cs="Arial"/>
          <w:lang w:val="en-US"/>
        </w:rPr>
        <w:t xml:space="preserve"> omis</w:t>
      </w:r>
      <w:r w:rsidR="006D65DA" w:rsidRPr="003171CD">
        <w:rPr>
          <w:rFonts w:eastAsiaTheme="minorHAnsi" w:cs="Arial"/>
          <w:lang w:val="en-US"/>
        </w:rPr>
        <w:t>sion</w:t>
      </w:r>
      <w:r w:rsidR="005A65CE" w:rsidRPr="003171CD">
        <w:rPr>
          <w:rFonts w:eastAsiaTheme="minorHAnsi" w:cs="Arial"/>
          <w:lang w:val="en-US"/>
        </w:rPr>
        <w:t>s</w:t>
      </w:r>
      <w:r w:rsidR="001A1AB1" w:rsidRPr="003171CD">
        <w:rPr>
          <w:rFonts w:eastAsiaTheme="minorHAnsi" w:cs="Arial"/>
          <w:lang w:val="en-US"/>
        </w:rPr>
        <w:t>,</w:t>
      </w:r>
      <w:r w:rsidR="005C0077" w:rsidRPr="003171CD">
        <w:rPr>
          <w:rFonts w:eastAsiaTheme="minorHAnsi" w:cs="Arial"/>
          <w:lang w:val="en-US"/>
        </w:rPr>
        <w:t xml:space="preserve"> as was recognized by the State</w:t>
      </w:r>
      <w:r w:rsidR="001A1AB1" w:rsidRPr="003171CD">
        <w:rPr>
          <w:rFonts w:eastAsiaTheme="minorHAnsi" w:cs="Arial"/>
          <w:lang w:val="en-US"/>
        </w:rPr>
        <w:t>:</w:t>
      </w:r>
      <w:r w:rsidR="005A65CE" w:rsidRPr="003171CD">
        <w:rPr>
          <w:rFonts w:eastAsiaTheme="minorHAnsi" w:cs="Arial"/>
          <w:lang w:val="en-US"/>
        </w:rPr>
        <w:t xml:space="preserve"> i) </w:t>
      </w:r>
      <w:r w:rsidR="001A1AB1" w:rsidRPr="003171CD">
        <w:rPr>
          <w:rFonts w:eastAsiaTheme="minorHAnsi" w:cs="Arial"/>
          <w:lang w:val="en-US"/>
        </w:rPr>
        <w:t>no motions were filed either at the initial hearing, the preliminary hearing or the pre-trial hearing</w:t>
      </w:r>
      <w:r w:rsidR="005A65CE" w:rsidRPr="003171CD">
        <w:rPr>
          <w:rFonts w:eastAsiaTheme="minorHAnsi" w:cs="Arial"/>
          <w:lang w:val="en-US"/>
        </w:rPr>
        <w:t xml:space="preserve">, </w:t>
      </w:r>
      <w:r w:rsidR="001A1AB1" w:rsidRPr="003171CD">
        <w:rPr>
          <w:rFonts w:eastAsiaTheme="minorHAnsi" w:cs="Arial"/>
          <w:lang w:val="en-US"/>
        </w:rPr>
        <w:t xml:space="preserve">to assert the central point of </w:t>
      </w:r>
      <w:r w:rsidR="00E755FC" w:rsidRPr="003171CD">
        <w:rPr>
          <w:rFonts w:eastAsiaTheme="minorHAnsi" w:cs="Arial"/>
          <w:lang w:val="en-US"/>
        </w:rPr>
        <w:t>Mr</w:t>
      </w:r>
      <w:r w:rsidR="005A65CE" w:rsidRPr="003171CD">
        <w:rPr>
          <w:rFonts w:eastAsiaTheme="minorHAnsi" w:cs="Arial"/>
          <w:lang w:val="en-US"/>
        </w:rPr>
        <w:t>. Jose Agapito Ruano Torres</w:t>
      </w:r>
      <w:r w:rsidR="001A1AB1" w:rsidRPr="003171CD">
        <w:rPr>
          <w:rFonts w:eastAsiaTheme="minorHAnsi" w:cs="Arial"/>
          <w:lang w:val="en-US"/>
        </w:rPr>
        <w:t>’ defense</w:t>
      </w:r>
      <w:r w:rsidR="005C0077" w:rsidRPr="003171CD">
        <w:rPr>
          <w:rFonts w:eastAsiaTheme="minorHAnsi" w:cs="Arial"/>
          <w:lang w:val="en-US"/>
        </w:rPr>
        <w:t>:</w:t>
      </w:r>
      <w:r w:rsidR="005A65CE" w:rsidRPr="003171CD">
        <w:rPr>
          <w:rFonts w:eastAsiaTheme="minorHAnsi" w:cs="Arial"/>
          <w:lang w:val="en-US"/>
        </w:rPr>
        <w:t xml:space="preserve"> </w:t>
      </w:r>
      <w:r w:rsidR="00266893" w:rsidRPr="003171CD">
        <w:rPr>
          <w:rFonts w:eastAsiaTheme="minorHAnsi" w:cs="Arial"/>
          <w:lang w:val="en-US"/>
        </w:rPr>
        <w:t>that is</w:t>
      </w:r>
      <w:r w:rsidR="005A65CE" w:rsidRPr="003171CD">
        <w:rPr>
          <w:rFonts w:eastAsiaTheme="minorHAnsi" w:cs="Arial"/>
          <w:lang w:val="en-US"/>
        </w:rPr>
        <w:t xml:space="preserve">, the argument that the person </w:t>
      </w:r>
      <w:r w:rsidR="006D65DA" w:rsidRPr="003171CD">
        <w:rPr>
          <w:rFonts w:eastAsiaTheme="minorHAnsi" w:cs="Arial"/>
          <w:lang w:val="en-US"/>
        </w:rPr>
        <w:t xml:space="preserve">who participated </w:t>
      </w:r>
      <w:r w:rsidR="005A65CE" w:rsidRPr="003171CD">
        <w:rPr>
          <w:rFonts w:eastAsiaTheme="minorHAnsi" w:cs="Arial"/>
          <w:lang w:val="en-US"/>
        </w:rPr>
        <w:t xml:space="preserve">in the kidnapping </w:t>
      </w:r>
      <w:r w:rsidR="00E755FC" w:rsidRPr="003171CD">
        <w:rPr>
          <w:rFonts w:eastAsiaTheme="minorHAnsi" w:cs="Arial"/>
          <w:lang w:val="en-US"/>
        </w:rPr>
        <w:t>of Mr</w:t>
      </w:r>
      <w:r w:rsidR="005A65CE" w:rsidRPr="003171CD">
        <w:rPr>
          <w:rFonts w:eastAsiaTheme="minorHAnsi" w:cs="Arial"/>
          <w:lang w:val="en-US"/>
        </w:rPr>
        <w:t xml:space="preserve">. Rodriguez Marroquín </w:t>
      </w:r>
      <w:r w:rsidR="001A1AB1" w:rsidRPr="003171CD">
        <w:rPr>
          <w:rFonts w:eastAsiaTheme="minorHAnsi" w:cs="Arial"/>
          <w:lang w:val="en-US"/>
        </w:rPr>
        <w:t xml:space="preserve">was </w:t>
      </w:r>
      <w:r w:rsidR="007A702F" w:rsidRPr="003171CD">
        <w:rPr>
          <w:rFonts w:eastAsiaTheme="minorHAnsi" w:cs="Arial"/>
          <w:lang w:val="en-US"/>
        </w:rPr>
        <w:t>his brother</w:t>
      </w:r>
      <w:r w:rsidR="005A65CE" w:rsidRPr="003171CD">
        <w:rPr>
          <w:rFonts w:eastAsiaTheme="minorHAnsi" w:cs="Arial"/>
          <w:lang w:val="en-US"/>
        </w:rPr>
        <w:t xml:space="preserve"> Rodolfo Ruano Torres, </w:t>
      </w:r>
      <w:r w:rsidR="001A1AB1" w:rsidRPr="003171CD">
        <w:rPr>
          <w:rFonts w:eastAsiaTheme="minorHAnsi" w:cs="Arial"/>
          <w:lang w:val="en-US"/>
        </w:rPr>
        <w:t>who wa</w:t>
      </w:r>
      <w:r w:rsidR="006D65DA" w:rsidRPr="003171CD">
        <w:rPr>
          <w:rFonts w:eastAsiaTheme="minorHAnsi" w:cs="Arial"/>
          <w:lang w:val="en-US"/>
        </w:rPr>
        <w:t xml:space="preserve">s known as </w:t>
      </w:r>
      <w:r w:rsidR="00A96DF3" w:rsidRPr="003171CD">
        <w:rPr>
          <w:rFonts w:eastAsiaTheme="minorHAnsi" w:cs="Arial"/>
          <w:i/>
          <w:lang w:val="en-US"/>
        </w:rPr>
        <w:t>Chopo</w:t>
      </w:r>
      <w:r w:rsidR="005A65CE" w:rsidRPr="003171CD">
        <w:rPr>
          <w:rFonts w:eastAsiaTheme="minorHAnsi" w:cs="Arial"/>
          <w:iCs/>
          <w:lang w:val="en-US"/>
        </w:rPr>
        <w:t xml:space="preserve"> ; ii) </w:t>
      </w:r>
      <w:r w:rsidR="001A1AB1" w:rsidRPr="003171CD">
        <w:rPr>
          <w:rFonts w:eastAsiaTheme="minorHAnsi" w:cs="Arial"/>
          <w:iCs/>
          <w:lang w:val="en-US"/>
        </w:rPr>
        <w:t xml:space="preserve">the defense team did not </w:t>
      </w:r>
      <w:r w:rsidR="00906A87" w:rsidRPr="003171CD">
        <w:rPr>
          <w:rFonts w:eastAsiaTheme="minorHAnsi" w:cs="Arial"/>
          <w:iCs/>
          <w:lang w:val="en-US"/>
        </w:rPr>
        <w:t xml:space="preserve">challenge </w:t>
      </w:r>
      <w:r w:rsidR="005A65CE" w:rsidRPr="003171CD">
        <w:rPr>
          <w:rFonts w:eastAsiaTheme="minorHAnsi" w:cs="Arial"/>
          <w:lang w:val="en-US"/>
        </w:rPr>
        <w:t>the irregular</w:t>
      </w:r>
      <w:r w:rsidR="001A1AB1" w:rsidRPr="003171CD">
        <w:rPr>
          <w:rFonts w:eastAsiaTheme="minorHAnsi" w:cs="Arial"/>
          <w:lang w:val="en-US"/>
        </w:rPr>
        <w:t>ities</w:t>
      </w:r>
      <w:r w:rsidR="006D65DA" w:rsidRPr="003171CD">
        <w:rPr>
          <w:rFonts w:eastAsiaTheme="minorHAnsi" w:cs="Arial"/>
          <w:lang w:val="en-US"/>
        </w:rPr>
        <w:t xml:space="preserve"> </w:t>
      </w:r>
      <w:r w:rsidR="001A1AB1" w:rsidRPr="003171CD">
        <w:rPr>
          <w:rFonts w:eastAsiaTheme="minorHAnsi" w:cs="Arial"/>
          <w:lang w:val="en-US"/>
        </w:rPr>
        <w:t xml:space="preserve">in the </w:t>
      </w:r>
      <w:r w:rsidR="006D65DA" w:rsidRPr="003171CD">
        <w:rPr>
          <w:rFonts w:eastAsiaTheme="minorHAnsi" w:cs="Arial"/>
          <w:lang w:val="en-US"/>
        </w:rPr>
        <w:t xml:space="preserve">evidence </w:t>
      </w:r>
      <w:r w:rsidR="005A65CE" w:rsidRPr="003171CD">
        <w:rPr>
          <w:rFonts w:eastAsiaTheme="minorHAnsi" w:cs="Arial"/>
          <w:lang w:val="en-US"/>
        </w:rPr>
        <w:t>u</w:t>
      </w:r>
      <w:r w:rsidR="006D65DA" w:rsidRPr="003171CD">
        <w:rPr>
          <w:rFonts w:eastAsiaTheme="minorHAnsi" w:cs="Arial"/>
          <w:lang w:val="en-US"/>
        </w:rPr>
        <w:t xml:space="preserve">sed </w:t>
      </w:r>
      <w:r w:rsidR="005A65CE" w:rsidRPr="003171CD">
        <w:rPr>
          <w:rFonts w:eastAsiaTheme="minorHAnsi" w:cs="Arial"/>
          <w:lang w:val="en-US"/>
        </w:rPr>
        <w:t xml:space="preserve">against Mr. Ruano Torres, and iii) </w:t>
      </w:r>
      <w:r w:rsidR="005C0077" w:rsidRPr="003171CD">
        <w:rPr>
          <w:rFonts w:eastAsiaTheme="minorHAnsi" w:cs="Arial"/>
          <w:lang w:val="en-US"/>
        </w:rPr>
        <w:t>the public defenders</w:t>
      </w:r>
      <w:r w:rsidR="001A1AB1" w:rsidRPr="003171CD">
        <w:rPr>
          <w:rFonts w:eastAsiaTheme="minorHAnsi" w:cs="Arial"/>
          <w:lang w:val="en-US"/>
        </w:rPr>
        <w:t xml:space="preserve"> </w:t>
      </w:r>
      <w:r w:rsidR="0024640D" w:rsidRPr="003171CD">
        <w:rPr>
          <w:rFonts w:eastAsiaTheme="minorHAnsi" w:cs="Arial"/>
          <w:lang w:val="en-US"/>
        </w:rPr>
        <w:t xml:space="preserve">did not </w:t>
      </w:r>
      <w:r w:rsidR="001A1AB1" w:rsidRPr="003171CD">
        <w:rPr>
          <w:rFonts w:eastAsiaTheme="minorHAnsi" w:cs="Arial"/>
          <w:lang w:val="en-US"/>
        </w:rPr>
        <w:t xml:space="preserve">lodge any appeals </w:t>
      </w:r>
      <w:r w:rsidR="006F1D38" w:rsidRPr="003171CD">
        <w:rPr>
          <w:rFonts w:eastAsiaTheme="minorHAnsi" w:cs="Arial"/>
          <w:lang w:val="en-US"/>
        </w:rPr>
        <w:t xml:space="preserve">against </w:t>
      </w:r>
      <w:r w:rsidR="005A65CE" w:rsidRPr="003171CD">
        <w:rPr>
          <w:rFonts w:eastAsiaTheme="minorHAnsi" w:cs="Arial"/>
          <w:lang w:val="en-US"/>
        </w:rPr>
        <w:t xml:space="preserve">the </w:t>
      </w:r>
      <w:r w:rsidR="001A1AB1" w:rsidRPr="003171CD">
        <w:rPr>
          <w:rFonts w:eastAsiaTheme="minorHAnsi" w:cs="Arial"/>
          <w:lang w:val="en-US"/>
        </w:rPr>
        <w:t xml:space="preserve">first-instance </w:t>
      </w:r>
      <w:r w:rsidR="005A65CE" w:rsidRPr="003171CD">
        <w:rPr>
          <w:rFonts w:eastAsiaTheme="minorHAnsi" w:cs="Arial"/>
          <w:lang w:val="en-US"/>
        </w:rPr>
        <w:t>conviction</w:t>
      </w:r>
      <w:r w:rsidR="001A1AB1" w:rsidRPr="003171CD">
        <w:rPr>
          <w:rFonts w:eastAsiaTheme="minorHAnsi" w:cs="Arial"/>
          <w:lang w:val="en-US"/>
        </w:rPr>
        <w:t>,</w:t>
      </w:r>
      <w:r w:rsidR="005A65CE" w:rsidRPr="003171CD">
        <w:rPr>
          <w:rFonts w:eastAsiaTheme="minorHAnsi" w:cs="Arial"/>
          <w:lang w:val="en-US"/>
        </w:rPr>
        <w:t xml:space="preserve"> </w:t>
      </w:r>
      <w:r w:rsidR="001A1AB1" w:rsidRPr="003171CD">
        <w:rPr>
          <w:rFonts w:eastAsiaTheme="minorHAnsi" w:cs="Arial"/>
          <w:lang w:val="en-US"/>
        </w:rPr>
        <w:t xml:space="preserve">allowing it to gain the status of a </w:t>
      </w:r>
      <w:r w:rsidR="005A65CE" w:rsidRPr="003171CD">
        <w:rPr>
          <w:rFonts w:eastAsiaTheme="minorHAnsi" w:cs="Arial"/>
          <w:lang w:val="en-US"/>
        </w:rPr>
        <w:t>fi</w:t>
      </w:r>
      <w:r w:rsidR="001A1AB1" w:rsidRPr="003171CD">
        <w:rPr>
          <w:rFonts w:eastAsiaTheme="minorHAnsi" w:cs="Arial"/>
          <w:lang w:val="en-US"/>
        </w:rPr>
        <w:t>nal judgment</w:t>
      </w:r>
      <w:r w:rsidR="005A65CE" w:rsidRPr="003171CD">
        <w:rPr>
          <w:rFonts w:eastAsiaTheme="minorHAnsi" w:cs="Arial"/>
          <w:szCs w:val="20"/>
          <w:lang w:val="en-US"/>
        </w:rPr>
        <w:t>.</w:t>
      </w:r>
      <w:r w:rsidR="005A65CE" w:rsidRPr="003171CD">
        <w:rPr>
          <w:rFonts w:cs="Arial"/>
          <w:szCs w:val="20"/>
          <w:lang w:val="en-US"/>
        </w:rPr>
        <w:t xml:space="preserve"> </w:t>
      </w:r>
      <w:r w:rsidR="001A1AB1" w:rsidRPr="003171CD">
        <w:rPr>
          <w:rFonts w:cs="Arial"/>
          <w:szCs w:val="20"/>
          <w:lang w:val="en-US"/>
        </w:rPr>
        <w:t>Although</w:t>
      </w:r>
      <w:r w:rsidR="001A1AB1" w:rsidRPr="003171CD">
        <w:rPr>
          <w:rFonts w:cs="Arial"/>
          <w:b/>
          <w:sz w:val="16"/>
          <w:szCs w:val="16"/>
          <w:lang w:val="en-US"/>
        </w:rPr>
        <w:t xml:space="preserve"> </w:t>
      </w:r>
      <w:r w:rsidR="001A1AB1" w:rsidRPr="003171CD">
        <w:rPr>
          <w:rFonts w:eastAsiaTheme="minorHAnsi" w:cs="Arial"/>
          <w:lang w:val="en-US"/>
        </w:rPr>
        <w:t>Mr. Ruano Torres</w:t>
      </w:r>
      <w:r w:rsidR="001A1AB1" w:rsidRPr="003171CD">
        <w:rPr>
          <w:rFonts w:eastAsiaTheme="minorHAnsi"/>
          <w:lang w:val="en-US"/>
        </w:rPr>
        <w:t xml:space="preserve"> requested changes to his </w:t>
      </w:r>
      <w:r w:rsidR="004764AE" w:rsidRPr="003171CD">
        <w:rPr>
          <w:rFonts w:eastAsiaTheme="minorHAnsi"/>
          <w:lang w:val="en-US"/>
        </w:rPr>
        <w:t xml:space="preserve">defense </w:t>
      </w:r>
      <w:r w:rsidR="001A1AB1" w:rsidRPr="003171CD">
        <w:rPr>
          <w:rFonts w:eastAsiaTheme="minorHAnsi"/>
          <w:lang w:val="en-US"/>
        </w:rPr>
        <w:t xml:space="preserve">team </w:t>
      </w:r>
      <w:r w:rsidR="004764AE" w:rsidRPr="003171CD">
        <w:rPr>
          <w:rFonts w:eastAsiaTheme="minorHAnsi"/>
          <w:lang w:val="en-US"/>
        </w:rPr>
        <w:t xml:space="preserve">and </w:t>
      </w:r>
      <w:r w:rsidR="001A1AB1" w:rsidRPr="003171CD">
        <w:rPr>
          <w:rFonts w:eastAsiaTheme="minorHAnsi"/>
          <w:lang w:val="en-US"/>
        </w:rPr>
        <w:t xml:space="preserve">lodged formal </w:t>
      </w:r>
      <w:r w:rsidR="004764AE" w:rsidRPr="003171CD">
        <w:rPr>
          <w:rFonts w:eastAsiaTheme="minorHAnsi"/>
          <w:lang w:val="en-US"/>
        </w:rPr>
        <w:t xml:space="preserve">complaints </w:t>
      </w:r>
      <w:r w:rsidR="00D16259" w:rsidRPr="003171CD">
        <w:rPr>
          <w:rFonts w:eastAsiaTheme="minorHAnsi"/>
          <w:lang w:val="en-US"/>
        </w:rPr>
        <w:t xml:space="preserve">about the performance of his </w:t>
      </w:r>
      <w:r w:rsidR="005A65CE" w:rsidRPr="003171CD">
        <w:rPr>
          <w:rFonts w:eastAsiaTheme="minorHAnsi"/>
          <w:lang w:val="en-US"/>
        </w:rPr>
        <w:t>public defen</w:t>
      </w:r>
      <w:r w:rsidR="00D16259" w:rsidRPr="003171CD">
        <w:rPr>
          <w:rFonts w:eastAsiaTheme="minorHAnsi"/>
          <w:lang w:val="en-US"/>
        </w:rPr>
        <w:t>ders, both during the proceedings and after they had concluded</w:t>
      </w:r>
      <w:r w:rsidR="005A65CE" w:rsidRPr="003171CD">
        <w:rPr>
          <w:rFonts w:eastAsiaTheme="minorHAnsi"/>
          <w:lang w:val="en-US"/>
        </w:rPr>
        <w:t xml:space="preserve">, the State </w:t>
      </w:r>
      <w:r w:rsidR="00D16259" w:rsidRPr="003171CD">
        <w:rPr>
          <w:rFonts w:eastAsiaTheme="minorHAnsi"/>
          <w:lang w:val="en-US"/>
        </w:rPr>
        <w:t>did not provide</w:t>
      </w:r>
      <w:r w:rsidR="00760A38" w:rsidRPr="003171CD">
        <w:rPr>
          <w:rFonts w:eastAsiaTheme="minorHAnsi"/>
          <w:lang w:val="en-US"/>
        </w:rPr>
        <w:t xml:space="preserve"> a </w:t>
      </w:r>
      <w:r w:rsidR="00D16259" w:rsidRPr="003171CD">
        <w:rPr>
          <w:rFonts w:eastAsiaTheme="minorHAnsi"/>
          <w:lang w:val="en-US"/>
        </w:rPr>
        <w:t xml:space="preserve">prompt </w:t>
      </w:r>
      <w:r w:rsidR="00760A38" w:rsidRPr="003171CD">
        <w:rPr>
          <w:rFonts w:eastAsiaTheme="minorHAnsi"/>
          <w:lang w:val="en-US"/>
        </w:rPr>
        <w:t xml:space="preserve">response to </w:t>
      </w:r>
      <w:r w:rsidR="00D16259" w:rsidRPr="003171CD">
        <w:rPr>
          <w:rFonts w:eastAsiaTheme="minorHAnsi"/>
          <w:lang w:val="en-US"/>
        </w:rPr>
        <w:t xml:space="preserve">his </w:t>
      </w:r>
      <w:r w:rsidR="005A65CE" w:rsidRPr="003171CD">
        <w:rPr>
          <w:rFonts w:eastAsiaTheme="minorHAnsi"/>
          <w:lang w:val="en-US"/>
        </w:rPr>
        <w:t>requests</w:t>
      </w:r>
      <w:r w:rsidR="00D16259" w:rsidRPr="003171CD">
        <w:rPr>
          <w:rFonts w:eastAsiaTheme="minorHAnsi"/>
          <w:lang w:val="en-US"/>
        </w:rPr>
        <w:t xml:space="preserve">, nor did it conduct a disciplinary investigation into the allegations made </w:t>
      </w:r>
      <w:r w:rsidR="005A65CE" w:rsidRPr="003171CD">
        <w:rPr>
          <w:rFonts w:eastAsiaTheme="minorHAnsi"/>
          <w:lang w:val="en-US"/>
        </w:rPr>
        <w:t>by Mr. Ruano Torres. The Commission co</w:t>
      </w:r>
      <w:r w:rsidR="006D65DA" w:rsidRPr="003171CD">
        <w:rPr>
          <w:rFonts w:eastAsiaTheme="minorHAnsi"/>
          <w:lang w:val="en-US"/>
        </w:rPr>
        <w:t xml:space="preserve">nsidered that </w:t>
      </w:r>
      <w:r w:rsidR="006F1D38" w:rsidRPr="003171CD">
        <w:rPr>
          <w:rFonts w:eastAsiaTheme="minorHAnsi"/>
          <w:lang w:val="en-US"/>
        </w:rPr>
        <w:t xml:space="preserve">there </w:t>
      </w:r>
      <w:r w:rsidR="007F114B" w:rsidRPr="003171CD">
        <w:rPr>
          <w:rFonts w:eastAsiaTheme="minorHAnsi"/>
          <w:lang w:val="en-US"/>
        </w:rPr>
        <w:t xml:space="preserve">was </w:t>
      </w:r>
      <w:r w:rsidR="006D65DA" w:rsidRPr="003171CD">
        <w:rPr>
          <w:rFonts w:eastAsiaTheme="minorHAnsi"/>
          <w:lang w:val="en-US"/>
        </w:rPr>
        <w:t>“</w:t>
      </w:r>
      <w:r w:rsidR="005A65CE" w:rsidRPr="003171CD">
        <w:rPr>
          <w:rFonts w:eastAsiaTheme="minorHAnsi"/>
          <w:lang w:val="en-US"/>
        </w:rPr>
        <w:t xml:space="preserve">sufficient </w:t>
      </w:r>
      <w:r w:rsidR="006D65DA" w:rsidRPr="003171CD">
        <w:rPr>
          <w:rFonts w:eastAsiaTheme="minorHAnsi"/>
          <w:lang w:val="en-US"/>
        </w:rPr>
        <w:t>e</w:t>
      </w:r>
      <w:r w:rsidR="007F114B" w:rsidRPr="003171CD">
        <w:rPr>
          <w:rFonts w:eastAsiaTheme="minorHAnsi"/>
          <w:lang w:val="en-US"/>
        </w:rPr>
        <w:t xml:space="preserve">vidence </w:t>
      </w:r>
      <w:r w:rsidR="006D65DA" w:rsidRPr="003171CD">
        <w:rPr>
          <w:rFonts w:eastAsiaTheme="minorHAnsi"/>
          <w:lang w:val="en-US"/>
        </w:rPr>
        <w:t xml:space="preserve">to </w:t>
      </w:r>
      <w:r w:rsidR="005A65CE" w:rsidRPr="003171CD">
        <w:rPr>
          <w:rFonts w:eastAsiaTheme="minorHAnsi"/>
          <w:lang w:val="en-US"/>
        </w:rPr>
        <w:t>concl</w:t>
      </w:r>
      <w:r w:rsidR="006D65DA" w:rsidRPr="003171CD">
        <w:rPr>
          <w:rFonts w:eastAsiaTheme="minorHAnsi"/>
          <w:lang w:val="en-US"/>
        </w:rPr>
        <w:t xml:space="preserve">ude that the </w:t>
      </w:r>
      <w:r w:rsidR="00906A87" w:rsidRPr="003171CD">
        <w:rPr>
          <w:rFonts w:eastAsiaTheme="minorHAnsi"/>
          <w:lang w:val="en-US"/>
        </w:rPr>
        <w:t xml:space="preserve">inadequate </w:t>
      </w:r>
      <w:r w:rsidR="004764AE" w:rsidRPr="003171CD">
        <w:rPr>
          <w:rFonts w:eastAsiaTheme="minorHAnsi"/>
          <w:lang w:val="en-US"/>
        </w:rPr>
        <w:t xml:space="preserve">performance </w:t>
      </w:r>
      <w:r w:rsidR="005A65CE" w:rsidRPr="003171CD">
        <w:rPr>
          <w:rFonts w:eastAsiaTheme="minorHAnsi"/>
          <w:lang w:val="en-US"/>
        </w:rPr>
        <w:t>of the public defen</w:t>
      </w:r>
      <w:r w:rsidR="007F114B" w:rsidRPr="003171CD">
        <w:rPr>
          <w:rFonts w:eastAsiaTheme="minorHAnsi"/>
          <w:lang w:val="en-US"/>
        </w:rPr>
        <w:t xml:space="preserve">ders </w:t>
      </w:r>
      <w:r w:rsidR="006D65DA" w:rsidRPr="003171CD">
        <w:rPr>
          <w:rFonts w:eastAsiaTheme="minorHAnsi"/>
          <w:lang w:val="en-US"/>
        </w:rPr>
        <w:t xml:space="preserve">played an </w:t>
      </w:r>
      <w:r w:rsidR="005A65CE" w:rsidRPr="003171CD">
        <w:rPr>
          <w:rFonts w:eastAsiaTheme="minorHAnsi"/>
          <w:lang w:val="en-US"/>
        </w:rPr>
        <w:t>es</w:t>
      </w:r>
      <w:r w:rsidR="006D65DA" w:rsidRPr="003171CD">
        <w:rPr>
          <w:rFonts w:eastAsiaTheme="minorHAnsi"/>
          <w:lang w:val="en-US"/>
        </w:rPr>
        <w:t>s</w:t>
      </w:r>
      <w:r w:rsidR="005A65CE" w:rsidRPr="003171CD">
        <w:rPr>
          <w:rFonts w:eastAsiaTheme="minorHAnsi"/>
          <w:lang w:val="en-US"/>
        </w:rPr>
        <w:t>en</w:t>
      </w:r>
      <w:r w:rsidR="006D65DA" w:rsidRPr="003171CD">
        <w:rPr>
          <w:rFonts w:eastAsiaTheme="minorHAnsi"/>
          <w:lang w:val="en-US"/>
        </w:rPr>
        <w:t>t</w:t>
      </w:r>
      <w:r w:rsidR="005A65CE" w:rsidRPr="003171CD">
        <w:rPr>
          <w:rFonts w:eastAsiaTheme="minorHAnsi"/>
          <w:lang w:val="en-US"/>
        </w:rPr>
        <w:t xml:space="preserve">ial </w:t>
      </w:r>
      <w:r w:rsidR="006D65DA" w:rsidRPr="003171CD">
        <w:rPr>
          <w:rFonts w:eastAsiaTheme="minorHAnsi"/>
          <w:lang w:val="en-US"/>
        </w:rPr>
        <w:t xml:space="preserve">role </w:t>
      </w:r>
      <w:r w:rsidR="005A65CE" w:rsidRPr="003171CD">
        <w:rPr>
          <w:rFonts w:eastAsiaTheme="minorHAnsi"/>
          <w:lang w:val="en-US"/>
        </w:rPr>
        <w:t xml:space="preserve">in </w:t>
      </w:r>
      <w:r w:rsidR="00E755FC" w:rsidRPr="003171CD">
        <w:rPr>
          <w:rFonts w:eastAsiaTheme="minorHAnsi"/>
          <w:lang w:val="en-US"/>
        </w:rPr>
        <w:t>Mr</w:t>
      </w:r>
      <w:r w:rsidR="005A65CE" w:rsidRPr="003171CD">
        <w:rPr>
          <w:rFonts w:eastAsiaTheme="minorHAnsi"/>
          <w:lang w:val="en-US"/>
        </w:rPr>
        <w:t>. Ruano Torres</w:t>
      </w:r>
      <w:r w:rsidR="007F114B" w:rsidRPr="003171CD">
        <w:rPr>
          <w:rFonts w:eastAsiaTheme="minorHAnsi"/>
          <w:lang w:val="en-US"/>
        </w:rPr>
        <w:t>’ conviction</w:t>
      </w:r>
      <w:r w:rsidR="004764AE" w:rsidRPr="003171CD">
        <w:rPr>
          <w:rFonts w:eastAsiaTheme="minorHAnsi"/>
          <w:lang w:val="en-US"/>
        </w:rPr>
        <w:t>.”</w:t>
      </w:r>
      <w:r w:rsidR="005A65CE" w:rsidRPr="003171CD">
        <w:rPr>
          <w:rFonts w:eastAsiaTheme="minorHAnsi"/>
          <w:lang w:val="en-US"/>
        </w:rPr>
        <w:t xml:space="preserve"> </w:t>
      </w:r>
      <w:r w:rsidR="004764AE" w:rsidRPr="003171CD">
        <w:rPr>
          <w:rFonts w:eastAsiaTheme="minorHAnsi"/>
          <w:lang w:val="en-US"/>
        </w:rPr>
        <w:t xml:space="preserve">Therefore, </w:t>
      </w:r>
      <w:r w:rsidR="0063678E" w:rsidRPr="003171CD">
        <w:rPr>
          <w:rFonts w:eastAsiaTheme="minorHAnsi"/>
          <w:lang w:val="en-US"/>
        </w:rPr>
        <w:t xml:space="preserve">it concluded </w:t>
      </w:r>
      <w:r w:rsidR="005A65CE" w:rsidRPr="003171CD">
        <w:rPr>
          <w:rFonts w:eastAsiaTheme="minorHAnsi"/>
          <w:lang w:val="en-US"/>
        </w:rPr>
        <w:t xml:space="preserve">that the State </w:t>
      </w:r>
      <w:r w:rsidR="0063678E" w:rsidRPr="003171CD">
        <w:rPr>
          <w:rFonts w:eastAsiaTheme="minorHAnsi"/>
          <w:lang w:val="en-US"/>
        </w:rPr>
        <w:t xml:space="preserve">of El Salvador </w:t>
      </w:r>
      <w:r w:rsidR="005A65CE" w:rsidRPr="003171CD">
        <w:rPr>
          <w:rFonts w:eastAsiaTheme="minorHAnsi"/>
          <w:lang w:val="en-US"/>
        </w:rPr>
        <w:t>viol</w:t>
      </w:r>
      <w:r w:rsidR="006D65DA" w:rsidRPr="003171CD">
        <w:rPr>
          <w:rFonts w:eastAsiaTheme="minorHAnsi"/>
          <w:lang w:val="en-US"/>
        </w:rPr>
        <w:t xml:space="preserve">ated </w:t>
      </w:r>
      <w:r w:rsidR="005A65CE" w:rsidRPr="003171CD">
        <w:rPr>
          <w:rFonts w:eastAsiaTheme="minorHAnsi"/>
          <w:lang w:val="en-US"/>
        </w:rPr>
        <w:t xml:space="preserve">the </w:t>
      </w:r>
      <w:r w:rsidR="0063678E" w:rsidRPr="003171CD">
        <w:rPr>
          <w:rFonts w:eastAsiaTheme="minorHAnsi"/>
          <w:lang w:val="en-US"/>
        </w:rPr>
        <w:t>right of</w:t>
      </w:r>
      <w:r w:rsidR="002625A5" w:rsidRPr="003171CD">
        <w:rPr>
          <w:rFonts w:eastAsiaTheme="minorHAnsi"/>
          <w:lang w:val="en-US"/>
        </w:rPr>
        <w:t xml:space="preserve"> defense</w:t>
      </w:r>
      <w:r w:rsidR="005A65CE" w:rsidRPr="003171CD">
        <w:rPr>
          <w:rFonts w:eastAsiaTheme="minorHAnsi"/>
          <w:lang w:val="en-US"/>
        </w:rPr>
        <w:t xml:space="preserve"> </w:t>
      </w:r>
      <w:r w:rsidR="0063678E" w:rsidRPr="003171CD">
        <w:rPr>
          <w:rFonts w:eastAsiaTheme="minorHAnsi"/>
          <w:lang w:val="en-US"/>
        </w:rPr>
        <w:t>established in Article 8(2)(d)</w:t>
      </w:r>
      <w:r w:rsidR="005A65CE" w:rsidRPr="003171CD">
        <w:rPr>
          <w:rFonts w:eastAsiaTheme="minorHAnsi"/>
          <w:lang w:val="en-US"/>
        </w:rPr>
        <w:t xml:space="preserve"> of the American Convention, to the detriment </w:t>
      </w:r>
      <w:r w:rsidR="003A348D" w:rsidRPr="003171CD">
        <w:rPr>
          <w:rFonts w:eastAsiaTheme="minorHAnsi"/>
          <w:lang w:val="en-US"/>
        </w:rPr>
        <w:t>of José</w:t>
      </w:r>
      <w:r w:rsidR="005A65CE" w:rsidRPr="003171CD">
        <w:rPr>
          <w:rFonts w:eastAsiaTheme="minorHAnsi"/>
          <w:lang w:val="en-US"/>
        </w:rPr>
        <w:t xml:space="preserve"> Agapito Ruano Torres.</w:t>
      </w:r>
    </w:p>
    <w:p w14:paraId="2B87A0CA" w14:textId="77777777" w:rsidR="005A65CE" w:rsidRPr="003171CD" w:rsidRDefault="005A65CE" w:rsidP="005A65CE">
      <w:pPr>
        <w:jc w:val="both"/>
        <w:rPr>
          <w:rFonts w:eastAsiaTheme="minorHAnsi"/>
          <w:snapToGrid/>
          <w:lang w:val="en-US" w:eastAsia="en-US"/>
        </w:rPr>
      </w:pPr>
    </w:p>
    <w:p w14:paraId="0D303509" w14:textId="77777777" w:rsidR="005A65CE" w:rsidRPr="003171CD" w:rsidRDefault="006D65DA"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The </w:t>
      </w:r>
      <w:r w:rsidRPr="003171CD">
        <w:rPr>
          <w:rFonts w:eastAsiaTheme="minorHAnsi" w:cs="Arial"/>
          <w:b/>
          <w:i/>
          <w:lang w:val="en-US"/>
        </w:rPr>
        <w:t>representatives</w:t>
      </w:r>
      <w:r w:rsidRPr="003171CD">
        <w:rPr>
          <w:rFonts w:eastAsiaTheme="minorHAnsi" w:cs="Arial"/>
          <w:lang w:val="en-US"/>
        </w:rPr>
        <w:t xml:space="preserve"> pointed out </w:t>
      </w:r>
      <w:r w:rsidR="005A65CE" w:rsidRPr="003171CD">
        <w:rPr>
          <w:rFonts w:eastAsiaTheme="minorHAnsi" w:cs="Arial"/>
          <w:lang w:val="en-US"/>
        </w:rPr>
        <w:t xml:space="preserve">that José Agapito Ruano Torres </w:t>
      </w:r>
      <w:r w:rsidRPr="003171CD">
        <w:rPr>
          <w:rFonts w:eastAsiaTheme="minorHAnsi" w:cs="Arial"/>
          <w:lang w:val="en-US"/>
        </w:rPr>
        <w:t xml:space="preserve">did not receive </w:t>
      </w:r>
      <w:r w:rsidR="005A65CE" w:rsidRPr="003171CD">
        <w:rPr>
          <w:rFonts w:eastAsiaTheme="minorHAnsi" w:cs="Arial"/>
          <w:lang w:val="en-US"/>
        </w:rPr>
        <w:t>a</w:t>
      </w:r>
      <w:r w:rsidRPr="003171CD">
        <w:rPr>
          <w:rFonts w:eastAsiaTheme="minorHAnsi" w:cs="Arial"/>
          <w:lang w:val="en-US"/>
        </w:rPr>
        <w:t xml:space="preserve">ppropriate professional legal </w:t>
      </w:r>
      <w:r w:rsidR="00906A87" w:rsidRPr="003171CD">
        <w:rPr>
          <w:rFonts w:eastAsiaTheme="minorHAnsi" w:cs="Arial"/>
          <w:lang w:val="en-US"/>
        </w:rPr>
        <w:t xml:space="preserve">counsel </w:t>
      </w:r>
      <w:r w:rsidRPr="003171CD">
        <w:rPr>
          <w:rFonts w:eastAsiaTheme="minorHAnsi" w:cs="Arial"/>
          <w:lang w:val="en-US"/>
        </w:rPr>
        <w:t xml:space="preserve">to </w:t>
      </w:r>
      <w:r w:rsidR="00906A87" w:rsidRPr="003171CD">
        <w:rPr>
          <w:rFonts w:eastAsiaTheme="minorHAnsi" w:cs="Arial"/>
          <w:lang w:val="en-US"/>
        </w:rPr>
        <w:t xml:space="preserve">confront </w:t>
      </w:r>
      <w:r w:rsidRPr="003171CD">
        <w:rPr>
          <w:rFonts w:eastAsiaTheme="minorHAnsi" w:cs="Arial"/>
          <w:lang w:val="en-US"/>
        </w:rPr>
        <w:t>and c</w:t>
      </w:r>
      <w:r w:rsidR="007D004F" w:rsidRPr="003171CD">
        <w:rPr>
          <w:rFonts w:eastAsiaTheme="minorHAnsi" w:cs="Arial"/>
          <w:lang w:val="en-US"/>
        </w:rPr>
        <w:t>hallenge</w:t>
      </w:r>
      <w:r w:rsidR="0063678E" w:rsidRPr="003171CD">
        <w:rPr>
          <w:rFonts w:eastAsiaTheme="minorHAnsi" w:cs="Arial"/>
          <w:lang w:val="en-US"/>
        </w:rPr>
        <w:t>,</w:t>
      </w:r>
      <w:r w:rsidR="005A65CE" w:rsidRPr="003171CD">
        <w:rPr>
          <w:rFonts w:eastAsiaTheme="minorHAnsi" w:cs="Arial"/>
          <w:lang w:val="en-US"/>
        </w:rPr>
        <w:t xml:space="preserve"> </w:t>
      </w:r>
      <w:r w:rsidRPr="003171CD">
        <w:rPr>
          <w:rFonts w:eastAsiaTheme="minorHAnsi" w:cs="Arial"/>
          <w:lang w:val="en-US"/>
        </w:rPr>
        <w:t>in a serious</w:t>
      </w:r>
      <w:r w:rsidR="005A65CE" w:rsidRPr="003171CD">
        <w:rPr>
          <w:rFonts w:eastAsiaTheme="minorHAnsi" w:cs="Arial"/>
          <w:lang w:val="en-US"/>
        </w:rPr>
        <w:t xml:space="preserve"> and </w:t>
      </w:r>
      <w:r w:rsidRPr="003171CD">
        <w:rPr>
          <w:rFonts w:eastAsiaTheme="minorHAnsi" w:cs="Arial"/>
          <w:lang w:val="en-US"/>
        </w:rPr>
        <w:t>effective manner</w:t>
      </w:r>
      <w:r w:rsidR="0063678E" w:rsidRPr="003171CD">
        <w:rPr>
          <w:rFonts w:eastAsiaTheme="minorHAnsi" w:cs="Arial"/>
          <w:lang w:val="en-US"/>
        </w:rPr>
        <w:t>,</w:t>
      </w:r>
      <w:r w:rsidRPr="003171CD">
        <w:rPr>
          <w:rFonts w:eastAsiaTheme="minorHAnsi" w:cs="Arial"/>
          <w:lang w:val="en-US"/>
        </w:rPr>
        <w:t xml:space="preserve"> </w:t>
      </w:r>
      <w:r w:rsidR="005A65CE" w:rsidRPr="003171CD">
        <w:rPr>
          <w:rFonts w:eastAsiaTheme="minorHAnsi" w:cs="Arial"/>
          <w:lang w:val="en-US"/>
        </w:rPr>
        <w:t xml:space="preserve">the </w:t>
      </w:r>
      <w:r w:rsidR="0063678E" w:rsidRPr="003171CD">
        <w:rPr>
          <w:rFonts w:eastAsiaTheme="minorHAnsi" w:cs="Arial"/>
          <w:lang w:val="en-US"/>
        </w:rPr>
        <w:t xml:space="preserve">charges leveled </w:t>
      </w:r>
      <w:r w:rsidRPr="003171CD">
        <w:rPr>
          <w:rFonts w:eastAsiaTheme="minorHAnsi" w:cs="Arial"/>
          <w:lang w:val="en-US"/>
        </w:rPr>
        <w:t>against him</w:t>
      </w:r>
      <w:r w:rsidR="00635691" w:rsidRPr="003171CD">
        <w:rPr>
          <w:rFonts w:eastAsiaTheme="minorHAnsi" w:cs="Arial"/>
          <w:lang w:val="en-US"/>
        </w:rPr>
        <w:t xml:space="preserve">, </w:t>
      </w:r>
      <w:r w:rsidR="0024640D" w:rsidRPr="003171CD">
        <w:rPr>
          <w:rFonts w:eastAsiaTheme="minorHAnsi" w:cs="Arial"/>
          <w:lang w:val="en-US"/>
        </w:rPr>
        <w:t xml:space="preserve">given </w:t>
      </w:r>
      <w:r w:rsidR="005A65CE" w:rsidRPr="003171CD">
        <w:rPr>
          <w:rFonts w:eastAsiaTheme="minorHAnsi" w:cs="Arial"/>
          <w:lang w:val="en-US"/>
        </w:rPr>
        <w:t xml:space="preserve">that </w:t>
      </w:r>
      <w:r w:rsidRPr="003171CD">
        <w:rPr>
          <w:rFonts w:eastAsiaTheme="minorHAnsi" w:cs="Arial"/>
          <w:lang w:val="en-US"/>
        </w:rPr>
        <w:t xml:space="preserve">his </w:t>
      </w:r>
      <w:r w:rsidR="005A65CE" w:rsidRPr="003171CD">
        <w:rPr>
          <w:rFonts w:eastAsiaTheme="minorHAnsi" w:cs="Arial"/>
          <w:lang w:val="en-US"/>
        </w:rPr>
        <w:t xml:space="preserve">public </w:t>
      </w:r>
      <w:r w:rsidR="00BC3DCE" w:rsidRPr="003171CD">
        <w:rPr>
          <w:rFonts w:eastAsiaTheme="minorHAnsi" w:cs="Arial"/>
          <w:lang w:val="en-US"/>
        </w:rPr>
        <w:t xml:space="preserve">defenders </w:t>
      </w:r>
      <w:r w:rsidR="00E9769F" w:rsidRPr="003171CD">
        <w:rPr>
          <w:rFonts w:eastAsiaTheme="minorHAnsi" w:cs="Arial"/>
          <w:lang w:val="en-US"/>
        </w:rPr>
        <w:t xml:space="preserve">sidelined </w:t>
      </w:r>
      <w:r w:rsidR="00E755FC" w:rsidRPr="003171CD">
        <w:rPr>
          <w:rFonts w:eastAsiaTheme="minorHAnsi" w:cs="Arial"/>
          <w:lang w:val="en-US"/>
        </w:rPr>
        <w:t>Mr</w:t>
      </w:r>
      <w:r w:rsidR="005A65CE" w:rsidRPr="003171CD">
        <w:rPr>
          <w:rFonts w:eastAsiaTheme="minorHAnsi" w:cs="Arial"/>
          <w:lang w:val="en-US"/>
        </w:rPr>
        <w:t>. Ruano Torres</w:t>
      </w:r>
      <w:r w:rsidR="00E9769F" w:rsidRPr="003171CD">
        <w:rPr>
          <w:rFonts w:eastAsiaTheme="minorHAnsi" w:cs="Arial"/>
          <w:lang w:val="en-US"/>
        </w:rPr>
        <w:t>’</w:t>
      </w:r>
      <w:r w:rsidR="0063678E" w:rsidRPr="003171CD">
        <w:rPr>
          <w:rFonts w:eastAsiaTheme="minorHAnsi" w:cs="Arial"/>
          <w:lang w:val="en-US"/>
        </w:rPr>
        <w:t xml:space="preserve"> </w:t>
      </w:r>
      <w:r w:rsidR="007D004F" w:rsidRPr="003171CD">
        <w:rPr>
          <w:rFonts w:eastAsiaTheme="minorHAnsi" w:cs="Arial"/>
          <w:lang w:val="en-US"/>
        </w:rPr>
        <w:t xml:space="preserve">efforts </w:t>
      </w:r>
      <w:r w:rsidR="005A65CE" w:rsidRPr="003171CD">
        <w:rPr>
          <w:rFonts w:eastAsiaTheme="minorHAnsi" w:cs="Arial"/>
          <w:lang w:val="en-US"/>
        </w:rPr>
        <w:t>and omit</w:t>
      </w:r>
      <w:r w:rsidRPr="003171CD">
        <w:rPr>
          <w:rFonts w:eastAsiaTheme="minorHAnsi" w:cs="Arial"/>
          <w:lang w:val="en-US"/>
        </w:rPr>
        <w:t>ted fundamental</w:t>
      </w:r>
      <w:r w:rsidR="005A65CE" w:rsidRPr="003171CD">
        <w:rPr>
          <w:rFonts w:eastAsiaTheme="minorHAnsi" w:cs="Arial"/>
          <w:lang w:val="en-US"/>
        </w:rPr>
        <w:t xml:space="preserve"> </w:t>
      </w:r>
      <w:r w:rsidRPr="003171CD">
        <w:rPr>
          <w:rFonts w:eastAsiaTheme="minorHAnsi" w:cs="Arial"/>
          <w:lang w:val="en-US"/>
        </w:rPr>
        <w:t xml:space="preserve">actions </w:t>
      </w:r>
      <w:r w:rsidR="005A65CE" w:rsidRPr="003171CD">
        <w:rPr>
          <w:rFonts w:eastAsiaTheme="minorHAnsi" w:cs="Arial"/>
          <w:lang w:val="en-US"/>
        </w:rPr>
        <w:t xml:space="preserve">that </w:t>
      </w:r>
      <w:r w:rsidRPr="003171CD">
        <w:rPr>
          <w:rFonts w:eastAsiaTheme="minorHAnsi" w:cs="Arial"/>
          <w:lang w:val="en-US"/>
        </w:rPr>
        <w:t xml:space="preserve">decisively </w:t>
      </w:r>
      <w:r w:rsidR="00906A87" w:rsidRPr="003171CD">
        <w:rPr>
          <w:rFonts w:eastAsiaTheme="minorHAnsi" w:cs="Arial"/>
          <w:lang w:val="en-US"/>
        </w:rPr>
        <w:t xml:space="preserve">led to </w:t>
      </w:r>
      <w:r w:rsidR="005A65CE" w:rsidRPr="003171CD">
        <w:rPr>
          <w:rFonts w:eastAsiaTheme="minorHAnsi" w:cs="Arial"/>
          <w:lang w:val="en-US"/>
        </w:rPr>
        <w:t xml:space="preserve">the </w:t>
      </w:r>
      <w:r w:rsidRPr="003171CD">
        <w:rPr>
          <w:rFonts w:eastAsiaTheme="minorHAnsi" w:cs="Arial"/>
          <w:lang w:val="en-US"/>
        </w:rPr>
        <w:t xml:space="preserve">subsequent </w:t>
      </w:r>
      <w:r w:rsidR="009656AE" w:rsidRPr="003171CD">
        <w:rPr>
          <w:rFonts w:eastAsiaTheme="minorHAnsi" w:cs="Arial"/>
          <w:lang w:val="en-US"/>
        </w:rPr>
        <w:t>conviction</w:t>
      </w:r>
      <w:r w:rsidRPr="003171CD">
        <w:rPr>
          <w:rFonts w:eastAsiaTheme="minorHAnsi" w:cs="Arial"/>
          <w:lang w:val="en-US"/>
        </w:rPr>
        <w:t>. I</w:t>
      </w:r>
      <w:r w:rsidR="005A65CE" w:rsidRPr="003171CD">
        <w:rPr>
          <w:rFonts w:eastAsiaTheme="minorHAnsi" w:cs="Arial"/>
          <w:lang w:val="en-US"/>
        </w:rPr>
        <w:t>n particular,</w:t>
      </w:r>
      <w:r w:rsidR="007D004F" w:rsidRPr="003171CD">
        <w:rPr>
          <w:rFonts w:eastAsiaTheme="minorHAnsi" w:cs="Arial"/>
          <w:lang w:val="en-US"/>
        </w:rPr>
        <w:t xml:space="preserve"> the defense</w:t>
      </w:r>
      <w:r w:rsidR="005A65CE" w:rsidRPr="003171CD">
        <w:rPr>
          <w:rFonts w:eastAsiaTheme="minorHAnsi" w:cs="Arial"/>
          <w:lang w:val="en-US"/>
        </w:rPr>
        <w:t xml:space="preserve"> “</w:t>
      </w:r>
      <w:r w:rsidR="0063678E" w:rsidRPr="003171CD">
        <w:rPr>
          <w:rFonts w:eastAsiaTheme="minorHAnsi" w:cs="Arial"/>
          <w:lang w:val="en-US"/>
        </w:rPr>
        <w:t xml:space="preserve">[did] not request </w:t>
      </w:r>
      <w:r w:rsidR="005A65CE" w:rsidRPr="003171CD">
        <w:rPr>
          <w:rFonts w:eastAsiaTheme="minorHAnsi" w:cs="Arial"/>
          <w:lang w:val="en-US"/>
        </w:rPr>
        <w:t xml:space="preserve">or </w:t>
      </w:r>
      <w:r w:rsidR="007D004F" w:rsidRPr="003171CD">
        <w:rPr>
          <w:rFonts w:eastAsiaTheme="minorHAnsi" w:cs="Arial"/>
          <w:lang w:val="en-US"/>
        </w:rPr>
        <w:t xml:space="preserve">demand </w:t>
      </w:r>
      <w:r w:rsidR="005A65CE" w:rsidRPr="003171CD">
        <w:rPr>
          <w:rFonts w:eastAsiaTheme="minorHAnsi" w:cs="Arial"/>
          <w:lang w:val="en-US"/>
        </w:rPr>
        <w:t xml:space="preserve">the </w:t>
      </w:r>
      <w:r w:rsidR="0063678E" w:rsidRPr="003171CD">
        <w:rPr>
          <w:rFonts w:eastAsiaTheme="minorHAnsi" w:cs="Arial"/>
          <w:lang w:val="en-US"/>
        </w:rPr>
        <w:t xml:space="preserve">annulment </w:t>
      </w:r>
      <w:r w:rsidR="007D004F" w:rsidRPr="003171CD">
        <w:rPr>
          <w:rFonts w:eastAsiaTheme="minorHAnsi" w:cs="Arial"/>
          <w:lang w:val="en-US"/>
        </w:rPr>
        <w:t xml:space="preserve">of </w:t>
      </w:r>
      <w:r w:rsidR="000D048E" w:rsidRPr="003171CD">
        <w:rPr>
          <w:rFonts w:eastAsiaTheme="minorHAnsi" w:cs="Arial"/>
          <w:lang w:val="en-US"/>
        </w:rPr>
        <w:t xml:space="preserve">the pre-trial </w:t>
      </w:r>
      <w:r w:rsidR="005A65CE" w:rsidRPr="003171CD">
        <w:rPr>
          <w:rFonts w:eastAsiaTheme="minorHAnsi" w:cs="Arial"/>
          <w:lang w:val="en-US"/>
        </w:rPr>
        <w:t>evidence, in w</w:t>
      </w:r>
      <w:r w:rsidRPr="003171CD">
        <w:rPr>
          <w:rFonts w:eastAsiaTheme="minorHAnsi" w:cs="Arial"/>
          <w:lang w:val="en-US"/>
        </w:rPr>
        <w:t xml:space="preserve">hich </w:t>
      </w:r>
      <w:r w:rsidR="0024640D" w:rsidRPr="003171CD">
        <w:rPr>
          <w:rFonts w:eastAsiaTheme="minorHAnsi" w:cs="Arial"/>
          <w:lang w:val="en-US"/>
        </w:rPr>
        <w:t xml:space="preserve">the </w:t>
      </w:r>
      <w:r w:rsidR="00906A87" w:rsidRPr="003171CD">
        <w:rPr>
          <w:rFonts w:eastAsiaTheme="minorHAnsi" w:cs="Arial"/>
          <w:lang w:val="en-US"/>
        </w:rPr>
        <w:t xml:space="preserve">defendant </w:t>
      </w:r>
      <w:r w:rsidR="0024640D" w:rsidRPr="003171CD">
        <w:rPr>
          <w:rFonts w:eastAsiaTheme="minorHAnsi" w:cs="Arial"/>
          <w:lang w:val="en-US"/>
        </w:rPr>
        <w:t xml:space="preserve">was directly </w:t>
      </w:r>
      <w:r w:rsidR="007D004F" w:rsidRPr="003171CD">
        <w:rPr>
          <w:rFonts w:eastAsiaTheme="minorHAnsi" w:cs="Arial"/>
          <w:lang w:val="en-US"/>
        </w:rPr>
        <w:t xml:space="preserve">accused </w:t>
      </w:r>
      <w:r w:rsidR="0063678E" w:rsidRPr="003171CD">
        <w:rPr>
          <w:rFonts w:eastAsiaTheme="minorHAnsi" w:cs="Arial"/>
          <w:lang w:val="en-US"/>
        </w:rPr>
        <w:t xml:space="preserve">in his absence and without the presence of a </w:t>
      </w:r>
      <w:r w:rsidR="005A65CE" w:rsidRPr="003171CD">
        <w:rPr>
          <w:rFonts w:eastAsiaTheme="minorHAnsi" w:cs="Arial"/>
          <w:lang w:val="en-US"/>
        </w:rPr>
        <w:t>p</w:t>
      </w:r>
      <w:r w:rsidRPr="003171CD">
        <w:rPr>
          <w:rFonts w:eastAsiaTheme="minorHAnsi" w:cs="Arial"/>
          <w:lang w:val="en-US"/>
        </w:rPr>
        <w:t xml:space="preserve">rivate </w:t>
      </w:r>
      <w:r w:rsidR="005A65CE" w:rsidRPr="003171CD">
        <w:rPr>
          <w:rFonts w:eastAsiaTheme="minorHAnsi" w:cs="Arial"/>
          <w:lang w:val="en-US"/>
        </w:rPr>
        <w:t>or public</w:t>
      </w:r>
      <w:r w:rsidR="007D004F" w:rsidRPr="003171CD">
        <w:rPr>
          <w:rFonts w:eastAsiaTheme="minorHAnsi" w:cs="Arial"/>
          <w:lang w:val="en-US"/>
        </w:rPr>
        <w:t xml:space="preserve"> defense counsel</w:t>
      </w:r>
      <w:r w:rsidRPr="003171CD">
        <w:rPr>
          <w:rFonts w:eastAsiaTheme="minorHAnsi" w:cs="Arial"/>
          <w:lang w:val="en-US"/>
        </w:rPr>
        <w:t xml:space="preserve"> t</w:t>
      </w:r>
      <w:r w:rsidR="0063678E" w:rsidRPr="003171CD">
        <w:rPr>
          <w:rFonts w:eastAsiaTheme="minorHAnsi" w:cs="Arial"/>
          <w:lang w:val="en-US"/>
        </w:rPr>
        <w:t xml:space="preserve">o </w:t>
      </w:r>
      <w:r w:rsidRPr="003171CD">
        <w:rPr>
          <w:rFonts w:eastAsiaTheme="minorHAnsi" w:cs="Arial"/>
          <w:lang w:val="en-US"/>
        </w:rPr>
        <w:t>refute</w:t>
      </w:r>
      <w:r w:rsidR="0063678E" w:rsidRPr="003171CD">
        <w:rPr>
          <w:rFonts w:eastAsiaTheme="minorHAnsi" w:cs="Arial"/>
          <w:lang w:val="en-US"/>
        </w:rPr>
        <w:t xml:space="preserve"> t</w:t>
      </w:r>
      <w:r w:rsidR="00BC3DCE" w:rsidRPr="003171CD">
        <w:rPr>
          <w:rFonts w:eastAsiaTheme="minorHAnsi" w:cs="Arial"/>
          <w:lang w:val="en-US"/>
        </w:rPr>
        <w:t>h</w:t>
      </w:r>
      <w:r w:rsidR="007D004F" w:rsidRPr="003171CD">
        <w:rPr>
          <w:rFonts w:eastAsiaTheme="minorHAnsi" w:cs="Arial"/>
          <w:lang w:val="en-US"/>
        </w:rPr>
        <w:t>ose charges</w:t>
      </w:r>
      <w:r w:rsidR="0063678E" w:rsidRPr="003171CD">
        <w:rPr>
          <w:rFonts w:eastAsiaTheme="minorHAnsi" w:cs="Arial"/>
          <w:lang w:val="en-US"/>
        </w:rPr>
        <w:t>.</w:t>
      </w:r>
      <w:r w:rsidR="005A65CE" w:rsidRPr="003171CD">
        <w:rPr>
          <w:rFonts w:eastAsiaTheme="minorHAnsi" w:cs="Arial"/>
          <w:lang w:val="en-US"/>
        </w:rPr>
        <w:t xml:space="preserve"> </w:t>
      </w:r>
      <w:r w:rsidR="0063678E" w:rsidRPr="003171CD">
        <w:rPr>
          <w:rFonts w:eastAsiaTheme="minorHAnsi" w:cs="Arial"/>
          <w:lang w:val="en-US"/>
        </w:rPr>
        <w:t xml:space="preserve">In other words, </w:t>
      </w:r>
      <w:r w:rsidR="007D004F" w:rsidRPr="003171CD">
        <w:rPr>
          <w:rFonts w:eastAsiaTheme="minorHAnsi" w:cs="Arial"/>
          <w:lang w:val="en-US"/>
        </w:rPr>
        <w:t xml:space="preserve">during </w:t>
      </w:r>
      <w:r w:rsidR="000D048E" w:rsidRPr="003171CD">
        <w:rPr>
          <w:rFonts w:eastAsiaTheme="minorHAnsi" w:cs="Arial"/>
          <w:lang w:val="en-US"/>
        </w:rPr>
        <w:t>that proceeding</w:t>
      </w:r>
      <w:r w:rsidR="005A65CE" w:rsidRPr="003171CD">
        <w:rPr>
          <w:rFonts w:eastAsiaTheme="minorHAnsi" w:cs="Arial"/>
          <w:lang w:val="en-US"/>
        </w:rPr>
        <w:t xml:space="preserve">, the </w:t>
      </w:r>
      <w:r w:rsidR="004764AE" w:rsidRPr="003171CD">
        <w:rPr>
          <w:rFonts w:eastAsiaTheme="minorHAnsi" w:cs="Arial"/>
          <w:lang w:val="en-US"/>
        </w:rPr>
        <w:t xml:space="preserve">adversarial </w:t>
      </w:r>
      <w:r w:rsidR="005A65CE" w:rsidRPr="003171CD">
        <w:rPr>
          <w:rFonts w:eastAsiaTheme="minorHAnsi" w:cs="Arial"/>
          <w:lang w:val="en-US"/>
        </w:rPr>
        <w:t>principle</w:t>
      </w:r>
      <w:r w:rsidR="00B70867" w:rsidRPr="003171CD">
        <w:rPr>
          <w:rFonts w:eastAsiaTheme="minorHAnsi" w:cs="Arial"/>
          <w:lang w:val="en-US"/>
        </w:rPr>
        <w:t xml:space="preserve"> was violated</w:t>
      </w:r>
      <w:r w:rsidR="005A65CE" w:rsidRPr="003171CD">
        <w:rPr>
          <w:rFonts w:eastAsiaTheme="minorHAnsi" w:cs="Arial"/>
          <w:lang w:val="en-US"/>
        </w:rPr>
        <w:t xml:space="preserve">, </w:t>
      </w:r>
      <w:r w:rsidR="007D004F" w:rsidRPr="003171CD">
        <w:rPr>
          <w:rFonts w:eastAsiaTheme="minorHAnsi" w:cs="Arial"/>
          <w:lang w:val="en-US"/>
        </w:rPr>
        <w:t xml:space="preserve">along with </w:t>
      </w:r>
      <w:r w:rsidR="005A65CE" w:rsidRPr="003171CD">
        <w:rPr>
          <w:rFonts w:eastAsiaTheme="minorHAnsi" w:cs="Arial"/>
          <w:lang w:val="en-US"/>
        </w:rPr>
        <w:t xml:space="preserve">the prohibition </w:t>
      </w:r>
      <w:r w:rsidR="001B6F82" w:rsidRPr="003171CD">
        <w:rPr>
          <w:rFonts w:eastAsiaTheme="minorHAnsi" w:cs="Arial"/>
          <w:lang w:val="en-US"/>
        </w:rPr>
        <w:t xml:space="preserve">of </w:t>
      </w:r>
      <w:r w:rsidR="000D048E" w:rsidRPr="003171CD">
        <w:rPr>
          <w:rFonts w:eastAsiaTheme="minorHAnsi" w:cs="Arial"/>
          <w:lang w:val="en-US"/>
        </w:rPr>
        <w:t xml:space="preserve">a trial </w:t>
      </w:r>
      <w:r w:rsidR="000D048E" w:rsidRPr="003171CD">
        <w:rPr>
          <w:rFonts w:eastAsiaTheme="minorHAnsi" w:cs="Arial"/>
          <w:i/>
          <w:lang w:val="en-US"/>
        </w:rPr>
        <w:t>in absentia</w:t>
      </w:r>
      <w:r w:rsidR="005A65CE" w:rsidRPr="003171CD">
        <w:rPr>
          <w:rFonts w:eastAsiaTheme="minorHAnsi" w:cs="Arial"/>
          <w:lang w:val="en-US"/>
        </w:rPr>
        <w:t xml:space="preserve">, </w:t>
      </w:r>
      <w:r w:rsidR="007D004F" w:rsidRPr="003171CD">
        <w:rPr>
          <w:rFonts w:eastAsiaTheme="minorHAnsi" w:cs="Arial"/>
          <w:lang w:val="en-US"/>
        </w:rPr>
        <w:t xml:space="preserve">something that </w:t>
      </w:r>
      <w:r w:rsidR="0063678E" w:rsidRPr="003171CD">
        <w:rPr>
          <w:rFonts w:eastAsiaTheme="minorHAnsi" w:cs="Arial"/>
          <w:lang w:val="en-US"/>
        </w:rPr>
        <w:t xml:space="preserve">was rightly pointed out by </w:t>
      </w:r>
      <w:r w:rsidR="005A65CE" w:rsidRPr="003171CD">
        <w:rPr>
          <w:rFonts w:eastAsiaTheme="minorHAnsi" w:cs="Arial"/>
          <w:lang w:val="en-US"/>
        </w:rPr>
        <w:t xml:space="preserve">the Office of the Human Rights Ombudsman of El Salvador in </w:t>
      </w:r>
      <w:r w:rsidR="0063678E" w:rsidRPr="003171CD">
        <w:rPr>
          <w:rFonts w:eastAsiaTheme="minorHAnsi" w:cs="Arial"/>
          <w:lang w:val="en-US"/>
        </w:rPr>
        <w:t xml:space="preserve">its </w:t>
      </w:r>
      <w:r w:rsidR="005A65CE" w:rsidRPr="003171CD">
        <w:rPr>
          <w:rFonts w:eastAsiaTheme="minorHAnsi" w:cs="Arial"/>
          <w:lang w:val="en-US"/>
        </w:rPr>
        <w:t xml:space="preserve">resolution </w:t>
      </w:r>
      <w:r w:rsidR="00760A38" w:rsidRPr="003171CD">
        <w:rPr>
          <w:rFonts w:eastAsiaTheme="minorHAnsi" w:cs="Arial"/>
          <w:lang w:val="en-US"/>
        </w:rPr>
        <w:t xml:space="preserve">of </w:t>
      </w:r>
      <w:r w:rsidR="0024640D" w:rsidRPr="003171CD">
        <w:rPr>
          <w:rFonts w:eastAsiaTheme="minorHAnsi" w:cs="Arial"/>
          <w:lang w:val="en-US"/>
        </w:rPr>
        <w:t xml:space="preserve">June </w:t>
      </w:r>
      <w:r w:rsidR="00760A38" w:rsidRPr="003171CD">
        <w:rPr>
          <w:rFonts w:eastAsiaTheme="minorHAnsi" w:cs="Arial"/>
          <w:lang w:val="en-US"/>
        </w:rPr>
        <w:t>9</w:t>
      </w:r>
      <w:r w:rsidR="0024640D" w:rsidRPr="003171CD">
        <w:rPr>
          <w:rFonts w:eastAsiaTheme="minorHAnsi" w:cs="Arial"/>
          <w:lang w:val="en-US"/>
        </w:rPr>
        <w:t>,</w:t>
      </w:r>
      <w:r w:rsidR="00760A38" w:rsidRPr="003171CD">
        <w:rPr>
          <w:rFonts w:eastAsiaTheme="minorHAnsi" w:cs="Arial"/>
          <w:lang w:val="en-US"/>
        </w:rPr>
        <w:t xml:space="preserve"> 2003</w:t>
      </w:r>
      <w:r w:rsidR="0024640D" w:rsidRPr="003171CD">
        <w:rPr>
          <w:rFonts w:eastAsiaTheme="minorHAnsi" w:cs="Arial"/>
          <w:lang w:val="en-US"/>
        </w:rPr>
        <w:t>.”</w:t>
      </w:r>
      <w:r w:rsidR="00760A38" w:rsidRPr="003171CD">
        <w:rPr>
          <w:rFonts w:eastAsiaTheme="minorHAnsi" w:cs="Arial"/>
          <w:lang w:val="en-US"/>
        </w:rPr>
        <w:t xml:space="preserve"> </w:t>
      </w:r>
      <w:r w:rsidR="00B70867" w:rsidRPr="003171CD">
        <w:rPr>
          <w:rFonts w:eastAsiaTheme="minorHAnsi" w:cs="Arial"/>
          <w:lang w:val="en-US"/>
        </w:rPr>
        <w:t xml:space="preserve">Furthermore, </w:t>
      </w:r>
      <w:r w:rsidR="005A65CE" w:rsidRPr="003171CD">
        <w:rPr>
          <w:rFonts w:eastAsiaTheme="minorHAnsi" w:cs="Arial"/>
          <w:lang w:val="en-US"/>
        </w:rPr>
        <w:t xml:space="preserve">the public defense </w:t>
      </w:r>
      <w:r w:rsidR="00B70867" w:rsidRPr="003171CD">
        <w:rPr>
          <w:rFonts w:eastAsiaTheme="minorHAnsi" w:cs="Arial"/>
          <w:lang w:val="en-US"/>
        </w:rPr>
        <w:t xml:space="preserve">also omitted to </w:t>
      </w:r>
      <w:r w:rsidR="00DE02EF" w:rsidRPr="003171CD">
        <w:rPr>
          <w:rFonts w:eastAsiaTheme="minorHAnsi" w:cs="Arial"/>
          <w:lang w:val="en-US"/>
        </w:rPr>
        <w:t xml:space="preserve">request the annulment </w:t>
      </w:r>
      <w:r w:rsidR="005A65CE" w:rsidRPr="003171CD">
        <w:rPr>
          <w:rFonts w:eastAsiaTheme="minorHAnsi" w:cs="Arial"/>
          <w:lang w:val="en-US"/>
        </w:rPr>
        <w:t xml:space="preserve">of the </w:t>
      </w:r>
      <w:r w:rsidR="00664DD4" w:rsidRPr="003171CD">
        <w:rPr>
          <w:rFonts w:eastAsiaTheme="minorHAnsi" w:cs="Arial"/>
          <w:lang w:val="en-US"/>
        </w:rPr>
        <w:t>identity parade</w:t>
      </w:r>
      <w:r w:rsidR="005A65CE" w:rsidRPr="003171CD">
        <w:rPr>
          <w:rFonts w:eastAsiaTheme="minorHAnsi" w:cs="Arial"/>
          <w:lang w:val="en-US"/>
        </w:rPr>
        <w:t xml:space="preserve"> </w:t>
      </w:r>
      <w:r w:rsidR="00FF0300" w:rsidRPr="003171CD">
        <w:rPr>
          <w:rFonts w:eastAsiaTheme="minorHAnsi" w:cs="Arial"/>
          <w:lang w:val="en-US"/>
        </w:rPr>
        <w:t>and</w:t>
      </w:r>
      <w:r w:rsidR="00760A38" w:rsidRPr="003171CD">
        <w:rPr>
          <w:rFonts w:eastAsiaTheme="minorHAnsi" w:cs="Arial"/>
          <w:lang w:val="en-US"/>
        </w:rPr>
        <w:t xml:space="preserve"> insist</w:t>
      </w:r>
      <w:r w:rsidR="005A65CE" w:rsidRPr="003171CD">
        <w:rPr>
          <w:rFonts w:eastAsiaTheme="minorHAnsi" w:cs="Arial"/>
          <w:lang w:val="en-US"/>
        </w:rPr>
        <w:t xml:space="preserve"> </w:t>
      </w:r>
      <w:r w:rsidR="00DE02EF" w:rsidRPr="003171CD">
        <w:rPr>
          <w:rFonts w:eastAsiaTheme="minorHAnsi" w:cs="Arial"/>
          <w:lang w:val="en-US"/>
        </w:rPr>
        <w:t xml:space="preserve">that the court admit </w:t>
      </w:r>
      <w:r w:rsidR="005A65CE" w:rsidRPr="003171CD">
        <w:rPr>
          <w:rFonts w:eastAsiaTheme="minorHAnsi" w:cs="Arial"/>
          <w:lang w:val="en-US"/>
        </w:rPr>
        <w:t xml:space="preserve">the </w:t>
      </w:r>
      <w:r w:rsidR="00DE02EF" w:rsidRPr="003171CD">
        <w:rPr>
          <w:rFonts w:eastAsiaTheme="minorHAnsi" w:cs="Arial"/>
          <w:lang w:val="en-US"/>
        </w:rPr>
        <w:t xml:space="preserve">statement of </w:t>
      </w:r>
      <w:r w:rsidR="00FF0300" w:rsidRPr="003171CD">
        <w:rPr>
          <w:rFonts w:eastAsiaTheme="minorHAnsi" w:cs="Arial"/>
          <w:lang w:val="en-US"/>
        </w:rPr>
        <w:t>Rodolfo Ruano Torres. T</w:t>
      </w:r>
      <w:r w:rsidR="005A65CE" w:rsidRPr="003171CD">
        <w:rPr>
          <w:rFonts w:eastAsiaTheme="minorHAnsi" w:cs="Arial"/>
          <w:lang w:val="en-US"/>
        </w:rPr>
        <w:t xml:space="preserve">herefore, the representatives </w:t>
      </w:r>
      <w:r w:rsidR="00760A38" w:rsidRPr="003171CD">
        <w:rPr>
          <w:rFonts w:eastAsiaTheme="minorHAnsi" w:cs="Arial"/>
          <w:lang w:val="en-US"/>
        </w:rPr>
        <w:t xml:space="preserve">agreed </w:t>
      </w:r>
      <w:r w:rsidR="005A65CE" w:rsidRPr="003171CD">
        <w:rPr>
          <w:rFonts w:eastAsiaTheme="minorHAnsi" w:cs="Arial"/>
          <w:lang w:val="en-US"/>
        </w:rPr>
        <w:t>with the Commission that the State viol</w:t>
      </w:r>
      <w:r w:rsidR="00760A38" w:rsidRPr="003171CD">
        <w:rPr>
          <w:rFonts w:eastAsiaTheme="minorHAnsi" w:cs="Arial"/>
          <w:lang w:val="en-US"/>
        </w:rPr>
        <w:t xml:space="preserve">ated </w:t>
      </w:r>
      <w:r w:rsidR="005A65CE" w:rsidRPr="003171CD">
        <w:rPr>
          <w:rFonts w:eastAsiaTheme="minorHAnsi" w:cs="Arial"/>
          <w:lang w:val="en-US"/>
        </w:rPr>
        <w:t xml:space="preserve">the </w:t>
      </w:r>
      <w:r w:rsidR="00B70867" w:rsidRPr="003171CD">
        <w:rPr>
          <w:rFonts w:eastAsiaTheme="minorHAnsi" w:cs="Arial"/>
          <w:lang w:val="en-US"/>
        </w:rPr>
        <w:t>right of</w:t>
      </w:r>
      <w:r w:rsidR="002625A5" w:rsidRPr="003171CD">
        <w:rPr>
          <w:rFonts w:eastAsiaTheme="minorHAnsi" w:cs="Arial"/>
          <w:lang w:val="en-US"/>
        </w:rPr>
        <w:t xml:space="preserve"> defense</w:t>
      </w:r>
      <w:r w:rsidR="005A65CE" w:rsidRPr="003171CD">
        <w:rPr>
          <w:rFonts w:eastAsiaTheme="minorHAnsi" w:cs="Arial"/>
          <w:lang w:val="en-US"/>
        </w:rPr>
        <w:t xml:space="preserve">, to the detriment of </w:t>
      </w:r>
      <w:r w:rsidR="00760A38" w:rsidRPr="003171CD">
        <w:rPr>
          <w:rFonts w:eastAsiaTheme="minorHAnsi" w:cs="Arial"/>
          <w:lang w:val="en-US"/>
        </w:rPr>
        <w:t>Mr.</w:t>
      </w:r>
      <w:r w:rsidR="005A65CE" w:rsidRPr="003171CD">
        <w:rPr>
          <w:rFonts w:eastAsiaTheme="minorHAnsi" w:cs="Arial"/>
          <w:lang w:val="en-US"/>
        </w:rPr>
        <w:t xml:space="preserve"> José Agapito Ruano Torres.</w:t>
      </w:r>
    </w:p>
    <w:p w14:paraId="0D6F50F8" w14:textId="77777777" w:rsidR="005A65CE" w:rsidRPr="003171CD" w:rsidRDefault="005A65CE" w:rsidP="005A65CE">
      <w:pPr>
        <w:jc w:val="both"/>
        <w:rPr>
          <w:rFonts w:eastAsiaTheme="minorHAnsi" w:cs="Arial"/>
          <w:snapToGrid/>
          <w:lang w:val="en-US" w:eastAsia="en-US"/>
        </w:rPr>
      </w:pPr>
    </w:p>
    <w:p w14:paraId="02820480"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bCs/>
          <w:lang w:val="en-US"/>
        </w:rPr>
      </w:pPr>
      <w:r w:rsidRPr="003171CD">
        <w:rPr>
          <w:rFonts w:eastAsiaTheme="minorHAnsi" w:cs="Arial"/>
          <w:lang w:val="en-US"/>
        </w:rPr>
        <w:t xml:space="preserve">The </w:t>
      </w:r>
      <w:r w:rsidRPr="003171CD">
        <w:rPr>
          <w:rFonts w:eastAsiaTheme="minorHAnsi" w:cs="Arial"/>
          <w:b/>
          <w:i/>
          <w:lang w:val="en-US"/>
        </w:rPr>
        <w:t>State</w:t>
      </w:r>
      <w:r w:rsidRPr="003171CD">
        <w:rPr>
          <w:rFonts w:eastAsiaTheme="minorHAnsi" w:cs="Arial"/>
          <w:bCs/>
          <w:lang w:val="en-US"/>
        </w:rPr>
        <w:t xml:space="preserve"> </w:t>
      </w:r>
      <w:r w:rsidR="00FF0300" w:rsidRPr="003171CD">
        <w:rPr>
          <w:rFonts w:eastAsiaTheme="minorHAnsi" w:cs="Arial"/>
          <w:bCs/>
          <w:lang w:val="en-US"/>
        </w:rPr>
        <w:t xml:space="preserve">argued </w:t>
      </w:r>
      <w:r w:rsidR="0024640D" w:rsidRPr="003171CD">
        <w:rPr>
          <w:rFonts w:eastAsiaTheme="minorHAnsi" w:cs="Arial"/>
          <w:bCs/>
          <w:lang w:val="en-US"/>
        </w:rPr>
        <w:t xml:space="preserve">that Mr. Ruano Torres </w:t>
      </w:r>
      <w:r w:rsidR="007D004F" w:rsidRPr="003171CD">
        <w:rPr>
          <w:rFonts w:eastAsiaTheme="minorHAnsi" w:cs="Arial"/>
          <w:bCs/>
          <w:lang w:val="en-US"/>
        </w:rPr>
        <w:t xml:space="preserve">was assisted by a team of </w:t>
      </w:r>
      <w:r w:rsidR="0024640D" w:rsidRPr="003171CD">
        <w:rPr>
          <w:rFonts w:eastAsiaTheme="minorHAnsi" w:cs="Arial"/>
          <w:bCs/>
          <w:lang w:val="en-US"/>
        </w:rPr>
        <w:t>public defen</w:t>
      </w:r>
      <w:r w:rsidR="007D004F" w:rsidRPr="003171CD">
        <w:rPr>
          <w:rFonts w:eastAsiaTheme="minorHAnsi" w:cs="Arial"/>
          <w:bCs/>
          <w:lang w:val="en-US"/>
        </w:rPr>
        <w:t xml:space="preserve">ders </w:t>
      </w:r>
      <w:r w:rsidR="0024640D" w:rsidRPr="003171CD">
        <w:rPr>
          <w:rFonts w:eastAsiaTheme="minorHAnsi" w:cs="Arial"/>
          <w:bCs/>
          <w:lang w:val="en-US"/>
        </w:rPr>
        <w:t xml:space="preserve">from the </w:t>
      </w:r>
      <w:r w:rsidR="007D004F" w:rsidRPr="003171CD">
        <w:rPr>
          <w:rFonts w:eastAsiaTheme="minorHAnsi" w:cs="Arial"/>
          <w:bCs/>
          <w:lang w:val="en-US"/>
        </w:rPr>
        <w:t xml:space="preserve">moment </w:t>
      </w:r>
      <w:r w:rsidR="0024640D" w:rsidRPr="003171CD">
        <w:rPr>
          <w:rFonts w:eastAsiaTheme="minorHAnsi" w:cs="Arial"/>
          <w:bCs/>
          <w:lang w:val="en-US"/>
        </w:rPr>
        <w:t xml:space="preserve">of his arrest </w:t>
      </w:r>
      <w:r w:rsidRPr="003171CD">
        <w:rPr>
          <w:rFonts w:eastAsiaTheme="minorHAnsi" w:cs="Arial"/>
          <w:bCs/>
          <w:lang w:val="en-US"/>
        </w:rPr>
        <w:t xml:space="preserve">until the </w:t>
      </w:r>
      <w:r w:rsidR="007D004F" w:rsidRPr="003171CD">
        <w:rPr>
          <w:rFonts w:eastAsiaTheme="minorHAnsi" w:cs="Arial"/>
          <w:bCs/>
          <w:lang w:val="en-US"/>
        </w:rPr>
        <w:t xml:space="preserve">completion of the </w:t>
      </w:r>
      <w:r w:rsidR="0024640D" w:rsidRPr="003171CD">
        <w:rPr>
          <w:rFonts w:eastAsiaTheme="minorHAnsi" w:cs="Arial"/>
          <w:bCs/>
          <w:lang w:val="en-US"/>
        </w:rPr>
        <w:t>proceeding</w:t>
      </w:r>
      <w:r w:rsidR="007D004F" w:rsidRPr="003171CD">
        <w:rPr>
          <w:rFonts w:eastAsiaTheme="minorHAnsi" w:cs="Arial"/>
          <w:bCs/>
          <w:lang w:val="en-US"/>
        </w:rPr>
        <w:t>s</w:t>
      </w:r>
      <w:r w:rsidRPr="003171CD">
        <w:rPr>
          <w:rFonts w:eastAsiaTheme="minorHAnsi" w:cs="Arial"/>
          <w:bCs/>
          <w:lang w:val="en-US"/>
        </w:rPr>
        <w:t>, a</w:t>
      </w:r>
      <w:r w:rsidR="00760A38" w:rsidRPr="003171CD">
        <w:rPr>
          <w:rFonts w:eastAsiaTheme="minorHAnsi" w:cs="Arial"/>
          <w:bCs/>
          <w:lang w:val="en-US"/>
        </w:rPr>
        <w:t xml:space="preserve">dding </w:t>
      </w:r>
      <w:r w:rsidRPr="003171CD">
        <w:rPr>
          <w:rFonts w:eastAsiaTheme="minorHAnsi" w:cs="Arial"/>
          <w:bCs/>
          <w:lang w:val="en-US"/>
        </w:rPr>
        <w:t>that “certain re</w:t>
      </w:r>
      <w:r w:rsidR="00760A38" w:rsidRPr="003171CD">
        <w:rPr>
          <w:rFonts w:eastAsiaTheme="minorHAnsi" w:cs="Arial"/>
          <w:bCs/>
          <w:lang w:val="en-US"/>
        </w:rPr>
        <w:t xml:space="preserve">medies in his </w:t>
      </w:r>
      <w:r w:rsidRPr="003171CD">
        <w:rPr>
          <w:rFonts w:eastAsiaTheme="minorHAnsi" w:cs="Arial"/>
          <w:bCs/>
          <w:lang w:val="en-US"/>
        </w:rPr>
        <w:t xml:space="preserve">favor </w:t>
      </w:r>
      <w:r w:rsidR="00760A38" w:rsidRPr="003171CD">
        <w:rPr>
          <w:rFonts w:eastAsiaTheme="minorHAnsi" w:cs="Arial"/>
          <w:bCs/>
          <w:lang w:val="en-US"/>
        </w:rPr>
        <w:t xml:space="preserve">were not filed because </w:t>
      </w:r>
      <w:r w:rsidRPr="003171CD">
        <w:rPr>
          <w:rFonts w:eastAsiaTheme="minorHAnsi" w:cs="Arial"/>
          <w:bCs/>
          <w:lang w:val="en-US"/>
        </w:rPr>
        <w:t xml:space="preserve">the defense </w:t>
      </w:r>
      <w:r w:rsidR="00760A38" w:rsidRPr="003171CD">
        <w:rPr>
          <w:rFonts w:eastAsiaTheme="minorHAnsi" w:cs="Arial"/>
          <w:bCs/>
          <w:lang w:val="en-US"/>
        </w:rPr>
        <w:t xml:space="preserve">concluded </w:t>
      </w:r>
      <w:r w:rsidRPr="003171CD">
        <w:rPr>
          <w:rFonts w:eastAsiaTheme="minorHAnsi" w:cs="Arial"/>
          <w:bCs/>
          <w:lang w:val="en-US"/>
        </w:rPr>
        <w:t>that the</w:t>
      </w:r>
      <w:r w:rsidR="00760A38" w:rsidRPr="003171CD">
        <w:rPr>
          <w:rFonts w:eastAsiaTheme="minorHAnsi" w:cs="Arial"/>
          <w:bCs/>
          <w:lang w:val="en-US"/>
        </w:rPr>
        <w:t>se were not</w:t>
      </w:r>
      <w:r w:rsidRPr="003171CD">
        <w:rPr>
          <w:rFonts w:eastAsiaTheme="minorHAnsi" w:cs="Arial"/>
          <w:bCs/>
          <w:lang w:val="en-US"/>
        </w:rPr>
        <w:t xml:space="preserve"> </w:t>
      </w:r>
      <w:r w:rsidR="007D004F" w:rsidRPr="003171CD">
        <w:rPr>
          <w:rFonts w:eastAsiaTheme="minorHAnsi" w:cs="Arial"/>
          <w:bCs/>
          <w:lang w:val="en-US"/>
        </w:rPr>
        <w:t>in order</w:t>
      </w:r>
      <w:r w:rsidR="0024640D" w:rsidRPr="003171CD">
        <w:rPr>
          <w:rFonts w:eastAsiaTheme="minorHAnsi" w:cs="Arial"/>
          <w:bCs/>
          <w:lang w:val="en-US"/>
        </w:rPr>
        <w:t>.”</w:t>
      </w:r>
      <w:r w:rsidRPr="003171CD">
        <w:rPr>
          <w:rFonts w:eastAsiaTheme="minorHAnsi" w:cs="Arial"/>
          <w:bCs/>
          <w:lang w:val="en-US"/>
        </w:rPr>
        <w:t xml:space="preserve"> However, </w:t>
      </w:r>
      <w:r w:rsidR="007D004F" w:rsidRPr="003171CD">
        <w:rPr>
          <w:rFonts w:eastAsiaTheme="minorHAnsi" w:cs="Arial"/>
          <w:bCs/>
          <w:lang w:val="en-US"/>
        </w:rPr>
        <w:t xml:space="preserve">the State </w:t>
      </w:r>
      <w:r w:rsidR="0024640D" w:rsidRPr="003171CD">
        <w:rPr>
          <w:rFonts w:eastAsiaTheme="minorHAnsi" w:cs="Arial"/>
          <w:bCs/>
          <w:lang w:val="en-US"/>
        </w:rPr>
        <w:t xml:space="preserve">acknowledged its </w:t>
      </w:r>
      <w:r w:rsidRPr="003171CD">
        <w:rPr>
          <w:rFonts w:eastAsiaTheme="minorHAnsi" w:cs="Arial"/>
          <w:bCs/>
          <w:lang w:val="en-US"/>
        </w:rPr>
        <w:t xml:space="preserve">responsibility and </w:t>
      </w:r>
      <w:r w:rsidR="00760A38" w:rsidRPr="003171CD">
        <w:rPr>
          <w:rFonts w:eastAsiaTheme="minorHAnsi" w:cs="Arial"/>
          <w:bCs/>
          <w:lang w:val="en-US"/>
        </w:rPr>
        <w:t xml:space="preserve">accepted </w:t>
      </w:r>
      <w:r w:rsidRPr="003171CD">
        <w:rPr>
          <w:rFonts w:eastAsiaTheme="minorHAnsi" w:cs="Arial"/>
          <w:bCs/>
          <w:lang w:val="en-US"/>
        </w:rPr>
        <w:t xml:space="preserve">the facts </w:t>
      </w:r>
      <w:r w:rsidR="00760A38" w:rsidRPr="003171CD">
        <w:rPr>
          <w:rFonts w:eastAsiaTheme="minorHAnsi" w:cs="Arial"/>
          <w:bCs/>
          <w:lang w:val="en-US"/>
        </w:rPr>
        <w:t xml:space="preserve">alleged in the presentation of </w:t>
      </w:r>
      <w:r w:rsidRPr="003171CD">
        <w:rPr>
          <w:rFonts w:eastAsiaTheme="minorHAnsi" w:cs="Arial"/>
          <w:bCs/>
          <w:lang w:val="en-US"/>
        </w:rPr>
        <w:t>t</w:t>
      </w:r>
      <w:r w:rsidR="00760A38" w:rsidRPr="003171CD">
        <w:rPr>
          <w:rFonts w:eastAsiaTheme="minorHAnsi" w:cs="Arial"/>
          <w:bCs/>
          <w:lang w:val="en-US"/>
        </w:rPr>
        <w:t>he case by the Commission in its</w:t>
      </w:r>
      <w:r w:rsidR="007D004F" w:rsidRPr="003171CD">
        <w:rPr>
          <w:rFonts w:eastAsiaTheme="minorHAnsi" w:cs="Arial"/>
          <w:bCs/>
          <w:lang w:val="en-US"/>
        </w:rPr>
        <w:t xml:space="preserve"> Merits R</w:t>
      </w:r>
      <w:r w:rsidRPr="003171CD">
        <w:rPr>
          <w:rFonts w:eastAsiaTheme="minorHAnsi" w:cs="Arial"/>
          <w:bCs/>
          <w:lang w:val="en-US"/>
        </w:rPr>
        <w:t>eport.</w:t>
      </w:r>
    </w:p>
    <w:p w14:paraId="50F36423" w14:textId="77777777" w:rsidR="005A65CE" w:rsidRPr="003171CD" w:rsidRDefault="005A65CE" w:rsidP="005A65CE">
      <w:pPr>
        <w:jc w:val="both"/>
        <w:rPr>
          <w:rFonts w:eastAsiaTheme="minorHAnsi" w:cs="Arial"/>
          <w:snapToGrid/>
          <w:lang w:val="en-US" w:eastAsia="en-US"/>
        </w:rPr>
      </w:pPr>
    </w:p>
    <w:p w14:paraId="2455710E" w14:textId="77777777" w:rsidR="005A65CE" w:rsidRPr="003171CD" w:rsidRDefault="005A65CE" w:rsidP="005A65CE">
      <w:pPr>
        <w:pStyle w:val="Prrafodelista"/>
        <w:keepNext/>
        <w:keepLines/>
        <w:numPr>
          <w:ilvl w:val="0"/>
          <w:numId w:val="18"/>
        </w:numPr>
        <w:ind w:left="1418" w:hanging="709"/>
        <w:jc w:val="both"/>
        <w:outlineLvl w:val="1"/>
        <w:rPr>
          <w:rFonts w:cs="Arial"/>
          <w:b/>
          <w:i/>
          <w:lang w:val="en-US"/>
        </w:rPr>
      </w:pPr>
      <w:bookmarkStart w:id="53" w:name="_Toc45186714"/>
      <w:r w:rsidRPr="003171CD">
        <w:rPr>
          <w:rFonts w:cs="Arial"/>
          <w:b/>
          <w:i/>
          <w:lang w:val="en-US"/>
        </w:rPr>
        <w:t>Considerations of the Court</w:t>
      </w:r>
      <w:bookmarkEnd w:id="53"/>
    </w:p>
    <w:p w14:paraId="7CDEE47F" w14:textId="77777777" w:rsidR="005A65CE" w:rsidRPr="003171CD" w:rsidRDefault="005A65CE" w:rsidP="005A65CE">
      <w:pPr>
        <w:jc w:val="both"/>
        <w:rPr>
          <w:rFonts w:eastAsiaTheme="minorHAnsi" w:cs="Arial"/>
          <w:snapToGrid/>
          <w:lang w:val="en-US" w:eastAsia="en-US"/>
        </w:rPr>
      </w:pPr>
    </w:p>
    <w:p w14:paraId="0DF0E81B" w14:textId="77777777" w:rsidR="005A65CE" w:rsidRPr="003171CD" w:rsidRDefault="005A65CE" w:rsidP="005A65CE">
      <w:pPr>
        <w:pStyle w:val="Prrafodelista"/>
        <w:numPr>
          <w:ilvl w:val="0"/>
          <w:numId w:val="1"/>
        </w:numPr>
        <w:tabs>
          <w:tab w:val="left" w:pos="720"/>
          <w:tab w:val="num" w:pos="5057"/>
        </w:tabs>
        <w:ind w:right="-90"/>
        <w:jc w:val="both"/>
        <w:rPr>
          <w:rFonts w:cs="Arial"/>
          <w:lang w:val="en-US"/>
        </w:rPr>
      </w:pPr>
      <w:r w:rsidRPr="003171CD">
        <w:rPr>
          <w:rFonts w:eastAsiaTheme="minorHAnsi" w:cs="Arial"/>
          <w:lang w:val="en-US"/>
        </w:rPr>
        <w:t xml:space="preserve">The State </w:t>
      </w:r>
      <w:r w:rsidR="00760A38" w:rsidRPr="003171CD">
        <w:rPr>
          <w:rFonts w:eastAsiaTheme="minorHAnsi" w:cs="Arial"/>
          <w:lang w:val="en-US"/>
        </w:rPr>
        <w:t xml:space="preserve">acknowledged its </w:t>
      </w:r>
      <w:r w:rsidRPr="003171CD">
        <w:rPr>
          <w:rFonts w:eastAsiaTheme="minorHAnsi" w:cs="Arial"/>
          <w:lang w:val="en-US"/>
        </w:rPr>
        <w:t xml:space="preserve">international responsibility </w:t>
      </w:r>
      <w:r w:rsidR="00760A38" w:rsidRPr="003171CD">
        <w:rPr>
          <w:rFonts w:eastAsiaTheme="minorHAnsi" w:cs="Arial"/>
          <w:lang w:val="en-US"/>
        </w:rPr>
        <w:t xml:space="preserve">for </w:t>
      </w:r>
      <w:r w:rsidRPr="003171CD">
        <w:rPr>
          <w:rFonts w:eastAsiaTheme="minorHAnsi" w:cs="Arial"/>
          <w:lang w:val="en-US"/>
        </w:rPr>
        <w:t xml:space="preserve">the violation </w:t>
      </w:r>
      <w:r w:rsidR="00760A38" w:rsidRPr="003171CD">
        <w:rPr>
          <w:rFonts w:eastAsiaTheme="minorHAnsi" w:cs="Arial"/>
          <w:lang w:val="en-US"/>
        </w:rPr>
        <w:t xml:space="preserve">of the right </w:t>
      </w:r>
      <w:r w:rsidR="007D004F" w:rsidRPr="003171CD">
        <w:rPr>
          <w:rFonts w:eastAsiaTheme="minorHAnsi" w:cs="Arial"/>
          <w:lang w:val="en-US"/>
        </w:rPr>
        <w:t xml:space="preserve">of </w:t>
      </w:r>
      <w:r w:rsidRPr="003171CD">
        <w:rPr>
          <w:rFonts w:eastAsiaTheme="minorHAnsi" w:cs="Arial"/>
          <w:lang w:val="en-US"/>
        </w:rPr>
        <w:t>defense</w:t>
      </w:r>
      <w:r w:rsidR="00033FFC" w:rsidRPr="003171CD">
        <w:rPr>
          <w:rFonts w:eastAsiaTheme="minorHAnsi" w:cs="Arial"/>
          <w:lang w:val="en-US"/>
        </w:rPr>
        <w:t xml:space="preserve"> </w:t>
      </w:r>
      <w:r w:rsidR="00760E68" w:rsidRPr="003171CD">
        <w:rPr>
          <w:rFonts w:eastAsiaTheme="minorHAnsi" w:cs="Arial"/>
          <w:lang w:val="en-US"/>
        </w:rPr>
        <w:t xml:space="preserve">recognized </w:t>
      </w:r>
      <w:r w:rsidR="00033FFC" w:rsidRPr="003171CD">
        <w:rPr>
          <w:rFonts w:eastAsiaTheme="minorHAnsi" w:cs="Arial"/>
          <w:lang w:val="en-US"/>
        </w:rPr>
        <w:t>in Article 8(2)(d)</w:t>
      </w:r>
      <w:r w:rsidRPr="003171CD">
        <w:rPr>
          <w:rFonts w:eastAsiaTheme="minorHAnsi" w:cs="Arial"/>
          <w:lang w:val="en-US"/>
        </w:rPr>
        <w:t xml:space="preserve"> of the American Convention</w:t>
      </w:r>
      <w:r w:rsidRPr="003171CD">
        <w:rPr>
          <w:rFonts w:cs="Arial"/>
          <w:lang w:val="en-US"/>
        </w:rPr>
        <w:t>,</w:t>
      </w:r>
      <w:r w:rsidR="000A776C" w:rsidRPr="003171CD">
        <w:rPr>
          <w:rFonts w:cs="Arial"/>
          <w:lang w:val="en-US"/>
        </w:rPr>
        <w:t xml:space="preserve"> as </w:t>
      </w:r>
      <w:r w:rsidRPr="003171CD">
        <w:rPr>
          <w:rFonts w:cs="Arial"/>
          <w:lang w:val="en-US"/>
        </w:rPr>
        <w:t xml:space="preserve">established by the Inter-American Commission in </w:t>
      </w:r>
      <w:r w:rsidR="00760A38" w:rsidRPr="003171CD">
        <w:rPr>
          <w:rFonts w:cs="Arial"/>
          <w:lang w:val="en-US"/>
        </w:rPr>
        <w:t xml:space="preserve">its </w:t>
      </w:r>
      <w:r w:rsidR="00760E68" w:rsidRPr="003171CD">
        <w:rPr>
          <w:rFonts w:cs="Arial"/>
          <w:lang w:val="en-US"/>
        </w:rPr>
        <w:t>Merits R</w:t>
      </w:r>
      <w:r w:rsidRPr="003171CD">
        <w:rPr>
          <w:rFonts w:cs="Arial"/>
          <w:lang w:val="en-US"/>
        </w:rPr>
        <w:t>eport</w:t>
      </w:r>
      <w:r w:rsidR="00760A38" w:rsidRPr="003171CD">
        <w:rPr>
          <w:rFonts w:eastAsiaTheme="minorHAnsi" w:cs="Arial"/>
          <w:lang w:val="en-US"/>
        </w:rPr>
        <w:t xml:space="preserve">. </w:t>
      </w:r>
      <w:r w:rsidR="00760E68" w:rsidRPr="003171CD">
        <w:rPr>
          <w:rFonts w:eastAsiaTheme="minorHAnsi" w:cs="Arial"/>
          <w:lang w:val="en-US"/>
        </w:rPr>
        <w:t>In their arguments, t</w:t>
      </w:r>
      <w:r w:rsidRPr="003171CD">
        <w:rPr>
          <w:rFonts w:eastAsiaTheme="minorHAnsi" w:cs="Arial"/>
          <w:lang w:val="en-US"/>
        </w:rPr>
        <w:t xml:space="preserve">he </w:t>
      </w:r>
      <w:r w:rsidR="00760E68" w:rsidRPr="003171CD">
        <w:rPr>
          <w:rFonts w:cs="Arial"/>
          <w:lang w:val="en-US"/>
        </w:rPr>
        <w:t xml:space="preserve">representatives also </w:t>
      </w:r>
      <w:r w:rsidRPr="003171CD">
        <w:rPr>
          <w:rFonts w:cs="Arial"/>
          <w:lang w:val="en-US"/>
        </w:rPr>
        <w:t>inclu</w:t>
      </w:r>
      <w:r w:rsidR="00760A38" w:rsidRPr="003171CD">
        <w:rPr>
          <w:rFonts w:cs="Arial"/>
          <w:lang w:val="en-US"/>
        </w:rPr>
        <w:t xml:space="preserve">ded </w:t>
      </w:r>
      <w:r w:rsidR="00033FFC" w:rsidRPr="003171CD">
        <w:rPr>
          <w:rFonts w:cs="Arial"/>
          <w:lang w:val="en-US"/>
        </w:rPr>
        <w:t>Articles 8(1) and 8(2)(e)</w:t>
      </w:r>
      <w:r w:rsidRPr="003171CD">
        <w:rPr>
          <w:rFonts w:cs="Arial"/>
          <w:lang w:val="en-US"/>
        </w:rPr>
        <w:t xml:space="preserve"> of </w:t>
      </w:r>
      <w:r w:rsidR="008A2EFC" w:rsidRPr="003171CD">
        <w:rPr>
          <w:rFonts w:cs="Arial"/>
          <w:lang w:val="en-US"/>
        </w:rPr>
        <w:t>that</w:t>
      </w:r>
      <w:r w:rsidRPr="003171CD">
        <w:rPr>
          <w:rFonts w:cs="Arial"/>
          <w:lang w:val="en-US"/>
        </w:rPr>
        <w:t xml:space="preserve"> </w:t>
      </w:r>
      <w:r w:rsidR="00974ACB" w:rsidRPr="003171CD">
        <w:rPr>
          <w:rFonts w:cs="Arial"/>
          <w:lang w:val="en-US"/>
        </w:rPr>
        <w:t>instrument</w:t>
      </w:r>
      <w:r w:rsidRPr="003171CD">
        <w:rPr>
          <w:rFonts w:cs="Arial"/>
          <w:lang w:val="en-US"/>
        </w:rPr>
        <w:t xml:space="preserve">. </w:t>
      </w:r>
      <w:r w:rsidR="00974ACB" w:rsidRPr="003171CD">
        <w:rPr>
          <w:rFonts w:cs="Arial"/>
          <w:lang w:val="en-US"/>
        </w:rPr>
        <w:t>In this regard</w:t>
      </w:r>
      <w:r w:rsidRPr="003171CD">
        <w:rPr>
          <w:rFonts w:eastAsiaTheme="minorHAnsi" w:cs="Arial"/>
          <w:lang w:val="en-US"/>
        </w:rPr>
        <w:t>, the Court rec</w:t>
      </w:r>
      <w:r w:rsidR="00760A38" w:rsidRPr="003171CD">
        <w:rPr>
          <w:rFonts w:eastAsiaTheme="minorHAnsi" w:cs="Arial"/>
          <w:lang w:val="en-US"/>
        </w:rPr>
        <w:t xml:space="preserve">alls </w:t>
      </w:r>
      <w:r w:rsidRPr="003171CD">
        <w:rPr>
          <w:rFonts w:eastAsiaTheme="minorHAnsi" w:cs="Arial"/>
          <w:lang w:val="en-US"/>
        </w:rPr>
        <w:t xml:space="preserve">that </w:t>
      </w:r>
      <w:r w:rsidRPr="003171CD">
        <w:rPr>
          <w:rFonts w:eastAsiaTheme="minorHAnsi"/>
          <w:lang w:val="en-US"/>
        </w:rPr>
        <w:t xml:space="preserve">alleged victims and </w:t>
      </w:r>
      <w:r w:rsidR="00974ACB" w:rsidRPr="003171CD">
        <w:rPr>
          <w:rFonts w:eastAsiaTheme="minorHAnsi"/>
          <w:lang w:val="en-US"/>
        </w:rPr>
        <w:t xml:space="preserve">their </w:t>
      </w:r>
      <w:r w:rsidRPr="003171CD">
        <w:rPr>
          <w:rFonts w:eastAsiaTheme="minorHAnsi"/>
          <w:lang w:val="en-US"/>
        </w:rPr>
        <w:t xml:space="preserve">representatives </w:t>
      </w:r>
      <w:r w:rsidR="00974ACB" w:rsidRPr="003171CD">
        <w:rPr>
          <w:rFonts w:eastAsiaTheme="minorHAnsi"/>
          <w:lang w:val="en-US"/>
        </w:rPr>
        <w:t xml:space="preserve">may </w:t>
      </w:r>
      <w:r w:rsidRPr="003171CD">
        <w:rPr>
          <w:rFonts w:eastAsiaTheme="minorHAnsi"/>
          <w:lang w:val="en-US"/>
        </w:rPr>
        <w:t>invo</w:t>
      </w:r>
      <w:r w:rsidR="00974ACB" w:rsidRPr="003171CD">
        <w:rPr>
          <w:rFonts w:eastAsiaTheme="minorHAnsi"/>
          <w:lang w:val="en-US"/>
        </w:rPr>
        <w:t xml:space="preserve">ke </w:t>
      </w:r>
      <w:r w:rsidRPr="003171CD">
        <w:rPr>
          <w:rFonts w:eastAsiaTheme="minorHAnsi"/>
          <w:lang w:val="en-US"/>
        </w:rPr>
        <w:t xml:space="preserve">the violation of </w:t>
      </w:r>
      <w:r w:rsidR="00834B13" w:rsidRPr="003171CD">
        <w:rPr>
          <w:rFonts w:eastAsiaTheme="minorHAnsi"/>
          <w:lang w:val="en-US"/>
        </w:rPr>
        <w:t>rights</w:t>
      </w:r>
      <w:r w:rsidRPr="003171CD">
        <w:rPr>
          <w:rFonts w:eastAsiaTheme="minorHAnsi"/>
          <w:lang w:val="en-US"/>
        </w:rPr>
        <w:t xml:space="preserve"> </w:t>
      </w:r>
      <w:r w:rsidR="00513B37" w:rsidRPr="003171CD">
        <w:rPr>
          <w:rFonts w:eastAsiaTheme="minorHAnsi"/>
          <w:lang w:val="en-US"/>
        </w:rPr>
        <w:t xml:space="preserve">other than </w:t>
      </w:r>
      <w:r w:rsidR="00974ACB" w:rsidRPr="003171CD">
        <w:rPr>
          <w:rFonts w:eastAsiaTheme="minorHAnsi"/>
          <w:lang w:val="en-US"/>
        </w:rPr>
        <w:t xml:space="preserve">those included </w:t>
      </w:r>
      <w:r w:rsidRPr="003171CD">
        <w:rPr>
          <w:rFonts w:eastAsiaTheme="minorHAnsi"/>
          <w:lang w:val="en-US"/>
        </w:rPr>
        <w:t xml:space="preserve">in the </w:t>
      </w:r>
      <w:r w:rsidR="00760E68" w:rsidRPr="003171CD">
        <w:rPr>
          <w:lang w:val="en-US"/>
        </w:rPr>
        <w:t>Merits R</w:t>
      </w:r>
      <w:r w:rsidRPr="003171CD">
        <w:rPr>
          <w:lang w:val="en-US"/>
        </w:rPr>
        <w:t>eport,</w:t>
      </w:r>
      <w:r w:rsidRPr="003171CD">
        <w:rPr>
          <w:rFonts w:eastAsiaTheme="minorHAnsi"/>
          <w:lang w:val="en-US"/>
        </w:rPr>
        <w:t xml:space="preserve"> </w:t>
      </w:r>
      <w:r w:rsidR="00974ACB" w:rsidRPr="003171CD">
        <w:rPr>
          <w:rFonts w:eastAsiaTheme="minorHAnsi"/>
          <w:lang w:val="en-US"/>
        </w:rPr>
        <w:t>provided th</w:t>
      </w:r>
      <w:r w:rsidR="000E55B2" w:rsidRPr="003171CD">
        <w:rPr>
          <w:rFonts w:eastAsiaTheme="minorHAnsi"/>
          <w:lang w:val="en-US"/>
        </w:rPr>
        <w:t xml:space="preserve">at these </w:t>
      </w:r>
      <w:r w:rsidR="00A4794F" w:rsidRPr="003171CD">
        <w:rPr>
          <w:rFonts w:eastAsiaTheme="minorHAnsi"/>
          <w:lang w:val="en-US"/>
        </w:rPr>
        <w:t xml:space="preserve">refer to </w:t>
      </w:r>
      <w:r w:rsidRPr="003171CD">
        <w:rPr>
          <w:rFonts w:eastAsiaTheme="minorHAnsi"/>
          <w:lang w:val="en-US"/>
        </w:rPr>
        <w:t>facts cont</w:t>
      </w:r>
      <w:r w:rsidR="00974ACB" w:rsidRPr="003171CD">
        <w:rPr>
          <w:rFonts w:eastAsiaTheme="minorHAnsi"/>
          <w:lang w:val="en-US"/>
        </w:rPr>
        <w:t>ained</w:t>
      </w:r>
      <w:r w:rsidRPr="003171CD">
        <w:rPr>
          <w:rFonts w:eastAsiaTheme="minorHAnsi"/>
          <w:lang w:val="en-US"/>
        </w:rPr>
        <w:t xml:space="preserve"> in </w:t>
      </w:r>
      <w:r w:rsidR="008A2EFC" w:rsidRPr="003171CD">
        <w:rPr>
          <w:rFonts w:eastAsiaTheme="minorHAnsi"/>
          <w:lang w:val="en-US"/>
        </w:rPr>
        <w:t xml:space="preserve">that </w:t>
      </w:r>
      <w:r w:rsidRPr="003171CD">
        <w:rPr>
          <w:rFonts w:eastAsiaTheme="minorHAnsi"/>
          <w:lang w:val="en-US"/>
        </w:rPr>
        <w:t xml:space="preserve">document, </w:t>
      </w:r>
      <w:r w:rsidR="00A4794F" w:rsidRPr="003171CD">
        <w:rPr>
          <w:rFonts w:eastAsiaTheme="minorHAnsi"/>
          <w:lang w:val="en-US"/>
        </w:rPr>
        <w:t xml:space="preserve">given that </w:t>
      </w:r>
      <w:r w:rsidRPr="003171CD">
        <w:rPr>
          <w:rFonts w:eastAsiaTheme="minorHAnsi"/>
          <w:lang w:val="en-US"/>
        </w:rPr>
        <w:t xml:space="preserve">the alleged victims </w:t>
      </w:r>
      <w:r w:rsidR="00513B37" w:rsidRPr="003171CD">
        <w:rPr>
          <w:rFonts w:eastAsiaTheme="minorHAnsi"/>
          <w:lang w:val="en-US"/>
        </w:rPr>
        <w:t xml:space="preserve">are </w:t>
      </w:r>
      <w:r w:rsidRPr="003171CD">
        <w:rPr>
          <w:rFonts w:eastAsiaTheme="minorHAnsi"/>
          <w:lang w:val="en-US"/>
        </w:rPr>
        <w:t xml:space="preserve">the </w:t>
      </w:r>
      <w:r w:rsidR="00033FFC" w:rsidRPr="003171CD">
        <w:rPr>
          <w:rFonts w:eastAsiaTheme="minorHAnsi"/>
          <w:lang w:val="en-US"/>
        </w:rPr>
        <w:lastRenderedPageBreak/>
        <w:t xml:space="preserve">holders of all </w:t>
      </w:r>
      <w:r w:rsidRPr="003171CD">
        <w:rPr>
          <w:rFonts w:eastAsiaTheme="minorHAnsi"/>
          <w:lang w:val="en-US"/>
        </w:rPr>
        <w:t xml:space="preserve">the </w:t>
      </w:r>
      <w:r w:rsidR="00834B13" w:rsidRPr="003171CD">
        <w:rPr>
          <w:rFonts w:eastAsiaTheme="minorHAnsi"/>
          <w:lang w:val="en-US"/>
        </w:rPr>
        <w:t>rights</w:t>
      </w:r>
      <w:r w:rsidRPr="003171CD">
        <w:rPr>
          <w:rFonts w:eastAsiaTheme="minorHAnsi"/>
          <w:lang w:val="en-US"/>
        </w:rPr>
        <w:t xml:space="preserve"> </w:t>
      </w:r>
      <w:r w:rsidR="008A2EFC" w:rsidRPr="003171CD">
        <w:rPr>
          <w:rFonts w:eastAsiaTheme="minorHAnsi"/>
          <w:lang w:val="en-US"/>
        </w:rPr>
        <w:t>e</w:t>
      </w:r>
      <w:r w:rsidR="00513B37" w:rsidRPr="003171CD">
        <w:rPr>
          <w:rFonts w:eastAsiaTheme="minorHAnsi"/>
          <w:lang w:val="en-US"/>
        </w:rPr>
        <w:t xml:space="preserve">mbodied </w:t>
      </w:r>
      <w:r w:rsidRPr="003171CD">
        <w:rPr>
          <w:rFonts w:eastAsiaTheme="minorHAnsi"/>
          <w:lang w:val="en-US"/>
        </w:rPr>
        <w:t>in the Convention</w:t>
      </w:r>
      <w:r w:rsidR="00FF0300" w:rsidRPr="003171CD">
        <w:rPr>
          <w:rFonts w:eastAsiaTheme="minorHAnsi"/>
          <w:lang w:val="en-US"/>
        </w:rPr>
        <w:t>.</w:t>
      </w:r>
      <w:r w:rsidRPr="003171CD">
        <w:rPr>
          <w:rFonts w:eastAsiaTheme="minorHAnsi"/>
          <w:vertAlign w:val="superscript"/>
          <w:lang w:val="en-US"/>
        </w:rPr>
        <w:footnoteReference w:id="206"/>
      </w:r>
      <w:r w:rsidRPr="003171CD">
        <w:rPr>
          <w:rFonts w:eastAsiaTheme="minorHAnsi"/>
          <w:lang w:val="en-US"/>
        </w:rPr>
        <w:t xml:space="preserve"> </w:t>
      </w:r>
      <w:r w:rsidR="00FF0300" w:rsidRPr="003171CD">
        <w:rPr>
          <w:rFonts w:eastAsiaTheme="minorHAnsi"/>
          <w:lang w:val="en-US"/>
        </w:rPr>
        <w:t>Therefore</w:t>
      </w:r>
      <w:r w:rsidRPr="003171CD">
        <w:rPr>
          <w:rFonts w:eastAsiaTheme="minorHAnsi"/>
          <w:lang w:val="en-US"/>
        </w:rPr>
        <w:t xml:space="preserve">, </w:t>
      </w:r>
      <w:r w:rsidR="00513B37" w:rsidRPr="003171CD">
        <w:rPr>
          <w:rFonts w:eastAsiaTheme="minorHAnsi"/>
          <w:lang w:val="en-US"/>
        </w:rPr>
        <w:t xml:space="preserve">based on the foregoing </w:t>
      </w:r>
      <w:r w:rsidR="00A4794F" w:rsidRPr="003171CD">
        <w:rPr>
          <w:rFonts w:eastAsiaTheme="minorHAnsi"/>
          <w:lang w:val="en-US"/>
        </w:rPr>
        <w:t xml:space="preserve">arguments </w:t>
      </w:r>
      <w:r w:rsidRPr="003171CD">
        <w:rPr>
          <w:rFonts w:eastAsiaTheme="minorHAnsi"/>
          <w:lang w:val="en-US"/>
        </w:rPr>
        <w:t>(</w:t>
      </w:r>
      <w:r w:rsidRPr="003171CD">
        <w:rPr>
          <w:rFonts w:eastAsiaTheme="minorHAnsi"/>
          <w:i/>
          <w:lang w:val="en-US"/>
        </w:rPr>
        <w:t xml:space="preserve">supra </w:t>
      </w:r>
      <w:r w:rsidRPr="003171CD">
        <w:rPr>
          <w:rFonts w:eastAsiaTheme="minorHAnsi"/>
          <w:lang w:val="en-US"/>
        </w:rPr>
        <w:t xml:space="preserve">para. 36), the Court </w:t>
      </w:r>
      <w:r w:rsidR="00033FFC" w:rsidRPr="003171CD">
        <w:rPr>
          <w:rFonts w:eastAsiaTheme="minorHAnsi"/>
          <w:lang w:val="en-US"/>
        </w:rPr>
        <w:t xml:space="preserve">will now consider </w:t>
      </w:r>
      <w:r w:rsidRPr="003171CD">
        <w:rPr>
          <w:rFonts w:eastAsiaTheme="minorHAnsi"/>
          <w:lang w:val="en-US"/>
        </w:rPr>
        <w:t xml:space="preserve">the </w:t>
      </w:r>
      <w:r w:rsidR="00FF0300" w:rsidRPr="003171CD">
        <w:rPr>
          <w:rFonts w:eastAsiaTheme="minorHAnsi"/>
          <w:lang w:val="en-US"/>
        </w:rPr>
        <w:t>applica</w:t>
      </w:r>
      <w:r w:rsidRPr="003171CD">
        <w:rPr>
          <w:rFonts w:eastAsiaTheme="minorHAnsi"/>
          <w:lang w:val="en-US"/>
        </w:rPr>
        <w:t>bility of the provisions invo</w:t>
      </w:r>
      <w:r w:rsidR="00FF0300" w:rsidRPr="003171CD">
        <w:rPr>
          <w:rFonts w:eastAsiaTheme="minorHAnsi"/>
          <w:lang w:val="en-US"/>
        </w:rPr>
        <w:t xml:space="preserve">ked </w:t>
      </w:r>
      <w:r w:rsidRPr="003171CD">
        <w:rPr>
          <w:rFonts w:eastAsiaTheme="minorHAnsi"/>
          <w:lang w:val="en-US"/>
        </w:rPr>
        <w:t xml:space="preserve">and the </w:t>
      </w:r>
      <w:r w:rsidR="008247E1" w:rsidRPr="003171CD">
        <w:rPr>
          <w:rFonts w:eastAsiaTheme="minorHAnsi"/>
          <w:lang w:val="en-US"/>
        </w:rPr>
        <w:t>scope</w:t>
      </w:r>
      <w:r w:rsidRPr="003171CD">
        <w:rPr>
          <w:rFonts w:eastAsiaTheme="minorHAnsi"/>
          <w:lang w:val="en-US"/>
        </w:rPr>
        <w:t xml:space="preserve"> of the </w:t>
      </w:r>
      <w:r w:rsidR="00FF0300" w:rsidRPr="003171CD">
        <w:rPr>
          <w:rFonts w:eastAsiaTheme="minorHAnsi"/>
          <w:lang w:val="en-US"/>
        </w:rPr>
        <w:t xml:space="preserve">alleged </w:t>
      </w:r>
      <w:r w:rsidRPr="003171CD">
        <w:rPr>
          <w:rFonts w:eastAsiaTheme="minorHAnsi"/>
          <w:lang w:val="en-US"/>
        </w:rPr>
        <w:t>violations.</w:t>
      </w:r>
    </w:p>
    <w:p w14:paraId="6E0512F8" w14:textId="77777777" w:rsidR="005A65CE" w:rsidRPr="003171CD" w:rsidRDefault="005A65CE" w:rsidP="005A65CE">
      <w:pPr>
        <w:jc w:val="both"/>
        <w:rPr>
          <w:rFonts w:eastAsiaTheme="minorHAnsi" w:cs="Arial"/>
          <w:snapToGrid/>
          <w:lang w:val="en-US" w:eastAsia="en-US"/>
        </w:rPr>
      </w:pPr>
    </w:p>
    <w:p w14:paraId="53B5B904" w14:textId="77777777" w:rsidR="005A65CE" w:rsidRPr="003171CD" w:rsidRDefault="005A65CE" w:rsidP="005A65CE">
      <w:pPr>
        <w:pStyle w:val="Prrafodelista"/>
        <w:numPr>
          <w:ilvl w:val="0"/>
          <w:numId w:val="1"/>
        </w:numPr>
        <w:tabs>
          <w:tab w:val="left" w:pos="720"/>
          <w:tab w:val="num" w:pos="5057"/>
        </w:tabs>
        <w:ind w:right="-90"/>
        <w:jc w:val="both"/>
        <w:rPr>
          <w:rFonts w:eastAsia="MS Mincho"/>
          <w:lang w:val="en-US"/>
        </w:rPr>
      </w:pPr>
      <w:r w:rsidRPr="003171CD">
        <w:rPr>
          <w:rFonts w:eastAsia="MS Mincho"/>
          <w:lang w:val="en-US"/>
        </w:rPr>
        <w:t>The Court</w:t>
      </w:r>
      <w:r w:rsidRPr="003171CD">
        <w:rPr>
          <w:rFonts w:eastAsia="MS Mincho"/>
          <w:color w:val="000000"/>
          <w:lang w:val="en-US"/>
        </w:rPr>
        <w:t xml:space="preserve"> ha</w:t>
      </w:r>
      <w:r w:rsidR="00FF0300" w:rsidRPr="003171CD">
        <w:rPr>
          <w:rFonts w:eastAsia="MS Mincho"/>
          <w:color w:val="000000"/>
          <w:lang w:val="en-US"/>
        </w:rPr>
        <w:t xml:space="preserve">s </w:t>
      </w:r>
      <w:r w:rsidR="00675E2E" w:rsidRPr="003171CD">
        <w:rPr>
          <w:rFonts w:eastAsia="MS Mincho"/>
          <w:color w:val="000000"/>
          <w:lang w:val="en-US"/>
        </w:rPr>
        <w:t xml:space="preserve">indicated </w:t>
      </w:r>
      <w:r w:rsidR="00FF0300" w:rsidRPr="003171CD">
        <w:rPr>
          <w:rFonts w:eastAsia="MS Mincho"/>
          <w:color w:val="000000"/>
          <w:lang w:val="en-US"/>
        </w:rPr>
        <w:t xml:space="preserve">that the right to </w:t>
      </w:r>
      <w:r w:rsidRPr="003171CD">
        <w:rPr>
          <w:rFonts w:eastAsia="MS Mincho"/>
          <w:color w:val="000000"/>
          <w:lang w:val="en-US"/>
        </w:rPr>
        <w:t xml:space="preserve">due process </w:t>
      </w:r>
      <w:r w:rsidR="00B07E88" w:rsidRPr="003171CD">
        <w:rPr>
          <w:lang w:val="en-US"/>
        </w:rPr>
        <w:t xml:space="preserve">refers to the series of requirements that must be observed at the different procedural stages to ensure that the individual is able to defend his rights adequately </w:t>
      </w:r>
      <w:r w:rsidR="00B07E88" w:rsidRPr="003171CD">
        <w:rPr>
          <w:i/>
          <w:lang w:val="en-US"/>
        </w:rPr>
        <w:t>vis-à-vis</w:t>
      </w:r>
      <w:r w:rsidR="00B11B50" w:rsidRPr="003171CD">
        <w:rPr>
          <w:lang w:val="en-US"/>
        </w:rPr>
        <w:t xml:space="preserve"> any act of the State</w:t>
      </w:r>
      <w:r w:rsidR="00B07E88" w:rsidRPr="003171CD">
        <w:rPr>
          <w:lang w:val="en-US"/>
        </w:rPr>
        <w:t xml:space="preserve"> adopted by any public authority, </w:t>
      </w:r>
      <w:r w:rsidR="00F63721" w:rsidRPr="003171CD">
        <w:rPr>
          <w:rFonts w:eastAsia="MS Mincho"/>
          <w:iCs/>
          <w:color w:val="000000"/>
          <w:lang w:val="en-US"/>
        </w:rPr>
        <w:t xml:space="preserve">whether </w:t>
      </w:r>
      <w:r w:rsidR="00033FFC" w:rsidRPr="003171CD">
        <w:rPr>
          <w:rFonts w:eastAsia="MS Mincho"/>
          <w:iCs/>
          <w:color w:val="000000"/>
          <w:lang w:val="en-US"/>
        </w:rPr>
        <w:t>administrative, legislative</w:t>
      </w:r>
      <w:r w:rsidRPr="003171CD">
        <w:rPr>
          <w:rFonts w:eastAsia="MS Mincho"/>
          <w:iCs/>
          <w:color w:val="000000"/>
          <w:lang w:val="en-US"/>
        </w:rPr>
        <w:t xml:space="preserve"> or judicial,</w:t>
      </w:r>
      <w:r w:rsidRPr="003171CD">
        <w:rPr>
          <w:rFonts w:eastAsia="MS Mincho"/>
          <w:color w:val="000000"/>
          <w:lang w:val="en-US"/>
        </w:rPr>
        <w:t xml:space="preserve"> </w:t>
      </w:r>
      <w:r w:rsidR="00F63721" w:rsidRPr="003171CD">
        <w:rPr>
          <w:lang w:val="en-US"/>
        </w:rPr>
        <w:t xml:space="preserve">that affects </w:t>
      </w:r>
      <w:r w:rsidR="00B07E88" w:rsidRPr="003171CD">
        <w:rPr>
          <w:lang w:val="en-US"/>
        </w:rPr>
        <w:t xml:space="preserve">those </w:t>
      </w:r>
      <w:r w:rsidR="00F63721" w:rsidRPr="003171CD">
        <w:rPr>
          <w:lang w:val="en-US"/>
        </w:rPr>
        <w:t>rights</w:t>
      </w:r>
      <w:r w:rsidR="008A2EFC" w:rsidRPr="003171CD">
        <w:rPr>
          <w:rFonts w:eastAsia="MS Mincho"/>
          <w:color w:val="000000"/>
          <w:lang w:val="en-US"/>
        </w:rPr>
        <w:t>.</w:t>
      </w:r>
      <w:r w:rsidRPr="003171CD">
        <w:rPr>
          <w:rFonts w:eastAsia="MS Mincho"/>
          <w:color w:val="000000"/>
          <w:vertAlign w:val="superscript"/>
          <w:lang w:val="en-US"/>
        </w:rPr>
        <w:footnoteReference w:id="207"/>
      </w:r>
      <w:r w:rsidRPr="003171CD">
        <w:rPr>
          <w:rFonts w:eastAsia="MS Mincho"/>
          <w:color w:val="000000"/>
          <w:lang w:val="en-US"/>
        </w:rPr>
        <w:t xml:space="preserve"> </w:t>
      </w:r>
      <w:r w:rsidR="00FF0300" w:rsidRPr="003171CD">
        <w:rPr>
          <w:rFonts w:eastAsia="MS Mincho"/>
          <w:color w:val="000000"/>
          <w:lang w:val="en-US"/>
        </w:rPr>
        <w:t>D</w:t>
      </w:r>
      <w:r w:rsidRPr="003171CD">
        <w:rPr>
          <w:rFonts w:eastAsia="MS Mincho"/>
          <w:color w:val="000000"/>
          <w:lang w:val="en-US"/>
        </w:rPr>
        <w:t xml:space="preserve">ue process </w:t>
      </w:r>
      <w:r w:rsidR="00675E2E" w:rsidRPr="003171CD">
        <w:rPr>
          <w:rFonts w:eastAsia="MS Mincho"/>
          <w:color w:val="000000"/>
          <w:lang w:val="en-US"/>
        </w:rPr>
        <w:t>is</w:t>
      </w:r>
      <w:r w:rsidR="00B07E88" w:rsidRPr="003171CD">
        <w:rPr>
          <w:rFonts w:eastAsia="MS Mincho"/>
          <w:color w:val="000000"/>
          <w:lang w:val="en-US"/>
        </w:rPr>
        <w:t xml:space="preserve"> also </w:t>
      </w:r>
      <w:r w:rsidR="00675E2E" w:rsidRPr="003171CD">
        <w:rPr>
          <w:rFonts w:eastAsia="MS Mincho"/>
          <w:color w:val="000000"/>
          <w:lang w:val="en-US"/>
        </w:rPr>
        <w:t xml:space="preserve">closely </w:t>
      </w:r>
      <w:r w:rsidR="00B07E88" w:rsidRPr="003171CD">
        <w:rPr>
          <w:rFonts w:eastAsia="MS Mincho"/>
          <w:color w:val="000000"/>
          <w:lang w:val="en-US"/>
        </w:rPr>
        <w:t xml:space="preserve">related to </w:t>
      </w:r>
      <w:r w:rsidRPr="003171CD">
        <w:rPr>
          <w:rFonts w:eastAsia="MS Mincho"/>
          <w:color w:val="000000"/>
          <w:lang w:val="en-US"/>
        </w:rPr>
        <w:t>the notion of justice</w:t>
      </w:r>
      <w:r w:rsidR="00F63721" w:rsidRPr="003171CD">
        <w:rPr>
          <w:rFonts w:eastAsia="MS Mincho"/>
          <w:color w:val="000000"/>
          <w:lang w:val="en-US"/>
        </w:rPr>
        <w:t>,</w:t>
      </w:r>
      <w:r w:rsidRPr="003171CD">
        <w:rPr>
          <w:rFonts w:eastAsia="MS Mincho"/>
          <w:color w:val="000000"/>
          <w:vertAlign w:val="superscript"/>
          <w:lang w:val="en-US"/>
        </w:rPr>
        <w:footnoteReference w:id="208"/>
      </w:r>
      <w:r w:rsidR="00B07E88" w:rsidRPr="003171CD">
        <w:rPr>
          <w:rFonts w:eastAsia="MS Mincho"/>
          <w:color w:val="000000"/>
          <w:lang w:val="en-US"/>
        </w:rPr>
        <w:t xml:space="preserve"> which </w:t>
      </w:r>
      <w:r w:rsidR="00FF0300" w:rsidRPr="003171CD">
        <w:rPr>
          <w:rFonts w:eastAsia="MS Mincho"/>
          <w:color w:val="000000"/>
          <w:lang w:val="en-US"/>
        </w:rPr>
        <w:t>is reflected i</w:t>
      </w:r>
      <w:r w:rsidR="00630651" w:rsidRPr="003171CD">
        <w:rPr>
          <w:rFonts w:eastAsia="MS Mincho"/>
          <w:color w:val="000000"/>
          <w:lang w:val="en-US"/>
        </w:rPr>
        <w:t xml:space="preserve">n: i) </w:t>
      </w:r>
      <w:r w:rsidR="00B07E88" w:rsidRPr="003171CD">
        <w:rPr>
          <w:rFonts w:eastAsia="MS Mincho"/>
          <w:color w:val="000000"/>
          <w:lang w:val="en-US"/>
        </w:rPr>
        <w:t xml:space="preserve">access to </w:t>
      </w:r>
      <w:r w:rsidRPr="003171CD">
        <w:rPr>
          <w:rFonts w:eastAsia="MS Mincho"/>
          <w:color w:val="000000"/>
          <w:lang w:val="en-US"/>
        </w:rPr>
        <w:t xml:space="preserve">justice </w:t>
      </w:r>
      <w:r w:rsidR="00B07E88" w:rsidRPr="003171CD">
        <w:rPr>
          <w:rFonts w:eastAsia="MS Mincho"/>
          <w:color w:val="000000"/>
          <w:lang w:val="en-US"/>
        </w:rPr>
        <w:t xml:space="preserve">that is </w:t>
      </w:r>
      <w:r w:rsidRPr="003171CD">
        <w:rPr>
          <w:rFonts w:eastAsia="MS Mincho"/>
          <w:color w:val="000000"/>
          <w:lang w:val="en-US"/>
        </w:rPr>
        <w:t>no</w:t>
      </w:r>
      <w:r w:rsidR="00630651" w:rsidRPr="003171CD">
        <w:rPr>
          <w:rFonts w:eastAsia="MS Mincho"/>
          <w:color w:val="000000"/>
          <w:lang w:val="en-US"/>
        </w:rPr>
        <w:t xml:space="preserve">t </w:t>
      </w:r>
      <w:r w:rsidR="00B07E88" w:rsidRPr="003171CD">
        <w:rPr>
          <w:rFonts w:eastAsia="MS Mincho"/>
          <w:color w:val="000000"/>
          <w:lang w:val="en-US"/>
        </w:rPr>
        <w:t xml:space="preserve">merely </w:t>
      </w:r>
      <w:r w:rsidRPr="003171CD">
        <w:rPr>
          <w:rFonts w:eastAsia="MS Mincho"/>
          <w:lang w:val="en-US"/>
        </w:rPr>
        <w:t xml:space="preserve">formal, </w:t>
      </w:r>
      <w:r w:rsidR="00B07E88" w:rsidRPr="003171CD">
        <w:rPr>
          <w:lang w:val="en-US"/>
        </w:rPr>
        <w:t>but that recognizes and resolves the factors of real inequality</w:t>
      </w:r>
      <w:r w:rsidRPr="003171CD">
        <w:rPr>
          <w:rFonts w:eastAsia="MS Mincho"/>
          <w:lang w:val="en-US"/>
        </w:rPr>
        <w:t xml:space="preserve">, ii) a </w:t>
      </w:r>
      <w:r w:rsidR="00630651" w:rsidRPr="003171CD">
        <w:rPr>
          <w:rFonts w:eastAsia="MS Mincho"/>
          <w:lang w:val="en-US"/>
        </w:rPr>
        <w:t>fair trial</w:t>
      </w:r>
      <w:r w:rsidRPr="003171CD">
        <w:rPr>
          <w:rFonts w:eastAsia="MS Mincho"/>
          <w:lang w:val="en-US"/>
        </w:rPr>
        <w:t xml:space="preserve">, and iii) </w:t>
      </w:r>
      <w:r w:rsidR="00B07E88" w:rsidRPr="003171CD">
        <w:rPr>
          <w:lang w:val="en-US"/>
        </w:rPr>
        <w:t>the settlement of disputes so that the decision adopted attains the highest level of correctness in the law, that is to say, that a just solution is ensured insofar as possible</w:t>
      </w:r>
      <w:r w:rsidR="00630651" w:rsidRPr="003171CD">
        <w:rPr>
          <w:rFonts w:eastAsia="MS Mincho"/>
          <w:lang w:val="en-US"/>
        </w:rPr>
        <w:t>.</w:t>
      </w:r>
      <w:r w:rsidRPr="003171CD">
        <w:rPr>
          <w:rFonts w:eastAsia="MS Mincho"/>
          <w:vertAlign w:val="superscript"/>
          <w:lang w:val="en-US"/>
        </w:rPr>
        <w:footnoteReference w:id="209"/>
      </w:r>
    </w:p>
    <w:p w14:paraId="7D87B148" w14:textId="77777777" w:rsidR="005A65CE" w:rsidRPr="003171CD" w:rsidRDefault="005A65CE" w:rsidP="005A65CE">
      <w:pPr>
        <w:tabs>
          <w:tab w:val="num" w:pos="11028"/>
        </w:tabs>
        <w:autoSpaceDE/>
        <w:autoSpaceDN/>
        <w:adjustRightInd/>
        <w:contextualSpacing/>
        <w:jc w:val="both"/>
        <w:rPr>
          <w:rFonts w:eastAsiaTheme="minorHAnsi" w:cs="Arial"/>
          <w:snapToGrid/>
          <w:lang w:val="en-US" w:eastAsia="en-US"/>
        </w:rPr>
      </w:pPr>
    </w:p>
    <w:p w14:paraId="59A90766" w14:textId="77777777" w:rsidR="005A65CE" w:rsidRPr="003171CD" w:rsidRDefault="00FF0300" w:rsidP="005A65CE">
      <w:pPr>
        <w:pStyle w:val="Prrafodelista"/>
        <w:numPr>
          <w:ilvl w:val="0"/>
          <w:numId w:val="1"/>
        </w:numPr>
        <w:tabs>
          <w:tab w:val="left" w:pos="720"/>
          <w:tab w:val="num" w:pos="5057"/>
        </w:tabs>
        <w:ind w:right="-90"/>
        <w:jc w:val="both"/>
        <w:rPr>
          <w:rFonts w:eastAsiaTheme="minorHAnsi" w:cs="Arial"/>
          <w:lang w:val="en-US"/>
        </w:rPr>
      </w:pPr>
      <w:r w:rsidRPr="003171CD">
        <w:rPr>
          <w:rFonts w:cs="Arial"/>
          <w:lang w:val="en-US"/>
        </w:rPr>
        <w:t>I</w:t>
      </w:r>
      <w:r w:rsidR="005A65CE" w:rsidRPr="003171CD">
        <w:rPr>
          <w:rFonts w:cs="Arial"/>
          <w:lang w:val="en-US"/>
        </w:rPr>
        <w:t>n conventional</w:t>
      </w:r>
      <w:r w:rsidRPr="003171CD">
        <w:rPr>
          <w:rFonts w:cs="Arial"/>
          <w:lang w:val="en-US"/>
        </w:rPr>
        <w:t xml:space="preserve"> terms,</w:t>
      </w:r>
      <w:r w:rsidR="005A65CE" w:rsidRPr="003171CD">
        <w:rPr>
          <w:rFonts w:cs="Arial"/>
          <w:lang w:val="en-US"/>
        </w:rPr>
        <w:t xml:space="preserve"> due process </w:t>
      </w:r>
      <w:r w:rsidR="00B07E88" w:rsidRPr="003171CD">
        <w:rPr>
          <w:rFonts w:cs="Arial"/>
          <w:lang w:val="en-US"/>
        </w:rPr>
        <w:t xml:space="preserve">is expressed in </w:t>
      </w:r>
      <w:r w:rsidR="00EB513E" w:rsidRPr="003171CD">
        <w:rPr>
          <w:rFonts w:cs="Arial"/>
          <w:lang w:val="en-US"/>
        </w:rPr>
        <w:t>the “judicial guarantees</w:t>
      </w:r>
      <w:r w:rsidR="005A65CE" w:rsidRPr="003171CD">
        <w:rPr>
          <w:rFonts w:cs="Arial"/>
          <w:lang w:val="en-US"/>
        </w:rPr>
        <w:t xml:space="preserve">” recognized in Article 8 of the American Convention. </w:t>
      </w:r>
      <w:r w:rsidR="008D529F" w:rsidRPr="003171CD">
        <w:rPr>
          <w:lang w:val="en-US"/>
        </w:rPr>
        <w:t xml:space="preserve">This provision of the Convention establishes a system of guarantees that condition the exercise of the </w:t>
      </w:r>
      <w:r w:rsidR="008D529F" w:rsidRPr="003171CD">
        <w:rPr>
          <w:i/>
          <w:lang w:val="en-US"/>
        </w:rPr>
        <w:t>ius puniendi</w:t>
      </w:r>
      <w:r w:rsidR="008D529F" w:rsidRPr="003171CD">
        <w:rPr>
          <w:lang w:val="en-US"/>
        </w:rPr>
        <w:t xml:space="preserve"> of the State and that seek to ensure that the accused is not subjected to arbitrary decisions, because “the due guarantees” must be observed t</w:t>
      </w:r>
      <w:r w:rsidR="00B11B50" w:rsidRPr="003171CD">
        <w:rPr>
          <w:lang w:val="en-US"/>
        </w:rPr>
        <w:t xml:space="preserve">o </w:t>
      </w:r>
      <w:r w:rsidR="008D529F" w:rsidRPr="003171CD">
        <w:rPr>
          <w:lang w:val="en-US"/>
        </w:rPr>
        <w:t>ensure the right to due process in the proceedings in question</w:t>
      </w:r>
      <w:r w:rsidR="00DD569B" w:rsidRPr="003171CD">
        <w:rPr>
          <w:lang w:val="en-US"/>
        </w:rPr>
        <w:t>.</w:t>
      </w:r>
      <w:r w:rsidR="005A65CE" w:rsidRPr="003171CD">
        <w:rPr>
          <w:rStyle w:val="Refdenotaalpie"/>
          <w:rFonts w:eastAsia="Calibri"/>
          <w:lang w:val="en-US"/>
        </w:rPr>
        <w:footnoteReference w:id="210"/>
      </w:r>
      <w:r w:rsidR="005A65CE" w:rsidRPr="003171CD">
        <w:rPr>
          <w:lang w:val="en-US"/>
        </w:rPr>
        <w:t xml:space="preserve"> </w:t>
      </w:r>
      <w:r w:rsidR="00DE6DE2" w:rsidRPr="003171CD">
        <w:rPr>
          <w:lang w:val="en-US"/>
        </w:rPr>
        <w:t>Furthermore</w:t>
      </w:r>
      <w:r w:rsidR="005A65CE" w:rsidRPr="003171CD">
        <w:rPr>
          <w:rFonts w:cs="Arial"/>
          <w:lang w:val="en-US"/>
        </w:rPr>
        <w:t xml:space="preserve">, other provisions of </w:t>
      </w:r>
      <w:r w:rsidR="008A2EFC" w:rsidRPr="003171CD">
        <w:rPr>
          <w:rFonts w:cs="Arial"/>
          <w:lang w:val="en-US"/>
        </w:rPr>
        <w:t>th</w:t>
      </w:r>
      <w:r w:rsidR="008D529F" w:rsidRPr="003171CD">
        <w:rPr>
          <w:rFonts w:cs="Arial"/>
          <w:lang w:val="en-US"/>
        </w:rPr>
        <w:t xml:space="preserve">e Convention, </w:t>
      </w:r>
      <w:r w:rsidR="00EB513E" w:rsidRPr="003171CD">
        <w:rPr>
          <w:rFonts w:cs="Arial"/>
          <w:lang w:val="en-US"/>
        </w:rPr>
        <w:t xml:space="preserve">such as </w:t>
      </w:r>
      <w:r w:rsidR="005A65CE" w:rsidRPr="003171CD">
        <w:rPr>
          <w:rFonts w:cs="Arial"/>
          <w:lang w:val="en-US"/>
        </w:rPr>
        <w:t>Articles 7 and 25,</w:t>
      </w:r>
      <w:r w:rsidR="005A65CE" w:rsidRPr="003171CD">
        <w:rPr>
          <w:vertAlign w:val="superscript"/>
          <w:lang w:val="en-US"/>
        </w:rPr>
        <w:t xml:space="preserve"> </w:t>
      </w:r>
      <w:r w:rsidR="005A65CE" w:rsidRPr="003171CD">
        <w:rPr>
          <w:rFonts w:cs="Arial"/>
          <w:lang w:val="en-US"/>
        </w:rPr>
        <w:t>cont</w:t>
      </w:r>
      <w:r w:rsidR="008A2EFC" w:rsidRPr="003171CD">
        <w:rPr>
          <w:rFonts w:cs="Arial"/>
          <w:lang w:val="en-US"/>
        </w:rPr>
        <w:t xml:space="preserve">ain regulations that </w:t>
      </w:r>
      <w:r w:rsidR="00DE6DE2" w:rsidRPr="003171CD">
        <w:rPr>
          <w:rFonts w:cs="Arial"/>
          <w:lang w:val="en-US"/>
        </w:rPr>
        <w:t>materially correspond to</w:t>
      </w:r>
      <w:r w:rsidR="005A65CE" w:rsidRPr="003171CD">
        <w:rPr>
          <w:rFonts w:cs="Arial"/>
          <w:lang w:val="en-US"/>
        </w:rPr>
        <w:t xml:space="preserve"> the </w:t>
      </w:r>
      <w:r w:rsidR="005A65CE" w:rsidRPr="003171CD">
        <w:rPr>
          <w:rFonts w:eastAsiaTheme="minorHAnsi" w:cs="Arial"/>
          <w:lang w:val="en-US"/>
        </w:rPr>
        <w:t>su</w:t>
      </w:r>
      <w:r w:rsidR="00BF3FEC" w:rsidRPr="003171CD">
        <w:rPr>
          <w:rFonts w:eastAsiaTheme="minorHAnsi" w:cs="Arial"/>
          <w:lang w:val="en-US"/>
        </w:rPr>
        <w:t>bstantive</w:t>
      </w:r>
      <w:r w:rsidR="005A65CE" w:rsidRPr="003171CD">
        <w:rPr>
          <w:rFonts w:eastAsiaTheme="minorHAnsi" w:cs="Arial"/>
          <w:lang w:val="en-US"/>
        </w:rPr>
        <w:t xml:space="preserve"> and procedural </w:t>
      </w:r>
      <w:r w:rsidR="008A2EFC" w:rsidRPr="003171CD">
        <w:rPr>
          <w:rFonts w:cs="Arial"/>
          <w:lang w:val="en-US"/>
        </w:rPr>
        <w:t>components</w:t>
      </w:r>
      <w:r w:rsidR="008A2EFC" w:rsidRPr="003171CD">
        <w:rPr>
          <w:rFonts w:eastAsiaTheme="minorHAnsi" w:cs="Arial"/>
          <w:lang w:val="en-US"/>
        </w:rPr>
        <w:t xml:space="preserve"> of </w:t>
      </w:r>
      <w:r w:rsidR="005A65CE" w:rsidRPr="003171CD">
        <w:rPr>
          <w:rFonts w:eastAsiaTheme="minorHAnsi" w:cs="Arial"/>
          <w:lang w:val="en-US"/>
        </w:rPr>
        <w:t>due process</w:t>
      </w:r>
      <w:r w:rsidR="008A2EFC" w:rsidRPr="003171CD">
        <w:rPr>
          <w:rFonts w:cs="Arial"/>
          <w:lang w:val="en-US"/>
        </w:rPr>
        <w:t>. I</w:t>
      </w:r>
      <w:r w:rsidR="005A65CE" w:rsidRPr="003171CD">
        <w:rPr>
          <w:rFonts w:cs="Arial"/>
          <w:lang w:val="en-US"/>
        </w:rPr>
        <w:t xml:space="preserve">n </w:t>
      </w:r>
      <w:r w:rsidR="005A65CE" w:rsidRPr="003171CD">
        <w:rPr>
          <w:rFonts w:eastAsiaTheme="minorHAnsi" w:cs="Arial"/>
          <w:lang w:val="en-US"/>
        </w:rPr>
        <w:t>the case</w:t>
      </w:r>
      <w:r w:rsidR="008A2EFC" w:rsidRPr="003171CD">
        <w:rPr>
          <w:rFonts w:eastAsiaTheme="minorHAnsi" w:cs="Arial"/>
          <w:lang w:val="en-US"/>
        </w:rPr>
        <w:t xml:space="preserve"> of</w:t>
      </w:r>
      <w:r w:rsidR="005A65CE" w:rsidRPr="003171CD">
        <w:rPr>
          <w:rFonts w:eastAsiaTheme="minorHAnsi" w:cs="Arial"/>
          <w:i/>
          <w:lang w:val="en-US"/>
        </w:rPr>
        <w:t xml:space="preserve"> Cantoral </w:t>
      </w:r>
      <w:r w:rsidR="008A2EFC" w:rsidRPr="003171CD">
        <w:rPr>
          <w:rFonts w:eastAsiaTheme="minorHAnsi" w:cs="Arial"/>
          <w:i/>
          <w:lang w:val="en-US"/>
        </w:rPr>
        <w:t>Huamaní and García Santa Cruz v</w:t>
      </w:r>
      <w:r w:rsidR="005A65CE" w:rsidRPr="003171CD">
        <w:rPr>
          <w:rFonts w:eastAsiaTheme="minorHAnsi" w:cs="Arial"/>
          <w:i/>
          <w:lang w:val="en-US"/>
        </w:rPr>
        <w:t xml:space="preserve">. </w:t>
      </w:r>
      <w:r w:rsidR="008A2EFC" w:rsidRPr="003171CD">
        <w:rPr>
          <w:rFonts w:eastAsiaTheme="minorHAnsi" w:cs="Arial"/>
          <w:i/>
          <w:lang w:val="en-US"/>
        </w:rPr>
        <w:t>Peru</w:t>
      </w:r>
      <w:r w:rsidR="005A65CE" w:rsidRPr="003171CD">
        <w:rPr>
          <w:rFonts w:eastAsiaTheme="minorHAnsi" w:cs="Arial"/>
          <w:lang w:val="en-US"/>
        </w:rPr>
        <w:t xml:space="preserve">, </w:t>
      </w:r>
      <w:r w:rsidR="0090485F" w:rsidRPr="003171CD">
        <w:rPr>
          <w:rFonts w:eastAsiaTheme="minorHAnsi" w:cs="Arial"/>
          <w:lang w:val="en-US"/>
        </w:rPr>
        <w:t xml:space="preserve">concerning the </w:t>
      </w:r>
      <w:r w:rsidR="005A65CE" w:rsidRPr="003171CD">
        <w:rPr>
          <w:rFonts w:eastAsiaTheme="minorHAnsi" w:cs="Arial"/>
          <w:lang w:val="en-US"/>
        </w:rPr>
        <w:t xml:space="preserve">extrajudicial </w:t>
      </w:r>
      <w:r w:rsidR="00EB513E" w:rsidRPr="003171CD">
        <w:rPr>
          <w:rFonts w:eastAsiaTheme="minorHAnsi" w:cs="Arial"/>
          <w:lang w:val="en-US"/>
        </w:rPr>
        <w:t>execution</w:t>
      </w:r>
      <w:r w:rsidR="00CD3B4B" w:rsidRPr="003171CD">
        <w:rPr>
          <w:rFonts w:eastAsiaTheme="minorHAnsi" w:cs="Arial"/>
          <w:lang w:val="en-US"/>
        </w:rPr>
        <w:t xml:space="preserve"> of trade union</w:t>
      </w:r>
      <w:r w:rsidR="0090485F" w:rsidRPr="003171CD">
        <w:rPr>
          <w:rFonts w:eastAsiaTheme="minorHAnsi" w:cs="Arial"/>
          <w:lang w:val="en-US"/>
        </w:rPr>
        <w:t xml:space="preserve"> leaders</w:t>
      </w:r>
      <w:r w:rsidR="005A65CE" w:rsidRPr="003171CD">
        <w:rPr>
          <w:rFonts w:eastAsiaTheme="minorHAnsi" w:cs="Arial"/>
          <w:lang w:val="en-US"/>
        </w:rPr>
        <w:t xml:space="preserve">, the Inter-American Court </w:t>
      </w:r>
      <w:r w:rsidR="0090485F" w:rsidRPr="003171CD">
        <w:rPr>
          <w:rFonts w:eastAsiaTheme="minorHAnsi" w:cs="Arial"/>
          <w:lang w:val="en-US"/>
        </w:rPr>
        <w:t xml:space="preserve">held that the </w:t>
      </w:r>
      <w:r w:rsidR="00BF3FEC" w:rsidRPr="003171CD">
        <w:rPr>
          <w:rFonts w:eastAsiaTheme="minorHAnsi" w:cs="Arial"/>
          <w:lang w:val="en-US"/>
        </w:rPr>
        <w:t xml:space="preserve">requirements </w:t>
      </w:r>
      <w:r w:rsidR="0090485F" w:rsidRPr="003171CD">
        <w:rPr>
          <w:rFonts w:eastAsiaTheme="minorHAnsi" w:cs="Arial"/>
          <w:lang w:val="en-US"/>
        </w:rPr>
        <w:t xml:space="preserve">of </w:t>
      </w:r>
      <w:r w:rsidR="005A65CE" w:rsidRPr="003171CD">
        <w:rPr>
          <w:rFonts w:eastAsiaTheme="minorHAnsi" w:cs="Arial"/>
          <w:lang w:val="en-US"/>
        </w:rPr>
        <w:t>Article 8 of the Convention “</w:t>
      </w:r>
      <w:r w:rsidR="00BF3FEC" w:rsidRPr="003171CD">
        <w:rPr>
          <w:rFonts w:eastAsiaTheme="minorHAnsi" w:cs="Arial"/>
          <w:lang w:val="en-US"/>
        </w:rPr>
        <w:t xml:space="preserve">also </w:t>
      </w:r>
      <w:r w:rsidR="00DD569B" w:rsidRPr="003171CD">
        <w:rPr>
          <w:lang w:val="en-US"/>
        </w:rPr>
        <w:t>extend to other non-judicial organs responsible for the investigation prior to the judicial proceedings</w:t>
      </w:r>
      <w:r w:rsidR="00DD569B" w:rsidRPr="003171CD">
        <w:rPr>
          <w:rFonts w:eastAsiaTheme="minorHAnsi" w:cs="Arial"/>
          <w:lang w:val="en-US"/>
        </w:rPr>
        <w:t xml:space="preserve"> </w:t>
      </w:r>
      <w:r w:rsidR="005A65CE" w:rsidRPr="003171CD">
        <w:rPr>
          <w:rFonts w:eastAsiaTheme="minorHAnsi" w:cs="Arial"/>
          <w:lang w:val="en-US"/>
        </w:rPr>
        <w:t>[…]</w:t>
      </w:r>
      <w:r w:rsidR="00BF3FEC" w:rsidRPr="003171CD">
        <w:rPr>
          <w:rFonts w:eastAsiaTheme="minorHAnsi" w:cs="Arial"/>
          <w:lang w:val="en-US"/>
        </w:rPr>
        <w:t>.</w:t>
      </w:r>
      <w:r w:rsidR="005A65CE" w:rsidRPr="003171CD">
        <w:rPr>
          <w:rFonts w:eastAsiaTheme="minorHAnsi" w:cs="Arial"/>
          <w:lang w:val="en-US"/>
        </w:rPr>
        <w:t>”</w:t>
      </w:r>
      <w:r w:rsidR="005A65CE" w:rsidRPr="003171CD">
        <w:rPr>
          <w:rFonts w:eastAsiaTheme="minorHAnsi"/>
          <w:vertAlign w:val="superscript"/>
          <w:lang w:val="en-US"/>
        </w:rPr>
        <w:footnoteReference w:id="211"/>
      </w:r>
      <w:r w:rsidR="00BF3FEC" w:rsidRPr="003171CD">
        <w:rPr>
          <w:rFonts w:eastAsiaTheme="minorHAnsi" w:cs="Arial"/>
          <w:lang w:val="en-US"/>
        </w:rPr>
        <w:t xml:space="preserve"> T</w:t>
      </w:r>
      <w:r w:rsidR="005A65CE" w:rsidRPr="003171CD">
        <w:rPr>
          <w:rFonts w:eastAsiaTheme="minorHAnsi" w:cs="Arial"/>
          <w:lang w:val="en-US"/>
        </w:rPr>
        <w:t xml:space="preserve">herefore, </w:t>
      </w:r>
      <w:r w:rsidR="00BF3FEC" w:rsidRPr="003171CD">
        <w:rPr>
          <w:rFonts w:eastAsiaTheme="minorHAnsi" w:cs="Arial"/>
          <w:lang w:val="en-US"/>
        </w:rPr>
        <w:t xml:space="preserve">from </w:t>
      </w:r>
      <w:r w:rsidR="005A65CE" w:rsidRPr="003171CD">
        <w:rPr>
          <w:rFonts w:eastAsiaTheme="minorHAnsi" w:cs="Arial"/>
          <w:lang w:val="en-US"/>
        </w:rPr>
        <w:t xml:space="preserve">the </w:t>
      </w:r>
      <w:r w:rsidR="00791290" w:rsidRPr="003171CD">
        <w:rPr>
          <w:rFonts w:eastAsiaTheme="minorHAnsi" w:cs="Arial"/>
          <w:lang w:val="en-US"/>
        </w:rPr>
        <w:t xml:space="preserve">beginning of the first steps taken during a proceeding, all </w:t>
      </w:r>
      <w:r w:rsidR="005A65CE" w:rsidRPr="003171CD">
        <w:rPr>
          <w:rFonts w:eastAsiaTheme="minorHAnsi" w:cs="Arial"/>
          <w:lang w:val="en-US"/>
        </w:rPr>
        <w:t xml:space="preserve">procedural </w:t>
      </w:r>
      <w:r w:rsidR="00BF3FEC" w:rsidRPr="003171CD">
        <w:rPr>
          <w:rFonts w:eastAsiaTheme="minorHAnsi" w:cs="Arial"/>
          <w:lang w:val="en-US"/>
        </w:rPr>
        <w:t xml:space="preserve">guarantees </w:t>
      </w:r>
      <w:r w:rsidR="00791290" w:rsidRPr="003171CD">
        <w:rPr>
          <w:lang w:val="en-US"/>
        </w:rPr>
        <w:t>must be ensured in</w:t>
      </w:r>
      <w:r w:rsidR="00896815" w:rsidRPr="003171CD">
        <w:rPr>
          <w:lang w:val="en-US"/>
        </w:rPr>
        <w:t xml:space="preserve"> order to safeguard the right of</w:t>
      </w:r>
      <w:r w:rsidR="00791290" w:rsidRPr="003171CD">
        <w:rPr>
          <w:lang w:val="en-US"/>
        </w:rPr>
        <w:t xml:space="preserve"> defense </w:t>
      </w:r>
      <w:r w:rsidR="00765AD7" w:rsidRPr="003171CD">
        <w:rPr>
          <w:rFonts w:eastAsiaTheme="minorHAnsi" w:cs="Arial"/>
          <w:lang w:val="en-US"/>
        </w:rPr>
        <w:t>of the accused</w:t>
      </w:r>
      <w:r w:rsidR="00BF3FEC" w:rsidRPr="003171CD">
        <w:rPr>
          <w:rFonts w:eastAsiaTheme="minorHAnsi" w:cs="Arial"/>
          <w:lang w:val="en-US"/>
        </w:rPr>
        <w:t>.</w:t>
      </w:r>
      <w:r w:rsidR="005A65CE" w:rsidRPr="003171CD">
        <w:rPr>
          <w:rFonts w:eastAsiaTheme="minorHAnsi"/>
          <w:vertAlign w:val="superscript"/>
          <w:lang w:val="en-US"/>
        </w:rPr>
        <w:footnoteReference w:id="212"/>
      </w:r>
      <w:r w:rsidR="005A65CE" w:rsidRPr="003171CD">
        <w:rPr>
          <w:rFonts w:eastAsiaTheme="minorHAnsi" w:cs="Arial"/>
          <w:lang w:val="en-US"/>
        </w:rPr>
        <w:t xml:space="preserve"> Likewise, </w:t>
      </w:r>
      <w:r w:rsidR="00700CDE" w:rsidRPr="003171CD">
        <w:rPr>
          <w:rFonts w:eastAsiaTheme="minorHAnsi" w:cs="Arial"/>
          <w:lang w:val="en-US"/>
        </w:rPr>
        <w:t xml:space="preserve">all </w:t>
      </w:r>
      <w:r w:rsidR="005A65CE" w:rsidRPr="003171CD">
        <w:rPr>
          <w:rFonts w:eastAsiaTheme="minorHAnsi" w:cs="Arial"/>
          <w:lang w:val="en-US"/>
        </w:rPr>
        <w:t xml:space="preserve">the </w:t>
      </w:r>
      <w:r w:rsidR="00700CDE" w:rsidRPr="003171CD">
        <w:rPr>
          <w:rFonts w:eastAsiaTheme="minorHAnsi" w:cs="Arial"/>
          <w:lang w:val="en-US"/>
        </w:rPr>
        <w:t xml:space="preserve">required </w:t>
      </w:r>
      <w:r w:rsidR="005A65CE" w:rsidRPr="003171CD">
        <w:rPr>
          <w:rFonts w:eastAsiaTheme="minorHAnsi" w:cs="Arial"/>
          <w:lang w:val="en-US"/>
        </w:rPr>
        <w:t xml:space="preserve">elements </w:t>
      </w:r>
      <w:r w:rsidR="00700CDE" w:rsidRPr="003171CD">
        <w:rPr>
          <w:rFonts w:eastAsiaTheme="minorHAnsi" w:cs="Arial"/>
          <w:lang w:val="en-US"/>
        </w:rPr>
        <w:t xml:space="preserve">must concur </w:t>
      </w:r>
      <w:r w:rsidR="00AB5F02" w:rsidRPr="003171CD">
        <w:rPr>
          <w:rFonts w:eastAsiaTheme="minorHAnsi" w:cs="Arial"/>
          <w:lang w:val="en-US"/>
        </w:rPr>
        <w:t xml:space="preserve">to ensure the greatest possible balance </w:t>
      </w:r>
      <w:r w:rsidR="00EB513E" w:rsidRPr="003171CD">
        <w:rPr>
          <w:rFonts w:eastAsiaTheme="minorHAnsi" w:cs="Arial"/>
          <w:lang w:val="en-US"/>
        </w:rPr>
        <w:t xml:space="preserve">between </w:t>
      </w:r>
      <w:r w:rsidR="005A65CE" w:rsidRPr="003171CD">
        <w:rPr>
          <w:rFonts w:eastAsiaTheme="minorHAnsi" w:cs="Arial"/>
          <w:lang w:val="en-US"/>
        </w:rPr>
        <w:t>the part</w:t>
      </w:r>
      <w:r w:rsidR="00765AD7" w:rsidRPr="003171CD">
        <w:rPr>
          <w:rFonts w:eastAsiaTheme="minorHAnsi" w:cs="Arial"/>
          <w:lang w:val="en-US"/>
        </w:rPr>
        <w:t>i</w:t>
      </w:r>
      <w:r w:rsidR="005A65CE" w:rsidRPr="003171CD">
        <w:rPr>
          <w:rFonts w:eastAsiaTheme="minorHAnsi" w:cs="Arial"/>
          <w:lang w:val="en-US"/>
        </w:rPr>
        <w:t xml:space="preserve">es, </w:t>
      </w:r>
      <w:r w:rsidR="00154014" w:rsidRPr="003171CD">
        <w:rPr>
          <w:rFonts w:eastAsiaTheme="minorHAnsi" w:cs="Arial"/>
          <w:lang w:val="en-US"/>
        </w:rPr>
        <w:t xml:space="preserve">for the </w:t>
      </w:r>
      <w:r w:rsidR="00700CDE" w:rsidRPr="003171CD">
        <w:rPr>
          <w:rFonts w:eastAsiaTheme="minorHAnsi" w:cs="Arial"/>
          <w:lang w:val="en-US"/>
        </w:rPr>
        <w:t xml:space="preserve">sake of the defense </w:t>
      </w:r>
      <w:r w:rsidR="0000719F" w:rsidRPr="003171CD">
        <w:rPr>
          <w:rFonts w:eastAsiaTheme="minorHAnsi" w:cs="Arial"/>
          <w:lang w:val="en-US"/>
        </w:rPr>
        <w:t xml:space="preserve">of </w:t>
      </w:r>
      <w:r w:rsidR="00700CDE" w:rsidRPr="003171CD">
        <w:rPr>
          <w:rFonts w:eastAsiaTheme="minorHAnsi" w:cs="Arial"/>
          <w:lang w:val="en-US"/>
        </w:rPr>
        <w:t xml:space="preserve">the </w:t>
      </w:r>
      <w:r w:rsidR="00765AD7" w:rsidRPr="003171CD">
        <w:rPr>
          <w:rFonts w:eastAsiaTheme="minorHAnsi" w:cs="Arial"/>
          <w:lang w:val="en-US"/>
        </w:rPr>
        <w:t>interest</w:t>
      </w:r>
      <w:r w:rsidR="005A65CE" w:rsidRPr="003171CD">
        <w:rPr>
          <w:rFonts w:eastAsiaTheme="minorHAnsi" w:cs="Arial"/>
          <w:lang w:val="en-US"/>
        </w:rPr>
        <w:t xml:space="preserve">s and </w:t>
      </w:r>
      <w:r w:rsidR="00834B13" w:rsidRPr="003171CD">
        <w:rPr>
          <w:rFonts w:eastAsiaTheme="minorHAnsi" w:cs="Arial"/>
          <w:lang w:val="en-US"/>
        </w:rPr>
        <w:t>rights</w:t>
      </w:r>
      <w:r w:rsidR="00700CDE" w:rsidRPr="003171CD">
        <w:rPr>
          <w:rFonts w:eastAsiaTheme="minorHAnsi" w:cs="Arial"/>
          <w:lang w:val="en-US"/>
        </w:rPr>
        <w:t xml:space="preserve"> thereof.</w:t>
      </w:r>
      <w:r w:rsidR="005A65CE" w:rsidRPr="003171CD">
        <w:rPr>
          <w:rFonts w:eastAsiaTheme="minorHAnsi" w:cs="Arial"/>
          <w:lang w:val="en-US"/>
        </w:rPr>
        <w:t xml:space="preserve"> </w:t>
      </w:r>
      <w:r w:rsidR="00700CDE" w:rsidRPr="003171CD">
        <w:rPr>
          <w:rFonts w:eastAsiaTheme="minorHAnsi" w:cs="Arial"/>
          <w:lang w:val="en-US"/>
        </w:rPr>
        <w:t xml:space="preserve">This </w:t>
      </w:r>
      <w:r w:rsidR="005A65CE" w:rsidRPr="003171CD">
        <w:rPr>
          <w:rFonts w:eastAsiaTheme="minorHAnsi" w:cs="Arial"/>
          <w:lang w:val="en-US"/>
        </w:rPr>
        <w:t xml:space="preserve">implies, </w:t>
      </w:r>
      <w:r w:rsidR="00154014" w:rsidRPr="003171CD">
        <w:rPr>
          <w:rFonts w:eastAsiaTheme="minorHAnsi" w:cs="Arial"/>
          <w:lang w:val="en-US"/>
        </w:rPr>
        <w:t xml:space="preserve">among other </w:t>
      </w:r>
      <w:r w:rsidR="00700CDE" w:rsidRPr="003171CD">
        <w:rPr>
          <w:rFonts w:eastAsiaTheme="minorHAnsi" w:cs="Arial"/>
          <w:lang w:val="en-US"/>
        </w:rPr>
        <w:t xml:space="preserve">aspects, that the principle </w:t>
      </w:r>
      <w:r w:rsidR="00896815" w:rsidRPr="003171CD">
        <w:rPr>
          <w:rFonts w:eastAsiaTheme="minorHAnsi" w:cs="Arial"/>
          <w:lang w:val="en-US"/>
        </w:rPr>
        <w:t xml:space="preserve">of adversarial proceeding </w:t>
      </w:r>
      <w:r w:rsidR="00700CDE" w:rsidRPr="003171CD">
        <w:rPr>
          <w:rFonts w:eastAsiaTheme="minorHAnsi" w:cs="Arial"/>
          <w:lang w:val="en-US"/>
        </w:rPr>
        <w:t>must prevail</w:t>
      </w:r>
      <w:r w:rsidR="00154014" w:rsidRPr="003171CD">
        <w:rPr>
          <w:rFonts w:eastAsiaTheme="minorHAnsi" w:cs="Arial"/>
          <w:lang w:val="en-US"/>
        </w:rPr>
        <w:t>.</w:t>
      </w:r>
      <w:r w:rsidR="005A65CE" w:rsidRPr="003171CD">
        <w:rPr>
          <w:rFonts w:eastAsiaTheme="minorHAnsi"/>
          <w:vertAlign w:val="superscript"/>
          <w:lang w:val="en-US"/>
        </w:rPr>
        <w:footnoteReference w:id="213"/>
      </w:r>
    </w:p>
    <w:p w14:paraId="448DB1CA" w14:textId="77777777" w:rsidR="005A65CE" w:rsidRPr="003171CD" w:rsidRDefault="005A65CE" w:rsidP="005A65CE">
      <w:pPr>
        <w:jc w:val="both"/>
        <w:rPr>
          <w:rFonts w:eastAsiaTheme="minorHAnsi" w:cs="Arial"/>
          <w:snapToGrid/>
          <w:lang w:val="en-US" w:eastAsia="en-US"/>
        </w:rPr>
      </w:pPr>
    </w:p>
    <w:p w14:paraId="0AEA7524" w14:textId="77777777" w:rsidR="005A65CE" w:rsidRPr="003171CD" w:rsidRDefault="00DA1974"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The </w:t>
      </w:r>
      <w:r w:rsidR="005A65CE" w:rsidRPr="003171CD">
        <w:rPr>
          <w:rFonts w:eastAsiaTheme="minorHAnsi" w:cs="Arial"/>
          <w:lang w:val="en-US"/>
        </w:rPr>
        <w:t>right</w:t>
      </w:r>
      <w:r w:rsidR="0052618C" w:rsidRPr="003171CD">
        <w:rPr>
          <w:rFonts w:eastAsiaTheme="minorHAnsi" w:cs="Arial"/>
          <w:lang w:val="en-US"/>
        </w:rPr>
        <w:t xml:space="preserve"> of</w:t>
      </w:r>
      <w:r w:rsidR="00765AD7" w:rsidRPr="003171CD">
        <w:rPr>
          <w:rFonts w:eastAsiaTheme="minorHAnsi" w:cs="Arial"/>
          <w:lang w:val="en-US"/>
        </w:rPr>
        <w:t xml:space="preserve"> defense is a central component</w:t>
      </w:r>
      <w:r w:rsidR="005A65CE" w:rsidRPr="003171CD">
        <w:rPr>
          <w:rFonts w:eastAsiaTheme="minorHAnsi" w:cs="Arial"/>
          <w:lang w:val="en-US"/>
        </w:rPr>
        <w:t xml:space="preserve"> </w:t>
      </w:r>
      <w:r w:rsidR="00765AD7" w:rsidRPr="003171CD">
        <w:rPr>
          <w:rFonts w:eastAsiaTheme="minorHAnsi" w:cs="Arial"/>
          <w:lang w:val="en-US"/>
        </w:rPr>
        <w:t xml:space="preserve">of </w:t>
      </w:r>
      <w:r w:rsidR="005A65CE" w:rsidRPr="003171CD">
        <w:rPr>
          <w:rFonts w:eastAsiaTheme="minorHAnsi" w:cs="Arial"/>
          <w:lang w:val="en-US"/>
        </w:rPr>
        <w:t xml:space="preserve">due process </w:t>
      </w:r>
      <w:r w:rsidR="0052618C" w:rsidRPr="003171CD">
        <w:rPr>
          <w:rFonts w:eastAsiaTheme="minorHAnsi" w:cs="Arial"/>
          <w:lang w:val="en-US"/>
        </w:rPr>
        <w:t xml:space="preserve">which requires </w:t>
      </w:r>
      <w:r w:rsidR="00E86957" w:rsidRPr="003171CD">
        <w:rPr>
          <w:rFonts w:eastAsiaTheme="minorHAnsi" w:cs="Arial"/>
          <w:lang w:val="en-US"/>
        </w:rPr>
        <w:t xml:space="preserve">the State </w:t>
      </w:r>
      <w:r w:rsidRPr="003171CD">
        <w:rPr>
          <w:rFonts w:eastAsiaTheme="minorHAnsi" w:cs="Arial"/>
          <w:lang w:val="en-US"/>
        </w:rPr>
        <w:t xml:space="preserve">to treat an </w:t>
      </w:r>
      <w:r w:rsidR="00E86957" w:rsidRPr="003171CD">
        <w:rPr>
          <w:rFonts w:eastAsiaTheme="minorHAnsi" w:cs="Arial"/>
          <w:lang w:val="en-US"/>
        </w:rPr>
        <w:t>individual</w:t>
      </w:r>
      <w:r w:rsidR="005A65CE" w:rsidRPr="003171CD">
        <w:rPr>
          <w:rFonts w:eastAsiaTheme="minorHAnsi" w:cs="Arial"/>
          <w:lang w:val="en-US"/>
        </w:rPr>
        <w:t xml:space="preserve"> </w:t>
      </w:r>
      <w:r w:rsidRPr="003171CD">
        <w:rPr>
          <w:rFonts w:eastAsiaTheme="minorHAnsi" w:cs="Arial"/>
          <w:lang w:val="en-US"/>
        </w:rPr>
        <w:t xml:space="preserve">at all times </w:t>
      </w:r>
      <w:r w:rsidR="00E86957" w:rsidRPr="003171CD">
        <w:rPr>
          <w:rFonts w:eastAsiaTheme="minorHAnsi" w:cs="Arial"/>
          <w:lang w:val="en-US"/>
        </w:rPr>
        <w:t xml:space="preserve">as a true </w:t>
      </w:r>
      <w:r w:rsidR="007B280B" w:rsidRPr="003171CD">
        <w:rPr>
          <w:rFonts w:eastAsiaTheme="minorHAnsi" w:cs="Arial"/>
          <w:lang w:val="en-US"/>
        </w:rPr>
        <w:t>party to the proceeding</w:t>
      </w:r>
      <w:r w:rsidR="005A65CE" w:rsidRPr="003171CD">
        <w:rPr>
          <w:rFonts w:eastAsiaTheme="minorHAnsi" w:cs="Arial"/>
          <w:bCs/>
          <w:iCs/>
          <w:lang w:val="en-US"/>
        </w:rPr>
        <w:t xml:space="preserve">, in the </w:t>
      </w:r>
      <w:r w:rsidRPr="003171CD">
        <w:rPr>
          <w:rFonts w:eastAsiaTheme="minorHAnsi" w:cs="Arial"/>
          <w:bCs/>
          <w:iCs/>
          <w:lang w:val="en-US"/>
        </w:rPr>
        <w:t xml:space="preserve">broadest sense of this </w:t>
      </w:r>
      <w:r w:rsidR="005A65CE" w:rsidRPr="003171CD">
        <w:rPr>
          <w:rFonts w:eastAsiaTheme="minorHAnsi" w:cs="Arial"/>
          <w:bCs/>
          <w:iCs/>
          <w:lang w:val="en-US"/>
        </w:rPr>
        <w:t>concept, and no</w:t>
      </w:r>
      <w:r w:rsidR="00E86957" w:rsidRPr="003171CD">
        <w:rPr>
          <w:rFonts w:eastAsiaTheme="minorHAnsi" w:cs="Arial"/>
          <w:bCs/>
          <w:iCs/>
          <w:lang w:val="en-US"/>
        </w:rPr>
        <w:t>t</w:t>
      </w:r>
      <w:r w:rsidR="005A65CE" w:rsidRPr="003171CD">
        <w:rPr>
          <w:rFonts w:eastAsiaTheme="minorHAnsi" w:cs="Arial"/>
          <w:bCs/>
          <w:iCs/>
          <w:lang w:val="en-US"/>
        </w:rPr>
        <w:t xml:space="preserve"> simpl</w:t>
      </w:r>
      <w:r w:rsidR="00E86957" w:rsidRPr="003171CD">
        <w:rPr>
          <w:rFonts w:eastAsiaTheme="minorHAnsi" w:cs="Arial"/>
          <w:bCs/>
          <w:iCs/>
          <w:lang w:val="en-US"/>
        </w:rPr>
        <w:t xml:space="preserve">y as </w:t>
      </w:r>
      <w:r w:rsidR="008C64B4" w:rsidRPr="003171CD">
        <w:rPr>
          <w:rFonts w:eastAsiaTheme="minorHAnsi" w:cs="Arial"/>
          <w:bCs/>
          <w:iCs/>
          <w:lang w:val="en-US"/>
        </w:rPr>
        <w:t>an</w:t>
      </w:r>
      <w:r w:rsidR="002C1F8F" w:rsidRPr="003171CD">
        <w:rPr>
          <w:rFonts w:eastAsiaTheme="minorHAnsi" w:cs="Arial"/>
          <w:bCs/>
          <w:iCs/>
          <w:lang w:val="en-US"/>
        </w:rPr>
        <w:t xml:space="preserve"> </w:t>
      </w:r>
      <w:r w:rsidR="00897B7E" w:rsidRPr="003171CD">
        <w:rPr>
          <w:rFonts w:eastAsiaTheme="minorHAnsi" w:cs="Arial"/>
          <w:bCs/>
          <w:iCs/>
          <w:lang w:val="en-US"/>
        </w:rPr>
        <w:t>object</w:t>
      </w:r>
      <w:r w:rsidR="005A65CE" w:rsidRPr="003171CD">
        <w:rPr>
          <w:rFonts w:eastAsiaTheme="minorHAnsi" w:cs="Arial"/>
          <w:bCs/>
          <w:iCs/>
          <w:lang w:val="en-US"/>
        </w:rPr>
        <w:t xml:space="preserve"> </w:t>
      </w:r>
      <w:r w:rsidR="007B280B" w:rsidRPr="003171CD">
        <w:rPr>
          <w:rFonts w:eastAsiaTheme="minorHAnsi" w:cs="Arial"/>
          <w:bCs/>
          <w:iCs/>
          <w:lang w:val="en-US"/>
        </w:rPr>
        <w:t>there</w:t>
      </w:r>
      <w:r w:rsidRPr="003171CD">
        <w:rPr>
          <w:rFonts w:eastAsiaTheme="minorHAnsi" w:cs="Arial"/>
          <w:bCs/>
          <w:iCs/>
          <w:lang w:val="en-US"/>
        </w:rPr>
        <w:t>of.</w:t>
      </w:r>
      <w:r w:rsidR="005A65CE" w:rsidRPr="003171CD">
        <w:rPr>
          <w:rFonts w:eastAsiaTheme="minorHAnsi" w:cs="Arial"/>
          <w:bCs/>
          <w:iCs/>
          <w:vertAlign w:val="superscript"/>
          <w:lang w:val="en-US"/>
        </w:rPr>
        <w:footnoteReference w:id="214"/>
      </w:r>
      <w:r w:rsidRPr="003171CD">
        <w:rPr>
          <w:rFonts w:eastAsiaTheme="minorHAnsi" w:cs="Arial"/>
          <w:bCs/>
          <w:iCs/>
          <w:lang w:val="en-US"/>
        </w:rPr>
        <w:t xml:space="preserve"> T</w:t>
      </w:r>
      <w:r w:rsidR="001E6FD0" w:rsidRPr="003171CD">
        <w:rPr>
          <w:rFonts w:eastAsiaTheme="minorHAnsi" w:cs="Arial"/>
          <w:bCs/>
          <w:iCs/>
          <w:lang w:val="en-US"/>
        </w:rPr>
        <w:t xml:space="preserve">he right </w:t>
      </w:r>
      <w:r w:rsidR="0052618C" w:rsidRPr="003171CD">
        <w:rPr>
          <w:rFonts w:eastAsiaTheme="minorHAnsi" w:cs="Arial"/>
          <w:bCs/>
          <w:iCs/>
          <w:lang w:val="en-US"/>
        </w:rPr>
        <w:t xml:space="preserve">of </w:t>
      </w:r>
      <w:r w:rsidR="005A65CE" w:rsidRPr="003171CD">
        <w:rPr>
          <w:rFonts w:eastAsiaTheme="minorHAnsi" w:cs="Arial"/>
          <w:bCs/>
          <w:iCs/>
          <w:lang w:val="en-US"/>
        </w:rPr>
        <w:t xml:space="preserve">defense </w:t>
      </w:r>
      <w:r w:rsidR="001E6FD0" w:rsidRPr="003171CD">
        <w:rPr>
          <w:lang w:val="en-US"/>
        </w:rPr>
        <w:t xml:space="preserve">must necessarily </w:t>
      </w:r>
      <w:r w:rsidR="0052618C" w:rsidRPr="003171CD">
        <w:rPr>
          <w:lang w:val="en-US"/>
        </w:rPr>
        <w:t xml:space="preserve">be </w:t>
      </w:r>
      <w:r w:rsidR="001E6FD0" w:rsidRPr="003171CD">
        <w:rPr>
          <w:lang w:val="en-US"/>
        </w:rPr>
        <w:t xml:space="preserve">exercised from the moment a person is accused of </w:t>
      </w:r>
      <w:r w:rsidR="0052618C" w:rsidRPr="003171CD">
        <w:rPr>
          <w:lang w:val="en-US"/>
        </w:rPr>
        <w:t xml:space="preserve">perpetrating or participating in </w:t>
      </w:r>
      <w:r w:rsidR="001E6FD0" w:rsidRPr="003171CD">
        <w:rPr>
          <w:lang w:val="en-US"/>
        </w:rPr>
        <w:t>an illegal act and ends when the proceeding ceases</w:t>
      </w:r>
      <w:r w:rsidR="005A65CE" w:rsidRPr="003171CD">
        <w:rPr>
          <w:rFonts w:eastAsiaTheme="minorHAnsi" w:cs="Arial"/>
          <w:bCs/>
          <w:iCs/>
          <w:lang w:val="en-US"/>
        </w:rPr>
        <w:t xml:space="preserve">, including, </w:t>
      </w:r>
      <w:r w:rsidR="001E6FD0" w:rsidRPr="003171CD">
        <w:rPr>
          <w:rFonts w:eastAsiaTheme="minorHAnsi" w:cs="Arial"/>
          <w:bCs/>
          <w:iCs/>
          <w:lang w:val="en-US"/>
        </w:rPr>
        <w:t xml:space="preserve">where applicable, </w:t>
      </w:r>
      <w:r w:rsidR="00700CDE" w:rsidRPr="003171CD">
        <w:rPr>
          <w:rFonts w:eastAsiaTheme="minorHAnsi" w:cs="Arial"/>
          <w:bCs/>
          <w:iCs/>
          <w:lang w:val="en-US"/>
        </w:rPr>
        <w:t xml:space="preserve">the </w:t>
      </w:r>
      <w:r w:rsidR="0052618C" w:rsidRPr="003171CD">
        <w:rPr>
          <w:rFonts w:eastAsiaTheme="minorHAnsi" w:cs="Arial"/>
          <w:bCs/>
          <w:iCs/>
          <w:lang w:val="en-US"/>
        </w:rPr>
        <w:t>enforcement</w:t>
      </w:r>
      <w:bookmarkStart w:id="54" w:name="_Ref247953326"/>
      <w:r w:rsidR="0052618C" w:rsidRPr="003171CD">
        <w:rPr>
          <w:rFonts w:eastAsiaTheme="minorHAnsi" w:cs="Arial"/>
          <w:bCs/>
          <w:iCs/>
          <w:lang w:val="en-US"/>
        </w:rPr>
        <w:t xml:space="preserve"> phase</w:t>
      </w:r>
      <w:r w:rsidR="00700CDE" w:rsidRPr="003171CD">
        <w:rPr>
          <w:rFonts w:eastAsiaTheme="minorHAnsi" w:cs="Arial"/>
          <w:bCs/>
          <w:iCs/>
          <w:lang w:val="en-US"/>
        </w:rPr>
        <w:t>.</w:t>
      </w:r>
      <w:r w:rsidR="005A65CE" w:rsidRPr="003171CD">
        <w:rPr>
          <w:rFonts w:eastAsiaTheme="minorHAnsi" w:cs="Arial"/>
          <w:bCs/>
          <w:iCs/>
          <w:vertAlign w:val="superscript"/>
          <w:lang w:val="en-US"/>
        </w:rPr>
        <w:footnoteReference w:id="215"/>
      </w:r>
      <w:bookmarkEnd w:id="54"/>
      <w:r w:rsidR="00E86957" w:rsidRPr="003171CD">
        <w:rPr>
          <w:rFonts w:eastAsiaTheme="minorHAnsi" w:cs="Arial"/>
          <w:bCs/>
          <w:iCs/>
          <w:lang w:val="en-US"/>
        </w:rPr>
        <w:t xml:space="preserve"> T</w:t>
      </w:r>
      <w:r w:rsidR="005A65CE" w:rsidRPr="003171CD">
        <w:rPr>
          <w:rFonts w:eastAsiaTheme="minorHAnsi" w:cs="Arial"/>
          <w:bCs/>
          <w:iCs/>
          <w:lang w:val="en-US"/>
        </w:rPr>
        <w:t xml:space="preserve">he </w:t>
      </w:r>
      <w:r w:rsidR="00B80912" w:rsidRPr="003171CD">
        <w:rPr>
          <w:rFonts w:eastAsiaTheme="minorHAnsi" w:cs="Arial"/>
          <w:lang w:val="en-US"/>
        </w:rPr>
        <w:t xml:space="preserve">right </w:t>
      </w:r>
      <w:r w:rsidR="00D9764B" w:rsidRPr="003171CD">
        <w:rPr>
          <w:rFonts w:eastAsiaTheme="minorHAnsi" w:cs="Arial"/>
          <w:lang w:val="en-US"/>
        </w:rPr>
        <w:t xml:space="preserve">of </w:t>
      </w:r>
      <w:r w:rsidR="005A65CE" w:rsidRPr="003171CD">
        <w:rPr>
          <w:rFonts w:eastAsiaTheme="minorHAnsi" w:cs="Arial"/>
          <w:lang w:val="en-US"/>
        </w:rPr>
        <w:t>d</w:t>
      </w:r>
      <w:r w:rsidR="00E86957" w:rsidRPr="003171CD">
        <w:rPr>
          <w:rFonts w:eastAsiaTheme="minorHAnsi" w:cs="Arial"/>
          <w:lang w:val="en-US"/>
        </w:rPr>
        <w:t xml:space="preserve">efense </w:t>
      </w:r>
      <w:r w:rsidR="001E6FD0" w:rsidRPr="003171CD">
        <w:rPr>
          <w:rFonts w:eastAsiaTheme="minorHAnsi" w:cs="Arial"/>
          <w:lang w:val="en-US"/>
        </w:rPr>
        <w:t xml:space="preserve">is reflected </w:t>
      </w:r>
      <w:r w:rsidR="00E86957" w:rsidRPr="003171CD">
        <w:rPr>
          <w:rFonts w:eastAsiaTheme="minorHAnsi" w:cs="Arial"/>
          <w:lang w:val="en-US"/>
        </w:rPr>
        <w:t xml:space="preserve">in </w:t>
      </w:r>
      <w:r w:rsidR="001E6FD0" w:rsidRPr="003171CD">
        <w:rPr>
          <w:rFonts w:eastAsiaTheme="minorHAnsi" w:cs="Arial"/>
          <w:lang w:val="en-US"/>
        </w:rPr>
        <w:t xml:space="preserve">two </w:t>
      </w:r>
      <w:r w:rsidR="00E86957" w:rsidRPr="003171CD">
        <w:rPr>
          <w:rFonts w:eastAsiaTheme="minorHAnsi" w:cs="Arial"/>
          <w:lang w:val="en-US"/>
        </w:rPr>
        <w:t>facet</w:t>
      </w:r>
      <w:r w:rsidR="005A65CE" w:rsidRPr="003171CD">
        <w:rPr>
          <w:rFonts w:eastAsiaTheme="minorHAnsi" w:cs="Arial"/>
          <w:lang w:val="en-US"/>
        </w:rPr>
        <w:t xml:space="preserve">s </w:t>
      </w:r>
      <w:r w:rsidR="00E86957" w:rsidRPr="003171CD">
        <w:rPr>
          <w:rFonts w:eastAsiaTheme="minorHAnsi" w:cs="Arial"/>
          <w:lang w:val="en-US"/>
        </w:rPr>
        <w:t xml:space="preserve">within the </w:t>
      </w:r>
      <w:r w:rsidR="006D65DA" w:rsidRPr="003171CD">
        <w:rPr>
          <w:rFonts w:eastAsiaTheme="minorHAnsi" w:cs="Arial"/>
          <w:lang w:val="en-US"/>
        </w:rPr>
        <w:t>criminal trial</w:t>
      </w:r>
      <w:r w:rsidR="005A65CE" w:rsidRPr="003171CD">
        <w:rPr>
          <w:rFonts w:eastAsiaTheme="minorHAnsi" w:cs="Arial"/>
          <w:lang w:val="en-US"/>
        </w:rPr>
        <w:t xml:space="preserve">: </w:t>
      </w:r>
      <w:r w:rsidR="00D9764B" w:rsidRPr="003171CD">
        <w:rPr>
          <w:rFonts w:eastAsiaTheme="minorHAnsi" w:cs="Arial"/>
          <w:lang w:val="en-US"/>
        </w:rPr>
        <w:t>first</w:t>
      </w:r>
      <w:r w:rsidR="005A65CE" w:rsidRPr="003171CD">
        <w:rPr>
          <w:rFonts w:eastAsiaTheme="minorHAnsi" w:cs="Arial"/>
          <w:lang w:val="en-US"/>
        </w:rPr>
        <w:t>, through the act</w:t>
      </w:r>
      <w:r w:rsidR="00D9764B" w:rsidRPr="003171CD">
        <w:rPr>
          <w:rFonts w:eastAsiaTheme="minorHAnsi" w:cs="Arial"/>
          <w:lang w:val="en-US"/>
        </w:rPr>
        <w:t>ion</w:t>
      </w:r>
      <w:r w:rsidR="005A65CE" w:rsidRPr="003171CD">
        <w:rPr>
          <w:rFonts w:eastAsiaTheme="minorHAnsi" w:cs="Arial"/>
          <w:lang w:val="en-US"/>
        </w:rPr>
        <w:t xml:space="preserve">s </w:t>
      </w:r>
      <w:r w:rsidR="007B280B" w:rsidRPr="003171CD">
        <w:rPr>
          <w:rFonts w:eastAsiaTheme="minorHAnsi" w:cs="Arial"/>
          <w:lang w:val="en-US"/>
        </w:rPr>
        <w:t>of the accused</w:t>
      </w:r>
      <w:r w:rsidR="00D9764B" w:rsidRPr="003171CD">
        <w:rPr>
          <w:rFonts w:eastAsiaTheme="minorHAnsi" w:cs="Arial"/>
          <w:lang w:val="en-US"/>
        </w:rPr>
        <w:t xml:space="preserve"> himself</w:t>
      </w:r>
      <w:r w:rsidR="007B280B" w:rsidRPr="003171CD">
        <w:rPr>
          <w:rFonts w:eastAsiaTheme="minorHAnsi" w:cs="Arial"/>
          <w:lang w:val="en-US"/>
        </w:rPr>
        <w:t xml:space="preserve">, </w:t>
      </w:r>
      <w:r w:rsidR="00D9764B" w:rsidRPr="003171CD">
        <w:rPr>
          <w:rFonts w:eastAsiaTheme="minorHAnsi" w:cs="Arial"/>
          <w:lang w:val="en-US"/>
        </w:rPr>
        <w:t xml:space="preserve">particularly </w:t>
      </w:r>
      <w:r w:rsidR="00D9764B" w:rsidRPr="003171CD">
        <w:rPr>
          <w:lang w:val="en-US"/>
        </w:rPr>
        <w:t xml:space="preserve">the opportunity to freely make a </w:t>
      </w:r>
      <w:r w:rsidR="007B280B" w:rsidRPr="003171CD">
        <w:rPr>
          <w:lang w:val="en-US"/>
        </w:rPr>
        <w:t xml:space="preserve">statement </w:t>
      </w:r>
      <w:r w:rsidR="006930C1" w:rsidRPr="003171CD">
        <w:rPr>
          <w:lang w:val="en-US"/>
        </w:rPr>
        <w:t xml:space="preserve">regarding </w:t>
      </w:r>
      <w:r w:rsidR="00D9764B" w:rsidRPr="003171CD">
        <w:rPr>
          <w:lang w:val="en-US"/>
        </w:rPr>
        <w:t xml:space="preserve">the </w:t>
      </w:r>
      <w:r w:rsidR="007B280B" w:rsidRPr="003171CD">
        <w:rPr>
          <w:lang w:val="en-US"/>
        </w:rPr>
        <w:t xml:space="preserve">acts </w:t>
      </w:r>
      <w:r w:rsidR="00D9764B" w:rsidRPr="003171CD">
        <w:rPr>
          <w:lang w:val="en-US"/>
        </w:rPr>
        <w:t xml:space="preserve">attributed to him </w:t>
      </w:r>
      <w:r w:rsidR="001E6FD0" w:rsidRPr="003171CD">
        <w:rPr>
          <w:rFonts w:eastAsiaTheme="minorHAnsi" w:cs="Arial"/>
          <w:lang w:val="en-US"/>
        </w:rPr>
        <w:t>and</w:t>
      </w:r>
      <w:r w:rsidR="005A65CE" w:rsidRPr="003171CD">
        <w:rPr>
          <w:rFonts w:eastAsiaTheme="minorHAnsi" w:cs="Arial"/>
          <w:lang w:val="en-US"/>
        </w:rPr>
        <w:t xml:space="preserve">, </w:t>
      </w:r>
      <w:r w:rsidR="008D529F" w:rsidRPr="003171CD">
        <w:rPr>
          <w:rFonts w:eastAsiaTheme="minorHAnsi" w:cs="Arial"/>
          <w:lang w:val="en-US"/>
        </w:rPr>
        <w:t>second</w:t>
      </w:r>
      <w:r w:rsidR="005A65CE" w:rsidRPr="003171CD">
        <w:rPr>
          <w:rFonts w:eastAsiaTheme="minorHAnsi" w:cs="Arial"/>
          <w:lang w:val="en-US"/>
        </w:rPr>
        <w:t xml:space="preserve">, </w:t>
      </w:r>
      <w:r w:rsidR="00E86957" w:rsidRPr="003171CD">
        <w:rPr>
          <w:rFonts w:eastAsiaTheme="minorHAnsi" w:cs="Arial"/>
          <w:lang w:val="en-US"/>
        </w:rPr>
        <w:t xml:space="preserve">through </w:t>
      </w:r>
      <w:r w:rsidR="005A65CE" w:rsidRPr="003171CD">
        <w:rPr>
          <w:rFonts w:eastAsiaTheme="minorHAnsi" w:cs="Arial"/>
          <w:lang w:val="en-US"/>
        </w:rPr>
        <w:t xml:space="preserve">the </w:t>
      </w:r>
      <w:r w:rsidR="007B280B" w:rsidRPr="003171CD">
        <w:rPr>
          <w:lang w:val="en-US"/>
        </w:rPr>
        <w:t>legal representation exercised by a professional</w:t>
      </w:r>
      <w:r w:rsidR="002C1F8F" w:rsidRPr="003171CD">
        <w:rPr>
          <w:lang w:val="en-US"/>
        </w:rPr>
        <w:t xml:space="preserve"> attorney</w:t>
      </w:r>
      <w:r w:rsidR="007B280B" w:rsidRPr="003171CD">
        <w:rPr>
          <w:lang w:val="en-US"/>
        </w:rPr>
        <w:t xml:space="preserve">, who advises the </w:t>
      </w:r>
      <w:r w:rsidR="00D9764B" w:rsidRPr="003171CD">
        <w:rPr>
          <w:lang w:val="en-US"/>
        </w:rPr>
        <w:t xml:space="preserve">defendant </w:t>
      </w:r>
      <w:r w:rsidR="007B280B" w:rsidRPr="003171CD">
        <w:rPr>
          <w:lang w:val="en-US"/>
        </w:rPr>
        <w:t xml:space="preserve">on his rights and duties and exercises, </w:t>
      </w:r>
      <w:r w:rsidR="007B280B" w:rsidRPr="003171CD">
        <w:rPr>
          <w:i/>
          <w:lang w:val="en-US"/>
        </w:rPr>
        <w:t>inter alia</w:t>
      </w:r>
      <w:r w:rsidR="007B280B" w:rsidRPr="003171CD">
        <w:rPr>
          <w:lang w:val="en-US"/>
        </w:rPr>
        <w:t xml:space="preserve">, a critical control over </w:t>
      </w:r>
      <w:r w:rsidR="008C64B4" w:rsidRPr="003171CD">
        <w:rPr>
          <w:lang w:val="en-US"/>
        </w:rPr>
        <w:t xml:space="preserve">the </w:t>
      </w:r>
      <w:r w:rsidR="007B280B" w:rsidRPr="003171CD">
        <w:rPr>
          <w:lang w:val="en-US"/>
        </w:rPr>
        <w:t xml:space="preserve">lawfulness </w:t>
      </w:r>
      <w:r w:rsidR="008C64B4" w:rsidRPr="003171CD">
        <w:rPr>
          <w:lang w:val="en-US"/>
        </w:rPr>
        <w:t xml:space="preserve">of </w:t>
      </w:r>
      <w:r w:rsidR="007B280B" w:rsidRPr="003171CD">
        <w:rPr>
          <w:lang w:val="en-US"/>
        </w:rPr>
        <w:t>the production of evidence</w:t>
      </w:r>
      <w:r w:rsidR="00966CB9" w:rsidRPr="003171CD">
        <w:rPr>
          <w:rFonts w:eastAsiaTheme="minorHAnsi" w:cs="Arial"/>
          <w:lang w:val="en-US"/>
        </w:rPr>
        <w:t>.</w:t>
      </w:r>
      <w:r w:rsidR="005A65CE" w:rsidRPr="003171CD">
        <w:rPr>
          <w:rFonts w:eastAsiaTheme="minorHAnsi"/>
          <w:vertAlign w:val="superscript"/>
          <w:lang w:val="en-US"/>
        </w:rPr>
        <w:footnoteReference w:id="216"/>
      </w:r>
      <w:r w:rsidR="005A65CE" w:rsidRPr="003171CD">
        <w:rPr>
          <w:rFonts w:eastAsiaTheme="minorHAnsi" w:cs="Arial"/>
          <w:lang w:val="en-US"/>
        </w:rPr>
        <w:t xml:space="preserve"> The American Convention </w:t>
      </w:r>
      <w:r w:rsidR="007B280B" w:rsidRPr="003171CD">
        <w:rPr>
          <w:rFonts w:eastAsiaTheme="minorHAnsi" w:cs="Arial"/>
          <w:lang w:val="en-US"/>
        </w:rPr>
        <w:t xml:space="preserve">provides specific </w:t>
      </w:r>
      <w:r w:rsidR="005A65CE" w:rsidRPr="003171CD">
        <w:rPr>
          <w:rFonts w:eastAsiaTheme="minorHAnsi" w:cs="Arial"/>
          <w:lang w:val="en-US"/>
        </w:rPr>
        <w:t xml:space="preserve">guarantees </w:t>
      </w:r>
      <w:r w:rsidR="003C71ED" w:rsidRPr="003171CD">
        <w:rPr>
          <w:rFonts w:eastAsiaTheme="minorHAnsi" w:cs="Arial"/>
          <w:lang w:val="en-US"/>
        </w:rPr>
        <w:t xml:space="preserve">both </w:t>
      </w:r>
      <w:r w:rsidR="007B280B" w:rsidRPr="003171CD">
        <w:rPr>
          <w:rFonts w:eastAsiaTheme="minorHAnsi" w:cs="Arial"/>
          <w:lang w:val="en-US"/>
        </w:rPr>
        <w:t xml:space="preserve">for </w:t>
      </w:r>
      <w:r w:rsidR="005A65CE" w:rsidRPr="003171CD">
        <w:rPr>
          <w:rFonts w:eastAsiaTheme="minorHAnsi" w:cs="Arial"/>
          <w:lang w:val="en-US"/>
        </w:rPr>
        <w:t xml:space="preserve">the exercise </w:t>
      </w:r>
      <w:r w:rsidR="007B280B" w:rsidRPr="003171CD">
        <w:rPr>
          <w:rFonts w:eastAsiaTheme="minorHAnsi" w:cs="Arial"/>
          <w:lang w:val="en-US"/>
        </w:rPr>
        <w:t xml:space="preserve">of the </w:t>
      </w:r>
      <w:r w:rsidR="00765AD7" w:rsidRPr="003171CD">
        <w:rPr>
          <w:rFonts w:eastAsiaTheme="minorHAnsi" w:cs="Arial"/>
          <w:lang w:val="en-US"/>
        </w:rPr>
        <w:t>right</w:t>
      </w:r>
      <w:r w:rsidR="005A65CE" w:rsidRPr="003171CD">
        <w:rPr>
          <w:rFonts w:eastAsiaTheme="minorHAnsi" w:cs="Arial"/>
          <w:lang w:val="en-US"/>
        </w:rPr>
        <w:t xml:space="preserve"> </w:t>
      </w:r>
      <w:r w:rsidR="007B280B" w:rsidRPr="003171CD">
        <w:rPr>
          <w:rFonts w:eastAsiaTheme="minorHAnsi" w:cs="Arial"/>
          <w:lang w:val="en-US"/>
        </w:rPr>
        <w:t xml:space="preserve">to </w:t>
      </w:r>
      <w:r w:rsidR="008C64B4" w:rsidRPr="003171CD">
        <w:rPr>
          <w:rFonts w:eastAsiaTheme="minorHAnsi" w:cs="Arial"/>
          <w:lang w:val="en-US"/>
        </w:rPr>
        <w:t xml:space="preserve">a </w:t>
      </w:r>
      <w:r w:rsidR="005A65CE" w:rsidRPr="003171CD">
        <w:rPr>
          <w:rFonts w:eastAsiaTheme="minorHAnsi" w:cs="Arial"/>
          <w:lang w:val="en-US"/>
        </w:rPr>
        <w:t>material</w:t>
      </w:r>
      <w:r w:rsidR="003C71ED" w:rsidRPr="003171CD">
        <w:rPr>
          <w:rFonts w:eastAsiaTheme="minorHAnsi" w:cs="Arial"/>
          <w:lang w:val="en-US"/>
        </w:rPr>
        <w:t xml:space="preserve"> defense</w:t>
      </w:r>
      <w:r w:rsidR="005A65CE" w:rsidRPr="003171CD">
        <w:rPr>
          <w:rFonts w:eastAsiaTheme="minorHAnsi" w:cs="Arial"/>
          <w:lang w:val="en-US"/>
        </w:rPr>
        <w:t xml:space="preserve">, </w:t>
      </w:r>
      <w:r w:rsidR="00834B13" w:rsidRPr="003171CD">
        <w:rPr>
          <w:rFonts w:eastAsiaTheme="minorHAnsi" w:cs="Arial"/>
          <w:lang w:val="en-US"/>
        </w:rPr>
        <w:t>for example</w:t>
      </w:r>
      <w:r w:rsidR="005A65CE" w:rsidRPr="003171CD">
        <w:rPr>
          <w:rFonts w:eastAsiaTheme="minorHAnsi" w:cs="Arial"/>
          <w:lang w:val="en-US"/>
        </w:rPr>
        <w:t xml:space="preserve"> </w:t>
      </w:r>
      <w:r w:rsidR="00E86957" w:rsidRPr="003171CD">
        <w:rPr>
          <w:rFonts w:eastAsiaTheme="minorHAnsi" w:cs="Arial"/>
          <w:lang w:val="en-US"/>
        </w:rPr>
        <w:t xml:space="preserve">through the </w:t>
      </w:r>
      <w:r w:rsidR="008D529F" w:rsidRPr="003171CD">
        <w:rPr>
          <w:rFonts w:eastAsiaTheme="minorHAnsi" w:cs="Arial"/>
          <w:lang w:val="en-US"/>
        </w:rPr>
        <w:t xml:space="preserve">right </w:t>
      </w:r>
      <w:r w:rsidR="00BE1B74" w:rsidRPr="003171CD">
        <w:rPr>
          <w:color w:val="000000"/>
          <w:lang w:val="en-US"/>
        </w:rPr>
        <w:t>not to be compelled to be a witness against himself</w:t>
      </w:r>
      <w:r w:rsidR="00BE1B74" w:rsidRPr="003171CD">
        <w:rPr>
          <w:rFonts w:eastAsiaTheme="minorHAnsi" w:cs="Arial"/>
          <w:lang w:val="en-US"/>
        </w:rPr>
        <w:t xml:space="preserve"> </w:t>
      </w:r>
      <w:r w:rsidR="005A65CE" w:rsidRPr="003171CD">
        <w:rPr>
          <w:rFonts w:eastAsiaTheme="minorHAnsi" w:cs="Arial"/>
          <w:lang w:val="en-US"/>
        </w:rPr>
        <w:t>(</w:t>
      </w:r>
      <w:r w:rsidR="00E86957" w:rsidRPr="003171CD">
        <w:rPr>
          <w:rFonts w:eastAsiaTheme="minorHAnsi" w:cs="Arial"/>
          <w:lang w:val="en-US"/>
        </w:rPr>
        <w:t>Article</w:t>
      </w:r>
      <w:r w:rsidR="008D529F" w:rsidRPr="003171CD">
        <w:rPr>
          <w:rFonts w:eastAsiaTheme="minorHAnsi" w:cs="Arial"/>
          <w:lang w:val="en-US"/>
        </w:rPr>
        <w:t xml:space="preserve"> 8(</w:t>
      </w:r>
      <w:r w:rsidR="005A65CE" w:rsidRPr="003171CD">
        <w:rPr>
          <w:rFonts w:eastAsiaTheme="minorHAnsi" w:cs="Arial"/>
          <w:lang w:val="en-US"/>
        </w:rPr>
        <w:t>2</w:t>
      </w:r>
      <w:r w:rsidR="008D529F" w:rsidRPr="003171CD">
        <w:rPr>
          <w:rFonts w:eastAsiaTheme="minorHAnsi" w:cs="Arial"/>
          <w:lang w:val="en-US"/>
        </w:rPr>
        <w:t>)(</w:t>
      </w:r>
      <w:r w:rsidR="005A65CE" w:rsidRPr="003171CD">
        <w:rPr>
          <w:rFonts w:eastAsiaTheme="minorHAnsi" w:cs="Arial"/>
          <w:lang w:val="en-US"/>
        </w:rPr>
        <w:t>g)</w:t>
      </w:r>
      <w:r w:rsidR="00BE1B74" w:rsidRPr="003171CD">
        <w:rPr>
          <w:rFonts w:eastAsiaTheme="minorHAnsi" w:cs="Arial"/>
          <w:lang w:val="en-US"/>
        </w:rPr>
        <w:t>)</w:t>
      </w:r>
      <w:r w:rsidR="005A65CE" w:rsidRPr="003171CD">
        <w:rPr>
          <w:rFonts w:eastAsiaTheme="minorHAnsi" w:cs="Arial"/>
          <w:lang w:val="en-US"/>
        </w:rPr>
        <w:t xml:space="preserve"> or the conditions </w:t>
      </w:r>
      <w:r w:rsidR="006454ED" w:rsidRPr="003171CD">
        <w:rPr>
          <w:rFonts w:eastAsiaTheme="minorHAnsi" w:cs="Arial"/>
          <w:lang w:val="en-US"/>
        </w:rPr>
        <w:t xml:space="preserve">under </w:t>
      </w:r>
      <w:r w:rsidR="005A65CE" w:rsidRPr="003171CD">
        <w:rPr>
          <w:rFonts w:eastAsiaTheme="minorHAnsi" w:cs="Arial"/>
          <w:lang w:val="en-US"/>
        </w:rPr>
        <w:t>which a confes</w:t>
      </w:r>
      <w:r w:rsidR="00E86957" w:rsidRPr="003171CD">
        <w:rPr>
          <w:rFonts w:eastAsiaTheme="minorHAnsi" w:cs="Arial"/>
          <w:lang w:val="en-US"/>
        </w:rPr>
        <w:t>s</w:t>
      </w:r>
      <w:r w:rsidR="005A65CE" w:rsidRPr="003171CD">
        <w:rPr>
          <w:rFonts w:eastAsiaTheme="minorHAnsi" w:cs="Arial"/>
          <w:lang w:val="en-US"/>
        </w:rPr>
        <w:t xml:space="preserve">ion </w:t>
      </w:r>
      <w:r w:rsidR="00E86957" w:rsidRPr="003171CD">
        <w:rPr>
          <w:rFonts w:eastAsiaTheme="minorHAnsi" w:cs="Arial"/>
          <w:lang w:val="en-US"/>
        </w:rPr>
        <w:t xml:space="preserve">could be valid </w:t>
      </w:r>
      <w:r w:rsidR="005A65CE" w:rsidRPr="003171CD">
        <w:rPr>
          <w:rFonts w:eastAsiaTheme="minorHAnsi" w:cs="Arial"/>
          <w:lang w:val="en-US"/>
        </w:rPr>
        <w:t>(</w:t>
      </w:r>
      <w:r w:rsidR="00E86957" w:rsidRPr="003171CD">
        <w:rPr>
          <w:rFonts w:eastAsiaTheme="minorHAnsi" w:cs="Arial"/>
          <w:lang w:val="en-US"/>
        </w:rPr>
        <w:t>Article</w:t>
      </w:r>
      <w:r w:rsidR="008D529F" w:rsidRPr="003171CD">
        <w:rPr>
          <w:rFonts w:eastAsiaTheme="minorHAnsi" w:cs="Arial"/>
          <w:lang w:val="en-US"/>
        </w:rPr>
        <w:t xml:space="preserve"> 8(</w:t>
      </w:r>
      <w:r w:rsidR="005A65CE" w:rsidRPr="003171CD">
        <w:rPr>
          <w:rFonts w:eastAsiaTheme="minorHAnsi" w:cs="Arial"/>
          <w:lang w:val="en-US"/>
        </w:rPr>
        <w:t>3</w:t>
      </w:r>
      <w:r w:rsidR="008D529F" w:rsidRPr="003171CD">
        <w:rPr>
          <w:rFonts w:eastAsiaTheme="minorHAnsi" w:cs="Arial"/>
          <w:lang w:val="en-US"/>
        </w:rPr>
        <w:t>)</w:t>
      </w:r>
      <w:r w:rsidR="00BE1B74" w:rsidRPr="003171CD">
        <w:rPr>
          <w:rFonts w:eastAsiaTheme="minorHAnsi" w:cs="Arial"/>
          <w:lang w:val="en-US"/>
        </w:rPr>
        <w:t>)</w:t>
      </w:r>
      <w:r w:rsidR="005A65CE" w:rsidRPr="003171CD">
        <w:rPr>
          <w:rFonts w:eastAsiaTheme="minorHAnsi" w:cs="Arial"/>
          <w:lang w:val="en-US"/>
        </w:rPr>
        <w:t xml:space="preserve">, </w:t>
      </w:r>
      <w:r w:rsidR="006454ED" w:rsidRPr="003171CD">
        <w:rPr>
          <w:rFonts w:eastAsiaTheme="minorHAnsi" w:cs="Arial"/>
          <w:lang w:val="en-US"/>
        </w:rPr>
        <w:t xml:space="preserve">and </w:t>
      </w:r>
      <w:r w:rsidR="008C64B4" w:rsidRPr="003171CD">
        <w:rPr>
          <w:rFonts w:eastAsiaTheme="minorHAnsi" w:cs="Arial"/>
          <w:lang w:val="en-US"/>
        </w:rPr>
        <w:t>for</w:t>
      </w:r>
      <w:r w:rsidR="005A65CE" w:rsidRPr="003171CD">
        <w:rPr>
          <w:rFonts w:eastAsiaTheme="minorHAnsi" w:cs="Arial"/>
          <w:lang w:val="en-US"/>
        </w:rPr>
        <w:t xml:space="preserve"> the </w:t>
      </w:r>
      <w:r w:rsidR="00BE1B74" w:rsidRPr="003171CD">
        <w:rPr>
          <w:rFonts w:eastAsiaTheme="minorHAnsi" w:cs="Arial"/>
          <w:lang w:val="en-US"/>
        </w:rPr>
        <w:t xml:space="preserve">legal </w:t>
      </w:r>
      <w:r w:rsidR="005A65CE" w:rsidRPr="003171CD">
        <w:rPr>
          <w:rFonts w:eastAsiaTheme="minorHAnsi" w:cs="Arial"/>
          <w:lang w:val="en-US"/>
        </w:rPr>
        <w:t xml:space="preserve">defense, in the terms </w:t>
      </w:r>
      <w:r w:rsidR="00E86957" w:rsidRPr="003171CD">
        <w:rPr>
          <w:rFonts w:eastAsiaTheme="minorHAnsi" w:cs="Arial"/>
          <w:lang w:val="en-US"/>
        </w:rPr>
        <w:t>described below</w:t>
      </w:r>
      <w:r w:rsidR="005A65CE" w:rsidRPr="003171CD">
        <w:rPr>
          <w:rFonts w:eastAsiaTheme="minorHAnsi" w:cs="Arial"/>
          <w:lang w:val="en-US"/>
        </w:rPr>
        <w:t>.</w:t>
      </w:r>
    </w:p>
    <w:p w14:paraId="5F9CA8FD" w14:textId="77777777" w:rsidR="005A65CE" w:rsidRPr="003171CD" w:rsidRDefault="005A65CE" w:rsidP="005A65CE">
      <w:pPr>
        <w:jc w:val="both"/>
        <w:rPr>
          <w:rFonts w:eastAsiaTheme="minorHAnsi" w:cs="Arial"/>
          <w:snapToGrid/>
          <w:lang w:val="en-US" w:eastAsia="en-US"/>
        </w:rPr>
      </w:pPr>
    </w:p>
    <w:p w14:paraId="180BD39F" w14:textId="77777777" w:rsidR="005A65CE" w:rsidRPr="003171CD" w:rsidRDefault="00132557" w:rsidP="005A65CE">
      <w:pPr>
        <w:pStyle w:val="Prrafodelista"/>
        <w:numPr>
          <w:ilvl w:val="0"/>
          <w:numId w:val="1"/>
        </w:numPr>
        <w:tabs>
          <w:tab w:val="left" w:pos="720"/>
          <w:tab w:val="num" w:pos="5057"/>
        </w:tabs>
        <w:ind w:right="-90"/>
        <w:jc w:val="both"/>
        <w:rPr>
          <w:rFonts w:eastAsiaTheme="minorHAnsi" w:cs="Arial"/>
          <w:b/>
          <w:strike/>
          <w:lang w:val="en-US"/>
        </w:rPr>
      </w:pPr>
      <w:r w:rsidRPr="003171CD">
        <w:rPr>
          <w:rFonts w:eastAsiaTheme="minorHAnsi" w:cs="Arial"/>
          <w:lang w:val="en-US"/>
        </w:rPr>
        <w:t xml:space="preserve">In relation to </w:t>
      </w:r>
      <w:r w:rsidR="008C64B4" w:rsidRPr="003171CD">
        <w:rPr>
          <w:rFonts w:eastAsiaTheme="minorHAnsi" w:cs="Arial"/>
          <w:lang w:val="en-US"/>
        </w:rPr>
        <w:t>the latter</w:t>
      </w:r>
      <w:r w:rsidR="00966CB9" w:rsidRPr="003171CD">
        <w:rPr>
          <w:rFonts w:eastAsiaTheme="minorHAnsi" w:cs="Arial"/>
          <w:lang w:val="en-US"/>
        </w:rPr>
        <w:t xml:space="preserve"> </w:t>
      </w:r>
      <w:r w:rsidRPr="003171CD">
        <w:rPr>
          <w:rFonts w:eastAsiaTheme="minorHAnsi" w:cs="Arial"/>
          <w:lang w:val="en-US"/>
        </w:rPr>
        <w:t>aspect</w:t>
      </w:r>
      <w:r w:rsidR="005A65CE" w:rsidRPr="003171CD">
        <w:rPr>
          <w:rFonts w:eastAsiaTheme="minorHAnsi" w:cs="Arial"/>
          <w:lang w:val="en-US"/>
        </w:rPr>
        <w:t xml:space="preserve">, </w:t>
      </w:r>
      <w:r w:rsidRPr="003171CD">
        <w:rPr>
          <w:rFonts w:eastAsiaTheme="minorHAnsi" w:cs="Arial"/>
          <w:lang w:val="en-US"/>
        </w:rPr>
        <w:t xml:space="preserve">an issue </w:t>
      </w:r>
      <w:r w:rsidR="00D646D5" w:rsidRPr="003171CD">
        <w:rPr>
          <w:rFonts w:eastAsiaTheme="minorHAnsi" w:cs="Arial"/>
          <w:lang w:val="en-US"/>
        </w:rPr>
        <w:t xml:space="preserve">of </w:t>
      </w:r>
      <w:r w:rsidRPr="003171CD">
        <w:rPr>
          <w:rFonts w:eastAsiaTheme="minorHAnsi" w:cs="Arial"/>
          <w:lang w:val="en-US"/>
        </w:rPr>
        <w:t xml:space="preserve">particular </w:t>
      </w:r>
      <w:r w:rsidR="00D646D5" w:rsidRPr="003171CD">
        <w:rPr>
          <w:rFonts w:eastAsiaTheme="minorHAnsi" w:cs="Arial"/>
          <w:lang w:val="en-US"/>
        </w:rPr>
        <w:t>interest</w:t>
      </w:r>
      <w:r w:rsidR="008C64B4" w:rsidRPr="003171CD">
        <w:rPr>
          <w:rFonts w:eastAsiaTheme="minorHAnsi" w:cs="Arial"/>
          <w:lang w:val="en-US"/>
        </w:rPr>
        <w:t xml:space="preserve"> in this</w:t>
      </w:r>
      <w:r w:rsidR="00D646D5" w:rsidRPr="003171CD">
        <w:rPr>
          <w:rFonts w:eastAsiaTheme="minorHAnsi" w:cs="Arial"/>
          <w:lang w:val="en-US"/>
        </w:rPr>
        <w:t xml:space="preserve"> </w:t>
      </w:r>
      <w:r w:rsidR="006454ED" w:rsidRPr="003171CD">
        <w:rPr>
          <w:rFonts w:eastAsiaTheme="minorHAnsi" w:cs="Arial"/>
          <w:lang w:val="en-US"/>
        </w:rPr>
        <w:t xml:space="preserve">case, </w:t>
      </w:r>
      <w:r w:rsidR="00D646D5" w:rsidRPr="003171CD">
        <w:rPr>
          <w:rFonts w:eastAsiaTheme="minorHAnsi" w:cs="Arial"/>
          <w:lang w:val="en-US"/>
        </w:rPr>
        <w:t xml:space="preserve">paragraphs </w:t>
      </w:r>
      <w:r w:rsidR="00E86957" w:rsidRPr="003171CD">
        <w:rPr>
          <w:rFonts w:eastAsiaTheme="minorHAnsi" w:cs="Arial"/>
          <w:lang w:val="en-US"/>
        </w:rPr>
        <w:t xml:space="preserve">d) and e) of </w:t>
      </w:r>
      <w:r w:rsidR="006454ED" w:rsidRPr="003171CD">
        <w:rPr>
          <w:rFonts w:eastAsiaTheme="minorHAnsi" w:cs="Arial"/>
          <w:lang w:val="en-US"/>
        </w:rPr>
        <w:t>Article 8(2) e</w:t>
      </w:r>
      <w:r w:rsidRPr="003171CD">
        <w:rPr>
          <w:rFonts w:eastAsiaTheme="minorHAnsi" w:cs="Arial"/>
          <w:lang w:val="en-US"/>
        </w:rPr>
        <w:t>stablish</w:t>
      </w:r>
      <w:r w:rsidR="005A65CE" w:rsidRPr="003171CD">
        <w:rPr>
          <w:rFonts w:eastAsiaTheme="minorHAnsi" w:cs="Arial"/>
          <w:lang w:val="en-US"/>
        </w:rPr>
        <w:t xml:space="preserve">, </w:t>
      </w:r>
      <w:r w:rsidR="00BD3180" w:rsidRPr="003171CD">
        <w:rPr>
          <w:rFonts w:eastAsiaTheme="minorHAnsi" w:cs="Arial"/>
          <w:lang w:val="en-US"/>
        </w:rPr>
        <w:t>with</w:t>
      </w:r>
      <w:r w:rsidR="00E86957" w:rsidRPr="003171CD">
        <w:rPr>
          <w:rFonts w:eastAsiaTheme="minorHAnsi" w:cs="Arial"/>
          <w:lang w:val="en-US"/>
        </w:rPr>
        <w:t xml:space="preserve">in the </w:t>
      </w:r>
      <w:r w:rsidR="008D529F" w:rsidRPr="003171CD">
        <w:rPr>
          <w:rFonts w:eastAsiaTheme="minorHAnsi" w:cs="Arial"/>
          <w:lang w:val="en-US"/>
        </w:rPr>
        <w:t xml:space="preserve">list </w:t>
      </w:r>
      <w:r w:rsidR="005A65CE" w:rsidRPr="003171CD">
        <w:rPr>
          <w:rFonts w:eastAsiaTheme="minorHAnsi" w:cs="Arial"/>
          <w:lang w:val="en-US"/>
        </w:rPr>
        <w:t xml:space="preserve">of </w:t>
      </w:r>
      <w:r w:rsidR="008D529F" w:rsidRPr="003171CD">
        <w:rPr>
          <w:rFonts w:eastAsiaTheme="minorHAnsi" w:cs="Arial"/>
          <w:lang w:val="en-US"/>
        </w:rPr>
        <w:t xml:space="preserve">minimum </w:t>
      </w:r>
      <w:r w:rsidR="005A65CE" w:rsidRPr="003171CD">
        <w:rPr>
          <w:rFonts w:eastAsiaTheme="minorHAnsi" w:cs="Arial"/>
          <w:lang w:val="en-US"/>
        </w:rPr>
        <w:t xml:space="preserve">guarantees in </w:t>
      </w:r>
      <w:r w:rsidR="00D646D5" w:rsidRPr="003171CD">
        <w:rPr>
          <w:rFonts w:eastAsiaTheme="minorHAnsi" w:cs="Arial"/>
          <w:lang w:val="en-US"/>
        </w:rPr>
        <w:t>criminal matters</w:t>
      </w:r>
      <w:r w:rsidR="005A65CE" w:rsidRPr="003171CD">
        <w:rPr>
          <w:rFonts w:eastAsiaTheme="minorHAnsi" w:cs="Arial"/>
          <w:lang w:val="en-US"/>
        </w:rPr>
        <w:t>, th</w:t>
      </w:r>
      <w:r w:rsidR="006454ED" w:rsidRPr="003171CD">
        <w:rPr>
          <w:rFonts w:eastAsiaTheme="minorHAnsi" w:cs="Arial"/>
          <w:lang w:val="en-US"/>
        </w:rPr>
        <w:t xml:space="preserve">e right of the accused </w:t>
      </w:r>
      <w:r w:rsidR="00966CB9" w:rsidRPr="003171CD">
        <w:rPr>
          <w:rFonts w:eastAsiaTheme="minorHAnsi" w:cs="Arial"/>
          <w:lang w:val="en-US"/>
        </w:rPr>
        <w:t>to</w:t>
      </w:r>
      <w:r w:rsidR="005A65CE" w:rsidRPr="003171CD">
        <w:rPr>
          <w:rFonts w:eastAsiaTheme="minorHAnsi" w:cs="Arial"/>
          <w:lang w:val="en-US"/>
        </w:rPr>
        <w:t xml:space="preserve"> “</w:t>
      </w:r>
      <w:r w:rsidR="006454ED" w:rsidRPr="003171CD">
        <w:rPr>
          <w:i/>
          <w:color w:val="000000"/>
          <w:lang w:val="en-US"/>
        </w:rPr>
        <w:t>defend himself personally or to be assisted by legal counsel of his own choosing</w:t>
      </w:r>
      <w:r w:rsidR="005A65CE" w:rsidRPr="003171CD">
        <w:rPr>
          <w:rFonts w:eastAsiaTheme="minorHAnsi" w:cs="Arial"/>
          <w:i/>
          <w:lang w:val="en-US"/>
        </w:rPr>
        <w:t>”</w:t>
      </w:r>
      <w:r w:rsidR="005A65CE" w:rsidRPr="003171CD">
        <w:rPr>
          <w:rFonts w:eastAsiaTheme="minorHAnsi" w:cs="Arial"/>
          <w:lang w:val="en-US"/>
        </w:rPr>
        <w:t xml:space="preserve"> </w:t>
      </w:r>
      <w:r w:rsidR="00BD3180" w:rsidRPr="003171CD">
        <w:rPr>
          <w:rFonts w:eastAsiaTheme="minorHAnsi" w:cs="Arial"/>
          <w:lang w:val="en-US"/>
        </w:rPr>
        <w:t>or</w:t>
      </w:r>
      <w:r w:rsidRPr="003171CD">
        <w:rPr>
          <w:rFonts w:eastAsiaTheme="minorHAnsi" w:cs="Arial"/>
          <w:lang w:val="en-US"/>
        </w:rPr>
        <w:t>,</w:t>
      </w:r>
      <w:r w:rsidR="005A65CE" w:rsidRPr="003171CD">
        <w:rPr>
          <w:rFonts w:eastAsiaTheme="minorHAnsi" w:cs="Arial"/>
          <w:lang w:val="en-US"/>
        </w:rPr>
        <w:t xml:space="preserve"> </w:t>
      </w:r>
      <w:r w:rsidR="006454ED" w:rsidRPr="003171CD">
        <w:rPr>
          <w:rFonts w:eastAsiaTheme="minorHAnsi" w:cs="Arial"/>
          <w:lang w:val="en-US"/>
        </w:rPr>
        <w:t xml:space="preserve">if he does not do so, he has </w:t>
      </w:r>
      <w:r w:rsidR="005A65CE" w:rsidRPr="003171CD">
        <w:rPr>
          <w:rFonts w:eastAsiaTheme="minorHAnsi" w:cs="Arial"/>
          <w:lang w:val="en-US"/>
        </w:rPr>
        <w:t>“</w:t>
      </w:r>
      <w:r w:rsidR="006454ED" w:rsidRPr="003171CD">
        <w:rPr>
          <w:rFonts w:eastAsiaTheme="minorHAnsi" w:cs="Arial"/>
          <w:i/>
          <w:lang w:val="en-US"/>
        </w:rPr>
        <w:t>t</w:t>
      </w:r>
      <w:r w:rsidR="006454ED" w:rsidRPr="003171CD">
        <w:rPr>
          <w:i/>
          <w:color w:val="000000"/>
          <w:lang w:val="en-US"/>
        </w:rPr>
        <w:t>he inalienable right to be assis</w:t>
      </w:r>
      <w:r w:rsidRPr="003171CD">
        <w:rPr>
          <w:i/>
          <w:color w:val="000000"/>
          <w:lang w:val="en-US"/>
        </w:rPr>
        <w:t>ted by counsel provided by the S</w:t>
      </w:r>
      <w:r w:rsidR="006454ED" w:rsidRPr="003171CD">
        <w:rPr>
          <w:i/>
          <w:color w:val="000000"/>
          <w:lang w:val="en-US"/>
        </w:rPr>
        <w:t>tate, paid or not as the domestic law provides</w:t>
      </w:r>
      <w:r w:rsidR="00E86957" w:rsidRPr="003171CD">
        <w:rPr>
          <w:rFonts w:eastAsiaTheme="minorHAnsi" w:cs="Arial"/>
          <w:i/>
          <w:lang w:val="en-US"/>
        </w:rPr>
        <w:t>.</w:t>
      </w:r>
      <w:r w:rsidR="005A65CE" w:rsidRPr="003171CD">
        <w:rPr>
          <w:rFonts w:eastAsiaTheme="minorHAnsi" w:cs="Arial"/>
          <w:i/>
          <w:lang w:val="en-US"/>
        </w:rPr>
        <w:t>”</w:t>
      </w:r>
    </w:p>
    <w:p w14:paraId="18C228D8" w14:textId="77777777" w:rsidR="005A65CE" w:rsidRPr="003171CD" w:rsidRDefault="005A65CE" w:rsidP="005A65CE">
      <w:pPr>
        <w:jc w:val="both"/>
        <w:rPr>
          <w:rFonts w:eastAsiaTheme="minorHAnsi" w:cs="Arial"/>
          <w:b/>
          <w:strike/>
          <w:snapToGrid/>
          <w:lang w:val="en-US" w:eastAsia="en-US"/>
        </w:rPr>
      </w:pPr>
    </w:p>
    <w:p w14:paraId="6BA5B524" w14:textId="77777777" w:rsidR="005A65CE" w:rsidRPr="003171CD" w:rsidRDefault="000618CF"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While </w:t>
      </w:r>
      <w:r w:rsidR="00132557" w:rsidRPr="003171CD">
        <w:rPr>
          <w:rFonts w:eastAsiaTheme="minorHAnsi" w:cs="Arial"/>
          <w:lang w:val="en-US"/>
        </w:rPr>
        <w:t>this</w:t>
      </w:r>
      <w:r w:rsidR="005A65CE" w:rsidRPr="003171CD">
        <w:rPr>
          <w:rFonts w:eastAsiaTheme="minorHAnsi" w:cs="Arial"/>
          <w:lang w:val="en-US"/>
        </w:rPr>
        <w:t xml:space="preserve"> </w:t>
      </w:r>
      <w:r w:rsidR="006454ED" w:rsidRPr="003171CD">
        <w:rPr>
          <w:rFonts w:eastAsiaTheme="minorHAnsi" w:cs="Arial"/>
          <w:lang w:val="en-US"/>
        </w:rPr>
        <w:t xml:space="preserve">provision </w:t>
      </w:r>
      <w:r w:rsidR="004D2546" w:rsidRPr="003171CD">
        <w:rPr>
          <w:rFonts w:eastAsiaTheme="minorHAnsi" w:cs="Arial"/>
          <w:lang w:val="en-US"/>
        </w:rPr>
        <w:t xml:space="preserve">contemplates </w:t>
      </w:r>
      <w:r w:rsidR="005A65CE" w:rsidRPr="003171CD">
        <w:rPr>
          <w:rFonts w:eastAsiaTheme="minorHAnsi" w:cs="Arial"/>
          <w:lang w:val="en-US"/>
        </w:rPr>
        <w:t>di</w:t>
      </w:r>
      <w:r w:rsidR="006454ED" w:rsidRPr="003171CD">
        <w:rPr>
          <w:rFonts w:eastAsiaTheme="minorHAnsi" w:cs="Arial"/>
          <w:lang w:val="en-US"/>
        </w:rPr>
        <w:t>f</w:t>
      </w:r>
      <w:r w:rsidR="005A65CE" w:rsidRPr="003171CD">
        <w:rPr>
          <w:rFonts w:eastAsiaTheme="minorHAnsi" w:cs="Arial"/>
          <w:lang w:val="en-US"/>
        </w:rPr>
        <w:t>ferent</w:t>
      </w:r>
      <w:r w:rsidR="006454ED" w:rsidRPr="003171CD">
        <w:rPr>
          <w:rFonts w:eastAsiaTheme="minorHAnsi" w:cs="Arial"/>
          <w:lang w:val="en-US"/>
        </w:rPr>
        <w:t xml:space="preserve"> alternative</w:t>
      </w:r>
      <w:r w:rsidR="005A65CE" w:rsidRPr="003171CD">
        <w:rPr>
          <w:rFonts w:eastAsiaTheme="minorHAnsi" w:cs="Arial"/>
          <w:lang w:val="en-US"/>
        </w:rPr>
        <w:t xml:space="preserve">s </w:t>
      </w:r>
      <w:r w:rsidR="00CC00E9" w:rsidRPr="003171CD">
        <w:rPr>
          <w:rFonts w:eastAsiaTheme="minorHAnsi" w:cs="Arial"/>
          <w:lang w:val="en-US"/>
        </w:rPr>
        <w:t xml:space="preserve">for the design </w:t>
      </w:r>
      <w:r w:rsidR="005A65CE" w:rsidRPr="003171CD">
        <w:rPr>
          <w:rFonts w:eastAsiaTheme="minorHAnsi" w:cs="Arial"/>
          <w:lang w:val="en-US"/>
        </w:rPr>
        <w:t xml:space="preserve">of </w:t>
      </w:r>
      <w:r w:rsidR="006454ED" w:rsidRPr="003171CD">
        <w:rPr>
          <w:rFonts w:eastAsiaTheme="minorHAnsi" w:cs="Arial"/>
          <w:lang w:val="en-US"/>
        </w:rPr>
        <w:t>mechanism</w:t>
      </w:r>
      <w:r w:rsidR="005A65CE" w:rsidRPr="003171CD">
        <w:rPr>
          <w:rFonts w:eastAsiaTheme="minorHAnsi" w:cs="Arial"/>
          <w:lang w:val="en-US"/>
        </w:rPr>
        <w:t xml:space="preserve">s that </w:t>
      </w:r>
      <w:r w:rsidR="00630651" w:rsidRPr="003171CD">
        <w:rPr>
          <w:rFonts w:eastAsiaTheme="minorHAnsi" w:cs="Arial"/>
          <w:lang w:val="en-US"/>
        </w:rPr>
        <w:t xml:space="preserve">guarantee </w:t>
      </w:r>
      <w:r w:rsidRPr="003171CD">
        <w:rPr>
          <w:rFonts w:eastAsiaTheme="minorHAnsi" w:cs="Arial"/>
          <w:lang w:val="en-US"/>
        </w:rPr>
        <w:t>that</w:t>
      </w:r>
      <w:r w:rsidR="005A65CE" w:rsidRPr="003171CD">
        <w:rPr>
          <w:rFonts w:eastAsiaTheme="minorHAnsi" w:cs="Arial"/>
          <w:lang w:val="en-US"/>
        </w:rPr>
        <w:t xml:space="preserve"> </w:t>
      </w:r>
      <w:r w:rsidR="00765AD7" w:rsidRPr="003171CD">
        <w:rPr>
          <w:rFonts w:eastAsiaTheme="minorHAnsi" w:cs="Arial"/>
          <w:lang w:val="en-US"/>
        </w:rPr>
        <w:t>right</w:t>
      </w:r>
      <w:r w:rsidR="006661C9" w:rsidRPr="003171CD">
        <w:rPr>
          <w:rFonts w:eastAsiaTheme="minorHAnsi" w:cs="Arial"/>
          <w:lang w:val="en-US"/>
        </w:rPr>
        <w:t>, when a</w:t>
      </w:r>
      <w:r w:rsidR="005A65CE" w:rsidRPr="003171CD">
        <w:rPr>
          <w:rFonts w:eastAsiaTheme="minorHAnsi" w:cs="Arial"/>
          <w:lang w:val="en-US"/>
        </w:rPr>
        <w:t xml:space="preserve"> person </w:t>
      </w:r>
      <w:r w:rsidR="006661C9" w:rsidRPr="003171CD">
        <w:rPr>
          <w:rFonts w:eastAsiaTheme="minorHAnsi" w:cs="Arial"/>
          <w:lang w:val="en-US"/>
        </w:rPr>
        <w:t xml:space="preserve">who </w:t>
      </w:r>
      <w:r w:rsidR="005A65CE" w:rsidRPr="003171CD">
        <w:rPr>
          <w:rFonts w:eastAsiaTheme="minorHAnsi" w:cs="Arial"/>
          <w:lang w:val="en-US"/>
        </w:rPr>
        <w:t>requi</w:t>
      </w:r>
      <w:r w:rsidR="00CC00E9" w:rsidRPr="003171CD">
        <w:rPr>
          <w:rFonts w:eastAsiaTheme="minorHAnsi" w:cs="Arial"/>
          <w:lang w:val="en-US"/>
        </w:rPr>
        <w:t xml:space="preserve">res </w:t>
      </w:r>
      <w:r w:rsidR="006454ED" w:rsidRPr="003171CD">
        <w:rPr>
          <w:rFonts w:eastAsiaTheme="minorHAnsi" w:cs="Arial"/>
          <w:lang w:val="en-US"/>
        </w:rPr>
        <w:t xml:space="preserve">legal </w:t>
      </w:r>
      <w:r w:rsidR="004D2546" w:rsidRPr="003171CD">
        <w:rPr>
          <w:rFonts w:eastAsiaTheme="minorHAnsi" w:cs="Arial"/>
          <w:lang w:val="en-US"/>
        </w:rPr>
        <w:t xml:space="preserve">assistance </w:t>
      </w:r>
      <w:r w:rsidR="006661C9" w:rsidRPr="003171CD">
        <w:rPr>
          <w:rFonts w:eastAsiaTheme="minorHAnsi" w:cs="Arial"/>
          <w:lang w:val="en-US"/>
        </w:rPr>
        <w:t xml:space="preserve">does not have resources, </w:t>
      </w:r>
      <w:r w:rsidR="00CC00E9" w:rsidRPr="003171CD">
        <w:rPr>
          <w:rFonts w:eastAsiaTheme="minorHAnsi" w:cs="Arial"/>
          <w:lang w:val="en-US"/>
        </w:rPr>
        <w:t xml:space="preserve">this must </w:t>
      </w:r>
      <w:r w:rsidR="005A65CE" w:rsidRPr="003171CD">
        <w:rPr>
          <w:rFonts w:eastAsiaTheme="minorHAnsi" w:cs="Arial"/>
          <w:lang w:val="en-US"/>
        </w:rPr>
        <w:t>necessar</w:t>
      </w:r>
      <w:r w:rsidR="00E86957" w:rsidRPr="003171CD">
        <w:rPr>
          <w:rFonts w:eastAsiaTheme="minorHAnsi" w:cs="Arial"/>
          <w:lang w:val="en-US"/>
        </w:rPr>
        <w:t>il</w:t>
      </w:r>
      <w:r w:rsidR="005A65CE" w:rsidRPr="003171CD">
        <w:rPr>
          <w:rFonts w:eastAsiaTheme="minorHAnsi" w:cs="Arial"/>
          <w:lang w:val="en-US"/>
        </w:rPr>
        <w:t xml:space="preserve">y </w:t>
      </w:r>
      <w:r w:rsidR="00E86957" w:rsidRPr="003171CD">
        <w:rPr>
          <w:rFonts w:eastAsiaTheme="minorHAnsi" w:cs="Arial"/>
          <w:lang w:val="en-US"/>
        </w:rPr>
        <w:t xml:space="preserve">be provided </w:t>
      </w:r>
      <w:r w:rsidR="005A65CE" w:rsidRPr="003171CD">
        <w:rPr>
          <w:rFonts w:eastAsiaTheme="minorHAnsi" w:cs="Arial"/>
          <w:lang w:val="en-US"/>
        </w:rPr>
        <w:t xml:space="preserve">by the State </w:t>
      </w:r>
      <w:r w:rsidR="00E86957" w:rsidRPr="003171CD">
        <w:rPr>
          <w:rFonts w:eastAsiaTheme="minorHAnsi" w:cs="Arial"/>
          <w:lang w:val="en-US"/>
        </w:rPr>
        <w:t>free of charge.</w:t>
      </w:r>
      <w:r w:rsidR="005A65CE" w:rsidRPr="003171CD">
        <w:rPr>
          <w:rFonts w:eastAsiaTheme="minorHAnsi"/>
          <w:vertAlign w:val="superscript"/>
          <w:lang w:val="en-US"/>
        </w:rPr>
        <w:footnoteReference w:id="217"/>
      </w:r>
      <w:r w:rsidR="005A65CE" w:rsidRPr="003171CD">
        <w:rPr>
          <w:rFonts w:eastAsiaTheme="minorHAnsi" w:cs="Arial"/>
          <w:lang w:val="en-US"/>
        </w:rPr>
        <w:t xml:space="preserve"> </w:t>
      </w:r>
      <w:r w:rsidRPr="003171CD">
        <w:rPr>
          <w:rFonts w:eastAsiaTheme="minorHAnsi" w:cs="Arial"/>
          <w:lang w:val="en-US"/>
        </w:rPr>
        <w:t xml:space="preserve">However, </w:t>
      </w:r>
      <w:r w:rsidR="005A65CE" w:rsidRPr="003171CD">
        <w:rPr>
          <w:rFonts w:eastAsiaTheme="minorHAnsi" w:cs="Arial"/>
          <w:lang w:val="en-US"/>
        </w:rPr>
        <w:t>in cases</w:t>
      </w:r>
      <w:r w:rsidR="000A776C" w:rsidRPr="003171CD">
        <w:rPr>
          <w:rFonts w:eastAsiaTheme="minorHAnsi" w:cs="Arial"/>
          <w:lang w:val="en-US"/>
        </w:rPr>
        <w:t xml:space="preserve"> </w:t>
      </w:r>
      <w:r w:rsidR="00A66254" w:rsidRPr="003171CD">
        <w:rPr>
          <w:rFonts w:eastAsiaTheme="minorHAnsi" w:cs="Arial"/>
          <w:lang w:val="en-US"/>
        </w:rPr>
        <w:t xml:space="preserve">such as </w:t>
      </w:r>
      <w:r w:rsidR="005A65CE" w:rsidRPr="003171CD">
        <w:rPr>
          <w:rFonts w:eastAsiaTheme="minorHAnsi" w:cs="Arial"/>
          <w:lang w:val="en-US"/>
        </w:rPr>
        <w:t>th</w:t>
      </w:r>
      <w:r w:rsidRPr="003171CD">
        <w:rPr>
          <w:rFonts w:eastAsiaTheme="minorHAnsi" w:cs="Arial"/>
          <w:lang w:val="en-US"/>
        </w:rPr>
        <w:t xml:space="preserve">is, which involve </w:t>
      </w:r>
      <w:r w:rsidR="006661C9" w:rsidRPr="003171CD">
        <w:rPr>
          <w:rFonts w:eastAsiaTheme="minorHAnsi" w:cs="Arial"/>
          <w:lang w:val="en-US"/>
        </w:rPr>
        <w:t>a criminal matter</w:t>
      </w:r>
      <w:r w:rsidRPr="003171CD">
        <w:rPr>
          <w:rFonts w:eastAsiaTheme="minorHAnsi" w:cs="Arial"/>
          <w:lang w:val="en-US"/>
        </w:rPr>
        <w:t xml:space="preserve"> and where</w:t>
      </w:r>
      <w:r w:rsidR="006661C9" w:rsidRPr="003171CD">
        <w:rPr>
          <w:rFonts w:eastAsiaTheme="minorHAnsi" w:cs="Arial"/>
          <w:lang w:val="en-US"/>
        </w:rPr>
        <w:t xml:space="preserve"> </w:t>
      </w:r>
      <w:r w:rsidR="005A65CE" w:rsidRPr="003171CD">
        <w:rPr>
          <w:rFonts w:eastAsiaTheme="minorHAnsi" w:cs="Arial"/>
          <w:lang w:val="en-US"/>
        </w:rPr>
        <w:t xml:space="preserve">the </w:t>
      </w:r>
      <w:r w:rsidR="006661C9" w:rsidRPr="003171CD">
        <w:rPr>
          <w:rFonts w:eastAsiaTheme="minorHAnsi" w:cs="Arial"/>
          <w:lang w:val="en-US"/>
        </w:rPr>
        <w:t xml:space="preserve">right to </w:t>
      </w:r>
      <w:r w:rsidRPr="003171CD">
        <w:rPr>
          <w:rFonts w:eastAsiaTheme="minorHAnsi" w:cs="Arial"/>
          <w:lang w:val="en-US"/>
        </w:rPr>
        <w:t xml:space="preserve">legal </w:t>
      </w:r>
      <w:r w:rsidR="00E86957" w:rsidRPr="003171CD">
        <w:rPr>
          <w:rFonts w:eastAsiaTheme="minorHAnsi" w:cs="Arial"/>
          <w:lang w:val="en-US"/>
        </w:rPr>
        <w:t>defense</w:t>
      </w:r>
      <w:r w:rsidR="005A65CE" w:rsidRPr="003171CD">
        <w:rPr>
          <w:rFonts w:eastAsiaTheme="minorHAnsi" w:cs="Arial"/>
          <w:lang w:val="en-US"/>
        </w:rPr>
        <w:t xml:space="preserve"> is </w:t>
      </w:r>
      <w:r w:rsidR="009027F2" w:rsidRPr="003171CD">
        <w:rPr>
          <w:rFonts w:eastAsiaTheme="minorHAnsi" w:cs="Arial"/>
          <w:lang w:val="en-US"/>
        </w:rPr>
        <w:t>inalienable</w:t>
      </w:r>
      <w:r w:rsidR="005A65CE" w:rsidRPr="003171CD">
        <w:rPr>
          <w:rFonts w:eastAsiaTheme="minorHAnsi" w:cs="Arial"/>
          <w:lang w:val="en-US"/>
        </w:rPr>
        <w:t xml:space="preserve"> </w:t>
      </w:r>
      <w:r w:rsidRPr="003171CD">
        <w:rPr>
          <w:rFonts w:eastAsiaTheme="minorHAnsi" w:cs="Arial"/>
          <w:lang w:val="en-US"/>
        </w:rPr>
        <w:t xml:space="preserve">because of </w:t>
      </w:r>
      <w:r w:rsidR="005A65CE" w:rsidRPr="003171CD">
        <w:rPr>
          <w:rFonts w:eastAsiaTheme="minorHAnsi" w:cs="Arial"/>
          <w:lang w:val="en-US"/>
        </w:rPr>
        <w:t xml:space="preserve">the </w:t>
      </w:r>
      <w:r w:rsidRPr="003171CD">
        <w:rPr>
          <w:rFonts w:eastAsiaTheme="minorHAnsi" w:cs="Arial"/>
          <w:lang w:val="en-US"/>
        </w:rPr>
        <w:t xml:space="preserve">nature </w:t>
      </w:r>
      <w:r w:rsidR="005A65CE" w:rsidRPr="003171CD">
        <w:rPr>
          <w:rFonts w:eastAsiaTheme="minorHAnsi" w:cs="Arial"/>
          <w:lang w:val="en-US"/>
        </w:rPr>
        <w:t xml:space="preserve">of the </w:t>
      </w:r>
      <w:r w:rsidR="00834B13" w:rsidRPr="003171CD">
        <w:rPr>
          <w:rFonts w:eastAsiaTheme="minorHAnsi" w:cs="Arial"/>
          <w:lang w:val="en-US"/>
        </w:rPr>
        <w:t>rights</w:t>
      </w:r>
      <w:r w:rsidR="005A65CE" w:rsidRPr="003171CD">
        <w:rPr>
          <w:rFonts w:eastAsiaTheme="minorHAnsi" w:cs="Arial"/>
          <w:lang w:val="en-US"/>
        </w:rPr>
        <w:t xml:space="preserve"> invol</w:t>
      </w:r>
      <w:r w:rsidR="00CC00E9" w:rsidRPr="003171CD">
        <w:rPr>
          <w:rFonts w:eastAsiaTheme="minorHAnsi" w:cs="Arial"/>
          <w:lang w:val="en-US"/>
        </w:rPr>
        <w:t xml:space="preserve">ved </w:t>
      </w:r>
      <w:r w:rsidR="005A65CE" w:rsidRPr="003171CD">
        <w:rPr>
          <w:rFonts w:eastAsiaTheme="minorHAnsi" w:cs="Arial"/>
          <w:lang w:val="en-US"/>
        </w:rPr>
        <w:t xml:space="preserve">and the </w:t>
      </w:r>
      <w:r w:rsidRPr="003171CD">
        <w:rPr>
          <w:rFonts w:eastAsiaTheme="minorHAnsi" w:cs="Arial"/>
          <w:lang w:val="en-US"/>
        </w:rPr>
        <w:t xml:space="preserve">need to </w:t>
      </w:r>
      <w:r w:rsidR="00630651" w:rsidRPr="003171CD">
        <w:rPr>
          <w:rFonts w:eastAsiaTheme="minorHAnsi" w:cs="Arial"/>
          <w:lang w:val="en-US"/>
        </w:rPr>
        <w:t>ensure</w:t>
      </w:r>
      <w:r w:rsidR="005A65CE" w:rsidRPr="003171CD">
        <w:rPr>
          <w:rFonts w:eastAsiaTheme="minorHAnsi" w:cs="Arial"/>
          <w:lang w:val="en-US"/>
        </w:rPr>
        <w:t xml:space="preserve"> </w:t>
      </w:r>
      <w:r w:rsidR="006661C9" w:rsidRPr="003171CD">
        <w:rPr>
          <w:rFonts w:eastAsiaTheme="minorHAnsi" w:cs="Arial"/>
          <w:lang w:val="en-US"/>
        </w:rPr>
        <w:t xml:space="preserve">both </w:t>
      </w:r>
      <w:r w:rsidR="00CC00E9" w:rsidRPr="003171CD">
        <w:rPr>
          <w:rFonts w:eastAsiaTheme="minorHAnsi" w:cs="Arial"/>
          <w:lang w:val="en-US"/>
        </w:rPr>
        <w:t xml:space="preserve">equality of </w:t>
      </w:r>
      <w:r w:rsidR="006661C9" w:rsidRPr="003171CD">
        <w:rPr>
          <w:rFonts w:eastAsiaTheme="minorHAnsi" w:cs="Arial"/>
          <w:lang w:val="en-US"/>
        </w:rPr>
        <w:t>arms</w:t>
      </w:r>
      <w:r w:rsidR="000A776C" w:rsidRPr="003171CD">
        <w:rPr>
          <w:rFonts w:eastAsiaTheme="minorHAnsi" w:cs="Arial"/>
          <w:lang w:val="en-US"/>
        </w:rPr>
        <w:t xml:space="preserve"> </w:t>
      </w:r>
      <w:r w:rsidR="005039F5" w:rsidRPr="003171CD">
        <w:rPr>
          <w:rFonts w:eastAsiaTheme="minorHAnsi" w:cs="Arial"/>
          <w:lang w:val="en-US"/>
        </w:rPr>
        <w:t xml:space="preserve">and full </w:t>
      </w:r>
      <w:r w:rsidR="00A200CF" w:rsidRPr="003171CD">
        <w:rPr>
          <w:rFonts w:eastAsiaTheme="minorHAnsi" w:cs="Arial"/>
          <w:lang w:val="en-US"/>
        </w:rPr>
        <w:t>respect</w:t>
      </w:r>
      <w:r w:rsidR="005A65CE" w:rsidRPr="003171CD">
        <w:rPr>
          <w:rFonts w:eastAsiaTheme="minorHAnsi" w:cs="Arial"/>
          <w:lang w:val="en-US"/>
        </w:rPr>
        <w:t xml:space="preserve"> </w:t>
      </w:r>
      <w:r w:rsidR="005039F5" w:rsidRPr="003171CD">
        <w:rPr>
          <w:rFonts w:eastAsiaTheme="minorHAnsi" w:cs="Arial"/>
          <w:lang w:val="en-US"/>
        </w:rPr>
        <w:t xml:space="preserve">for the </w:t>
      </w:r>
      <w:r w:rsidR="009027F2" w:rsidRPr="003171CD">
        <w:rPr>
          <w:rFonts w:eastAsiaTheme="minorHAnsi" w:cs="Arial"/>
          <w:lang w:val="en-US"/>
        </w:rPr>
        <w:t>presumption of</w:t>
      </w:r>
      <w:r w:rsidR="005A65CE" w:rsidRPr="003171CD">
        <w:rPr>
          <w:rFonts w:eastAsiaTheme="minorHAnsi" w:cs="Arial"/>
          <w:lang w:val="en-US"/>
        </w:rPr>
        <w:t xml:space="preserve"> innocence, the </w:t>
      </w:r>
      <w:r w:rsidR="006661C9" w:rsidRPr="003171CD">
        <w:rPr>
          <w:rFonts w:eastAsiaTheme="minorHAnsi" w:cs="Arial"/>
          <w:lang w:val="en-US"/>
        </w:rPr>
        <w:t xml:space="preserve">requirement to </w:t>
      </w:r>
      <w:r w:rsidR="005039F5" w:rsidRPr="003171CD">
        <w:rPr>
          <w:rFonts w:eastAsiaTheme="minorHAnsi" w:cs="Arial"/>
          <w:lang w:val="en-US"/>
        </w:rPr>
        <w:t xml:space="preserve">provide </w:t>
      </w:r>
      <w:r w:rsidRPr="003171CD">
        <w:rPr>
          <w:rFonts w:eastAsiaTheme="minorHAnsi" w:cs="Arial"/>
          <w:lang w:val="en-US"/>
        </w:rPr>
        <w:t xml:space="preserve">an attorney </w:t>
      </w:r>
      <w:r w:rsidR="005A65CE" w:rsidRPr="003171CD">
        <w:rPr>
          <w:rFonts w:eastAsiaTheme="minorHAnsi" w:cs="Arial"/>
          <w:lang w:val="en-US"/>
        </w:rPr>
        <w:t>t</w:t>
      </w:r>
      <w:r w:rsidR="005039F5" w:rsidRPr="003171CD">
        <w:rPr>
          <w:rFonts w:eastAsiaTheme="minorHAnsi" w:cs="Arial"/>
          <w:lang w:val="en-US"/>
        </w:rPr>
        <w:t xml:space="preserve">o </w:t>
      </w:r>
      <w:r w:rsidR="004D2546" w:rsidRPr="003171CD">
        <w:rPr>
          <w:rFonts w:eastAsiaTheme="minorHAnsi" w:cs="Arial"/>
          <w:lang w:val="en-US"/>
        </w:rPr>
        <w:t>properly</w:t>
      </w:r>
      <w:r w:rsidR="00F4447D" w:rsidRPr="003171CD">
        <w:rPr>
          <w:rFonts w:eastAsiaTheme="minorHAnsi" w:cs="Arial"/>
          <w:lang w:val="en-US"/>
        </w:rPr>
        <w:t xml:space="preserve"> conduct the</w:t>
      </w:r>
      <w:r w:rsidR="005A65CE" w:rsidRPr="003171CD">
        <w:rPr>
          <w:rFonts w:eastAsiaTheme="minorHAnsi" w:cs="Arial"/>
          <w:lang w:val="en-US"/>
        </w:rPr>
        <w:t xml:space="preserve"> </w:t>
      </w:r>
      <w:r w:rsidRPr="003171CD">
        <w:rPr>
          <w:rFonts w:eastAsiaTheme="minorHAnsi" w:cs="Arial"/>
          <w:lang w:val="en-US"/>
        </w:rPr>
        <w:t xml:space="preserve">legal </w:t>
      </w:r>
      <w:r w:rsidR="00E86957" w:rsidRPr="003171CD">
        <w:rPr>
          <w:rFonts w:eastAsiaTheme="minorHAnsi" w:cs="Arial"/>
          <w:lang w:val="en-US"/>
        </w:rPr>
        <w:t>defense</w:t>
      </w:r>
      <w:r w:rsidR="005A65CE" w:rsidRPr="003171CD">
        <w:rPr>
          <w:rFonts w:eastAsiaTheme="minorHAnsi" w:cs="Arial"/>
          <w:lang w:val="en-US"/>
        </w:rPr>
        <w:t xml:space="preserve"> </w:t>
      </w:r>
      <w:r w:rsidRPr="003171CD">
        <w:rPr>
          <w:rFonts w:eastAsiaTheme="minorHAnsi" w:cs="Arial"/>
          <w:lang w:val="en-US"/>
        </w:rPr>
        <w:t xml:space="preserve">in </w:t>
      </w:r>
      <w:r w:rsidR="005039F5" w:rsidRPr="003171CD">
        <w:rPr>
          <w:rFonts w:eastAsiaTheme="minorHAnsi" w:cs="Arial"/>
          <w:lang w:val="en-US"/>
        </w:rPr>
        <w:t>the proce</w:t>
      </w:r>
      <w:r w:rsidR="00F4447D" w:rsidRPr="003171CD">
        <w:rPr>
          <w:rFonts w:eastAsiaTheme="minorHAnsi" w:cs="Arial"/>
          <w:lang w:val="en-US"/>
        </w:rPr>
        <w:t xml:space="preserve">eding </w:t>
      </w:r>
      <w:r w:rsidR="005A65CE" w:rsidRPr="003171CD">
        <w:rPr>
          <w:rFonts w:eastAsiaTheme="minorHAnsi" w:cs="Arial"/>
          <w:lang w:val="en-US"/>
        </w:rPr>
        <w:t xml:space="preserve">implies that the defense </w:t>
      </w:r>
      <w:r w:rsidR="00CC00E9" w:rsidRPr="003171CD">
        <w:rPr>
          <w:rFonts w:eastAsiaTheme="minorHAnsi" w:cs="Arial"/>
          <w:lang w:val="en-US"/>
        </w:rPr>
        <w:t xml:space="preserve">provided by </w:t>
      </w:r>
      <w:r w:rsidR="005A65CE" w:rsidRPr="003171CD">
        <w:rPr>
          <w:rFonts w:eastAsiaTheme="minorHAnsi" w:cs="Arial"/>
          <w:lang w:val="en-US"/>
        </w:rPr>
        <w:t xml:space="preserve">the State </w:t>
      </w:r>
      <w:r w:rsidR="00CC00E9" w:rsidRPr="003171CD">
        <w:rPr>
          <w:rFonts w:eastAsiaTheme="minorHAnsi" w:cs="Arial"/>
          <w:lang w:val="en-US"/>
        </w:rPr>
        <w:t xml:space="preserve">is not limited solely to </w:t>
      </w:r>
      <w:r w:rsidR="00F4447D" w:rsidRPr="003171CD">
        <w:rPr>
          <w:rFonts w:eastAsiaTheme="minorHAnsi" w:cs="Arial"/>
          <w:lang w:val="en-US"/>
        </w:rPr>
        <w:t xml:space="preserve">the cases of </w:t>
      </w:r>
      <w:r w:rsidR="005A65CE" w:rsidRPr="003171CD">
        <w:rPr>
          <w:rFonts w:eastAsiaTheme="minorHAnsi" w:cs="Arial"/>
          <w:lang w:val="en-US"/>
        </w:rPr>
        <w:t xml:space="preserve">those </w:t>
      </w:r>
      <w:r w:rsidR="00F4447D" w:rsidRPr="003171CD">
        <w:rPr>
          <w:rFonts w:eastAsiaTheme="minorHAnsi" w:cs="Arial"/>
          <w:lang w:val="en-US"/>
        </w:rPr>
        <w:t xml:space="preserve">who lack </w:t>
      </w:r>
      <w:r w:rsidR="005A65CE" w:rsidRPr="003171CD">
        <w:rPr>
          <w:rFonts w:eastAsiaTheme="minorHAnsi" w:cs="Arial"/>
          <w:lang w:val="en-US"/>
        </w:rPr>
        <w:t>re</w:t>
      </w:r>
      <w:r w:rsidR="005039F5" w:rsidRPr="003171CD">
        <w:rPr>
          <w:rFonts w:eastAsiaTheme="minorHAnsi" w:cs="Arial"/>
          <w:lang w:val="en-US"/>
        </w:rPr>
        <w:t>sources</w:t>
      </w:r>
      <w:r w:rsidR="005A65CE" w:rsidRPr="003171CD">
        <w:rPr>
          <w:rFonts w:eastAsiaTheme="minorHAnsi" w:cs="Arial"/>
          <w:lang w:val="en-US"/>
        </w:rPr>
        <w:t>.</w:t>
      </w:r>
    </w:p>
    <w:p w14:paraId="4F231BA4" w14:textId="77777777" w:rsidR="005A65CE" w:rsidRPr="003171CD" w:rsidRDefault="005A65CE" w:rsidP="005A65CE">
      <w:pPr>
        <w:jc w:val="both"/>
        <w:rPr>
          <w:rFonts w:eastAsiaTheme="minorHAnsi" w:cs="Arial"/>
          <w:snapToGrid/>
          <w:lang w:val="en-US" w:eastAsia="en-US"/>
        </w:rPr>
      </w:pPr>
    </w:p>
    <w:p w14:paraId="10E83C45" w14:textId="77777777" w:rsidR="005A65CE" w:rsidRPr="003171CD" w:rsidRDefault="00CC00E9" w:rsidP="005A65CE">
      <w:pPr>
        <w:pStyle w:val="Prrafodelista"/>
        <w:numPr>
          <w:ilvl w:val="0"/>
          <w:numId w:val="1"/>
        </w:numPr>
        <w:tabs>
          <w:tab w:val="left" w:pos="720"/>
          <w:tab w:val="num" w:pos="5057"/>
        </w:tabs>
        <w:ind w:right="-90"/>
        <w:jc w:val="both"/>
        <w:rPr>
          <w:lang w:val="en-US"/>
        </w:rPr>
      </w:pPr>
      <w:r w:rsidRPr="003171CD">
        <w:rPr>
          <w:lang w:val="en-US"/>
        </w:rPr>
        <w:t xml:space="preserve">In this </w:t>
      </w:r>
      <w:r w:rsidR="00F4447D" w:rsidRPr="003171CD">
        <w:rPr>
          <w:lang w:val="en-US"/>
        </w:rPr>
        <w:t>regard</w:t>
      </w:r>
      <w:r w:rsidR="005A65CE" w:rsidRPr="003171CD">
        <w:rPr>
          <w:lang w:val="en-US"/>
        </w:rPr>
        <w:t>, the Court reco</w:t>
      </w:r>
      <w:r w:rsidRPr="003171CD">
        <w:rPr>
          <w:lang w:val="en-US"/>
        </w:rPr>
        <w:t xml:space="preserve">gnizes </w:t>
      </w:r>
      <w:r w:rsidR="005A65CE" w:rsidRPr="003171CD">
        <w:rPr>
          <w:lang w:val="en-US"/>
        </w:rPr>
        <w:t>that a distin</w:t>
      </w:r>
      <w:r w:rsidRPr="003171CD">
        <w:rPr>
          <w:lang w:val="en-US"/>
        </w:rPr>
        <w:t>ctive feature</w:t>
      </w:r>
      <w:r w:rsidR="005A65CE" w:rsidRPr="003171CD">
        <w:rPr>
          <w:lang w:val="en-US"/>
        </w:rPr>
        <w:t xml:space="preserve"> of </w:t>
      </w:r>
      <w:r w:rsidR="006661C9" w:rsidRPr="003171CD">
        <w:rPr>
          <w:lang w:val="en-US"/>
        </w:rPr>
        <w:t xml:space="preserve">most </w:t>
      </w:r>
      <w:r w:rsidR="005A65CE" w:rsidRPr="003171CD">
        <w:rPr>
          <w:lang w:val="en-US"/>
        </w:rPr>
        <w:t xml:space="preserve">States </w:t>
      </w:r>
      <w:r w:rsidR="00F4447D" w:rsidRPr="003171CD">
        <w:rPr>
          <w:lang w:val="en-US"/>
        </w:rPr>
        <w:t xml:space="preserve">Parties </w:t>
      </w:r>
      <w:r w:rsidR="006661C9" w:rsidRPr="003171CD">
        <w:rPr>
          <w:lang w:val="en-US"/>
        </w:rPr>
        <w:t xml:space="preserve">to </w:t>
      </w:r>
      <w:r w:rsidR="005A65CE" w:rsidRPr="003171CD">
        <w:rPr>
          <w:lang w:val="en-US"/>
        </w:rPr>
        <w:t>the Convention is the de</w:t>
      </w:r>
      <w:r w:rsidRPr="003171CD">
        <w:rPr>
          <w:lang w:val="en-US"/>
        </w:rPr>
        <w:t xml:space="preserve">velopment </w:t>
      </w:r>
      <w:r w:rsidR="005A65CE" w:rsidRPr="003171CD">
        <w:rPr>
          <w:lang w:val="en-US"/>
        </w:rPr>
        <w:t xml:space="preserve">of a public </w:t>
      </w:r>
      <w:r w:rsidRPr="003171CD">
        <w:rPr>
          <w:lang w:val="en-US"/>
        </w:rPr>
        <w:t xml:space="preserve">policy and </w:t>
      </w:r>
      <w:r w:rsidR="004D2546" w:rsidRPr="003171CD">
        <w:rPr>
          <w:lang w:val="en-US"/>
        </w:rPr>
        <w:t xml:space="preserve">an </w:t>
      </w:r>
      <w:r w:rsidR="005A65CE" w:rsidRPr="003171CD">
        <w:rPr>
          <w:lang w:val="en-US"/>
        </w:rPr>
        <w:t>institutional</w:t>
      </w:r>
      <w:r w:rsidRPr="003171CD">
        <w:rPr>
          <w:lang w:val="en-US"/>
        </w:rPr>
        <w:t xml:space="preserve"> framework to </w:t>
      </w:r>
      <w:r w:rsidR="006661C9" w:rsidRPr="003171CD">
        <w:rPr>
          <w:lang w:val="en-US"/>
        </w:rPr>
        <w:t xml:space="preserve">guarantee to </w:t>
      </w:r>
      <w:r w:rsidR="00A97CD9" w:rsidRPr="003171CD">
        <w:rPr>
          <w:lang w:val="en-US"/>
        </w:rPr>
        <w:t xml:space="preserve">anyone who </w:t>
      </w:r>
      <w:r w:rsidR="00693A1C" w:rsidRPr="003171CD">
        <w:rPr>
          <w:lang w:val="en-US"/>
        </w:rPr>
        <w:t>require</w:t>
      </w:r>
      <w:r w:rsidR="00A97CD9" w:rsidRPr="003171CD">
        <w:rPr>
          <w:lang w:val="en-US"/>
        </w:rPr>
        <w:t>s</w:t>
      </w:r>
      <w:r w:rsidR="00693A1C" w:rsidRPr="003171CD">
        <w:rPr>
          <w:lang w:val="en-US"/>
        </w:rPr>
        <w:t xml:space="preserve"> it</w:t>
      </w:r>
      <w:r w:rsidR="006661C9" w:rsidRPr="003171CD">
        <w:rPr>
          <w:lang w:val="en-US"/>
        </w:rPr>
        <w:t>,</w:t>
      </w:r>
      <w:r w:rsidR="00A97CD9" w:rsidRPr="003171CD">
        <w:rPr>
          <w:lang w:val="en-US"/>
        </w:rPr>
        <w:t xml:space="preserve"> </w:t>
      </w:r>
      <w:r w:rsidR="006661C9" w:rsidRPr="003171CD">
        <w:rPr>
          <w:lang w:val="en-US"/>
        </w:rPr>
        <w:t xml:space="preserve">at </w:t>
      </w:r>
      <w:r w:rsidR="00693A1C" w:rsidRPr="003171CD">
        <w:rPr>
          <w:lang w:val="en-US"/>
        </w:rPr>
        <w:t xml:space="preserve">all </w:t>
      </w:r>
      <w:r w:rsidR="00E86957" w:rsidRPr="003171CD">
        <w:rPr>
          <w:lang w:val="en-US"/>
        </w:rPr>
        <w:t>stage</w:t>
      </w:r>
      <w:r w:rsidR="005A65CE" w:rsidRPr="003171CD">
        <w:rPr>
          <w:lang w:val="en-US"/>
        </w:rPr>
        <w:t xml:space="preserve">s </w:t>
      </w:r>
      <w:r w:rsidR="006661C9" w:rsidRPr="003171CD">
        <w:rPr>
          <w:lang w:val="en-US"/>
        </w:rPr>
        <w:t>of a</w:t>
      </w:r>
      <w:r w:rsidR="00693A1C" w:rsidRPr="003171CD">
        <w:rPr>
          <w:lang w:val="en-US"/>
        </w:rPr>
        <w:t xml:space="preserve"> </w:t>
      </w:r>
      <w:r w:rsidR="006661C9" w:rsidRPr="003171CD">
        <w:rPr>
          <w:lang w:val="en-US"/>
        </w:rPr>
        <w:t xml:space="preserve">judicial </w:t>
      </w:r>
      <w:r w:rsidR="00693A1C" w:rsidRPr="003171CD">
        <w:rPr>
          <w:lang w:val="en-US"/>
        </w:rPr>
        <w:t>proceeding</w:t>
      </w:r>
      <w:r w:rsidR="006661C9" w:rsidRPr="003171CD">
        <w:rPr>
          <w:lang w:val="en-US"/>
        </w:rPr>
        <w:t>,</w:t>
      </w:r>
      <w:r w:rsidR="00693A1C" w:rsidRPr="003171CD">
        <w:rPr>
          <w:lang w:val="en-US"/>
        </w:rPr>
        <w:t xml:space="preserve"> </w:t>
      </w:r>
      <w:r w:rsidR="005A65CE" w:rsidRPr="003171CD">
        <w:rPr>
          <w:lang w:val="en-US"/>
        </w:rPr>
        <w:t>the</w:t>
      </w:r>
      <w:r w:rsidR="00A97CD9" w:rsidRPr="003171CD">
        <w:rPr>
          <w:lang w:val="en-US"/>
        </w:rPr>
        <w:t>ir</w:t>
      </w:r>
      <w:r w:rsidR="005A65CE" w:rsidRPr="003171CD">
        <w:rPr>
          <w:lang w:val="en-US"/>
        </w:rPr>
        <w:t xml:space="preserve"> in</w:t>
      </w:r>
      <w:r w:rsidR="006661C9" w:rsidRPr="003171CD">
        <w:rPr>
          <w:lang w:val="en-US"/>
        </w:rPr>
        <w:t xml:space="preserve">alienable </w:t>
      </w:r>
      <w:r w:rsidR="00A97CD9" w:rsidRPr="003171CD">
        <w:rPr>
          <w:lang w:val="en-US"/>
        </w:rPr>
        <w:t xml:space="preserve">right to be assisted by </w:t>
      </w:r>
      <w:r w:rsidR="00A97CD9" w:rsidRPr="003171CD">
        <w:rPr>
          <w:lang w:val="en-GB"/>
        </w:rPr>
        <w:t xml:space="preserve">legal counsel </w:t>
      </w:r>
      <w:r w:rsidR="005A65CE" w:rsidRPr="003171CD">
        <w:rPr>
          <w:lang w:val="en-US"/>
        </w:rPr>
        <w:t xml:space="preserve">in </w:t>
      </w:r>
      <w:r w:rsidR="00693A1C" w:rsidRPr="003171CD">
        <w:rPr>
          <w:lang w:val="en-US"/>
        </w:rPr>
        <w:t xml:space="preserve">criminal </w:t>
      </w:r>
      <w:r w:rsidR="009027F2" w:rsidRPr="003171CD">
        <w:rPr>
          <w:lang w:val="en-US"/>
        </w:rPr>
        <w:t>proceedings</w:t>
      </w:r>
      <w:r w:rsidR="00A97CD9" w:rsidRPr="003171CD">
        <w:rPr>
          <w:lang w:val="en-US"/>
        </w:rPr>
        <w:t>,</w:t>
      </w:r>
      <w:r w:rsidR="009027F2" w:rsidRPr="003171CD">
        <w:rPr>
          <w:lang w:val="en-US"/>
        </w:rPr>
        <w:t xml:space="preserve"> </w:t>
      </w:r>
      <w:r w:rsidR="004D2546" w:rsidRPr="003171CD">
        <w:rPr>
          <w:lang w:val="en-US"/>
        </w:rPr>
        <w:t xml:space="preserve">through </w:t>
      </w:r>
      <w:r w:rsidR="005A65CE" w:rsidRPr="003171CD">
        <w:rPr>
          <w:lang w:val="en-US"/>
        </w:rPr>
        <w:t>public</w:t>
      </w:r>
      <w:r w:rsidRPr="003171CD">
        <w:rPr>
          <w:lang w:val="en-US"/>
        </w:rPr>
        <w:t xml:space="preserve"> defender</w:t>
      </w:r>
      <w:r w:rsidR="005A65CE" w:rsidRPr="003171CD">
        <w:rPr>
          <w:lang w:val="en-US"/>
        </w:rPr>
        <w:t>s</w:t>
      </w:r>
      <w:r w:rsidR="00A97CD9" w:rsidRPr="003171CD">
        <w:rPr>
          <w:lang w:val="en-US"/>
        </w:rPr>
        <w:t>.</w:t>
      </w:r>
      <w:r w:rsidR="005A65CE" w:rsidRPr="003171CD">
        <w:rPr>
          <w:rStyle w:val="Refdenotaalpie"/>
          <w:lang w:val="en-US"/>
        </w:rPr>
        <w:footnoteReference w:id="218"/>
      </w:r>
      <w:r w:rsidR="005A65CE" w:rsidRPr="003171CD">
        <w:rPr>
          <w:lang w:val="en-US"/>
        </w:rPr>
        <w:t xml:space="preserve"> </w:t>
      </w:r>
      <w:r w:rsidR="00A97CD9" w:rsidRPr="003171CD">
        <w:rPr>
          <w:lang w:val="en-US"/>
        </w:rPr>
        <w:t>T</w:t>
      </w:r>
      <w:r w:rsidRPr="003171CD">
        <w:rPr>
          <w:lang w:val="en-US"/>
        </w:rPr>
        <w:t>h</w:t>
      </w:r>
      <w:r w:rsidR="00A97CD9" w:rsidRPr="003171CD">
        <w:rPr>
          <w:lang w:val="en-US"/>
        </w:rPr>
        <w:t xml:space="preserve">is ensures </w:t>
      </w:r>
      <w:r w:rsidR="005A65CE" w:rsidRPr="003171CD">
        <w:rPr>
          <w:lang w:val="en-US"/>
        </w:rPr>
        <w:t xml:space="preserve">access to justice </w:t>
      </w:r>
      <w:r w:rsidR="00693A1C" w:rsidRPr="003171CD">
        <w:rPr>
          <w:lang w:val="en-US"/>
        </w:rPr>
        <w:t xml:space="preserve">for </w:t>
      </w:r>
      <w:r w:rsidR="005A65CE" w:rsidRPr="003171CD">
        <w:rPr>
          <w:lang w:val="en-US"/>
        </w:rPr>
        <w:t xml:space="preserve">the </w:t>
      </w:r>
      <w:r w:rsidRPr="003171CD">
        <w:rPr>
          <w:lang w:val="en-US"/>
        </w:rPr>
        <w:t xml:space="preserve">most disadvantaged </w:t>
      </w:r>
      <w:r w:rsidR="005A65CE" w:rsidRPr="003171CD">
        <w:rPr>
          <w:lang w:val="en-US"/>
        </w:rPr>
        <w:t>pe</w:t>
      </w:r>
      <w:r w:rsidRPr="003171CD">
        <w:rPr>
          <w:lang w:val="en-US"/>
        </w:rPr>
        <w:t xml:space="preserve">ople </w:t>
      </w:r>
      <w:r w:rsidR="00EA229E" w:rsidRPr="003171CD">
        <w:rPr>
          <w:lang w:val="en-US"/>
        </w:rPr>
        <w:t xml:space="preserve">who are most affected by the “criminal </w:t>
      </w:r>
      <w:r w:rsidR="005A65CE" w:rsidRPr="003171CD">
        <w:rPr>
          <w:lang w:val="en-US"/>
        </w:rPr>
        <w:t>selec</w:t>
      </w:r>
      <w:r w:rsidR="00D42FEA" w:rsidRPr="003171CD">
        <w:rPr>
          <w:lang w:val="en-US"/>
        </w:rPr>
        <w:t>tivity</w:t>
      </w:r>
      <w:r w:rsidR="00EA229E" w:rsidRPr="003171CD">
        <w:rPr>
          <w:lang w:val="en-US"/>
        </w:rPr>
        <w:t>” of the criminal justice process</w:t>
      </w:r>
      <w:r w:rsidR="005A65CE" w:rsidRPr="003171CD">
        <w:rPr>
          <w:lang w:val="en-US"/>
        </w:rPr>
        <w:t xml:space="preserve">. </w:t>
      </w:r>
      <w:r w:rsidRPr="003171CD">
        <w:rPr>
          <w:lang w:val="en-US"/>
        </w:rPr>
        <w:t>Thus</w:t>
      </w:r>
      <w:r w:rsidR="005A65CE" w:rsidRPr="003171CD">
        <w:rPr>
          <w:lang w:val="en-US"/>
        </w:rPr>
        <w:t xml:space="preserve">, the General </w:t>
      </w:r>
      <w:r w:rsidRPr="003171CD">
        <w:rPr>
          <w:lang w:val="en-US"/>
        </w:rPr>
        <w:t xml:space="preserve">Assembly </w:t>
      </w:r>
      <w:r w:rsidR="005A65CE" w:rsidRPr="003171CD">
        <w:rPr>
          <w:lang w:val="en-US"/>
        </w:rPr>
        <w:t>of the O</w:t>
      </w:r>
      <w:r w:rsidRPr="003171CD">
        <w:rPr>
          <w:lang w:val="en-US"/>
        </w:rPr>
        <w:t>AS</w:t>
      </w:r>
      <w:r w:rsidR="005A65CE" w:rsidRPr="003171CD">
        <w:rPr>
          <w:lang w:val="en-US"/>
        </w:rPr>
        <w:t xml:space="preserve"> ha</w:t>
      </w:r>
      <w:r w:rsidRPr="003171CD">
        <w:rPr>
          <w:lang w:val="en-US"/>
        </w:rPr>
        <w:t>s</w:t>
      </w:r>
      <w:r w:rsidR="005A65CE" w:rsidRPr="003171CD">
        <w:rPr>
          <w:lang w:val="en-US"/>
        </w:rPr>
        <w:t xml:space="preserve"> </w:t>
      </w:r>
      <w:r w:rsidR="004D2546" w:rsidRPr="003171CD">
        <w:rPr>
          <w:lang w:val="en-US"/>
        </w:rPr>
        <w:t xml:space="preserve">confirmed </w:t>
      </w:r>
      <w:r w:rsidRPr="003171CD">
        <w:rPr>
          <w:lang w:val="en-US"/>
        </w:rPr>
        <w:t>“the</w:t>
      </w:r>
      <w:r w:rsidR="005A65CE" w:rsidRPr="003171CD">
        <w:rPr>
          <w:lang w:val="en-US"/>
        </w:rPr>
        <w:t xml:space="preserve"> fundamental </w:t>
      </w:r>
      <w:r w:rsidRPr="003171CD">
        <w:rPr>
          <w:lang w:val="en-US"/>
        </w:rPr>
        <w:t xml:space="preserve">importance of </w:t>
      </w:r>
      <w:r w:rsidR="00E60DAA" w:rsidRPr="003171CD">
        <w:rPr>
          <w:lang w:val="en-US"/>
        </w:rPr>
        <w:t>cost-</w:t>
      </w:r>
      <w:r w:rsidR="005039F5" w:rsidRPr="003171CD">
        <w:rPr>
          <w:lang w:val="en-US"/>
        </w:rPr>
        <w:t xml:space="preserve">free </w:t>
      </w:r>
      <w:r w:rsidRPr="003171CD">
        <w:rPr>
          <w:lang w:val="en-US"/>
        </w:rPr>
        <w:t xml:space="preserve">legal </w:t>
      </w:r>
      <w:r w:rsidR="00E60DAA" w:rsidRPr="003171CD">
        <w:rPr>
          <w:lang w:val="en-US"/>
        </w:rPr>
        <w:t xml:space="preserve">counsel </w:t>
      </w:r>
      <w:r w:rsidRPr="003171CD">
        <w:rPr>
          <w:lang w:val="en-US"/>
        </w:rPr>
        <w:t>service</w:t>
      </w:r>
      <w:r w:rsidR="00E60DAA" w:rsidRPr="003171CD">
        <w:rPr>
          <w:lang w:val="en-US"/>
        </w:rPr>
        <w:t>s</w:t>
      </w:r>
      <w:r w:rsidRPr="003171CD">
        <w:rPr>
          <w:lang w:val="en-US"/>
        </w:rPr>
        <w:t xml:space="preserve"> </w:t>
      </w:r>
      <w:r w:rsidR="005039F5" w:rsidRPr="003171CD">
        <w:rPr>
          <w:lang w:val="en-US"/>
        </w:rPr>
        <w:t xml:space="preserve">for </w:t>
      </w:r>
      <w:r w:rsidR="00E60DAA" w:rsidRPr="003171CD">
        <w:rPr>
          <w:lang w:val="en-US"/>
        </w:rPr>
        <w:t xml:space="preserve">promoting and protecting </w:t>
      </w:r>
      <w:r w:rsidR="00693A1C" w:rsidRPr="003171CD">
        <w:rPr>
          <w:lang w:val="en-US"/>
        </w:rPr>
        <w:t xml:space="preserve">the </w:t>
      </w:r>
      <w:r w:rsidR="00765AD7" w:rsidRPr="003171CD">
        <w:rPr>
          <w:lang w:val="en-US"/>
        </w:rPr>
        <w:t>right</w:t>
      </w:r>
      <w:r w:rsidR="005A65CE" w:rsidRPr="003171CD">
        <w:rPr>
          <w:lang w:val="en-US"/>
        </w:rPr>
        <w:t xml:space="preserve"> o</w:t>
      </w:r>
      <w:r w:rsidR="00693A1C" w:rsidRPr="003171CD">
        <w:rPr>
          <w:lang w:val="en-US"/>
        </w:rPr>
        <w:t xml:space="preserve">f access to justice </w:t>
      </w:r>
      <w:r w:rsidR="00E60DAA" w:rsidRPr="003171CD">
        <w:rPr>
          <w:lang w:val="en-US"/>
        </w:rPr>
        <w:t xml:space="preserve">for everyone, </w:t>
      </w:r>
      <w:r w:rsidR="005A65CE" w:rsidRPr="003171CD">
        <w:rPr>
          <w:lang w:val="en-US"/>
        </w:rPr>
        <w:t>particular</w:t>
      </w:r>
      <w:r w:rsidR="00E60DAA" w:rsidRPr="003171CD">
        <w:rPr>
          <w:lang w:val="en-US"/>
        </w:rPr>
        <w:t>ly</w:t>
      </w:r>
      <w:r w:rsidR="005A65CE" w:rsidRPr="003171CD">
        <w:rPr>
          <w:lang w:val="en-US"/>
        </w:rPr>
        <w:t xml:space="preserve"> those </w:t>
      </w:r>
      <w:r w:rsidR="00E60DAA" w:rsidRPr="003171CD">
        <w:rPr>
          <w:lang w:val="en-US"/>
        </w:rPr>
        <w:t xml:space="preserve">who are especially </w:t>
      </w:r>
      <w:r w:rsidR="005A65CE" w:rsidRPr="003171CD">
        <w:rPr>
          <w:lang w:val="en-US"/>
        </w:rPr>
        <w:t>vulnerab</w:t>
      </w:r>
      <w:r w:rsidR="00E60DAA" w:rsidRPr="003171CD">
        <w:rPr>
          <w:lang w:val="en-US"/>
        </w:rPr>
        <w:t>le.</w:t>
      </w:r>
      <w:r w:rsidR="005A65CE" w:rsidRPr="003171CD">
        <w:rPr>
          <w:lang w:val="en-US"/>
        </w:rPr>
        <w:t>”</w:t>
      </w:r>
      <w:r w:rsidR="005A65CE" w:rsidRPr="003171CD">
        <w:rPr>
          <w:vertAlign w:val="superscript"/>
          <w:lang w:val="en-US"/>
        </w:rPr>
        <w:footnoteReference w:id="219"/>
      </w:r>
      <w:r w:rsidR="000335B8" w:rsidRPr="003171CD">
        <w:rPr>
          <w:lang w:val="en-US"/>
        </w:rPr>
        <w:t xml:space="preserve"> T</w:t>
      </w:r>
      <w:r w:rsidR="005A65CE" w:rsidRPr="003171CD">
        <w:rPr>
          <w:lang w:val="en-US"/>
        </w:rPr>
        <w:t>h</w:t>
      </w:r>
      <w:r w:rsidR="009027F2" w:rsidRPr="003171CD">
        <w:rPr>
          <w:lang w:val="en-US"/>
        </w:rPr>
        <w:t xml:space="preserve">e </w:t>
      </w:r>
      <w:r w:rsidR="005A65CE" w:rsidRPr="003171CD">
        <w:rPr>
          <w:lang w:val="en-US"/>
        </w:rPr>
        <w:t>provision of</w:t>
      </w:r>
      <w:r w:rsidR="000335B8" w:rsidRPr="003171CD">
        <w:rPr>
          <w:lang w:val="en-US"/>
        </w:rPr>
        <w:t xml:space="preserve"> cost-</w:t>
      </w:r>
      <w:r w:rsidR="00226A62" w:rsidRPr="003171CD">
        <w:rPr>
          <w:lang w:val="en-US"/>
        </w:rPr>
        <w:t xml:space="preserve">free </w:t>
      </w:r>
      <w:r w:rsidR="005A65CE" w:rsidRPr="003171CD">
        <w:rPr>
          <w:lang w:val="en-US"/>
        </w:rPr>
        <w:t xml:space="preserve">public </w:t>
      </w:r>
      <w:r w:rsidR="00226A62" w:rsidRPr="003171CD">
        <w:rPr>
          <w:lang w:val="en-US"/>
        </w:rPr>
        <w:t>legal a</w:t>
      </w:r>
      <w:r w:rsidR="000335B8" w:rsidRPr="003171CD">
        <w:rPr>
          <w:lang w:val="en-US"/>
        </w:rPr>
        <w:t>id th</w:t>
      </w:r>
      <w:r w:rsidR="009027F2" w:rsidRPr="003171CD">
        <w:rPr>
          <w:lang w:val="en-US"/>
        </w:rPr>
        <w:t>rough th</w:t>
      </w:r>
      <w:r w:rsidR="000335B8" w:rsidRPr="003171CD">
        <w:rPr>
          <w:lang w:val="en-US"/>
        </w:rPr>
        <w:t xml:space="preserve">e institution of the public defender </w:t>
      </w:r>
      <w:r w:rsidR="00AE64AB" w:rsidRPr="003171CD">
        <w:rPr>
          <w:lang w:val="en-US"/>
        </w:rPr>
        <w:t>un</w:t>
      </w:r>
      <w:r w:rsidR="00B90F96" w:rsidRPr="003171CD">
        <w:rPr>
          <w:lang w:val="en-US"/>
        </w:rPr>
        <w:t>doubt</w:t>
      </w:r>
      <w:r w:rsidR="00AE64AB" w:rsidRPr="003171CD">
        <w:rPr>
          <w:lang w:val="en-US"/>
        </w:rPr>
        <w:t>edly</w:t>
      </w:r>
      <w:r w:rsidR="00226A62" w:rsidRPr="003171CD">
        <w:rPr>
          <w:lang w:val="en-US"/>
        </w:rPr>
        <w:t xml:space="preserve"> serves to </w:t>
      </w:r>
      <w:r w:rsidR="005A65CE" w:rsidRPr="003171CD">
        <w:rPr>
          <w:lang w:val="en-US"/>
        </w:rPr>
        <w:t>adequate</w:t>
      </w:r>
      <w:r w:rsidR="00AE64AB" w:rsidRPr="003171CD">
        <w:rPr>
          <w:lang w:val="en-US"/>
        </w:rPr>
        <w:t xml:space="preserve">ly compensate </w:t>
      </w:r>
      <w:r w:rsidR="009027F2" w:rsidRPr="003171CD">
        <w:rPr>
          <w:lang w:val="en-US"/>
        </w:rPr>
        <w:t xml:space="preserve">for the procedural inequality of </w:t>
      </w:r>
      <w:r w:rsidR="006661C9" w:rsidRPr="003171CD">
        <w:rPr>
          <w:lang w:val="en-US"/>
        </w:rPr>
        <w:t>th</w:t>
      </w:r>
      <w:r w:rsidR="009027F2" w:rsidRPr="003171CD">
        <w:rPr>
          <w:lang w:val="en-US"/>
        </w:rPr>
        <w:t xml:space="preserve">ose facing </w:t>
      </w:r>
      <w:r w:rsidR="00AE64AB" w:rsidRPr="003171CD">
        <w:rPr>
          <w:lang w:val="en-US"/>
        </w:rPr>
        <w:t xml:space="preserve">the punitive power of </w:t>
      </w:r>
      <w:r w:rsidR="005A65CE" w:rsidRPr="003171CD">
        <w:rPr>
          <w:lang w:val="en-US"/>
        </w:rPr>
        <w:t>the State</w:t>
      </w:r>
      <w:r w:rsidR="009027F2" w:rsidRPr="003171CD">
        <w:rPr>
          <w:lang w:val="en-US"/>
        </w:rPr>
        <w:t>, who</w:t>
      </w:r>
      <w:r w:rsidR="005A65CE" w:rsidRPr="003171CD">
        <w:rPr>
          <w:lang w:val="en-US"/>
        </w:rPr>
        <w:t xml:space="preserve"> </w:t>
      </w:r>
      <w:r w:rsidR="009027F2" w:rsidRPr="003171CD">
        <w:rPr>
          <w:lang w:val="en-US"/>
        </w:rPr>
        <w:t xml:space="preserve">are </w:t>
      </w:r>
      <w:r w:rsidR="00AB19CB" w:rsidRPr="003171CD">
        <w:rPr>
          <w:lang w:val="en-US"/>
        </w:rPr>
        <w:t xml:space="preserve">in a particularly </w:t>
      </w:r>
      <w:r w:rsidR="00AB19CB" w:rsidRPr="003171CD">
        <w:rPr>
          <w:lang w:val="en-US"/>
        </w:rPr>
        <w:lastRenderedPageBreak/>
        <w:t xml:space="preserve">vulnerable situation by being deprived of liberty, and to </w:t>
      </w:r>
      <w:r w:rsidR="000D048E" w:rsidRPr="003171CD">
        <w:rPr>
          <w:lang w:val="en-US"/>
        </w:rPr>
        <w:t xml:space="preserve">guarantee their </w:t>
      </w:r>
      <w:r w:rsidR="00693A1C" w:rsidRPr="003171CD">
        <w:rPr>
          <w:lang w:val="en-US"/>
        </w:rPr>
        <w:t>effective access to justice o</w:t>
      </w:r>
      <w:r w:rsidR="005A65CE" w:rsidRPr="003171CD">
        <w:rPr>
          <w:lang w:val="en-US"/>
        </w:rPr>
        <w:t xml:space="preserve">n </w:t>
      </w:r>
      <w:r w:rsidR="00693A1C" w:rsidRPr="003171CD">
        <w:rPr>
          <w:lang w:val="en-US"/>
        </w:rPr>
        <w:t xml:space="preserve">equal </w:t>
      </w:r>
      <w:r w:rsidR="005A65CE" w:rsidRPr="003171CD">
        <w:rPr>
          <w:lang w:val="en-US"/>
        </w:rPr>
        <w:t>terms</w:t>
      </w:r>
      <w:r w:rsidR="00693A1C" w:rsidRPr="003171CD">
        <w:rPr>
          <w:lang w:val="en-US"/>
        </w:rPr>
        <w:t>.</w:t>
      </w:r>
      <w:r w:rsidR="005A65CE" w:rsidRPr="003171CD">
        <w:rPr>
          <w:vertAlign w:val="superscript"/>
          <w:lang w:val="en-US"/>
        </w:rPr>
        <w:footnoteReference w:id="220"/>
      </w:r>
    </w:p>
    <w:p w14:paraId="385CE6CD" w14:textId="77777777" w:rsidR="005A65CE" w:rsidRPr="003171CD" w:rsidRDefault="005A65CE" w:rsidP="005A65CE">
      <w:pPr>
        <w:tabs>
          <w:tab w:val="left" w:pos="567"/>
        </w:tabs>
        <w:autoSpaceDE/>
        <w:autoSpaceDN/>
        <w:adjustRightInd/>
        <w:jc w:val="both"/>
        <w:rPr>
          <w:rFonts w:cs="Times New Roman"/>
          <w:snapToGrid/>
          <w:lang w:val="en-US" w:eastAsia="en-US"/>
        </w:rPr>
      </w:pPr>
    </w:p>
    <w:p w14:paraId="5F0F281A" w14:textId="77777777" w:rsidR="005A65CE" w:rsidRPr="003171CD" w:rsidRDefault="00DC6F4B"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Nevertheless</w:t>
      </w:r>
      <w:r w:rsidR="005A65CE" w:rsidRPr="003171CD">
        <w:rPr>
          <w:rFonts w:eastAsiaTheme="minorHAnsi" w:cs="Arial"/>
          <w:lang w:val="en-US"/>
        </w:rPr>
        <w:t>, the Court ha</w:t>
      </w:r>
      <w:r w:rsidR="00630651" w:rsidRPr="003171CD">
        <w:rPr>
          <w:rFonts w:eastAsiaTheme="minorHAnsi" w:cs="Arial"/>
          <w:lang w:val="en-US"/>
        </w:rPr>
        <w:t>s</w:t>
      </w:r>
      <w:r w:rsidR="005A65CE" w:rsidRPr="003171CD">
        <w:rPr>
          <w:rFonts w:eastAsiaTheme="minorHAnsi" w:cs="Arial"/>
          <w:lang w:val="en-US"/>
        </w:rPr>
        <w:t xml:space="preserve"> considered that </w:t>
      </w:r>
      <w:r w:rsidR="00B120FB" w:rsidRPr="003171CD">
        <w:rPr>
          <w:lang w:val="en-US"/>
        </w:rPr>
        <w:t>the appointment of a defense counsel for the sole purpose of complying with a procedural formality would be tantamount to not having technical legal representation;</w:t>
      </w:r>
      <w:r w:rsidR="005A65CE" w:rsidRPr="003171CD">
        <w:rPr>
          <w:rFonts w:eastAsiaTheme="minorHAnsi" w:cs="Arial"/>
          <w:lang w:val="en-US"/>
        </w:rPr>
        <w:t xml:space="preserve"> </w:t>
      </w:r>
      <w:r w:rsidR="00B120FB" w:rsidRPr="003171CD">
        <w:rPr>
          <w:lang w:val="en-US"/>
        </w:rPr>
        <w:t xml:space="preserve">therefore, it is imperative that the defense counsel act diligently in order to protect the procedural guarantees of the accused and thereby prevent </w:t>
      </w:r>
      <w:r w:rsidR="007E7945" w:rsidRPr="003171CD">
        <w:rPr>
          <w:lang w:val="en-US"/>
        </w:rPr>
        <w:t>his</w:t>
      </w:r>
      <w:r w:rsidRPr="003171CD">
        <w:rPr>
          <w:lang w:val="en-US"/>
        </w:rPr>
        <w:t xml:space="preserve"> </w:t>
      </w:r>
      <w:r w:rsidR="00B120FB" w:rsidRPr="003171CD">
        <w:rPr>
          <w:lang w:val="en-US"/>
        </w:rPr>
        <w:t>rights from being violated</w:t>
      </w:r>
      <w:r w:rsidR="007E7945" w:rsidRPr="003171CD">
        <w:rPr>
          <w:lang w:val="en-US"/>
        </w:rPr>
        <w:t>,</w:t>
      </w:r>
      <w:r w:rsidR="005A65CE" w:rsidRPr="003171CD">
        <w:rPr>
          <w:rFonts w:eastAsiaTheme="minorHAnsi"/>
          <w:vertAlign w:val="superscript"/>
          <w:lang w:val="en-US"/>
        </w:rPr>
        <w:footnoteReference w:id="221"/>
      </w:r>
      <w:r w:rsidR="005A65CE" w:rsidRPr="003171CD">
        <w:rPr>
          <w:rFonts w:eastAsiaTheme="minorHAnsi" w:cs="Arial"/>
          <w:lang w:val="en-US"/>
        </w:rPr>
        <w:t xml:space="preserve"> </w:t>
      </w:r>
      <w:r w:rsidR="007E7945" w:rsidRPr="003171CD">
        <w:rPr>
          <w:rFonts w:eastAsiaTheme="minorHAnsi" w:cs="Arial"/>
          <w:lang w:val="en-US"/>
        </w:rPr>
        <w:t xml:space="preserve">thereby </w:t>
      </w:r>
      <w:r w:rsidR="00B120FB" w:rsidRPr="003171CD">
        <w:rPr>
          <w:rFonts w:eastAsiaTheme="minorHAnsi" w:cs="Arial"/>
          <w:lang w:val="en-US"/>
        </w:rPr>
        <w:t xml:space="preserve">breaking </w:t>
      </w:r>
      <w:r w:rsidR="005A65CE" w:rsidRPr="003171CD">
        <w:rPr>
          <w:rFonts w:eastAsiaTheme="minorHAnsi" w:cs="Arial"/>
          <w:lang w:val="en-US"/>
        </w:rPr>
        <w:t xml:space="preserve">the </w:t>
      </w:r>
      <w:r w:rsidR="00B120FB" w:rsidRPr="003171CD">
        <w:rPr>
          <w:rFonts w:eastAsiaTheme="minorHAnsi" w:cs="Arial"/>
          <w:lang w:val="en-US"/>
        </w:rPr>
        <w:t>bond</w:t>
      </w:r>
      <w:r w:rsidR="006714A6" w:rsidRPr="003171CD">
        <w:rPr>
          <w:rFonts w:eastAsiaTheme="minorHAnsi" w:cs="Arial"/>
          <w:lang w:val="en-US"/>
        </w:rPr>
        <w:t xml:space="preserve"> of trust</w:t>
      </w:r>
      <w:r w:rsidR="005A65CE" w:rsidRPr="003171CD">
        <w:rPr>
          <w:rFonts w:eastAsiaTheme="minorHAnsi" w:cs="Arial"/>
          <w:lang w:val="en-US"/>
        </w:rPr>
        <w:t xml:space="preserve">. </w:t>
      </w:r>
      <w:r w:rsidRPr="003171CD">
        <w:rPr>
          <w:rFonts w:eastAsiaTheme="minorHAnsi" w:cs="Arial"/>
          <w:lang w:val="en-US"/>
        </w:rPr>
        <w:t>Therefore</w:t>
      </w:r>
      <w:r w:rsidR="000335B8" w:rsidRPr="003171CD">
        <w:rPr>
          <w:rFonts w:eastAsiaTheme="minorHAnsi" w:cs="Arial"/>
          <w:lang w:val="en-US"/>
        </w:rPr>
        <w:t xml:space="preserve">, the institution of the </w:t>
      </w:r>
      <w:r w:rsidR="005A65CE" w:rsidRPr="003171CD">
        <w:rPr>
          <w:rFonts w:eastAsiaTheme="minorHAnsi" w:cs="Arial"/>
          <w:lang w:val="en-US"/>
        </w:rPr>
        <w:t>public defen</w:t>
      </w:r>
      <w:r w:rsidR="000335B8" w:rsidRPr="003171CD">
        <w:rPr>
          <w:rFonts w:eastAsiaTheme="minorHAnsi" w:cs="Arial"/>
          <w:lang w:val="en-US"/>
        </w:rPr>
        <w:t>der</w:t>
      </w:r>
      <w:r w:rsidR="005A65CE" w:rsidRPr="003171CD">
        <w:rPr>
          <w:rFonts w:eastAsiaTheme="minorHAnsi" w:cs="Arial"/>
          <w:lang w:val="en-US"/>
        </w:rPr>
        <w:t xml:space="preserve">, </w:t>
      </w:r>
      <w:r w:rsidR="00AE64AB" w:rsidRPr="003171CD">
        <w:rPr>
          <w:rFonts w:eastAsiaTheme="minorHAnsi" w:cs="Arial"/>
          <w:lang w:val="en-US"/>
        </w:rPr>
        <w:t xml:space="preserve">as a </w:t>
      </w:r>
      <w:r w:rsidR="000335B8" w:rsidRPr="003171CD">
        <w:rPr>
          <w:rFonts w:eastAsiaTheme="minorHAnsi" w:cs="Arial"/>
          <w:lang w:val="en-US"/>
        </w:rPr>
        <w:t xml:space="preserve">mechanism </w:t>
      </w:r>
      <w:r w:rsidR="00AE64AB" w:rsidRPr="003171CD">
        <w:rPr>
          <w:rFonts w:eastAsiaTheme="minorHAnsi" w:cs="Arial"/>
          <w:lang w:val="en-US"/>
        </w:rPr>
        <w:t xml:space="preserve">through which </w:t>
      </w:r>
      <w:r w:rsidR="005A65CE" w:rsidRPr="003171CD">
        <w:rPr>
          <w:rFonts w:eastAsiaTheme="minorHAnsi" w:cs="Arial"/>
          <w:lang w:val="en-US"/>
        </w:rPr>
        <w:t xml:space="preserve">the State </w:t>
      </w:r>
      <w:r w:rsidR="006714A6" w:rsidRPr="003171CD">
        <w:rPr>
          <w:rFonts w:eastAsiaTheme="minorHAnsi" w:cs="Arial"/>
          <w:lang w:val="en-US"/>
        </w:rPr>
        <w:t xml:space="preserve">guarantees </w:t>
      </w:r>
      <w:r w:rsidR="005A65CE" w:rsidRPr="003171CD">
        <w:rPr>
          <w:rFonts w:eastAsiaTheme="minorHAnsi" w:cs="Arial"/>
          <w:lang w:val="en-US"/>
        </w:rPr>
        <w:t xml:space="preserve">the </w:t>
      </w:r>
      <w:r w:rsidR="006714A6" w:rsidRPr="003171CD">
        <w:rPr>
          <w:rFonts w:eastAsiaTheme="minorHAnsi" w:cs="Arial"/>
          <w:lang w:val="en-US"/>
        </w:rPr>
        <w:t xml:space="preserve">inalienable </w:t>
      </w:r>
      <w:r w:rsidR="00765AD7" w:rsidRPr="003171CD">
        <w:rPr>
          <w:rFonts w:eastAsiaTheme="minorHAnsi" w:cs="Arial"/>
          <w:lang w:val="en-US"/>
        </w:rPr>
        <w:t>right</w:t>
      </w:r>
      <w:r w:rsidR="005A65CE" w:rsidRPr="003171CD">
        <w:rPr>
          <w:rFonts w:eastAsiaTheme="minorHAnsi" w:cs="Arial"/>
          <w:lang w:val="en-US"/>
        </w:rPr>
        <w:t xml:space="preserve"> </w:t>
      </w:r>
      <w:r w:rsidR="006714A6" w:rsidRPr="003171CD">
        <w:rPr>
          <w:rFonts w:eastAsiaTheme="minorHAnsi" w:cs="Arial"/>
          <w:lang w:val="en-US"/>
        </w:rPr>
        <w:t>of a</w:t>
      </w:r>
      <w:r w:rsidR="00AB19CB" w:rsidRPr="003171CD">
        <w:rPr>
          <w:rFonts w:eastAsiaTheme="minorHAnsi" w:cs="Arial"/>
          <w:lang w:val="en-US"/>
        </w:rPr>
        <w:t>n</w:t>
      </w:r>
      <w:r w:rsidR="007E7945" w:rsidRPr="003171CD">
        <w:rPr>
          <w:rFonts w:eastAsiaTheme="minorHAnsi" w:cs="Arial"/>
          <w:lang w:val="en-US"/>
        </w:rPr>
        <w:t>y</w:t>
      </w:r>
      <w:r w:rsidR="00AB19CB" w:rsidRPr="003171CD">
        <w:rPr>
          <w:rFonts w:eastAsiaTheme="minorHAnsi" w:cs="Arial"/>
          <w:lang w:val="en-US"/>
        </w:rPr>
        <w:t xml:space="preserve"> individual </w:t>
      </w:r>
      <w:r w:rsidR="006714A6" w:rsidRPr="003171CD">
        <w:rPr>
          <w:rFonts w:eastAsiaTheme="minorHAnsi" w:cs="Arial"/>
          <w:lang w:val="en-US"/>
        </w:rPr>
        <w:t xml:space="preserve">accused of a </w:t>
      </w:r>
      <w:r w:rsidR="005A65CE" w:rsidRPr="003171CD">
        <w:rPr>
          <w:rFonts w:eastAsiaTheme="minorHAnsi" w:cs="Arial"/>
          <w:lang w:val="en-US"/>
        </w:rPr>
        <w:t xml:space="preserve">crime </w:t>
      </w:r>
      <w:r w:rsidR="006714A6" w:rsidRPr="003171CD">
        <w:rPr>
          <w:rFonts w:eastAsiaTheme="minorHAnsi" w:cs="Arial"/>
          <w:lang w:val="en-US"/>
        </w:rPr>
        <w:t xml:space="preserve">to be assisted by </w:t>
      </w:r>
      <w:r w:rsidR="005A65CE" w:rsidRPr="003171CD">
        <w:rPr>
          <w:rFonts w:eastAsiaTheme="minorHAnsi" w:cs="Arial"/>
          <w:lang w:val="en-US"/>
        </w:rPr>
        <w:t>defen</w:t>
      </w:r>
      <w:r w:rsidR="006714A6" w:rsidRPr="003171CD">
        <w:rPr>
          <w:rFonts w:eastAsiaTheme="minorHAnsi" w:cs="Arial"/>
          <w:lang w:val="en-US"/>
        </w:rPr>
        <w:t>se counsel</w:t>
      </w:r>
      <w:r w:rsidR="005A65CE" w:rsidRPr="003171CD">
        <w:rPr>
          <w:rFonts w:eastAsiaTheme="minorHAnsi" w:cs="Arial"/>
          <w:lang w:val="en-US"/>
        </w:rPr>
        <w:t xml:space="preserve">, </w:t>
      </w:r>
      <w:r w:rsidR="00C6603F" w:rsidRPr="003171CD">
        <w:rPr>
          <w:rFonts w:eastAsiaTheme="minorHAnsi" w:cs="Arial"/>
          <w:lang w:val="en-US"/>
        </w:rPr>
        <w:t xml:space="preserve">must provide </w:t>
      </w:r>
      <w:r w:rsidR="005A65CE" w:rsidRPr="003171CD">
        <w:rPr>
          <w:rFonts w:eastAsiaTheme="minorHAnsi" w:cs="Arial"/>
          <w:lang w:val="en-US"/>
        </w:rPr>
        <w:t xml:space="preserve">sufficient </w:t>
      </w:r>
      <w:r w:rsidR="00B120FB" w:rsidRPr="003171CD">
        <w:rPr>
          <w:rFonts w:eastAsiaTheme="minorHAnsi" w:cs="Arial"/>
          <w:lang w:val="en-US"/>
        </w:rPr>
        <w:t xml:space="preserve">guarantees </w:t>
      </w:r>
      <w:r w:rsidR="006714A6" w:rsidRPr="003171CD">
        <w:rPr>
          <w:rFonts w:eastAsiaTheme="minorHAnsi" w:cs="Arial"/>
          <w:lang w:val="en-US"/>
        </w:rPr>
        <w:t xml:space="preserve">to ensure </w:t>
      </w:r>
      <w:r w:rsidR="00AE64AB" w:rsidRPr="003171CD">
        <w:rPr>
          <w:rFonts w:eastAsiaTheme="minorHAnsi" w:cs="Arial"/>
          <w:lang w:val="en-US"/>
        </w:rPr>
        <w:t>eff</w:t>
      </w:r>
      <w:r w:rsidR="00AB19CB" w:rsidRPr="003171CD">
        <w:rPr>
          <w:rFonts w:eastAsiaTheme="minorHAnsi" w:cs="Arial"/>
          <w:lang w:val="en-US"/>
        </w:rPr>
        <w:t xml:space="preserve">ective </w:t>
      </w:r>
      <w:r w:rsidR="006714A6" w:rsidRPr="003171CD">
        <w:rPr>
          <w:rFonts w:eastAsiaTheme="minorHAnsi" w:cs="Arial"/>
          <w:lang w:val="en-US"/>
        </w:rPr>
        <w:t>act</w:t>
      </w:r>
      <w:r w:rsidR="000335B8" w:rsidRPr="003171CD">
        <w:rPr>
          <w:rFonts w:eastAsiaTheme="minorHAnsi" w:cs="Arial"/>
          <w:lang w:val="en-US"/>
        </w:rPr>
        <w:t>ion</w:t>
      </w:r>
      <w:r w:rsidR="00AB19CB" w:rsidRPr="003171CD">
        <w:rPr>
          <w:rFonts w:eastAsiaTheme="minorHAnsi" w:cs="Arial"/>
          <w:lang w:val="en-US"/>
        </w:rPr>
        <w:t>,</w:t>
      </w:r>
      <w:r w:rsidR="000335B8" w:rsidRPr="003171CD">
        <w:rPr>
          <w:rFonts w:eastAsiaTheme="minorHAnsi" w:cs="Arial"/>
          <w:lang w:val="en-US"/>
        </w:rPr>
        <w:t xml:space="preserve"> on equal terms with </w:t>
      </w:r>
      <w:r w:rsidR="005A65CE" w:rsidRPr="003171CD">
        <w:rPr>
          <w:rFonts w:eastAsiaTheme="minorHAnsi" w:cs="Arial"/>
          <w:lang w:val="en-US"/>
        </w:rPr>
        <w:t xml:space="preserve">the </w:t>
      </w:r>
      <w:r w:rsidR="005F517F" w:rsidRPr="003171CD">
        <w:rPr>
          <w:rFonts w:eastAsiaTheme="minorHAnsi" w:cs="Arial"/>
          <w:lang w:val="en-US"/>
        </w:rPr>
        <w:t>prosecution</w:t>
      </w:r>
      <w:r w:rsidR="005A65CE" w:rsidRPr="003171CD">
        <w:rPr>
          <w:rFonts w:eastAsiaTheme="minorHAnsi" w:cs="Arial"/>
          <w:lang w:val="en-US"/>
        </w:rPr>
        <w:t>. The Court ha</w:t>
      </w:r>
      <w:r w:rsidR="001A173A" w:rsidRPr="003171CD">
        <w:rPr>
          <w:rFonts w:eastAsiaTheme="minorHAnsi" w:cs="Arial"/>
          <w:lang w:val="en-US"/>
        </w:rPr>
        <w:t>s</w:t>
      </w:r>
      <w:r w:rsidR="005A65CE" w:rsidRPr="003171CD">
        <w:rPr>
          <w:rFonts w:eastAsiaTheme="minorHAnsi" w:cs="Arial"/>
          <w:lang w:val="en-US"/>
        </w:rPr>
        <w:t xml:space="preserve"> recognized that </w:t>
      </w:r>
      <w:r w:rsidR="00067B00" w:rsidRPr="003171CD">
        <w:rPr>
          <w:rFonts w:eastAsiaTheme="minorHAnsi" w:cs="Arial"/>
          <w:lang w:val="en-US"/>
        </w:rPr>
        <w:t xml:space="preserve">to </w:t>
      </w:r>
      <w:r w:rsidR="000335B8" w:rsidRPr="003171CD">
        <w:rPr>
          <w:rFonts w:eastAsiaTheme="minorHAnsi" w:cs="Arial"/>
          <w:lang w:val="en-US"/>
        </w:rPr>
        <w:t xml:space="preserve">accomplish this </w:t>
      </w:r>
      <w:r w:rsidR="00AB19CB" w:rsidRPr="003171CD">
        <w:rPr>
          <w:rFonts w:eastAsiaTheme="minorHAnsi" w:cs="Arial"/>
          <w:lang w:val="en-US"/>
        </w:rPr>
        <w:t xml:space="preserve">objective </w:t>
      </w:r>
      <w:r w:rsidR="005A65CE" w:rsidRPr="003171CD">
        <w:rPr>
          <w:rFonts w:eastAsiaTheme="minorHAnsi" w:cs="Arial"/>
          <w:lang w:val="en-US"/>
        </w:rPr>
        <w:t>th</w:t>
      </w:r>
      <w:r w:rsidR="006714A6" w:rsidRPr="003171CD">
        <w:rPr>
          <w:rFonts w:eastAsiaTheme="minorHAnsi" w:cs="Arial"/>
          <w:lang w:val="en-US"/>
        </w:rPr>
        <w:t xml:space="preserve">e State </w:t>
      </w:r>
      <w:r w:rsidR="00067B00" w:rsidRPr="003171CD">
        <w:rPr>
          <w:rFonts w:eastAsiaTheme="minorHAnsi" w:cs="Arial"/>
          <w:lang w:val="en-US"/>
        </w:rPr>
        <w:t xml:space="preserve">must </w:t>
      </w:r>
      <w:r w:rsidRPr="003171CD">
        <w:rPr>
          <w:rFonts w:eastAsiaTheme="minorHAnsi" w:cs="Arial"/>
          <w:lang w:val="en-US"/>
        </w:rPr>
        <w:t xml:space="preserve">adopt all </w:t>
      </w:r>
      <w:r w:rsidR="006714A6" w:rsidRPr="003171CD">
        <w:rPr>
          <w:rFonts w:eastAsiaTheme="minorHAnsi" w:cs="Arial"/>
          <w:lang w:val="en-US"/>
        </w:rPr>
        <w:t xml:space="preserve">appropriate </w:t>
      </w:r>
      <w:r w:rsidRPr="003171CD">
        <w:rPr>
          <w:rFonts w:eastAsiaTheme="minorHAnsi" w:cs="Arial"/>
          <w:lang w:val="en-US"/>
        </w:rPr>
        <w:t>measures</w:t>
      </w:r>
      <w:r w:rsidR="005A65CE" w:rsidRPr="003171CD">
        <w:rPr>
          <w:rStyle w:val="Refdenotaalpie"/>
          <w:rFonts w:eastAsiaTheme="minorHAnsi" w:cs="Arial"/>
          <w:lang w:val="en-US"/>
        </w:rPr>
        <w:footnoteReference w:id="222"/>
      </w:r>
      <w:r w:rsidR="005A65CE" w:rsidRPr="003171CD">
        <w:rPr>
          <w:rFonts w:eastAsiaTheme="minorHAnsi" w:cs="Arial"/>
          <w:lang w:val="en-US"/>
        </w:rPr>
        <w:t xml:space="preserve"> </w:t>
      </w:r>
      <w:r w:rsidR="00AB19CB" w:rsidRPr="003171CD">
        <w:rPr>
          <w:rFonts w:eastAsiaTheme="minorHAnsi" w:cs="Arial"/>
          <w:lang w:val="en-US"/>
        </w:rPr>
        <w:t xml:space="preserve">to ensure </w:t>
      </w:r>
      <w:r w:rsidR="00067B00" w:rsidRPr="003171CD">
        <w:rPr>
          <w:rFonts w:eastAsiaTheme="minorHAnsi" w:cs="Arial"/>
          <w:lang w:val="en-US"/>
        </w:rPr>
        <w:t xml:space="preserve">access to </w:t>
      </w:r>
      <w:r w:rsidR="00AB19CB" w:rsidRPr="003171CD">
        <w:rPr>
          <w:rFonts w:eastAsiaTheme="minorHAnsi" w:cs="Arial"/>
          <w:lang w:val="en-US"/>
        </w:rPr>
        <w:t xml:space="preserve">qualified </w:t>
      </w:r>
      <w:r w:rsidR="005A65CE" w:rsidRPr="003171CD">
        <w:rPr>
          <w:rFonts w:eastAsiaTheme="minorHAnsi" w:cs="Arial"/>
          <w:lang w:val="en-US"/>
        </w:rPr>
        <w:t xml:space="preserve">and </w:t>
      </w:r>
      <w:r w:rsidR="001A173A" w:rsidRPr="003171CD">
        <w:rPr>
          <w:rFonts w:eastAsiaTheme="minorHAnsi" w:cs="Arial"/>
          <w:lang w:val="en-US"/>
        </w:rPr>
        <w:t xml:space="preserve">trained </w:t>
      </w:r>
      <w:r w:rsidR="006714A6" w:rsidRPr="003171CD">
        <w:rPr>
          <w:rFonts w:eastAsiaTheme="minorHAnsi" w:cs="Arial"/>
          <w:lang w:val="en-US"/>
        </w:rPr>
        <w:t xml:space="preserve">defense attorneys </w:t>
      </w:r>
      <w:r w:rsidR="001A173A" w:rsidRPr="003171CD">
        <w:rPr>
          <w:rFonts w:eastAsiaTheme="minorHAnsi" w:cs="Arial"/>
          <w:lang w:val="en-US"/>
        </w:rPr>
        <w:t>who can act with functional autonomy</w:t>
      </w:r>
      <w:r w:rsidR="005A65CE" w:rsidRPr="003171CD">
        <w:rPr>
          <w:rFonts w:eastAsiaTheme="minorHAnsi" w:cs="Arial"/>
          <w:lang w:val="en-US"/>
        </w:rPr>
        <w:t>.</w:t>
      </w:r>
    </w:p>
    <w:p w14:paraId="63826148" w14:textId="77777777" w:rsidR="005A65CE" w:rsidRPr="003171CD" w:rsidRDefault="005A65CE" w:rsidP="005A65CE">
      <w:pPr>
        <w:rPr>
          <w:rFonts w:eastAsiaTheme="minorHAnsi" w:cs="Arial"/>
          <w:lang w:val="en-US"/>
        </w:rPr>
      </w:pPr>
    </w:p>
    <w:p w14:paraId="1BDB0051" w14:textId="77777777" w:rsidR="005A65CE" w:rsidRPr="003171CD" w:rsidRDefault="00A65086"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Similarly</w:t>
      </w:r>
      <w:r w:rsidR="00AB19CB" w:rsidRPr="003171CD">
        <w:rPr>
          <w:rFonts w:eastAsiaTheme="minorHAnsi" w:cs="Arial"/>
          <w:lang w:val="en-US"/>
        </w:rPr>
        <w:t xml:space="preserve">, </w:t>
      </w:r>
      <w:r w:rsidR="005A65CE" w:rsidRPr="003171CD">
        <w:rPr>
          <w:rFonts w:eastAsiaTheme="minorHAnsi" w:cs="Arial"/>
          <w:lang w:val="en-US"/>
        </w:rPr>
        <w:t xml:space="preserve">the </w:t>
      </w:r>
      <w:r w:rsidR="006714A6" w:rsidRPr="003171CD">
        <w:rPr>
          <w:rFonts w:eastAsiaTheme="minorHAnsi" w:cs="Arial"/>
          <w:lang w:val="en-US"/>
        </w:rPr>
        <w:t xml:space="preserve">expert witness </w:t>
      </w:r>
      <w:r w:rsidR="00067B00" w:rsidRPr="003171CD">
        <w:rPr>
          <w:rFonts w:eastAsiaTheme="minorHAnsi" w:cs="Arial"/>
          <w:lang w:val="en-US"/>
        </w:rPr>
        <w:t xml:space="preserve">Alberto </w:t>
      </w:r>
      <w:r w:rsidR="005A65CE" w:rsidRPr="003171CD">
        <w:rPr>
          <w:rFonts w:eastAsiaTheme="minorHAnsi" w:cs="Arial"/>
          <w:lang w:val="en-US"/>
        </w:rPr>
        <w:t xml:space="preserve">Binder </w:t>
      </w:r>
      <w:r w:rsidR="00696112" w:rsidRPr="003171CD">
        <w:rPr>
          <w:rFonts w:eastAsiaTheme="minorHAnsi" w:cs="Arial"/>
          <w:lang w:val="en-US"/>
        </w:rPr>
        <w:t xml:space="preserve">considered </w:t>
      </w:r>
      <w:r w:rsidR="005A65CE" w:rsidRPr="003171CD">
        <w:rPr>
          <w:rFonts w:eastAsiaTheme="minorHAnsi" w:cs="Arial"/>
          <w:lang w:val="en-US"/>
        </w:rPr>
        <w:t xml:space="preserve">that the </w:t>
      </w:r>
      <w:r w:rsidR="00765AD7" w:rsidRPr="003171CD">
        <w:rPr>
          <w:rFonts w:eastAsiaTheme="minorHAnsi" w:cs="Arial"/>
          <w:lang w:val="en-US"/>
        </w:rPr>
        <w:t>right</w:t>
      </w:r>
      <w:r w:rsidR="005A65CE" w:rsidRPr="003171CD">
        <w:rPr>
          <w:rFonts w:eastAsiaTheme="minorHAnsi" w:cs="Arial"/>
          <w:lang w:val="en-US"/>
        </w:rPr>
        <w:t xml:space="preserve"> </w:t>
      </w:r>
      <w:r w:rsidR="006714A6" w:rsidRPr="003171CD">
        <w:rPr>
          <w:rFonts w:eastAsiaTheme="minorHAnsi" w:cs="Arial"/>
          <w:lang w:val="en-US"/>
        </w:rPr>
        <w:t xml:space="preserve">to </w:t>
      </w:r>
      <w:r w:rsidR="005A65CE" w:rsidRPr="003171CD">
        <w:rPr>
          <w:rFonts w:eastAsiaTheme="minorHAnsi" w:cs="Arial"/>
          <w:lang w:val="en-US"/>
        </w:rPr>
        <w:t xml:space="preserve">defense </w:t>
      </w:r>
      <w:r w:rsidR="006714A6" w:rsidRPr="003171CD">
        <w:rPr>
          <w:rFonts w:eastAsiaTheme="minorHAnsi" w:cs="Arial"/>
          <w:lang w:val="en-US"/>
        </w:rPr>
        <w:t xml:space="preserve">includes </w:t>
      </w:r>
      <w:r w:rsidR="005A65CE" w:rsidRPr="003171CD">
        <w:rPr>
          <w:rFonts w:eastAsiaTheme="minorHAnsi" w:cs="Arial"/>
          <w:lang w:val="en-US"/>
        </w:rPr>
        <w:t>a</w:t>
      </w:r>
      <w:r w:rsidR="006714A6" w:rsidRPr="003171CD">
        <w:rPr>
          <w:rFonts w:eastAsiaTheme="minorHAnsi" w:cs="Arial"/>
          <w:lang w:val="en-US"/>
        </w:rPr>
        <w:t>n</w:t>
      </w:r>
      <w:r w:rsidR="00AB19CB" w:rsidRPr="003171CD">
        <w:rPr>
          <w:rFonts w:eastAsiaTheme="minorHAnsi" w:cs="Arial"/>
          <w:lang w:val="en-US"/>
        </w:rPr>
        <w:t xml:space="preserve"> effective and</w:t>
      </w:r>
      <w:r w:rsidR="005A65CE" w:rsidRPr="003171CD">
        <w:rPr>
          <w:rFonts w:eastAsiaTheme="minorHAnsi" w:cs="Arial"/>
          <w:lang w:val="en-US"/>
        </w:rPr>
        <w:t xml:space="preserve"> </w:t>
      </w:r>
      <w:r w:rsidR="00AB19CB" w:rsidRPr="003171CD">
        <w:rPr>
          <w:rFonts w:eastAsiaTheme="minorHAnsi" w:cs="Arial"/>
          <w:lang w:val="en-US"/>
        </w:rPr>
        <w:t xml:space="preserve">prompt </w:t>
      </w:r>
      <w:r w:rsidR="006714A6" w:rsidRPr="003171CD">
        <w:rPr>
          <w:rFonts w:eastAsiaTheme="minorHAnsi" w:cs="Arial"/>
          <w:lang w:val="en-US"/>
        </w:rPr>
        <w:t>defense</w:t>
      </w:r>
      <w:r w:rsidRPr="003171CD">
        <w:rPr>
          <w:rFonts w:eastAsiaTheme="minorHAnsi" w:cs="Arial"/>
          <w:lang w:val="en-US"/>
        </w:rPr>
        <w:t>,</w:t>
      </w:r>
      <w:r w:rsidR="005A65CE" w:rsidRPr="003171CD">
        <w:rPr>
          <w:rFonts w:eastAsiaTheme="minorHAnsi" w:cs="Arial"/>
          <w:lang w:val="en-US"/>
        </w:rPr>
        <w:t xml:space="preserve"> </w:t>
      </w:r>
      <w:r w:rsidR="006714A6" w:rsidRPr="003171CD">
        <w:rPr>
          <w:rFonts w:eastAsiaTheme="minorHAnsi" w:cs="Arial"/>
          <w:lang w:val="en-US"/>
        </w:rPr>
        <w:t xml:space="preserve">conducted </w:t>
      </w:r>
      <w:r w:rsidR="005A65CE" w:rsidRPr="003171CD">
        <w:rPr>
          <w:rFonts w:eastAsiaTheme="minorHAnsi" w:cs="Arial"/>
          <w:lang w:val="en-US"/>
        </w:rPr>
        <w:t xml:space="preserve">by </w:t>
      </w:r>
      <w:r w:rsidRPr="003171CD">
        <w:rPr>
          <w:rFonts w:eastAsiaTheme="minorHAnsi" w:cs="Arial"/>
          <w:lang w:val="en-US"/>
        </w:rPr>
        <w:t>qualified professionals</w:t>
      </w:r>
      <w:r w:rsidR="005A65CE" w:rsidRPr="003171CD">
        <w:rPr>
          <w:rFonts w:eastAsiaTheme="minorHAnsi" w:cs="Arial"/>
          <w:lang w:val="en-US"/>
        </w:rPr>
        <w:t xml:space="preserve">, </w:t>
      </w:r>
      <w:r w:rsidR="00AB19CB" w:rsidRPr="003171CD">
        <w:rPr>
          <w:rFonts w:eastAsiaTheme="minorHAnsi" w:cs="Arial"/>
          <w:lang w:val="en-US"/>
        </w:rPr>
        <w:t xml:space="preserve">which </w:t>
      </w:r>
      <w:r w:rsidR="005A65CE" w:rsidRPr="003171CD">
        <w:rPr>
          <w:rFonts w:eastAsiaTheme="minorHAnsi" w:cs="Arial"/>
          <w:lang w:val="en-US"/>
        </w:rPr>
        <w:t>s</w:t>
      </w:r>
      <w:r w:rsidR="00C434F4" w:rsidRPr="003171CD">
        <w:rPr>
          <w:rFonts w:eastAsiaTheme="minorHAnsi" w:cs="Arial"/>
          <w:lang w:val="en-US"/>
        </w:rPr>
        <w:t>afeguard</w:t>
      </w:r>
      <w:r w:rsidRPr="003171CD">
        <w:rPr>
          <w:rFonts w:eastAsiaTheme="minorHAnsi" w:cs="Arial"/>
          <w:lang w:val="en-US"/>
        </w:rPr>
        <w:t>s</w:t>
      </w:r>
      <w:r w:rsidR="00C434F4" w:rsidRPr="003171CD">
        <w:rPr>
          <w:rFonts w:eastAsiaTheme="minorHAnsi" w:cs="Arial"/>
          <w:lang w:val="en-US"/>
        </w:rPr>
        <w:t xml:space="preserve"> </w:t>
      </w:r>
      <w:r w:rsidR="00C6603F" w:rsidRPr="003171CD">
        <w:rPr>
          <w:rFonts w:eastAsiaTheme="minorHAnsi" w:cs="Arial"/>
          <w:lang w:val="en-US"/>
        </w:rPr>
        <w:t xml:space="preserve">the specific </w:t>
      </w:r>
      <w:r w:rsidR="005A65CE" w:rsidRPr="003171CD">
        <w:rPr>
          <w:rFonts w:eastAsiaTheme="minorHAnsi" w:cs="Arial"/>
          <w:lang w:val="en-US"/>
        </w:rPr>
        <w:t>interest</w:t>
      </w:r>
      <w:r w:rsidR="00C6603F" w:rsidRPr="003171CD">
        <w:rPr>
          <w:rFonts w:eastAsiaTheme="minorHAnsi" w:cs="Arial"/>
          <w:lang w:val="en-US"/>
        </w:rPr>
        <w:t>s</w:t>
      </w:r>
      <w:r w:rsidR="005A65CE" w:rsidRPr="003171CD">
        <w:rPr>
          <w:rFonts w:eastAsiaTheme="minorHAnsi" w:cs="Arial"/>
          <w:lang w:val="en-US"/>
        </w:rPr>
        <w:t xml:space="preserve"> </w:t>
      </w:r>
      <w:r w:rsidR="006714A6" w:rsidRPr="003171CD">
        <w:rPr>
          <w:rFonts w:eastAsiaTheme="minorHAnsi" w:cs="Arial"/>
          <w:lang w:val="en-US"/>
        </w:rPr>
        <w:t xml:space="preserve">of the accused </w:t>
      </w:r>
      <w:r w:rsidR="005A65CE" w:rsidRPr="003171CD">
        <w:rPr>
          <w:rFonts w:eastAsiaTheme="minorHAnsi" w:cs="Arial"/>
          <w:lang w:val="en-US"/>
        </w:rPr>
        <w:t xml:space="preserve">and </w:t>
      </w:r>
      <w:r w:rsidRPr="003171CD">
        <w:rPr>
          <w:rFonts w:eastAsiaTheme="minorHAnsi" w:cs="Arial"/>
          <w:lang w:val="en-US"/>
        </w:rPr>
        <w:t xml:space="preserve">is </w:t>
      </w:r>
      <w:r w:rsidR="005A65CE" w:rsidRPr="003171CD">
        <w:rPr>
          <w:rFonts w:eastAsiaTheme="minorHAnsi" w:cs="Arial"/>
          <w:lang w:val="en-US"/>
        </w:rPr>
        <w:t>no</w:t>
      </w:r>
      <w:r w:rsidR="006714A6" w:rsidRPr="003171CD">
        <w:rPr>
          <w:rFonts w:eastAsiaTheme="minorHAnsi" w:cs="Arial"/>
          <w:lang w:val="en-US"/>
        </w:rPr>
        <w:t>t</w:t>
      </w:r>
      <w:r w:rsidR="000A776C" w:rsidRPr="003171CD">
        <w:rPr>
          <w:rFonts w:eastAsiaTheme="minorHAnsi" w:cs="Arial"/>
          <w:lang w:val="en-US"/>
        </w:rPr>
        <w:t xml:space="preserve"> </w:t>
      </w:r>
      <w:r w:rsidRPr="003171CD">
        <w:rPr>
          <w:rFonts w:eastAsiaTheme="minorHAnsi" w:cs="Arial"/>
          <w:lang w:val="en-US"/>
        </w:rPr>
        <w:t xml:space="preserve">merely intended </w:t>
      </w:r>
      <w:r w:rsidR="00AE3068" w:rsidRPr="003171CD">
        <w:rPr>
          <w:rFonts w:eastAsiaTheme="minorHAnsi" w:cs="Arial"/>
          <w:lang w:val="en-US"/>
        </w:rPr>
        <w:t xml:space="preserve">to comply with a </w:t>
      </w:r>
      <w:r w:rsidR="00C434F4" w:rsidRPr="003171CD">
        <w:rPr>
          <w:rFonts w:eastAsiaTheme="minorHAnsi" w:cs="Arial"/>
          <w:lang w:val="en-US"/>
        </w:rPr>
        <w:t xml:space="preserve">formality </w:t>
      </w:r>
      <w:r w:rsidRPr="003171CD">
        <w:rPr>
          <w:rFonts w:eastAsiaTheme="minorHAnsi" w:cs="Arial"/>
          <w:lang w:val="en-US"/>
        </w:rPr>
        <w:t xml:space="preserve">in order </w:t>
      </w:r>
      <w:r w:rsidR="00C434F4" w:rsidRPr="003171CD">
        <w:rPr>
          <w:rFonts w:eastAsiaTheme="minorHAnsi" w:cs="Arial"/>
          <w:lang w:val="en-US"/>
        </w:rPr>
        <w:t xml:space="preserve">to </w:t>
      </w:r>
      <w:r w:rsidR="00AE3068" w:rsidRPr="003171CD">
        <w:rPr>
          <w:rFonts w:eastAsiaTheme="minorHAnsi" w:cs="Arial"/>
          <w:lang w:val="en-US"/>
        </w:rPr>
        <w:t xml:space="preserve">legitimize </w:t>
      </w:r>
      <w:r w:rsidR="003D1477" w:rsidRPr="003171CD">
        <w:rPr>
          <w:rFonts w:eastAsiaTheme="minorHAnsi" w:cs="Arial"/>
          <w:lang w:val="en-US"/>
        </w:rPr>
        <w:t>the proceeding</w:t>
      </w:r>
      <w:r w:rsidR="005A65CE" w:rsidRPr="003171CD">
        <w:rPr>
          <w:rFonts w:eastAsiaTheme="minorHAnsi" w:cs="Arial"/>
          <w:lang w:val="en-US"/>
        </w:rPr>
        <w:t xml:space="preserve">. </w:t>
      </w:r>
      <w:r w:rsidR="006714A6" w:rsidRPr="003171CD">
        <w:rPr>
          <w:rFonts w:eastAsiaTheme="minorHAnsi" w:cs="Arial"/>
          <w:lang w:val="en-US"/>
        </w:rPr>
        <w:t>Th</w:t>
      </w:r>
      <w:r w:rsidRPr="003171CD">
        <w:rPr>
          <w:rFonts w:eastAsiaTheme="minorHAnsi" w:cs="Arial"/>
          <w:lang w:val="en-US"/>
        </w:rPr>
        <w:t>us</w:t>
      </w:r>
      <w:r w:rsidR="005039F5" w:rsidRPr="003171CD">
        <w:rPr>
          <w:rFonts w:eastAsiaTheme="minorHAnsi" w:cs="Arial"/>
          <w:lang w:val="en-US"/>
        </w:rPr>
        <w:t>, any form</w:t>
      </w:r>
      <w:r w:rsidR="005A65CE" w:rsidRPr="003171CD">
        <w:rPr>
          <w:rFonts w:eastAsiaTheme="minorHAnsi" w:cs="Arial"/>
          <w:lang w:val="en-US"/>
        </w:rPr>
        <w:t xml:space="preserve"> of </w:t>
      </w:r>
      <w:r w:rsidR="00AE3068" w:rsidRPr="003171CD">
        <w:rPr>
          <w:rFonts w:eastAsiaTheme="minorHAnsi" w:cs="Arial"/>
          <w:lang w:val="en-US"/>
        </w:rPr>
        <w:t xml:space="preserve">“apparent” </w:t>
      </w:r>
      <w:r w:rsidR="005A65CE" w:rsidRPr="003171CD">
        <w:rPr>
          <w:rFonts w:eastAsiaTheme="minorHAnsi" w:cs="Arial"/>
          <w:lang w:val="en-US"/>
        </w:rPr>
        <w:t xml:space="preserve">defense </w:t>
      </w:r>
      <w:r w:rsidR="00C6603F" w:rsidRPr="003171CD">
        <w:rPr>
          <w:rFonts w:eastAsiaTheme="minorHAnsi" w:cs="Arial"/>
          <w:lang w:val="en-US"/>
        </w:rPr>
        <w:t xml:space="preserve">would violate </w:t>
      </w:r>
      <w:r w:rsidR="00B120FB" w:rsidRPr="003171CD">
        <w:rPr>
          <w:rFonts w:eastAsiaTheme="minorHAnsi" w:cs="Arial"/>
          <w:lang w:val="en-US"/>
        </w:rPr>
        <w:t>the American Convention. I</w:t>
      </w:r>
      <w:r w:rsidR="005A65CE" w:rsidRPr="003171CD">
        <w:rPr>
          <w:rFonts w:eastAsiaTheme="minorHAnsi" w:cs="Arial"/>
          <w:lang w:val="en-US"/>
        </w:rPr>
        <w:t xml:space="preserve">n </w:t>
      </w:r>
      <w:r w:rsidR="00AE3068" w:rsidRPr="003171CD">
        <w:rPr>
          <w:rFonts w:eastAsiaTheme="minorHAnsi" w:cs="Arial"/>
          <w:lang w:val="en-US"/>
        </w:rPr>
        <w:t>this regard</w:t>
      </w:r>
      <w:r w:rsidR="005A65CE" w:rsidRPr="003171CD">
        <w:rPr>
          <w:rFonts w:eastAsiaTheme="minorHAnsi" w:cs="Arial"/>
          <w:lang w:val="en-US"/>
        </w:rPr>
        <w:t xml:space="preserve">, </w:t>
      </w:r>
      <w:r w:rsidR="00B120FB" w:rsidRPr="003171CD">
        <w:rPr>
          <w:rFonts w:eastAsiaTheme="minorHAnsi" w:cs="Arial"/>
          <w:lang w:val="en-US"/>
        </w:rPr>
        <w:t>he emphasized that “[t]he</w:t>
      </w:r>
      <w:r w:rsidR="005A65CE" w:rsidRPr="003171CD">
        <w:rPr>
          <w:rFonts w:eastAsiaTheme="minorHAnsi" w:cs="Arial"/>
          <w:lang w:val="en-US"/>
        </w:rPr>
        <w:t xml:space="preserve"> </w:t>
      </w:r>
      <w:r w:rsidR="00067B00" w:rsidRPr="003171CD">
        <w:rPr>
          <w:rFonts w:eastAsiaTheme="minorHAnsi" w:cs="Arial"/>
          <w:lang w:val="en-US"/>
        </w:rPr>
        <w:t xml:space="preserve">bond </w:t>
      </w:r>
      <w:r w:rsidR="005A65CE" w:rsidRPr="003171CD">
        <w:rPr>
          <w:rFonts w:eastAsiaTheme="minorHAnsi" w:cs="Arial"/>
          <w:lang w:val="en-US"/>
        </w:rPr>
        <w:t xml:space="preserve">of </w:t>
      </w:r>
      <w:r w:rsidR="006714A6" w:rsidRPr="003171CD">
        <w:rPr>
          <w:rFonts w:eastAsiaTheme="minorHAnsi" w:cs="Arial"/>
          <w:lang w:val="en-US"/>
        </w:rPr>
        <w:t xml:space="preserve">trust must be </w:t>
      </w:r>
      <w:r w:rsidR="00067B00" w:rsidRPr="003171CD">
        <w:rPr>
          <w:rFonts w:eastAsiaTheme="minorHAnsi" w:cs="Arial"/>
          <w:lang w:val="en-US"/>
        </w:rPr>
        <w:t xml:space="preserve">protected </w:t>
      </w:r>
      <w:r w:rsidR="005A65CE" w:rsidRPr="003171CD">
        <w:rPr>
          <w:rFonts w:eastAsiaTheme="minorHAnsi" w:cs="Arial"/>
          <w:lang w:val="en-US"/>
        </w:rPr>
        <w:t xml:space="preserve">in </w:t>
      </w:r>
      <w:r w:rsidR="005039F5" w:rsidRPr="003171CD">
        <w:rPr>
          <w:rFonts w:eastAsiaTheme="minorHAnsi" w:cs="Arial"/>
          <w:lang w:val="en-US"/>
        </w:rPr>
        <w:t xml:space="preserve">every way </w:t>
      </w:r>
      <w:r w:rsidR="005A65CE" w:rsidRPr="003171CD">
        <w:rPr>
          <w:rFonts w:eastAsiaTheme="minorHAnsi" w:cs="Arial"/>
          <w:lang w:val="en-US"/>
        </w:rPr>
        <w:t xml:space="preserve">possible </w:t>
      </w:r>
      <w:r w:rsidR="006714A6" w:rsidRPr="003171CD">
        <w:rPr>
          <w:rFonts w:eastAsiaTheme="minorHAnsi" w:cs="Arial"/>
          <w:lang w:val="en-US"/>
        </w:rPr>
        <w:t xml:space="preserve">within the </w:t>
      </w:r>
      <w:r w:rsidR="005A65CE" w:rsidRPr="003171CD">
        <w:rPr>
          <w:rFonts w:eastAsiaTheme="minorHAnsi" w:cs="Arial"/>
          <w:lang w:val="en-US"/>
        </w:rPr>
        <w:t>public def</w:t>
      </w:r>
      <w:r w:rsidR="006714A6" w:rsidRPr="003171CD">
        <w:rPr>
          <w:rFonts w:eastAsiaTheme="minorHAnsi" w:cs="Arial"/>
          <w:lang w:val="en-US"/>
        </w:rPr>
        <w:t>ense systems</w:t>
      </w:r>
      <w:r w:rsidRPr="003171CD">
        <w:rPr>
          <w:rFonts w:eastAsiaTheme="minorHAnsi" w:cs="Arial"/>
          <w:lang w:val="en-US"/>
        </w:rPr>
        <w:t xml:space="preserve"> and [</w:t>
      </w:r>
      <w:r w:rsidR="00AE3068" w:rsidRPr="003171CD">
        <w:rPr>
          <w:rFonts w:eastAsiaTheme="minorHAnsi" w:cs="Arial"/>
          <w:lang w:val="en-US"/>
        </w:rPr>
        <w:t>there</w:t>
      </w:r>
      <w:r w:rsidR="00696112" w:rsidRPr="003171CD">
        <w:rPr>
          <w:rFonts w:eastAsiaTheme="minorHAnsi" w:cs="Arial"/>
          <w:lang w:val="en-US"/>
        </w:rPr>
        <w:t>fore, there</w:t>
      </w:r>
      <w:r w:rsidR="00AE3068" w:rsidRPr="003171CD">
        <w:rPr>
          <w:rFonts w:eastAsiaTheme="minorHAnsi" w:cs="Arial"/>
          <w:lang w:val="en-US"/>
        </w:rPr>
        <w:t xml:space="preserve"> must </w:t>
      </w:r>
      <w:r w:rsidRPr="003171CD">
        <w:rPr>
          <w:rFonts w:eastAsiaTheme="minorHAnsi" w:cs="Arial"/>
          <w:lang w:val="en-US"/>
        </w:rPr>
        <w:t xml:space="preserve">be] </w:t>
      </w:r>
      <w:r w:rsidR="007C5FBF" w:rsidRPr="003171CD">
        <w:rPr>
          <w:rFonts w:eastAsiaTheme="minorHAnsi" w:cs="Arial"/>
          <w:lang w:val="en-US"/>
        </w:rPr>
        <w:t xml:space="preserve">expeditious </w:t>
      </w:r>
      <w:r w:rsidR="00AE3068" w:rsidRPr="003171CD">
        <w:rPr>
          <w:rFonts w:eastAsiaTheme="minorHAnsi" w:cs="Arial"/>
          <w:lang w:val="en-US"/>
        </w:rPr>
        <w:t xml:space="preserve">and </w:t>
      </w:r>
      <w:r w:rsidR="006714A6" w:rsidRPr="003171CD">
        <w:rPr>
          <w:rFonts w:eastAsiaTheme="minorHAnsi" w:cs="Arial"/>
          <w:lang w:val="en-US"/>
        </w:rPr>
        <w:t xml:space="preserve">prompt </w:t>
      </w:r>
      <w:r w:rsidR="006454ED" w:rsidRPr="003171CD">
        <w:rPr>
          <w:rFonts w:eastAsiaTheme="minorHAnsi" w:cs="Arial"/>
          <w:lang w:val="en-US"/>
        </w:rPr>
        <w:t>mechanism</w:t>
      </w:r>
      <w:r w:rsidR="005A65CE" w:rsidRPr="003171CD">
        <w:rPr>
          <w:rFonts w:eastAsiaTheme="minorHAnsi" w:cs="Arial"/>
          <w:lang w:val="en-US"/>
        </w:rPr>
        <w:t xml:space="preserve">s </w:t>
      </w:r>
      <w:r w:rsidR="00067B00" w:rsidRPr="003171CD">
        <w:rPr>
          <w:rFonts w:eastAsiaTheme="minorHAnsi" w:cs="Arial"/>
          <w:lang w:val="en-US"/>
        </w:rPr>
        <w:t xml:space="preserve">so </w:t>
      </w:r>
      <w:r w:rsidR="005A65CE" w:rsidRPr="003171CD">
        <w:rPr>
          <w:rFonts w:eastAsiaTheme="minorHAnsi" w:cs="Arial"/>
          <w:lang w:val="en-US"/>
        </w:rPr>
        <w:t xml:space="preserve">that the </w:t>
      </w:r>
      <w:r w:rsidR="00067B00" w:rsidRPr="003171CD">
        <w:rPr>
          <w:rFonts w:eastAsiaTheme="minorHAnsi" w:cs="Arial"/>
          <w:lang w:val="en-US"/>
        </w:rPr>
        <w:t xml:space="preserve">accused can request </w:t>
      </w:r>
      <w:r w:rsidRPr="003171CD">
        <w:rPr>
          <w:rFonts w:eastAsiaTheme="minorHAnsi" w:cs="Arial"/>
          <w:lang w:val="en-US"/>
        </w:rPr>
        <w:t>that the standard of his defense be evaluated. Moreover, n</w:t>
      </w:r>
      <w:r w:rsidR="00067B00" w:rsidRPr="003171CD">
        <w:rPr>
          <w:rFonts w:eastAsiaTheme="minorHAnsi" w:cs="Arial"/>
          <w:lang w:val="en-US"/>
        </w:rPr>
        <w:t>o</w:t>
      </w:r>
      <w:r w:rsidR="005A65CE" w:rsidRPr="003171CD">
        <w:rPr>
          <w:rFonts w:eastAsiaTheme="minorHAnsi" w:cs="Arial"/>
          <w:lang w:val="en-US"/>
        </w:rPr>
        <w:t xml:space="preserve"> public defender </w:t>
      </w:r>
      <w:r w:rsidR="00067B00" w:rsidRPr="003171CD">
        <w:rPr>
          <w:rFonts w:eastAsiaTheme="minorHAnsi" w:cs="Arial"/>
          <w:lang w:val="en-US"/>
        </w:rPr>
        <w:t xml:space="preserve">may </w:t>
      </w:r>
      <w:r w:rsidR="005A65CE" w:rsidRPr="003171CD">
        <w:rPr>
          <w:rFonts w:eastAsiaTheme="minorHAnsi" w:cs="Arial"/>
          <w:lang w:val="en-US"/>
        </w:rPr>
        <w:t>subordina</w:t>
      </w:r>
      <w:r w:rsidR="006714A6" w:rsidRPr="003171CD">
        <w:rPr>
          <w:rFonts w:eastAsiaTheme="minorHAnsi" w:cs="Arial"/>
          <w:lang w:val="en-US"/>
        </w:rPr>
        <w:t>te the interest</w:t>
      </w:r>
      <w:r w:rsidR="005A65CE" w:rsidRPr="003171CD">
        <w:rPr>
          <w:rFonts w:eastAsiaTheme="minorHAnsi" w:cs="Arial"/>
          <w:lang w:val="en-US"/>
        </w:rPr>
        <w:t xml:space="preserve">s of </w:t>
      </w:r>
      <w:r w:rsidR="00201619" w:rsidRPr="003171CD">
        <w:rPr>
          <w:rFonts w:eastAsiaTheme="minorHAnsi" w:cs="Arial"/>
          <w:lang w:val="en-US"/>
        </w:rPr>
        <w:t xml:space="preserve">the person he is defending </w:t>
      </w:r>
      <w:r w:rsidR="006714A6" w:rsidRPr="003171CD">
        <w:rPr>
          <w:rFonts w:eastAsiaTheme="minorHAnsi" w:cs="Arial"/>
          <w:lang w:val="en-US"/>
        </w:rPr>
        <w:t>to</w:t>
      </w:r>
      <w:r w:rsidR="005A65CE" w:rsidRPr="003171CD">
        <w:rPr>
          <w:rFonts w:eastAsiaTheme="minorHAnsi" w:cs="Arial"/>
          <w:lang w:val="en-US"/>
        </w:rPr>
        <w:t xml:space="preserve"> other social or institutional </w:t>
      </w:r>
      <w:r w:rsidR="006714A6" w:rsidRPr="003171CD">
        <w:rPr>
          <w:rFonts w:eastAsiaTheme="minorHAnsi" w:cs="Arial"/>
          <w:lang w:val="en-US"/>
        </w:rPr>
        <w:t xml:space="preserve">interests </w:t>
      </w:r>
      <w:r w:rsidRPr="003171CD">
        <w:rPr>
          <w:rFonts w:eastAsiaTheme="minorHAnsi" w:cs="Arial"/>
          <w:lang w:val="en-US"/>
        </w:rPr>
        <w:t>or to the preservation of ‘</w:t>
      </w:r>
      <w:r w:rsidR="005A65CE" w:rsidRPr="003171CD">
        <w:rPr>
          <w:rFonts w:eastAsiaTheme="minorHAnsi" w:cs="Arial"/>
          <w:lang w:val="en-US"/>
        </w:rPr>
        <w:t>justice</w:t>
      </w:r>
      <w:r w:rsidRPr="003171CD">
        <w:rPr>
          <w:rFonts w:eastAsiaTheme="minorHAnsi" w:cs="Arial"/>
          <w:lang w:val="en-US"/>
        </w:rPr>
        <w:t>’.</w:t>
      </w:r>
      <w:r w:rsidR="005A65CE" w:rsidRPr="003171CD">
        <w:rPr>
          <w:rFonts w:eastAsiaTheme="minorHAnsi" w:cs="Arial"/>
          <w:lang w:val="en-US"/>
        </w:rPr>
        <w:t>”</w:t>
      </w:r>
      <w:r w:rsidR="005A65CE" w:rsidRPr="003171CD">
        <w:rPr>
          <w:rFonts w:eastAsiaTheme="minorHAnsi"/>
          <w:vertAlign w:val="superscript"/>
          <w:lang w:val="en-US"/>
        </w:rPr>
        <w:footnoteReference w:id="223"/>
      </w:r>
    </w:p>
    <w:p w14:paraId="3BA7F240" w14:textId="77777777" w:rsidR="005A65CE" w:rsidRPr="003171CD" w:rsidRDefault="005A65CE" w:rsidP="005A65CE">
      <w:pPr>
        <w:tabs>
          <w:tab w:val="left" w:pos="567"/>
        </w:tabs>
        <w:autoSpaceDE/>
        <w:autoSpaceDN/>
        <w:adjustRightInd/>
        <w:jc w:val="both"/>
        <w:rPr>
          <w:rFonts w:cs="Times New Roman"/>
          <w:snapToGrid/>
          <w:lang w:val="en-US" w:eastAsia="en-US"/>
        </w:rPr>
      </w:pPr>
    </w:p>
    <w:p w14:paraId="35055E63" w14:textId="77777777" w:rsidR="005A65CE" w:rsidRPr="003171CD" w:rsidRDefault="00CC00E9"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In this </w:t>
      </w:r>
      <w:r w:rsidR="00A65086" w:rsidRPr="003171CD">
        <w:rPr>
          <w:rFonts w:eastAsiaTheme="minorHAnsi" w:cs="Arial"/>
          <w:lang w:val="en-US"/>
        </w:rPr>
        <w:t xml:space="preserve">regard, </w:t>
      </w:r>
      <w:r w:rsidR="005A65CE" w:rsidRPr="003171CD">
        <w:rPr>
          <w:rFonts w:eastAsiaTheme="minorHAnsi" w:cs="Arial"/>
          <w:lang w:val="en-US"/>
        </w:rPr>
        <w:t xml:space="preserve">and </w:t>
      </w:r>
      <w:r w:rsidR="00AE64AB" w:rsidRPr="003171CD">
        <w:rPr>
          <w:rFonts w:eastAsiaTheme="minorHAnsi" w:cs="Arial"/>
          <w:lang w:val="en-US"/>
        </w:rPr>
        <w:t xml:space="preserve">beyond the </w:t>
      </w:r>
      <w:r w:rsidR="005A65CE" w:rsidRPr="003171CD">
        <w:rPr>
          <w:rFonts w:eastAsiaTheme="minorHAnsi" w:cs="Arial"/>
          <w:lang w:val="en-US"/>
        </w:rPr>
        <w:t xml:space="preserve">institutional and </w:t>
      </w:r>
      <w:r w:rsidR="006714A6" w:rsidRPr="003171CD">
        <w:rPr>
          <w:rFonts w:eastAsiaTheme="minorHAnsi" w:cs="Arial"/>
          <w:lang w:val="en-US"/>
        </w:rPr>
        <w:t xml:space="preserve">organic </w:t>
      </w:r>
      <w:r w:rsidR="009C4662" w:rsidRPr="003171CD">
        <w:rPr>
          <w:rFonts w:eastAsiaTheme="minorHAnsi" w:cs="Arial"/>
          <w:lang w:val="en-US"/>
        </w:rPr>
        <w:t xml:space="preserve">structure </w:t>
      </w:r>
      <w:r w:rsidR="005A65CE" w:rsidRPr="003171CD">
        <w:rPr>
          <w:rFonts w:eastAsiaTheme="minorHAnsi" w:cs="Arial"/>
          <w:lang w:val="en-US"/>
        </w:rPr>
        <w:t xml:space="preserve">of </w:t>
      </w:r>
      <w:r w:rsidR="00AE64AB" w:rsidRPr="003171CD">
        <w:rPr>
          <w:rFonts w:eastAsiaTheme="minorHAnsi" w:cs="Arial"/>
          <w:lang w:val="en-US"/>
        </w:rPr>
        <w:t xml:space="preserve">each </w:t>
      </w:r>
      <w:r w:rsidR="005A65CE" w:rsidRPr="003171CD">
        <w:rPr>
          <w:rFonts w:eastAsiaTheme="minorHAnsi" w:cs="Arial"/>
          <w:lang w:val="en-US"/>
        </w:rPr>
        <w:t xml:space="preserve">country, the </w:t>
      </w:r>
      <w:r w:rsidR="00AE64AB" w:rsidRPr="003171CD">
        <w:rPr>
          <w:rFonts w:eastAsiaTheme="minorHAnsi" w:cs="Arial"/>
          <w:lang w:val="en-US"/>
        </w:rPr>
        <w:t>General Assembly</w:t>
      </w:r>
      <w:r w:rsidR="005A65CE" w:rsidRPr="003171CD">
        <w:rPr>
          <w:rFonts w:eastAsiaTheme="minorHAnsi" w:cs="Arial"/>
          <w:lang w:val="en-US"/>
        </w:rPr>
        <w:t xml:space="preserve"> of t</w:t>
      </w:r>
      <w:r w:rsidR="00AE64AB" w:rsidRPr="003171CD">
        <w:rPr>
          <w:rFonts w:eastAsiaTheme="minorHAnsi" w:cs="Arial"/>
          <w:lang w:val="en-US"/>
        </w:rPr>
        <w:t>he O</w:t>
      </w:r>
      <w:r w:rsidR="005A65CE" w:rsidRPr="003171CD">
        <w:rPr>
          <w:rFonts w:eastAsiaTheme="minorHAnsi" w:cs="Arial"/>
          <w:lang w:val="en-US"/>
        </w:rPr>
        <w:t>A</w:t>
      </w:r>
      <w:r w:rsidR="00AE64AB" w:rsidRPr="003171CD">
        <w:rPr>
          <w:rFonts w:eastAsiaTheme="minorHAnsi" w:cs="Arial"/>
          <w:lang w:val="en-US"/>
        </w:rPr>
        <w:t>S</w:t>
      </w:r>
      <w:r w:rsidR="005A65CE" w:rsidRPr="003171CD">
        <w:rPr>
          <w:rFonts w:eastAsiaTheme="minorHAnsi" w:cs="Arial"/>
          <w:lang w:val="en-US"/>
        </w:rPr>
        <w:t xml:space="preserve"> ha</w:t>
      </w:r>
      <w:r w:rsidR="00AE64AB" w:rsidRPr="003171CD">
        <w:rPr>
          <w:rFonts w:eastAsiaTheme="minorHAnsi" w:cs="Arial"/>
          <w:lang w:val="en-US"/>
        </w:rPr>
        <w:t>s urged</w:t>
      </w:r>
      <w:r w:rsidR="005A65CE" w:rsidRPr="003171CD">
        <w:rPr>
          <w:rFonts w:eastAsiaTheme="minorHAnsi" w:cs="Arial"/>
          <w:lang w:val="en-US"/>
        </w:rPr>
        <w:t xml:space="preserve"> States </w:t>
      </w:r>
      <w:r w:rsidR="00AE64AB" w:rsidRPr="003171CD">
        <w:rPr>
          <w:rFonts w:eastAsiaTheme="minorHAnsi" w:cs="Arial"/>
          <w:lang w:val="en-US"/>
        </w:rPr>
        <w:t>to “</w:t>
      </w:r>
      <w:r w:rsidR="00201619" w:rsidRPr="003171CD">
        <w:rPr>
          <w:lang w:val="en-US"/>
        </w:rPr>
        <w:t>take steps to ensure that official public defenders have an adequate budget and are independent and functionally, financially and/or budgetarily, and technically autonomous</w:t>
      </w:r>
      <w:r w:rsidR="00AE64AB" w:rsidRPr="003171CD">
        <w:rPr>
          <w:rFonts w:eastAsiaTheme="minorHAnsi" w:cs="Arial"/>
          <w:lang w:val="en-US"/>
        </w:rPr>
        <w:t>.</w:t>
      </w:r>
      <w:r w:rsidR="005A65CE" w:rsidRPr="003171CD">
        <w:rPr>
          <w:rFonts w:eastAsiaTheme="minorHAnsi" w:cs="Arial"/>
          <w:lang w:val="en-US"/>
        </w:rPr>
        <w:t>”</w:t>
      </w:r>
      <w:r w:rsidR="005A65CE" w:rsidRPr="003171CD">
        <w:rPr>
          <w:rStyle w:val="Refdenotaalpie"/>
          <w:rFonts w:eastAsiaTheme="minorHAnsi" w:cs="Arial"/>
          <w:lang w:val="en-US"/>
        </w:rPr>
        <w:footnoteReference w:id="224"/>
      </w:r>
      <w:r w:rsidR="005A65CE" w:rsidRPr="003171CD">
        <w:rPr>
          <w:rFonts w:eastAsiaTheme="minorHAnsi" w:cs="Arial"/>
          <w:lang w:val="en-US"/>
        </w:rPr>
        <w:t xml:space="preserve"> </w:t>
      </w:r>
      <w:r w:rsidR="00AE64AB" w:rsidRPr="003171CD">
        <w:rPr>
          <w:rFonts w:eastAsiaTheme="minorHAnsi" w:cs="Arial"/>
          <w:lang w:val="en-US"/>
        </w:rPr>
        <w:t xml:space="preserve">In the view </w:t>
      </w:r>
      <w:r w:rsidR="005A65CE" w:rsidRPr="003171CD">
        <w:rPr>
          <w:rFonts w:eastAsiaTheme="minorHAnsi" w:cs="Arial"/>
          <w:lang w:val="en-US"/>
        </w:rPr>
        <w:t xml:space="preserve">of the </w:t>
      </w:r>
      <w:r w:rsidR="00AE64AB" w:rsidRPr="003171CD">
        <w:rPr>
          <w:rFonts w:eastAsiaTheme="minorHAnsi" w:cs="Arial"/>
          <w:lang w:val="en-US"/>
        </w:rPr>
        <w:t>OAS General Assembly</w:t>
      </w:r>
      <w:r w:rsidR="00226801" w:rsidRPr="003171CD">
        <w:rPr>
          <w:rFonts w:eastAsiaTheme="minorHAnsi" w:cs="Arial"/>
          <w:lang w:val="en-US"/>
        </w:rPr>
        <w:t>,</w:t>
      </w:r>
      <w:r w:rsidR="005A65CE" w:rsidRPr="003171CD">
        <w:rPr>
          <w:rFonts w:eastAsiaTheme="minorHAnsi" w:cs="Arial"/>
          <w:lang w:val="en-US"/>
        </w:rPr>
        <w:t xml:space="preserve"> </w:t>
      </w:r>
      <w:r w:rsidR="00AE64AB" w:rsidRPr="003171CD">
        <w:rPr>
          <w:rFonts w:eastAsiaTheme="minorHAnsi" w:cs="Arial"/>
          <w:lang w:val="en-US"/>
        </w:rPr>
        <w:t xml:space="preserve">such </w:t>
      </w:r>
      <w:r w:rsidR="000335B8" w:rsidRPr="003171CD">
        <w:rPr>
          <w:rFonts w:eastAsiaTheme="minorHAnsi" w:cs="Arial"/>
          <w:lang w:val="en-US"/>
        </w:rPr>
        <w:t xml:space="preserve">measures </w:t>
      </w:r>
      <w:r w:rsidR="00AE64AB" w:rsidRPr="003171CD">
        <w:rPr>
          <w:rFonts w:eastAsiaTheme="minorHAnsi" w:cs="Arial"/>
          <w:lang w:val="en-US"/>
        </w:rPr>
        <w:t>are appropriate to guarantee “a</w:t>
      </w:r>
      <w:r w:rsidR="005A65CE" w:rsidRPr="003171CD">
        <w:rPr>
          <w:rFonts w:eastAsiaTheme="minorHAnsi" w:cs="Arial"/>
          <w:lang w:val="en-US"/>
        </w:rPr>
        <w:t xml:space="preserve">n </w:t>
      </w:r>
      <w:r w:rsidR="00AE64AB" w:rsidRPr="003171CD">
        <w:rPr>
          <w:rFonts w:eastAsiaTheme="minorHAnsi" w:cs="Arial"/>
          <w:lang w:val="en-US"/>
        </w:rPr>
        <w:t>efficient public service</w:t>
      </w:r>
      <w:r w:rsidR="000335B8" w:rsidRPr="003171CD">
        <w:rPr>
          <w:rFonts w:eastAsiaTheme="minorHAnsi" w:cs="Arial"/>
          <w:lang w:val="en-US"/>
        </w:rPr>
        <w:t xml:space="preserve"> that is</w:t>
      </w:r>
      <w:r w:rsidR="005A65CE" w:rsidRPr="003171CD">
        <w:rPr>
          <w:rFonts w:eastAsiaTheme="minorHAnsi" w:cs="Arial"/>
          <w:lang w:val="en-US"/>
        </w:rPr>
        <w:t xml:space="preserve"> </w:t>
      </w:r>
      <w:r w:rsidR="00AE64AB" w:rsidRPr="003171CD">
        <w:rPr>
          <w:rFonts w:eastAsiaTheme="minorHAnsi" w:cs="Arial"/>
          <w:lang w:val="en-US"/>
        </w:rPr>
        <w:t xml:space="preserve">free </w:t>
      </w:r>
      <w:r w:rsidR="005A65CE" w:rsidRPr="003171CD">
        <w:rPr>
          <w:rFonts w:eastAsiaTheme="minorHAnsi" w:cs="Arial"/>
          <w:lang w:val="en-US"/>
        </w:rPr>
        <w:t xml:space="preserve">of </w:t>
      </w:r>
      <w:r w:rsidR="006725D3" w:rsidRPr="003171CD">
        <w:rPr>
          <w:rFonts w:eastAsiaTheme="minorHAnsi" w:cs="Arial"/>
          <w:lang w:val="en-US"/>
        </w:rPr>
        <w:t xml:space="preserve">from any </w:t>
      </w:r>
      <w:r w:rsidR="005A65CE" w:rsidRPr="003171CD">
        <w:rPr>
          <w:rFonts w:eastAsiaTheme="minorHAnsi" w:cs="Arial"/>
          <w:lang w:val="en-US"/>
        </w:rPr>
        <w:t>in</w:t>
      </w:r>
      <w:r w:rsidR="00AE64AB" w:rsidRPr="003171CD">
        <w:rPr>
          <w:rFonts w:eastAsiaTheme="minorHAnsi" w:cs="Arial"/>
          <w:lang w:val="en-US"/>
        </w:rPr>
        <w:t xml:space="preserve">terference </w:t>
      </w:r>
      <w:r w:rsidR="005A65CE" w:rsidRPr="003171CD">
        <w:rPr>
          <w:rFonts w:eastAsiaTheme="minorHAnsi" w:cs="Arial"/>
          <w:lang w:val="en-US"/>
        </w:rPr>
        <w:t xml:space="preserve">and </w:t>
      </w:r>
      <w:r w:rsidR="00AE64AB" w:rsidRPr="003171CD">
        <w:rPr>
          <w:rFonts w:eastAsiaTheme="minorHAnsi" w:cs="Arial"/>
          <w:lang w:val="en-US"/>
        </w:rPr>
        <w:t>improper control</w:t>
      </w:r>
      <w:r w:rsidR="006725D3" w:rsidRPr="003171CD">
        <w:rPr>
          <w:rFonts w:eastAsiaTheme="minorHAnsi" w:cs="Arial"/>
          <w:lang w:val="en-US"/>
        </w:rPr>
        <w:t xml:space="preserve"> by</w:t>
      </w:r>
      <w:r w:rsidR="005A65CE" w:rsidRPr="003171CD">
        <w:rPr>
          <w:rFonts w:eastAsiaTheme="minorHAnsi" w:cs="Arial"/>
          <w:lang w:val="en-US"/>
        </w:rPr>
        <w:t xml:space="preserve"> </w:t>
      </w:r>
      <w:r w:rsidR="006725D3" w:rsidRPr="003171CD">
        <w:rPr>
          <w:rFonts w:eastAsiaTheme="minorHAnsi" w:cs="Arial"/>
          <w:lang w:val="en-US"/>
        </w:rPr>
        <w:t xml:space="preserve">other branches of government </w:t>
      </w:r>
      <w:r w:rsidR="005A65CE" w:rsidRPr="003171CD">
        <w:rPr>
          <w:rFonts w:eastAsiaTheme="minorHAnsi" w:cs="Arial"/>
          <w:lang w:val="en-US"/>
        </w:rPr>
        <w:t xml:space="preserve">that </w:t>
      </w:r>
      <w:r w:rsidR="006725D3" w:rsidRPr="003171CD">
        <w:rPr>
          <w:rFonts w:eastAsiaTheme="minorHAnsi" w:cs="Arial"/>
          <w:lang w:val="en-US"/>
        </w:rPr>
        <w:t xml:space="preserve">might impair its </w:t>
      </w:r>
      <w:r w:rsidR="00AE64AB" w:rsidRPr="003171CD">
        <w:rPr>
          <w:rFonts w:eastAsiaTheme="minorHAnsi" w:cs="Arial"/>
          <w:lang w:val="en-US"/>
        </w:rPr>
        <w:t xml:space="preserve">functional </w:t>
      </w:r>
      <w:r w:rsidR="005A65CE" w:rsidRPr="003171CD">
        <w:rPr>
          <w:rFonts w:eastAsiaTheme="minorHAnsi" w:cs="Arial"/>
          <w:lang w:val="en-US"/>
        </w:rPr>
        <w:t>autonom</w:t>
      </w:r>
      <w:r w:rsidR="00AE64AB" w:rsidRPr="003171CD">
        <w:rPr>
          <w:rFonts w:eastAsiaTheme="minorHAnsi" w:cs="Arial"/>
          <w:lang w:val="en-US"/>
        </w:rPr>
        <w:t>y</w:t>
      </w:r>
      <w:r w:rsidR="006725D3" w:rsidRPr="003171CD">
        <w:rPr>
          <w:rFonts w:eastAsiaTheme="minorHAnsi" w:cs="Arial"/>
          <w:lang w:val="en-US"/>
        </w:rPr>
        <w:t>,</w:t>
      </w:r>
      <w:r w:rsidR="00AE64AB" w:rsidRPr="003171CD">
        <w:rPr>
          <w:rFonts w:eastAsiaTheme="minorHAnsi" w:cs="Arial"/>
          <w:lang w:val="en-US"/>
        </w:rPr>
        <w:t xml:space="preserve"> </w:t>
      </w:r>
      <w:r w:rsidR="005A65CE" w:rsidRPr="003171CD">
        <w:rPr>
          <w:rFonts w:eastAsiaTheme="minorHAnsi" w:cs="Arial"/>
          <w:lang w:val="en-US"/>
        </w:rPr>
        <w:t xml:space="preserve">and </w:t>
      </w:r>
      <w:r w:rsidR="00AE64AB" w:rsidRPr="003171CD">
        <w:rPr>
          <w:rFonts w:eastAsiaTheme="minorHAnsi" w:cs="Arial"/>
          <w:lang w:val="en-US"/>
        </w:rPr>
        <w:t xml:space="preserve">whose mandate is </w:t>
      </w:r>
      <w:r w:rsidR="006725D3" w:rsidRPr="003171CD">
        <w:rPr>
          <w:rFonts w:eastAsiaTheme="minorHAnsi" w:cs="Arial"/>
          <w:lang w:val="en-US"/>
        </w:rPr>
        <w:t xml:space="preserve">to protect the </w:t>
      </w:r>
      <w:r w:rsidR="005A65CE" w:rsidRPr="003171CD">
        <w:rPr>
          <w:rFonts w:eastAsiaTheme="minorHAnsi" w:cs="Arial"/>
          <w:lang w:val="en-US"/>
        </w:rPr>
        <w:t>interest</w:t>
      </w:r>
      <w:r w:rsidR="006725D3" w:rsidRPr="003171CD">
        <w:rPr>
          <w:rFonts w:eastAsiaTheme="minorHAnsi" w:cs="Arial"/>
          <w:lang w:val="en-US"/>
        </w:rPr>
        <w:t>s</w:t>
      </w:r>
      <w:r w:rsidR="005A65CE" w:rsidRPr="003171CD">
        <w:rPr>
          <w:rFonts w:eastAsiaTheme="minorHAnsi" w:cs="Arial"/>
          <w:lang w:val="en-US"/>
        </w:rPr>
        <w:t xml:space="preserve"> of </w:t>
      </w:r>
      <w:r w:rsidR="00AE64AB" w:rsidRPr="003171CD">
        <w:rPr>
          <w:rFonts w:eastAsiaTheme="minorHAnsi" w:cs="Arial"/>
          <w:lang w:val="en-US"/>
        </w:rPr>
        <w:t xml:space="preserve">the </w:t>
      </w:r>
      <w:r w:rsidR="006725D3" w:rsidRPr="003171CD">
        <w:rPr>
          <w:rFonts w:eastAsiaTheme="minorHAnsi" w:cs="Arial"/>
          <w:lang w:val="en-US"/>
        </w:rPr>
        <w:t xml:space="preserve">person it is </w:t>
      </w:r>
      <w:r w:rsidR="005A65CE" w:rsidRPr="003171CD">
        <w:rPr>
          <w:rFonts w:eastAsiaTheme="minorHAnsi" w:cs="Arial"/>
          <w:lang w:val="en-US"/>
        </w:rPr>
        <w:t>defendi</w:t>
      </w:r>
      <w:r w:rsidR="006725D3" w:rsidRPr="003171CD">
        <w:rPr>
          <w:rFonts w:eastAsiaTheme="minorHAnsi" w:cs="Arial"/>
          <w:lang w:val="en-US"/>
        </w:rPr>
        <w:t>ng.</w:t>
      </w:r>
      <w:r w:rsidR="005A65CE" w:rsidRPr="003171CD">
        <w:rPr>
          <w:rFonts w:eastAsiaTheme="minorHAnsi" w:cs="Arial"/>
          <w:lang w:val="en-US"/>
        </w:rPr>
        <w:t>”</w:t>
      </w:r>
      <w:r w:rsidR="005A65CE" w:rsidRPr="003171CD">
        <w:rPr>
          <w:rStyle w:val="Refdenotaalpie"/>
          <w:rFonts w:eastAsiaTheme="minorHAnsi" w:cs="Arial"/>
          <w:lang w:val="en-US"/>
        </w:rPr>
        <w:footnoteReference w:id="225"/>
      </w:r>
    </w:p>
    <w:p w14:paraId="2A02CD57" w14:textId="77777777" w:rsidR="005A65CE" w:rsidRPr="003171CD" w:rsidRDefault="005A65CE" w:rsidP="005A65CE">
      <w:pPr>
        <w:tabs>
          <w:tab w:val="left" w:pos="567"/>
        </w:tabs>
        <w:autoSpaceDE/>
        <w:autoSpaceDN/>
        <w:adjustRightInd/>
        <w:jc w:val="both"/>
        <w:rPr>
          <w:rFonts w:cs="Times New Roman"/>
          <w:snapToGrid/>
          <w:lang w:val="en-US" w:eastAsia="en-US"/>
        </w:rPr>
      </w:pPr>
    </w:p>
    <w:p w14:paraId="488C401F" w14:textId="77777777" w:rsidR="005A65CE" w:rsidRPr="003171CD" w:rsidRDefault="0052137E" w:rsidP="006C674C">
      <w:pPr>
        <w:pStyle w:val="Prrafodelista"/>
        <w:numPr>
          <w:ilvl w:val="0"/>
          <w:numId w:val="1"/>
        </w:numPr>
        <w:tabs>
          <w:tab w:val="left" w:pos="720"/>
        </w:tabs>
        <w:ind w:right="-90"/>
        <w:jc w:val="both"/>
        <w:rPr>
          <w:rFonts w:eastAsiaTheme="minorHAnsi" w:cs="Arial"/>
          <w:lang w:val="en-US"/>
        </w:rPr>
      </w:pPr>
      <w:r w:rsidRPr="003171CD">
        <w:rPr>
          <w:rFonts w:eastAsiaTheme="minorHAnsi" w:cs="Arial"/>
          <w:lang w:val="en-US"/>
        </w:rPr>
        <w:t>I</w:t>
      </w:r>
      <w:r w:rsidR="005A65CE" w:rsidRPr="003171CD">
        <w:rPr>
          <w:rFonts w:eastAsiaTheme="minorHAnsi" w:cs="Arial"/>
          <w:lang w:val="en-US"/>
        </w:rPr>
        <w:t xml:space="preserve">n El Salvador, the constitutional </w:t>
      </w:r>
      <w:r w:rsidRPr="003171CD">
        <w:rPr>
          <w:rFonts w:eastAsiaTheme="minorHAnsi" w:cs="Arial"/>
          <w:lang w:val="en-US"/>
        </w:rPr>
        <w:t xml:space="preserve">mandate to </w:t>
      </w:r>
      <w:r w:rsidR="00630651" w:rsidRPr="003171CD">
        <w:rPr>
          <w:rFonts w:eastAsiaTheme="minorHAnsi" w:cs="Arial"/>
          <w:lang w:val="en-US"/>
        </w:rPr>
        <w:t>ensure</w:t>
      </w:r>
      <w:r w:rsidR="003C71ED" w:rsidRPr="003171CD">
        <w:rPr>
          <w:rFonts w:eastAsiaTheme="minorHAnsi" w:cs="Arial"/>
          <w:lang w:val="en-US"/>
        </w:rPr>
        <w:t xml:space="preserve"> </w:t>
      </w:r>
      <w:r w:rsidR="00201619" w:rsidRPr="003171CD">
        <w:rPr>
          <w:rFonts w:eastAsiaTheme="minorHAnsi" w:cs="Arial"/>
          <w:lang w:val="en-US"/>
        </w:rPr>
        <w:t xml:space="preserve">that “[a]ny </w:t>
      </w:r>
      <w:r w:rsidR="005A65CE" w:rsidRPr="003171CD">
        <w:rPr>
          <w:rFonts w:eastAsiaTheme="minorHAnsi" w:cs="Arial"/>
          <w:lang w:val="en-US"/>
        </w:rPr>
        <w:t xml:space="preserve">person </w:t>
      </w:r>
      <w:r w:rsidR="00201619" w:rsidRPr="003171CD">
        <w:rPr>
          <w:rFonts w:eastAsiaTheme="minorHAnsi" w:cs="Arial"/>
          <w:lang w:val="en-US"/>
        </w:rPr>
        <w:t xml:space="preserve">accused of </w:t>
      </w:r>
      <w:r w:rsidR="005A65CE" w:rsidRPr="003171CD">
        <w:rPr>
          <w:rFonts w:eastAsiaTheme="minorHAnsi" w:cs="Arial"/>
          <w:lang w:val="en-US"/>
        </w:rPr>
        <w:t xml:space="preserve">a crime, […] </w:t>
      </w:r>
      <w:r w:rsidR="00201619" w:rsidRPr="003171CD">
        <w:rPr>
          <w:rFonts w:eastAsiaTheme="minorHAnsi" w:cs="Arial"/>
          <w:lang w:val="en-US"/>
        </w:rPr>
        <w:t xml:space="preserve">is provided with all </w:t>
      </w:r>
      <w:r w:rsidR="005A65CE" w:rsidRPr="003171CD">
        <w:rPr>
          <w:rFonts w:eastAsiaTheme="minorHAnsi" w:cs="Arial"/>
          <w:lang w:val="en-US"/>
        </w:rPr>
        <w:t xml:space="preserve">the guarantees necessary </w:t>
      </w:r>
      <w:r w:rsidRPr="003171CD">
        <w:rPr>
          <w:rFonts w:eastAsiaTheme="minorHAnsi" w:cs="Arial"/>
          <w:lang w:val="en-US"/>
        </w:rPr>
        <w:t xml:space="preserve">for his </w:t>
      </w:r>
      <w:r w:rsidR="005A65CE" w:rsidRPr="003171CD">
        <w:rPr>
          <w:rFonts w:eastAsiaTheme="minorHAnsi" w:cs="Arial"/>
          <w:lang w:val="en-US"/>
        </w:rPr>
        <w:t>defense”</w:t>
      </w:r>
      <w:r w:rsidR="005A65CE" w:rsidRPr="003171CD">
        <w:rPr>
          <w:rFonts w:eastAsiaTheme="minorHAnsi"/>
          <w:vertAlign w:val="superscript"/>
          <w:lang w:val="en-US"/>
        </w:rPr>
        <w:footnoteReference w:id="226"/>
      </w:r>
      <w:r w:rsidR="005A65CE" w:rsidRPr="003171CD">
        <w:rPr>
          <w:rFonts w:eastAsiaTheme="minorHAnsi" w:cs="Arial"/>
          <w:i/>
          <w:lang w:val="en-US"/>
        </w:rPr>
        <w:t xml:space="preserve"> </w:t>
      </w:r>
      <w:r w:rsidR="00226801" w:rsidRPr="003171CD">
        <w:rPr>
          <w:rFonts w:eastAsiaTheme="minorHAnsi" w:cs="Arial"/>
          <w:lang w:val="en-US"/>
        </w:rPr>
        <w:t>is implemented t</w:t>
      </w:r>
      <w:r w:rsidR="005A65CE" w:rsidRPr="003171CD">
        <w:rPr>
          <w:rFonts w:eastAsiaTheme="minorHAnsi" w:cs="Arial"/>
          <w:lang w:val="en-US"/>
        </w:rPr>
        <w:t xml:space="preserve">hrough the </w:t>
      </w:r>
      <w:r w:rsidRPr="003171CD">
        <w:rPr>
          <w:rFonts w:eastAsiaTheme="minorHAnsi" w:cs="Arial"/>
          <w:lang w:val="en-US"/>
        </w:rPr>
        <w:t xml:space="preserve">technical assistance provided by </w:t>
      </w:r>
      <w:r w:rsidR="005A65CE" w:rsidRPr="003171CD">
        <w:rPr>
          <w:rFonts w:eastAsiaTheme="minorHAnsi" w:cs="Arial"/>
          <w:lang w:val="en-US"/>
        </w:rPr>
        <w:t xml:space="preserve">the </w:t>
      </w:r>
      <w:r w:rsidR="003C71ED" w:rsidRPr="003171CD">
        <w:rPr>
          <w:rFonts w:eastAsiaTheme="minorHAnsi" w:cs="Arial"/>
          <w:lang w:val="en-US"/>
        </w:rPr>
        <w:t xml:space="preserve">Office of the </w:t>
      </w:r>
      <w:r w:rsidR="005A65CE" w:rsidRPr="003171CD">
        <w:rPr>
          <w:rFonts w:eastAsiaTheme="minorHAnsi" w:cs="Arial"/>
          <w:lang w:val="en-US"/>
        </w:rPr>
        <w:t xml:space="preserve">Public </w:t>
      </w:r>
      <w:r w:rsidR="00201619" w:rsidRPr="003171CD">
        <w:rPr>
          <w:rFonts w:eastAsiaTheme="minorHAnsi" w:cs="Arial"/>
          <w:lang w:val="en-US"/>
        </w:rPr>
        <w:t>Defender</w:t>
      </w:r>
      <w:r w:rsidR="003934BC" w:rsidRPr="003171CD">
        <w:rPr>
          <w:rFonts w:eastAsiaTheme="minorHAnsi" w:cs="Arial"/>
          <w:lang w:val="en-US"/>
        </w:rPr>
        <w:t xml:space="preserve"> </w:t>
      </w:r>
      <w:r w:rsidR="005A65CE" w:rsidRPr="003171CD">
        <w:rPr>
          <w:rFonts w:eastAsiaTheme="minorHAnsi" w:cs="Arial"/>
          <w:lang w:val="en-US"/>
        </w:rPr>
        <w:t>a</w:t>
      </w:r>
      <w:r w:rsidRPr="003171CD">
        <w:rPr>
          <w:rFonts w:eastAsiaTheme="minorHAnsi" w:cs="Arial"/>
          <w:lang w:val="en-US"/>
        </w:rPr>
        <w:t xml:space="preserve">t the </w:t>
      </w:r>
      <w:r w:rsidR="005A65CE" w:rsidRPr="003171CD">
        <w:rPr>
          <w:rFonts w:eastAsiaTheme="minorHAnsi" w:cs="Arial"/>
          <w:lang w:val="en-US"/>
        </w:rPr>
        <w:t xml:space="preserve">request of </w:t>
      </w:r>
      <w:r w:rsidRPr="003171CD">
        <w:rPr>
          <w:rFonts w:eastAsiaTheme="minorHAnsi" w:cs="Arial"/>
          <w:lang w:val="en-US"/>
        </w:rPr>
        <w:t xml:space="preserve">any </w:t>
      </w:r>
      <w:r w:rsidR="00933AD5" w:rsidRPr="003171CD">
        <w:rPr>
          <w:rFonts w:eastAsiaTheme="minorHAnsi" w:cs="Arial"/>
          <w:lang w:val="en-US"/>
        </w:rPr>
        <w:t xml:space="preserve">individual who </w:t>
      </w:r>
      <w:r w:rsidR="00933AD5" w:rsidRPr="003171CD">
        <w:rPr>
          <w:rFonts w:eastAsiaTheme="minorHAnsi" w:cs="Arial"/>
          <w:lang w:val="en-US"/>
        </w:rPr>
        <w:lastRenderedPageBreak/>
        <w:t xml:space="preserve">is threatened or deprived of their personal </w:t>
      </w:r>
      <w:r w:rsidR="00E755FC" w:rsidRPr="003171CD">
        <w:rPr>
          <w:rFonts w:eastAsiaTheme="minorHAnsi" w:cs="Arial"/>
          <w:lang w:val="en-US"/>
        </w:rPr>
        <w:t>liberty</w:t>
      </w:r>
      <w:r w:rsidR="005A65CE" w:rsidRPr="003171CD">
        <w:rPr>
          <w:rFonts w:eastAsiaTheme="minorHAnsi" w:cs="Arial"/>
          <w:lang w:val="en-US"/>
        </w:rPr>
        <w:t xml:space="preserve">, </w:t>
      </w:r>
      <w:r w:rsidR="00933AD5" w:rsidRPr="003171CD">
        <w:rPr>
          <w:rFonts w:eastAsiaTheme="minorHAnsi" w:cs="Arial"/>
          <w:lang w:val="en-US"/>
        </w:rPr>
        <w:t xml:space="preserve">regardless of </w:t>
      </w:r>
      <w:r w:rsidR="005A65CE" w:rsidRPr="003171CD">
        <w:rPr>
          <w:rFonts w:eastAsiaTheme="minorHAnsi" w:cs="Arial"/>
          <w:lang w:val="en-US"/>
        </w:rPr>
        <w:t>nationali</w:t>
      </w:r>
      <w:r w:rsidR="00933AD5" w:rsidRPr="003171CD">
        <w:rPr>
          <w:rFonts w:eastAsiaTheme="minorHAnsi" w:cs="Arial"/>
          <w:lang w:val="en-US"/>
        </w:rPr>
        <w:t>ty, sex, religio</w:t>
      </w:r>
      <w:r w:rsidR="005A65CE" w:rsidRPr="003171CD">
        <w:rPr>
          <w:rFonts w:eastAsiaTheme="minorHAnsi" w:cs="Arial"/>
          <w:lang w:val="en-US"/>
        </w:rPr>
        <w:t xml:space="preserve">n or </w:t>
      </w:r>
      <w:r w:rsidR="00933AD5" w:rsidRPr="003171CD">
        <w:rPr>
          <w:rFonts w:eastAsiaTheme="minorHAnsi" w:cs="Arial"/>
          <w:lang w:val="en-US"/>
        </w:rPr>
        <w:t>financial status.</w:t>
      </w:r>
      <w:r w:rsidR="005A65CE" w:rsidRPr="003171CD">
        <w:rPr>
          <w:rFonts w:eastAsiaTheme="minorHAnsi"/>
          <w:vertAlign w:val="superscript"/>
          <w:lang w:val="en-US"/>
        </w:rPr>
        <w:footnoteReference w:id="227"/>
      </w:r>
      <w:r w:rsidR="005A65CE" w:rsidRPr="003171CD">
        <w:rPr>
          <w:rFonts w:eastAsiaTheme="minorHAnsi" w:cs="Arial"/>
          <w:lang w:val="en-US"/>
        </w:rPr>
        <w:t xml:space="preserve"> </w:t>
      </w:r>
      <w:r w:rsidR="00933AD5" w:rsidRPr="003171CD">
        <w:rPr>
          <w:rFonts w:eastAsiaTheme="minorHAnsi" w:cs="Arial"/>
          <w:lang w:val="en-US"/>
        </w:rPr>
        <w:t xml:space="preserve">According to </w:t>
      </w:r>
      <w:r w:rsidR="005A65CE" w:rsidRPr="003171CD">
        <w:rPr>
          <w:rFonts w:eastAsiaTheme="minorHAnsi" w:cs="Arial"/>
          <w:color w:val="080808"/>
          <w:lang w:val="en-US"/>
        </w:rPr>
        <w:t xml:space="preserve">Article 33 of the </w:t>
      </w:r>
      <w:r w:rsidR="00C602BB" w:rsidRPr="003171CD">
        <w:rPr>
          <w:rFonts w:eastAsiaTheme="minorHAnsi" w:cs="Arial"/>
          <w:color w:val="080808"/>
          <w:lang w:val="en-US"/>
        </w:rPr>
        <w:t xml:space="preserve">Organic Law </w:t>
      </w:r>
      <w:r w:rsidR="005A65CE" w:rsidRPr="003171CD">
        <w:rPr>
          <w:rFonts w:eastAsiaTheme="minorHAnsi" w:cs="Arial"/>
          <w:color w:val="080808"/>
          <w:lang w:val="en-US"/>
        </w:rPr>
        <w:t xml:space="preserve">of the </w:t>
      </w:r>
      <w:r w:rsidR="00C602BB" w:rsidRPr="003171CD">
        <w:rPr>
          <w:rFonts w:eastAsiaTheme="minorHAnsi" w:cs="Arial"/>
          <w:color w:val="080808"/>
          <w:lang w:val="en-US"/>
        </w:rPr>
        <w:t xml:space="preserve">Attorney </w:t>
      </w:r>
      <w:r w:rsidR="005A65CE" w:rsidRPr="003171CD">
        <w:rPr>
          <w:rFonts w:eastAsiaTheme="minorHAnsi" w:cs="Arial"/>
          <w:color w:val="080808"/>
          <w:lang w:val="en-US"/>
        </w:rPr>
        <w:t>General</w:t>
      </w:r>
      <w:r w:rsidR="00C602BB" w:rsidRPr="003171CD">
        <w:rPr>
          <w:rFonts w:eastAsiaTheme="minorHAnsi" w:cs="Arial"/>
          <w:color w:val="080808"/>
          <w:lang w:val="en-US"/>
        </w:rPr>
        <w:t>’s Office</w:t>
      </w:r>
      <w:r w:rsidR="005A65CE" w:rsidRPr="003171CD">
        <w:rPr>
          <w:rFonts w:eastAsiaTheme="minorHAnsi" w:cs="Arial"/>
          <w:color w:val="080808"/>
          <w:lang w:val="en-US"/>
        </w:rPr>
        <w:t>, “</w:t>
      </w:r>
      <w:r w:rsidR="00193987" w:rsidRPr="003171CD">
        <w:rPr>
          <w:rFonts w:eastAsiaTheme="minorHAnsi" w:cs="Arial"/>
          <w:color w:val="080808"/>
          <w:lang w:val="en-US"/>
        </w:rPr>
        <w:t>the function of the</w:t>
      </w:r>
      <w:r w:rsidR="005A65CE" w:rsidRPr="003171CD">
        <w:rPr>
          <w:rFonts w:eastAsiaTheme="minorHAnsi" w:cs="Arial"/>
          <w:color w:val="080808"/>
          <w:lang w:val="en-US"/>
        </w:rPr>
        <w:t xml:space="preserve"> </w:t>
      </w:r>
      <w:r w:rsidR="00BE1B74" w:rsidRPr="003171CD">
        <w:rPr>
          <w:rFonts w:eastAsiaTheme="minorHAnsi" w:cs="Arial"/>
          <w:color w:val="080808"/>
          <w:lang w:val="en-US"/>
        </w:rPr>
        <w:t xml:space="preserve">Office of the </w:t>
      </w:r>
      <w:r w:rsidR="003934BC" w:rsidRPr="003171CD">
        <w:rPr>
          <w:rFonts w:eastAsiaTheme="minorHAnsi" w:cs="Arial"/>
          <w:color w:val="080808"/>
          <w:lang w:val="en-US"/>
        </w:rPr>
        <w:t xml:space="preserve">Public Defender is to </w:t>
      </w:r>
      <w:r w:rsidR="00696112" w:rsidRPr="003171CD">
        <w:rPr>
          <w:rFonts w:eastAsiaTheme="minorHAnsi" w:cs="Arial"/>
          <w:color w:val="080808"/>
          <w:lang w:val="en-US"/>
        </w:rPr>
        <w:t xml:space="preserve">guarantee </w:t>
      </w:r>
      <w:r w:rsidR="005A65CE" w:rsidRPr="003171CD">
        <w:rPr>
          <w:rFonts w:eastAsiaTheme="minorHAnsi" w:cs="Arial"/>
          <w:color w:val="080808"/>
          <w:lang w:val="en-US"/>
        </w:rPr>
        <w:t xml:space="preserve">the </w:t>
      </w:r>
      <w:r w:rsidR="00BE1B74" w:rsidRPr="003171CD">
        <w:rPr>
          <w:rFonts w:eastAsiaTheme="minorHAnsi" w:cs="Arial"/>
          <w:color w:val="080808"/>
          <w:lang w:val="en-US"/>
        </w:rPr>
        <w:t xml:space="preserve">legal </w:t>
      </w:r>
      <w:r w:rsidR="00226801" w:rsidRPr="003171CD">
        <w:rPr>
          <w:rFonts w:eastAsiaTheme="minorHAnsi" w:cs="Arial"/>
          <w:color w:val="080808"/>
          <w:lang w:val="en-US"/>
        </w:rPr>
        <w:t xml:space="preserve">protection </w:t>
      </w:r>
      <w:r w:rsidR="005A65CE" w:rsidRPr="003171CD">
        <w:rPr>
          <w:rFonts w:eastAsiaTheme="minorHAnsi" w:cs="Arial"/>
          <w:color w:val="080808"/>
          <w:lang w:val="en-US"/>
        </w:rPr>
        <w:t xml:space="preserve">of the </w:t>
      </w:r>
      <w:r w:rsidR="00193987" w:rsidRPr="003171CD">
        <w:rPr>
          <w:rFonts w:eastAsiaTheme="minorHAnsi" w:cs="Arial"/>
          <w:color w:val="080808"/>
          <w:lang w:val="en-US"/>
        </w:rPr>
        <w:t xml:space="preserve">individual </w:t>
      </w:r>
      <w:r w:rsidR="00BE1B74" w:rsidRPr="003171CD">
        <w:rPr>
          <w:rFonts w:eastAsiaTheme="minorHAnsi" w:cs="Arial"/>
          <w:color w:val="080808"/>
          <w:lang w:val="en-US"/>
        </w:rPr>
        <w:t xml:space="preserve">liberty </w:t>
      </w:r>
      <w:r w:rsidR="00226801" w:rsidRPr="003171CD">
        <w:rPr>
          <w:rFonts w:eastAsiaTheme="minorHAnsi" w:cs="Arial"/>
          <w:color w:val="080808"/>
          <w:lang w:val="en-US"/>
        </w:rPr>
        <w:t xml:space="preserve">of </w:t>
      </w:r>
      <w:r w:rsidR="00193987" w:rsidRPr="003171CD">
        <w:rPr>
          <w:rFonts w:eastAsiaTheme="minorHAnsi" w:cs="Arial"/>
          <w:color w:val="080808"/>
          <w:lang w:val="en-US"/>
        </w:rPr>
        <w:t>adult</w:t>
      </w:r>
      <w:r w:rsidR="005A65CE" w:rsidRPr="003171CD">
        <w:rPr>
          <w:rFonts w:eastAsiaTheme="minorHAnsi" w:cs="Arial"/>
          <w:color w:val="080808"/>
          <w:lang w:val="en-US"/>
        </w:rPr>
        <w:t>s and m</w:t>
      </w:r>
      <w:r w:rsidR="00193987" w:rsidRPr="003171CD">
        <w:rPr>
          <w:rFonts w:eastAsiaTheme="minorHAnsi" w:cs="Arial"/>
          <w:color w:val="080808"/>
          <w:lang w:val="en-US"/>
        </w:rPr>
        <w:t xml:space="preserve">inors who are accused of committing </w:t>
      </w:r>
      <w:r w:rsidR="005A65CE" w:rsidRPr="003171CD">
        <w:rPr>
          <w:rFonts w:eastAsiaTheme="minorHAnsi" w:cs="Arial"/>
          <w:color w:val="080808"/>
          <w:lang w:val="en-US"/>
        </w:rPr>
        <w:t xml:space="preserve">a </w:t>
      </w:r>
      <w:r w:rsidR="00193987" w:rsidRPr="003171CD">
        <w:rPr>
          <w:rFonts w:eastAsiaTheme="minorHAnsi" w:cs="Arial"/>
          <w:color w:val="080808"/>
          <w:lang w:val="en-US"/>
        </w:rPr>
        <w:t>criminal offense.</w:t>
      </w:r>
      <w:r w:rsidR="005A65CE" w:rsidRPr="003171CD">
        <w:rPr>
          <w:rFonts w:eastAsiaTheme="minorHAnsi" w:cs="Arial"/>
          <w:color w:val="080808"/>
          <w:lang w:val="en-US"/>
        </w:rPr>
        <w:t>”</w:t>
      </w:r>
      <w:r w:rsidR="005A65CE" w:rsidRPr="003171CD">
        <w:rPr>
          <w:rFonts w:eastAsiaTheme="minorHAnsi"/>
          <w:color w:val="080808"/>
          <w:vertAlign w:val="superscript"/>
          <w:lang w:val="en-US"/>
        </w:rPr>
        <w:footnoteReference w:id="228"/>
      </w:r>
      <w:r w:rsidR="005A65CE" w:rsidRPr="003171CD">
        <w:rPr>
          <w:rFonts w:eastAsiaTheme="minorHAnsi" w:cs="Arial"/>
          <w:color w:val="080808"/>
          <w:lang w:val="en-US"/>
        </w:rPr>
        <w:t xml:space="preserve"> </w:t>
      </w:r>
      <w:r w:rsidR="00675E2E" w:rsidRPr="003171CD">
        <w:rPr>
          <w:rFonts w:eastAsiaTheme="minorHAnsi" w:cs="Arial"/>
          <w:color w:val="080808"/>
          <w:lang w:val="en-US"/>
        </w:rPr>
        <w:t>Th</w:t>
      </w:r>
      <w:r w:rsidR="00696112" w:rsidRPr="003171CD">
        <w:rPr>
          <w:rFonts w:eastAsiaTheme="minorHAnsi" w:cs="Arial"/>
          <w:color w:val="080808"/>
          <w:lang w:val="en-US"/>
        </w:rPr>
        <w:t>us</w:t>
      </w:r>
      <w:r w:rsidR="00B241C3" w:rsidRPr="003171CD">
        <w:rPr>
          <w:rFonts w:eastAsiaTheme="minorHAnsi" w:cs="Arial"/>
          <w:lang w:val="en-US"/>
        </w:rPr>
        <w:t xml:space="preserve">, in </w:t>
      </w:r>
      <w:r w:rsidR="005A65CE" w:rsidRPr="003171CD">
        <w:rPr>
          <w:rFonts w:eastAsiaTheme="minorHAnsi" w:cs="Arial"/>
          <w:lang w:val="en-US"/>
        </w:rPr>
        <w:t>El Salvador</w:t>
      </w:r>
      <w:r w:rsidR="00B241C3" w:rsidRPr="003171CD">
        <w:rPr>
          <w:rFonts w:eastAsiaTheme="minorHAnsi" w:cs="Arial"/>
          <w:lang w:val="en-US"/>
        </w:rPr>
        <w:t>’s institutional structure</w:t>
      </w:r>
      <w:r w:rsidR="005A65CE" w:rsidRPr="003171CD">
        <w:rPr>
          <w:rFonts w:eastAsiaTheme="minorHAnsi" w:cs="Arial"/>
          <w:lang w:val="en-US"/>
        </w:rPr>
        <w:t xml:space="preserve">, the </w:t>
      </w:r>
      <w:r w:rsidR="009D12A1" w:rsidRPr="003171CD">
        <w:rPr>
          <w:rFonts w:eastAsiaTheme="minorHAnsi" w:cs="Arial"/>
          <w:lang w:val="en-US"/>
        </w:rPr>
        <w:t xml:space="preserve">Office of the </w:t>
      </w:r>
      <w:r w:rsidR="005A65CE" w:rsidRPr="003171CD">
        <w:rPr>
          <w:rFonts w:eastAsiaTheme="minorHAnsi" w:cs="Arial"/>
          <w:lang w:val="en-US"/>
        </w:rPr>
        <w:t xml:space="preserve">Public </w:t>
      </w:r>
      <w:r w:rsidR="009D12A1" w:rsidRPr="003171CD">
        <w:rPr>
          <w:rFonts w:eastAsiaTheme="minorHAnsi" w:cs="Arial"/>
          <w:lang w:val="en-US"/>
        </w:rPr>
        <w:t xml:space="preserve">Defender </w:t>
      </w:r>
      <w:r w:rsidR="00226801" w:rsidRPr="003171CD">
        <w:rPr>
          <w:rFonts w:eastAsiaTheme="minorHAnsi" w:cs="Arial"/>
          <w:lang w:val="en-US"/>
        </w:rPr>
        <w:t xml:space="preserve">forms part of the </w:t>
      </w:r>
      <w:r w:rsidR="006C674C" w:rsidRPr="003171CD">
        <w:rPr>
          <w:rFonts w:eastAsiaTheme="minorHAnsi" w:cs="Arial"/>
          <w:lang w:val="en-US"/>
        </w:rPr>
        <w:t>Office of the Attorney General</w:t>
      </w:r>
      <w:r w:rsidR="005A65CE" w:rsidRPr="003171CD">
        <w:rPr>
          <w:rFonts w:eastAsiaTheme="minorHAnsi" w:cs="Arial"/>
          <w:lang w:val="en-US"/>
        </w:rPr>
        <w:t xml:space="preserve"> of the Republic and </w:t>
      </w:r>
      <w:r w:rsidR="009D12A1" w:rsidRPr="003171CD">
        <w:rPr>
          <w:rFonts w:eastAsiaTheme="minorHAnsi" w:cs="Arial"/>
          <w:lang w:val="en-US"/>
        </w:rPr>
        <w:t xml:space="preserve">therefore its </w:t>
      </w:r>
      <w:r w:rsidR="005A65CE" w:rsidRPr="003171CD">
        <w:rPr>
          <w:rFonts w:eastAsiaTheme="minorHAnsi" w:cs="Arial"/>
          <w:lang w:val="en-US"/>
        </w:rPr>
        <w:t xml:space="preserve">conduct </w:t>
      </w:r>
      <w:r w:rsidR="009F6D5F" w:rsidRPr="003171CD">
        <w:rPr>
          <w:rFonts w:eastAsiaTheme="minorHAnsi" w:cs="Arial"/>
          <w:lang w:val="en-US"/>
        </w:rPr>
        <w:t xml:space="preserve">must be </w:t>
      </w:r>
      <w:r w:rsidR="00696112" w:rsidRPr="003171CD">
        <w:rPr>
          <w:rFonts w:eastAsiaTheme="minorHAnsi" w:cs="Arial"/>
          <w:lang w:val="en-US"/>
        </w:rPr>
        <w:t xml:space="preserve">regarded </w:t>
      </w:r>
      <w:r w:rsidR="009F6D5F" w:rsidRPr="003171CD">
        <w:rPr>
          <w:rFonts w:eastAsiaTheme="minorHAnsi" w:cs="Arial"/>
          <w:lang w:val="en-US"/>
        </w:rPr>
        <w:t xml:space="preserve">as an act of </w:t>
      </w:r>
      <w:r w:rsidR="005A65CE" w:rsidRPr="003171CD">
        <w:rPr>
          <w:rFonts w:eastAsiaTheme="minorHAnsi" w:cs="Arial"/>
          <w:lang w:val="en-US"/>
        </w:rPr>
        <w:t xml:space="preserve">the State in the </w:t>
      </w:r>
      <w:r w:rsidR="00B35FE2" w:rsidRPr="003171CD">
        <w:rPr>
          <w:rFonts w:eastAsiaTheme="minorHAnsi" w:cs="Arial"/>
          <w:lang w:val="en-US"/>
        </w:rPr>
        <w:t xml:space="preserve">terms </w:t>
      </w:r>
      <w:r w:rsidR="00696112" w:rsidRPr="003171CD">
        <w:rPr>
          <w:rFonts w:eastAsiaTheme="minorHAnsi" w:cs="Arial"/>
          <w:lang w:val="en-US"/>
        </w:rPr>
        <w:t xml:space="preserve">established in the </w:t>
      </w:r>
      <w:r w:rsidR="00B35FE2" w:rsidRPr="003171CD">
        <w:rPr>
          <w:rFonts w:eastAsiaTheme="minorHAnsi" w:cs="Arial"/>
          <w:lang w:val="en-US"/>
        </w:rPr>
        <w:t xml:space="preserve">draft </w:t>
      </w:r>
      <w:r w:rsidR="005A65CE" w:rsidRPr="003171CD">
        <w:rPr>
          <w:rFonts w:eastAsiaTheme="minorHAnsi" w:cs="Arial"/>
          <w:lang w:val="en-US"/>
        </w:rPr>
        <w:t>articles</w:t>
      </w:r>
      <w:r w:rsidR="006C674C" w:rsidRPr="003171CD">
        <w:rPr>
          <w:rFonts w:eastAsiaTheme="minorHAnsi" w:cs="Arial"/>
          <w:lang w:val="en-US"/>
        </w:rPr>
        <w:t xml:space="preserve"> on </w:t>
      </w:r>
      <w:r w:rsidR="00226801" w:rsidRPr="003171CD">
        <w:rPr>
          <w:rFonts w:eastAsiaTheme="minorHAnsi" w:cs="Arial"/>
          <w:lang w:val="en-US"/>
        </w:rPr>
        <w:t>the</w:t>
      </w:r>
      <w:r w:rsidR="006C674C" w:rsidRPr="003171CD">
        <w:rPr>
          <w:rFonts w:eastAsiaTheme="minorHAnsi" w:cs="Arial"/>
          <w:lang w:val="en-US"/>
        </w:rPr>
        <w:t xml:space="preserve"> responsibility </w:t>
      </w:r>
      <w:r w:rsidR="00226801" w:rsidRPr="003171CD">
        <w:rPr>
          <w:rFonts w:eastAsiaTheme="minorHAnsi" w:cs="Arial"/>
          <w:lang w:val="en-US"/>
        </w:rPr>
        <w:t xml:space="preserve">of States </w:t>
      </w:r>
      <w:r w:rsidR="006C674C" w:rsidRPr="003171CD">
        <w:rPr>
          <w:rFonts w:eastAsiaTheme="minorHAnsi" w:cs="Arial"/>
          <w:lang w:val="en-US"/>
        </w:rPr>
        <w:t>for</w:t>
      </w:r>
      <w:r w:rsidR="005A65CE" w:rsidRPr="003171CD">
        <w:rPr>
          <w:rFonts w:eastAsiaTheme="minorHAnsi" w:cs="Arial"/>
          <w:lang w:val="en-US"/>
        </w:rPr>
        <w:t xml:space="preserve"> </w:t>
      </w:r>
      <w:r w:rsidR="006C674C" w:rsidRPr="003171CD">
        <w:rPr>
          <w:rFonts w:eastAsiaTheme="minorHAnsi" w:cs="Arial"/>
          <w:lang w:val="en-US"/>
        </w:rPr>
        <w:t>internationally wrongful act</w:t>
      </w:r>
      <w:r w:rsidR="005A65CE" w:rsidRPr="003171CD">
        <w:rPr>
          <w:rFonts w:eastAsiaTheme="minorHAnsi" w:cs="Arial"/>
          <w:lang w:val="en-US"/>
        </w:rPr>
        <w:t xml:space="preserve">s by </w:t>
      </w:r>
      <w:r w:rsidR="002818F7" w:rsidRPr="003171CD">
        <w:rPr>
          <w:rFonts w:eastAsiaTheme="minorHAnsi" w:cs="Arial"/>
          <w:lang w:val="en-US"/>
        </w:rPr>
        <w:t xml:space="preserve">officials responsible for </w:t>
      </w:r>
      <w:r w:rsidR="005A65CE" w:rsidRPr="003171CD">
        <w:rPr>
          <w:rFonts w:eastAsiaTheme="minorHAnsi" w:cs="Arial"/>
          <w:lang w:val="en-US"/>
        </w:rPr>
        <w:t>the administration of justice</w:t>
      </w:r>
      <w:r w:rsidR="009F6D5F" w:rsidRPr="003171CD">
        <w:rPr>
          <w:rFonts w:eastAsiaTheme="minorHAnsi" w:cs="Arial"/>
          <w:lang w:val="en-US"/>
        </w:rPr>
        <w:t>.</w:t>
      </w:r>
      <w:r w:rsidR="005A65CE" w:rsidRPr="003171CD">
        <w:rPr>
          <w:rFonts w:eastAsiaTheme="minorHAnsi"/>
          <w:vertAlign w:val="superscript"/>
          <w:lang w:val="en-US"/>
        </w:rPr>
        <w:footnoteReference w:id="229"/>
      </w:r>
    </w:p>
    <w:p w14:paraId="4784C3F9" w14:textId="77777777" w:rsidR="005A65CE" w:rsidRPr="003171CD" w:rsidRDefault="005A65CE" w:rsidP="005A65CE">
      <w:pPr>
        <w:tabs>
          <w:tab w:val="left" w:pos="567"/>
        </w:tabs>
        <w:autoSpaceDE/>
        <w:autoSpaceDN/>
        <w:adjustRightInd/>
        <w:jc w:val="both"/>
        <w:rPr>
          <w:rFonts w:cs="Times New Roman"/>
          <w:snapToGrid/>
          <w:szCs w:val="24"/>
          <w:lang w:val="en-US" w:eastAsia="en-US"/>
        </w:rPr>
      </w:pPr>
    </w:p>
    <w:p w14:paraId="4B5EF1B6"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b/>
          <w:lang w:val="en-US"/>
        </w:rPr>
      </w:pPr>
      <w:r w:rsidRPr="003171CD">
        <w:rPr>
          <w:rFonts w:eastAsiaTheme="minorHAnsi" w:cs="Arial"/>
          <w:lang w:val="en-US"/>
        </w:rPr>
        <w:t>The Cour</w:t>
      </w:r>
      <w:r w:rsidR="009F6D5F" w:rsidRPr="003171CD">
        <w:rPr>
          <w:rFonts w:eastAsiaTheme="minorHAnsi" w:cs="Arial"/>
          <w:lang w:val="en-US"/>
        </w:rPr>
        <w:t>t notes</w:t>
      </w:r>
      <w:r w:rsidR="00696112" w:rsidRPr="003171CD">
        <w:rPr>
          <w:rFonts w:eastAsiaTheme="minorHAnsi" w:cs="Arial"/>
          <w:lang w:val="en-US"/>
        </w:rPr>
        <w:t xml:space="preserve"> that </w:t>
      </w:r>
      <w:r w:rsidRPr="003171CD">
        <w:rPr>
          <w:rFonts w:eastAsiaTheme="minorHAnsi" w:cs="Arial"/>
          <w:lang w:val="en-US"/>
        </w:rPr>
        <w:t xml:space="preserve">public defenders </w:t>
      </w:r>
      <w:r w:rsidR="009F6D5F" w:rsidRPr="003171CD">
        <w:rPr>
          <w:rFonts w:eastAsiaTheme="minorHAnsi" w:cs="Arial"/>
          <w:lang w:val="en-US"/>
        </w:rPr>
        <w:t>conducted</w:t>
      </w:r>
      <w:r w:rsidR="00696112" w:rsidRPr="003171CD">
        <w:rPr>
          <w:rFonts w:eastAsiaTheme="minorHAnsi" w:cs="Arial"/>
          <w:lang w:val="en-US"/>
        </w:rPr>
        <w:t xml:space="preserve"> the defense of</w:t>
      </w:r>
      <w:r w:rsidR="009F6D5F" w:rsidRPr="003171CD">
        <w:rPr>
          <w:rFonts w:eastAsiaTheme="minorHAnsi" w:cs="Arial"/>
          <w:lang w:val="en-US"/>
        </w:rPr>
        <w:t xml:space="preserve"> </w:t>
      </w:r>
      <w:r w:rsidR="00E755FC" w:rsidRPr="003171CD">
        <w:rPr>
          <w:rFonts w:eastAsiaTheme="minorHAnsi" w:cs="Arial"/>
          <w:lang w:val="en-US"/>
        </w:rPr>
        <w:t>Mr</w:t>
      </w:r>
      <w:r w:rsidRPr="003171CD">
        <w:rPr>
          <w:rFonts w:eastAsiaTheme="minorHAnsi" w:cs="Arial"/>
          <w:lang w:val="en-US"/>
        </w:rPr>
        <w:t>. José Agapito Ruano Torres</w:t>
      </w:r>
      <w:r w:rsidR="00696112" w:rsidRPr="003171CD">
        <w:rPr>
          <w:rFonts w:eastAsiaTheme="minorHAnsi" w:cs="Arial"/>
          <w:lang w:val="en-US"/>
        </w:rPr>
        <w:t xml:space="preserve"> </w:t>
      </w:r>
      <w:r w:rsidR="005F517F" w:rsidRPr="003171CD">
        <w:rPr>
          <w:rFonts w:eastAsiaTheme="minorHAnsi" w:cs="Arial"/>
          <w:lang w:val="en-US"/>
        </w:rPr>
        <w:t xml:space="preserve">during </w:t>
      </w:r>
      <w:r w:rsidR="00696112" w:rsidRPr="003171CD">
        <w:rPr>
          <w:rFonts w:eastAsiaTheme="minorHAnsi" w:cs="Arial"/>
          <w:lang w:val="en-US"/>
        </w:rPr>
        <w:t xml:space="preserve">the </w:t>
      </w:r>
      <w:r w:rsidR="006D65DA" w:rsidRPr="003171CD">
        <w:rPr>
          <w:rFonts w:eastAsiaTheme="minorHAnsi" w:cs="Arial"/>
          <w:lang w:val="en-US"/>
        </w:rPr>
        <w:t>criminal trial</w:t>
      </w:r>
      <w:r w:rsidRPr="003171CD">
        <w:rPr>
          <w:rFonts w:eastAsiaTheme="minorHAnsi" w:cs="Arial"/>
          <w:lang w:val="en-US"/>
        </w:rPr>
        <w:t xml:space="preserve"> No. 77-2001-2, in which </w:t>
      </w:r>
      <w:r w:rsidR="00933AD5" w:rsidRPr="003171CD">
        <w:rPr>
          <w:rFonts w:eastAsiaTheme="minorHAnsi" w:cs="Arial"/>
          <w:lang w:val="en-US"/>
        </w:rPr>
        <w:t>he was convicted</w:t>
      </w:r>
      <w:r w:rsidRPr="003171CD">
        <w:rPr>
          <w:rFonts w:eastAsiaTheme="minorHAnsi" w:cs="Arial"/>
          <w:lang w:val="en-US"/>
        </w:rPr>
        <w:t xml:space="preserve">. </w:t>
      </w:r>
      <w:r w:rsidR="00933AD5" w:rsidRPr="003171CD">
        <w:rPr>
          <w:rFonts w:eastAsiaTheme="minorHAnsi" w:cs="Arial"/>
          <w:lang w:val="en-US"/>
        </w:rPr>
        <w:t xml:space="preserve">Unlike previous </w:t>
      </w:r>
      <w:r w:rsidR="00696112" w:rsidRPr="003171CD">
        <w:rPr>
          <w:rFonts w:eastAsiaTheme="minorHAnsi" w:cs="Arial"/>
          <w:lang w:val="en-US"/>
        </w:rPr>
        <w:t>cases -</w:t>
      </w:r>
      <w:r w:rsidRPr="003171CD">
        <w:rPr>
          <w:rFonts w:eastAsiaTheme="minorHAnsi" w:cs="Arial"/>
          <w:lang w:val="en-US"/>
        </w:rPr>
        <w:t xml:space="preserve"> in which the violation </w:t>
      </w:r>
      <w:r w:rsidR="00DF76E6" w:rsidRPr="003171CD">
        <w:rPr>
          <w:rFonts w:eastAsiaTheme="minorHAnsi" w:cs="Arial"/>
          <w:lang w:val="en-US"/>
        </w:rPr>
        <w:t xml:space="preserve">of the </w:t>
      </w:r>
      <w:r w:rsidR="002625A5" w:rsidRPr="003171CD">
        <w:rPr>
          <w:rFonts w:eastAsiaTheme="minorHAnsi" w:cs="Arial"/>
          <w:lang w:val="en-US"/>
        </w:rPr>
        <w:t>right to defense</w:t>
      </w:r>
      <w:r w:rsidRPr="003171CD">
        <w:rPr>
          <w:rFonts w:eastAsiaTheme="minorHAnsi" w:cs="Arial"/>
          <w:lang w:val="en-US"/>
        </w:rPr>
        <w:t xml:space="preserve"> </w:t>
      </w:r>
      <w:r w:rsidR="00A21250" w:rsidRPr="003171CD">
        <w:rPr>
          <w:rFonts w:eastAsiaTheme="minorHAnsi" w:cs="Arial"/>
          <w:lang w:val="en-US"/>
        </w:rPr>
        <w:t xml:space="preserve">accorded to </w:t>
      </w:r>
      <w:r w:rsidR="002818F7" w:rsidRPr="003171CD">
        <w:rPr>
          <w:rFonts w:eastAsiaTheme="minorHAnsi" w:cs="Arial"/>
          <w:lang w:val="en-US"/>
        </w:rPr>
        <w:t xml:space="preserve">anyone </w:t>
      </w:r>
      <w:r w:rsidR="00DF76E6" w:rsidRPr="003171CD">
        <w:rPr>
          <w:rFonts w:eastAsiaTheme="minorHAnsi" w:cs="Arial"/>
          <w:lang w:val="en-US"/>
        </w:rPr>
        <w:t xml:space="preserve">accused of a </w:t>
      </w:r>
      <w:r w:rsidRPr="003171CD">
        <w:rPr>
          <w:rFonts w:eastAsiaTheme="minorHAnsi" w:cs="Arial"/>
          <w:lang w:val="en-US"/>
        </w:rPr>
        <w:t xml:space="preserve">crime </w:t>
      </w:r>
      <w:r w:rsidR="009712C7" w:rsidRPr="003171CD">
        <w:rPr>
          <w:rFonts w:eastAsiaTheme="minorHAnsi" w:cs="Arial"/>
          <w:lang w:val="en-US"/>
        </w:rPr>
        <w:t xml:space="preserve">under the </w:t>
      </w:r>
      <w:r w:rsidRPr="003171CD">
        <w:rPr>
          <w:rFonts w:eastAsiaTheme="minorHAnsi" w:cs="Arial"/>
          <w:lang w:val="en-US"/>
        </w:rPr>
        <w:t>guarantees contempla</w:t>
      </w:r>
      <w:r w:rsidR="00DF76E6" w:rsidRPr="003171CD">
        <w:rPr>
          <w:rFonts w:eastAsiaTheme="minorHAnsi" w:cs="Arial"/>
          <w:lang w:val="en-US"/>
        </w:rPr>
        <w:t xml:space="preserve">ted </w:t>
      </w:r>
      <w:r w:rsidRPr="003171CD">
        <w:rPr>
          <w:rFonts w:eastAsiaTheme="minorHAnsi" w:cs="Arial"/>
          <w:lang w:val="en-US"/>
        </w:rPr>
        <w:t xml:space="preserve">in Article 8(2) of the Convention, </w:t>
      </w:r>
      <w:r w:rsidR="009D12A1" w:rsidRPr="003171CD">
        <w:rPr>
          <w:rFonts w:eastAsiaTheme="minorHAnsi" w:cs="Arial"/>
          <w:lang w:val="en-US"/>
        </w:rPr>
        <w:t xml:space="preserve">was configured </w:t>
      </w:r>
      <w:r w:rsidRPr="003171CD">
        <w:rPr>
          <w:rFonts w:eastAsiaTheme="minorHAnsi" w:cs="Arial"/>
          <w:lang w:val="en-US"/>
        </w:rPr>
        <w:t xml:space="preserve">by </w:t>
      </w:r>
      <w:r w:rsidR="002818F7" w:rsidRPr="003171CD">
        <w:rPr>
          <w:rFonts w:eastAsiaTheme="minorHAnsi" w:cs="Arial"/>
          <w:lang w:val="en-US"/>
        </w:rPr>
        <w:t xml:space="preserve">the </w:t>
      </w:r>
      <w:r w:rsidR="00E51533" w:rsidRPr="003171CD">
        <w:rPr>
          <w:rFonts w:eastAsiaTheme="minorHAnsi" w:cs="Arial"/>
          <w:lang w:val="en-US"/>
        </w:rPr>
        <w:t xml:space="preserve">conduct of </w:t>
      </w:r>
      <w:r w:rsidR="002818F7" w:rsidRPr="003171CD">
        <w:rPr>
          <w:rFonts w:eastAsiaTheme="minorHAnsi" w:cs="Arial"/>
          <w:lang w:val="en-US"/>
        </w:rPr>
        <w:t>the</w:t>
      </w:r>
      <w:r w:rsidRPr="003171CD">
        <w:rPr>
          <w:rFonts w:eastAsiaTheme="minorHAnsi" w:cs="Arial"/>
          <w:lang w:val="en-US"/>
        </w:rPr>
        <w:t xml:space="preserve"> police, </w:t>
      </w:r>
      <w:r w:rsidR="00E51533" w:rsidRPr="003171CD">
        <w:rPr>
          <w:rFonts w:eastAsiaTheme="minorHAnsi" w:cs="Arial"/>
          <w:lang w:val="en-US"/>
        </w:rPr>
        <w:t xml:space="preserve">the </w:t>
      </w:r>
      <w:r w:rsidRPr="003171CD">
        <w:rPr>
          <w:rFonts w:eastAsiaTheme="minorHAnsi" w:cs="Arial"/>
          <w:lang w:val="en-US"/>
        </w:rPr>
        <w:t xml:space="preserve">prosecutors or </w:t>
      </w:r>
      <w:r w:rsidR="00E51533" w:rsidRPr="003171CD">
        <w:rPr>
          <w:rFonts w:eastAsiaTheme="minorHAnsi" w:cs="Arial"/>
          <w:lang w:val="en-US"/>
        </w:rPr>
        <w:t xml:space="preserve">the </w:t>
      </w:r>
      <w:r w:rsidRPr="003171CD">
        <w:rPr>
          <w:rFonts w:eastAsiaTheme="minorHAnsi" w:cs="Arial"/>
          <w:lang w:val="en-US"/>
        </w:rPr>
        <w:t xml:space="preserve">judicial </w:t>
      </w:r>
      <w:r w:rsidR="003A5635" w:rsidRPr="003171CD">
        <w:rPr>
          <w:rFonts w:eastAsiaTheme="minorHAnsi" w:cs="Arial"/>
          <w:lang w:val="en-US"/>
        </w:rPr>
        <w:t xml:space="preserve">authorities </w:t>
      </w:r>
      <w:r w:rsidR="00E51533" w:rsidRPr="003171CD">
        <w:rPr>
          <w:rFonts w:eastAsiaTheme="minorHAnsi" w:cs="Arial"/>
          <w:lang w:val="en-US"/>
        </w:rPr>
        <w:t>in preventing</w:t>
      </w:r>
      <w:r w:rsidRPr="003171CD">
        <w:rPr>
          <w:rFonts w:eastAsiaTheme="minorHAnsi" w:cs="Arial"/>
          <w:lang w:val="en-US"/>
        </w:rPr>
        <w:t xml:space="preserve"> the </w:t>
      </w:r>
      <w:r w:rsidR="00E51533" w:rsidRPr="003171CD">
        <w:rPr>
          <w:rFonts w:eastAsiaTheme="minorHAnsi" w:cs="Arial"/>
          <w:lang w:val="en-US"/>
        </w:rPr>
        <w:t xml:space="preserve">defense attorneys from </w:t>
      </w:r>
      <w:r w:rsidR="003A5635" w:rsidRPr="003171CD">
        <w:rPr>
          <w:rFonts w:eastAsiaTheme="minorHAnsi" w:cs="Arial"/>
          <w:lang w:val="en-US"/>
        </w:rPr>
        <w:t xml:space="preserve">assisting the </w:t>
      </w:r>
      <w:r w:rsidR="00B165B0" w:rsidRPr="003171CD">
        <w:rPr>
          <w:rFonts w:eastAsiaTheme="minorHAnsi" w:cs="Arial"/>
          <w:lang w:val="en-US"/>
        </w:rPr>
        <w:t>accused</w:t>
      </w:r>
      <w:r w:rsidRPr="003171CD">
        <w:rPr>
          <w:rFonts w:eastAsiaTheme="minorHAnsi" w:cs="Arial"/>
          <w:lang w:val="en-US"/>
        </w:rPr>
        <w:t xml:space="preserve"> </w:t>
      </w:r>
      <w:r w:rsidR="00B241C3" w:rsidRPr="003171CD">
        <w:rPr>
          <w:rFonts w:eastAsiaTheme="minorHAnsi" w:cs="Arial"/>
          <w:lang w:val="en-US"/>
        </w:rPr>
        <w:t xml:space="preserve">at key points </w:t>
      </w:r>
      <w:r w:rsidR="003A5635" w:rsidRPr="003171CD">
        <w:rPr>
          <w:rFonts w:eastAsiaTheme="minorHAnsi" w:cs="Arial"/>
          <w:lang w:val="en-US"/>
        </w:rPr>
        <w:t>of the proceeding</w:t>
      </w:r>
      <w:r w:rsidR="00E51533" w:rsidRPr="003171CD">
        <w:rPr>
          <w:rFonts w:eastAsiaTheme="minorHAnsi" w:cs="Arial"/>
          <w:lang w:val="en-US"/>
        </w:rPr>
        <w:t>s</w:t>
      </w:r>
      <w:r w:rsidRPr="003171CD">
        <w:rPr>
          <w:rFonts w:eastAsiaTheme="minorHAnsi" w:cs="Arial"/>
          <w:lang w:val="en-US"/>
        </w:rPr>
        <w:t>,</w:t>
      </w:r>
      <w:r w:rsidR="000A776C" w:rsidRPr="003171CD">
        <w:rPr>
          <w:rFonts w:eastAsiaTheme="minorHAnsi" w:cs="Arial"/>
          <w:lang w:val="en-US"/>
        </w:rPr>
        <w:t xml:space="preserve"> </w:t>
      </w:r>
      <w:r w:rsidR="003A5635" w:rsidRPr="003171CD">
        <w:rPr>
          <w:rFonts w:eastAsiaTheme="minorHAnsi" w:cs="Arial"/>
          <w:lang w:val="en-US"/>
        </w:rPr>
        <w:t xml:space="preserve">such as </w:t>
      </w:r>
      <w:r w:rsidR="009D12A1" w:rsidRPr="003171CD">
        <w:rPr>
          <w:rFonts w:eastAsiaTheme="minorHAnsi" w:cs="Arial"/>
          <w:lang w:val="en-US"/>
        </w:rPr>
        <w:t xml:space="preserve">taking the </w:t>
      </w:r>
      <w:r w:rsidR="00BF064E" w:rsidRPr="003171CD">
        <w:rPr>
          <w:rFonts w:eastAsiaTheme="minorHAnsi" w:cs="Arial"/>
          <w:lang w:val="en-US"/>
        </w:rPr>
        <w:t xml:space="preserve">defendant’s </w:t>
      </w:r>
      <w:r w:rsidR="009D12A1" w:rsidRPr="003171CD">
        <w:rPr>
          <w:rFonts w:eastAsiaTheme="minorHAnsi" w:cs="Arial"/>
          <w:lang w:val="en-US"/>
        </w:rPr>
        <w:t xml:space="preserve">statement </w:t>
      </w:r>
      <w:r w:rsidR="009D12A1" w:rsidRPr="003171CD">
        <w:rPr>
          <w:lang w:val="en-US"/>
        </w:rPr>
        <w:t xml:space="preserve">without </w:t>
      </w:r>
      <w:r w:rsidRPr="003171CD">
        <w:rPr>
          <w:lang w:val="en-US"/>
        </w:rPr>
        <w:t>the a</w:t>
      </w:r>
      <w:r w:rsidR="009D12A1" w:rsidRPr="003171CD">
        <w:rPr>
          <w:lang w:val="en-US"/>
        </w:rPr>
        <w:t>s</w:t>
      </w:r>
      <w:r w:rsidR="003A5635" w:rsidRPr="003171CD">
        <w:rPr>
          <w:lang w:val="en-US"/>
        </w:rPr>
        <w:t>sista</w:t>
      </w:r>
      <w:r w:rsidRPr="003171CD">
        <w:rPr>
          <w:lang w:val="en-US"/>
        </w:rPr>
        <w:t>nc</w:t>
      </w:r>
      <w:r w:rsidR="003B691A" w:rsidRPr="003171CD">
        <w:rPr>
          <w:lang w:val="en-US"/>
        </w:rPr>
        <w:t>e of</w:t>
      </w:r>
      <w:r w:rsidR="009D12A1" w:rsidRPr="003171CD">
        <w:rPr>
          <w:lang w:val="en-US"/>
        </w:rPr>
        <w:t xml:space="preserve"> </w:t>
      </w:r>
      <w:r w:rsidR="003B691A" w:rsidRPr="003171CD">
        <w:rPr>
          <w:lang w:val="en-US"/>
        </w:rPr>
        <w:t xml:space="preserve">his </w:t>
      </w:r>
      <w:r w:rsidR="009D12A1" w:rsidRPr="003171CD">
        <w:rPr>
          <w:lang w:val="en-US"/>
        </w:rPr>
        <w:t>defense counsel</w:t>
      </w:r>
      <w:r w:rsidR="00696112" w:rsidRPr="003171CD">
        <w:rPr>
          <w:lang w:val="en-US"/>
        </w:rPr>
        <w:t>-</w:t>
      </w:r>
      <w:r w:rsidRPr="003171CD">
        <w:rPr>
          <w:rStyle w:val="Refdenotaalpie"/>
          <w:lang w:val="en-US"/>
        </w:rPr>
        <w:footnoteReference w:id="230"/>
      </w:r>
      <w:r w:rsidRPr="003171CD">
        <w:rPr>
          <w:lang w:val="en-US"/>
        </w:rPr>
        <w:t xml:space="preserve"> in the </w:t>
      </w:r>
      <w:r w:rsidR="00F21424" w:rsidRPr="003171CD">
        <w:rPr>
          <w:lang w:val="en-US"/>
        </w:rPr>
        <w:t xml:space="preserve">instant </w:t>
      </w:r>
      <w:r w:rsidRPr="003171CD">
        <w:rPr>
          <w:lang w:val="en-US"/>
        </w:rPr>
        <w:t>case</w:t>
      </w:r>
      <w:r w:rsidR="00696112" w:rsidRPr="003171CD">
        <w:rPr>
          <w:lang w:val="en-US"/>
        </w:rPr>
        <w:t>,</w:t>
      </w:r>
      <w:r w:rsidRPr="003171CD">
        <w:rPr>
          <w:lang w:val="en-US"/>
        </w:rPr>
        <w:t xml:space="preserve"> the arguments </w:t>
      </w:r>
      <w:r w:rsidR="00DF76E6" w:rsidRPr="003171CD">
        <w:rPr>
          <w:lang w:val="en-US"/>
        </w:rPr>
        <w:t xml:space="preserve">refer to </w:t>
      </w:r>
      <w:r w:rsidRPr="003171CD">
        <w:rPr>
          <w:rFonts w:eastAsiaTheme="minorHAnsi" w:cs="Arial"/>
          <w:lang w:val="en-US"/>
        </w:rPr>
        <w:t xml:space="preserve">the alleged </w:t>
      </w:r>
      <w:r w:rsidR="00696112" w:rsidRPr="003171CD">
        <w:rPr>
          <w:rFonts w:eastAsiaTheme="minorHAnsi" w:cs="Arial"/>
          <w:lang w:val="en-US"/>
        </w:rPr>
        <w:t xml:space="preserve">inadequate </w:t>
      </w:r>
      <w:r w:rsidR="00F21424" w:rsidRPr="003171CD">
        <w:rPr>
          <w:rFonts w:eastAsiaTheme="minorHAnsi" w:cs="Arial"/>
          <w:lang w:val="en-US"/>
        </w:rPr>
        <w:t xml:space="preserve">performance </w:t>
      </w:r>
      <w:r w:rsidR="003B691A" w:rsidRPr="003171CD">
        <w:rPr>
          <w:rFonts w:eastAsiaTheme="minorHAnsi" w:cs="Arial"/>
          <w:lang w:val="en-US"/>
        </w:rPr>
        <w:t>of</w:t>
      </w:r>
      <w:r w:rsidR="009D12A1" w:rsidRPr="003171CD">
        <w:rPr>
          <w:rFonts w:eastAsiaTheme="minorHAnsi" w:cs="Arial"/>
          <w:lang w:val="en-US"/>
        </w:rPr>
        <w:t xml:space="preserve"> the </w:t>
      </w:r>
      <w:r w:rsidR="00F21424" w:rsidRPr="003171CD">
        <w:rPr>
          <w:rFonts w:eastAsiaTheme="minorHAnsi" w:cs="Arial"/>
          <w:lang w:val="en-US"/>
        </w:rPr>
        <w:t>Office of the Public D</w:t>
      </w:r>
      <w:r w:rsidR="009D12A1" w:rsidRPr="003171CD">
        <w:rPr>
          <w:rFonts w:eastAsiaTheme="minorHAnsi" w:cs="Arial"/>
          <w:lang w:val="en-US"/>
        </w:rPr>
        <w:t>efender</w:t>
      </w:r>
      <w:r w:rsidRPr="003171CD">
        <w:rPr>
          <w:rFonts w:eastAsiaTheme="minorHAnsi" w:cs="Arial"/>
          <w:lang w:val="en-US"/>
        </w:rPr>
        <w:t xml:space="preserve">. </w:t>
      </w:r>
      <w:r w:rsidR="00266893" w:rsidRPr="003171CD">
        <w:rPr>
          <w:rFonts w:eastAsiaTheme="minorHAnsi" w:cs="Arial"/>
          <w:lang w:val="en-US"/>
        </w:rPr>
        <w:t>That is</w:t>
      </w:r>
      <w:r w:rsidRPr="003171CD">
        <w:rPr>
          <w:rFonts w:eastAsiaTheme="minorHAnsi" w:cs="Arial"/>
          <w:lang w:val="en-US"/>
        </w:rPr>
        <w:t xml:space="preserve">, that the </w:t>
      </w:r>
      <w:r w:rsidR="003B691A" w:rsidRPr="003171CD">
        <w:rPr>
          <w:rFonts w:eastAsiaTheme="minorHAnsi" w:cs="Arial"/>
          <w:lang w:val="en-US"/>
        </w:rPr>
        <w:t xml:space="preserve">legal </w:t>
      </w:r>
      <w:r w:rsidR="00E86957" w:rsidRPr="003171CD">
        <w:rPr>
          <w:rFonts w:eastAsiaTheme="minorHAnsi" w:cs="Arial"/>
          <w:lang w:val="en-US"/>
        </w:rPr>
        <w:t>defense</w:t>
      </w:r>
      <w:r w:rsidRPr="003171CD">
        <w:rPr>
          <w:rFonts w:eastAsiaTheme="minorHAnsi" w:cs="Arial"/>
          <w:lang w:val="en-US"/>
        </w:rPr>
        <w:t xml:space="preserve"> provi</w:t>
      </w:r>
      <w:r w:rsidR="003A5635" w:rsidRPr="003171CD">
        <w:rPr>
          <w:rFonts w:eastAsiaTheme="minorHAnsi" w:cs="Arial"/>
          <w:lang w:val="en-US"/>
        </w:rPr>
        <w:t xml:space="preserve">ded </w:t>
      </w:r>
      <w:r w:rsidRPr="003171CD">
        <w:rPr>
          <w:rFonts w:eastAsiaTheme="minorHAnsi" w:cs="Arial"/>
          <w:lang w:val="en-US"/>
        </w:rPr>
        <w:t xml:space="preserve">by the State </w:t>
      </w:r>
      <w:r w:rsidR="003A5635" w:rsidRPr="003171CD">
        <w:rPr>
          <w:rFonts w:eastAsiaTheme="minorHAnsi" w:cs="Arial"/>
          <w:lang w:val="en-US"/>
        </w:rPr>
        <w:t xml:space="preserve">did not </w:t>
      </w:r>
      <w:r w:rsidRPr="003171CD">
        <w:rPr>
          <w:rFonts w:eastAsiaTheme="minorHAnsi" w:cs="Arial"/>
          <w:lang w:val="en-US"/>
        </w:rPr>
        <w:t>act</w:t>
      </w:r>
      <w:r w:rsidR="009D12A1" w:rsidRPr="003171CD">
        <w:rPr>
          <w:rFonts w:eastAsiaTheme="minorHAnsi" w:cs="Arial"/>
          <w:lang w:val="en-US"/>
        </w:rPr>
        <w:t xml:space="preserve"> </w:t>
      </w:r>
      <w:r w:rsidR="00AE64AB" w:rsidRPr="003171CD">
        <w:rPr>
          <w:rFonts w:eastAsiaTheme="minorHAnsi" w:cs="Arial"/>
          <w:lang w:val="en-US"/>
        </w:rPr>
        <w:t>efficient</w:t>
      </w:r>
      <w:r w:rsidR="009D12A1" w:rsidRPr="003171CD">
        <w:rPr>
          <w:rFonts w:eastAsiaTheme="minorHAnsi" w:cs="Arial"/>
          <w:lang w:val="en-US"/>
        </w:rPr>
        <w:t>ly</w:t>
      </w:r>
      <w:r w:rsidRPr="003171CD">
        <w:rPr>
          <w:rFonts w:eastAsiaTheme="minorHAnsi" w:cs="Arial"/>
          <w:lang w:val="en-US"/>
        </w:rPr>
        <w:t>.</w:t>
      </w:r>
    </w:p>
    <w:p w14:paraId="146BAD2F" w14:textId="77777777" w:rsidR="005A65CE" w:rsidRPr="003171CD" w:rsidRDefault="005A65CE" w:rsidP="005A65CE">
      <w:pPr>
        <w:jc w:val="both"/>
        <w:rPr>
          <w:rFonts w:eastAsiaTheme="minorHAnsi" w:cs="Arial"/>
          <w:b/>
          <w:snapToGrid/>
          <w:lang w:val="en-US" w:eastAsia="en-US"/>
        </w:rPr>
      </w:pPr>
    </w:p>
    <w:p w14:paraId="01DFA44B"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szCs w:val="20"/>
          <w:lang w:val="en-US"/>
        </w:rPr>
      </w:pPr>
      <w:r w:rsidRPr="003171CD">
        <w:rPr>
          <w:rFonts w:eastAsiaTheme="minorHAnsi" w:cs="Arial"/>
          <w:lang w:val="en-US"/>
        </w:rPr>
        <w:t xml:space="preserve">Therefore, the </w:t>
      </w:r>
      <w:r w:rsidR="000E71F6" w:rsidRPr="003171CD">
        <w:rPr>
          <w:rFonts w:eastAsiaTheme="minorHAnsi" w:cs="Arial"/>
          <w:lang w:val="en-US"/>
        </w:rPr>
        <w:t xml:space="preserve">instant </w:t>
      </w:r>
      <w:r w:rsidRPr="003171CD">
        <w:rPr>
          <w:rFonts w:eastAsiaTheme="minorHAnsi" w:cs="Arial"/>
          <w:lang w:val="en-US"/>
        </w:rPr>
        <w:t>case pla</w:t>
      </w:r>
      <w:r w:rsidR="000E71F6" w:rsidRPr="003171CD">
        <w:rPr>
          <w:rFonts w:eastAsiaTheme="minorHAnsi" w:cs="Arial"/>
          <w:lang w:val="en-US"/>
        </w:rPr>
        <w:t xml:space="preserve">ces the </w:t>
      </w:r>
      <w:r w:rsidRPr="003171CD">
        <w:rPr>
          <w:rFonts w:eastAsiaTheme="minorHAnsi" w:cs="Arial"/>
          <w:lang w:val="en-US"/>
        </w:rPr>
        <w:t xml:space="preserve">Court </w:t>
      </w:r>
      <w:r w:rsidR="000E71F6" w:rsidRPr="003171CD">
        <w:rPr>
          <w:rFonts w:eastAsiaTheme="minorHAnsi" w:cs="Arial"/>
          <w:lang w:val="en-US"/>
        </w:rPr>
        <w:t xml:space="preserve">in </w:t>
      </w:r>
      <w:r w:rsidRPr="003171CD">
        <w:rPr>
          <w:rFonts w:eastAsiaTheme="minorHAnsi" w:cs="Arial"/>
          <w:lang w:val="en-US"/>
        </w:rPr>
        <w:t xml:space="preserve">the situation of </w:t>
      </w:r>
      <w:r w:rsidR="000E71F6" w:rsidRPr="003171CD">
        <w:rPr>
          <w:rFonts w:eastAsiaTheme="minorHAnsi" w:cs="Arial"/>
          <w:lang w:val="en-US"/>
        </w:rPr>
        <w:t xml:space="preserve">having to </w:t>
      </w:r>
      <w:r w:rsidR="009F6D5F" w:rsidRPr="003171CD">
        <w:rPr>
          <w:rFonts w:eastAsiaTheme="minorHAnsi" w:cs="Arial"/>
          <w:lang w:val="en-US"/>
        </w:rPr>
        <w:t>determine</w:t>
      </w:r>
      <w:r w:rsidRPr="003171CD">
        <w:rPr>
          <w:rFonts w:eastAsiaTheme="minorHAnsi" w:cs="Arial"/>
          <w:lang w:val="en-US"/>
        </w:rPr>
        <w:t xml:space="preserve"> the </w:t>
      </w:r>
      <w:r w:rsidR="008247E1" w:rsidRPr="003171CD">
        <w:rPr>
          <w:rFonts w:eastAsiaTheme="minorHAnsi" w:cs="Arial"/>
          <w:lang w:val="en-US"/>
        </w:rPr>
        <w:t>scope</w:t>
      </w:r>
      <w:r w:rsidRPr="003171CD">
        <w:rPr>
          <w:rFonts w:eastAsiaTheme="minorHAnsi" w:cs="Arial"/>
          <w:lang w:val="en-US"/>
        </w:rPr>
        <w:t xml:space="preserve"> of the </w:t>
      </w:r>
      <w:r w:rsidR="000E71F6" w:rsidRPr="003171CD">
        <w:rPr>
          <w:rFonts w:eastAsiaTheme="minorHAnsi" w:cs="Arial"/>
          <w:lang w:val="en-US"/>
        </w:rPr>
        <w:t xml:space="preserve">State’s </w:t>
      </w:r>
      <w:r w:rsidRPr="003171CD">
        <w:rPr>
          <w:rFonts w:eastAsiaTheme="minorHAnsi" w:cs="Arial"/>
          <w:lang w:val="en-US"/>
        </w:rPr>
        <w:t xml:space="preserve">international responsibility </w:t>
      </w:r>
      <w:r w:rsidR="000E71F6" w:rsidRPr="003171CD">
        <w:rPr>
          <w:rFonts w:eastAsiaTheme="minorHAnsi" w:cs="Arial"/>
          <w:lang w:val="en-US"/>
        </w:rPr>
        <w:t xml:space="preserve">for the actions of </w:t>
      </w:r>
      <w:r w:rsidRPr="003171CD">
        <w:rPr>
          <w:rFonts w:eastAsiaTheme="minorHAnsi" w:cs="Arial"/>
          <w:lang w:val="en-US"/>
        </w:rPr>
        <w:t>public defen</w:t>
      </w:r>
      <w:r w:rsidR="003B691A" w:rsidRPr="003171CD">
        <w:rPr>
          <w:rFonts w:eastAsiaTheme="minorHAnsi" w:cs="Arial"/>
          <w:lang w:val="en-US"/>
        </w:rPr>
        <w:t xml:space="preserve">ders </w:t>
      </w:r>
      <w:r w:rsidRPr="003171CD">
        <w:rPr>
          <w:rFonts w:eastAsiaTheme="minorHAnsi" w:cs="Arial"/>
          <w:lang w:val="en-US"/>
        </w:rPr>
        <w:t xml:space="preserve">in </w:t>
      </w:r>
      <w:r w:rsidR="009D12A1" w:rsidRPr="003171CD">
        <w:rPr>
          <w:rFonts w:eastAsiaTheme="minorHAnsi" w:cs="Arial"/>
          <w:lang w:val="en-US"/>
        </w:rPr>
        <w:t>criminal matters</w:t>
      </w:r>
      <w:r w:rsidRPr="003171CD">
        <w:rPr>
          <w:rFonts w:eastAsiaTheme="minorHAnsi" w:cs="Arial"/>
          <w:lang w:val="en-US"/>
        </w:rPr>
        <w:t xml:space="preserve">. </w:t>
      </w:r>
      <w:r w:rsidR="008E4B32" w:rsidRPr="003171CD">
        <w:rPr>
          <w:rFonts w:eastAsiaTheme="minorHAnsi" w:cs="Arial"/>
          <w:lang w:val="en-US"/>
        </w:rPr>
        <w:t xml:space="preserve">However, to define the criterion </w:t>
      </w:r>
      <w:r w:rsidR="003B691A" w:rsidRPr="003171CD">
        <w:rPr>
          <w:rFonts w:eastAsiaTheme="minorHAnsi" w:cs="Arial"/>
          <w:lang w:val="en-US"/>
        </w:rPr>
        <w:t xml:space="preserve">for determining </w:t>
      </w:r>
      <w:r w:rsidR="008E4B32" w:rsidRPr="003171CD">
        <w:rPr>
          <w:rFonts w:eastAsiaTheme="minorHAnsi" w:cs="Arial"/>
          <w:lang w:val="en-US"/>
        </w:rPr>
        <w:t xml:space="preserve">the scope of the </w:t>
      </w:r>
      <w:r w:rsidR="003B691A" w:rsidRPr="003171CD">
        <w:rPr>
          <w:rFonts w:eastAsiaTheme="minorHAnsi" w:cs="Arial"/>
          <w:lang w:val="en-US"/>
        </w:rPr>
        <w:t xml:space="preserve">State’s </w:t>
      </w:r>
      <w:r w:rsidR="008E4B32" w:rsidRPr="003171CD">
        <w:rPr>
          <w:rFonts w:eastAsiaTheme="minorHAnsi" w:cs="Arial"/>
          <w:lang w:val="en-US"/>
        </w:rPr>
        <w:t xml:space="preserve">responsibility in </w:t>
      </w:r>
      <w:r w:rsidR="008073C9" w:rsidRPr="003171CD">
        <w:rPr>
          <w:rFonts w:eastAsiaTheme="minorHAnsi" w:cs="Arial"/>
          <w:lang w:val="en-US"/>
        </w:rPr>
        <w:t xml:space="preserve">such </w:t>
      </w:r>
      <w:r w:rsidR="008E4B32" w:rsidRPr="003171CD">
        <w:rPr>
          <w:rFonts w:eastAsiaTheme="minorHAnsi" w:cs="Arial"/>
          <w:lang w:val="en-US"/>
        </w:rPr>
        <w:t xml:space="preserve">cases, </w:t>
      </w:r>
      <w:r w:rsidR="009D12A1" w:rsidRPr="003171CD">
        <w:rPr>
          <w:rFonts w:eastAsiaTheme="minorHAnsi" w:cs="Arial"/>
          <w:lang w:val="en-US"/>
        </w:rPr>
        <w:t>the Commission</w:t>
      </w:r>
      <w:r w:rsidR="003B691A" w:rsidRPr="003171CD">
        <w:rPr>
          <w:rFonts w:eastAsiaTheme="minorHAnsi" w:cs="Arial"/>
          <w:lang w:val="en-US"/>
        </w:rPr>
        <w:t>, aside from its own criteria,</w:t>
      </w:r>
      <w:r w:rsidRPr="003171CD">
        <w:rPr>
          <w:rFonts w:eastAsiaTheme="minorHAnsi"/>
          <w:vertAlign w:val="superscript"/>
          <w:lang w:val="en-US"/>
        </w:rPr>
        <w:footnoteReference w:id="231"/>
      </w:r>
      <w:r w:rsidRPr="003171CD">
        <w:rPr>
          <w:rFonts w:eastAsiaTheme="minorHAnsi" w:cs="Arial"/>
          <w:lang w:val="en-US"/>
        </w:rPr>
        <w:t xml:space="preserve"> </w:t>
      </w:r>
      <w:r w:rsidR="003B691A" w:rsidRPr="003171CD">
        <w:rPr>
          <w:rFonts w:eastAsiaTheme="minorHAnsi" w:cs="Arial"/>
          <w:lang w:val="en-US"/>
        </w:rPr>
        <w:t xml:space="preserve">has also cited </w:t>
      </w:r>
      <w:r w:rsidR="009D12A1" w:rsidRPr="003171CD">
        <w:rPr>
          <w:rFonts w:eastAsiaTheme="minorHAnsi" w:cs="Arial"/>
          <w:lang w:val="en-US"/>
        </w:rPr>
        <w:t>the view</w:t>
      </w:r>
      <w:r w:rsidR="003B691A" w:rsidRPr="003171CD">
        <w:rPr>
          <w:rFonts w:eastAsiaTheme="minorHAnsi" w:cs="Arial"/>
          <w:lang w:val="en-US"/>
        </w:rPr>
        <w:t>s</w:t>
      </w:r>
      <w:r w:rsidR="009D12A1" w:rsidRPr="003171CD">
        <w:rPr>
          <w:rFonts w:eastAsiaTheme="minorHAnsi" w:cs="Arial"/>
          <w:lang w:val="en-US"/>
        </w:rPr>
        <w:t xml:space="preserve"> of </w:t>
      </w:r>
      <w:r w:rsidR="000E71F6" w:rsidRPr="003171CD">
        <w:rPr>
          <w:rFonts w:eastAsiaTheme="minorHAnsi" w:cs="Arial"/>
          <w:lang w:val="en-US"/>
        </w:rPr>
        <w:t>the Human R</w:t>
      </w:r>
      <w:r w:rsidRPr="003171CD">
        <w:rPr>
          <w:rFonts w:eastAsiaTheme="minorHAnsi" w:cs="Arial"/>
          <w:lang w:val="en-US"/>
        </w:rPr>
        <w:t>ights</w:t>
      </w:r>
      <w:r w:rsidR="008E4B32" w:rsidRPr="003171CD">
        <w:rPr>
          <w:rFonts w:eastAsiaTheme="minorHAnsi" w:cs="Arial"/>
          <w:lang w:val="en-US"/>
        </w:rPr>
        <w:t xml:space="preserve"> Committee</w:t>
      </w:r>
      <w:r w:rsidRPr="003171CD">
        <w:rPr>
          <w:rFonts w:eastAsiaTheme="minorHAnsi"/>
          <w:vertAlign w:val="superscript"/>
          <w:lang w:val="en-US"/>
        </w:rPr>
        <w:footnoteReference w:id="232"/>
      </w:r>
      <w:r w:rsidRPr="003171CD">
        <w:rPr>
          <w:rFonts w:eastAsiaTheme="minorHAnsi" w:cs="Arial"/>
          <w:lang w:val="en-US"/>
        </w:rPr>
        <w:t xml:space="preserve"> and the </w:t>
      </w:r>
      <w:r w:rsidR="000E71F6" w:rsidRPr="003171CD">
        <w:rPr>
          <w:rFonts w:eastAsiaTheme="minorHAnsi" w:cs="Arial"/>
          <w:lang w:val="en-US"/>
        </w:rPr>
        <w:t>European Court of Human R</w:t>
      </w:r>
      <w:r w:rsidRPr="003171CD">
        <w:rPr>
          <w:rFonts w:eastAsiaTheme="minorHAnsi" w:cs="Arial"/>
          <w:lang w:val="en-US"/>
        </w:rPr>
        <w:t>ights</w:t>
      </w:r>
      <w:r w:rsidRPr="003171CD">
        <w:rPr>
          <w:rFonts w:eastAsiaTheme="minorHAnsi"/>
          <w:vertAlign w:val="superscript"/>
          <w:lang w:val="en-US"/>
        </w:rPr>
        <w:footnoteReference w:id="233"/>
      </w:r>
      <w:r w:rsidRPr="003171CD">
        <w:rPr>
          <w:rFonts w:eastAsiaTheme="minorHAnsi" w:cs="Arial"/>
          <w:lang w:val="en-US"/>
        </w:rPr>
        <w:t xml:space="preserve"> </w:t>
      </w:r>
      <w:r w:rsidR="008E4B32" w:rsidRPr="003171CD">
        <w:rPr>
          <w:rFonts w:eastAsiaTheme="minorHAnsi" w:cs="Arial"/>
          <w:lang w:val="en-US"/>
        </w:rPr>
        <w:t>that “</w:t>
      </w:r>
      <w:r w:rsidRPr="003171CD">
        <w:rPr>
          <w:rFonts w:eastAsiaTheme="minorHAnsi" w:cs="Arial"/>
          <w:lang w:val="en-US"/>
        </w:rPr>
        <w:t>State</w:t>
      </w:r>
      <w:r w:rsidR="008E4B32" w:rsidRPr="003171CD">
        <w:rPr>
          <w:rFonts w:eastAsiaTheme="minorHAnsi" w:cs="Arial"/>
          <w:lang w:val="en-US"/>
        </w:rPr>
        <w:t>s</w:t>
      </w:r>
      <w:r w:rsidRPr="003171CD">
        <w:rPr>
          <w:rFonts w:eastAsiaTheme="minorHAnsi" w:cs="Arial"/>
          <w:lang w:val="en-US"/>
        </w:rPr>
        <w:t xml:space="preserve"> </w:t>
      </w:r>
      <w:r w:rsidR="003A5635" w:rsidRPr="003171CD">
        <w:rPr>
          <w:rFonts w:eastAsiaTheme="minorHAnsi" w:cs="Arial"/>
          <w:lang w:val="en-US"/>
        </w:rPr>
        <w:t xml:space="preserve">cannot be </w:t>
      </w:r>
      <w:r w:rsidR="00D80B4C" w:rsidRPr="003171CD">
        <w:rPr>
          <w:rFonts w:eastAsiaTheme="minorHAnsi" w:cs="Arial"/>
          <w:lang w:val="en-US"/>
        </w:rPr>
        <w:t xml:space="preserve">held </w:t>
      </w:r>
      <w:r w:rsidR="003A5635" w:rsidRPr="003171CD">
        <w:rPr>
          <w:rFonts w:eastAsiaTheme="minorHAnsi" w:cs="Arial"/>
          <w:lang w:val="en-US"/>
        </w:rPr>
        <w:t xml:space="preserve">responsible for all </w:t>
      </w:r>
      <w:r w:rsidRPr="003171CD">
        <w:rPr>
          <w:rFonts w:eastAsiaTheme="minorHAnsi" w:cs="Arial"/>
          <w:lang w:val="en-US"/>
        </w:rPr>
        <w:t>the fa</w:t>
      </w:r>
      <w:r w:rsidR="003A5635" w:rsidRPr="003171CD">
        <w:rPr>
          <w:rFonts w:eastAsiaTheme="minorHAnsi" w:cs="Arial"/>
          <w:lang w:val="en-US"/>
        </w:rPr>
        <w:t xml:space="preserve">ilings </w:t>
      </w:r>
      <w:r w:rsidRPr="003171CD">
        <w:rPr>
          <w:rFonts w:eastAsiaTheme="minorHAnsi" w:cs="Arial"/>
          <w:lang w:val="en-US"/>
        </w:rPr>
        <w:t xml:space="preserve">of </w:t>
      </w:r>
      <w:r w:rsidR="008E4B32" w:rsidRPr="003171CD">
        <w:rPr>
          <w:rFonts w:eastAsiaTheme="minorHAnsi" w:cs="Arial"/>
          <w:lang w:val="en-US"/>
        </w:rPr>
        <w:t xml:space="preserve">the </w:t>
      </w:r>
      <w:r w:rsidR="00D80B4C" w:rsidRPr="003171CD">
        <w:rPr>
          <w:rFonts w:eastAsiaTheme="minorHAnsi" w:cs="Arial"/>
          <w:lang w:val="en-US"/>
        </w:rPr>
        <w:t>public defen</w:t>
      </w:r>
      <w:r w:rsidR="008E4B32" w:rsidRPr="003171CD">
        <w:rPr>
          <w:rFonts w:eastAsiaTheme="minorHAnsi" w:cs="Arial"/>
          <w:lang w:val="en-US"/>
        </w:rPr>
        <w:t xml:space="preserve">se counsel </w:t>
      </w:r>
      <w:r w:rsidR="00D80B4C" w:rsidRPr="003171CD">
        <w:rPr>
          <w:rFonts w:eastAsiaTheme="minorHAnsi" w:cs="Arial"/>
          <w:lang w:val="en-US"/>
        </w:rPr>
        <w:t>[…</w:t>
      </w:r>
      <w:r w:rsidRPr="003171CD">
        <w:rPr>
          <w:rFonts w:eastAsiaTheme="minorHAnsi" w:cs="Arial"/>
          <w:lang w:val="en-US"/>
        </w:rPr>
        <w:t>]</w:t>
      </w:r>
      <w:r w:rsidR="008073C9" w:rsidRPr="003171CD">
        <w:rPr>
          <w:rFonts w:eastAsiaTheme="minorHAnsi" w:cs="Arial"/>
          <w:lang w:val="en-US"/>
        </w:rPr>
        <w:t xml:space="preserve"> but that </w:t>
      </w:r>
      <w:r w:rsidR="00C6270B" w:rsidRPr="003171CD">
        <w:rPr>
          <w:rFonts w:eastAsiaTheme="minorHAnsi" w:cs="Arial"/>
          <w:lang w:val="en-US"/>
        </w:rPr>
        <w:t>the State is responsi</w:t>
      </w:r>
      <w:r w:rsidRPr="003171CD">
        <w:rPr>
          <w:rFonts w:eastAsiaTheme="minorHAnsi" w:cs="Arial"/>
          <w:lang w:val="en-US"/>
        </w:rPr>
        <w:t xml:space="preserve">ble </w:t>
      </w:r>
      <w:r w:rsidR="003A5635" w:rsidRPr="003171CD">
        <w:rPr>
          <w:rFonts w:eastAsiaTheme="minorHAnsi" w:cs="Arial"/>
          <w:lang w:val="en-US"/>
        </w:rPr>
        <w:t xml:space="preserve">if </w:t>
      </w:r>
      <w:r w:rsidR="00D80B4C" w:rsidRPr="003171CD">
        <w:rPr>
          <w:rFonts w:eastAsiaTheme="minorHAnsi" w:cs="Arial"/>
          <w:lang w:val="en-US"/>
        </w:rPr>
        <w:t xml:space="preserve">the public defenders </w:t>
      </w:r>
      <w:r w:rsidR="008073C9" w:rsidRPr="003171CD">
        <w:rPr>
          <w:rFonts w:eastAsiaTheme="minorHAnsi" w:cs="Arial"/>
          <w:lang w:val="en-US"/>
        </w:rPr>
        <w:lastRenderedPageBreak/>
        <w:t xml:space="preserve">commit </w:t>
      </w:r>
      <w:r w:rsidR="00B55ACC" w:rsidRPr="003171CD">
        <w:rPr>
          <w:rFonts w:eastAsiaTheme="minorHAnsi" w:cs="Arial"/>
          <w:lang w:val="en-US"/>
        </w:rPr>
        <w:t>omission</w:t>
      </w:r>
      <w:r w:rsidR="003A5635" w:rsidRPr="003171CD">
        <w:rPr>
          <w:rFonts w:eastAsiaTheme="minorHAnsi" w:cs="Arial"/>
          <w:lang w:val="en-US"/>
        </w:rPr>
        <w:t xml:space="preserve">s or failures </w:t>
      </w:r>
      <w:r w:rsidRPr="003171CD">
        <w:rPr>
          <w:rFonts w:eastAsiaTheme="minorHAnsi" w:cs="Arial"/>
          <w:lang w:val="en-US"/>
        </w:rPr>
        <w:t xml:space="preserve">that </w:t>
      </w:r>
      <w:r w:rsidR="00D80B4C" w:rsidRPr="003171CD">
        <w:rPr>
          <w:rFonts w:eastAsiaTheme="minorHAnsi" w:cs="Arial"/>
          <w:lang w:val="en-US"/>
        </w:rPr>
        <w:t xml:space="preserve">evidently allow the </w:t>
      </w:r>
      <w:r w:rsidR="003A5635" w:rsidRPr="003171CD">
        <w:rPr>
          <w:rFonts w:eastAsiaTheme="minorHAnsi" w:cs="Arial"/>
          <w:lang w:val="en-US"/>
        </w:rPr>
        <w:t>conclu</w:t>
      </w:r>
      <w:r w:rsidR="00D80B4C" w:rsidRPr="003171CD">
        <w:rPr>
          <w:rFonts w:eastAsiaTheme="minorHAnsi" w:cs="Arial"/>
          <w:lang w:val="en-US"/>
        </w:rPr>
        <w:t>sion that effective assistance was not rendered</w:t>
      </w:r>
      <w:r w:rsidR="00C6270B" w:rsidRPr="003171CD">
        <w:rPr>
          <w:rFonts w:eastAsiaTheme="minorHAnsi" w:cs="Arial"/>
          <w:lang w:val="en-US"/>
        </w:rPr>
        <w:t>.</w:t>
      </w:r>
      <w:r w:rsidRPr="003171CD">
        <w:rPr>
          <w:rFonts w:eastAsiaTheme="minorHAnsi" w:cs="Arial"/>
          <w:szCs w:val="20"/>
          <w:lang w:val="en-US"/>
        </w:rPr>
        <w:t>”</w:t>
      </w:r>
      <w:r w:rsidRPr="003171CD">
        <w:rPr>
          <w:rStyle w:val="Refdenotaalpie"/>
          <w:rFonts w:eastAsiaTheme="minorHAnsi" w:cs="Arial"/>
          <w:lang w:val="en-US"/>
        </w:rPr>
        <w:footnoteReference w:id="234"/>
      </w:r>
    </w:p>
    <w:p w14:paraId="7BAE77E8" w14:textId="77777777" w:rsidR="005A65CE" w:rsidRPr="003171CD" w:rsidRDefault="005A65CE" w:rsidP="005A65CE">
      <w:pPr>
        <w:jc w:val="both"/>
        <w:rPr>
          <w:rFonts w:eastAsiaTheme="minorHAnsi" w:cs="Arial"/>
          <w:snapToGrid/>
          <w:lang w:val="en-US" w:eastAsia="en-US"/>
        </w:rPr>
      </w:pPr>
    </w:p>
    <w:p w14:paraId="6F3AF4FE" w14:textId="77777777" w:rsidR="005A65CE" w:rsidRPr="003171CD" w:rsidRDefault="00D80B4C" w:rsidP="005A65CE">
      <w:pPr>
        <w:pStyle w:val="Prrafodelista"/>
        <w:numPr>
          <w:ilvl w:val="0"/>
          <w:numId w:val="1"/>
        </w:numPr>
        <w:tabs>
          <w:tab w:val="left" w:pos="720"/>
        </w:tabs>
        <w:ind w:right="-90"/>
        <w:jc w:val="both"/>
        <w:rPr>
          <w:rFonts w:eastAsiaTheme="minorHAnsi" w:cs="Arial"/>
          <w:lang w:val="en-US"/>
        </w:rPr>
      </w:pPr>
      <w:r w:rsidRPr="003171CD">
        <w:rPr>
          <w:rFonts w:eastAsiaTheme="minorHAnsi" w:cs="Arial"/>
          <w:lang w:val="en-US"/>
        </w:rPr>
        <w:t xml:space="preserve">Although </w:t>
      </w:r>
      <w:r w:rsidR="003B691A" w:rsidRPr="003171CD">
        <w:rPr>
          <w:rFonts w:eastAsiaTheme="minorHAnsi" w:cs="Arial"/>
          <w:lang w:val="en-US"/>
        </w:rPr>
        <w:t xml:space="preserve">the provision of a </w:t>
      </w:r>
      <w:r w:rsidR="005A65CE" w:rsidRPr="003171CD">
        <w:rPr>
          <w:rFonts w:eastAsiaTheme="minorHAnsi" w:cs="Arial"/>
          <w:lang w:val="en-US"/>
        </w:rPr>
        <w:t>public defen</w:t>
      </w:r>
      <w:r w:rsidR="003B691A" w:rsidRPr="003171CD">
        <w:rPr>
          <w:rFonts w:eastAsiaTheme="minorHAnsi" w:cs="Arial"/>
          <w:lang w:val="en-US"/>
        </w:rPr>
        <w:t xml:space="preserve">se counsel </w:t>
      </w:r>
      <w:r w:rsidRPr="003171CD">
        <w:rPr>
          <w:rFonts w:eastAsiaTheme="minorHAnsi" w:cs="Arial"/>
          <w:lang w:val="en-US"/>
        </w:rPr>
        <w:t xml:space="preserve">is </w:t>
      </w:r>
      <w:r w:rsidR="005A65CE" w:rsidRPr="003171CD">
        <w:rPr>
          <w:rFonts w:eastAsiaTheme="minorHAnsi" w:cs="Arial"/>
          <w:lang w:val="en-US"/>
        </w:rPr>
        <w:t>a fun</w:t>
      </w:r>
      <w:r w:rsidRPr="003171CD">
        <w:rPr>
          <w:rFonts w:eastAsiaTheme="minorHAnsi" w:cs="Arial"/>
          <w:lang w:val="en-US"/>
        </w:rPr>
        <w:t>c</w:t>
      </w:r>
      <w:r w:rsidR="005A65CE" w:rsidRPr="003171CD">
        <w:rPr>
          <w:rFonts w:eastAsiaTheme="minorHAnsi" w:cs="Arial"/>
          <w:lang w:val="en-US"/>
        </w:rPr>
        <w:t xml:space="preserve">tion </w:t>
      </w:r>
      <w:r w:rsidRPr="003171CD">
        <w:rPr>
          <w:rFonts w:eastAsiaTheme="minorHAnsi" w:cs="Arial"/>
          <w:lang w:val="en-US"/>
        </w:rPr>
        <w:t>of the State</w:t>
      </w:r>
      <w:r w:rsidR="00636F02" w:rsidRPr="003171CD">
        <w:rPr>
          <w:rFonts w:eastAsiaTheme="minorHAnsi" w:cs="Arial"/>
          <w:lang w:val="en-US"/>
        </w:rPr>
        <w:t>,</w:t>
      </w:r>
      <w:r w:rsidRPr="003171CD">
        <w:rPr>
          <w:rFonts w:eastAsiaTheme="minorHAnsi" w:cs="Arial"/>
          <w:lang w:val="en-US"/>
        </w:rPr>
        <w:t xml:space="preserve"> </w:t>
      </w:r>
      <w:r w:rsidR="005A65CE" w:rsidRPr="003171CD">
        <w:rPr>
          <w:rFonts w:eastAsiaTheme="minorHAnsi" w:cs="Arial"/>
          <w:lang w:val="en-US"/>
        </w:rPr>
        <w:t xml:space="preserve">or </w:t>
      </w:r>
      <w:r w:rsidR="00636F02" w:rsidRPr="003171CD">
        <w:rPr>
          <w:rFonts w:eastAsiaTheme="minorHAnsi" w:cs="Arial"/>
          <w:lang w:val="en-US"/>
        </w:rPr>
        <w:t xml:space="preserve">is regarded as </w:t>
      </w:r>
      <w:r w:rsidR="003B691A" w:rsidRPr="003171CD">
        <w:rPr>
          <w:rFonts w:eastAsiaTheme="minorHAnsi" w:cs="Arial"/>
          <w:lang w:val="en-US"/>
        </w:rPr>
        <w:t xml:space="preserve">a </w:t>
      </w:r>
      <w:r w:rsidR="005A65CE" w:rsidRPr="003171CD">
        <w:rPr>
          <w:rFonts w:eastAsiaTheme="minorHAnsi" w:cs="Arial"/>
          <w:lang w:val="en-US"/>
        </w:rPr>
        <w:t>public</w:t>
      </w:r>
      <w:r w:rsidR="00C6270B" w:rsidRPr="003171CD">
        <w:rPr>
          <w:rFonts w:eastAsiaTheme="minorHAnsi" w:cs="Arial"/>
          <w:lang w:val="en-US"/>
        </w:rPr>
        <w:t xml:space="preserve"> service</w:t>
      </w:r>
      <w:r w:rsidR="005A65CE" w:rsidRPr="003171CD">
        <w:rPr>
          <w:rFonts w:eastAsiaTheme="minorHAnsi" w:cs="Arial"/>
          <w:lang w:val="en-US"/>
        </w:rPr>
        <w:t xml:space="preserve">, </w:t>
      </w:r>
      <w:r w:rsidRPr="003171CD">
        <w:rPr>
          <w:rFonts w:eastAsiaTheme="minorHAnsi" w:cs="Arial"/>
          <w:lang w:val="en-US"/>
        </w:rPr>
        <w:t xml:space="preserve">it </w:t>
      </w:r>
      <w:r w:rsidR="00636F02" w:rsidRPr="003171CD">
        <w:rPr>
          <w:rFonts w:eastAsiaTheme="minorHAnsi" w:cs="Arial"/>
          <w:lang w:val="en-US"/>
        </w:rPr>
        <w:t xml:space="preserve">is </w:t>
      </w:r>
      <w:r w:rsidR="003B691A" w:rsidRPr="003171CD">
        <w:rPr>
          <w:rFonts w:eastAsiaTheme="minorHAnsi" w:cs="Arial"/>
          <w:lang w:val="en-US"/>
        </w:rPr>
        <w:t>also</w:t>
      </w:r>
      <w:r w:rsidR="009552AA" w:rsidRPr="003171CD">
        <w:rPr>
          <w:rFonts w:eastAsiaTheme="minorHAnsi" w:cs="Arial"/>
          <w:lang w:val="en-US"/>
        </w:rPr>
        <w:t xml:space="preserve"> </w:t>
      </w:r>
      <w:r w:rsidR="005F517F" w:rsidRPr="003171CD">
        <w:rPr>
          <w:rFonts w:eastAsiaTheme="minorHAnsi" w:cs="Arial"/>
          <w:lang w:val="en-US"/>
        </w:rPr>
        <w:t xml:space="preserve">one </w:t>
      </w:r>
      <w:r w:rsidR="00A7308A" w:rsidRPr="003171CD">
        <w:rPr>
          <w:rFonts w:eastAsiaTheme="minorHAnsi" w:cs="Arial"/>
          <w:lang w:val="en-US"/>
        </w:rPr>
        <w:t xml:space="preserve">in which </w:t>
      </w:r>
      <w:r w:rsidR="003B691A" w:rsidRPr="003171CD">
        <w:rPr>
          <w:rFonts w:eastAsiaTheme="minorHAnsi" w:cs="Arial"/>
          <w:lang w:val="en-US"/>
        </w:rPr>
        <w:t xml:space="preserve">the defender </w:t>
      </w:r>
      <w:r w:rsidRPr="003171CD">
        <w:rPr>
          <w:rFonts w:eastAsiaTheme="minorHAnsi" w:cs="Arial"/>
          <w:lang w:val="en-US"/>
        </w:rPr>
        <w:t>should enjoy the necessary autonomy</w:t>
      </w:r>
      <w:r w:rsidR="005A65CE" w:rsidRPr="003171CD">
        <w:rPr>
          <w:rFonts w:eastAsiaTheme="minorHAnsi" w:cs="Arial"/>
          <w:lang w:val="en-US"/>
        </w:rPr>
        <w:t xml:space="preserve"> </w:t>
      </w:r>
      <w:r w:rsidR="00B165B0" w:rsidRPr="003171CD">
        <w:rPr>
          <w:rFonts w:eastAsiaTheme="minorHAnsi" w:cs="Arial"/>
          <w:lang w:val="en-US"/>
        </w:rPr>
        <w:t xml:space="preserve">to </w:t>
      </w:r>
      <w:r w:rsidR="005A65CE" w:rsidRPr="003171CD">
        <w:rPr>
          <w:rFonts w:eastAsiaTheme="minorHAnsi" w:cs="Arial"/>
          <w:lang w:val="en-US"/>
        </w:rPr>
        <w:t>adequate</w:t>
      </w:r>
      <w:r w:rsidR="00B165B0" w:rsidRPr="003171CD">
        <w:rPr>
          <w:rFonts w:eastAsiaTheme="minorHAnsi" w:cs="Arial"/>
          <w:lang w:val="en-US"/>
        </w:rPr>
        <w:t xml:space="preserve">ly exercise </w:t>
      </w:r>
      <w:r w:rsidR="003B691A" w:rsidRPr="003171CD">
        <w:rPr>
          <w:rFonts w:eastAsiaTheme="minorHAnsi" w:cs="Arial"/>
          <w:lang w:val="en-US"/>
        </w:rPr>
        <w:t xml:space="preserve">his </w:t>
      </w:r>
      <w:r w:rsidRPr="003171CD">
        <w:rPr>
          <w:rFonts w:eastAsiaTheme="minorHAnsi" w:cs="Arial"/>
          <w:lang w:val="en-US"/>
        </w:rPr>
        <w:t xml:space="preserve">counseling </w:t>
      </w:r>
      <w:r w:rsidR="0097297B" w:rsidRPr="003171CD">
        <w:rPr>
          <w:rFonts w:eastAsiaTheme="minorHAnsi" w:cs="Arial"/>
          <w:lang w:val="en-US"/>
        </w:rPr>
        <w:t>functions</w:t>
      </w:r>
      <w:r w:rsidR="005A65CE" w:rsidRPr="003171CD">
        <w:rPr>
          <w:rFonts w:eastAsiaTheme="minorHAnsi" w:cs="Arial"/>
          <w:lang w:val="en-US"/>
        </w:rPr>
        <w:t xml:space="preserve"> </w:t>
      </w:r>
      <w:r w:rsidRPr="003171CD">
        <w:rPr>
          <w:rFonts w:eastAsiaTheme="minorHAnsi" w:cs="Arial"/>
          <w:lang w:val="en-US"/>
        </w:rPr>
        <w:t xml:space="preserve">according to his best </w:t>
      </w:r>
      <w:r w:rsidR="005A65CE" w:rsidRPr="003171CD">
        <w:rPr>
          <w:rFonts w:eastAsiaTheme="minorHAnsi" w:cs="Arial"/>
          <w:lang w:val="en-US"/>
        </w:rPr>
        <w:t>profe</w:t>
      </w:r>
      <w:r w:rsidR="00B165B0" w:rsidRPr="003171CD">
        <w:rPr>
          <w:rFonts w:eastAsiaTheme="minorHAnsi" w:cs="Arial"/>
          <w:lang w:val="en-US"/>
        </w:rPr>
        <w:t>s</w:t>
      </w:r>
      <w:r w:rsidR="005A65CE" w:rsidRPr="003171CD">
        <w:rPr>
          <w:rFonts w:eastAsiaTheme="minorHAnsi" w:cs="Arial"/>
          <w:lang w:val="en-US"/>
        </w:rPr>
        <w:t xml:space="preserve">sional </w:t>
      </w:r>
      <w:r w:rsidRPr="003171CD">
        <w:rPr>
          <w:rFonts w:eastAsiaTheme="minorHAnsi" w:cs="Arial"/>
          <w:lang w:val="en-US"/>
        </w:rPr>
        <w:t xml:space="preserve">judgment </w:t>
      </w:r>
      <w:r w:rsidR="005A65CE" w:rsidRPr="003171CD">
        <w:rPr>
          <w:rFonts w:eastAsiaTheme="minorHAnsi" w:cs="Arial"/>
          <w:lang w:val="en-US"/>
        </w:rPr>
        <w:t xml:space="preserve">and </w:t>
      </w:r>
      <w:r w:rsidR="00636F02" w:rsidRPr="003171CD">
        <w:rPr>
          <w:rFonts w:eastAsiaTheme="minorHAnsi" w:cs="Arial"/>
          <w:lang w:val="en-US"/>
        </w:rPr>
        <w:t xml:space="preserve">considering </w:t>
      </w:r>
      <w:r w:rsidR="005A65CE" w:rsidRPr="003171CD">
        <w:rPr>
          <w:rFonts w:eastAsiaTheme="minorHAnsi" w:cs="Arial"/>
          <w:lang w:val="en-US"/>
        </w:rPr>
        <w:t xml:space="preserve">the </w:t>
      </w:r>
      <w:r w:rsidR="00B165B0" w:rsidRPr="003171CD">
        <w:rPr>
          <w:rFonts w:eastAsiaTheme="minorHAnsi" w:cs="Arial"/>
          <w:lang w:val="en-US"/>
        </w:rPr>
        <w:t>interests</w:t>
      </w:r>
      <w:r w:rsidR="005A65CE" w:rsidRPr="003171CD">
        <w:rPr>
          <w:rFonts w:eastAsiaTheme="minorHAnsi" w:cs="Arial"/>
          <w:lang w:val="en-US"/>
        </w:rPr>
        <w:t xml:space="preserve"> </w:t>
      </w:r>
      <w:r w:rsidRPr="003171CD">
        <w:rPr>
          <w:rFonts w:eastAsiaTheme="minorHAnsi" w:cs="Arial"/>
          <w:lang w:val="en-US"/>
        </w:rPr>
        <w:t xml:space="preserve">of the </w:t>
      </w:r>
      <w:r w:rsidR="00B165B0" w:rsidRPr="003171CD">
        <w:rPr>
          <w:rFonts w:eastAsiaTheme="minorHAnsi" w:cs="Arial"/>
          <w:lang w:val="en-US"/>
        </w:rPr>
        <w:t>accused</w:t>
      </w:r>
      <w:r w:rsidR="005F517F" w:rsidRPr="003171CD">
        <w:rPr>
          <w:rFonts w:eastAsiaTheme="minorHAnsi" w:cs="Arial"/>
          <w:lang w:val="en-US"/>
        </w:rPr>
        <w:t>. T</w:t>
      </w:r>
      <w:r w:rsidR="005A65CE" w:rsidRPr="003171CD">
        <w:rPr>
          <w:rFonts w:eastAsiaTheme="minorHAnsi" w:cs="Arial"/>
          <w:lang w:val="en-US"/>
        </w:rPr>
        <w:t xml:space="preserve">he Court </w:t>
      </w:r>
      <w:r w:rsidRPr="003171CD">
        <w:rPr>
          <w:rFonts w:eastAsiaTheme="minorHAnsi" w:cs="Arial"/>
          <w:lang w:val="en-US"/>
        </w:rPr>
        <w:t xml:space="preserve">considers </w:t>
      </w:r>
      <w:r w:rsidR="005A65CE" w:rsidRPr="003171CD">
        <w:rPr>
          <w:rFonts w:eastAsiaTheme="minorHAnsi" w:cs="Arial"/>
          <w:lang w:val="en-US"/>
        </w:rPr>
        <w:t xml:space="preserve">that the State </w:t>
      </w:r>
      <w:r w:rsidRPr="003171CD">
        <w:rPr>
          <w:rFonts w:eastAsiaTheme="minorHAnsi" w:cs="Arial"/>
          <w:lang w:val="en-US"/>
        </w:rPr>
        <w:t>cannot be held responsi</w:t>
      </w:r>
      <w:r w:rsidR="005A65CE" w:rsidRPr="003171CD">
        <w:rPr>
          <w:rFonts w:eastAsiaTheme="minorHAnsi" w:cs="Arial"/>
          <w:lang w:val="en-US"/>
        </w:rPr>
        <w:t xml:space="preserve">ble </w:t>
      </w:r>
      <w:r w:rsidRPr="003171CD">
        <w:rPr>
          <w:rFonts w:eastAsiaTheme="minorHAnsi" w:cs="Arial"/>
          <w:lang w:val="en-US"/>
        </w:rPr>
        <w:t>for all the failings</w:t>
      </w:r>
      <w:r w:rsidR="005A65CE" w:rsidRPr="003171CD">
        <w:rPr>
          <w:rFonts w:eastAsiaTheme="minorHAnsi" w:cs="Arial"/>
          <w:lang w:val="en-US"/>
        </w:rPr>
        <w:t xml:space="preserve"> of the public defense,</w:t>
      </w:r>
      <w:r w:rsidR="000E71F6" w:rsidRPr="003171CD">
        <w:rPr>
          <w:rFonts w:eastAsiaTheme="minorHAnsi" w:cs="Arial"/>
          <w:lang w:val="en-US"/>
        </w:rPr>
        <w:t xml:space="preserve"> </w:t>
      </w:r>
      <w:r w:rsidRPr="003171CD">
        <w:rPr>
          <w:rFonts w:eastAsiaTheme="minorHAnsi" w:cs="Arial"/>
          <w:lang w:val="en-US"/>
        </w:rPr>
        <w:t xml:space="preserve">given </w:t>
      </w:r>
      <w:r w:rsidR="000E71F6" w:rsidRPr="003171CD">
        <w:rPr>
          <w:rFonts w:eastAsiaTheme="minorHAnsi" w:cs="Arial"/>
          <w:lang w:val="en-US"/>
        </w:rPr>
        <w:t>the independence</w:t>
      </w:r>
      <w:r w:rsidR="005A65CE" w:rsidRPr="003171CD">
        <w:rPr>
          <w:rFonts w:eastAsiaTheme="minorHAnsi" w:cs="Arial"/>
          <w:lang w:val="en-US"/>
        </w:rPr>
        <w:t xml:space="preserve"> of the profes</w:t>
      </w:r>
      <w:r w:rsidRPr="003171CD">
        <w:rPr>
          <w:rFonts w:eastAsiaTheme="minorHAnsi" w:cs="Arial"/>
          <w:lang w:val="en-US"/>
        </w:rPr>
        <w:t>sion and the</w:t>
      </w:r>
      <w:r w:rsidR="005A65CE" w:rsidRPr="003171CD">
        <w:rPr>
          <w:rFonts w:eastAsiaTheme="minorHAnsi" w:cs="Arial"/>
          <w:lang w:val="en-US"/>
        </w:rPr>
        <w:t xml:space="preserve"> </w:t>
      </w:r>
      <w:r w:rsidRPr="003171CD">
        <w:rPr>
          <w:rFonts w:eastAsiaTheme="minorHAnsi" w:cs="Arial"/>
          <w:lang w:val="en-US"/>
        </w:rPr>
        <w:t>professional</w:t>
      </w:r>
      <w:r w:rsidR="000E71F6" w:rsidRPr="003171CD">
        <w:rPr>
          <w:rFonts w:eastAsiaTheme="minorHAnsi" w:cs="Arial"/>
          <w:lang w:val="en-US"/>
        </w:rPr>
        <w:t xml:space="preserve"> </w:t>
      </w:r>
      <w:r w:rsidRPr="003171CD">
        <w:rPr>
          <w:rFonts w:eastAsiaTheme="minorHAnsi" w:cs="Arial"/>
          <w:lang w:val="en-US"/>
        </w:rPr>
        <w:t xml:space="preserve">judgment </w:t>
      </w:r>
      <w:r w:rsidR="000E71F6" w:rsidRPr="003171CD">
        <w:rPr>
          <w:rFonts w:eastAsiaTheme="minorHAnsi" w:cs="Arial"/>
          <w:lang w:val="en-US"/>
        </w:rPr>
        <w:t xml:space="preserve">of the defense counsel. </w:t>
      </w:r>
      <w:r w:rsidR="005F517F" w:rsidRPr="003171CD">
        <w:rPr>
          <w:rFonts w:eastAsiaTheme="minorHAnsi" w:cs="Arial"/>
          <w:lang w:val="en-US"/>
        </w:rPr>
        <w:t>Therefore</w:t>
      </w:r>
      <w:r w:rsidR="005A65CE" w:rsidRPr="003171CD">
        <w:rPr>
          <w:rFonts w:eastAsiaTheme="minorHAnsi" w:cs="Arial"/>
          <w:lang w:val="en-US"/>
        </w:rPr>
        <w:t xml:space="preserve">, the Court </w:t>
      </w:r>
      <w:r w:rsidR="000E71F6" w:rsidRPr="003171CD">
        <w:rPr>
          <w:rFonts w:eastAsiaTheme="minorHAnsi" w:cs="Arial"/>
          <w:lang w:val="en-US"/>
        </w:rPr>
        <w:t>considers that</w:t>
      </w:r>
      <w:r w:rsidR="005A65CE" w:rsidRPr="003171CD">
        <w:rPr>
          <w:rFonts w:eastAsiaTheme="minorHAnsi" w:cs="Arial"/>
          <w:lang w:val="en-US"/>
        </w:rPr>
        <w:t xml:space="preserve">, </w:t>
      </w:r>
      <w:r w:rsidR="000E71F6" w:rsidRPr="003171CD">
        <w:rPr>
          <w:rFonts w:eastAsiaTheme="minorHAnsi" w:cs="Arial"/>
          <w:lang w:val="en-US"/>
        </w:rPr>
        <w:t xml:space="preserve">as part of </w:t>
      </w:r>
      <w:r w:rsidR="005F517F" w:rsidRPr="003171CD">
        <w:rPr>
          <w:rFonts w:eastAsiaTheme="minorHAnsi" w:cs="Arial"/>
          <w:lang w:val="en-US"/>
        </w:rPr>
        <w:t>the State’s</w:t>
      </w:r>
      <w:r w:rsidRPr="003171CD">
        <w:rPr>
          <w:rFonts w:eastAsiaTheme="minorHAnsi" w:cs="Arial"/>
          <w:lang w:val="en-US"/>
        </w:rPr>
        <w:t xml:space="preserve"> duty to guarantee an </w:t>
      </w:r>
      <w:r w:rsidR="005A65CE" w:rsidRPr="003171CD">
        <w:rPr>
          <w:rFonts w:eastAsiaTheme="minorHAnsi" w:cs="Arial"/>
          <w:lang w:val="en-US"/>
        </w:rPr>
        <w:t>adequate public defense, i</w:t>
      </w:r>
      <w:r w:rsidRPr="003171CD">
        <w:rPr>
          <w:rFonts w:eastAsiaTheme="minorHAnsi" w:cs="Arial"/>
          <w:lang w:val="en-US"/>
        </w:rPr>
        <w:t>t i</w:t>
      </w:r>
      <w:r w:rsidR="005A65CE" w:rsidRPr="003171CD">
        <w:rPr>
          <w:rFonts w:eastAsiaTheme="minorHAnsi" w:cs="Arial"/>
          <w:lang w:val="en-US"/>
        </w:rPr>
        <w:t xml:space="preserve">s necessary </w:t>
      </w:r>
      <w:r w:rsidRPr="003171CD">
        <w:rPr>
          <w:rFonts w:eastAsiaTheme="minorHAnsi" w:cs="Arial"/>
          <w:lang w:val="en-US"/>
        </w:rPr>
        <w:t xml:space="preserve">to </w:t>
      </w:r>
      <w:r w:rsidR="005A65CE" w:rsidRPr="003171CD">
        <w:rPr>
          <w:rFonts w:eastAsiaTheme="minorHAnsi" w:cs="Arial"/>
          <w:lang w:val="en-US"/>
        </w:rPr>
        <w:t>implement adequate proces</w:t>
      </w:r>
      <w:r w:rsidRPr="003171CD">
        <w:rPr>
          <w:rFonts w:eastAsiaTheme="minorHAnsi" w:cs="Arial"/>
          <w:lang w:val="en-US"/>
        </w:rPr>
        <w:t>se</w:t>
      </w:r>
      <w:r w:rsidR="005A65CE" w:rsidRPr="003171CD">
        <w:rPr>
          <w:rFonts w:eastAsiaTheme="minorHAnsi" w:cs="Arial"/>
          <w:lang w:val="en-US"/>
        </w:rPr>
        <w:t xml:space="preserve">s </w:t>
      </w:r>
      <w:r w:rsidRPr="003171CD">
        <w:rPr>
          <w:rFonts w:eastAsiaTheme="minorHAnsi" w:cs="Arial"/>
          <w:lang w:val="en-US"/>
        </w:rPr>
        <w:t xml:space="preserve">for the </w:t>
      </w:r>
      <w:r w:rsidR="005A65CE" w:rsidRPr="003171CD">
        <w:rPr>
          <w:rFonts w:eastAsiaTheme="minorHAnsi" w:cs="Arial"/>
          <w:lang w:val="en-US"/>
        </w:rPr>
        <w:t>selection of public</w:t>
      </w:r>
      <w:r w:rsidR="000E71F6" w:rsidRPr="003171CD">
        <w:rPr>
          <w:rFonts w:eastAsiaTheme="minorHAnsi" w:cs="Arial"/>
          <w:lang w:val="en-US"/>
        </w:rPr>
        <w:t xml:space="preserve"> defenders, </w:t>
      </w:r>
      <w:r w:rsidR="00636F02" w:rsidRPr="003171CD">
        <w:rPr>
          <w:rFonts w:eastAsiaTheme="minorHAnsi" w:cs="Arial"/>
          <w:lang w:val="en-US"/>
        </w:rPr>
        <w:t xml:space="preserve">ensure </w:t>
      </w:r>
      <w:r w:rsidR="000E71F6" w:rsidRPr="003171CD">
        <w:rPr>
          <w:rFonts w:eastAsiaTheme="minorHAnsi" w:cs="Arial"/>
          <w:lang w:val="en-US"/>
        </w:rPr>
        <w:t>control</w:t>
      </w:r>
      <w:r w:rsidR="00636F02" w:rsidRPr="003171CD">
        <w:rPr>
          <w:rFonts w:eastAsiaTheme="minorHAnsi" w:cs="Arial"/>
          <w:lang w:val="en-US"/>
        </w:rPr>
        <w:t xml:space="preserve"> over</w:t>
      </w:r>
      <w:r w:rsidR="005A65CE" w:rsidRPr="003171CD">
        <w:rPr>
          <w:rFonts w:eastAsiaTheme="minorHAnsi" w:cs="Arial"/>
          <w:lang w:val="en-US"/>
        </w:rPr>
        <w:t xml:space="preserve"> </w:t>
      </w:r>
      <w:r w:rsidRPr="003171CD">
        <w:rPr>
          <w:rFonts w:eastAsiaTheme="minorHAnsi" w:cs="Arial"/>
          <w:lang w:val="en-US"/>
        </w:rPr>
        <w:t xml:space="preserve">their work </w:t>
      </w:r>
      <w:r w:rsidR="005A65CE" w:rsidRPr="003171CD">
        <w:rPr>
          <w:rFonts w:eastAsiaTheme="minorHAnsi" w:cs="Arial"/>
          <w:lang w:val="en-US"/>
        </w:rPr>
        <w:t xml:space="preserve">and </w:t>
      </w:r>
      <w:r w:rsidRPr="003171CD">
        <w:rPr>
          <w:rFonts w:eastAsiaTheme="minorHAnsi" w:cs="Arial"/>
          <w:lang w:val="en-US"/>
        </w:rPr>
        <w:t xml:space="preserve">provide them with </w:t>
      </w:r>
      <w:r w:rsidR="000E71F6" w:rsidRPr="003171CD">
        <w:rPr>
          <w:rFonts w:eastAsiaTheme="minorHAnsi" w:cs="Arial"/>
          <w:lang w:val="en-US"/>
        </w:rPr>
        <w:t xml:space="preserve">regular </w:t>
      </w:r>
      <w:r w:rsidR="005A65CE" w:rsidRPr="003171CD">
        <w:rPr>
          <w:rFonts w:eastAsiaTheme="minorHAnsi" w:cs="Arial"/>
          <w:lang w:val="en-US"/>
        </w:rPr>
        <w:t>training.</w:t>
      </w:r>
    </w:p>
    <w:p w14:paraId="43D5B2D4" w14:textId="77777777" w:rsidR="005A65CE" w:rsidRPr="003171CD" w:rsidRDefault="005A65CE" w:rsidP="005A65CE">
      <w:pPr>
        <w:rPr>
          <w:rFonts w:eastAsiaTheme="minorHAnsi" w:cs="Arial"/>
          <w:lang w:val="en-US"/>
        </w:rPr>
      </w:pPr>
    </w:p>
    <w:p w14:paraId="783A40E9" w14:textId="77777777" w:rsidR="005A65CE" w:rsidRPr="003171CD" w:rsidRDefault="00D42FEA" w:rsidP="005A65CE">
      <w:pPr>
        <w:pStyle w:val="Prrafodelista"/>
        <w:numPr>
          <w:ilvl w:val="0"/>
          <w:numId w:val="1"/>
        </w:numPr>
        <w:tabs>
          <w:tab w:val="left" w:pos="720"/>
        </w:tabs>
        <w:ind w:right="-90"/>
        <w:jc w:val="both"/>
        <w:rPr>
          <w:rFonts w:eastAsiaTheme="minorHAnsi" w:cs="Arial"/>
          <w:lang w:val="en-US"/>
        </w:rPr>
      </w:pPr>
      <w:r w:rsidRPr="003171CD">
        <w:rPr>
          <w:rFonts w:eastAsiaTheme="minorHAnsi" w:cs="Arial"/>
          <w:lang w:val="en-US"/>
        </w:rPr>
        <w:t>Having regard to the foregoing</w:t>
      </w:r>
      <w:r w:rsidR="005A65CE" w:rsidRPr="003171CD">
        <w:rPr>
          <w:rFonts w:eastAsiaTheme="minorHAnsi" w:cs="Arial"/>
          <w:lang w:val="en-US"/>
        </w:rPr>
        <w:t xml:space="preserve">, the Court </w:t>
      </w:r>
      <w:r w:rsidR="000E71F6" w:rsidRPr="003171CD">
        <w:rPr>
          <w:rFonts w:eastAsiaTheme="minorHAnsi" w:cs="Arial"/>
          <w:lang w:val="en-US"/>
        </w:rPr>
        <w:t>considers that</w:t>
      </w:r>
      <w:r w:rsidR="00D80B4C" w:rsidRPr="003171CD">
        <w:rPr>
          <w:rFonts w:eastAsiaTheme="minorHAnsi" w:cs="Arial"/>
          <w:lang w:val="en-US"/>
        </w:rPr>
        <w:t xml:space="preserve"> in order</w:t>
      </w:r>
      <w:r w:rsidR="005A65CE" w:rsidRPr="003171CD">
        <w:rPr>
          <w:rFonts w:eastAsiaTheme="minorHAnsi" w:cs="Arial"/>
          <w:lang w:val="en-US"/>
        </w:rPr>
        <w:t xml:space="preserve"> </w:t>
      </w:r>
      <w:r w:rsidRPr="003171CD">
        <w:rPr>
          <w:rFonts w:eastAsiaTheme="minorHAnsi" w:cs="Arial"/>
          <w:lang w:val="en-US"/>
        </w:rPr>
        <w:t xml:space="preserve">to </w:t>
      </w:r>
      <w:r w:rsidR="009552AA" w:rsidRPr="003171CD">
        <w:rPr>
          <w:rFonts w:eastAsiaTheme="minorHAnsi" w:cs="Arial"/>
          <w:lang w:val="en-US"/>
        </w:rPr>
        <w:t xml:space="preserve">determine whether or not </w:t>
      </w:r>
      <w:r w:rsidR="00D80B4C" w:rsidRPr="003171CD">
        <w:rPr>
          <w:rFonts w:eastAsiaTheme="minorHAnsi" w:cs="Arial"/>
          <w:lang w:val="en-US"/>
        </w:rPr>
        <w:t xml:space="preserve">the State has </w:t>
      </w:r>
      <w:r w:rsidRPr="003171CD">
        <w:rPr>
          <w:rFonts w:eastAsiaTheme="minorHAnsi" w:cs="Arial"/>
          <w:lang w:val="en-US"/>
        </w:rPr>
        <w:t>violat</w:t>
      </w:r>
      <w:r w:rsidR="00D80B4C" w:rsidRPr="003171CD">
        <w:rPr>
          <w:rFonts w:eastAsiaTheme="minorHAnsi" w:cs="Arial"/>
          <w:lang w:val="en-US"/>
        </w:rPr>
        <w:t xml:space="preserve">ed the </w:t>
      </w:r>
      <w:r w:rsidR="00636F02" w:rsidRPr="003171CD">
        <w:rPr>
          <w:rFonts w:eastAsiaTheme="minorHAnsi" w:cs="Arial"/>
          <w:lang w:val="en-US"/>
        </w:rPr>
        <w:t>right of</w:t>
      </w:r>
      <w:r w:rsidRPr="003171CD">
        <w:rPr>
          <w:rFonts w:eastAsiaTheme="minorHAnsi" w:cs="Arial"/>
          <w:lang w:val="en-US"/>
        </w:rPr>
        <w:t xml:space="preserve"> </w:t>
      </w:r>
      <w:r w:rsidR="005A65CE" w:rsidRPr="003171CD">
        <w:rPr>
          <w:rFonts w:eastAsiaTheme="minorHAnsi" w:cs="Arial"/>
          <w:lang w:val="en-US"/>
        </w:rPr>
        <w:t xml:space="preserve">defense </w:t>
      </w:r>
      <w:r w:rsidR="00D80B4C" w:rsidRPr="003171CD">
        <w:rPr>
          <w:rFonts w:eastAsiaTheme="minorHAnsi" w:cs="Arial"/>
          <w:lang w:val="en-US"/>
        </w:rPr>
        <w:t>it is necessary to assess whether the action</w:t>
      </w:r>
      <w:r w:rsidR="00637BD1" w:rsidRPr="003171CD">
        <w:rPr>
          <w:rFonts w:eastAsiaTheme="minorHAnsi" w:cs="Arial"/>
          <w:lang w:val="en-US"/>
        </w:rPr>
        <w:t>s</w:t>
      </w:r>
      <w:r w:rsidR="00D80B4C" w:rsidRPr="003171CD">
        <w:rPr>
          <w:rFonts w:eastAsiaTheme="minorHAnsi" w:cs="Arial"/>
          <w:lang w:val="en-US"/>
        </w:rPr>
        <w:t xml:space="preserve"> or</w:t>
      </w:r>
      <w:r w:rsidR="005A65CE" w:rsidRPr="003171CD">
        <w:rPr>
          <w:rFonts w:eastAsiaTheme="minorHAnsi" w:cs="Arial"/>
          <w:lang w:val="en-US"/>
        </w:rPr>
        <w:t xml:space="preserve"> </w:t>
      </w:r>
      <w:r w:rsidR="00B55ACC" w:rsidRPr="003171CD">
        <w:rPr>
          <w:rFonts w:eastAsiaTheme="minorHAnsi" w:cs="Arial"/>
          <w:lang w:val="en-US"/>
        </w:rPr>
        <w:t>omission</w:t>
      </w:r>
      <w:r w:rsidR="00637BD1" w:rsidRPr="003171CD">
        <w:rPr>
          <w:rFonts w:eastAsiaTheme="minorHAnsi" w:cs="Arial"/>
          <w:lang w:val="en-US"/>
        </w:rPr>
        <w:t>s</w:t>
      </w:r>
      <w:r w:rsidR="005A65CE" w:rsidRPr="003171CD">
        <w:rPr>
          <w:rFonts w:eastAsiaTheme="minorHAnsi" w:cs="Arial"/>
          <w:lang w:val="en-US"/>
        </w:rPr>
        <w:t xml:space="preserve"> </w:t>
      </w:r>
      <w:r w:rsidR="00D80B4C" w:rsidRPr="003171CD">
        <w:rPr>
          <w:rFonts w:eastAsiaTheme="minorHAnsi" w:cs="Arial"/>
          <w:lang w:val="en-US"/>
        </w:rPr>
        <w:t xml:space="preserve">of the public defender constituted </w:t>
      </w:r>
      <w:r w:rsidR="005A65CE" w:rsidRPr="003171CD">
        <w:rPr>
          <w:rFonts w:eastAsiaTheme="minorHAnsi" w:cs="Arial"/>
          <w:lang w:val="en-US"/>
        </w:rPr>
        <w:t xml:space="preserve">inexcusable </w:t>
      </w:r>
      <w:r w:rsidR="00B165B0" w:rsidRPr="003171CD">
        <w:rPr>
          <w:rFonts w:eastAsiaTheme="minorHAnsi" w:cs="Arial"/>
          <w:lang w:val="en-US"/>
        </w:rPr>
        <w:t xml:space="preserve">negligence </w:t>
      </w:r>
      <w:r w:rsidR="005A65CE" w:rsidRPr="003171CD">
        <w:rPr>
          <w:rFonts w:eastAsiaTheme="minorHAnsi" w:cs="Arial"/>
          <w:lang w:val="en-US"/>
        </w:rPr>
        <w:t xml:space="preserve">or </w:t>
      </w:r>
      <w:r w:rsidR="00B55ACC" w:rsidRPr="003171CD">
        <w:rPr>
          <w:rFonts w:eastAsiaTheme="minorHAnsi" w:cs="Arial"/>
          <w:lang w:val="en-US"/>
        </w:rPr>
        <w:t>manif</w:t>
      </w:r>
      <w:r w:rsidR="005A65CE" w:rsidRPr="003171CD">
        <w:rPr>
          <w:rFonts w:eastAsiaTheme="minorHAnsi" w:cs="Arial"/>
          <w:lang w:val="en-US"/>
        </w:rPr>
        <w:t>est</w:t>
      </w:r>
      <w:r w:rsidR="00B55ACC" w:rsidRPr="003171CD">
        <w:rPr>
          <w:rFonts w:eastAsiaTheme="minorHAnsi" w:cs="Arial"/>
          <w:lang w:val="en-US"/>
        </w:rPr>
        <w:t xml:space="preserve"> failure </w:t>
      </w:r>
      <w:r w:rsidR="005A65CE" w:rsidRPr="003171CD">
        <w:rPr>
          <w:rFonts w:eastAsiaTheme="minorHAnsi" w:cs="Arial"/>
          <w:lang w:val="en-US"/>
        </w:rPr>
        <w:t>in the exercise of the defense</w:t>
      </w:r>
      <w:r w:rsidR="00F17555" w:rsidRPr="003171CD">
        <w:rPr>
          <w:rFonts w:eastAsiaTheme="minorHAnsi" w:cs="Arial"/>
          <w:lang w:val="en-US"/>
        </w:rPr>
        <w:t xml:space="preserve">, which had </w:t>
      </w:r>
      <w:r w:rsidR="00637BD1" w:rsidRPr="003171CD">
        <w:rPr>
          <w:rFonts w:eastAsiaTheme="minorHAnsi" w:cs="Arial"/>
          <w:lang w:val="en-US"/>
        </w:rPr>
        <w:t xml:space="preserve">- </w:t>
      </w:r>
      <w:r w:rsidR="00F17555" w:rsidRPr="003171CD">
        <w:rPr>
          <w:rFonts w:eastAsiaTheme="minorHAnsi" w:cs="Arial"/>
          <w:lang w:val="en-US"/>
        </w:rPr>
        <w:t>or could have</w:t>
      </w:r>
      <w:r w:rsidR="005A65CE" w:rsidRPr="003171CD">
        <w:rPr>
          <w:rFonts w:eastAsiaTheme="minorHAnsi" w:cs="Arial"/>
          <w:lang w:val="en-US"/>
        </w:rPr>
        <w:t xml:space="preserve"> </w:t>
      </w:r>
      <w:r w:rsidR="00637BD1" w:rsidRPr="003171CD">
        <w:rPr>
          <w:rFonts w:eastAsiaTheme="minorHAnsi" w:cs="Arial"/>
          <w:lang w:val="en-US"/>
        </w:rPr>
        <w:t xml:space="preserve">- </w:t>
      </w:r>
      <w:r w:rsidR="00F17555" w:rsidRPr="003171CD">
        <w:rPr>
          <w:rFonts w:eastAsiaTheme="minorHAnsi" w:cs="Arial"/>
          <w:lang w:val="en-US"/>
        </w:rPr>
        <w:t xml:space="preserve">a </w:t>
      </w:r>
      <w:r w:rsidR="005A65CE" w:rsidRPr="003171CD">
        <w:rPr>
          <w:rFonts w:eastAsiaTheme="minorHAnsi" w:cs="Arial"/>
          <w:iCs/>
          <w:lang w:val="en-US"/>
        </w:rPr>
        <w:t>de</w:t>
      </w:r>
      <w:r w:rsidR="00F17555" w:rsidRPr="003171CD">
        <w:rPr>
          <w:rFonts w:eastAsiaTheme="minorHAnsi" w:cs="Arial"/>
          <w:iCs/>
          <w:lang w:val="en-US"/>
        </w:rPr>
        <w:t xml:space="preserve">cisive adverse effect on </w:t>
      </w:r>
      <w:r w:rsidR="000E71F6" w:rsidRPr="003171CD">
        <w:rPr>
          <w:rFonts w:eastAsiaTheme="minorHAnsi" w:cs="Arial"/>
          <w:lang w:val="en-US"/>
        </w:rPr>
        <w:t xml:space="preserve">the </w:t>
      </w:r>
      <w:r w:rsidR="00B165B0" w:rsidRPr="003171CD">
        <w:rPr>
          <w:rFonts w:eastAsiaTheme="minorHAnsi" w:cs="Arial"/>
          <w:lang w:val="en-US"/>
        </w:rPr>
        <w:t>interests</w:t>
      </w:r>
      <w:r w:rsidR="000E71F6" w:rsidRPr="003171CD">
        <w:rPr>
          <w:rFonts w:eastAsiaTheme="minorHAnsi" w:cs="Arial"/>
          <w:lang w:val="en-US"/>
        </w:rPr>
        <w:t xml:space="preserve"> </w:t>
      </w:r>
      <w:r w:rsidR="00B55ACC" w:rsidRPr="003171CD">
        <w:rPr>
          <w:rFonts w:eastAsiaTheme="minorHAnsi" w:cs="Arial"/>
          <w:lang w:val="en-US"/>
        </w:rPr>
        <w:t xml:space="preserve">of the </w:t>
      </w:r>
      <w:r w:rsidR="00B165B0" w:rsidRPr="003171CD">
        <w:rPr>
          <w:rFonts w:eastAsiaTheme="minorHAnsi" w:cs="Arial"/>
          <w:lang w:val="en-US"/>
        </w:rPr>
        <w:t>accused</w:t>
      </w:r>
      <w:r w:rsidR="000E71F6" w:rsidRPr="003171CD">
        <w:rPr>
          <w:rFonts w:eastAsiaTheme="minorHAnsi" w:cs="Arial"/>
          <w:lang w:val="en-US"/>
        </w:rPr>
        <w:t>. I</w:t>
      </w:r>
      <w:r w:rsidR="005A65CE" w:rsidRPr="003171CD">
        <w:rPr>
          <w:rFonts w:eastAsiaTheme="minorHAnsi" w:cs="Arial"/>
          <w:lang w:val="en-US"/>
        </w:rPr>
        <w:t xml:space="preserve">n this </w:t>
      </w:r>
      <w:r w:rsidR="00F17555" w:rsidRPr="003171CD">
        <w:rPr>
          <w:rFonts w:eastAsiaTheme="minorHAnsi" w:cs="Arial"/>
          <w:lang w:val="en-US"/>
        </w:rPr>
        <w:t>regard</w:t>
      </w:r>
      <w:r w:rsidR="005A65CE" w:rsidRPr="003171CD">
        <w:rPr>
          <w:rFonts w:eastAsiaTheme="minorHAnsi" w:cs="Arial"/>
          <w:lang w:val="en-US"/>
        </w:rPr>
        <w:t xml:space="preserve">, the Court </w:t>
      </w:r>
      <w:r w:rsidR="00F17555" w:rsidRPr="003171CD">
        <w:rPr>
          <w:rFonts w:eastAsiaTheme="minorHAnsi" w:cs="Arial"/>
          <w:lang w:val="en-US"/>
        </w:rPr>
        <w:t xml:space="preserve">will </w:t>
      </w:r>
      <w:r w:rsidR="00D959E1" w:rsidRPr="003171CD">
        <w:rPr>
          <w:rFonts w:eastAsiaTheme="minorHAnsi" w:cs="Arial"/>
          <w:lang w:val="en-US"/>
        </w:rPr>
        <w:t xml:space="preserve">analyze </w:t>
      </w:r>
      <w:r w:rsidR="005A65CE" w:rsidRPr="003171CD">
        <w:rPr>
          <w:rFonts w:eastAsiaTheme="minorHAnsi" w:cs="Arial"/>
          <w:lang w:val="en-US"/>
        </w:rPr>
        <w:t>the proceedings</w:t>
      </w:r>
      <w:r w:rsidR="00F17555" w:rsidRPr="003171CD">
        <w:rPr>
          <w:rFonts w:eastAsiaTheme="minorHAnsi" w:cs="Arial"/>
          <w:lang w:val="en-US"/>
        </w:rPr>
        <w:t xml:space="preserve"> as a whole</w:t>
      </w:r>
      <w:r w:rsidR="005A65CE" w:rsidRPr="003171CD">
        <w:rPr>
          <w:rFonts w:eastAsiaTheme="minorHAnsi" w:cs="Arial"/>
          <w:lang w:val="en-US"/>
        </w:rPr>
        <w:t xml:space="preserve">, </w:t>
      </w:r>
      <w:r w:rsidR="00B55ACC" w:rsidRPr="003171CD">
        <w:rPr>
          <w:rFonts w:eastAsiaTheme="minorHAnsi" w:cs="Arial"/>
          <w:lang w:val="en-US"/>
        </w:rPr>
        <w:t xml:space="preserve">unless a </w:t>
      </w:r>
      <w:r w:rsidR="00F17555" w:rsidRPr="003171CD">
        <w:rPr>
          <w:rFonts w:eastAsiaTheme="minorHAnsi" w:cs="Arial"/>
          <w:lang w:val="en-US"/>
        </w:rPr>
        <w:t xml:space="preserve">specific </w:t>
      </w:r>
      <w:r w:rsidR="000E71F6" w:rsidRPr="003171CD">
        <w:rPr>
          <w:rFonts w:eastAsiaTheme="minorHAnsi" w:cs="Arial"/>
          <w:lang w:val="en-US"/>
        </w:rPr>
        <w:t>action or</w:t>
      </w:r>
      <w:r w:rsidR="005A65CE" w:rsidRPr="003171CD">
        <w:rPr>
          <w:rFonts w:eastAsiaTheme="minorHAnsi" w:cs="Arial"/>
          <w:lang w:val="en-US"/>
        </w:rPr>
        <w:t xml:space="preserve"> </w:t>
      </w:r>
      <w:r w:rsidR="00B55ACC" w:rsidRPr="003171CD">
        <w:rPr>
          <w:rFonts w:eastAsiaTheme="minorHAnsi" w:cs="Arial"/>
          <w:lang w:val="en-US"/>
        </w:rPr>
        <w:t>omission</w:t>
      </w:r>
      <w:r w:rsidR="005A65CE" w:rsidRPr="003171CD">
        <w:rPr>
          <w:rFonts w:eastAsiaTheme="minorHAnsi" w:cs="Arial"/>
          <w:lang w:val="en-US"/>
        </w:rPr>
        <w:t xml:space="preserve"> </w:t>
      </w:r>
      <w:r w:rsidR="00B55ACC" w:rsidRPr="003171CD">
        <w:rPr>
          <w:rFonts w:eastAsiaTheme="minorHAnsi" w:cs="Arial"/>
          <w:lang w:val="en-US"/>
        </w:rPr>
        <w:t>is so serious that it constitutes, in</w:t>
      </w:r>
      <w:r w:rsidR="009552AA" w:rsidRPr="003171CD">
        <w:rPr>
          <w:rFonts w:eastAsiaTheme="minorHAnsi" w:cs="Arial"/>
          <w:lang w:val="en-US"/>
        </w:rPr>
        <w:t xml:space="preserve"> and of</w:t>
      </w:r>
      <w:r w:rsidR="00B55ACC" w:rsidRPr="003171CD">
        <w:rPr>
          <w:rFonts w:eastAsiaTheme="minorHAnsi" w:cs="Arial"/>
          <w:lang w:val="en-US"/>
        </w:rPr>
        <w:t xml:space="preserve"> itself, a violation of said</w:t>
      </w:r>
      <w:r w:rsidR="005A65CE" w:rsidRPr="003171CD">
        <w:rPr>
          <w:rFonts w:eastAsiaTheme="minorHAnsi" w:cs="Arial"/>
          <w:lang w:val="en-US"/>
        </w:rPr>
        <w:t xml:space="preserve"> </w:t>
      </w:r>
      <w:r w:rsidR="000B69EC" w:rsidRPr="003171CD">
        <w:rPr>
          <w:rFonts w:eastAsiaTheme="minorHAnsi" w:cs="Arial"/>
          <w:lang w:val="en-US"/>
        </w:rPr>
        <w:t>guarantee</w:t>
      </w:r>
      <w:r w:rsidR="005A65CE" w:rsidRPr="003171CD">
        <w:rPr>
          <w:rFonts w:eastAsiaTheme="minorHAnsi" w:cs="Arial"/>
          <w:lang w:val="en-US"/>
        </w:rPr>
        <w:t>.</w:t>
      </w:r>
    </w:p>
    <w:p w14:paraId="6DD918F0" w14:textId="77777777" w:rsidR="005A65CE" w:rsidRPr="003171CD" w:rsidRDefault="005A65CE" w:rsidP="005A65CE">
      <w:pPr>
        <w:rPr>
          <w:rFonts w:eastAsiaTheme="minorHAnsi" w:cs="Arial"/>
          <w:lang w:val="en-US"/>
        </w:rPr>
      </w:pPr>
    </w:p>
    <w:p w14:paraId="3C9E976A" w14:textId="77777777" w:rsidR="005A65CE" w:rsidRPr="003171CD" w:rsidRDefault="000E71F6" w:rsidP="005A65CE">
      <w:pPr>
        <w:pStyle w:val="Prrafodelista"/>
        <w:numPr>
          <w:ilvl w:val="0"/>
          <w:numId w:val="1"/>
        </w:numPr>
        <w:tabs>
          <w:tab w:val="left" w:pos="720"/>
        </w:tabs>
        <w:ind w:right="-90"/>
        <w:jc w:val="both"/>
        <w:rPr>
          <w:szCs w:val="20"/>
          <w:lang w:val="en-US"/>
        </w:rPr>
      </w:pPr>
      <w:r w:rsidRPr="003171CD">
        <w:rPr>
          <w:rFonts w:eastAsiaTheme="minorHAnsi" w:cs="Arial"/>
          <w:lang w:val="en-US"/>
        </w:rPr>
        <w:t>For example</w:t>
      </w:r>
      <w:r w:rsidR="005A65CE" w:rsidRPr="003171CD">
        <w:rPr>
          <w:lang w:val="en-US"/>
        </w:rPr>
        <w:t xml:space="preserve">, in the case </w:t>
      </w:r>
      <w:r w:rsidR="00637BD1" w:rsidRPr="003171CD">
        <w:rPr>
          <w:lang w:val="en-US"/>
        </w:rPr>
        <w:t xml:space="preserve">of </w:t>
      </w:r>
      <w:r w:rsidR="005A65CE" w:rsidRPr="003171CD">
        <w:rPr>
          <w:i/>
          <w:lang w:val="en-US"/>
        </w:rPr>
        <w:t>Chaparro Álvarez and Lapo Iñigo</w:t>
      </w:r>
      <w:r w:rsidR="005A65CE" w:rsidRPr="003171CD">
        <w:rPr>
          <w:lang w:val="en-US"/>
        </w:rPr>
        <w:t>, the Court considered that the attitude of the public defen</w:t>
      </w:r>
      <w:r w:rsidR="00F334EA" w:rsidRPr="003171CD">
        <w:rPr>
          <w:lang w:val="en-US"/>
        </w:rPr>
        <w:t xml:space="preserve">der </w:t>
      </w:r>
      <w:r w:rsidRPr="003171CD">
        <w:rPr>
          <w:lang w:val="en-US"/>
        </w:rPr>
        <w:t xml:space="preserve">assigned to </w:t>
      </w:r>
      <w:r w:rsidR="00821AEF" w:rsidRPr="003171CD">
        <w:rPr>
          <w:lang w:val="en-US"/>
        </w:rPr>
        <w:t>Mr.</w:t>
      </w:r>
      <w:r w:rsidR="005A65CE" w:rsidRPr="003171CD">
        <w:rPr>
          <w:lang w:val="en-US"/>
        </w:rPr>
        <w:t xml:space="preserve"> Lapo, </w:t>
      </w:r>
      <w:r w:rsidRPr="003171CD">
        <w:rPr>
          <w:lang w:val="en-US"/>
        </w:rPr>
        <w:t xml:space="preserve">who was not present </w:t>
      </w:r>
      <w:r w:rsidR="005A65CE" w:rsidRPr="003171CD">
        <w:rPr>
          <w:szCs w:val="20"/>
          <w:lang w:val="en-US"/>
        </w:rPr>
        <w:t xml:space="preserve">during the </w:t>
      </w:r>
      <w:r w:rsidR="00B55ACC" w:rsidRPr="003171CD">
        <w:rPr>
          <w:szCs w:val="20"/>
          <w:lang w:val="en-US"/>
        </w:rPr>
        <w:t>questioning</w:t>
      </w:r>
      <w:r w:rsidR="005A65CE" w:rsidRPr="003171CD">
        <w:rPr>
          <w:szCs w:val="20"/>
          <w:lang w:val="en-US"/>
        </w:rPr>
        <w:t xml:space="preserve"> and </w:t>
      </w:r>
      <w:r w:rsidRPr="003171CD">
        <w:rPr>
          <w:szCs w:val="20"/>
          <w:lang w:val="en-US"/>
        </w:rPr>
        <w:t xml:space="preserve">only appeared </w:t>
      </w:r>
      <w:r w:rsidR="00B55ACC" w:rsidRPr="003171CD">
        <w:rPr>
          <w:szCs w:val="20"/>
          <w:lang w:val="en-US"/>
        </w:rPr>
        <w:t xml:space="preserve">for the opening statement </w:t>
      </w:r>
      <w:r w:rsidR="005A65CE" w:rsidRPr="003171CD">
        <w:rPr>
          <w:szCs w:val="20"/>
          <w:lang w:val="en-US"/>
        </w:rPr>
        <w:t>and a</w:t>
      </w:r>
      <w:r w:rsidR="00B55ACC" w:rsidRPr="003171CD">
        <w:rPr>
          <w:szCs w:val="20"/>
          <w:lang w:val="en-US"/>
        </w:rPr>
        <w:t xml:space="preserve">t the end of </w:t>
      </w:r>
      <w:r w:rsidR="00F17555" w:rsidRPr="003171CD">
        <w:rPr>
          <w:szCs w:val="20"/>
          <w:lang w:val="en-US"/>
        </w:rPr>
        <w:t xml:space="preserve">it, </w:t>
      </w:r>
      <w:r w:rsidRPr="003171CD">
        <w:rPr>
          <w:lang w:val="en-US"/>
        </w:rPr>
        <w:t xml:space="preserve">was clearly </w:t>
      </w:r>
      <w:r w:rsidR="005A65CE" w:rsidRPr="003171CD">
        <w:rPr>
          <w:lang w:val="en-US"/>
        </w:rPr>
        <w:t>incompatible with the obligation</w:t>
      </w:r>
      <w:r w:rsidR="00F17555" w:rsidRPr="003171CD">
        <w:rPr>
          <w:lang w:val="en-US"/>
        </w:rPr>
        <w:t xml:space="preserve"> established in Article 8(2)(e)</w:t>
      </w:r>
      <w:r w:rsidR="005A65CE" w:rsidRPr="003171CD">
        <w:rPr>
          <w:lang w:val="en-US"/>
        </w:rPr>
        <w:t xml:space="preserve"> of the Convention</w:t>
      </w:r>
      <w:r w:rsidRPr="003171CD">
        <w:rPr>
          <w:lang w:val="en-US"/>
        </w:rPr>
        <w:t>.</w:t>
      </w:r>
      <w:r w:rsidR="005A65CE" w:rsidRPr="003171CD">
        <w:rPr>
          <w:rStyle w:val="Refdenotaalpie"/>
          <w:lang w:val="en-US"/>
        </w:rPr>
        <w:footnoteReference w:id="235"/>
      </w:r>
    </w:p>
    <w:p w14:paraId="2B238A76" w14:textId="77777777" w:rsidR="005A65CE" w:rsidRPr="003171CD" w:rsidRDefault="005A65CE" w:rsidP="005A65CE">
      <w:pPr>
        <w:pStyle w:val="Prrafodelista"/>
        <w:rPr>
          <w:b/>
          <w:szCs w:val="20"/>
          <w:lang w:val="en-US"/>
        </w:rPr>
      </w:pPr>
    </w:p>
    <w:p w14:paraId="0D839940" w14:textId="77777777" w:rsidR="005A65CE" w:rsidRPr="003171CD" w:rsidRDefault="00F334EA" w:rsidP="005A65CE">
      <w:pPr>
        <w:pStyle w:val="Prrafodelista"/>
        <w:numPr>
          <w:ilvl w:val="0"/>
          <w:numId w:val="1"/>
        </w:numPr>
        <w:tabs>
          <w:tab w:val="left" w:pos="720"/>
        </w:tabs>
        <w:ind w:right="-90"/>
        <w:jc w:val="both"/>
        <w:rPr>
          <w:szCs w:val="20"/>
          <w:lang w:val="en-US"/>
        </w:rPr>
      </w:pPr>
      <w:r w:rsidRPr="003171CD">
        <w:rPr>
          <w:rFonts w:eastAsiaTheme="minorHAnsi" w:cs="Arial"/>
          <w:lang w:val="en-US"/>
        </w:rPr>
        <w:t>Also</w:t>
      </w:r>
      <w:r w:rsidR="005A65CE" w:rsidRPr="003171CD">
        <w:rPr>
          <w:rFonts w:eastAsiaTheme="minorHAnsi" w:cs="Arial"/>
          <w:lang w:val="en-US"/>
        </w:rPr>
        <w:t>, i</w:t>
      </w:r>
      <w:r w:rsidR="00B55ACC" w:rsidRPr="003171CD">
        <w:rPr>
          <w:rFonts w:eastAsiaTheme="minorHAnsi" w:cs="Arial"/>
          <w:lang w:val="en-US"/>
        </w:rPr>
        <w:t>t i</w:t>
      </w:r>
      <w:r w:rsidR="005A65CE" w:rsidRPr="003171CD">
        <w:rPr>
          <w:rFonts w:eastAsiaTheme="minorHAnsi" w:cs="Arial"/>
          <w:lang w:val="en-US"/>
        </w:rPr>
        <w:t>s pertin</w:t>
      </w:r>
      <w:r w:rsidR="009706A3" w:rsidRPr="003171CD">
        <w:rPr>
          <w:rFonts w:eastAsiaTheme="minorHAnsi" w:cs="Arial"/>
          <w:lang w:val="en-US"/>
        </w:rPr>
        <w:t xml:space="preserve">ent </w:t>
      </w:r>
      <w:r w:rsidR="00B55ACC" w:rsidRPr="003171CD">
        <w:rPr>
          <w:rFonts w:eastAsiaTheme="minorHAnsi" w:cs="Arial"/>
          <w:lang w:val="en-US"/>
        </w:rPr>
        <w:t xml:space="preserve">to </w:t>
      </w:r>
      <w:r w:rsidRPr="003171CD">
        <w:rPr>
          <w:rFonts w:eastAsiaTheme="minorHAnsi" w:cs="Arial"/>
          <w:lang w:val="en-US"/>
        </w:rPr>
        <w:t>point out that a</w:t>
      </w:r>
      <w:r w:rsidR="00637BD1" w:rsidRPr="003171CD">
        <w:rPr>
          <w:rFonts w:eastAsiaTheme="minorHAnsi" w:cs="Arial"/>
          <w:lang w:val="en-US"/>
        </w:rPr>
        <w:t xml:space="preserve"> minor </w:t>
      </w:r>
      <w:r w:rsidR="00B55ACC" w:rsidRPr="003171CD">
        <w:rPr>
          <w:rFonts w:eastAsiaTheme="minorHAnsi" w:cs="Arial"/>
          <w:lang w:val="en-US"/>
        </w:rPr>
        <w:t xml:space="preserve">discrepancy </w:t>
      </w:r>
      <w:r w:rsidR="005A65CE" w:rsidRPr="003171CD">
        <w:rPr>
          <w:rFonts w:eastAsiaTheme="minorHAnsi" w:cs="Arial"/>
          <w:lang w:val="en-US"/>
        </w:rPr>
        <w:t xml:space="preserve">with the defense </w:t>
      </w:r>
      <w:r w:rsidR="009706A3" w:rsidRPr="003171CD">
        <w:rPr>
          <w:rFonts w:eastAsiaTheme="minorHAnsi" w:cs="Arial"/>
          <w:lang w:val="en-US"/>
        </w:rPr>
        <w:t xml:space="preserve">strategy </w:t>
      </w:r>
      <w:r w:rsidR="005A65CE" w:rsidRPr="003171CD">
        <w:rPr>
          <w:rFonts w:eastAsiaTheme="minorHAnsi" w:cs="Arial"/>
          <w:lang w:val="en-US"/>
        </w:rPr>
        <w:t xml:space="preserve">or with the </w:t>
      </w:r>
      <w:r w:rsidRPr="003171CD">
        <w:rPr>
          <w:rFonts w:eastAsiaTheme="minorHAnsi" w:cs="Arial"/>
          <w:lang w:val="en-US"/>
        </w:rPr>
        <w:t xml:space="preserve">outcome </w:t>
      </w:r>
      <w:r w:rsidR="005A65CE" w:rsidRPr="003171CD">
        <w:rPr>
          <w:rFonts w:eastAsiaTheme="minorHAnsi" w:cs="Arial"/>
          <w:lang w:val="en-US"/>
        </w:rPr>
        <w:t>of a proce</w:t>
      </w:r>
      <w:r w:rsidR="00B55ACC" w:rsidRPr="003171CD">
        <w:rPr>
          <w:rFonts w:eastAsiaTheme="minorHAnsi" w:cs="Arial"/>
          <w:lang w:val="en-US"/>
        </w:rPr>
        <w:t xml:space="preserve">eding would not be sufficient to </w:t>
      </w:r>
      <w:r w:rsidRPr="003171CD">
        <w:rPr>
          <w:rFonts w:eastAsiaTheme="minorHAnsi" w:cs="Arial"/>
          <w:lang w:val="en-US"/>
        </w:rPr>
        <w:t xml:space="preserve">compromise </w:t>
      </w:r>
      <w:r w:rsidR="009706A3" w:rsidRPr="003171CD">
        <w:rPr>
          <w:rFonts w:eastAsiaTheme="minorHAnsi" w:cs="Arial"/>
          <w:lang w:val="en-US"/>
        </w:rPr>
        <w:t xml:space="preserve">the </w:t>
      </w:r>
      <w:r w:rsidRPr="003171CD">
        <w:rPr>
          <w:rFonts w:eastAsiaTheme="minorHAnsi" w:cs="Arial"/>
          <w:lang w:val="en-US"/>
        </w:rPr>
        <w:t xml:space="preserve">right </w:t>
      </w:r>
      <w:r w:rsidR="00AF1D9E" w:rsidRPr="003171CD">
        <w:rPr>
          <w:rFonts w:eastAsiaTheme="minorHAnsi" w:cs="Arial"/>
          <w:lang w:val="en-US"/>
        </w:rPr>
        <w:t xml:space="preserve">of </w:t>
      </w:r>
      <w:r w:rsidRPr="003171CD">
        <w:rPr>
          <w:rFonts w:eastAsiaTheme="minorHAnsi" w:cs="Arial"/>
          <w:lang w:val="en-US"/>
        </w:rPr>
        <w:t>defense</w:t>
      </w:r>
      <w:r w:rsidRPr="003171CD">
        <w:rPr>
          <w:rFonts w:eastAsiaTheme="minorHAnsi" w:cs="Arial"/>
          <w:lang w:val="en-GB"/>
        </w:rPr>
        <w:t>;</w:t>
      </w:r>
      <w:r w:rsidR="005A65CE" w:rsidRPr="003171CD">
        <w:rPr>
          <w:rFonts w:eastAsiaTheme="minorHAnsi" w:cs="Arial"/>
          <w:lang w:val="en-US"/>
        </w:rPr>
        <w:t xml:space="preserve"> </w:t>
      </w:r>
      <w:r w:rsidRPr="003171CD">
        <w:rPr>
          <w:rFonts w:eastAsiaTheme="minorHAnsi" w:cs="Arial"/>
          <w:lang w:val="en-US"/>
        </w:rPr>
        <w:t xml:space="preserve">rather, as mentioned previously, it would be necessary to prove </w:t>
      </w:r>
      <w:r w:rsidR="005A65CE" w:rsidRPr="003171CD">
        <w:rPr>
          <w:rFonts w:eastAsiaTheme="minorHAnsi" w:cs="Arial"/>
          <w:lang w:val="en-US"/>
        </w:rPr>
        <w:t xml:space="preserve">inexcusable </w:t>
      </w:r>
      <w:r w:rsidR="009706A3" w:rsidRPr="003171CD">
        <w:rPr>
          <w:rFonts w:eastAsiaTheme="minorHAnsi" w:cs="Arial"/>
          <w:lang w:val="en-US"/>
        </w:rPr>
        <w:t xml:space="preserve">negligence or </w:t>
      </w:r>
      <w:r w:rsidR="00B55ACC" w:rsidRPr="003171CD">
        <w:rPr>
          <w:rFonts w:eastAsiaTheme="minorHAnsi" w:cs="Arial"/>
          <w:lang w:val="en-US"/>
        </w:rPr>
        <w:t>manifest failure</w:t>
      </w:r>
      <w:r w:rsidR="009706A3" w:rsidRPr="003171CD">
        <w:rPr>
          <w:rFonts w:eastAsiaTheme="minorHAnsi" w:cs="Arial"/>
          <w:lang w:val="en-US"/>
        </w:rPr>
        <w:t>. I</w:t>
      </w:r>
      <w:r w:rsidR="005A65CE" w:rsidRPr="003171CD">
        <w:rPr>
          <w:rFonts w:eastAsiaTheme="minorHAnsi" w:cs="Arial"/>
          <w:lang w:val="en-US"/>
        </w:rPr>
        <w:t xml:space="preserve">n </w:t>
      </w:r>
      <w:r w:rsidR="005A65CE" w:rsidRPr="003171CD">
        <w:rPr>
          <w:szCs w:val="20"/>
          <w:lang w:val="en-US"/>
        </w:rPr>
        <w:t>case</w:t>
      </w:r>
      <w:r w:rsidR="00D42FEA" w:rsidRPr="003171CD">
        <w:rPr>
          <w:szCs w:val="20"/>
          <w:lang w:val="en-US"/>
        </w:rPr>
        <w:t xml:space="preserve">s </w:t>
      </w:r>
      <w:r w:rsidRPr="003171CD">
        <w:rPr>
          <w:szCs w:val="20"/>
          <w:lang w:val="en-US"/>
        </w:rPr>
        <w:t xml:space="preserve">settled </w:t>
      </w:r>
      <w:r w:rsidR="00D42FEA" w:rsidRPr="003171CD">
        <w:rPr>
          <w:szCs w:val="20"/>
          <w:lang w:val="en-US"/>
        </w:rPr>
        <w:t>in di</w:t>
      </w:r>
      <w:r w:rsidR="009706A3" w:rsidRPr="003171CD">
        <w:rPr>
          <w:szCs w:val="20"/>
          <w:lang w:val="en-US"/>
        </w:rPr>
        <w:t xml:space="preserve">fferent </w:t>
      </w:r>
      <w:r w:rsidR="00D42FEA" w:rsidRPr="003171CD">
        <w:rPr>
          <w:szCs w:val="20"/>
          <w:lang w:val="en-US"/>
        </w:rPr>
        <w:t>countri</w:t>
      </w:r>
      <w:r w:rsidR="009706A3" w:rsidRPr="003171CD">
        <w:rPr>
          <w:szCs w:val="20"/>
          <w:lang w:val="en-US"/>
        </w:rPr>
        <w:t>es, the d</w:t>
      </w:r>
      <w:r w:rsidR="005A65CE" w:rsidRPr="003171CD">
        <w:rPr>
          <w:szCs w:val="20"/>
          <w:lang w:val="en-US"/>
        </w:rPr>
        <w:t>omestic courts ha</w:t>
      </w:r>
      <w:r w:rsidR="009706A3" w:rsidRPr="003171CD">
        <w:rPr>
          <w:szCs w:val="20"/>
          <w:lang w:val="en-US"/>
        </w:rPr>
        <w:t xml:space="preserve">ve </w:t>
      </w:r>
      <w:r w:rsidR="005A65CE" w:rsidRPr="003171CD">
        <w:rPr>
          <w:szCs w:val="20"/>
          <w:lang w:val="en-US"/>
        </w:rPr>
        <w:t>identifi</w:t>
      </w:r>
      <w:r w:rsidR="009706A3" w:rsidRPr="003171CD">
        <w:rPr>
          <w:szCs w:val="20"/>
          <w:lang w:val="en-US"/>
        </w:rPr>
        <w:t xml:space="preserve">ed </w:t>
      </w:r>
      <w:r w:rsidR="005A65CE" w:rsidRPr="003171CD">
        <w:rPr>
          <w:szCs w:val="20"/>
          <w:lang w:val="en-US"/>
        </w:rPr>
        <w:t xml:space="preserve">a </w:t>
      </w:r>
      <w:r w:rsidRPr="003171CD">
        <w:rPr>
          <w:szCs w:val="20"/>
          <w:lang w:val="en-US"/>
        </w:rPr>
        <w:t xml:space="preserve">number </w:t>
      </w:r>
      <w:r w:rsidR="00B55ACC" w:rsidRPr="003171CD">
        <w:rPr>
          <w:szCs w:val="20"/>
          <w:lang w:val="en-US"/>
        </w:rPr>
        <w:t xml:space="preserve">of </w:t>
      </w:r>
      <w:r w:rsidRPr="003171CD">
        <w:rPr>
          <w:szCs w:val="20"/>
          <w:lang w:val="en-US"/>
        </w:rPr>
        <w:t xml:space="preserve">specific </w:t>
      </w:r>
      <w:r w:rsidR="0000719F" w:rsidRPr="003171CD">
        <w:rPr>
          <w:szCs w:val="20"/>
          <w:lang w:val="en-US"/>
        </w:rPr>
        <w:t xml:space="preserve">assumptions </w:t>
      </w:r>
      <w:r w:rsidR="005A65CE" w:rsidRPr="003171CD">
        <w:rPr>
          <w:szCs w:val="20"/>
          <w:lang w:val="en-US"/>
        </w:rPr>
        <w:t xml:space="preserve">that </w:t>
      </w:r>
      <w:r w:rsidR="000E71F6" w:rsidRPr="003171CD">
        <w:rPr>
          <w:szCs w:val="20"/>
          <w:lang w:val="en-US"/>
        </w:rPr>
        <w:t>are indicative</w:t>
      </w:r>
      <w:r w:rsidR="005A65CE" w:rsidRPr="003171CD">
        <w:rPr>
          <w:szCs w:val="20"/>
          <w:lang w:val="en-US"/>
        </w:rPr>
        <w:t xml:space="preserve"> of a </w:t>
      </w:r>
      <w:r w:rsidR="000E71F6" w:rsidRPr="003171CD">
        <w:rPr>
          <w:szCs w:val="20"/>
          <w:lang w:val="en-US"/>
        </w:rPr>
        <w:t xml:space="preserve">violation of the </w:t>
      </w:r>
      <w:r w:rsidRPr="003171CD">
        <w:rPr>
          <w:szCs w:val="20"/>
          <w:lang w:val="en-US"/>
        </w:rPr>
        <w:t>right of</w:t>
      </w:r>
      <w:r w:rsidR="005A65CE" w:rsidRPr="003171CD">
        <w:rPr>
          <w:szCs w:val="20"/>
          <w:lang w:val="en-US"/>
        </w:rPr>
        <w:t xml:space="preserve"> </w:t>
      </w:r>
      <w:r w:rsidR="000E71F6" w:rsidRPr="003171CD">
        <w:rPr>
          <w:szCs w:val="20"/>
          <w:lang w:val="en-US"/>
        </w:rPr>
        <w:t xml:space="preserve">defense </w:t>
      </w:r>
      <w:r w:rsidRPr="003171CD">
        <w:rPr>
          <w:szCs w:val="20"/>
          <w:lang w:val="en-US"/>
        </w:rPr>
        <w:t>and which</w:t>
      </w:r>
      <w:r w:rsidR="005A65CE" w:rsidRPr="003171CD">
        <w:rPr>
          <w:szCs w:val="20"/>
          <w:lang w:val="en-US"/>
        </w:rPr>
        <w:t xml:space="preserve">, </w:t>
      </w:r>
      <w:r w:rsidR="006608BB" w:rsidRPr="003171CD">
        <w:rPr>
          <w:szCs w:val="20"/>
          <w:lang w:val="en-US"/>
        </w:rPr>
        <w:t xml:space="preserve">given their </w:t>
      </w:r>
      <w:r w:rsidR="00E5621F" w:rsidRPr="003171CD">
        <w:rPr>
          <w:szCs w:val="20"/>
          <w:lang w:val="en-US"/>
        </w:rPr>
        <w:t>nature</w:t>
      </w:r>
      <w:r w:rsidR="005A65CE" w:rsidRPr="003171CD">
        <w:rPr>
          <w:szCs w:val="20"/>
          <w:lang w:val="en-US"/>
        </w:rPr>
        <w:t>, ha</w:t>
      </w:r>
      <w:r w:rsidR="00F17555" w:rsidRPr="003171CD">
        <w:rPr>
          <w:szCs w:val="20"/>
          <w:lang w:val="en-US"/>
        </w:rPr>
        <w:t xml:space="preserve">ve resulted in </w:t>
      </w:r>
      <w:r w:rsidR="005A65CE" w:rsidRPr="003171CD">
        <w:rPr>
          <w:szCs w:val="20"/>
          <w:lang w:val="en-US"/>
        </w:rPr>
        <w:t xml:space="preserve">the </w:t>
      </w:r>
      <w:r w:rsidR="009706A3" w:rsidRPr="003171CD">
        <w:rPr>
          <w:szCs w:val="20"/>
          <w:lang w:val="en-US"/>
        </w:rPr>
        <w:t xml:space="preserve">annulment </w:t>
      </w:r>
      <w:r w:rsidR="005A65CE" w:rsidRPr="003171CD">
        <w:rPr>
          <w:szCs w:val="20"/>
          <w:lang w:val="en-US"/>
        </w:rPr>
        <w:t>of proce</w:t>
      </w:r>
      <w:r w:rsidR="00B55ACC" w:rsidRPr="003171CD">
        <w:rPr>
          <w:szCs w:val="20"/>
          <w:lang w:val="en-US"/>
        </w:rPr>
        <w:t xml:space="preserve">edings </w:t>
      </w:r>
      <w:r w:rsidR="005A65CE" w:rsidRPr="003171CD">
        <w:rPr>
          <w:szCs w:val="20"/>
          <w:lang w:val="en-US"/>
        </w:rPr>
        <w:t xml:space="preserve">or the revocation of judgments </w:t>
      </w:r>
      <w:r w:rsidRPr="003171CD">
        <w:rPr>
          <w:szCs w:val="20"/>
          <w:lang w:val="en-US"/>
        </w:rPr>
        <w:t>issued</w:t>
      </w:r>
      <w:r w:rsidR="005A65CE" w:rsidRPr="003171CD">
        <w:rPr>
          <w:szCs w:val="20"/>
          <w:lang w:val="en-US"/>
        </w:rPr>
        <w:t>:</w:t>
      </w:r>
    </w:p>
    <w:p w14:paraId="0C9AF190" w14:textId="77777777" w:rsidR="005A65CE" w:rsidRPr="003171CD" w:rsidRDefault="005A65CE" w:rsidP="005A65CE">
      <w:pPr>
        <w:pStyle w:val="Prrafodelista"/>
        <w:rPr>
          <w:szCs w:val="20"/>
          <w:lang w:val="en-US"/>
        </w:rPr>
      </w:pPr>
    </w:p>
    <w:p w14:paraId="2F31D577" w14:textId="77777777" w:rsidR="005A65CE" w:rsidRPr="003171CD" w:rsidRDefault="00AF1D9E" w:rsidP="005A65CE">
      <w:pPr>
        <w:pStyle w:val="Prrafodelista"/>
        <w:numPr>
          <w:ilvl w:val="0"/>
          <w:numId w:val="15"/>
        </w:numPr>
        <w:tabs>
          <w:tab w:val="left" w:pos="720"/>
        </w:tabs>
        <w:ind w:right="-90"/>
        <w:jc w:val="both"/>
        <w:rPr>
          <w:szCs w:val="20"/>
          <w:lang w:val="en-US"/>
        </w:rPr>
      </w:pPr>
      <w:r w:rsidRPr="003171CD">
        <w:rPr>
          <w:szCs w:val="20"/>
          <w:lang w:val="en-US"/>
        </w:rPr>
        <w:t xml:space="preserve">Failure to take basic steps for </w:t>
      </w:r>
      <w:r w:rsidR="007268C2" w:rsidRPr="003171CD">
        <w:rPr>
          <w:szCs w:val="20"/>
          <w:lang w:val="en-US"/>
        </w:rPr>
        <w:t xml:space="preserve">the production of </w:t>
      </w:r>
      <w:r w:rsidR="00D02D40" w:rsidRPr="003171CD">
        <w:rPr>
          <w:szCs w:val="20"/>
          <w:lang w:val="en-US"/>
        </w:rPr>
        <w:t>evidence</w:t>
      </w:r>
      <w:r w:rsidR="000E71F6" w:rsidRPr="003171CD">
        <w:rPr>
          <w:szCs w:val="20"/>
          <w:lang w:val="en-US"/>
        </w:rPr>
        <w:t>.</w:t>
      </w:r>
      <w:r w:rsidR="005A65CE" w:rsidRPr="003171CD">
        <w:rPr>
          <w:rStyle w:val="Refdenotaalpie"/>
          <w:lang w:val="en-US"/>
        </w:rPr>
        <w:footnoteReference w:id="236"/>
      </w:r>
    </w:p>
    <w:p w14:paraId="25D6F9E5" w14:textId="77777777" w:rsidR="005A65CE" w:rsidRPr="003171CD" w:rsidRDefault="00D02D40" w:rsidP="005A65CE">
      <w:pPr>
        <w:pStyle w:val="Prrafodelista"/>
        <w:numPr>
          <w:ilvl w:val="0"/>
          <w:numId w:val="15"/>
        </w:numPr>
        <w:tabs>
          <w:tab w:val="left" w:pos="720"/>
        </w:tabs>
        <w:ind w:right="-90"/>
        <w:jc w:val="both"/>
        <w:rPr>
          <w:szCs w:val="20"/>
          <w:lang w:val="en-US"/>
        </w:rPr>
      </w:pPr>
      <w:r w:rsidRPr="003171CD">
        <w:rPr>
          <w:szCs w:val="20"/>
          <w:lang w:val="en-US"/>
        </w:rPr>
        <w:t xml:space="preserve">Procedural inactivity </w:t>
      </w:r>
      <w:r w:rsidR="007268C2" w:rsidRPr="003171CD">
        <w:rPr>
          <w:szCs w:val="20"/>
          <w:lang w:val="en-US"/>
        </w:rPr>
        <w:t xml:space="preserve">to protect </w:t>
      </w:r>
      <w:r w:rsidR="000E71F6" w:rsidRPr="003171CD">
        <w:rPr>
          <w:szCs w:val="20"/>
          <w:lang w:val="en-US"/>
        </w:rPr>
        <w:t>the interest</w:t>
      </w:r>
      <w:r w:rsidR="005A65CE" w:rsidRPr="003171CD">
        <w:rPr>
          <w:szCs w:val="20"/>
          <w:lang w:val="en-US"/>
        </w:rPr>
        <w:t xml:space="preserve">s </w:t>
      </w:r>
      <w:r w:rsidR="000E71F6" w:rsidRPr="003171CD">
        <w:rPr>
          <w:szCs w:val="20"/>
          <w:lang w:val="en-US"/>
        </w:rPr>
        <w:t>of the defendant.</w:t>
      </w:r>
      <w:r w:rsidR="005A65CE" w:rsidRPr="003171CD">
        <w:rPr>
          <w:rStyle w:val="Refdenotaalpie"/>
          <w:lang w:val="en-US"/>
        </w:rPr>
        <w:footnoteReference w:id="237"/>
      </w:r>
    </w:p>
    <w:p w14:paraId="433D7A7E" w14:textId="77777777" w:rsidR="005A65CE" w:rsidRPr="003171CD" w:rsidRDefault="009706A3" w:rsidP="005A65CE">
      <w:pPr>
        <w:pStyle w:val="Prrafodelista"/>
        <w:numPr>
          <w:ilvl w:val="0"/>
          <w:numId w:val="15"/>
        </w:numPr>
        <w:tabs>
          <w:tab w:val="left" w:pos="720"/>
        </w:tabs>
        <w:ind w:right="-90"/>
        <w:jc w:val="both"/>
        <w:rPr>
          <w:szCs w:val="20"/>
          <w:lang w:val="en-US"/>
        </w:rPr>
      </w:pPr>
      <w:r w:rsidRPr="003171CD">
        <w:rPr>
          <w:szCs w:val="20"/>
          <w:lang w:val="en-US"/>
        </w:rPr>
        <w:t>L</w:t>
      </w:r>
      <w:r w:rsidR="005A65CE" w:rsidRPr="003171CD">
        <w:rPr>
          <w:szCs w:val="20"/>
          <w:lang w:val="en-US"/>
        </w:rPr>
        <w:t>a</w:t>
      </w:r>
      <w:r w:rsidRPr="003171CD">
        <w:rPr>
          <w:szCs w:val="20"/>
          <w:lang w:val="en-US"/>
        </w:rPr>
        <w:t>ck</w:t>
      </w:r>
      <w:r w:rsidR="00AF1D9E" w:rsidRPr="003171CD">
        <w:rPr>
          <w:szCs w:val="20"/>
          <w:lang w:val="en-US"/>
        </w:rPr>
        <w:t xml:space="preserve"> of technical legal knowledge </w:t>
      </w:r>
      <w:r w:rsidR="004E1E72" w:rsidRPr="003171CD">
        <w:rPr>
          <w:szCs w:val="20"/>
          <w:lang w:val="en-US"/>
        </w:rPr>
        <w:t xml:space="preserve">of </w:t>
      </w:r>
      <w:r w:rsidR="006D65DA" w:rsidRPr="003171CD">
        <w:rPr>
          <w:szCs w:val="20"/>
          <w:lang w:val="en-US"/>
        </w:rPr>
        <w:t xml:space="preserve">criminal </w:t>
      </w:r>
      <w:r w:rsidR="00AF1D9E" w:rsidRPr="003171CD">
        <w:rPr>
          <w:szCs w:val="20"/>
          <w:lang w:val="en-US"/>
        </w:rPr>
        <w:t>proceedings</w:t>
      </w:r>
      <w:r w:rsidR="005A65CE" w:rsidRPr="003171CD">
        <w:rPr>
          <w:rStyle w:val="Refdenotaalpie"/>
          <w:lang w:val="en-US"/>
        </w:rPr>
        <w:footnoteReference w:id="238"/>
      </w:r>
      <w:r w:rsidR="005A65CE" w:rsidRPr="003171CD">
        <w:rPr>
          <w:szCs w:val="20"/>
          <w:lang w:val="en-US"/>
        </w:rPr>
        <w:t>.</w:t>
      </w:r>
    </w:p>
    <w:p w14:paraId="2891055F" w14:textId="77777777" w:rsidR="005A65CE" w:rsidRPr="003171CD" w:rsidRDefault="00E73994" w:rsidP="005A65CE">
      <w:pPr>
        <w:pStyle w:val="Prrafodelista"/>
        <w:numPr>
          <w:ilvl w:val="0"/>
          <w:numId w:val="15"/>
        </w:numPr>
        <w:tabs>
          <w:tab w:val="left" w:pos="720"/>
        </w:tabs>
        <w:ind w:right="-90"/>
        <w:jc w:val="both"/>
        <w:rPr>
          <w:szCs w:val="20"/>
          <w:lang w:val="en-US"/>
        </w:rPr>
      </w:pPr>
      <w:r w:rsidRPr="003171CD">
        <w:rPr>
          <w:szCs w:val="20"/>
          <w:lang w:val="en-US"/>
        </w:rPr>
        <w:lastRenderedPageBreak/>
        <w:t>Failure to file remedies</w:t>
      </w:r>
      <w:r w:rsidR="00DA73F3" w:rsidRPr="003171CD">
        <w:rPr>
          <w:szCs w:val="20"/>
          <w:lang w:val="en-US"/>
        </w:rPr>
        <w:t xml:space="preserve"> and </w:t>
      </w:r>
      <w:r w:rsidRPr="003171CD">
        <w:rPr>
          <w:szCs w:val="20"/>
          <w:lang w:val="en-US"/>
        </w:rPr>
        <w:t xml:space="preserve">motions to the </w:t>
      </w:r>
      <w:r w:rsidR="005A65CE" w:rsidRPr="003171CD">
        <w:rPr>
          <w:szCs w:val="20"/>
          <w:lang w:val="en-US"/>
        </w:rPr>
        <w:t xml:space="preserve">detriment of the </w:t>
      </w:r>
      <w:r w:rsidR="00834B13" w:rsidRPr="003171CD">
        <w:rPr>
          <w:szCs w:val="20"/>
          <w:lang w:val="en-US"/>
        </w:rPr>
        <w:t>rights</w:t>
      </w:r>
      <w:r w:rsidR="005A65CE" w:rsidRPr="003171CD">
        <w:rPr>
          <w:szCs w:val="20"/>
          <w:lang w:val="en-US"/>
        </w:rPr>
        <w:t xml:space="preserve"> </w:t>
      </w:r>
      <w:r w:rsidR="00B55ACC" w:rsidRPr="003171CD">
        <w:rPr>
          <w:szCs w:val="20"/>
          <w:lang w:val="en-US"/>
        </w:rPr>
        <w:t xml:space="preserve">of the </w:t>
      </w:r>
      <w:r w:rsidR="004E1E72" w:rsidRPr="003171CD">
        <w:rPr>
          <w:szCs w:val="20"/>
          <w:lang w:val="en-US"/>
        </w:rPr>
        <w:t>accused</w:t>
      </w:r>
      <w:r w:rsidR="00B55ACC" w:rsidRPr="003171CD">
        <w:rPr>
          <w:szCs w:val="20"/>
          <w:lang w:val="en-US"/>
        </w:rPr>
        <w:t>.</w:t>
      </w:r>
      <w:r w:rsidR="005A65CE" w:rsidRPr="003171CD">
        <w:rPr>
          <w:rStyle w:val="Refdenotaalpie"/>
          <w:lang w:val="en-US"/>
        </w:rPr>
        <w:footnoteReference w:id="239"/>
      </w:r>
    </w:p>
    <w:p w14:paraId="5E87DFEE" w14:textId="77777777" w:rsidR="005A65CE" w:rsidRPr="003171CD" w:rsidRDefault="005A65CE" w:rsidP="005A65CE">
      <w:pPr>
        <w:pStyle w:val="Prrafodelista"/>
        <w:numPr>
          <w:ilvl w:val="0"/>
          <w:numId w:val="15"/>
        </w:numPr>
        <w:tabs>
          <w:tab w:val="left" w:pos="720"/>
        </w:tabs>
        <w:ind w:right="-90"/>
        <w:jc w:val="both"/>
        <w:rPr>
          <w:szCs w:val="20"/>
          <w:lang w:val="en-US"/>
        </w:rPr>
      </w:pPr>
      <w:r w:rsidRPr="003171CD">
        <w:rPr>
          <w:szCs w:val="20"/>
          <w:lang w:val="en-US"/>
        </w:rPr>
        <w:t>I</w:t>
      </w:r>
      <w:r w:rsidR="002818F7" w:rsidRPr="003171CD">
        <w:rPr>
          <w:szCs w:val="20"/>
          <w:lang w:val="en-US"/>
        </w:rPr>
        <w:t>na</w:t>
      </w:r>
      <w:r w:rsidR="00A45BF3" w:rsidRPr="003171CD">
        <w:rPr>
          <w:szCs w:val="20"/>
          <w:lang w:val="en-US"/>
        </w:rPr>
        <w:t xml:space="preserve">dequate </w:t>
      </w:r>
      <w:r w:rsidR="002E3E48" w:rsidRPr="003171CD">
        <w:rPr>
          <w:szCs w:val="20"/>
          <w:lang w:val="en-US"/>
        </w:rPr>
        <w:t xml:space="preserve">grounds for </w:t>
      </w:r>
      <w:r w:rsidRPr="003171CD">
        <w:rPr>
          <w:szCs w:val="20"/>
          <w:lang w:val="en-US"/>
        </w:rPr>
        <w:t xml:space="preserve">the </w:t>
      </w:r>
      <w:r w:rsidR="004E1E72" w:rsidRPr="003171CD">
        <w:rPr>
          <w:szCs w:val="20"/>
          <w:lang w:val="en-US"/>
        </w:rPr>
        <w:t xml:space="preserve">remedies </w:t>
      </w:r>
      <w:r w:rsidR="00DA73F3" w:rsidRPr="003171CD">
        <w:rPr>
          <w:szCs w:val="20"/>
          <w:lang w:val="en-US"/>
        </w:rPr>
        <w:t>filed.</w:t>
      </w:r>
      <w:r w:rsidRPr="003171CD">
        <w:rPr>
          <w:rStyle w:val="Refdenotaalpie"/>
          <w:lang w:val="en-US"/>
        </w:rPr>
        <w:footnoteReference w:id="240"/>
      </w:r>
    </w:p>
    <w:p w14:paraId="1DA6A62C" w14:textId="77777777" w:rsidR="005A65CE" w:rsidRPr="003171CD" w:rsidRDefault="005A65CE" w:rsidP="005A65CE">
      <w:pPr>
        <w:pStyle w:val="Prrafodelista"/>
        <w:numPr>
          <w:ilvl w:val="0"/>
          <w:numId w:val="15"/>
        </w:numPr>
        <w:tabs>
          <w:tab w:val="left" w:pos="720"/>
        </w:tabs>
        <w:ind w:right="-90"/>
        <w:jc w:val="both"/>
        <w:rPr>
          <w:szCs w:val="20"/>
          <w:lang w:val="en-US"/>
        </w:rPr>
      </w:pPr>
      <w:r w:rsidRPr="003171CD">
        <w:rPr>
          <w:szCs w:val="20"/>
          <w:lang w:val="en-US"/>
        </w:rPr>
        <w:t>Abandon</w:t>
      </w:r>
      <w:r w:rsidR="00B55ACC" w:rsidRPr="003171CD">
        <w:rPr>
          <w:szCs w:val="20"/>
          <w:lang w:val="en-US"/>
        </w:rPr>
        <w:t xml:space="preserve">ment </w:t>
      </w:r>
      <w:r w:rsidRPr="003171CD">
        <w:rPr>
          <w:szCs w:val="20"/>
          <w:lang w:val="en-US"/>
        </w:rPr>
        <w:t>of the defense</w:t>
      </w:r>
      <w:r w:rsidR="00B55ACC" w:rsidRPr="003171CD">
        <w:rPr>
          <w:szCs w:val="20"/>
          <w:lang w:val="en-US"/>
        </w:rPr>
        <w:t>.</w:t>
      </w:r>
      <w:r w:rsidRPr="003171CD">
        <w:rPr>
          <w:rStyle w:val="Refdenotaalpie"/>
          <w:lang w:val="en-US"/>
        </w:rPr>
        <w:footnoteReference w:id="241"/>
      </w:r>
    </w:p>
    <w:p w14:paraId="1D41B15D" w14:textId="77777777" w:rsidR="005A65CE" w:rsidRPr="003171CD" w:rsidRDefault="005A65CE" w:rsidP="005A65CE">
      <w:pPr>
        <w:pStyle w:val="Prrafodelista"/>
        <w:tabs>
          <w:tab w:val="left" w:pos="720"/>
        </w:tabs>
        <w:ind w:right="-90"/>
        <w:jc w:val="both"/>
        <w:rPr>
          <w:b/>
          <w:szCs w:val="20"/>
          <w:lang w:val="en-US"/>
        </w:rPr>
      </w:pPr>
    </w:p>
    <w:p w14:paraId="7C3E0C48" w14:textId="77777777" w:rsidR="005A65CE" w:rsidRPr="003171CD" w:rsidRDefault="009706A3" w:rsidP="005A65CE">
      <w:pPr>
        <w:pStyle w:val="Prrafodelista"/>
        <w:numPr>
          <w:ilvl w:val="0"/>
          <w:numId w:val="1"/>
        </w:numPr>
        <w:tabs>
          <w:tab w:val="left" w:pos="720"/>
        </w:tabs>
        <w:ind w:right="-90"/>
        <w:jc w:val="both"/>
        <w:rPr>
          <w:lang w:val="en-US"/>
        </w:rPr>
      </w:pPr>
      <w:r w:rsidRPr="003171CD">
        <w:rPr>
          <w:lang w:val="en-US"/>
        </w:rPr>
        <w:t>I</w:t>
      </w:r>
      <w:r w:rsidR="005A65CE" w:rsidRPr="003171CD">
        <w:rPr>
          <w:lang w:val="en-US"/>
        </w:rPr>
        <w:t xml:space="preserve">n the </w:t>
      </w:r>
      <w:r w:rsidRPr="003171CD">
        <w:rPr>
          <w:lang w:val="en-US"/>
        </w:rPr>
        <w:t xml:space="preserve">instant </w:t>
      </w:r>
      <w:r w:rsidR="005A65CE" w:rsidRPr="003171CD">
        <w:rPr>
          <w:lang w:val="en-US"/>
        </w:rPr>
        <w:t xml:space="preserve">case, </w:t>
      </w:r>
      <w:r w:rsidR="00BD7473" w:rsidRPr="003171CD">
        <w:rPr>
          <w:lang w:val="en-US"/>
        </w:rPr>
        <w:t xml:space="preserve">in assessing </w:t>
      </w:r>
      <w:r w:rsidR="005A65CE" w:rsidRPr="003171CD">
        <w:rPr>
          <w:lang w:val="en-US"/>
        </w:rPr>
        <w:t>the act</w:t>
      </w:r>
      <w:r w:rsidRPr="003171CD">
        <w:rPr>
          <w:lang w:val="en-US"/>
        </w:rPr>
        <w:t xml:space="preserve">ions </w:t>
      </w:r>
      <w:r w:rsidR="005A65CE" w:rsidRPr="003171CD">
        <w:rPr>
          <w:lang w:val="en-US"/>
        </w:rPr>
        <w:t>of the public defense</w:t>
      </w:r>
      <w:r w:rsidR="00BD7473" w:rsidRPr="003171CD">
        <w:rPr>
          <w:lang w:val="en-US"/>
        </w:rPr>
        <w:t xml:space="preserve"> as a whole</w:t>
      </w:r>
      <w:r w:rsidR="005A65CE" w:rsidRPr="003171CD">
        <w:rPr>
          <w:lang w:val="en-US"/>
        </w:rPr>
        <w:t xml:space="preserve">, the Court </w:t>
      </w:r>
      <w:r w:rsidR="00A45BF3" w:rsidRPr="003171CD">
        <w:rPr>
          <w:lang w:val="en-US"/>
        </w:rPr>
        <w:t xml:space="preserve">notes </w:t>
      </w:r>
      <w:r w:rsidR="005A65CE" w:rsidRPr="003171CD">
        <w:rPr>
          <w:lang w:val="en-US"/>
        </w:rPr>
        <w:t>that t</w:t>
      </w:r>
      <w:r w:rsidRPr="003171CD">
        <w:rPr>
          <w:lang w:val="en-US"/>
        </w:rPr>
        <w:t xml:space="preserve">he defense team </w:t>
      </w:r>
      <w:r w:rsidR="00A45BF3" w:rsidRPr="003171CD">
        <w:rPr>
          <w:lang w:val="en-US"/>
        </w:rPr>
        <w:t xml:space="preserve">representing </w:t>
      </w:r>
      <w:r w:rsidR="00821AEF" w:rsidRPr="003171CD">
        <w:rPr>
          <w:lang w:val="en-US"/>
        </w:rPr>
        <w:t>Mr.</w:t>
      </w:r>
      <w:r w:rsidR="005A65CE" w:rsidRPr="003171CD">
        <w:rPr>
          <w:lang w:val="en-US"/>
        </w:rPr>
        <w:t xml:space="preserve"> Ruano Torres </w:t>
      </w:r>
      <w:r w:rsidRPr="003171CD">
        <w:rPr>
          <w:lang w:val="en-US"/>
        </w:rPr>
        <w:t>did not request</w:t>
      </w:r>
      <w:r w:rsidR="005A65CE" w:rsidRPr="003171CD">
        <w:rPr>
          <w:lang w:val="en-US"/>
        </w:rPr>
        <w:t xml:space="preserve"> the </w:t>
      </w:r>
      <w:r w:rsidRPr="003171CD">
        <w:rPr>
          <w:lang w:val="en-US"/>
        </w:rPr>
        <w:t xml:space="preserve">annulment of </w:t>
      </w:r>
      <w:r w:rsidR="00BD7473" w:rsidRPr="003171CD">
        <w:rPr>
          <w:lang w:val="en-US"/>
        </w:rPr>
        <w:t xml:space="preserve">the </w:t>
      </w:r>
      <w:r w:rsidR="00664DD4" w:rsidRPr="003171CD">
        <w:rPr>
          <w:lang w:val="en-US"/>
        </w:rPr>
        <w:t>identity parade</w:t>
      </w:r>
      <w:r w:rsidR="00BD7473" w:rsidRPr="003171CD">
        <w:rPr>
          <w:lang w:val="en-US"/>
        </w:rPr>
        <w:t xml:space="preserve"> in light of the </w:t>
      </w:r>
      <w:r w:rsidR="005A65CE" w:rsidRPr="003171CD">
        <w:rPr>
          <w:lang w:val="en-US"/>
        </w:rPr>
        <w:t xml:space="preserve">irregularities that </w:t>
      </w:r>
      <w:r w:rsidR="00E73994" w:rsidRPr="003171CD">
        <w:rPr>
          <w:lang w:val="en-US"/>
        </w:rPr>
        <w:t xml:space="preserve">allegedly occurred, according to </w:t>
      </w:r>
      <w:r w:rsidR="005A65CE" w:rsidRPr="003171CD">
        <w:rPr>
          <w:lang w:val="en-US"/>
        </w:rPr>
        <w:t xml:space="preserve">the </w:t>
      </w:r>
      <w:r w:rsidR="00B165B0" w:rsidRPr="003171CD">
        <w:rPr>
          <w:lang w:val="en-US"/>
        </w:rPr>
        <w:t>accused</w:t>
      </w:r>
      <w:r w:rsidR="005A65CE" w:rsidRPr="003171CD">
        <w:rPr>
          <w:lang w:val="en-US"/>
        </w:rPr>
        <w:t xml:space="preserve"> </w:t>
      </w:r>
      <w:r w:rsidR="00E73994" w:rsidRPr="003171CD">
        <w:rPr>
          <w:lang w:val="en-US"/>
        </w:rPr>
        <w:t xml:space="preserve">himself </w:t>
      </w:r>
      <w:r w:rsidR="005A65CE" w:rsidRPr="003171CD">
        <w:rPr>
          <w:lang w:val="en-US"/>
        </w:rPr>
        <w:t>and other persons</w:t>
      </w:r>
      <w:r w:rsidRPr="003171CD">
        <w:rPr>
          <w:lang w:val="en-US"/>
        </w:rPr>
        <w:t>,</w:t>
      </w:r>
      <w:r w:rsidR="005A65CE" w:rsidRPr="003171CD">
        <w:rPr>
          <w:rStyle w:val="Refdenotaalpie"/>
          <w:lang w:val="en-US"/>
        </w:rPr>
        <w:footnoteReference w:id="242"/>
      </w:r>
      <w:r w:rsidR="005A65CE" w:rsidRPr="003171CD">
        <w:rPr>
          <w:lang w:val="en-US"/>
        </w:rPr>
        <w:t xml:space="preserve"> a</w:t>
      </w:r>
      <w:r w:rsidR="00BD7473" w:rsidRPr="003171CD">
        <w:rPr>
          <w:lang w:val="en-US"/>
        </w:rPr>
        <w:t xml:space="preserve">nd </w:t>
      </w:r>
      <w:r w:rsidR="00A45BF3" w:rsidRPr="003171CD">
        <w:rPr>
          <w:lang w:val="en-US"/>
        </w:rPr>
        <w:t xml:space="preserve">based on the fact that </w:t>
      </w:r>
      <w:r w:rsidR="005A65CE" w:rsidRPr="003171CD">
        <w:rPr>
          <w:lang w:val="en-US"/>
        </w:rPr>
        <w:t xml:space="preserve">the victim </w:t>
      </w:r>
      <w:r w:rsidR="00BD7473" w:rsidRPr="003171CD">
        <w:rPr>
          <w:lang w:val="en-US"/>
        </w:rPr>
        <w:t xml:space="preserve">of the </w:t>
      </w:r>
      <w:r w:rsidR="005A65CE" w:rsidRPr="003171CD">
        <w:rPr>
          <w:lang w:val="en-US"/>
        </w:rPr>
        <w:t>crime ha</w:t>
      </w:r>
      <w:r w:rsidR="00BD7473" w:rsidRPr="003171CD">
        <w:rPr>
          <w:lang w:val="en-US"/>
        </w:rPr>
        <w:t xml:space="preserve">d seen </w:t>
      </w:r>
      <w:r w:rsidR="00A45BF3" w:rsidRPr="003171CD">
        <w:rPr>
          <w:lang w:val="en-US"/>
        </w:rPr>
        <w:t xml:space="preserve">pictures of </w:t>
      </w:r>
      <w:r w:rsidR="005A65CE" w:rsidRPr="003171CD">
        <w:rPr>
          <w:lang w:val="en-US"/>
        </w:rPr>
        <w:t>the det</w:t>
      </w:r>
      <w:r w:rsidR="00BD7473" w:rsidRPr="003171CD">
        <w:rPr>
          <w:lang w:val="en-US"/>
        </w:rPr>
        <w:t xml:space="preserve">ainees </w:t>
      </w:r>
      <w:r w:rsidR="005A65CE" w:rsidRPr="003171CD">
        <w:rPr>
          <w:lang w:val="en-US"/>
        </w:rPr>
        <w:t xml:space="preserve">in the </w:t>
      </w:r>
      <w:r w:rsidR="00BD7473" w:rsidRPr="003171CD">
        <w:rPr>
          <w:lang w:val="en-US"/>
        </w:rPr>
        <w:t>media</w:t>
      </w:r>
      <w:r w:rsidR="005A65CE" w:rsidRPr="003171CD">
        <w:rPr>
          <w:lang w:val="en-US"/>
        </w:rPr>
        <w:t xml:space="preserve"> </w:t>
      </w:r>
      <w:r w:rsidR="005A65CE" w:rsidRPr="003171CD">
        <w:rPr>
          <w:rFonts w:eastAsiaTheme="minorHAnsi"/>
          <w:lang w:val="en-US"/>
        </w:rPr>
        <w:t>(</w:t>
      </w:r>
      <w:r w:rsidR="005A65CE" w:rsidRPr="003171CD">
        <w:rPr>
          <w:rFonts w:eastAsiaTheme="minorHAnsi"/>
          <w:i/>
          <w:lang w:val="en-US"/>
        </w:rPr>
        <w:t>supra</w:t>
      </w:r>
      <w:r w:rsidR="005A65CE" w:rsidRPr="003171CD">
        <w:rPr>
          <w:rFonts w:eastAsiaTheme="minorHAnsi"/>
          <w:lang w:val="en-US"/>
        </w:rPr>
        <w:t xml:space="preserve"> para. 113)</w:t>
      </w:r>
      <w:r w:rsidR="005A65CE" w:rsidRPr="003171CD">
        <w:rPr>
          <w:lang w:val="en-US"/>
        </w:rPr>
        <w:t xml:space="preserve">. </w:t>
      </w:r>
      <w:r w:rsidR="00BD7473" w:rsidRPr="003171CD">
        <w:rPr>
          <w:lang w:val="en-US"/>
        </w:rPr>
        <w:t>Thus</w:t>
      </w:r>
      <w:r w:rsidR="005A65CE" w:rsidRPr="003171CD">
        <w:rPr>
          <w:lang w:val="en-US"/>
        </w:rPr>
        <w:t xml:space="preserve">, the </w:t>
      </w:r>
      <w:r w:rsidR="00BD7473" w:rsidRPr="003171CD">
        <w:rPr>
          <w:lang w:val="en-US"/>
        </w:rPr>
        <w:t xml:space="preserve">positive </w:t>
      </w:r>
      <w:r w:rsidR="005A65CE" w:rsidRPr="003171CD">
        <w:rPr>
          <w:lang w:val="en-US"/>
        </w:rPr>
        <w:t xml:space="preserve">identification of José Agapito Ruano Torres </w:t>
      </w:r>
      <w:r w:rsidR="00BD7473" w:rsidRPr="003171CD">
        <w:rPr>
          <w:lang w:val="en-US"/>
        </w:rPr>
        <w:t xml:space="preserve">as one of </w:t>
      </w:r>
      <w:r w:rsidR="005A65CE" w:rsidRPr="003171CD">
        <w:rPr>
          <w:lang w:val="en-US"/>
        </w:rPr>
        <w:t>the part</w:t>
      </w:r>
      <w:r w:rsidR="00BD7473" w:rsidRPr="003171CD">
        <w:rPr>
          <w:lang w:val="en-US"/>
        </w:rPr>
        <w:t xml:space="preserve">icipants in the crime </w:t>
      </w:r>
      <w:r w:rsidR="005A65CE" w:rsidRPr="003171CD">
        <w:rPr>
          <w:lang w:val="en-US"/>
        </w:rPr>
        <w:t xml:space="preserve">during the </w:t>
      </w:r>
      <w:r w:rsidR="00664DD4" w:rsidRPr="003171CD">
        <w:rPr>
          <w:lang w:val="en-US"/>
        </w:rPr>
        <w:t>identity parade</w:t>
      </w:r>
      <w:r w:rsidR="005A65CE" w:rsidRPr="003171CD">
        <w:rPr>
          <w:lang w:val="en-US"/>
        </w:rPr>
        <w:t xml:space="preserve"> </w:t>
      </w:r>
      <w:r w:rsidR="00BD7473" w:rsidRPr="003171CD">
        <w:rPr>
          <w:lang w:val="en-US"/>
        </w:rPr>
        <w:t>and at</w:t>
      </w:r>
      <w:r w:rsidR="005A65CE" w:rsidRPr="003171CD">
        <w:rPr>
          <w:lang w:val="en-US"/>
        </w:rPr>
        <w:t xml:space="preserve"> the public hearing </w:t>
      </w:r>
      <w:r w:rsidR="00BD7473" w:rsidRPr="003171CD">
        <w:rPr>
          <w:lang w:val="en-US"/>
        </w:rPr>
        <w:t xml:space="preserve">became </w:t>
      </w:r>
      <w:r w:rsidR="005C35A3" w:rsidRPr="003171CD">
        <w:rPr>
          <w:lang w:val="en-US"/>
        </w:rPr>
        <w:t>the main basis for his</w:t>
      </w:r>
      <w:r w:rsidR="005A65CE" w:rsidRPr="003171CD">
        <w:rPr>
          <w:lang w:val="en-US"/>
        </w:rPr>
        <w:t xml:space="preserve"> </w:t>
      </w:r>
      <w:r w:rsidR="009656AE" w:rsidRPr="003171CD">
        <w:rPr>
          <w:lang w:val="en-US"/>
        </w:rPr>
        <w:t>conviction</w:t>
      </w:r>
      <w:r w:rsidR="005A65CE" w:rsidRPr="003171CD">
        <w:rPr>
          <w:lang w:val="en-US"/>
        </w:rPr>
        <w:t xml:space="preserve">. </w:t>
      </w:r>
      <w:r w:rsidR="00FD2D43" w:rsidRPr="003171CD">
        <w:rPr>
          <w:lang w:val="en-US"/>
        </w:rPr>
        <w:t>Furthermore</w:t>
      </w:r>
      <w:r w:rsidR="005A65CE" w:rsidRPr="003171CD">
        <w:rPr>
          <w:lang w:val="en-US"/>
        </w:rPr>
        <w:t xml:space="preserve">, the public defense </w:t>
      </w:r>
      <w:r w:rsidR="0095201F" w:rsidRPr="003171CD">
        <w:rPr>
          <w:lang w:val="en-US"/>
        </w:rPr>
        <w:t xml:space="preserve">attorney </w:t>
      </w:r>
      <w:r w:rsidR="00031425" w:rsidRPr="003171CD">
        <w:rPr>
          <w:lang w:val="en-US"/>
        </w:rPr>
        <w:t xml:space="preserve">did not file any motions </w:t>
      </w:r>
      <w:r w:rsidR="00A45BF3" w:rsidRPr="003171CD">
        <w:rPr>
          <w:lang w:val="en-US"/>
        </w:rPr>
        <w:t xml:space="preserve">for </w:t>
      </w:r>
      <w:r w:rsidR="005A65CE" w:rsidRPr="003171CD">
        <w:rPr>
          <w:lang w:val="en-US"/>
        </w:rPr>
        <w:t xml:space="preserve">the </w:t>
      </w:r>
      <w:r w:rsidR="00A45BF3" w:rsidRPr="003171CD">
        <w:rPr>
          <w:lang w:val="en-US"/>
        </w:rPr>
        <w:t xml:space="preserve">conviction to be reviewed </w:t>
      </w:r>
      <w:r w:rsidR="005A65CE" w:rsidRPr="003171CD">
        <w:rPr>
          <w:lang w:val="en-US"/>
        </w:rPr>
        <w:t>(</w:t>
      </w:r>
      <w:r w:rsidR="005A65CE" w:rsidRPr="003171CD">
        <w:rPr>
          <w:i/>
          <w:lang w:val="en-US"/>
        </w:rPr>
        <w:t xml:space="preserve">supra </w:t>
      </w:r>
      <w:r w:rsidR="0095201F" w:rsidRPr="003171CD">
        <w:rPr>
          <w:lang w:val="en-US"/>
        </w:rPr>
        <w:t>para. 93)</w:t>
      </w:r>
      <w:r w:rsidR="005A65CE" w:rsidRPr="003171CD">
        <w:rPr>
          <w:lang w:val="en-US"/>
        </w:rPr>
        <w:t xml:space="preserve"> </w:t>
      </w:r>
      <w:r w:rsidR="0095201F" w:rsidRPr="003171CD">
        <w:rPr>
          <w:lang w:val="en-US"/>
        </w:rPr>
        <w:t>by a different and</w:t>
      </w:r>
      <w:r w:rsidR="00AE3068" w:rsidRPr="003171CD">
        <w:rPr>
          <w:lang w:val="en-US"/>
        </w:rPr>
        <w:t xml:space="preserve"> higher judge or court</w:t>
      </w:r>
      <w:r w:rsidR="002C4A91" w:rsidRPr="003171CD">
        <w:rPr>
          <w:lang w:val="en-US"/>
        </w:rPr>
        <w:t xml:space="preserve"> </w:t>
      </w:r>
      <w:r w:rsidR="00AE3068" w:rsidRPr="003171CD">
        <w:rPr>
          <w:lang w:val="en-US"/>
        </w:rPr>
        <w:t xml:space="preserve">to the one </w:t>
      </w:r>
      <w:r w:rsidR="002C4A91" w:rsidRPr="003171CD">
        <w:rPr>
          <w:lang w:val="en-US"/>
        </w:rPr>
        <w:t xml:space="preserve">that </w:t>
      </w:r>
      <w:r w:rsidR="005C35A3" w:rsidRPr="003171CD">
        <w:rPr>
          <w:lang w:val="en-US"/>
        </w:rPr>
        <w:lastRenderedPageBreak/>
        <w:t xml:space="preserve">delivered that </w:t>
      </w:r>
      <w:r w:rsidR="00A45BF3" w:rsidRPr="003171CD">
        <w:rPr>
          <w:lang w:val="en-US"/>
        </w:rPr>
        <w:t>judgment</w:t>
      </w:r>
      <w:r w:rsidR="00E427CD" w:rsidRPr="003171CD">
        <w:rPr>
          <w:lang w:val="en-US"/>
        </w:rPr>
        <w:t>.</w:t>
      </w:r>
      <w:r w:rsidR="005A65CE" w:rsidRPr="003171CD">
        <w:rPr>
          <w:vertAlign w:val="superscript"/>
          <w:lang w:val="en-US"/>
        </w:rPr>
        <w:footnoteReference w:id="243"/>
      </w:r>
      <w:r w:rsidR="00E427CD" w:rsidRPr="003171CD">
        <w:rPr>
          <w:lang w:val="en-US"/>
        </w:rPr>
        <w:t xml:space="preserve"> </w:t>
      </w:r>
      <w:r w:rsidR="007A4356" w:rsidRPr="003171CD">
        <w:rPr>
          <w:lang w:val="en-US"/>
        </w:rPr>
        <w:t>This would have made it possible to obtain a two-st</w:t>
      </w:r>
      <w:r w:rsidR="003073C1" w:rsidRPr="003171CD">
        <w:rPr>
          <w:lang w:val="en-US"/>
        </w:rPr>
        <w:t xml:space="preserve">age judicial ruling, </w:t>
      </w:r>
      <w:r w:rsidR="0095201F" w:rsidRPr="003171CD">
        <w:rPr>
          <w:lang w:val="en-US"/>
        </w:rPr>
        <w:t>since</w:t>
      </w:r>
      <w:r w:rsidR="003073C1" w:rsidRPr="003171CD">
        <w:rPr>
          <w:lang w:val="en-US"/>
        </w:rPr>
        <w:t xml:space="preserve"> a</w:t>
      </w:r>
      <w:r w:rsidR="007A4356" w:rsidRPr="003171CD">
        <w:rPr>
          <w:lang w:val="en-US"/>
        </w:rPr>
        <w:t xml:space="preserve"> comprehensive review of the judgment </w:t>
      </w:r>
      <w:r w:rsidR="00A45BF3" w:rsidRPr="003171CD">
        <w:rPr>
          <w:lang w:val="en-US"/>
        </w:rPr>
        <w:t xml:space="preserve">serves to confirm the </w:t>
      </w:r>
      <w:r w:rsidR="007A4356" w:rsidRPr="003171CD">
        <w:rPr>
          <w:lang w:val="en-US"/>
        </w:rPr>
        <w:t xml:space="preserve">reasoning and </w:t>
      </w:r>
      <w:r w:rsidR="00A45BF3" w:rsidRPr="003171CD">
        <w:rPr>
          <w:lang w:val="en-US"/>
        </w:rPr>
        <w:t xml:space="preserve">gives greater credibility to </w:t>
      </w:r>
      <w:r w:rsidR="007A4356" w:rsidRPr="003171CD">
        <w:rPr>
          <w:lang w:val="en-US"/>
        </w:rPr>
        <w:t xml:space="preserve">the State’s jurisdictional action, while providing greater security and protection to the rights of the </w:t>
      </w:r>
      <w:r w:rsidR="00A45BF3" w:rsidRPr="003171CD">
        <w:rPr>
          <w:lang w:val="en-US"/>
        </w:rPr>
        <w:t xml:space="preserve">convicted </w:t>
      </w:r>
      <w:r w:rsidR="007A4356" w:rsidRPr="003171CD">
        <w:rPr>
          <w:lang w:val="en-US"/>
        </w:rPr>
        <w:t>person</w:t>
      </w:r>
      <w:r w:rsidR="000A164F" w:rsidRPr="003171CD">
        <w:rPr>
          <w:lang w:val="en-US"/>
        </w:rPr>
        <w:t>.</w:t>
      </w:r>
      <w:r w:rsidR="005A65CE" w:rsidRPr="003171CD">
        <w:rPr>
          <w:rStyle w:val="Refdenotaalpie"/>
          <w:lang w:val="en-US"/>
        </w:rPr>
        <w:footnoteReference w:id="244"/>
      </w:r>
      <w:r w:rsidR="000A164F" w:rsidRPr="003171CD">
        <w:rPr>
          <w:lang w:val="en-US"/>
        </w:rPr>
        <w:t xml:space="preserve"> I</w:t>
      </w:r>
      <w:r w:rsidR="002C4A91" w:rsidRPr="003171CD">
        <w:rPr>
          <w:lang w:val="en-US"/>
        </w:rPr>
        <w:t xml:space="preserve">n this </w:t>
      </w:r>
      <w:r w:rsidR="007A4356" w:rsidRPr="003171CD">
        <w:rPr>
          <w:lang w:val="en-US"/>
        </w:rPr>
        <w:t>regard</w:t>
      </w:r>
      <w:r w:rsidR="005A65CE" w:rsidRPr="003171CD">
        <w:rPr>
          <w:lang w:val="en-US"/>
        </w:rPr>
        <w:t xml:space="preserve">, the Court </w:t>
      </w:r>
      <w:r w:rsidR="007A4356" w:rsidRPr="003171CD">
        <w:rPr>
          <w:lang w:val="en-US"/>
        </w:rPr>
        <w:t xml:space="preserve">emphasizes </w:t>
      </w:r>
      <w:r w:rsidR="005A65CE" w:rsidRPr="003171CD">
        <w:rPr>
          <w:lang w:val="en-US"/>
        </w:rPr>
        <w:t xml:space="preserve">that </w:t>
      </w:r>
      <w:r w:rsidR="00031425" w:rsidRPr="003171CD">
        <w:rPr>
          <w:lang w:val="en-US"/>
        </w:rPr>
        <w:t xml:space="preserve">such </w:t>
      </w:r>
      <w:r w:rsidR="0095201F" w:rsidRPr="003171CD">
        <w:rPr>
          <w:lang w:val="en-US"/>
        </w:rPr>
        <w:t xml:space="preserve">an </w:t>
      </w:r>
      <w:r w:rsidR="00B55ACC" w:rsidRPr="003171CD">
        <w:rPr>
          <w:lang w:val="en-US"/>
        </w:rPr>
        <w:t>omission</w:t>
      </w:r>
      <w:r w:rsidR="005A65CE" w:rsidRPr="003171CD">
        <w:rPr>
          <w:lang w:val="en-US"/>
        </w:rPr>
        <w:t xml:space="preserve"> </w:t>
      </w:r>
      <w:r w:rsidR="00971225" w:rsidRPr="003171CD">
        <w:rPr>
          <w:lang w:val="en-US"/>
        </w:rPr>
        <w:t>cannot be remedied</w:t>
      </w:r>
      <w:r w:rsidR="005A65CE" w:rsidRPr="003171CD">
        <w:rPr>
          <w:lang w:val="en-US"/>
        </w:rPr>
        <w:t xml:space="preserve"> by </w:t>
      </w:r>
      <w:r w:rsidR="003073C1" w:rsidRPr="003171CD">
        <w:rPr>
          <w:lang w:val="en-US"/>
        </w:rPr>
        <w:t>filing a motion to</w:t>
      </w:r>
      <w:r w:rsidR="001011A8" w:rsidRPr="003171CD">
        <w:rPr>
          <w:lang w:val="en-US"/>
        </w:rPr>
        <w:t xml:space="preserve"> review</w:t>
      </w:r>
      <w:r w:rsidR="005A65CE" w:rsidRPr="003171CD">
        <w:rPr>
          <w:lang w:val="en-US"/>
        </w:rPr>
        <w:t xml:space="preserve"> </w:t>
      </w:r>
      <w:r w:rsidR="00031425" w:rsidRPr="003171CD">
        <w:rPr>
          <w:lang w:val="en-US"/>
        </w:rPr>
        <w:t xml:space="preserve">once </w:t>
      </w:r>
      <w:r w:rsidR="005A65CE" w:rsidRPr="003171CD">
        <w:rPr>
          <w:lang w:val="en-US"/>
        </w:rPr>
        <w:t xml:space="preserve">the judgment </w:t>
      </w:r>
      <w:r w:rsidR="005149ED" w:rsidRPr="003171CD">
        <w:rPr>
          <w:lang w:val="en-US"/>
        </w:rPr>
        <w:t>h</w:t>
      </w:r>
      <w:r w:rsidR="00031425" w:rsidRPr="003171CD">
        <w:rPr>
          <w:lang w:val="en-US"/>
        </w:rPr>
        <w:t xml:space="preserve">as </w:t>
      </w:r>
      <w:r w:rsidR="005149ED" w:rsidRPr="003171CD">
        <w:rPr>
          <w:lang w:val="en-US"/>
        </w:rPr>
        <w:t xml:space="preserve">been </w:t>
      </w:r>
      <w:r w:rsidR="00031425" w:rsidRPr="003171CD">
        <w:rPr>
          <w:lang w:val="en-US"/>
        </w:rPr>
        <w:t>made final</w:t>
      </w:r>
      <w:r w:rsidR="005A65CE" w:rsidRPr="003171CD">
        <w:rPr>
          <w:lang w:val="en-US"/>
        </w:rPr>
        <w:t xml:space="preserve">, </w:t>
      </w:r>
      <w:r w:rsidR="00CD7E32" w:rsidRPr="003171CD">
        <w:rPr>
          <w:lang w:val="en-US"/>
        </w:rPr>
        <w:t xml:space="preserve">which has </w:t>
      </w:r>
      <w:r w:rsidR="00B92421" w:rsidRPr="003171CD">
        <w:rPr>
          <w:lang w:val="en-US"/>
        </w:rPr>
        <w:t xml:space="preserve">specific </w:t>
      </w:r>
      <w:r w:rsidR="005A65CE" w:rsidRPr="003171CD">
        <w:rPr>
          <w:lang w:val="en-US"/>
        </w:rPr>
        <w:t>caus</w:t>
      </w:r>
      <w:r w:rsidR="00CD7E32" w:rsidRPr="003171CD">
        <w:rPr>
          <w:lang w:val="en-US"/>
        </w:rPr>
        <w:t>es</w:t>
      </w:r>
      <w:r w:rsidR="008C2312" w:rsidRPr="003171CD">
        <w:rPr>
          <w:lang w:val="en-US"/>
        </w:rPr>
        <w:t xml:space="preserve"> </w:t>
      </w:r>
      <w:r w:rsidR="005A65CE" w:rsidRPr="003171CD">
        <w:rPr>
          <w:lang w:val="en-US"/>
        </w:rPr>
        <w:t xml:space="preserve">and is </w:t>
      </w:r>
      <w:r w:rsidR="000A164F" w:rsidRPr="003171CD">
        <w:rPr>
          <w:lang w:val="en-US"/>
        </w:rPr>
        <w:t xml:space="preserve">decided </w:t>
      </w:r>
      <w:r w:rsidR="005A65CE" w:rsidRPr="003171CD">
        <w:rPr>
          <w:lang w:val="en-US"/>
        </w:rPr>
        <w:t xml:space="preserve">by the </w:t>
      </w:r>
      <w:r w:rsidR="000A164F" w:rsidRPr="003171CD">
        <w:rPr>
          <w:lang w:val="en-US"/>
        </w:rPr>
        <w:t xml:space="preserve">same </w:t>
      </w:r>
      <w:r w:rsidR="005A65CE" w:rsidRPr="003171CD">
        <w:rPr>
          <w:lang w:val="en-US"/>
        </w:rPr>
        <w:t xml:space="preserve">Court that </w:t>
      </w:r>
      <w:r w:rsidR="000A164F" w:rsidRPr="003171CD">
        <w:rPr>
          <w:lang w:val="en-US"/>
        </w:rPr>
        <w:t xml:space="preserve">delivered </w:t>
      </w:r>
      <w:r w:rsidR="005A65CE" w:rsidRPr="003171CD">
        <w:rPr>
          <w:lang w:val="en-US"/>
        </w:rPr>
        <w:t xml:space="preserve">the judgment. </w:t>
      </w:r>
      <w:r w:rsidR="00B71F05" w:rsidRPr="003171CD">
        <w:rPr>
          <w:lang w:val="en-US"/>
        </w:rPr>
        <w:t>I</w:t>
      </w:r>
      <w:r w:rsidR="005A65CE" w:rsidRPr="003171CD">
        <w:rPr>
          <w:lang w:val="en-US"/>
        </w:rPr>
        <w:t>n th</w:t>
      </w:r>
      <w:r w:rsidR="002C4A91" w:rsidRPr="003171CD">
        <w:rPr>
          <w:lang w:val="en-US"/>
        </w:rPr>
        <w:t xml:space="preserve">is </w:t>
      </w:r>
      <w:r w:rsidR="005A65CE" w:rsidRPr="003171CD">
        <w:rPr>
          <w:lang w:val="en-US"/>
        </w:rPr>
        <w:t xml:space="preserve">case </w:t>
      </w:r>
      <w:r w:rsidR="00B71F05" w:rsidRPr="003171CD">
        <w:rPr>
          <w:lang w:val="en-US"/>
        </w:rPr>
        <w:t xml:space="preserve">it was obvious </w:t>
      </w:r>
      <w:r w:rsidR="005A65CE" w:rsidRPr="003171CD">
        <w:rPr>
          <w:lang w:val="en-US"/>
        </w:rPr>
        <w:t xml:space="preserve">that </w:t>
      </w:r>
      <w:r w:rsidR="00B71F05" w:rsidRPr="003171CD">
        <w:rPr>
          <w:lang w:val="en-US"/>
        </w:rPr>
        <w:t xml:space="preserve">such </w:t>
      </w:r>
      <w:r w:rsidR="005A65CE" w:rsidRPr="003171CD">
        <w:rPr>
          <w:lang w:val="en-US"/>
        </w:rPr>
        <w:t>o</w:t>
      </w:r>
      <w:r w:rsidR="001418A2" w:rsidRPr="003171CD">
        <w:rPr>
          <w:lang w:val="en-US"/>
        </w:rPr>
        <w:t>missions</w:t>
      </w:r>
      <w:r w:rsidR="00B71F05" w:rsidRPr="003171CD">
        <w:rPr>
          <w:lang w:val="en-US"/>
        </w:rPr>
        <w:t>,</w:t>
      </w:r>
      <w:r w:rsidR="001418A2" w:rsidRPr="003171CD">
        <w:rPr>
          <w:lang w:val="en-US"/>
        </w:rPr>
        <w:t xml:space="preserve"> </w:t>
      </w:r>
      <w:r w:rsidR="00B71F05" w:rsidRPr="003171CD">
        <w:rPr>
          <w:lang w:val="en-US"/>
        </w:rPr>
        <w:t xml:space="preserve">far from </w:t>
      </w:r>
      <w:r w:rsidR="002C4A91" w:rsidRPr="003171CD">
        <w:rPr>
          <w:lang w:val="en-US"/>
        </w:rPr>
        <w:t xml:space="preserve">being </w:t>
      </w:r>
      <w:r w:rsidR="001418A2" w:rsidRPr="003171CD">
        <w:rPr>
          <w:lang w:val="en-US"/>
        </w:rPr>
        <w:t xml:space="preserve">a </w:t>
      </w:r>
      <w:r w:rsidR="005A65CE" w:rsidRPr="003171CD">
        <w:rPr>
          <w:lang w:val="en-US"/>
        </w:rPr>
        <w:t xml:space="preserve">defense </w:t>
      </w:r>
      <w:r w:rsidR="001418A2" w:rsidRPr="003171CD">
        <w:rPr>
          <w:lang w:val="en-US"/>
        </w:rPr>
        <w:t xml:space="preserve">strategy </w:t>
      </w:r>
      <w:r w:rsidR="002C4A91" w:rsidRPr="003171CD">
        <w:rPr>
          <w:lang w:val="en-US"/>
        </w:rPr>
        <w:t xml:space="preserve">that </w:t>
      </w:r>
      <w:r w:rsidR="005A65CE" w:rsidRPr="003171CD">
        <w:rPr>
          <w:lang w:val="en-US"/>
        </w:rPr>
        <w:t>favor</w:t>
      </w:r>
      <w:r w:rsidR="002C4A91" w:rsidRPr="003171CD">
        <w:rPr>
          <w:lang w:val="en-US"/>
        </w:rPr>
        <w:t>ed</w:t>
      </w:r>
      <w:r w:rsidR="00B71F05" w:rsidRPr="003171CD">
        <w:rPr>
          <w:lang w:val="en-US"/>
        </w:rPr>
        <w:t xml:space="preserve"> the </w:t>
      </w:r>
      <w:r w:rsidR="00B165B0" w:rsidRPr="003171CD">
        <w:rPr>
          <w:lang w:val="en-US"/>
        </w:rPr>
        <w:t>accused</w:t>
      </w:r>
      <w:r w:rsidR="00B71F05" w:rsidRPr="003171CD">
        <w:rPr>
          <w:lang w:val="en-US"/>
        </w:rPr>
        <w:t>,</w:t>
      </w:r>
      <w:r w:rsidR="005A65CE" w:rsidRPr="003171CD">
        <w:rPr>
          <w:lang w:val="en-US"/>
        </w:rPr>
        <w:t xml:space="preserve"> </w:t>
      </w:r>
      <w:r w:rsidR="002C4A91" w:rsidRPr="003171CD">
        <w:rPr>
          <w:lang w:val="en-US"/>
        </w:rPr>
        <w:t xml:space="preserve">acted against </w:t>
      </w:r>
      <w:r w:rsidR="005A65CE" w:rsidRPr="003171CD">
        <w:rPr>
          <w:lang w:val="en-US"/>
        </w:rPr>
        <w:t xml:space="preserve">the </w:t>
      </w:r>
      <w:r w:rsidR="00834B13" w:rsidRPr="003171CD">
        <w:rPr>
          <w:lang w:val="en-US"/>
        </w:rPr>
        <w:t>rights</w:t>
      </w:r>
      <w:r w:rsidR="001418A2" w:rsidRPr="003171CD">
        <w:rPr>
          <w:lang w:val="en-US"/>
        </w:rPr>
        <w:t xml:space="preserve"> and interest</w:t>
      </w:r>
      <w:r w:rsidR="00B71F05" w:rsidRPr="003171CD">
        <w:rPr>
          <w:lang w:val="en-US"/>
        </w:rPr>
        <w:t>s</w:t>
      </w:r>
      <w:r w:rsidR="00E755FC" w:rsidRPr="003171CD">
        <w:rPr>
          <w:lang w:val="en-US"/>
        </w:rPr>
        <w:t xml:space="preserve"> of </w:t>
      </w:r>
      <w:r w:rsidR="00CD7E32" w:rsidRPr="003171CD">
        <w:rPr>
          <w:lang w:val="en-US"/>
        </w:rPr>
        <w:t xml:space="preserve">Mr. Ruano Torres </w:t>
      </w:r>
      <w:r w:rsidR="005A65CE" w:rsidRPr="003171CD">
        <w:rPr>
          <w:lang w:val="en-US"/>
        </w:rPr>
        <w:t>and l</w:t>
      </w:r>
      <w:r w:rsidR="00B71F05" w:rsidRPr="003171CD">
        <w:rPr>
          <w:lang w:val="en-US"/>
        </w:rPr>
        <w:t>eft him in a state of vulnerability</w:t>
      </w:r>
      <w:r w:rsidR="005A65CE" w:rsidRPr="003171CD">
        <w:rPr>
          <w:lang w:val="en-US"/>
        </w:rPr>
        <w:t xml:space="preserve">, </w:t>
      </w:r>
      <w:r w:rsidR="005149ED" w:rsidRPr="003171CD">
        <w:rPr>
          <w:lang w:val="en-US"/>
        </w:rPr>
        <w:t xml:space="preserve">violating his </w:t>
      </w:r>
      <w:r w:rsidR="00031425" w:rsidRPr="003171CD">
        <w:rPr>
          <w:lang w:val="en-US"/>
        </w:rPr>
        <w:t xml:space="preserve">inalienable </w:t>
      </w:r>
      <w:r w:rsidR="00765AD7" w:rsidRPr="003171CD">
        <w:rPr>
          <w:lang w:val="en-US"/>
        </w:rPr>
        <w:t>right</w:t>
      </w:r>
      <w:r w:rsidR="005A65CE" w:rsidRPr="003171CD">
        <w:rPr>
          <w:lang w:val="en-US"/>
        </w:rPr>
        <w:t xml:space="preserve"> </w:t>
      </w:r>
      <w:r w:rsidR="00031425" w:rsidRPr="003171CD">
        <w:rPr>
          <w:lang w:val="en-US"/>
        </w:rPr>
        <w:t xml:space="preserve">to be assisted </w:t>
      </w:r>
      <w:r w:rsidR="005A65CE" w:rsidRPr="003171CD">
        <w:rPr>
          <w:lang w:val="en-US"/>
        </w:rPr>
        <w:t>by a defens</w:t>
      </w:r>
      <w:r w:rsidR="000A164F" w:rsidRPr="003171CD">
        <w:rPr>
          <w:lang w:val="en-US"/>
        </w:rPr>
        <w:t>e counsel</w:t>
      </w:r>
      <w:r w:rsidR="005A65CE" w:rsidRPr="003171CD">
        <w:rPr>
          <w:lang w:val="en-US"/>
        </w:rPr>
        <w:t xml:space="preserve">. </w:t>
      </w:r>
    </w:p>
    <w:p w14:paraId="736A1BA4" w14:textId="77777777" w:rsidR="005A65CE" w:rsidRPr="003171CD" w:rsidRDefault="005A65CE" w:rsidP="005A65CE">
      <w:pPr>
        <w:rPr>
          <w:lang w:val="en-US"/>
        </w:rPr>
      </w:pPr>
    </w:p>
    <w:p w14:paraId="48B35B96"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The Court </w:t>
      </w:r>
      <w:r w:rsidR="00B71F05" w:rsidRPr="003171CD">
        <w:rPr>
          <w:rFonts w:eastAsiaTheme="minorHAnsi" w:cs="Arial"/>
          <w:lang w:val="en-US"/>
        </w:rPr>
        <w:t xml:space="preserve">considers </w:t>
      </w:r>
      <w:r w:rsidRPr="003171CD">
        <w:rPr>
          <w:rFonts w:eastAsiaTheme="minorHAnsi" w:cs="Arial"/>
          <w:lang w:val="en-US"/>
        </w:rPr>
        <w:t xml:space="preserve">that the </w:t>
      </w:r>
      <w:r w:rsidR="000D05A7" w:rsidRPr="003171CD">
        <w:rPr>
          <w:rFonts w:eastAsiaTheme="minorHAnsi" w:cs="Arial"/>
          <w:lang w:val="en-US"/>
        </w:rPr>
        <w:t xml:space="preserve">State’s </w:t>
      </w:r>
      <w:r w:rsidRPr="003171CD">
        <w:rPr>
          <w:rFonts w:eastAsiaTheme="minorHAnsi" w:cs="Arial"/>
          <w:lang w:val="en-US"/>
        </w:rPr>
        <w:t xml:space="preserve">international responsibility </w:t>
      </w:r>
      <w:r w:rsidR="00B92421" w:rsidRPr="003171CD">
        <w:rPr>
          <w:rFonts w:eastAsiaTheme="minorHAnsi" w:cs="Arial"/>
          <w:lang w:val="en-US"/>
        </w:rPr>
        <w:t xml:space="preserve">may </w:t>
      </w:r>
      <w:r w:rsidR="00CD7E32" w:rsidRPr="003171CD">
        <w:rPr>
          <w:rFonts w:eastAsiaTheme="minorHAnsi" w:cs="Arial"/>
          <w:lang w:val="en-US"/>
        </w:rPr>
        <w:t xml:space="preserve">also be </w:t>
      </w:r>
      <w:r w:rsidR="00E0643F" w:rsidRPr="003171CD">
        <w:rPr>
          <w:rFonts w:eastAsiaTheme="minorHAnsi" w:cs="Arial"/>
          <w:lang w:val="en-US"/>
        </w:rPr>
        <w:t xml:space="preserve">compromised by </w:t>
      </w:r>
      <w:r w:rsidRPr="003171CD">
        <w:rPr>
          <w:rFonts w:eastAsiaTheme="minorHAnsi" w:cs="Arial"/>
          <w:lang w:val="en-US"/>
        </w:rPr>
        <w:t xml:space="preserve">the </w:t>
      </w:r>
      <w:r w:rsidR="00CD7E32" w:rsidRPr="003171CD">
        <w:rPr>
          <w:rFonts w:eastAsiaTheme="minorHAnsi" w:cs="Arial"/>
          <w:lang w:val="en-US"/>
        </w:rPr>
        <w:t xml:space="preserve">judicial authorities’ </w:t>
      </w:r>
      <w:r w:rsidRPr="003171CD">
        <w:rPr>
          <w:rFonts w:eastAsiaTheme="minorHAnsi" w:cs="Arial"/>
          <w:lang w:val="en-US"/>
        </w:rPr>
        <w:t>resp</w:t>
      </w:r>
      <w:r w:rsidR="000D05A7" w:rsidRPr="003171CD">
        <w:rPr>
          <w:rFonts w:eastAsiaTheme="minorHAnsi" w:cs="Arial"/>
          <w:lang w:val="en-US"/>
        </w:rPr>
        <w:t xml:space="preserve">onse </w:t>
      </w:r>
      <w:r w:rsidR="00CD7E32" w:rsidRPr="003171CD">
        <w:rPr>
          <w:rFonts w:eastAsiaTheme="minorHAnsi" w:cs="Arial"/>
          <w:lang w:val="en-US"/>
        </w:rPr>
        <w:t xml:space="preserve">to </w:t>
      </w:r>
      <w:r w:rsidR="001418A2" w:rsidRPr="003171CD">
        <w:rPr>
          <w:rFonts w:eastAsiaTheme="minorHAnsi" w:cs="Arial"/>
          <w:lang w:val="en-US"/>
        </w:rPr>
        <w:t>the actions or omissions</w:t>
      </w:r>
      <w:r w:rsidRPr="003171CD">
        <w:rPr>
          <w:rFonts w:eastAsiaTheme="minorHAnsi" w:cs="Arial"/>
          <w:lang w:val="en-US"/>
        </w:rPr>
        <w:t xml:space="preserve"> </w:t>
      </w:r>
      <w:r w:rsidR="00B71F05" w:rsidRPr="003171CD">
        <w:rPr>
          <w:rFonts w:eastAsiaTheme="minorHAnsi" w:cs="Arial"/>
          <w:lang w:val="en-US"/>
        </w:rPr>
        <w:t xml:space="preserve">attributable to the </w:t>
      </w:r>
      <w:r w:rsidRPr="003171CD">
        <w:rPr>
          <w:rFonts w:eastAsiaTheme="minorHAnsi" w:cs="Arial"/>
          <w:lang w:val="en-US"/>
        </w:rPr>
        <w:t xml:space="preserve">public defense. </w:t>
      </w:r>
      <w:r w:rsidR="00E0643F" w:rsidRPr="003171CD">
        <w:rPr>
          <w:rFonts w:eastAsiaTheme="minorHAnsi" w:cs="Arial"/>
          <w:lang w:val="en-US"/>
        </w:rPr>
        <w:t xml:space="preserve">When it </w:t>
      </w:r>
      <w:r w:rsidR="001418A2" w:rsidRPr="003171CD">
        <w:rPr>
          <w:rFonts w:eastAsiaTheme="minorHAnsi" w:cs="Arial"/>
          <w:lang w:val="en-US"/>
        </w:rPr>
        <w:t xml:space="preserve">is </w:t>
      </w:r>
      <w:r w:rsidR="00B92421" w:rsidRPr="003171CD">
        <w:rPr>
          <w:rFonts w:eastAsiaTheme="minorHAnsi" w:cs="Arial"/>
          <w:lang w:val="en-US"/>
        </w:rPr>
        <w:t xml:space="preserve">obvious </w:t>
      </w:r>
      <w:r w:rsidRPr="003171CD">
        <w:rPr>
          <w:rFonts w:eastAsiaTheme="minorHAnsi" w:cs="Arial"/>
          <w:lang w:val="en-US"/>
        </w:rPr>
        <w:t>that the public defen</w:t>
      </w:r>
      <w:r w:rsidR="00CD7E32" w:rsidRPr="003171CD">
        <w:rPr>
          <w:rFonts w:eastAsiaTheme="minorHAnsi" w:cs="Arial"/>
          <w:lang w:val="en-US"/>
        </w:rPr>
        <w:t xml:space="preserve">ders </w:t>
      </w:r>
      <w:r w:rsidR="00B92421" w:rsidRPr="003171CD">
        <w:rPr>
          <w:rFonts w:eastAsiaTheme="minorHAnsi" w:cs="Arial"/>
          <w:lang w:val="en-US"/>
        </w:rPr>
        <w:t>did not act with</w:t>
      </w:r>
      <w:r w:rsidR="001418A2" w:rsidRPr="003171CD">
        <w:rPr>
          <w:rFonts w:eastAsiaTheme="minorHAnsi" w:cs="Arial"/>
          <w:lang w:val="en-US"/>
        </w:rPr>
        <w:t xml:space="preserve"> due diligence</w:t>
      </w:r>
      <w:r w:rsidRPr="003171CD">
        <w:rPr>
          <w:rFonts w:eastAsiaTheme="minorHAnsi" w:cs="Arial"/>
          <w:lang w:val="en-US"/>
        </w:rPr>
        <w:t xml:space="preserve">, the </w:t>
      </w:r>
      <w:r w:rsidR="001418A2" w:rsidRPr="003171CD">
        <w:rPr>
          <w:rFonts w:eastAsiaTheme="minorHAnsi" w:cs="Arial"/>
          <w:lang w:val="en-US"/>
        </w:rPr>
        <w:t xml:space="preserve">judicial </w:t>
      </w:r>
      <w:r w:rsidRPr="003171CD">
        <w:rPr>
          <w:rFonts w:eastAsiaTheme="minorHAnsi" w:cs="Arial"/>
          <w:lang w:val="en-US"/>
        </w:rPr>
        <w:t xml:space="preserve">authorities </w:t>
      </w:r>
      <w:r w:rsidR="00B92421" w:rsidRPr="003171CD">
        <w:rPr>
          <w:rFonts w:eastAsiaTheme="minorHAnsi" w:cs="Arial"/>
          <w:lang w:val="en-US"/>
        </w:rPr>
        <w:t>have an obligation</w:t>
      </w:r>
      <w:r w:rsidR="00CD7E32" w:rsidRPr="003171CD">
        <w:rPr>
          <w:rFonts w:eastAsiaTheme="minorHAnsi" w:cs="Arial"/>
          <w:lang w:val="en-US"/>
        </w:rPr>
        <w:t xml:space="preserve"> of protection </w:t>
      </w:r>
      <w:r w:rsidRPr="003171CD">
        <w:rPr>
          <w:rFonts w:eastAsiaTheme="minorHAnsi" w:cs="Arial"/>
          <w:lang w:val="en-US"/>
        </w:rPr>
        <w:t>or control. C</w:t>
      </w:r>
      <w:r w:rsidR="000D05A7" w:rsidRPr="003171CD">
        <w:rPr>
          <w:rFonts w:eastAsiaTheme="minorHAnsi" w:cs="Arial"/>
          <w:lang w:val="en-US"/>
        </w:rPr>
        <w:t>ertainly</w:t>
      </w:r>
      <w:r w:rsidRPr="003171CD">
        <w:rPr>
          <w:rFonts w:eastAsiaTheme="minorHAnsi" w:cs="Arial"/>
          <w:lang w:val="en-US"/>
        </w:rPr>
        <w:t xml:space="preserve">, the </w:t>
      </w:r>
      <w:r w:rsidR="007A4356" w:rsidRPr="003171CD">
        <w:rPr>
          <w:rFonts w:eastAsiaTheme="minorHAnsi" w:cs="Arial"/>
          <w:lang w:val="en-US"/>
        </w:rPr>
        <w:t>judiciary</w:t>
      </w:r>
      <w:r w:rsidRPr="003171CD">
        <w:rPr>
          <w:rFonts w:eastAsiaTheme="minorHAnsi" w:cs="Arial"/>
          <w:lang w:val="en-US"/>
        </w:rPr>
        <w:t xml:space="preserve"> </w:t>
      </w:r>
      <w:r w:rsidR="00B71F05" w:rsidRPr="003171CD">
        <w:rPr>
          <w:rFonts w:eastAsiaTheme="minorHAnsi" w:cs="Arial"/>
          <w:lang w:val="en-US"/>
        </w:rPr>
        <w:t xml:space="preserve">must ensure </w:t>
      </w:r>
      <w:r w:rsidR="000D05A7" w:rsidRPr="003171CD">
        <w:rPr>
          <w:rFonts w:eastAsiaTheme="minorHAnsi" w:cs="Arial"/>
          <w:lang w:val="en-US"/>
        </w:rPr>
        <w:t xml:space="preserve">that the right to </w:t>
      </w:r>
      <w:r w:rsidRPr="003171CD">
        <w:rPr>
          <w:rFonts w:eastAsiaTheme="minorHAnsi" w:cs="Arial"/>
          <w:lang w:val="en-US"/>
        </w:rPr>
        <w:t xml:space="preserve">defense </w:t>
      </w:r>
      <w:r w:rsidR="000D05A7" w:rsidRPr="003171CD">
        <w:rPr>
          <w:rFonts w:eastAsiaTheme="minorHAnsi" w:cs="Arial"/>
          <w:lang w:val="en-US"/>
        </w:rPr>
        <w:t xml:space="preserve">does not become illusory </w:t>
      </w:r>
      <w:r w:rsidR="00B71F05" w:rsidRPr="003171CD">
        <w:rPr>
          <w:rFonts w:eastAsiaTheme="minorHAnsi" w:cs="Arial"/>
          <w:lang w:val="en-US"/>
        </w:rPr>
        <w:t xml:space="preserve">through </w:t>
      </w:r>
      <w:r w:rsidR="00B92421" w:rsidRPr="003171CD">
        <w:rPr>
          <w:rFonts w:eastAsiaTheme="minorHAnsi" w:cs="Arial"/>
          <w:lang w:val="en-US"/>
        </w:rPr>
        <w:t xml:space="preserve">ineffectual </w:t>
      </w:r>
      <w:r w:rsidR="00B71F05" w:rsidRPr="003171CD">
        <w:rPr>
          <w:rFonts w:eastAsiaTheme="minorHAnsi" w:cs="Arial"/>
          <w:lang w:val="en-US"/>
        </w:rPr>
        <w:t>legal assistance</w:t>
      </w:r>
      <w:r w:rsidR="00CD7E32" w:rsidRPr="003171CD">
        <w:rPr>
          <w:rFonts w:eastAsiaTheme="minorHAnsi" w:cs="Arial"/>
          <w:lang w:val="en-US"/>
        </w:rPr>
        <w:t>. I</w:t>
      </w:r>
      <w:r w:rsidR="00B71F05" w:rsidRPr="003171CD">
        <w:rPr>
          <w:rFonts w:eastAsiaTheme="minorHAnsi" w:cs="Arial"/>
          <w:lang w:val="en-US"/>
        </w:rPr>
        <w:t xml:space="preserve">t is </w:t>
      </w:r>
      <w:r w:rsidR="00CD7E32" w:rsidRPr="003171CD">
        <w:rPr>
          <w:rFonts w:eastAsiaTheme="minorHAnsi" w:cs="Arial"/>
          <w:lang w:val="en-US"/>
        </w:rPr>
        <w:t xml:space="preserve">therefore </w:t>
      </w:r>
      <w:r w:rsidRPr="003171CD">
        <w:rPr>
          <w:rFonts w:eastAsiaTheme="minorHAnsi" w:cs="Arial"/>
          <w:lang w:val="en-US"/>
        </w:rPr>
        <w:t>e</w:t>
      </w:r>
      <w:r w:rsidR="001418A2" w:rsidRPr="003171CD">
        <w:rPr>
          <w:rFonts w:eastAsiaTheme="minorHAnsi" w:cs="Arial"/>
          <w:lang w:val="en-US"/>
        </w:rPr>
        <w:t>ssent</w:t>
      </w:r>
      <w:r w:rsidRPr="003171CD">
        <w:rPr>
          <w:rFonts w:eastAsiaTheme="minorHAnsi" w:cs="Arial"/>
          <w:lang w:val="en-US"/>
        </w:rPr>
        <w:t>ial th</w:t>
      </w:r>
      <w:r w:rsidR="007A4356" w:rsidRPr="003171CD">
        <w:rPr>
          <w:rFonts w:eastAsiaTheme="minorHAnsi" w:cs="Arial"/>
          <w:lang w:val="en-US"/>
        </w:rPr>
        <w:t xml:space="preserve">at the judicial authorities fulfill their </w:t>
      </w:r>
      <w:r w:rsidR="00B92421" w:rsidRPr="003171CD">
        <w:rPr>
          <w:rFonts w:eastAsiaTheme="minorHAnsi" w:cs="Arial"/>
          <w:lang w:val="en-US"/>
        </w:rPr>
        <w:t>duty to safeguard</w:t>
      </w:r>
      <w:r w:rsidR="007A4356" w:rsidRPr="003171CD">
        <w:rPr>
          <w:rFonts w:eastAsiaTheme="minorHAnsi" w:cs="Arial"/>
          <w:lang w:val="en-US"/>
        </w:rPr>
        <w:t xml:space="preserve"> </w:t>
      </w:r>
      <w:r w:rsidRPr="003171CD">
        <w:rPr>
          <w:rFonts w:eastAsiaTheme="minorHAnsi" w:cs="Arial"/>
          <w:lang w:val="en-US"/>
        </w:rPr>
        <w:t>due process. T</w:t>
      </w:r>
      <w:r w:rsidR="00B71F05" w:rsidRPr="003171CD">
        <w:rPr>
          <w:rFonts w:eastAsiaTheme="minorHAnsi" w:cs="Arial"/>
          <w:lang w:val="en-US"/>
        </w:rPr>
        <w:t xml:space="preserve">his duty of protection </w:t>
      </w:r>
      <w:r w:rsidRPr="003171CD">
        <w:rPr>
          <w:rFonts w:eastAsiaTheme="minorHAnsi" w:cs="Arial"/>
          <w:lang w:val="en-US"/>
        </w:rPr>
        <w:t xml:space="preserve">or control has been recognized by </w:t>
      </w:r>
      <w:r w:rsidR="00CD7E32" w:rsidRPr="003171CD">
        <w:rPr>
          <w:rFonts w:eastAsiaTheme="minorHAnsi" w:cs="Arial"/>
          <w:lang w:val="en-US"/>
        </w:rPr>
        <w:t xml:space="preserve">various </w:t>
      </w:r>
      <w:r w:rsidR="00B71F05" w:rsidRPr="003171CD">
        <w:rPr>
          <w:rFonts w:eastAsiaTheme="minorHAnsi" w:cs="Arial"/>
          <w:lang w:val="en-US"/>
        </w:rPr>
        <w:t>c</w:t>
      </w:r>
      <w:r w:rsidR="00543E32" w:rsidRPr="003171CD">
        <w:rPr>
          <w:rFonts w:eastAsiaTheme="minorHAnsi" w:cs="Arial"/>
          <w:lang w:val="en-US"/>
        </w:rPr>
        <w:t>ourts</w:t>
      </w:r>
      <w:r w:rsidRPr="003171CD">
        <w:rPr>
          <w:rFonts w:eastAsiaTheme="minorHAnsi" w:cs="Arial"/>
          <w:lang w:val="en-US"/>
        </w:rPr>
        <w:t xml:space="preserve"> </w:t>
      </w:r>
      <w:r w:rsidR="00CD7E32" w:rsidRPr="003171CD">
        <w:rPr>
          <w:rFonts w:eastAsiaTheme="minorHAnsi" w:cs="Arial"/>
          <w:lang w:val="en-US"/>
        </w:rPr>
        <w:t xml:space="preserve">in </w:t>
      </w:r>
      <w:r w:rsidR="00B71F05" w:rsidRPr="003171CD">
        <w:rPr>
          <w:rFonts w:eastAsiaTheme="minorHAnsi" w:cs="Arial"/>
          <w:lang w:val="en-US"/>
        </w:rPr>
        <w:t>our continent</w:t>
      </w:r>
      <w:r w:rsidR="00CD7E32" w:rsidRPr="003171CD">
        <w:rPr>
          <w:rFonts w:eastAsiaTheme="minorHAnsi" w:cs="Arial"/>
          <w:lang w:val="en-US"/>
        </w:rPr>
        <w:t>, which have</w:t>
      </w:r>
      <w:r w:rsidR="00B71F05" w:rsidRPr="003171CD">
        <w:rPr>
          <w:rFonts w:eastAsiaTheme="minorHAnsi" w:cs="Arial"/>
          <w:lang w:val="en-US"/>
        </w:rPr>
        <w:t xml:space="preserve"> </w:t>
      </w:r>
      <w:r w:rsidR="00CD7E32" w:rsidRPr="003171CD">
        <w:rPr>
          <w:rFonts w:eastAsiaTheme="minorHAnsi" w:cs="Arial"/>
          <w:lang w:val="en-US"/>
        </w:rPr>
        <w:t xml:space="preserve">annulled </w:t>
      </w:r>
      <w:r w:rsidR="00B92421" w:rsidRPr="003171CD">
        <w:rPr>
          <w:rFonts w:eastAsiaTheme="minorHAnsi" w:cs="Arial"/>
          <w:lang w:val="en-US"/>
        </w:rPr>
        <w:t xml:space="preserve">proceedings </w:t>
      </w:r>
      <w:r w:rsidRPr="003171CD">
        <w:rPr>
          <w:rFonts w:eastAsiaTheme="minorHAnsi" w:cs="Arial"/>
          <w:lang w:val="en-US"/>
        </w:rPr>
        <w:t xml:space="preserve">when </w:t>
      </w:r>
      <w:r w:rsidR="007A4356" w:rsidRPr="003171CD">
        <w:rPr>
          <w:rFonts w:eastAsiaTheme="minorHAnsi" w:cs="Arial"/>
          <w:lang w:val="en-US"/>
        </w:rPr>
        <w:t xml:space="preserve">there has been a patent </w:t>
      </w:r>
      <w:r w:rsidR="000A164F" w:rsidRPr="003171CD">
        <w:rPr>
          <w:rFonts w:eastAsiaTheme="minorHAnsi" w:cs="Arial"/>
          <w:lang w:val="en-US"/>
        </w:rPr>
        <w:t>failure</w:t>
      </w:r>
      <w:r w:rsidR="007A4356" w:rsidRPr="003171CD">
        <w:rPr>
          <w:rFonts w:eastAsiaTheme="minorHAnsi" w:cs="Arial"/>
          <w:lang w:val="en-US"/>
        </w:rPr>
        <w:t xml:space="preserve"> </w:t>
      </w:r>
      <w:r w:rsidR="00E0643F" w:rsidRPr="003171CD">
        <w:rPr>
          <w:rFonts w:eastAsiaTheme="minorHAnsi" w:cs="Arial"/>
          <w:lang w:val="en-US"/>
        </w:rPr>
        <w:t xml:space="preserve">to act properly on the part of </w:t>
      </w:r>
      <w:r w:rsidR="00CD7E32" w:rsidRPr="003171CD">
        <w:rPr>
          <w:rFonts w:eastAsiaTheme="minorHAnsi" w:cs="Arial"/>
          <w:lang w:val="en-US"/>
        </w:rPr>
        <w:t xml:space="preserve">the legal </w:t>
      </w:r>
      <w:r w:rsidR="00E86957" w:rsidRPr="003171CD">
        <w:rPr>
          <w:rFonts w:eastAsiaTheme="minorHAnsi" w:cs="Arial"/>
          <w:lang w:val="en-US"/>
        </w:rPr>
        <w:t>defense</w:t>
      </w:r>
      <w:r w:rsidRPr="003171CD">
        <w:rPr>
          <w:rFonts w:eastAsiaTheme="minorHAnsi" w:cs="Arial"/>
          <w:lang w:val="en-US"/>
        </w:rPr>
        <w:t>.</w:t>
      </w:r>
    </w:p>
    <w:p w14:paraId="23CD70D2" w14:textId="77777777" w:rsidR="005A65CE" w:rsidRPr="003171CD" w:rsidRDefault="005A65CE" w:rsidP="005A65CE">
      <w:pPr>
        <w:jc w:val="both"/>
        <w:rPr>
          <w:rFonts w:eastAsiaTheme="minorHAnsi" w:cs="Arial"/>
          <w:snapToGrid/>
          <w:lang w:val="en-US" w:eastAsia="en-US"/>
        </w:rPr>
      </w:pPr>
    </w:p>
    <w:p w14:paraId="1B6DEE46" w14:textId="77777777" w:rsidR="005A65CE" w:rsidRPr="003171CD" w:rsidRDefault="00E427CD" w:rsidP="005A65CE">
      <w:pPr>
        <w:pStyle w:val="Prrafodelista"/>
        <w:numPr>
          <w:ilvl w:val="0"/>
          <w:numId w:val="1"/>
        </w:numPr>
        <w:tabs>
          <w:tab w:val="left" w:pos="720"/>
          <w:tab w:val="num" w:pos="5057"/>
        </w:tabs>
        <w:ind w:right="-90"/>
        <w:jc w:val="both"/>
        <w:rPr>
          <w:rFonts w:eastAsiaTheme="minorHAnsi" w:cs="Arial"/>
          <w:b/>
          <w:bCs/>
          <w:iCs/>
          <w:lang w:val="en-US"/>
        </w:rPr>
      </w:pPr>
      <w:r w:rsidRPr="003171CD">
        <w:rPr>
          <w:rFonts w:eastAsiaTheme="minorHAnsi" w:cs="Arial"/>
          <w:lang w:val="en-US"/>
        </w:rPr>
        <w:t>By way of illustration</w:t>
      </w:r>
      <w:r w:rsidR="005A65CE" w:rsidRPr="003171CD">
        <w:rPr>
          <w:rFonts w:eastAsiaTheme="minorHAnsi" w:cs="Arial"/>
          <w:lang w:val="en-US"/>
        </w:rPr>
        <w:t xml:space="preserve">, </w:t>
      </w:r>
      <w:r w:rsidRPr="003171CD">
        <w:rPr>
          <w:rFonts w:eastAsiaTheme="minorHAnsi" w:cs="Arial"/>
          <w:lang w:val="en-US"/>
        </w:rPr>
        <w:t>it is important</w:t>
      </w:r>
      <w:r w:rsidR="00B92421" w:rsidRPr="003171CD">
        <w:rPr>
          <w:rFonts w:eastAsiaTheme="minorHAnsi" w:cs="Arial"/>
          <w:lang w:val="en-US"/>
        </w:rPr>
        <w:t xml:space="preserve">, first of all, to </w:t>
      </w:r>
      <w:r w:rsidRPr="003171CD">
        <w:rPr>
          <w:rFonts w:eastAsiaTheme="minorHAnsi" w:cs="Arial"/>
          <w:lang w:val="en-US"/>
        </w:rPr>
        <w:t>refer to</w:t>
      </w:r>
      <w:r w:rsidR="001418A2" w:rsidRPr="003171CD">
        <w:rPr>
          <w:rFonts w:eastAsiaTheme="minorHAnsi" w:cs="Arial"/>
          <w:lang w:val="en-US"/>
        </w:rPr>
        <w:t xml:space="preserve"> the Supreme Court </w:t>
      </w:r>
      <w:r w:rsidR="005A65CE" w:rsidRPr="003171CD">
        <w:rPr>
          <w:rFonts w:eastAsiaTheme="minorHAnsi" w:cs="Arial"/>
          <w:lang w:val="en-US"/>
        </w:rPr>
        <w:t xml:space="preserve">of Justice of Argentina </w:t>
      </w:r>
      <w:r w:rsidR="002C4A91" w:rsidRPr="003171CD">
        <w:rPr>
          <w:rFonts w:eastAsiaTheme="minorHAnsi" w:cs="Arial"/>
          <w:lang w:val="en-US"/>
        </w:rPr>
        <w:t xml:space="preserve">which has </w:t>
      </w:r>
      <w:r w:rsidR="002D29EB" w:rsidRPr="003171CD">
        <w:rPr>
          <w:rFonts w:eastAsiaTheme="minorHAnsi" w:cs="Arial"/>
          <w:lang w:val="en-US"/>
        </w:rPr>
        <w:t xml:space="preserve">a well-established definition of </w:t>
      </w:r>
      <w:r w:rsidR="005A65CE" w:rsidRPr="003171CD">
        <w:rPr>
          <w:rFonts w:eastAsiaTheme="minorHAnsi" w:cs="Arial"/>
          <w:lang w:val="en-US"/>
        </w:rPr>
        <w:t>the rol</w:t>
      </w:r>
      <w:r w:rsidR="001418A2" w:rsidRPr="003171CD">
        <w:rPr>
          <w:rFonts w:eastAsiaTheme="minorHAnsi" w:cs="Arial"/>
          <w:lang w:val="en-US"/>
        </w:rPr>
        <w:t>e</w:t>
      </w:r>
      <w:r w:rsidR="002C4A91" w:rsidRPr="003171CD">
        <w:rPr>
          <w:rFonts w:eastAsiaTheme="minorHAnsi" w:cs="Arial"/>
          <w:lang w:val="en-US"/>
        </w:rPr>
        <w:t xml:space="preserve"> of judges </w:t>
      </w:r>
      <w:r w:rsidR="002D29EB" w:rsidRPr="003171CD">
        <w:rPr>
          <w:rFonts w:eastAsiaTheme="minorHAnsi" w:cs="Arial"/>
          <w:lang w:val="en-US"/>
        </w:rPr>
        <w:t xml:space="preserve">in </w:t>
      </w:r>
      <w:r w:rsidR="005A65CE" w:rsidRPr="003171CD">
        <w:rPr>
          <w:rFonts w:eastAsiaTheme="minorHAnsi" w:cs="Arial"/>
          <w:lang w:val="en-US"/>
        </w:rPr>
        <w:t xml:space="preserve">situations in </w:t>
      </w:r>
      <w:r w:rsidR="002C4A91" w:rsidRPr="003171CD">
        <w:rPr>
          <w:rFonts w:eastAsiaTheme="minorHAnsi" w:cs="Arial"/>
          <w:lang w:val="en-US"/>
        </w:rPr>
        <w:t xml:space="preserve">which </w:t>
      </w:r>
      <w:r w:rsidR="005A65CE" w:rsidRPr="003171CD">
        <w:rPr>
          <w:rFonts w:eastAsiaTheme="minorHAnsi" w:cs="Arial"/>
          <w:lang w:val="en-US"/>
        </w:rPr>
        <w:t xml:space="preserve">the </w:t>
      </w:r>
      <w:r w:rsidR="00E0643F" w:rsidRPr="003171CD">
        <w:rPr>
          <w:rFonts w:eastAsiaTheme="minorHAnsi" w:cs="Arial"/>
          <w:lang w:val="en-US"/>
        </w:rPr>
        <w:t>right of</w:t>
      </w:r>
      <w:r w:rsidR="002625A5" w:rsidRPr="003171CD">
        <w:rPr>
          <w:rFonts w:eastAsiaTheme="minorHAnsi" w:cs="Arial"/>
          <w:lang w:val="en-US"/>
        </w:rPr>
        <w:t xml:space="preserve"> defense</w:t>
      </w:r>
      <w:r w:rsidR="002C4A91" w:rsidRPr="003171CD">
        <w:rPr>
          <w:rFonts w:eastAsiaTheme="minorHAnsi" w:cs="Arial"/>
          <w:lang w:val="en-US"/>
        </w:rPr>
        <w:t xml:space="preserve"> is compromised</w:t>
      </w:r>
      <w:r w:rsidR="000A164F" w:rsidRPr="003171CD">
        <w:rPr>
          <w:rFonts w:eastAsiaTheme="minorHAnsi" w:cs="Arial"/>
          <w:lang w:val="en-US"/>
        </w:rPr>
        <w:t>.</w:t>
      </w:r>
      <w:r w:rsidR="005A65CE" w:rsidRPr="003171CD">
        <w:rPr>
          <w:rStyle w:val="Refdenotaalpie"/>
          <w:rFonts w:eastAsiaTheme="minorHAnsi" w:cs="Arial"/>
          <w:lang w:val="en-US"/>
        </w:rPr>
        <w:footnoteReference w:id="245"/>
      </w:r>
      <w:r w:rsidR="00EB048D" w:rsidRPr="003171CD">
        <w:rPr>
          <w:rFonts w:eastAsiaTheme="minorHAnsi" w:cs="Arial"/>
          <w:lang w:val="en-US"/>
        </w:rPr>
        <w:t xml:space="preserve"> The Supreme Court </w:t>
      </w:r>
      <w:r w:rsidR="005A65CE" w:rsidRPr="003171CD">
        <w:rPr>
          <w:rFonts w:eastAsiaTheme="minorHAnsi" w:cs="Arial"/>
          <w:lang w:val="en-US"/>
        </w:rPr>
        <w:t>of Justice of Argentina ha</w:t>
      </w:r>
      <w:r w:rsidR="00137FD5" w:rsidRPr="003171CD">
        <w:rPr>
          <w:rFonts w:eastAsiaTheme="minorHAnsi" w:cs="Arial"/>
          <w:lang w:val="en-US"/>
        </w:rPr>
        <w:t>s</w:t>
      </w:r>
      <w:r w:rsidR="005A65CE" w:rsidRPr="003171CD">
        <w:rPr>
          <w:rFonts w:eastAsiaTheme="minorHAnsi" w:cs="Arial"/>
          <w:lang w:val="en-US"/>
        </w:rPr>
        <w:t xml:space="preserve"> considered that when “</w:t>
      </w:r>
      <w:r w:rsidR="00137FD5" w:rsidRPr="003171CD">
        <w:rPr>
          <w:rFonts w:eastAsiaTheme="minorHAnsi" w:cs="Arial"/>
          <w:lang w:val="en-US"/>
        </w:rPr>
        <w:t xml:space="preserve">a </w:t>
      </w:r>
      <w:r w:rsidR="00137FD5" w:rsidRPr="003171CD">
        <w:rPr>
          <w:lang w:val="en-US"/>
        </w:rPr>
        <w:t xml:space="preserve">reading of the </w:t>
      </w:r>
      <w:r w:rsidR="005A65CE" w:rsidRPr="003171CD">
        <w:rPr>
          <w:lang w:val="en-US"/>
        </w:rPr>
        <w:t xml:space="preserve">file </w:t>
      </w:r>
      <w:r w:rsidR="002D29EB" w:rsidRPr="003171CD">
        <w:rPr>
          <w:lang w:val="en-US"/>
        </w:rPr>
        <w:t xml:space="preserve">reveals </w:t>
      </w:r>
      <w:r w:rsidR="005A65CE" w:rsidRPr="003171CD">
        <w:rPr>
          <w:lang w:val="en-US"/>
        </w:rPr>
        <w:t xml:space="preserve">a </w:t>
      </w:r>
      <w:r w:rsidR="00971225" w:rsidRPr="003171CD">
        <w:rPr>
          <w:lang w:val="en-US"/>
        </w:rPr>
        <w:t xml:space="preserve">breach of </w:t>
      </w:r>
      <w:r w:rsidR="005A65CE" w:rsidRPr="003171CD">
        <w:rPr>
          <w:lang w:val="en-US"/>
        </w:rPr>
        <w:t xml:space="preserve">the constitutional </w:t>
      </w:r>
      <w:r w:rsidR="00137FD5" w:rsidRPr="003171CD">
        <w:rPr>
          <w:lang w:val="en-US"/>
        </w:rPr>
        <w:t xml:space="preserve">guarantee of </w:t>
      </w:r>
      <w:r w:rsidR="005A65CE" w:rsidRPr="003171CD">
        <w:rPr>
          <w:lang w:val="en-US"/>
        </w:rPr>
        <w:t xml:space="preserve">defense </w:t>
      </w:r>
      <w:r w:rsidR="00B92421" w:rsidRPr="003171CD">
        <w:rPr>
          <w:lang w:val="en-US"/>
        </w:rPr>
        <w:t>at a trial which</w:t>
      </w:r>
      <w:r w:rsidR="00B92421" w:rsidRPr="003171CD">
        <w:rPr>
          <w:lang w:val="en-GB"/>
        </w:rPr>
        <w:t xml:space="preserve"> […]</w:t>
      </w:r>
      <w:r w:rsidR="005A65CE" w:rsidRPr="003171CD">
        <w:rPr>
          <w:lang w:val="en-US"/>
        </w:rPr>
        <w:t xml:space="preserve"> </w:t>
      </w:r>
      <w:r w:rsidR="00B71F05" w:rsidRPr="003171CD">
        <w:rPr>
          <w:lang w:val="en-US"/>
        </w:rPr>
        <w:t xml:space="preserve">affects </w:t>
      </w:r>
      <w:r w:rsidR="005A65CE" w:rsidRPr="003171CD">
        <w:rPr>
          <w:lang w:val="en-US"/>
        </w:rPr>
        <w:t xml:space="preserve">the </w:t>
      </w:r>
      <w:r w:rsidR="00B71F05" w:rsidRPr="003171CD">
        <w:rPr>
          <w:lang w:val="en-US"/>
        </w:rPr>
        <w:t>very validity of the proceeding</w:t>
      </w:r>
      <w:r w:rsidR="005A65CE" w:rsidRPr="003171CD">
        <w:rPr>
          <w:lang w:val="en-US"/>
        </w:rPr>
        <w:t>, [</w:t>
      </w:r>
      <w:r w:rsidR="00670015" w:rsidRPr="003171CD">
        <w:rPr>
          <w:lang w:val="en-US"/>
        </w:rPr>
        <w:t>said</w:t>
      </w:r>
      <w:r w:rsidR="005A65CE" w:rsidRPr="003171CD">
        <w:rPr>
          <w:lang w:val="en-US"/>
        </w:rPr>
        <w:t xml:space="preserve">] </w:t>
      </w:r>
      <w:r w:rsidR="00151F73" w:rsidRPr="003171CD">
        <w:rPr>
          <w:lang w:val="en-US"/>
        </w:rPr>
        <w:t>circumstance</w:t>
      </w:r>
      <w:r w:rsidR="005A65CE" w:rsidRPr="003171CD">
        <w:rPr>
          <w:lang w:val="en-US"/>
        </w:rPr>
        <w:t xml:space="preserve"> […] </w:t>
      </w:r>
      <w:r w:rsidR="00137FD5" w:rsidRPr="003171CD">
        <w:rPr>
          <w:lang w:val="en-US"/>
        </w:rPr>
        <w:t>must be</w:t>
      </w:r>
      <w:r w:rsidR="005A65CE" w:rsidRPr="003171CD">
        <w:rPr>
          <w:lang w:val="en-US"/>
        </w:rPr>
        <w:t xml:space="preserve"> </w:t>
      </w:r>
      <w:r w:rsidR="00137FD5" w:rsidRPr="003171CD">
        <w:rPr>
          <w:lang w:val="en-US"/>
        </w:rPr>
        <w:t xml:space="preserve">addressed </w:t>
      </w:r>
      <w:r w:rsidR="005A65CE" w:rsidRPr="003171CD">
        <w:rPr>
          <w:lang w:val="en-US"/>
        </w:rPr>
        <w:t>and res</w:t>
      </w:r>
      <w:r w:rsidR="00137FD5" w:rsidRPr="003171CD">
        <w:rPr>
          <w:lang w:val="en-US"/>
        </w:rPr>
        <w:t xml:space="preserve">olved as a priority </w:t>
      </w:r>
      <w:r w:rsidR="00151F73" w:rsidRPr="003171CD">
        <w:rPr>
          <w:lang w:val="en-US"/>
        </w:rPr>
        <w:t>over</w:t>
      </w:r>
      <w:r w:rsidR="005A65CE" w:rsidRPr="003171CD">
        <w:rPr>
          <w:lang w:val="en-US"/>
        </w:rPr>
        <w:t xml:space="preserve"> any </w:t>
      </w:r>
      <w:r w:rsidR="00137FD5" w:rsidRPr="003171CD">
        <w:rPr>
          <w:lang w:val="en-US"/>
        </w:rPr>
        <w:t xml:space="preserve">other </w:t>
      </w:r>
      <w:r w:rsidR="00454A99" w:rsidRPr="003171CD">
        <w:rPr>
          <w:lang w:val="en-US"/>
        </w:rPr>
        <w:t>question</w:t>
      </w:r>
      <w:r w:rsidR="005A65CE" w:rsidRPr="003171CD">
        <w:rPr>
          <w:lang w:val="en-US"/>
        </w:rPr>
        <w:t xml:space="preserve"> </w:t>
      </w:r>
      <w:r w:rsidR="00137FD5" w:rsidRPr="003171CD">
        <w:rPr>
          <w:lang w:val="en-US"/>
        </w:rPr>
        <w:t>raised</w:t>
      </w:r>
      <w:r w:rsidR="005A65CE" w:rsidRPr="003171CD">
        <w:rPr>
          <w:lang w:val="en-US"/>
        </w:rPr>
        <w:t xml:space="preserve">. </w:t>
      </w:r>
      <w:r w:rsidR="00137FD5" w:rsidRPr="003171CD">
        <w:rPr>
          <w:lang w:val="en-US"/>
        </w:rPr>
        <w:t>This is so</w:t>
      </w:r>
      <w:r w:rsidR="005A65CE" w:rsidRPr="003171CD">
        <w:rPr>
          <w:lang w:val="en-US"/>
        </w:rPr>
        <w:t xml:space="preserve">, </w:t>
      </w:r>
      <w:r w:rsidR="000949BB" w:rsidRPr="003171CD">
        <w:rPr>
          <w:lang w:val="en-US"/>
        </w:rPr>
        <w:t xml:space="preserve">because </w:t>
      </w:r>
      <w:r w:rsidR="005A65CE" w:rsidRPr="003171CD">
        <w:rPr>
          <w:lang w:val="en-US"/>
        </w:rPr>
        <w:t xml:space="preserve">the </w:t>
      </w:r>
      <w:r w:rsidR="000949BB" w:rsidRPr="003171CD">
        <w:rPr>
          <w:lang w:val="en-US"/>
        </w:rPr>
        <w:t>judicial control</w:t>
      </w:r>
      <w:r w:rsidR="005A65CE" w:rsidRPr="003171CD">
        <w:rPr>
          <w:lang w:val="en-US"/>
        </w:rPr>
        <w:t xml:space="preserve"> </w:t>
      </w:r>
      <w:r w:rsidR="003C71ED" w:rsidRPr="003171CD">
        <w:rPr>
          <w:lang w:val="en-US"/>
        </w:rPr>
        <w:t xml:space="preserve">of the </w:t>
      </w:r>
      <w:r w:rsidR="00971225" w:rsidRPr="003171CD">
        <w:rPr>
          <w:lang w:val="en-US"/>
        </w:rPr>
        <w:t xml:space="preserve">conduct </w:t>
      </w:r>
      <w:r w:rsidR="00151F73" w:rsidRPr="003171CD">
        <w:rPr>
          <w:lang w:val="en-US"/>
        </w:rPr>
        <w:t xml:space="preserve">of the </w:t>
      </w:r>
      <w:r w:rsidR="005A65CE" w:rsidRPr="003171CD">
        <w:rPr>
          <w:lang w:val="en-US"/>
        </w:rPr>
        <w:t>proceeding</w:t>
      </w:r>
      <w:r w:rsidR="000949BB" w:rsidRPr="003171CD">
        <w:rPr>
          <w:lang w:val="en-US"/>
        </w:rPr>
        <w:t xml:space="preserve">, albeit </w:t>
      </w:r>
      <w:r w:rsidR="000949BB" w:rsidRPr="003171CD">
        <w:rPr>
          <w:i/>
          <w:lang w:val="en-US"/>
        </w:rPr>
        <w:t>ex officio</w:t>
      </w:r>
      <w:r w:rsidR="000949BB" w:rsidRPr="003171CD">
        <w:rPr>
          <w:lang w:val="en-US"/>
        </w:rPr>
        <w:t>,</w:t>
      </w:r>
      <w:r w:rsidR="005A65CE" w:rsidRPr="003171CD">
        <w:rPr>
          <w:lang w:val="en-US"/>
        </w:rPr>
        <w:t xml:space="preserve"> </w:t>
      </w:r>
      <w:r w:rsidR="000949BB" w:rsidRPr="003171CD">
        <w:rPr>
          <w:lang w:val="en-US"/>
        </w:rPr>
        <w:t xml:space="preserve">constitutes a prior requirement derived from the jurisdictional function of [that] Court </w:t>
      </w:r>
      <w:r w:rsidR="005A65CE" w:rsidRPr="003171CD">
        <w:rPr>
          <w:lang w:val="en-US"/>
        </w:rPr>
        <w:t xml:space="preserve">when aspects that </w:t>
      </w:r>
      <w:r w:rsidR="00151F73" w:rsidRPr="003171CD">
        <w:rPr>
          <w:lang w:val="en-US"/>
        </w:rPr>
        <w:t>concern public order</w:t>
      </w:r>
      <w:r w:rsidR="008301BA" w:rsidRPr="003171CD">
        <w:rPr>
          <w:lang w:val="en-US"/>
        </w:rPr>
        <w:t xml:space="preserve"> are compromised</w:t>
      </w:r>
      <w:r w:rsidR="00151F73" w:rsidRPr="003171CD">
        <w:rPr>
          <w:lang w:val="en-US"/>
        </w:rPr>
        <w:t>.</w:t>
      </w:r>
      <w:r w:rsidR="005A65CE" w:rsidRPr="003171CD">
        <w:rPr>
          <w:lang w:val="en-US"/>
        </w:rPr>
        <w:t>”</w:t>
      </w:r>
      <w:r w:rsidR="005A65CE" w:rsidRPr="003171CD">
        <w:rPr>
          <w:rStyle w:val="Refdenotaalpie"/>
          <w:lang w:val="en-US"/>
        </w:rPr>
        <w:footnoteReference w:id="246"/>
      </w:r>
    </w:p>
    <w:p w14:paraId="635ABFEE" w14:textId="77777777" w:rsidR="005A65CE" w:rsidRPr="003171CD" w:rsidRDefault="005A65CE" w:rsidP="005A65CE">
      <w:pPr>
        <w:rPr>
          <w:rFonts w:eastAsiaTheme="minorHAnsi" w:cs="Arial"/>
          <w:lang w:val="en-US"/>
        </w:rPr>
      </w:pPr>
    </w:p>
    <w:p w14:paraId="2B81F8C3" w14:textId="77777777" w:rsidR="005A65CE" w:rsidRPr="003171CD" w:rsidRDefault="000A164F" w:rsidP="005A65CE">
      <w:pPr>
        <w:pStyle w:val="Prrafodelista"/>
        <w:numPr>
          <w:ilvl w:val="0"/>
          <w:numId w:val="1"/>
        </w:numPr>
        <w:tabs>
          <w:tab w:val="left" w:pos="720"/>
          <w:tab w:val="num" w:pos="5057"/>
        </w:tabs>
        <w:ind w:right="-90"/>
        <w:jc w:val="both"/>
        <w:rPr>
          <w:rFonts w:eastAsia="Calibri" w:cs="Verdana"/>
          <w:lang w:val="en-US"/>
        </w:rPr>
      </w:pPr>
      <w:r w:rsidRPr="003171CD">
        <w:rPr>
          <w:rFonts w:eastAsiaTheme="minorHAnsi" w:cs="Arial"/>
          <w:lang w:val="en-US"/>
        </w:rPr>
        <w:t xml:space="preserve">Similarly, the </w:t>
      </w:r>
      <w:r w:rsidR="007A702F" w:rsidRPr="003171CD">
        <w:rPr>
          <w:rFonts w:eastAsiaTheme="minorHAnsi" w:cs="Arial"/>
          <w:bCs/>
          <w:lang w:val="en-US"/>
        </w:rPr>
        <w:t>C</w:t>
      </w:r>
      <w:r w:rsidRPr="003171CD">
        <w:rPr>
          <w:rFonts w:eastAsiaTheme="minorHAnsi" w:cs="Arial"/>
          <w:bCs/>
          <w:lang w:val="en-US"/>
        </w:rPr>
        <w:t>riminal C</w:t>
      </w:r>
      <w:r w:rsidR="007A702F" w:rsidRPr="003171CD">
        <w:rPr>
          <w:rFonts w:eastAsiaTheme="minorHAnsi" w:cs="Arial"/>
          <w:bCs/>
          <w:lang w:val="en-US"/>
        </w:rPr>
        <w:t>assation</w:t>
      </w:r>
      <w:r w:rsidR="005A65CE" w:rsidRPr="003171CD">
        <w:rPr>
          <w:rFonts w:eastAsiaTheme="minorHAnsi" w:cs="Arial"/>
          <w:bCs/>
          <w:lang w:val="en-US"/>
        </w:rPr>
        <w:t xml:space="preserve"> </w:t>
      </w:r>
      <w:r w:rsidRPr="003171CD">
        <w:rPr>
          <w:rFonts w:eastAsiaTheme="minorHAnsi" w:cs="Arial"/>
          <w:bCs/>
          <w:lang w:val="en-US"/>
        </w:rPr>
        <w:t xml:space="preserve">Chamber </w:t>
      </w:r>
      <w:r w:rsidR="005A65CE" w:rsidRPr="003171CD">
        <w:rPr>
          <w:rFonts w:eastAsiaTheme="minorHAnsi" w:cs="Arial"/>
          <w:bCs/>
          <w:lang w:val="en-US"/>
        </w:rPr>
        <w:t xml:space="preserve">of the Supreme Court </w:t>
      </w:r>
      <w:r w:rsidR="005A65CE" w:rsidRPr="003171CD">
        <w:rPr>
          <w:bCs/>
          <w:lang w:val="en-US"/>
        </w:rPr>
        <w:t>of Justice of Colombia ha</w:t>
      </w:r>
      <w:r w:rsidR="008301BA" w:rsidRPr="003171CD">
        <w:rPr>
          <w:bCs/>
          <w:lang w:val="en-US"/>
        </w:rPr>
        <w:t>s</w:t>
      </w:r>
      <w:r w:rsidR="005A65CE" w:rsidRPr="003171CD">
        <w:rPr>
          <w:bCs/>
          <w:lang w:val="en-US"/>
        </w:rPr>
        <w:t xml:space="preserve"> </w:t>
      </w:r>
      <w:r w:rsidR="00151F73" w:rsidRPr="003171CD">
        <w:rPr>
          <w:bCs/>
          <w:lang w:val="en-US"/>
        </w:rPr>
        <w:t xml:space="preserve">affirmed </w:t>
      </w:r>
      <w:r w:rsidR="005A65CE" w:rsidRPr="003171CD">
        <w:rPr>
          <w:bCs/>
          <w:lang w:val="en-US"/>
        </w:rPr>
        <w:t>th</w:t>
      </w:r>
      <w:r w:rsidR="00151F73" w:rsidRPr="003171CD">
        <w:rPr>
          <w:bCs/>
          <w:lang w:val="en-US"/>
        </w:rPr>
        <w:t>at “the</w:t>
      </w:r>
      <w:r w:rsidR="005A65CE" w:rsidRPr="003171CD">
        <w:rPr>
          <w:bCs/>
          <w:lang w:val="en-US"/>
        </w:rPr>
        <w:t xml:space="preserve"> </w:t>
      </w:r>
      <w:r w:rsidR="00765AD7" w:rsidRPr="003171CD">
        <w:rPr>
          <w:bCs/>
          <w:lang w:val="en-US"/>
        </w:rPr>
        <w:t>right</w:t>
      </w:r>
      <w:r w:rsidR="001418A2" w:rsidRPr="003171CD">
        <w:rPr>
          <w:bCs/>
          <w:lang w:val="en-US"/>
        </w:rPr>
        <w:t xml:space="preserve"> of defense [i</w:t>
      </w:r>
      <w:r w:rsidR="005A65CE" w:rsidRPr="003171CD">
        <w:rPr>
          <w:bCs/>
          <w:lang w:val="en-US"/>
        </w:rPr>
        <w:t xml:space="preserve">s] a </w:t>
      </w:r>
      <w:r w:rsidR="00151F73" w:rsidRPr="003171CD">
        <w:rPr>
          <w:bCs/>
          <w:lang w:val="en-US"/>
        </w:rPr>
        <w:t xml:space="preserve">fundamental </w:t>
      </w:r>
      <w:r w:rsidR="00F87433" w:rsidRPr="003171CD">
        <w:rPr>
          <w:bCs/>
          <w:lang w:val="en-US"/>
        </w:rPr>
        <w:t xml:space="preserve">and immanent </w:t>
      </w:r>
      <w:r w:rsidR="001A44FA" w:rsidRPr="003171CD">
        <w:rPr>
          <w:bCs/>
          <w:lang w:val="en-US"/>
        </w:rPr>
        <w:t xml:space="preserve">guarantee </w:t>
      </w:r>
      <w:r w:rsidR="00F87433" w:rsidRPr="003171CD">
        <w:rPr>
          <w:bCs/>
          <w:lang w:val="en-US"/>
        </w:rPr>
        <w:t xml:space="preserve">of </w:t>
      </w:r>
      <w:r w:rsidR="009D409A" w:rsidRPr="003171CD">
        <w:rPr>
          <w:bCs/>
          <w:lang w:val="en-US"/>
        </w:rPr>
        <w:t>due process that is not tied to the</w:t>
      </w:r>
      <w:r w:rsidR="000949BB" w:rsidRPr="003171CD">
        <w:rPr>
          <w:bCs/>
          <w:lang w:val="en-US"/>
        </w:rPr>
        <w:t xml:space="preserve"> </w:t>
      </w:r>
      <w:r w:rsidR="00E0643F" w:rsidRPr="003171CD">
        <w:rPr>
          <w:bCs/>
          <w:lang w:val="en-US"/>
        </w:rPr>
        <w:t xml:space="preserve">outcome of </w:t>
      </w:r>
      <w:r w:rsidR="005A65CE" w:rsidRPr="003171CD">
        <w:rPr>
          <w:bCs/>
          <w:lang w:val="en-US"/>
        </w:rPr>
        <w:t xml:space="preserve">the </w:t>
      </w:r>
      <w:r w:rsidR="009D409A" w:rsidRPr="003171CD">
        <w:rPr>
          <w:bCs/>
          <w:lang w:val="en-US"/>
        </w:rPr>
        <w:t xml:space="preserve">proceedings, </w:t>
      </w:r>
      <w:r w:rsidR="00FE39FA" w:rsidRPr="003171CD">
        <w:rPr>
          <w:bCs/>
          <w:lang w:val="en-US"/>
        </w:rPr>
        <w:t xml:space="preserve">but </w:t>
      </w:r>
      <w:r w:rsidR="009D409A" w:rsidRPr="003171CD">
        <w:rPr>
          <w:bCs/>
          <w:lang w:val="en-US"/>
        </w:rPr>
        <w:t xml:space="preserve">rather </w:t>
      </w:r>
      <w:r w:rsidR="00FE39FA" w:rsidRPr="003171CD">
        <w:rPr>
          <w:bCs/>
          <w:lang w:val="en-US"/>
        </w:rPr>
        <w:t xml:space="preserve">to </w:t>
      </w:r>
      <w:r w:rsidR="001418A2" w:rsidRPr="003171CD">
        <w:rPr>
          <w:bCs/>
          <w:lang w:val="en-US"/>
        </w:rPr>
        <w:t xml:space="preserve">the </w:t>
      </w:r>
      <w:r w:rsidR="009D409A" w:rsidRPr="003171CD">
        <w:rPr>
          <w:bCs/>
          <w:lang w:val="en-US"/>
        </w:rPr>
        <w:t xml:space="preserve">continuous protection </w:t>
      </w:r>
      <w:r w:rsidR="00151F73" w:rsidRPr="003171CD">
        <w:rPr>
          <w:bCs/>
          <w:lang w:val="en-US"/>
        </w:rPr>
        <w:t>of the accused</w:t>
      </w:r>
      <w:r w:rsidR="005A65CE" w:rsidRPr="003171CD">
        <w:rPr>
          <w:bCs/>
          <w:lang w:val="en-US"/>
        </w:rPr>
        <w:t xml:space="preserve">, in </w:t>
      </w:r>
      <w:r w:rsidR="00F3202A" w:rsidRPr="003171CD">
        <w:rPr>
          <w:bCs/>
          <w:lang w:val="en-US"/>
        </w:rPr>
        <w:t xml:space="preserve">an effort to maintain the </w:t>
      </w:r>
      <w:r w:rsidR="00266893" w:rsidRPr="003171CD">
        <w:rPr>
          <w:bCs/>
          <w:lang w:val="en-US"/>
        </w:rPr>
        <w:t xml:space="preserve">balance </w:t>
      </w:r>
      <w:r w:rsidR="001418A2" w:rsidRPr="003171CD">
        <w:rPr>
          <w:bCs/>
          <w:lang w:val="en-US"/>
        </w:rPr>
        <w:t>of power</w:t>
      </w:r>
      <w:r w:rsidR="005A65CE" w:rsidRPr="003171CD">
        <w:rPr>
          <w:bCs/>
          <w:lang w:val="en-US"/>
        </w:rPr>
        <w:t>s that co</w:t>
      </w:r>
      <w:r w:rsidR="009D409A" w:rsidRPr="003171CD">
        <w:rPr>
          <w:bCs/>
          <w:lang w:val="en-US"/>
        </w:rPr>
        <w:t xml:space="preserve">me together </w:t>
      </w:r>
      <w:r w:rsidR="005A65CE" w:rsidRPr="003171CD">
        <w:rPr>
          <w:bCs/>
          <w:lang w:val="en-US"/>
        </w:rPr>
        <w:t xml:space="preserve">in the </w:t>
      </w:r>
      <w:r w:rsidR="003C71ED" w:rsidRPr="003171CD">
        <w:rPr>
          <w:bCs/>
          <w:lang w:val="en-US"/>
        </w:rPr>
        <w:t xml:space="preserve">dialectical </w:t>
      </w:r>
      <w:r w:rsidR="009D409A" w:rsidRPr="003171CD">
        <w:rPr>
          <w:bCs/>
          <w:lang w:val="en-US"/>
        </w:rPr>
        <w:t xml:space="preserve">game in the face of the </w:t>
      </w:r>
      <w:r w:rsidR="004C363C" w:rsidRPr="003171CD">
        <w:rPr>
          <w:bCs/>
          <w:lang w:val="en-US"/>
        </w:rPr>
        <w:t xml:space="preserve">State’s </w:t>
      </w:r>
      <w:r w:rsidR="005A65CE" w:rsidRPr="003171CD">
        <w:rPr>
          <w:bCs/>
          <w:lang w:val="en-US"/>
        </w:rPr>
        <w:t>p</w:t>
      </w:r>
      <w:r w:rsidR="00F3202A" w:rsidRPr="003171CD">
        <w:rPr>
          <w:bCs/>
          <w:lang w:val="en-US"/>
        </w:rPr>
        <w:t xml:space="preserve">unitive </w:t>
      </w:r>
      <w:r w:rsidR="009D409A" w:rsidRPr="003171CD">
        <w:rPr>
          <w:bCs/>
          <w:lang w:val="en-US"/>
        </w:rPr>
        <w:t>action</w:t>
      </w:r>
      <w:r w:rsidR="005A65CE" w:rsidRPr="003171CD">
        <w:rPr>
          <w:bCs/>
          <w:lang w:val="en-US"/>
        </w:rPr>
        <w:t xml:space="preserve">, </w:t>
      </w:r>
      <w:r w:rsidR="00E0643F" w:rsidRPr="003171CD">
        <w:rPr>
          <w:bCs/>
          <w:lang w:val="en-US"/>
        </w:rPr>
        <w:t xml:space="preserve">it </w:t>
      </w:r>
      <w:r w:rsidR="009D409A" w:rsidRPr="003171CD">
        <w:rPr>
          <w:bCs/>
          <w:lang w:val="en-US"/>
        </w:rPr>
        <w:t xml:space="preserve">being </w:t>
      </w:r>
      <w:r w:rsidR="00E0643F" w:rsidRPr="003171CD">
        <w:rPr>
          <w:bCs/>
          <w:lang w:val="en-US"/>
        </w:rPr>
        <w:t xml:space="preserve">necessary </w:t>
      </w:r>
      <w:r w:rsidR="009D409A" w:rsidRPr="003171CD">
        <w:rPr>
          <w:bCs/>
          <w:lang w:val="en-US"/>
        </w:rPr>
        <w:t xml:space="preserve">to </w:t>
      </w:r>
      <w:r w:rsidR="00F87433" w:rsidRPr="003171CD">
        <w:rPr>
          <w:bCs/>
          <w:lang w:val="en-US"/>
        </w:rPr>
        <w:t xml:space="preserve">ensure </w:t>
      </w:r>
      <w:r w:rsidR="005A65CE" w:rsidRPr="003171CD">
        <w:rPr>
          <w:bCs/>
          <w:lang w:val="en-US"/>
        </w:rPr>
        <w:t xml:space="preserve">a </w:t>
      </w:r>
      <w:r w:rsidR="004C363C" w:rsidRPr="003171CD">
        <w:rPr>
          <w:bCs/>
          <w:lang w:val="en-US"/>
        </w:rPr>
        <w:t xml:space="preserve">proper balance </w:t>
      </w:r>
      <w:r w:rsidR="008301BA" w:rsidRPr="003171CD">
        <w:rPr>
          <w:bCs/>
          <w:lang w:val="en-US"/>
        </w:rPr>
        <w:t xml:space="preserve">between </w:t>
      </w:r>
      <w:r w:rsidR="005A65CE" w:rsidRPr="003171CD">
        <w:rPr>
          <w:bCs/>
          <w:lang w:val="en-US"/>
        </w:rPr>
        <w:t xml:space="preserve">the </w:t>
      </w:r>
      <w:r w:rsidR="004C363C" w:rsidRPr="003171CD">
        <w:rPr>
          <w:bCs/>
          <w:lang w:val="en-US"/>
        </w:rPr>
        <w:t xml:space="preserve">prosecution </w:t>
      </w:r>
      <w:r w:rsidR="005A65CE" w:rsidRPr="003171CD">
        <w:rPr>
          <w:bCs/>
          <w:lang w:val="en-US"/>
        </w:rPr>
        <w:t xml:space="preserve">and the defense. </w:t>
      </w:r>
      <w:r w:rsidR="00E41811" w:rsidRPr="003171CD">
        <w:rPr>
          <w:bCs/>
          <w:lang w:val="en-US"/>
        </w:rPr>
        <w:t>In other words</w:t>
      </w:r>
      <w:r w:rsidR="005A65CE" w:rsidRPr="003171CD">
        <w:rPr>
          <w:bCs/>
          <w:lang w:val="en-US"/>
        </w:rPr>
        <w:t xml:space="preserve">, the </w:t>
      </w:r>
      <w:r w:rsidR="000D4247" w:rsidRPr="003171CD">
        <w:rPr>
          <w:bCs/>
          <w:lang w:val="en-US"/>
        </w:rPr>
        <w:t xml:space="preserve">significance </w:t>
      </w:r>
      <w:r w:rsidR="005A65CE" w:rsidRPr="003171CD">
        <w:rPr>
          <w:bCs/>
          <w:lang w:val="en-US"/>
        </w:rPr>
        <w:t>of a</w:t>
      </w:r>
      <w:r w:rsidR="00266893" w:rsidRPr="003171CD">
        <w:rPr>
          <w:bCs/>
          <w:lang w:val="en-US"/>
        </w:rPr>
        <w:t>n</w:t>
      </w:r>
      <w:r w:rsidR="005A65CE" w:rsidRPr="003171CD">
        <w:rPr>
          <w:bCs/>
          <w:lang w:val="en-US"/>
        </w:rPr>
        <w:t xml:space="preserve"> irregulari</w:t>
      </w:r>
      <w:r w:rsidR="001418A2" w:rsidRPr="003171CD">
        <w:rPr>
          <w:bCs/>
          <w:lang w:val="en-US"/>
        </w:rPr>
        <w:t xml:space="preserve">ty </w:t>
      </w:r>
      <w:r w:rsidR="004C363C" w:rsidRPr="003171CD">
        <w:rPr>
          <w:bCs/>
          <w:lang w:val="en-US"/>
        </w:rPr>
        <w:t xml:space="preserve">arising from the </w:t>
      </w:r>
      <w:r w:rsidR="005A65CE" w:rsidRPr="003171CD">
        <w:rPr>
          <w:bCs/>
          <w:lang w:val="en-US"/>
        </w:rPr>
        <w:t>a</w:t>
      </w:r>
      <w:r w:rsidR="00266893" w:rsidRPr="003171CD">
        <w:rPr>
          <w:bCs/>
          <w:lang w:val="en-US"/>
        </w:rPr>
        <w:t xml:space="preserve">bsence </w:t>
      </w:r>
      <w:r w:rsidR="005A65CE" w:rsidRPr="003171CD">
        <w:rPr>
          <w:bCs/>
          <w:lang w:val="en-US"/>
        </w:rPr>
        <w:t>or abandon</w:t>
      </w:r>
      <w:r w:rsidR="001A44FA" w:rsidRPr="003171CD">
        <w:rPr>
          <w:bCs/>
          <w:lang w:val="en-US"/>
        </w:rPr>
        <w:t>ment of</w:t>
      </w:r>
      <w:r w:rsidR="005A65CE" w:rsidRPr="003171CD">
        <w:rPr>
          <w:bCs/>
          <w:lang w:val="en-US"/>
        </w:rPr>
        <w:t xml:space="preserve"> the </w:t>
      </w:r>
      <w:r w:rsidR="00765AD7" w:rsidRPr="003171CD">
        <w:rPr>
          <w:bCs/>
          <w:lang w:val="en-US"/>
        </w:rPr>
        <w:t>right</w:t>
      </w:r>
      <w:r w:rsidR="004C363C" w:rsidRPr="003171CD">
        <w:rPr>
          <w:bCs/>
          <w:lang w:val="en-US"/>
        </w:rPr>
        <w:t xml:space="preserve"> of defense is</w:t>
      </w:r>
      <w:r w:rsidR="005A65CE" w:rsidRPr="003171CD">
        <w:rPr>
          <w:bCs/>
          <w:lang w:val="en-US"/>
        </w:rPr>
        <w:t xml:space="preserve"> </w:t>
      </w:r>
      <w:r w:rsidR="00E41811" w:rsidRPr="003171CD">
        <w:rPr>
          <w:bCs/>
          <w:lang w:val="en-US"/>
        </w:rPr>
        <w:t>significant of itself</w:t>
      </w:r>
      <w:r w:rsidR="00266893" w:rsidRPr="003171CD">
        <w:rPr>
          <w:bCs/>
          <w:lang w:val="en-US"/>
        </w:rPr>
        <w:t>.</w:t>
      </w:r>
      <w:r w:rsidR="005A65CE" w:rsidRPr="003171CD">
        <w:rPr>
          <w:bCs/>
          <w:lang w:val="en-US"/>
        </w:rPr>
        <w:t>”</w:t>
      </w:r>
      <w:r w:rsidR="005A65CE" w:rsidRPr="003171CD">
        <w:rPr>
          <w:rStyle w:val="Refdenotaalpie"/>
          <w:bCs/>
          <w:lang w:val="en-US"/>
        </w:rPr>
        <w:footnoteReference w:id="247"/>
      </w:r>
      <w:r w:rsidR="005A65CE" w:rsidRPr="003171CD">
        <w:rPr>
          <w:bCs/>
          <w:lang w:val="en-US"/>
        </w:rPr>
        <w:t xml:space="preserve"> </w:t>
      </w:r>
      <w:r w:rsidR="00266893" w:rsidRPr="003171CD">
        <w:rPr>
          <w:bCs/>
          <w:lang w:val="en-US"/>
        </w:rPr>
        <w:t>Consequently</w:t>
      </w:r>
      <w:r w:rsidR="005A65CE" w:rsidRPr="003171CD">
        <w:rPr>
          <w:bCs/>
          <w:lang w:val="en-US"/>
        </w:rPr>
        <w:t>, i</w:t>
      </w:r>
      <w:r w:rsidR="008301BA" w:rsidRPr="003171CD">
        <w:rPr>
          <w:bCs/>
          <w:lang w:val="en-US"/>
        </w:rPr>
        <w:t>t i</w:t>
      </w:r>
      <w:r w:rsidR="005A65CE" w:rsidRPr="003171CD">
        <w:rPr>
          <w:bCs/>
          <w:lang w:val="en-US"/>
        </w:rPr>
        <w:t xml:space="preserve">s </w:t>
      </w:r>
      <w:r w:rsidR="008301BA" w:rsidRPr="003171CD">
        <w:rPr>
          <w:lang w:val="en-US"/>
        </w:rPr>
        <w:t>the</w:t>
      </w:r>
      <w:r w:rsidR="005A65CE" w:rsidRPr="003171CD">
        <w:rPr>
          <w:lang w:val="en-US"/>
        </w:rPr>
        <w:t xml:space="preserve"> judge</w:t>
      </w:r>
      <w:r w:rsidR="000A776C" w:rsidRPr="003171CD">
        <w:rPr>
          <w:lang w:val="en-US"/>
        </w:rPr>
        <w:t xml:space="preserve"> </w:t>
      </w:r>
      <w:r w:rsidR="008301BA" w:rsidRPr="003171CD">
        <w:rPr>
          <w:lang w:val="en-US"/>
        </w:rPr>
        <w:t xml:space="preserve">who, </w:t>
      </w:r>
      <w:r w:rsidR="000A776C" w:rsidRPr="003171CD">
        <w:rPr>
          <w:lang w:val="en-US"/>
        </w:rPr>
        <w:t xml:space="preserve">as </w:t>
      </w:r>
      <w:r w:rsidR="00E0643F" w:rsidRPr="003171CD">
        <w:rPr>
          <w:lang w:val="en-US"/>
        </w:rPr>
        <w:t xml:space="preserve">the </w:t>
      </w:r>
      <w:r w:rsidR="005A65CE" w:rsidRPr="003171CD">
        <w:rPr>
          <w:lang w:val="en-US"/>
        </w:rPr>
        <w:t xml:space="preserve">director </w:t>
      </w:r>
      <w:r w:rsidR="008301BA" w:rsidRPr="003171CD">
        <w:rPr>
          <w:lang w:val="en-US"/>
        </w:rPr>
        <w:t>of the proceeding, is called upon to safeguard this</w:t>
      </w:r>
      <w:r w:rsidR="005A65CE" w:rsidRPr="003171CD">
        <w:rPr>
          <w:lang w:val="en-US"/>
        </w:rPr>
        <w:t xml:space="preserve"> </w:t>
      </w:r>
      <w:r w:rsidR="000B69EC" w:rsidRPr="003171CD">
        <w:rPr>
          <w:lang w:val="en-US"/>
        </w:rPr>
        <w:t>guarantee</w:t>
      </w:r>
      <w:r w:rsidR="005A65CE" w:rsidRPr="003171CD">
        <w:rPr>
          <w:iCs/>
          <w:lang w:val="en-US"/>
        </w:rPr>
        <w:t>,</w:t>
      </w:r>
      <w:r w:rsidR="005A65CE" w:rsidRPr="003171CD">
        <w:rPr>
          <w:lang w:val="en-US"/>
        </w:rPr>
        <w:t xml:space="preserve"> </w:t>
      </w:r>
      <w:r w:rsidR="001A44FA" w:rsidRPr="003171CD">
        <w:rPr>
          <w:lang w:val="en-US"/>
        </w:rPr>
        <w:t xml:space="preserve">which does not </w:t>
      </w:r>
      <w:r w:rsidR="00D53FA2" w:rsidRPr="003171CD">
        <w:rPr>
          <w:lang w:val="en-US"/>
        </w:rPr>
        <w:t xml:space="preserve">prevent the </w:t>
      </w:r>
      <w:r w:rsidR="004C363C" w:rsidRPr="003171CD">
        <w:rPr>
          <w:lang w:val="en-US"/>
        </w:rPr>
        <w:t xml:space="preserve">guardianship </w:t>
      </w:r>
      <w:r w:rsidR="005A65CE" w:rsidRPr="003171CD">
        <w:rPr>
          <w:lang w:val="en-US"/>
        </w:rPr>
        <w:t>judge</w:t>
      </w:r>
      <w:r w:rsidR="004C363C" w:rsidRPr="003171CD">
        <w:rPr>
          <w:lang w:val="en-US"/>
        </w:rPr>
        <w:t xml:space="preserve"> from </w:t>
      </w:r>
      <w:r w:rsidR="005A65CE" w:rsidRPr="003171CD">
        <w:rPr>
          <w:lang w:val="en-US"/>
        </w:rPr>
        <w:t xml:space="preserve">eventually </w:t>
      </w:r>
      <w:r w:rsidR="00FE39FA" w:rsidRPr="003171CD">
        <w:rPr>
          <w:lang w:val="en-US"/>
        </w:rPr>
        <w:t>protect</w:t>
      </w:r>
      <w:r w:rsidR="00E41811" w:rsidRPr="003171CD">
        <w:rPr>
          <w:lang w:val="en-US"/>
        </w:rPr>
        <w:t>ing</w:t>
      </w:r>
      <w:r w:rsidR="00FE39FA" w:rsidRPr="003171CD">
        <w:rPr>
          <w:lang w:val="en-US"/>
        </w:rPr>
        <w:t xml:space="preserve"> that </w:t>
      </w:r>
      <w:r w:rsidR="00765AD7" w:rsidRPr="003171CD">
        <w:rPr>
          <w:lang w:val="en-US"/>
        </w:rPr>
        <w:t>right</w:t>
      </w:r>
      <w:r w:rsidR="00266893" w:rsidRPr="003171CD">
        <w:rPr>
          <w:lang w:val="en-US"/>
        </w:rPr>
        <w:t>. I</w:t>
      </w:r>
      <w:r w:rsidR="00675E2E" w:rsidRPr="003171CD">
        <w:rPr>
          <w:lang w:val="en-US"/>
        </w:rPr>
        <w:t>n this regard</w:t>
      </w:r>
      <w:r w:rsidR="005A65CE" w:rsidRPr="003171CD">
        <w:rPr>
          <w:lang w:val="en-US"/>
        </w:rPr>
        <w:t xml:space="preserve">, </w:t>
      </w:r>
      <w:r w:rsidR="005A65CE" w:rsidRPr="003171CD">
        <w:rPr>
          <w:rFonts w:eastAsiaTheme="minorHAnsi" w:cs="Arial"/>
          <w:lang w:val="en-US"/>
        </w:rPr>
        <w:t xml:space="preserve">the </w:t>
      </w:r>
      <w:r w:rsidR="00FE39FA" w:rsidRPr="003171CD">
        <w:rPr>
          <w:rFonts w:eastAsiaTheme="minorHAnsi" w:cs="Arial"/>
          <w:lang w:val="en-US"/>
        </w:rPr>
        <w:t>Constitutional Court</w:t>
      </w:r>
      <w:r w:rsidR="005A65CE" w:rsidRPr="003171CD">
        <w:rPr>
          <w:rFonts w:eastAsiaTheme="minorHAnsi" w:cs="Arial"/>
          <w:lang w:val="en-US"/>
        </w:rPr>
        <w:t xml:space="preserve"> of Colombia ha</w:t>
      </w:r>
      <w:r w:rsidR="00266893" w:rsidRPr="003171CD">
        <w:rPr>
          <w:rFonts w:eastAsiaTheme="minorHAnsi" w:cs="Arial"/>
          <w:lang w:val="en-US"/>
        </w:rPr>
        <w:t>s</w:t>
      </w:r>
      <w:r w:rsidR="005A65CE" w:rsidRPr="003171CD">
        <w:rPr>
          <w:rFonts w:eastAsiaTheme="minorHAnsi" w:cs="Arial"/>
          <w:lang w:val="en-US"/>
        </w:rPr>
        <w:t xml:space="preserve"> </w:t>
      </w:r>
      <w:r w:rsidR="00FE39FA" w:rsidRPr="003171CD">
        <w:rPr>
          <w:rFonts w:eastAsiaTheme="minorHAnsi" w:cs="Arial"/>
          <w:lang w:val="en-US"/>
        </w:rPr>
        <w:t>held that</w:t>
      </w:r>
      <w:r w:rsidR="005A65CE" w:rsidRPr="003171CD">
        <w:rPr>
          <w:rFonts w:eastAsiaTheme="minorHAnsi" w:cs="Arial"/>
          <w:lang w:val="en-US"/>
        </w:rPr>
        <w:t xml:space="preserve">, </w:t>
      </w:r>
      <w:r w:rsidR="00266893" w:rsidRPr="003171CD">
        <w:rPr>
          <w:rFonts w:eastAsiaTheme="minorHAnsi" w:cs="Arial"/>
          <w:lang w:val="en-US"/>
        </w:rPr>
        <w:t xml:space="preserve">under certain </w:t>
      </w:r>
      <w:r w:rsidR="005A65CE" w:rsidRPr="003171CD">
        <w:rPr>
          <w:rFonts w:eastAsiaTheme="minorHAnsi" w:cs="Arial"/>
          <w:lang w:val="en-US"/>
        </w:rPr>
        <w:t xml:space="preserve">circumstances, the </w:t>
      </w:r>
      <w:r w:rsidR="00E41811" w:rsidRPr="003171CD">
        <w:rPr>
          <w:rFonts w:eastAsiaTheme="minorHAnsi" w:cs="Arial"/>
          <w:lang w:val="en-US"/>
        </w:rPr>
        <w:t xml:space="preserve">remedy </w:t>
      </w:r>
      <w:r w:rsidR="005A65CE" w:rsidRPr="003171CD">
        <w:rPr>
          <w:rFonts w:eastAsiaTheme="minorHAnsi" w:cs="Arial"/>
          <w:iCs/>
          <w:lang w:val="en-US"/>
        </w:rPr>
        <w:t xml:space="preserve">of </w:t>
      </w:r>
      <w:r w:rsidR="00675E2E" w:rsidRPr="003171CD">
        <w:rPr>
          <w:rFonts w:eastAsiaTheme="minorHAnsi" w:cs="Arial"/>
          <w:iCs/>
          <w:lang w:val="en-US"/>
        </w:rPr>
        <w:t xml:space="preserve">protection </w:t>
      </w:r>
      <w:r w:rsidR="00E41811" w:rsidRPr="003171CD">
        <w:rPr>
          <w:rFonts w:eastAsiaTheme="minorHAnsi" w:cs="Arial"/>
          <w:iCs/>
          <w:lang w:val="en-US"/>
        </w:rPr>
        <w:t xml:space="preserve">or guardianship </w:t>
      </w:r>
      <w:r w:rsidR="00675E2E" w:rsidRPr="003171CD">
        <w:rPr>
          <w:rFonts w:eastAsiaTheme="minorHAnsi" w:cs="Arial"/>
          <w:iCs/>
          <w:lang w:val="en-US"/>
        </w:rPr>
        <w:t xml:space="preserve">is appropriate in the event of the </w:t>
      </w:r>
      <w:r w:rsidR="00D42FEA" w:rsidRPr="003171CD">
        <w:rPr>
          <w:rFonts w:eastAsiaTheme="minorHAnsi" w:cs="Arial"/>
          <w:iCs/>
          <w:lang w:val="en-US"/>
        </w:rPr>
        <w:t>violation</w:t>
      </w:r>
      <w:r w:rsidR="005A65CE" w:rsidRPr="003171CD">
        <w:rPr>
          <w:rFonts w:eastAsiaTheme="minorHAnsi" w:cs="Arial"/>
          <w:iCs/>
          <w:lang w:val="en-US"/>
        </w:rPr>
        <w:t xml:space="preserve"> </w:t>
      </w:r>
      <w:r w:rsidR="00675E2E" w:rsidRPr="003171CD">
        <w:rPr>
          <w:rFonts w:eastAsiaTheme="minorHAnsi" w:cs="Arial"/>
          <w:iCs/>
          <w:lang w:val="en-US"/>
        </w:rPr>
        <w:t xml:space="preserve">of the </w:t>
      </w:r>
      <w:r w:rsidR="00E0643F" w:rsidRPr="003171CD">
        <w:rPr>
          <w:rFonts w:eastAsiaTheme="minorHAnsi" w:cs="Arial"/>
          <w:iCs/>
          <w:lang w:val="en-US"/>
        </w:rPr>
        <w:t xml:space="preserve">right to </w:t>
      </w:r>
      <w:r w:rsidR="00675E2E" w:rsidRPr="003171CD">
        <w:rPr>
          <w:rFonts w:eastAsiaTheme="minorHAnsi" w:cs="Arial"/>
          <w:iCs/>
          <w:szCs w:val="28"/>
          <w:lang w:val="en-US"/>
        </w:rPr>
        <w:t xml:space="preserve">legal </w:t>
      </w:r>
      <w:r w:rsidR="00E86957" w:rsidRPr="003171CD">
        <w:rPr>
          <w:rFonts w:eastAsiaTheme="minorHAnsi" w:cs="Arial"/>
          <w:iCs/>
          <w:szCs w:val="28"/>
          <w:lang w:val="en-US"/>
        </w:rPr>
        <w:t>defense</w:t>
      </w:r>
      <w:r w:rsidR="008301BA" w:rsidRPr="003171CD">
        <w:rPr>
          <w:rFonts w:eastAsiaTheme="minorHAnsi" w:cs="Arial"/>
          <w:iCs/>
          <w:lang w:val="en-US"/>
        </w:rPr>
        <w:t>. T</w:t>
      </w:r>
      <w:r w:rsidR="00B4224C" w:rsidRPr="003171CD">
        <w:rPr>
          <w:rFonts w:eastAsiaTheme="minorHAnsi" w:cs="Arial"/>
          <w:iCs/>
          <w:lang w:val="en-US"/>
        </w:rPr>
        <w:t>he elements to</w:t>
      </w:r>
      <w:r w:rsidR="005A65CE" w:rsidRPr="003171CD">
        <w:rPr>
          <w:rFonts w:eastAsiaTheme="minorHAnsi" w:cs="Arial"/>
          <w:iCs/>
          <w:lang w:val="en-US"/>
        </w:rPr>
        <w:t xml:space="preserve"> consider </w:t>
      </w:r>
      <w:r w:rsidR="001A44FA" w:rsidRPr="003171CD">
        <w:rPr>
          <w:rFonts w:eastAsiaTheme="minorHAnsi" w:cs="Arial"/>
          <w:iCs/>
          <w:lang w:val="en-US"/>
        </w:rPr>
        <w:t xml:space="preserve">would </w:t>
      </w:r>
      <w:r w:rsidR="001A44FA" w:rsidRPr="003171CD">
        <w:rPr>
          <w:rFonts w:eastAsiaTheme="minorHAnsi" w:cs="Arial"/>
          <w:iCs/>
          <w:lang w:val="en-US"/>
        </w:rPr>
        <w:lastRenderedPageBreak/>
        <w:t>be</w:t>
      </w:r>
      <w:r w:rsidR="005A65CE" w:rsidRPr="003171CD">
        <w:rPr>
          <w:rFonts w:eastAsiaTheme="minorHAnsi" w:cs="Arial"/>
          <w:iCs/>
          <w:lang w:val="en-US"/>
        </w:rPr>
        <w:t xml:space="preserve">: “(1) that </w:t>
      </w:r>
      <w:r w:rsidR="001A44FA" w:rsidRPr="003171CD">
        <w:rPr>
          <w:rFonts w:eastAsiaTheme="minorHAnsi" w:cs="Arial"/>
          <w:iCs/>
          <w:lang w:val="en-US"/>
        </w:rPr>
        <w:t xml:space="preserve">there were </w:t>
      </w:r>
      <w:r w:rsidR="00E41811" w:rsidRPr="003171CD">
        <w:rPr>
          <w:rFonts w:eastAsiaTheme="minorHAnsi" w:cs="Arial"/>
          <w:iCs/>
          <w:lang w:val="en-US"/>
        </w:rPr>
        <w:t xml:space="preserve">indeed </w:t>
      </w:r>
      <w:r w:rsidR="00D80B4C" w:rsidRPr="003171CD">
        <w:rPr>
          <w:rFonts w:eastAsiaTheme="minorHAnsi" w:cs="Arial"/>
          <w:iCs/>
          <w:lang w:val="en-US"/>
        </w:rPr>
        <w:t>failings</w:t>
      </w:r>
      <w:r w:rsidR="005A65CE" w:rsidRPr="003171CD">
        <w:rPr>
          <w:rFonts w:eastAsiaTheme="minorHAnsi" w:cs="Arial"/>
          <w:iCs/>
          <w:lang w:val="en-US"/>
        </w:rPr>
        <w:t xml:space="preserve"> in the defense </w:t>
      </w:r>
      <w:r w:rsidR="000E7AC9" w:rsidRPr="003171CD">
        <w:rPr>
          <w:rFonts w:eastAsiaTheme="minorHAnsi" w:cs="Arial"/>
          <w:iCs/>
          <w:lang w:val="en-US"/>
        </w:rPr>
        <w:t>that cannot be accepted</w:t>
      </w:r>
      <w:r w:rsidR="005A65CE" w:rsidRPr="003171CD">
        <w:rPr>
          <w:rFonts w:eastAsiaTheme="minorHAnsi" w:cs="Arial"/>
          <w:iCs/>
          <w:lang w:val="en-US"/>
        </w:rPr>
        <w:t xml:space="preserve">, </w:t>
      </w:r>
      <w:r w:rsidR="00675E2E" w:rsidRPr="003171CD">
        <w:rPr>
          <w:rFonts w:eastAsiaTheme="minorHAnsi" w:cs="Arial"/>
          <w:iCs/>
          <w:lang w:val="en-US"/>
        </w:rPr>
        <w:t xml:space="preserve">from </w:t>
      </w:r>
      <w:r w:rsidR="00E41811" w:rsidRPr="003171CD">
        <w:rPr>
          <w:rFonts w:eastAsiaTheme="minorHAnsi" w:cs="Arial"/>
          <w:iCs/>
          <w:lang w:val="en-US"/>
        </w:rPr>
        <w:t xml:space="preserve">any </w:t>
      </w:r>
      <w:r w:rsidR="00675E2E" w:rsidRPr="003171CD">
        <w:rPr>
          <w:rFonts w:eastAsiaTheme="minorHAnsi" w:cs="Arial"/>
          <w:iCs/>
          <w:lang w:val="en-US"/>
        </w:rPr>
        <w:t>perspective</w:t>
      </w:r>
      <w:r w:rsidR="005A65CE" w:rsidRPr="003171CD">
        <w:rPr>
          <w:rFonts w:eastAsiaTheme="minorHAnsi" w:cs="Arial"/>
          <w:iCs/>
          <w:lang w:val="en-US"/>
        </w:rPr>
        <w:t xml:space="preserve">, </w:t>
      </w:r>
      <w:r w:rsidR="00164596" w:rsidRPr="003171CD">
        <w:rPr>
          <w:rFonts w:eastAsiaTheme="minorHAnsi" w:cs="Arial"/>
          <w:iCs/>
          <w:lang w:val="en-US"/>
        </w:rPr>
        <w:t xml:space="preserve">as part of </w:t>
      </w:r>
      <w:r w:rsidR="008E78A8" w:rsidRPr="003171CD">
        <w:rPr>
          <w:rFonts w:eastAsiaTheme="minorHAnsi" w:cs="Arial"/>
          <w:iCs/>
          <w:lang w:val="en-US"/>
        </w:rPr>
        <w:t xml:space="preserve">the </w:t>
      </w:r>
      <w:r w:rsidR="001A44FA" w:rsidRPr="003171CD">
        <w:rPr>
          <w:rFonts w:eastAsiaTheme="minorHAnsi" w:cs="Arial"/>
          <w:iCs/>
          <w:lang w:val="en-US"/>
        </w:rPr>
        <w:t xml:space="preserve">wide </w:t>
      </w:r>
      <w:r w:rsidR="00E41811" w:rsidRPr="003171CD">
        <w:rPr>
          <w:rFonts w:eastAsiaTheme="minorHAnsi" w:cs="Arial"/>
          <w:iCs/>
          <w:lang w:val="en-US"/>
        </w:rPr>
        <w:t xml:space="preserve">degree of freedom </w:t>
      </w:r>
      <w:r w:rsidR="001A44FA" w:rsidRPr="003171CD">
        <w:rPr>
          <w:rFonts w:eastAsiaTheme="minorHAnsi" w:cs="Arial"/>
          <w:iCs/>
          <w:lang w:val="en-US"/>
        </w:rPr>
        <w:t xml:space="preserve">available to </w:t>
      </w:r>
      <w:r w:rsidR="005A65CE" w:rsidRPr="003171CD">
        <w:rPr>
          <w:rFonts w:eastAsiaTheme="minorHAnsi" w:cs="Arial"/>
          <w:iCs/>
          <w:lang w:val="en-US"/>
        </w:rPr>
        <w:t>the a</w:t>
      </w:r>
      <w:r w:rsidR="00331E2A" w:rsidRPr="003171CD">
        <w:rPr>
          <w:rFonts w:eastAsiaTheme="minorHAnsi" w:cs="Arial"/>
          <w:iCs/>
          <w:lang w:val="en-US"/>
        </w:rPr>
        <w:t xml:space="preserve">ttorney </w:t>
      </w:r>
      <w:r w:rsidR="008301BA" w:rsidRPr="003171CD">
        <w:rPr>
          <w:rFonts w:eastAsiaTheme="minorHAnsi" w:cs="Arial"/>
          <w:iCs/>
          <w:lang w:val="en-US"/>
        </w:rPr>
        <w:t xml:space="preserve">to choose an adequate defense </w:t>
      </w:r>
      <w:r w:rsidR="00BC3E64" w:rsidRPr="003171CD">
        <w:rPr>
          <w:rFonts w:eastAsiaTheme="minorHAnsi" w:cs="Arial"/>
          <w:iCs/>
          <w:lang w:val="en-US"/>
        </w:rPr>
        <w:t>strategy</w:t>
      </w:r>
      <w:r w:rsidR="005A65CE" w:rsidRPr="003171CD">
        <w:rPr>
          <w:rFonts w:eastAsiaTheme="minorHAnsi" w:cs="Arial"/>
          <w:iCs/>
          <w:lang w:val="en-US"/>
        </w:rPr>
        <w:t>; (2</w:t>
      </w:r>
      <w:r w:rsidR="00B4224C" w:rsidRPr="003171CD">
        <w:rPr>
          <w:rFonts w:eastAsiaTheme="minorHAnsi" w:cs="Arial"/>
          <w:iCs/>
          <w:lang w:val="en-US"/>
        </w:rPr>
        <w:t xml:space="preserve">) that the </w:t>
      </w:r>
      <w:r w:rsidR="00E41811" w:rsidRPr="003171CD">
        <w:rPr>
          <w:rFonts w:eastAsiaTheme="minorHAnsi" w:cs="Arial"/>
          <w:iCs/>
          <w:lang w:val="en-US"/>
        </w:rPr>
        <w:t>afore</w:t>
      </w:r>
      <w:r w:rsidR="00B4224C" w:rsidRPr="003171CD">
        <w:rPr>
          <w:rFonts w:eastAsiaTheme="minorHAnsi" w:cs="Arial"/>
          <w:iCs/>
          <w:lang w:val="en-US"/>
        </w:rPr>
        <w:t>mentioned deficiencie</w:t>
      </w:r>
      <w:r w:rsidR="005A65CE" w:rsidRPr="003171CD">
        <w:rPr>
          <w:rFonts w:eastAsiaTheme="minorHAnsi" w:cs="Arial"/>
          <w:iCs/>
          <w:lang w:val="en-US"/>
        </w:rPr>
        <w:t xml:space="preserve">s </w:t>
      </w:r>
      <w:r w:rsidR="00B4224C" w:rsidRPr="003171CD">
        <w:rPr>
          <w:rFonts w:eastAsiaTheme="minorHAnsi" w:cs="Arial"/>
          <w:iCs/>
          <w:lang w:val="en-US"/>
        </w:rPr>
        <w:t xml:space="preserve">are not </w:t>
      </w:r>
      <w:r w:rsidR="001A44FA" w:rsidRPr="003171CD">
        <w:rPr>
          <w:rFonts w:eastAsiaTheme="minorHAnsi" w:cs="Arial"/>
          <w:iCs/>
          <w:lang w:val="en-US"/>
        </w:rPr>
        <w:t xml:space="preserve">attributable to </w:t>
      </w:r>
      <w:r w:rsidR="00675E2E" w:rsidRPr="003171CD">
        <w:rPr>
          <w:rFonts w:eastAsiaTheme="minorHAnsi" w:cs="Arial"/>
          <w:iCs/>
          <w:lang w:val="en-US"/>
        </w:rPr>
        <w:t>the accused</w:t>
      </w:r>
      <w:r w:rsidR="005A65CE" w:rsidRPr="003171CD">
        <w:rPr>
          <w:rFonts w:eastAsiaTheme="minorHAnsi" w:cs="Arial"/>
          <w:iCs/>
          <w:lang w:val="en-US"/>
        </w:rPr>
        <w:t xml:space="preserve">; (3) that the </w:t>
      </w:r>
      <w:r w:rsidR="003E02EA" w:rsidRPr="003171CD">
        <w:rPr>
          <w:rFonts w:eastAsiaTheme="minorHAnsi" w:cs="Arial"/>
          <w:iCs/>
          <w:lang w:val="en-US"/>
        </w:rPr>
        <w:t>lack</w:t>
      </w:r>
      <w:r w:rsidR="00B4224C" w:rsidRPr="003171CD">
        <w:rPr>
          <w:rFonts w:eastAsiaTheme="minorHAnsi" w:cs="Arial"/>
          <w:iCs/>
          <w:lang w:val="en-US"/>
        </w:rPr>
        <w:t xml:space="preserve"> of </w:t>
      </w:r>
      <w:r w:rsidR="00164596" w:rsidRPr="003171CD">
        <w:rPr>
          <w:rFonts w:eastAsiaTheme="minorHAnsi" w:cs="Arial"/>
          <w:iCs/>
          <w:lang w:val="en-US"/>
        </w:rPr>
        <w:t xml:space="preserve">a </w:t>
      </w:r>
      <w:r w:rsidR="00B4224C" w:rsidRPr="003171CD">
        <w:rPr>
          <w:rFonts w:eastAsiaTheme="minorHAnsi" w:cs="Arial"/>
          <w:iCs/>
          <w:lang w:val="en-US"/>
        </w:rPr>
        <w:t>material or tech</w:t>
      </w:r>
      <w:r w:rsidR="005A65CE" w:rsidRPr="003171CD">
        <w:rPr>
          <w:rFonts w:eastAsiaTheme="minorHAnsi" w:cs="Arial"/>
          <w:iCs/>
          <w:lang w:val="en-US"/>
        </w:rPr>
        <w:t>nic</w:t>
      </w:r>
      <w:r w:rsidR="00B4224C" w:rsidRPr="003171CD">
        <w:rPr>
          <w:rFonts w:eastAsiaTheme="minorHAnsi" w:cs="Arial"/>
          <w:iCs/>
          <w:lang w:val="en-US"/>
        </w:rPr>
        <w:t xml:space="preserve">al </w:t>
      </w:r>
      <w:r w:rsidR="00266893" w:rsidRPr="003171CD">
        <w:rPr>
          <w:rFonts w:eastAsiaTheme="minorHAnsi" w:cs="Arial"/>
          <w:iCs/>
          <w:lang w:val="en-US"/>
        </w:rPr>
        <w:t>defense had</w:t>
      </w:r>
      <w:r w:rsidR="00164596" w:rsidRPr="003171CD">
        <w:rPr>
          <w:rFonts w:eastAsiaTheme="minorHAnsi" w:cs="Arial"/>
          <w:iCs/>
          <w:lang w:val="en-US"/>
        </w:rPr>
        <w:t>,</w:t>
      </w:r>
      <w:r w:rsidR="00266893" w:rsidRPr="003171CD">
        <w:rPr>
          <w:rFonts w:eastAsiaTheme="minorHAnsi" w:cs="Arial"/>
          <w:iCs/>
          <w:lang w:val="en-US"/>
        </w:rPr>
        <w:t xml:space="preserve"> or could have</w:t>
      </w:r>
      <w:r w:rsidR="00164596" w:rsidRPr="003171CD">
        <w:rPr>
          <w:rFonts w:eastAsiaTheme="minorHAnsi" w:cs="Arial"/>
          <w:iCs/>
          <w:lang w:val="en-US"/>
        </w:rPr>
        <w:t>,</w:t>
      </w:r>
      <w:r w:rsidR="00266893" w:rsidRPr="003171CD">
        <w:rPr>
          <w:rFonts w:eastAsiaTheme="minorHAnsi" w:cs="Arial"/>
          <w:iCs/>
          <w:lang w:val="en-US"/>
        </w:rPr>
        <w:t xml:space="preserve"> </w:t>
      </w:r>
      <w:r w:rsidR="001418A2" w:rsidRPr="003171CD">
        <w:rPr>
          <w:rFonts w:eastAsiaTheme="minorHAnsi" w:cs="Arial"/>
          <w:iCs/>
          <w:lang w:val="en-US"/>
        </w:rPr>
        <w:t>a</w:t>
      </w:r>
      <w:r w:rsidR="00266893" w:rsidRPr="003171CD">
        <w:rPr>
          <w:rFonts w:eastAsiaTheme="minorHAnsi" w:cs="Arial"/>
          <w:iCs/>
          <w:lang w:val="en-US"/>
        </w:rPr>
        <w:t xml:space="preserve"> </w:t>
      </w:r>
      <w:r w:rsidR="00164596" w:rsidRPr="003171CD">
        <w:rPr>
          <w:rFonts w:eastAsiaTheme="minorHAnsi" w:cs="Arial"/>
          <w:iCs/>
          <w:lang w:val="en-US"/>
        </w:rPr>
        <w:t xml:space="preserve">clear and </w:t>
      </w:r>
      <w:r w:rsidR="00266893" w:rsidRPr="003171CD">
        <w:rPr>
          <w:rFonts w:eastAsiaTheme="minorHAnsi" w:cs="Arial"/>
          <w:iCs/>
          <w:lang w:val="en-US"/>
        </w:rPr>
        <w:t>decisive</w:t>
      </w:r>
      <w:r w:rsidR="00F21BB4" w:rsidRPr="003171CD">
        <w:rPr>
          <w:rFonts w:eastAsiaTheme="minorHAnsi" w:cs="Arial"/>
          <w:iCs/>
          <w:lang w:val="en-US"/>
        </w:rPr>
        <w:t xml:space="preserve"> </w:t>
      </w:r>
      <w:r w:rsidR="001418A2" w:rsidRPr="003171CD">
        <w:rPr>
          <w:rFonts w:eastAsiaTheme="minorHAnsi" w:cs="Arial"/>
          <w:iCs/>
          <w:lang w:val="en-US"/>
        </w:rPr>
        <w:t xml:space="preserve">effect </w:t>
      </w:r>
      <w:r w:rsidR="005A65CE" w:rsidRPr="003171CD">
        <w:rPr>
          <w:rFonts w:eastAsiaTheme="minorHAnsi" w:cs="Arial"/>
          <w:iCs/>
          <w:lang w:val="en-US"/>
        </w:rPr>
        <w:t xml:space="preserve">on the </w:t>
      </w:r>
      <w:r w:rsidR="00164596" w:rsidRPr="003171CD">
        <w:rPr>
          <w:rFonts w:eastAsiaTheme="minorHAnsi" w:cs="Arial"/>
          <w:iCs/>
          <w:lang w:val="en-US"/>
        </w:rPr>
        <w:t>judgment</w:t>
      </w:r>
      <w:r w:rsidR="00F21BB4" w:rsidRPr="003171CD">
        <w:rPr>
          <w:rFonts w:eastAsiaTheme="minorHAnsi" w:cs="Arial"/>
          <w:iCs/>
          <w:lang w:val="en-US"/>
        </w:rPr>
        <w:t>,</w:t>
      </w:r>
      <w:r w:rsidR="001A44FA" w:rsidRPr="003171CD">
        <w:rPr>
          <w:rFonts w:eastAsiaTheme="minorHAnsi" w:cs="Arial"/>
          <w:iCs/>
          <w:lang w:val="en-US"/>
        </w:rPr>
        <w:t xml:space="preserve"> </w:t>
      </w:r>
      <w:r w:rsidR="00164596" w:rsidRPr="003171CD">
        <w:rPr>
          <w:rFonts w:eastAsiaTheme="minorHAnsi" w:cs="Arial"/>
          <w:iCs/>
          <w:lang w:val="en-US"/>
        </w:rPr>
        <w:t xml:space="preserve">resulting in </w:t>
      </w:r>
      <w:r w:rsidR="005B7FBD" w:rsidRPr="003171CD">
        <w:rPr>
          <w:rFonts w:eastAsiaTheme="minorHAnsi" w:cs="Arial"/>
          <w:iCs/>
          <w:lang w:val="en-US"/>
        </w:rPr>
        <w:t xml:space="preserve">one </w:t>
      </w:r>
      <w:r w:rsidR="001418A2" w:rsidRPr="003171CD">
        <w:rPr>
          <w:rFonts w:eastAsiaTheme="minorHAnsi" w:cs="Arial"/>
          <w:iCs/>
          <w:lang w:val="en-US"/>
        </w:rPr>
        <w:t xml:space="preserve">of the </w:t>
      </w:r>
      <w:r w:rsidR="00266893" w:rsidRPr="003171CD">
        <w:rPr>
          <w:rFonts w:eastAsiaTheme="minorHAnsi" w:cs="Arial"/>
          <w:iCs/>
          <w:lang w:val="en-US"/>
        </w:rPr>
        <w:t xml:space="preserve">four </w:t>
      </w:r>
      <w:r w:rsidR="001418A2" w:rsidRPr="003171CD">
        <w:rPr>
          <w:rFonts w:eastAsiaTheme="minorHAnsi" w:cs="Arial"/>
          <w:iCs/>
          <w:lang w:val="en-US"/>
        </w:rPr>
        <w:t>def</w:t>
      </w:r>
      <w:r w:rsidR="005A65CE" w:rsidRPr="003171CD">
        <w:rPr>
          <w:rFonts w:eastAsiaTheme="minorHAnsi" w:cs="Arial"/>
          <w:iCs/>
          <w:lang w:val="en-US"/>
        </w:rPr>
        <w:t xml:space="preserve">ects </w:t>
      </w:r>
      <w:r w:rsidR="005B7FBD" w:rsidRPr="003171CD">
        <w:rPr>
          <w:rFonts w:eastAsiaTheme="minorHAnsi" w:cs="Arial"/>
          <w:iCs/>
          <w:lang w:val="en-US"/>
        </w:rPr>
        <w:t xml:space="preserve">noted </w:t>
      </w:r>
      <w:r w:rsidR="00B4224C" w:rsidRPr="003171CD">
        <w:rPr>
          <w:rFonts w:eastAsiaTheme="minorHAnsi" w:cs="Arial"/>
          <w:iCs/>
          <w:lang w:val="en-US"/>
        </w:rPr>
        <w:t>-su</w:t>
      </w:r>
      <w:r w:rsidR="00675E2E" w:rsidRPr="003171CD">
        <w:rPr>
          <w:rFonts w:eastAsiaTheme="minorHAnsi" w:cs="Arial"/>
          <w:iCs/>
          <w:lang w:val="en-US"/>
        </w:rPr>
        <w:t>bstantive</w:t>
      </w:r>
      <w:r w:rsidR="00B4224C" w:rsidRPr="003171CD">
        <w:rPr>
          <w:rFonts w:eastAsiaTheme="minorHAnsi" w:cs="Arial"/>
          <w:iCs/>
          <w:lang w:val="en-US"/>
        </w:rPr>
        <w:t xml:space="preserve">, </w:t>
      </w:r>
      <w:r w:rsidR="00675E2E" w:rsidRPr="003171CD">
        <w:rPr>
          <w:rFonts w:eastAsiaTheme="minorHAnsi" w:cs="Arial"/>
          <w:iCs/>
          <w:lang w:val="en-US"/>
        </w:rPr>
        <w:t>factual</w:t>
      </w:r>
      <w:r w:rsidR="00B4224C" w:rsidRPr="003171CD">
        <w:rPr>
          <w:rFonts w:eastAsiaTheme="minorHAnsi" w:cs="Arial"/>
          <w:iCs/>
          <w:lang w:val="en-US"/>
        </w:rPr>
        <w:t>, organic</w:t>
      </w:r>
      <w:r w:rsidR="005A65CE" w:rsidRPr="003171CD">
        <w:rPr>
          <w:rFonts w:eastAsiaTheme="minorHAnsi" w:cs="Arial"/>
          <w:iCs/>
          <w:lang w:val="en-US"/>
        </w:rPr>
        <w:t xml:space="preserve"> or proced</w:t>
      </w:r>
      <w:r w:rsidR="00266893" w:rsidRPr="003171CD">
        <w:rPr>
          <w:rFonts w:eastAsiaTheme="minorHAnsi" w:cs="Arial"/>
          <w:iCs/>
          <w:lang w:val="en-US"/>
        </w:rPr>
        <w:t xml:space="preserve">ural </w:t>
      </w:r>
      <w:r w:rsidR="005A65CE" w:rsidRPr="003171CD">
        <w:rPr>
          <w:rFonts w:eastAsiaTheme="minorHAnsi" w:cs="Arial"/>
          <w:iCs/>
          <w:lang w:val="en-US"/>
        </w:rPr>
        <w:t xml:space="preserve">-; (4) </w:t>
      </w:r>
      <w:r w:rsidR="005B7FBD" w:rsidRPr="003171CD">
        <w:rPr>
          <w:rFonts w:eastAsiaTheme="minorHAnsi" w:cs="Arial"/>
          <w:iCs/>
          <w:lang w:val="en-US"/>
        </w:rPr>
        <w:t>that</w:t>
      </w:r>
      <w:r w:rsidR="005A65CE" w:rsidRPr="003171CD">
        <w:rPr>
          <w:rFonts w:eastAsiaTheme="minorHAnsi" w:cs="Arial"/>
          <w:iCs/>
          <w:lang w:val="en-US"/>
        </w:rPr>
        <w:t>,</w:t>
      </w:r>
      <w:r w:rsidR="000A776C" w:rsidRPr="003171CD">
        <w:rPr>
          <w:rFonts w:eastAsiaTheme="minorHAnsi" w:cs="Arial"/>
          <w:iCs/>
          <w:lang w:val="en-US"/>
        </w:rPr>
        <w:t xml:space="preserve"> as </w:t>
      </w:r>
      <w:r w:rsidR="00FE39FA" w:rsidRPr="003171CD">
        <w:rPr>
          <w:rFonts w:eastAsiaTheme="minorHAnsi" w:cs="Arial"/>
          <w:iCs/>
          <w:lang w:val="en-US"/>
        </w:rPr>
        <w:t>a consequence</w:t>
      </w:r>
      <w:r w:rsidR="005A65CE" w:rsidRPr="003171CD">
        <w:rPr>
          <w:rFonts w:eastAsiaTheme="minorHAnsi" w:cs="Arial"/>
          <w:iCs/>
          <w:lang w:val="en-US"/>
        </w:rPr>
        <w:t xml:space="preserve"> of </w:t>
      </w:r>
      <w:r w:rsidR="005B7FBD" w:rsidRPr="003171CD">
        <w:rPr>
          <w:rFonts w:eastAsiaTheme="minorHAnsi" w:cs="Arial"/>
          <w:iCs/>
          <w:lang w:val="en-US"/>
        </w:rPr>
        <w:t xml:space="preserve">all the </w:t>
      </w:r>
      <w:r w:rsidR="000E7AC9" w:rsidRPr="003171CD">
        <w:rPr>
          <w:rFonts w:eastAsiaTheme="minorHAnsi" w:cs="Arial"/>
          <w:iCs/>
          <w:lang w:val="en-US"/>
        </w:rPr>
        <w:t>above</w:t>
      </w:r>
      <w:r w:rsidR="005A65CE" w:rsidRPr="003171CD">
        <w:rPr>
          <w:rFonts w:eastAsiaTheme="minorHAnsi" w:cs="Arial"/>
          <w:iCs/>
          <w:lang w:val="en-US"/>
        </w:rPr>
        <w:t xml:space="preserve">, </w:t>
      </w:r>
      <w:r w:rsidR="00164596" w:rsidRPr="003171CD">
        <w:rPr>
          <w:rFonts w:eastAsiaTheme="minorHAnsi" w:cs="Arial"/>
          <w:iCs/>
          <w:lang w:val="en-US"/>
        </w:rPr>
        <w:t xml:space="preserve">there appears to be a blatant </w:t>
      </w:r>
      <w:r w:rsidR="00D42FEA" w:rsidRPr="003171CD">
        <w:rPr>
          <w:rFonts w:eastAsiaTheme="minorHAnsi" w:cs="Arial"/>
          <w:iCs/>
          <w:lang w:val="en-US"/>
        </w:rPr>
        <w:t>violation</w:t>
      </w:r>
      <w:r w:rsidR="005A65CE" w:rsidRPr="003171CD">
        <w:rPr>
          <w:rFonts w:eastAsiaTheme="minorHAnsi" w:cs="Arial"/>
          <w:iCs/>
          <w:lang w:val="en-US"/>
        </w:rPr>
        <w:t xml:space="preserve"> of the fun</w:t>
      </w:r>
      <w:r w:rsidR="001418A2" w:rsidRPr="003171CD">
        <w:rPr>
          <w:rFonts w:eastAsiaTheme="minorHAnsi" w:cs="Arial"/>
          <w:iCs/>
          <w:lang w:val="en-US"/>
        </w:rPr>
        <w:t xml:space="preserve">damental rights </w:t>
      </w:r>
      <w:r w:rsidR="008E78A8" w:rsidRPr="003171CD">
        <w:rPr>
          <w:rFonts w:eastAsiaTheme="minorHAnsi" w:cs="Arial"/>
          <w:iCs/>
          <w:lang w:val="en-US"/>
        </w:rPr>
        <w:t>of the accused</w:t>
      </w:r>
      <w:r w:rsidR="001418A2" w:rsidRPr="003171CD">
        <w:rPr>
          <w:rFonts w:eastAsiaTheme="minorHAnsi" w:cs="Arial"/>
          <w:iCs/>
          <w:lang w:val="en-US"/>
        </w:rPr>
        <w:t>. I</w:t>
      </w:r>
      <w:r w:rsidR="005A65CE" w:rsidRPr="003171CD">
        <w:rPr>
          <w:rFonts w:eastAsiaTheme="minorHAnsi" w:cs="Arial"/>
          <w:iCs/>
          <w:lang w:val="en-US"/>
        </w:rPr>
        <w:t xml:space="preserve">n other </w:t>
      </w:r>
      <w:r w:rsidR="001418A2" w:rsidRPr="003171CD">
        <w:rPr>
          <w:rFonts w:eastAsiaTheme="minorHAnsi" w:cs="Arial"/>
          <w:iCs/>
          <w:lang w:val="en-US"/>
        </w:rPr>
        <w:t>words</w:t>
      </w:r>
      <w:r w:rsidR="005B7FBD" w:rsidRPr="003171CD">
        <w:rPr>
          <w:rFonts w:eastAsiaTheme="minorHAnsi" w:cs="Arial"/>
          <w:iCs/>
          <w:lang w:val="en-US"/>
        </w:rPr>
        <w:t xml:space="preserve">, </w:t>
      </w:r>
      <w:r w:rsidR="00675E2E" w:rsidRPr="003171CD">
        <w:rPr>
          <w:rFonts w:eastAsiaTheme="minorHAnsi" w:cs="Arial"/>
          <w:iCs/>
          <w:lang w:val="en-US"/>
        </w:rPr>
        <w:t xml:space="preserve">if </w:t>
      </w:r>
      <w:r w:rsidR="005B7FBD" w:rsidRPr="003171CD">
        <w:rPr>
          <w:rFonts w:eastAsiaTheme="minorHAnsi" w:cs="Arial"/>
          <w:iCs/>
          <w:lang w:val="en-US"/>
        </w:rPr>
        <w:t xml:space="preserve">the </w:t>
      </w:r>
      <w:r w:rsidR="008E78A8" w:rsidRPr="003171CD">
        <w:rPr>
          <w:rFonts w:eastAsiaTheme="minorHAnsi" w:cs="Arial"/>
          <w:iCs/>
          <w:lang w:val="en-US"/>
        </w:rPr>
        <w:t xml:space="preserve">errors </w:t>
      </w:r>
      <w:r w:rsidR="00164596" w:rsidRPr="003171CD">
        <w:rPr>
          <w:rFonts w:eastAsiaTheme="minorHAnsi" w:cs="Arial"/>
          <w:iCs/>
          <w:lang w:val="en-US"/>
        </w:rPr>
        <w:t xml:space="preserve">committed </w:t>
      </w:r>
      <w:r w:rsidR="000E7AC9" w:rsidRPr="003171CD">
        <w:rPr>
          <w:rFonts w:eastAsiaTheme="minorHAnsi" w:cs="Arial"/>
          <w:iCs/>
          <w:lang w:val="en-US"/>
        </w:rPr>
        <w:t>by</w:t>
      </w:r>
      <w:r w:rsidR="005A65CE" w:rsidRPr="003171CD">
        <w:rPr>
          <w:rFonts w:eastAsiaTheme="minorHAnsi" w:cs="Arial"/>
          <w:iCs/>
          <w:lang w:val="en-US"/>
        </w:rPr>
        <w:t xml:space="preserve"> the defense </w:t>
      </w:r>
      <w:r w:rsidR="005B7FBD" w:rsidRPr="003171CD">
        <w:rPr>
          <w:rFonts w:eastAsiaTheme="minorHAnsi" w:cs="Arial"/>
          <w:iCs/>
          <w:lang w:val="en-US"/>
        </w:rPr>
        <w:t xml:space="preserve">of the accused </w:t>
      </w:r>
      <w:r w:rsidR="008E78A8" w:rsidRPr="003171CD">
        <w:rPr>
          <w:rFonts w:eastAsiaTheme="minorHAnsi" w:cs="Arial"/>
          <w:iCs/>
          <w:lang w:val="en-US"/>
        </w:rPr>
        <w:t xml:space="preserve">do not have a decisive </w:t>
      </w:r>
      <w:r w:rsidR="005A65CE" w:rsidRPr="003171CD">
        <w:rPr>
          <w:rFonts w:eastAsiaTheme="minorHAnsi" w:cs="Arial"/>
          <w:iCs/>
          <w:lang w:val="en-US"/>
        </w:rPr>
        <w:t xml:space="preserve">and </w:t>
      </w:r>
      <w:r w:rsidR="00D53FA2" w:rsidRPr="003171CD">
        <w:rPr>
          <w:rFonts w:eastAsiaTheme="minorHAnsi" w:cs="Arial"/>
          <w:iCs/>
          <w:lang w:val="en-US"/>
        </w:rPr>
        <w:t xml:space="preserve">significant </w:t>
      </w:r>
      <w:r w:rsidR="00164596" w:rsidRPr="003171CD">
        <w:rPr>
          <w:rFonts w:eastAsiaTheme="minorHAnsi" w:cs="Arial"/>
          <w:iCs/>
          <w:lang w:val="en-US"/>
        </w:rPr>
        <w:t xml:space="preserve">impact on </w:t>
      </w:r>
      <w:r w:rsidR="008E78A8" w:rsidRPr="003171CD">
        <w:rPr>
          <w:rFonts w:eastAsiaTheme="minorHAnsi" w:cs="Arial"/>
          <w:iCs/>
          <w:lang w:val="en-US"/>
        </w:rPr>
        <w:t xml:space="preserve">the judicial </w:t>
      </w:r>
      <w:r w:rsidR="00164596" w:rsidRPr="003171CD">
        <w:rPr>
          <w:rFonts w:eastAsiaTheme="minorHAnsi" w:cs="Arial"/>
          <w:iCs/>
          <w:lang w:val="en-US"/>
        </w:rPr>
        <w:t xml:space="preserve">ruling, </w:t>
      </w:r>
      <w:r w:rsidR="005A65CE" w:rsidRPr="003171CD">
        <w:rPr>
          <w:rFonts w:eastAsiaTheme="minorHAnsi" w:cs="Arial"/>
          <w:iCs/>
          <w:lang w:val="en-US"/>
        </w:rPr>
        <w:t xml:space="preserve">or </w:t>
      </w:r>
      <w:r w:rsidR="008E78A8" w:rsidRPr="003171CD">
        <w:rPr>
          <w:rFonts w:eastAsiaTheme="minorHAnsi" w:cs="Arial"/>
          <w:iCs/>
          <w:lang w:val="en-US"/>
        </w:rPr>
        <w:t xml:space="preserve">if </w:t>
      </w:r>
      <w:r w:rsidR="000E7AC9" w:rsidRPr="003171CD">
        <w:rPr>
          <w:rFonts w:eastAsiaTheme="minorHAnsi" w:cs="Arial"/>
          <w:iCs/>
          <w:lang w:val="en-US"/>
        </w:rPr>
        <w:t xml:space="preserve">they do </w:t>
      </w:r>
      <w:r w:rsidR="00D53FA2" w:rsidRPr="003171CD">
        <w:rPr>
          <w:rFonts w:eastAsiaTheme="minorHAnsi" w:cs="Arial"/>
          <w:iCs/>
          <w:lang w:val="en-US"/>
        </w:rPr>
        <w:t xml:space="preserve">not </w:t>
      </w:r>
      <w:r w:rsidR="00331E2A" w:rsidRPr="003171CD">
        <w:rPr>
          <w:rFonts w:eastAsiaTheme="minorHAnsi" w:cs="Arial"/>
          <w:iCs/>
          <w:lang w:val="en-US"/>
        </w:rPr>
        <w:t xml:space="preserve">have </w:t>
      </w:r>
      <w:r w:rsidR="005A65CE" w:rsidRPr="003171CD">
        <w:rPr>
          <w:rFonts w:eastAsiaTheme="minorHAnsi" w:cs="Arial"/>
          <w:iCs/>
          <w:lang w:val="en-US"/>
        </w:rPr>
        <w:t xml:space="preserve">a </w:t>
      </w:r>
      <w:r w:rsidR="008E78A8" w:rsidRPr="003171CD">
        <w:rPr>
          <w:rFonts w:eastAsiaTheme="minorHAnsi" w:cs="Arial"/>
          <w:iCs/>
          <w:lang w:val="en-US"/>
        </w:rPr>
        <w:t xml:space="preserve">subsequent effect </w:t>
      </w:r>
      <w:r w:rsidR="000E7AC9" w:rsidRPr="003171CD">
        <w:rPr>
          <w:rFonts w:eastAsiaTheme="minorHAnsi" w:cs="Arial"/>
          <w:iCs/>
          <w:lang w:val="en-US"/>
        </w:rPr>
        <w:t>on</w:t>
      </w:r>
      <w:r w:rsidR="00164596" w:rsidRPr="003171CD">
        <w:rPr>
          <w:rFonts w:eastAsiaTheme="minorHAnsi" w:cs="Arial"/>
          <w:iCs/>
          <w:lang w:val="en-US"/>
        </w:rPr>
        <w:t xml:space="preserve"> the rest of his</w:t>
      </w:r>
      <w:r w:rsidR="008E78A8" w:rsidRPr="003171CD">
        <w:rPr>
          <w:rFonts w:eastAsiaTheme="minorHAnsi" w:cs="Arial"/>
          <w:iCs/>
          <w:lang w:val="en-US"/>
        </w:rPr>
        <w:t xml:space="preserve"> </w:t>
      </w:r>
      <w:r w:rsidR="005A65CE" w:rsidRPr="003171CD">
        <w:rPr>
          <w:rFonts w:eastAsiaTheme="minorHAnsi" w:cs="Arial"/>
          <w:iCs/>
          <w:lang w:val="en-US"/>
        </w:rPr>
        <w:t xml:space="preserve">fundamental rights, </w:t>
      </w:r>
      <w:r w:rsidR="008E78A8" w:rsidRPr="003171CD">
        <w:rPr>
          <w:rFonts w:eastAsiaTheme="minorHAnsi" w:cs="Arial"/>
          <w:iCs/>
          <w:lang w:val="en-US"/>
        </w:rPr>
        <w:t>a</w:t>
      </w:r>
      <w:r w:rsidR="00164596" w:rsidRPr="003171CD">
        <w:rPr>
          <w:rFonts w:eastAsiaTheme="minorHAnsi" w:cs="Arial"/>
          <w:iCs/>
          <w:lang w:val="en-US"/>
        </w:rPr>
        <w:t>n appeal for</w:t>
      </w:r>
      <w:r w:rsidR="008E78A8" w:rsidRPr="003171CD">
        <w:rPr>
          <w:rFonts w:eastAsiaTheme="minorHAnsi" w:cs="Arial"/>
          <w:iCs/>
          <w:lang w:val="en-US"/>
        </w:rPr>
        <w:t xml:space="preserve"> protection</w:t>
      </w:r>
      <w:r w:rsidR="005A65CE" w:rsidRPr="003171CD">
        <w:rPr>
          <w:rFonts w:eastAsiaTheme="minorHAnsi" w:cs="Arial"/>
          <w:iCs/>
          <w:lang w:val="en-US"/>
        </w:rPr>
        <w:t xml:space="preserve"> </w:t>
      </w:r>
      <w:r w:rsidR="00266893" w:rsidRPr="003171CD">
        <w:rPr>
          <w:rFonts w:eastAsiaTheme="minorHAnsi" w:cs="Arial"/>
          <w:iCs/>
          <w:lang w:val="en-US"/>
        </w:rPr>
        <w:t>against</w:t>
      </w:r>
      <w:r w:rsidR="005A65CE" w:rsidRPr="003171CD">
        <w:rPr>
          <w:rFonts w:eastAsiaTheme="minorHAnsi" w:cs="Arial"/>
          <w:iCs/>
          <w:lang w:val="en-US"/>
        </w:rPr>
        <w:t xml:space="preserve"> the judicial </w:t>
      </w:r>
      <w:r w:rsidR="00FE39FA" w:rsidRPr="003171CD">
        <w:rPr>
          <w:rFonts w:eastAsiaTheme="minorHAnsi" w:cs="Arial"/>
          <w:iCs/>
          <w:lang w:val="en-US"/>
        </w:rPr>
        <w:t xml:space="preserve">decisions </w:t>
      </w:r>
      <w:r w:rsidR="00164596" w:rsidRPr="003171CD">
        <w:rPr>
          <w:rFonts w:eastAsiaTheme="minorHAnsi" w:cs="Arial"/>
          <w:iCs/>
          <w:lang w:val="en-US"/>
        </w:rPr>
        <w:t xml:space="preserve">in </w:t>
      </w:r>
      <w:r w:rsidR="005A65CE" w:rsidRPr="003171CD">
        <w:rPr>
          <w:rFonts w:eastAsiaTheme="minorHAnsi" w:cs="Arial"/>
          <w:iCs/>
          <w:lang w:val="en-US"/>
        </w:rPr>
        <w:t>the case</w:t>
      </w:r>
      <w:r w:rsidR="008E78A8" w:rsidRPr="003171CD">
        <w:rPr>
          <w:rFonts w:eastAsiaTheme="minorHAnsi" w:cs="Arial"/>
          <w:iCs/>
          <w:lang w:val="en-US"/>
        </w:rPr>
        <w:t xml:space="preserve"> </w:t>
      </w:r>
      <w:r w:rsidR="00164596" w:rsidRPr="003171CD">
        <w:rPr>
          <w:rFonts w:eastAsiaTheme="minorHAnsi" w:cs="Arial"/>
          <w:iCs/>
          <w:lang w:val="en-US"/>
        </w:rPr>
        <w:t xml:space="preserve">would not be </w:t>
      </w:r>
      <w:r w:rsidR="008E78A8" w:rsidRPr="003171CD">
        <w:rPr>
          <w:rFonts w:eastAsiaTheme="minorHAnsi" w:cs="Arial"/>
          <w:iCs/>
          <w:lang w:val="en-US"/>
        </w:rPr>
        <w:t>applicable</w:t>
      </w:r>
      <w:r w:rsidR="005B7FBD" w:rsidRPr="003171CD">
        <w:rPr>
          <w:rFonts w:eastAsiaTheme="minorHAnsi" w:cs="Arial"/>
          <w:iCs/>
          <w:lang w:val="en-US"/>
        </w:rPr>
        <w:t>.</w:t>
      </w:r>
      <w:r w:rsidR="005A65CE" w:rsidRPr="003171CD">
        <w:rPr>
          <w:rFonts w:eastAsiaTheme="minorHAnsi" w:cs="Arial"/>
          <w:iCs/>
          <w:lang w:val="en-US"/>
        </w:rPr>
        <w:t>”</w:t>
      </w:r>
      <w:r w:rsidR="005A65CE" w:rsidRPr="003171CD">
        <w:rPr>
          <w:rFonts w:eastAsiaTheme="minorHAnsi"/>
          <w:iCs/>
          <w:vertAlign w:val="superscript"/>
          <w:lang w:val="en-US"/>
        </w:rPr>
        <w:footnoteReference w:id="248"/>
      </w:r>
    </w:p>
    <w:p w14:paraId="34310883" w14:textId="77777777" w:rsidR="005A65CE" w:rsidRPr="003171CD" w:rsidRDefault="005A65CE" w:rsidP="005A65CE">
      <w:pPr>
        <w:pStyle w:val="Prrafodelista"/>
        <w:tabs>
          <w:tab w:val="left" w:pos="720"/>
        </w:tabs>
        <w:ind w:left="0" w:right="-90"/>
        <w:jc w:val="both"/>
        <w:rPr>
          <w:rFonts w:eastAsiaTheme="minorHAnsi" w:cs="Arial"/>
          <w:b/>
          <w:bCs/>
          <w:iCs/>
          <w:lang w:val="en-US"/>
        </w:rPr>
      </w:pPr>
    </w:p>
    <w:p w14:paraId="582061DB" w14:textId="77777777" w:rsidR="005A65CE" w:rsidRPr="003171CD" w:rsidRDefault="00471657" w:rsidP="005A65CE">
      <w:pPr>
        <w:pStyle w:val="Prrafodelista"/>
        <w:numPr>
          <w:ilvl w:val="0"/>
          <w:numId w:val="1"/>
        </w:numPr>
        <w:tabs>
          <w:tab w:val="left" w:pos="720"/>
          <w:tab w:val="num" w:pos="5057"/>
        </w:tabs>
        <w:ind w:right="-90"/>
        <w:jc w:val="both"/>
        <w:rPr>
          <w:rFonts w:eastAsiaTheme="minorHAnsi" w:cs="Arial"/>
          <w:iCs/>
          <w:lang w:val="en-US"/>
        </w:rPr>
      </w:pPr>
      <w:r w:rsidRPr="003171CD">
        <w:rPr>
          <w:rFonts w:eastAsiaTheme="minorHAnsi" w:cs="Arial"/>
          <w:bCs/>
          <w:iCs/>
          <w:lang w:val="en-US"/>
        </w:rPr>
        <w:t xml:space="preserve">In </w:t>
      </w:r>
      <w:r w:rsidR="00164596" w:rsidRPr="003171CD">
        <w:rPr>
          <w:rFonts w:eastAsiaTheme="minorHAnsi" w:cs="Arial"/>
          <w:bCs/>
          <w:iCs/>
          <w:lang w:val="en-US"/>
        </w:rPr>
        <w:t xml:space="preserve">a ruling on </w:t>
      </w:r>
      <w:r w:rsidR="005A65CE" w:rsidRPr="003171CD">
        <w:rPr>
          <w:rFonts w:eastAsiaTheme="minorHAnsi" w:cs="Arial"/>
          <w:bCs/>
          <w:iCs/>
          <w:lang w:val="en-US"/>
        </w:rPr>
        <w:t xml:space="preserve">a </w:t>
      </w:r>
      <w:r w:rsidR="005D4B65" w:rsidRPr="003171CD">
        <w:rPr>
          <w:rFonts w:eastAsiaTheme="minorHAnsi" w:cs="Arial"/>
          <w:bCs/>
          <w:iCs/>
          <w:lang w:val="en-US"/>
        </w:rPr>
        <w:t xml:space="preserve">mandatory legal </w:t>
      </w:r>
      <w:r w:rsidR="005A65CE" w:rsidRPr="003171CD">
        <w:rPr>
          <w:rFonts w:eastAsiaTheme="minorHAnsi" w:cs="Arial"/>
          <w:bCs/>
          <w:iCs/>
          <w:lang w:val="en-US"/>
        </w:rPr>
        <w:t>consulta</w:t>
      </w:r>
      <w:r w:rsidR="005D4B65" w:rsidRPr="003171CD">
        <w:rPr>
          <w:rFonts w:eastAsiaTheme="minorHAnsi" w:cs="Arial"/>
          <w:bCs/>
          <w:iCs/>
          <w:lang w:val="en-US"/>
        </w:rPr>
        <w:t>tion on</w:t>
      </w:r>
      <w:r w:rsidR="005A65CE" w:rsidRPr="003171CD">
        <w:rPr>
          <w:rFonts w:eastAsiaTheme="minorHAnsi" w:cs="Arial"/>
          <w:bCs/>
          <w:iCs/>
          <w:lang w:val="en-US"/>
        </w:rPr>
        <w:t xml:space="preserve"> constitutionali</w:t>
      </w:r>
      <w:r w:rsidR="00FE39FA" w:rsidRPr="003171CD">
        <w:rPr>
          <w:rFonts w:eastAsiaTheme="minorHAnsi" w:cs="Arial"/>
          <w:bCs/>
          <w:iCs/>
          <w:lang w:val="en-US"/>
        </w:rPr>
        <w:t xml:space="preserve">ty </w:t>
      </w:r>
      <w:r w:rsidR="00164596" w:rsidRPr="003171CD">
        <w:rPr>
          <w:rFonts w:eastAsiaTheme="minorHAnsi" w:cs="Arial"/>
          <w:bCs/>
          <w:iCs/>
          <w:lang w:val="en-US"/>
        </w:rPr>
        <w:t xml:space="preserve">submitted </w:t>
      </w:r>
      <w:r w:rsidR="005A65CE" w:rsidRPr="003171CD">
        <w:rPr>
          <w:rFonts w:eastAsiaTheme="minorHAnsi" w:cs="Arial"/>
          <w:bCs/>
          <w:iCs/>
          <w:lang w:val="en-US"/>
        </w:rPr>
        <w:t xml:space="preserve">by the </w:t>
      </w:r>
      <w:r w:rsidR="00FE39FA" w:rsidRPr="003171CD">
        <w:rPr>
          <w:rFonts w:eastAsiaTheme="minorHAnsi" w:cs="Arial"/>
          <w:bCs/>
          <w:iCs/>
          <w:lang w:val="en-US"/>
        </w:rPr>
        <w:t>Third Criminal Chamber</w:t>
      </w:r>
      <w:r w:rsidR="005A65CE" w:rsidRPr="003171CD">
        <w:rPr>
          <w:rFonts w:eastAsiaTheme="minorHAnsi" w:cs="Arial"/>
          <w:bCs/>
          <w:iCs/>
          <w:lang w:val="en-US"/>
        </w:rPr>
        <w:t>, the Const</w:t>
      </w:r>
      <w:r w:rsidR="00FE39FA" w:rsidRPr="003171CD">
        <w:rPr>
          <w:rFonts w:eastAsiaTheme="minorHAnsi" w:cs="Arial"/>
          <w:bCs/>
          <w:iCs/>
          <w:lang w:val="en-US"/>
        </w:rPr>
        <w:t xml:space="preserve">itutional </w:t>
      </w:r>
      <w:r w:rsidR="008E78A8" w:rsidRPr="003171CD">
        <w:rPr>
          <w:rFonts w:eastAsiaTheme="minorHAnsi" w:cs="Arial"/>
          <w:bCs/>
          <w:iCs/>
          <w:lang w:val="en-US"/>
        </w:rPr>
        <w:t xml:space="preserve">Chamber </w:t>
      </w:r>
      <w:r w:rsidR="00FE39FA" w:rsidRPr="003171CD">
        <w:rPr>
          <w:rFonts w:eastAsiaTheme="minorHAnsi" w:cs="Arial"/>
          <w:bCs/>
          <w:iCs/>
          <w:lang w:val="en-US"/>
        </w:rPr>
        <w:t xml:space="preserve">of the Supreme Court </w:t>
      </w:r>
      <w:r w:rsidR="005A65CE" w:rsidRPr="003171CD">
        <w:rPr>
          <w:rFonts w:eastAsiaTheme="minorHAnsi" w:cs="Arial"/>
          <w:bCs/>
          <w:iCs/>
          <w:lang w:val="en-US"/>
        </w:rPr>
        <w:t>of Costa Rica ha</w:t>
      </w:r>
      <w:r w:rsidR="00FE39FA" w:rsidRPr="003171CD">
        <w:rPr>
          <w:rFonts w:eastAsiaTheme="minorHAnsi" w:cs="Arial"/>
          <w:bCs/>
          <w:iCs/>
          <w:lang w:val="en-US"/>
        </w:rPr>
        <w:t>s indicated</w:t>
      </w:r>
      <w:r w:rsidR="005A65CE" w:rsidRPr="003171CD">
        <w:rPr>
          <w:rFonts w:eastAsiaTheme="minorHAnsi" w:cs="Arial"/>
          <w:bCs/>
          <w:iCs/>
          <w:lang w:val="en-US"/>
        </w:rPr>
        <w:t xml:space="preserve"> t</w:t>
      </w:r>
      <w:r w:rsidR="001418A2" w:rsidRPr="003171CD">
        <w:rPr>
          <w:rFonts w:eastAsiaTheme="minorHAnsi" w:cs="Arial"/>
          <w:bCs/>
          <w:iCs/>
          <w:lang w:val="en-US"/>
        </w:rPr>
        <w:t xml:space="preserve">hat </w:t>
      </w:r>
      <w:r w:rsidR="00331E2A" w:rsidRPr="003171CD">
        <w:rPr>
          <w:rFonts w:eastAsiaTheme="minorHAnsi" w:cs="Arial"/>
          <w:bCs/>
          <w:iCs/>
          <w:lang w:val="en-US"/>
        </w:rPr>
        <w:t xml:space="preserve">due process is violated </w:t>
      </w:r>
      <w:r w:rsidR="00FE39FA" w:rsidRPr="003171CD">
        <w:rPr>
          <w:rFonts w:eastAsiaTheme="minorHAnsi" w:cs="Arial"/>
          <w:bCs/>
          <w:iCs/>
          <w:lang w:val="en-US"/>
        </w:rPr>
        <w:t>only</w:t>
      </w:r>
      <w:r w:rsidR="001418A2" w:rsidRPr="003171CD">
        <w:rPr>
          <w:rFonts w:eastAsiaTheme="minorHAnsi" w:cs="Arial"/>
          <w:bCs/>
          <w:iCs/>
          <w:lang w:val="en-US"/>
        </w:rPr>
        <w:t xml:space="preserve"> in cases of </w:t>
      </w:r>
      <w:r w:rsidR="000A4C6C" w:rsidRPr="003171CD">
        <w:rPr>
          <w:rFonts w:eastAsiaTheme="minorHAnsi" w:cs="Arial"/>
          <w:bCs/>
          <w:iCs/>
          <w:lang w:val="en-US"/>
        </w:rPr>
        <w:t xml:space="preserve">serious </w:t>
      </w:r>
      <w:r w:rsidR="008E78A8" w:rsidRPr="003171CD">
        <w:rPr>
          <w:rFonts w:eastAsiaTheme="minorHAnsi" w:cs="Arial"/>
          <w:bCs/>
          <w:iCs/>
          <w:lang w:val="en-US"/>
        </w:rPr>
        <w:t xml:space="preserve">and </w:t>
      </w:r>
      <w:r w:rsidR="000A4C6C" w:rsidRPr="003171CD">
        <w:rPr>
          <w:rFonts w:eastAsiaTheme="minorHAnsi" w:cs="Arial"/>
          <w:bCs/>
          <w:iCs/>
          <w:lang w:val="en-US"/>
        </w:rPr>
        <w:t xml:space="preserve">obvious </w:t>
      </w:r>
      <w:r w:rsidR="008E78A8" w:rsidRPr="003171CD">
        <w:rPr>
          <w:rFonts w:eastAsiaTheme="minorHAnsi" w:cs="Arial"/>
          <w:bCs/>
          <w:iCs/>
          <w:lang w:val="en-US"/>
        </w:rPr>
        <w:t>negligence</w:t>
      </w:r>
      <w:r w:rsidR="00331E2A" w:rsidRPr="003171CD">
        <w:rPr>
          <w:rFonts w:eastAsiaTheme="minorHAnsi" w:cs="Arial"/>
          <w:bCs/>
          <w:iCs/>
          <w:lang w:val="en-US"/>
        </w:rPr>
        <w:t xml:space="preserve"> on the part</w:t>
      </w:r>
      <w:r w:rsidR="008E78A8" w:rsidRPr="003171CD">
        <w:rPr>
          <w:rFonts w:eastAsiaTheme="minorHAnsi" w:cs="Arial"/>
          <w:bCs/>
          <w:iCs/>
          <w:lang w:val="en-US"/>
        </w:rPr>
        <w:t xml:space="preserve"> </w:t>
      </w:r>
      <w:r w:rsidR="00331E2A" w:rsidRPr="003171CD">
        <w:rPr>
          <w:rFonts w:eastAsiaTheme="minorHAnsi" w:cs="Arial"/>
          <w:bCs/>
          <w:iCs/>
          <w:lang w:val="en-US"/>
        </w:rPr>
        <w:t xml:space="preserve">of </w:t>
      </w:r>
      <w:r w:rsidR="008E78A8" w:rsidRPr="003171CD">
        <w:rPr>
          <w:rFonts w:eastAsiaTheme="minorHAnsi" w:cs="Arial"/>
          <w:bCs/>
          <w:iCs/>
          <w:lang w:val="en-US"/>
        </w:rPr>
        <w:t>the</w:t>
      </w:r>
      <w:r w:rsidR="005A65CE" w:rsidRPr="003171CD">
        <w:rPr>
          <w:rFonts w:eastAsiaTheme="minorHAnsi" w:cs="Arial"/>
          <w:bCs/>
          <w:iCs/>
          <w:lang w:val="en-US"/>
        </w:rPr>
        <w:t xml:space="preserve"> </w:t>
      </w:r>
      <w:r w:rsidR="005B7FBD" w:rsidRPr="003171CD">
        <w:rPr>
          <w:rFonts w:eastAsiaTheme="minorHAnsi" w:cs="Arial"/>
          <w:bCs/>
          <w:iCs/>
          <w:lang w:val="en-US"/>
        </w:rPr>
        <w:t>defense counsel</w:t>
      </w:r>
      <w:r w:rsidR="00C3602E" w:rsidRPr="003171CD">
        <w:rPr>
          <w:rFonts w:eastAsiaTheme="minorHAnsi" w:cs="Arial"/>
          <w:bCs/>
          <w:iCs/>
          <w:lang w:val="en-US"/>
        </w:rPr>
        <w:t>. Therefore,</w:t>
      </w:r>
      <w:r w:rsidR="005A65CE" w:rsidRPr="003171CD">
        <w:rPr>
          <w:rFonts w:eastAsiaTheme="minorHAnsi" w:cs="Arial"/>
          <w:bCs/>
          <w:iCs/>
          <w:lang w:val="en-US"/>
        </w:rPr>
        <w:t xml:space="preserve"> “[</w:t>
      </w:r>
      <w:r w:rsidRPr="003171CD">
        <w:rPr>
          <w:rFonts w:eastAsiaTheme="minorHAnsi" w:cs="Arial"/>
          <w:bCs/>
          <w:iCs/>
          <w:lang w:val="en-US"/>
        </w:rPr>
        <w:t>t</w:t>
      </w:r>
      <w:r w:rsidR="005A65CE" w:rsidRPr="003171CD">
        <w:rPr>
          <w:rFonts w:eastAsiaTheme="minorHAnsi" w:cs="Arial"/>
          <w:bCs/>
          <w:iCs/>
          <w:lang w:val="en-US"/>
        </w:rPr>
        <w:t>]</w:t>
      </w:r>
      <w:r w:rsidRPr="003171CD">
        <w:rPr>
          <w:rFonts w:eastAsiaTheme="minorHAnsi" w:cs="Arial"/>
          <w:bCs/>
          <w:iCs/>
          <w:lang w:val="en-US"/>
        </w:rPr>
        <w:t xml:space="preserve">he </w:t>
      </w:r>
      <w:r w:rsidR="005E22BD" w:rsidRPr="003171CD">
        <w:rPr>
          <w:rFonts w:eastAsiaTheme="minorHAnsi" w:cs="Arial"/>
          <w:bCs/>
          <w:iCs/>
          <w:lang w:val="en-US"/>
        </w:rPr>
        <w:t xml:space="preserve">defendant’s </w:t>
      </w:r>
      <w:r w:rsidRPr="003171CD">
        <w:rPr>
          <w:rFonts w:eastAsiaTheme="minorHAnsi" w:cs="Arial"/>
          <w:bCs/>
          <w:iCs/>
          <w:lang w:val="en-US"/>
        </w:rPr>
        <w:t xml:space="preserve">assessment </w:t>
      </w:r>
      <w:r w:rsidR="005E22BD" w:rsidRPr="003171CD">
        <w:rPr>
          <w:rFonts w:eastAsiaTheme="minorHAnsi" w:cs="Arial"/>
          <w:bCs/>
          <w:iCs/>
          <w:lang w:val="en-US"/>
        </w:rPr>
        <w:t xml:space="preserve">concerning </w:t>
      </w:r>
      <w:r w:rsidR="005A65CE" w:rsidRPr="003171CD">
        <w:rPr>
          <w:rFonts w:eastAsiaTheme="minorHAnsi" w:cs="Arial"/>
          <w:bCs/>
          <w:iCs/>
          <w:lang w:val="en-US"/>
        </w:rPr>
        <w:t xml:space="preserve">the </w:t>
      </w:r>
      <w:r w:rsidR="001418A2" w:rsidRPr="003171CD">
        <w:rPr>
          <w:rFonts w:eastAsiaTheme="minorHAnsi" w:cs="Arial"/>
          <w:bCs/>
          <w:iCs/>
          <w:lang w:val="en-US"/>
        </w:rPr>
        <w:t xml:space="preserve">inefficiency </w:t>
      </w:r>
      <w:r w:rsidR="005A65CE" w:rsidRPr="003171CD">
        <w:rPr>
          <w:rFonts w:eastAsiaTheme="minorHAnsi" w:cs="Arial"/>
          <w:bCs/>
          <w:iCs/>
          <w:lang w:val="en-US"/>
        </w:rPr>
        <w:t xml:space="preserve">or </w:t>
      </w:r>
      <w:r w:rsidR="003E02EA" w:rsidRPr="003171CD">
        <w:rPr>
          <w:rFonts w:eastAsiaTheme="minorHAnsi" w:cs="Arial"/>
          <w:bCs/>
          <w:iCs/>
          <w:lang w:val="en-US"/>
        </w:rPr>
        <w:t>lack</w:t>
      </w:r>
      <w:r w:rsidR="001418A2" w:rsidRPr="003171CD">
        <w:rPr>
          <w:rFonts w:eastAsiaTheme="minorHAnsi" w:cs="Arial"/>
          <w:bCs/>
          <w:iCs/>
          <w:lang w:val="en-US"/>
        </w:rPr>
        <w:t xml:space="preserve"> of diligence</w:t>
      </w:r>
      <w:r w:rsidR="005A65CE" w:rsidRPr="003171CD">
        <w:rPr>
          <w:rFonts w:eastAsiaTheme="minorHAnsi" w:cs="Arial"/>
          <w:bCs/>
          <w:iCs/>
          <w:lang w:val="en-US"/>
        </w:rPr>
        <w:t xml:space="preserve"> of </w:t>
      </w:r>
      <w:r w:rsidR="008E78A8" w:rsidRPr="003171CD">
        <w:rPr>
          <w:rFonts w:eastAsiaTheme="minorHAnsi" w:cs="Arial"/>
          <w:bCs/>
          <w:iCs/>
          <w:lang w:val="en-US"/>
        </w:rPr>
        <w:t xml:space="preserve">his </w:t>
      </w:r>
      <w:r w:rsidR="005A65CE" w:rsidRPr="003171CD">
        <w:rPr>
          <w:rFonts w:eastAsiaTheme="minorHAnsi" w:cs="Arial"/>
          <w:bCs/>
          <w:iCs/>
          <w:lang w:val="en-US"/>
        </w:rPr>
        <w:t>defens</w:t>
      </w:r>
      <w:r w:rsidR="00FE39FA" w:rsidRPr="003171CD">
        <w:rPr>
          <w:rFonts w:eastAsiaTheme="minorHAnsi" w:cs="Arial"/>
          <w:bCs/>
          <w:iCs/>
          <w:lang w:val="en-US"/>
        </w:rPr>
        <w:t xml:space="preserve">e counsel cannot be considered as an </w:t>
      </w:r>
      <w:r w:rsidR="005A65CE" w:rsidRPr="003171CD">
        <w:rPr>
          <w:rFonts w:eastAsiaTheme="minorHAnsi" w:cs="Arial"/>
          <w:bCs/>
          <w:iCs/>
          <w:lang w:val="en-US"/>
        </w:rPr>
        <w:t>infr</w:t>
      </w:r>
      <w:r w:rsidR="00FE39FA" w:rsidRPr="003171CD">
        <w:rPr>
          <w:rFonts w:eastAsiaTheme="minorHAnsi" w:cs="Arial"/>
          <w:bCs/>
          <w:iCs/>
          <w:lang w:val="en-US"/>
        </w:rPr>
        <w:t xml:space="preserve">ingement of </w:t>
      </w:r>
      <w:r w:rsidR="005A65CE" w:rsidRPr="003171CD">
        <w:rPr>
          <w:rFonts w:eastAsiaTheme="minorHAnsi" w:cs="Arial"/>
          <w:bCs/>
          <w:iCs/>
          <w:lang w:val="en-US"/>
        </w:rPr>
        <w:t xml:space="preserve">due process, </w:t>
      </w:r>
      <w:r w:rsidR="00FE39FA" w:rsidRPr="003171CD">
        <w:rPr>
          <w:rFonts w:eastAsiaTheme="minorHAnsi" w:cs="Arial"/>
          <w:bCs/>
          <w:iCs/>
          <w:lang w:val="en-US"/>
        </w:rPr>
        <w:t xml:space="preserve">except where such </w:t>
      </w:r>
      <w:r w:rsidR="005A65CE" w:rsidRPr="003171CD">
        <w:rPr>
          <w:rFonts w:eastAsiaTheme="minorHAnsi" w:cs="Arial"/>
          <w:bCs/>
          <w:iCs/>
          <w:lang w:val="en-US"/>
        </w:rPr>
        <w:t>act</w:t>
      </w:r>
      <w:r w:rsidR="005E22BD" w:rsidRPr="003171CD">
        <w:rPr>
          <w:rFonts w:eastAsiaTheme="minorHAnsi" w:cs="Arial"/>
          <w:bCs/>
          <w:iCs/>
          <w:lang w:val="en-US"/>
        </w:rPr>
        <w:t>ions a</w:t>
      </w:r>
      <w:r w:rsidR="00D52F24" w:rsidRPr="003171CD">
        <w:rPr>
          <w:rFonts w:eastAsiaTheme="minorHAnsi" w:cs="Arial"/>
          <w:bCs/>
          <w:iCs/>
          <w:lang w:val="en-US"/>
        </w:rPr>
        <w:t xml:space="preserve">re completely </w:t>
      </w:r>
      <w:r w:rsidR="00266893" w:rsidRPr="003171CD">
        <w:rPr>
          <w:rFonts w:eastAsiaTheme="minorHAnsi" w:cs="Arial"/>
          <w:bCs/>
          <w:iCs/>
          <w:lang w:val="en-US"/>
        </w:rPr>
        <w:t>negligent</w:t>
      </w:r>
      <w:r w:rsidR="005A65CE" w:rsidRPr="003171CD">
        <w:rPr>
          <w:rFonts w:eastAsiaTheme="minorHAnsi" w:cs="Arial"/>
          <w:bCs/>
          <w:iCs/>
          <w:lang w:val="en-US"/>
        </w:rPr>
        <w:t xml:space="preserve"> or </w:t>
      </w:r>
      <w:r w:rsidR="005E22BD" w:rsidRPr="003171CD">
        <w:rPr>
          <w:rFonts w:eastAsiaTheme="minorHAnsi" w:cs="Arial"/>
          <w:bCs/>
          <w:iCs/>
          <w:lang w:val="en-US"/>
        </w:rPr>
        <w:t>a</w:t>
      </w:r>
      <w:r w:rsidR="00423B13" w:rsidRPr="003171CD">
        <w:rPr>
          <w:rFonts w:eastAsiaTheme="minorHAnsi" w:cs="Arial"/>
          <w:bCs/>
          <w:iCs/>
          <w:lang w:val="en-US"/>
        </w:rPr>
        <w:t xml:space="preserve">re clearly </w:t>
      </w:r>
      <w:r w:rsidR="00FE39FA" w:rsidRPr="003171CD">
        <w:rPr>
          <w:rFonts w:eastAsiaTheme="minorHAnsi" w:cs="Arial"/>
          <w:bCs/>
          <w:iCs/>
          <w:lang w:val="en-US"/>
        </w:rPr>
        <w:t xml:space="preserve">contrary to </w:t>
      </w:r>
      <w:r w:rsidR="001418A2" w:rsidRPr="003171CD">
        <w:rPr>
          <w:rFonts w:eastAsiaTheme="minorHAnsi" w:cs="Arial"/>
          <w:bCs/>
          <w:iCs/>
          <w:lang w:val="en-US"/>
        </w:rPr>
        <w:t>the interest</w:t>
      </w:r>
      <w:r w:rsidR="005A65CE" w:rsidRPr="003171CD">
        <w:rPr>
          <w:rFonts w:eastAsiaTheme="minorHAnsi" w:cs="Arial"/>
          <w:bCs/>
          <w:iCs/>
          <w:lang w:val="en-US"/>
        </w:rPr>
        <w:t xml:space="preserve">s </w:t>
      </w:r>
      <w:r w:rsidR="00FE39FA" w:rsidRPr="003171CD">
        <w:rPr>
          <w:rFonts w:eastAsiaTheme="minorHAnsi" w:cs="Arial"/>
          <w:bCs/>
          <w:iCs/>
          <w:lang w:val="en-US"/>
        </w:rPr>
        <w:t>of the defendant</w:t>
      </w:r>
      <w:r w:rsidR="001418A2" w:rsidRPr="003171CD">
        <w:rPr>
          <w:rFonts w:eastAsiaTheme="minorHAnsi" w:cs="Arial"/>
          <w:bCs/>
          <w:iCs/>
          <w:lang w:val="en-US"/>
        </w:rPr>
        <w:t>.</w:t>
      </w:r>
      <w:r w:rsidR="005A65CE" w:rsidRPr="003171CD">
        <w:rPr>
          <w:rFonts w:eastAsiaTheme="minorHAnsi" w:cs="Arial"/>
          <w:bCs/>
          <w:iCs/>
          <w:lang w:val="en-US"/>
        </w:rPr>
        <w:t>”</w:t>
      </w:r>
      <w:r w:rsidR="005A65CE" w:rsidRPr="003171CD">
        <w:rPr>
          <w:rStyle w:val="Refdenotaalpie"/>
          <w:rFonts w:eastAsiaTheme="minorHAnsi" w:cs="Arial"/>
          <w:bCs/>
          <w:iCs/>
          <w:lang w:val="en-US"/>
        </w:rPr>
        <w:footnoteReference w:id="249"/>
      </w:r>
      <w:r w:rsidR="001418A2" w:rsidRPr="003171CD">
        <w:rPr>
          <w:rFonts w:eastAsiaTheme="minorHAnsi" w:cs="Arial"/>
          <w:bCs/>
          <w:iCs/>
          <w:lang w:val="en-US"/>
        </w:rPr>
        <w:t xml:space="preserve"> I</w:t>
      </w:r>
      <w:r w:rsidR="005A65CE" w:rsidRPr="003171CD">
        <w:rPr>
          <w:rFonts w:eastAsiaTheme="minorHAnsi" w:cs="Arial"/>
          <w:bCs/>
          <w:iCs/>
          <w:lang w:val="en-US"/>
        </w:rPr>
        <w:t xml:space="preserve">n </w:t>
      </w:r>
      <w:r w:rsidR="000B2DE3" w:rsidRPr="003171CD">
        <w:rPr>
          <w:rFonts w:eastAsiaTheme="minorHAnsi" w:cs="Arial"/>
          <w:bCs/>
          <w:iCs/>
          <w:lang w:val="en-US"/>
        </w:rPr>
        <w:t xml:space="preserve">another </w:t>
      </w:r>
      <w:r w:rsidR="005A65CE" w:rsidRPr="003171CD">
        <w:rPr>
          <w:rFonts w:eastAsiaTheme="minorHAnsi" w:cs="Arial"/>
          <w:bCs/>
          <w:iCs/>
          <w:lang w:val="en-US"/>
        </w:rPr>
        <w:t xml:space="preserve">judgment, the </w:t>
      </w:r>
      <w:r w:rsidR="000E7AC9" w:rsidRPr="003171CD">
        <w:rPr>
          <w:rFonts w:eastAsiaTheme="minorHAnsi" w:cs="Arial"/>
          <w:bCs/>
          <w:iCs/>
          <w:lang w:val="en-US"/>
        </w:rPr>
        <w:t xml:space="preserve">Criminal </w:t>
      </w:r>
      <w:r w:rsidR="000B2DE3" w:rsidRPr="003171CD">
        <w:rPr>
          <w:rFonts w:eastAsiaTheme="minorHAnsi" w:cs="Arial"/>
          <w:bCs/>
          <w:iCs/>
          <w:lang w:val="en-US"/>
        </w:rPr>
        <w:t>C</w:t>
      </w:r>
      <w:r w:rsidR="005A65CE" w:rsidRPr="003171CD">
        <w:rPr>
          <w:rFonts w:eastAsiaTheme="minorHAnsi" w:cs="Arial"/>
          <w:bCs/>
          <w:iCs/>
          <w:lang w:val="en-US"/>
        </w:rPr>
        <w:t>ourt of Ap</w:t>
      </w:r>
      <w:r w:rsidR="001418A2" w:rsidRPr="003171CD">
        <w:rPr>
          <w:rFonts w:eastAsiaTheme="minorHAnsi" w:cs="Arial"/>
          <w:bCs/>
          <w:iCs/>
          <w:lang w:val="en-US"/>
        </w:rPr>
        <w:t>p</w:t>
      </w:r>
      <w:r w:rsidR="005A65CE" w:rsidRPr="003171CD">
        <w:rPr>
          <w:rFonts w:eastAsiaTheme="minorHAnsi" w:cs="Arial"/>
          <w:bCs/>
          <w:iCs/>
          <w:lang w:val="en-US"/>
        </w:rPr>
        <w:t>e</w:t>
      </w:r>
      <w:r w:rsidR="001418A2" w:rsidRPr="003171CD">
        <w:rPr>
          <w:rFonts w:eastAsiaTheme="minorHAnsi" w:cs="Arial"/>
          <w:bCs/>
          <w:iCs/>
          <w:lang w:val="en-US"/>
        </w:rPr>
        <w:t>al</w:t>
      </w:r>
      <w:r w:rsidR="000B2DE3" w:rsidRPr="003171CD">
        <w:rPr>
          <w:rFonts w:eastAsiaTheme="minorHAnsi" w:cs="Arial"/>
          <w:bCs/>
          <w:iCs/>
          <w:lang w:val="en-US"/>
        </w:rPr>
        <w:t>s</w:t>
      </w:r>
      <w:r w:rsidR="005A65CE" w:rsidRPr="003171CD">
        <w:rPr>
          <w:rFonts w:eastAsiaTheme="minorHAnsi" w:cs="Arial"/>
          <w:bCs/>
          <w:iCs/>
          <w:lang w:val="en-US"/>
        </w:rPr>
        <w:t xml:space="preserve"> of San José held that: “[…] the </w:t>
      </w:r>
      <w:r w:rsidR="000E7AC9" w:rsidRPr="003171CD">
        <w:rPr>
          <w:rFonts w:eastAsiaTheme="minorHAnsi" w:cs="Arial"/>
          <w:bCs/>
          <w:iCs/>
          <w:lang w:val="en-US"/>
        </w:rPr>
        <w:t xml:space="preserve">appointment </w:t>
      </w:r>
      <w:r w:rsidR="002625A5" w:rsidRPr="003171CD">
        <w:rPr>
          <w:rFonts w:eastAsiaTheme="minorHAnsi" w:cs="Arial"/>
          <w:bCs/>
          <w:iCs/>
          <w:lang w:val="en-US"/>
        </w:rPr>
        <w:t>of</w:t>
      </w:r>
      <w:r w:rsidR="005A65CE" w:rsidRPr="003171CD">
        <w:rPr>
          <w:rFonts w:eastAsiaTheme="minorHAnsi" w:cs="Arial"/>
          <w:bCs/>
          <w:iCs/>
          <w:lang w:val="en-US"/>
        </w:rPr>
        <w:t xml:space="preserve"> a </w:t>
      </w:r>
      <w:r w:rsidR="002625A5" w:rsidRPr="003171CD">
        <w:rPr>
          <w:rFonts w:eastAsiaTheme="minorHAnsi" w:cs="Arial"/>
          <w:bCs/>
          <w:iCs/>
          <w:lang w:val="en-US"/>
        </w:rPr>
        <w:t xml:space="preserve">legal </w:t>
      </w:r>
      <w:r w:rsidR="005A65CE" w:rsidRPr="003171CD">
        <w:rPr>
          <w:rFonts w:eastAsiaTheme="minorHAnsi" w:cs="Arial"/>
          <w:bCs/>
          <w:iCs/>
          <w:lang w:val="en-US"/>
        </w:rPr>
        <w:t>profes</w:t>
      </w:r>
      <w:r w:rsidR="002625A5" w:rsidRPr="003171CD">
        <w:rPr>
          <w:rFonts w:eastAsiaTheme="minorHAnsi" w:cs="Arial"/>
          <w:bCs/>
          <w:iCs/>
          <w:lang w:val="en-US"/>
        </w:rPr>
        <w:t>s</w:t>
      </w:r>
      <w:r w:rsidR="005A65CE" w:rsidRPr="003171CD">
        <w:rPr>
          <w:rFonts w:eastAsiaTheme="minorHAnsi" w:cs="Arial"/>
          <w:bCs/>
          <w:iCs/>
          <w:lang w:val="en-US"/>
        </w:rPr>
        <w:t xml:space="preserve">ional </w:t>
      </w:r>
      <w:r w:rsidR="002625A5" w:rsidRPr="003171CD">
        <w:rPr>
          <w:rFonts w:eastAsiaTheme="minorHAnsi" w:cs="Arial"/>
          <w:bCs/>
          <w:iCs/>
          <w:lang w:val="en-US"/>
        </w:rPr>
        <w:t xml:space="preserve">to </w:t>
      </w:r>
      <w:r w:rsidR="005E22BD" w:rsidRPr="003171CD">
        <w:rPr>
          <w:rFonts w:eastAsiaTheme="minorHAnsi" w:cs="Arial"/>
          <w:bCs/>
          <w:iCs/>
          <w:lang w:val="en-US"/>
        </w:rPr>
        <w:t>conduct</w:t>
      </w:r>
      <w:r w:rsidR="005A65CE" w:rsidRPr="003171CD">
        <w:rPr>
          <w:rFonts w:eastAsiaTheme="minorHAnsi" w:cs="Arial"/>
          <w:bCs/>
          <w:iCs/>
          <w:lang w:val="en-US"/>
        </w:rPr>
        <w:t xml:space="preserve"> </w:t>
      </w:r>
      <w:r w:rsidR="002625A5" w:rsidRPr="003171CD">
        <w:rPr>
          <w:rFonts w:eastAsiaTheme="minorHAnsi" w:cs="Arial"/>
          <w:bCs/>
          <w:iCs/>
          <w:lang w:val="en-US"/>
        </w:rPr>
        <w:t xml:space="preserve">the </w:t>
      </w:r>
      <w:r w:rsidR="005A65CE" w:rsidRPr="003171CD">
        <w:rPr>
          <w:rFonts w:eastAsiaTheme="minorHAnsi" w:cs="Arial"/>
          <w:bCs/>
          <w:iCs/>
          <w:lang w:val="en-US"/>
        </w:rPr>
        <w:t xml:space="preserve">defense </w:t>
      </w:r>
      <w:r w:rsidR="002625A5" w:rsidRPr="003171CD">
        <w:rPr>
          <w:rFonts w:eastAsiaTheme="minorHAnsi" w:cs="Arial"/>
          <w:bCs/>
          <w:iCs/>
          <w:lang w:val="en-US"/>
        </w:rPr>
        <w:t xml:space="preserve">of the accused does not </w:t>
      </w:r>
      <w:r w:rsidR="005A65CE" w:rsidRPr="003171CD">
        <w:rPr>
          <w:rFonts w:eastAsiaTheme="minorHAnsi" w:cs="Arial"/>
          <w:bCs/>
          <w:iCs/>
          <w:lang w:val="en-US"/>
        </w:rPr>
        <w:t>constitu</w:t>
      </w:r>
      <w:r w:rsidR="000B2DE3" w:rsidRPr="003171CD">
        <w:rPr>
          <w:rFonts w:eastAsiaTheme="minorHAnsi" w:cs="Arial"/>
          <w:bCs/>
          <w:iCs/>
          <w:lang w:val="en-US"/>
        </w:rPr>
        <w:t xml:space="preserve">te </w:t>
      </w:r>
      <w:r w:rsidR="005A65CE" w:rsidRPr="003171CD">
        <w:rPr>
          <w:rFonts w:eastAsiaTheme="minorHAnsi" w:cs="Arial"/>
          <w:bCs/>
          <w:iCs/>
          <w:lang w:val="en-US"/>
        </w:rPr>
        <w:t xml:space="preserve">a </w:t>
      </w:r>
      <w:r w:rsidR="000B2DE3" w:rsidRPr="003171CD">
        <w:rPr>
          <w:rFonts w:eastAsiaTheme="minorHAnsi" w:cs="Arial"/>
          <w:bCs/>
          <w:iCs/>
          <w:lang w:val="en-US"/>
        </w:rPr>
        <w:t>me</w:t>
      </w:r>
      <w:r w:rsidR="002625A5" w:rsidRPr="003171CD">
        <w:rPr>
          <w:rFonts w:eastAsiaTheme="minorHAnsi" w:cs="Arial"/>
          <w:bCs/>
          <w:iCs/>
          <w:lang w:val="en-US"/>
        </w:rPr>
        <w:t xml:space="preserve">re formality. It is a </w:t>
      </w:r>
      <w:r w:rsidR="005A65CE" w:rsidRPr="003171CD">
        <w:rPr>
          <w:rFonts w:eastAsiaTheme="minorHAnsi" w:cs="Arial"/>
          <w:bCs/>
          <w:iCs/>
          <w:lang w:val="en-US"/>
        </w:rPr>
        <w:t xml:space="preserve">fundamental </w:t>
      </w:r>
      <w:r w:rsidR="002625A5" w:rsidRPr="003171CD">
        <w:rPr>
          <w:rFonts w:eastAsiaTheme="minorHAnsi" w:cs="Arial"/>
          <w:bCs/>
          <w:iCs/>
          <w:lang w:val="en-US"/>
        </w:rPr>
        <w:t>right that must be fully and effectively</w:t>
      </w:r>
      <w:r w:rsidR="008E78A8" w:rsidRPr="003171CD">
        <w:rPr>
          <w:rFonts w:eastAsiaTheme="minorHAnsi" w:cs="Arial"/>
          <w:bCs/>
          <w:iCs/>
          <w:lang w:val="en-US"/>
        </w:rPr>
        <w:t xml:space="preserve"> protected</w:t>
      </w:r>
      <w:r w:rsidR="00266893" w:rsidRPr="003171CD">
        <w:rPr>
          <w:rFonts w:eastAsiaTheme="minorHAnsi" w:cs="Arial"/>
          <w:bCs/>
          <w:iCs/>
          <w:lang w:val="en-US"/>
        </w:rPr>
        <w:t>. I</w:t>
      </w:r>
      <w:r w:rsidR="005A65CE" w:rsidRPr="003171CD">
        <w:rPr>
          <w:rFonts w:eastAsiaTheme="minorHAnsi" w:cs="Arial"/>
          <w:bCs/>
          <w:iCs/>
          <w:lang w:val="en-US"/>
        </w:rPr>
        <w:t xml:space="preserve">n this </w:t>
      </w:r>
      <w:r w:rsidR="002625A5" w:rsidRPr="003171CD">
        <w:rPr>
          <w:rFonts w:eastAsiaTheme="minorHAnsi" w:cs="Arial"/>
          <w:bCs/>
          <w:iCs/>
          <w:lang w:val="en-US"/>
        </w:rPr>
        <w:t>specific</w:t>
      </w:r>
      <w:r w:rsidR="005A65CE" w:rsidRPr="003171CD">
        <w:rPr>
          <w:rFonts w:eastAsiaTheme="minorHAnsi" w:cs="Arial"/>
          <w:bCs/>
          <w:iCs/>
          <w:lang w:val="en-US"/>
        </w:rPr>
        <w:t xml:space="preserve"> case</w:t>
      </w:r>
      <w:r w:rsidRPr="003171CD">
        <w:rPr>
          <w:rFonts w:eastAsiaTheme="minorHAnsi" w:cs="Arial"/>
          <w:bCs/>
          <w:iCs/>
          <w:lang w:val="en-US"/>
        </w:rPr>
        <w:t>,</w:t>
      </w:r>
      <w:r w:rsidR="000B2DE3" w:rsidRPr="003171CD">
        <w:rPr>
          <w:rFonts w:eastAsiaTheme="minorHAnsi" w:cs="Arial"/>
          <w:bCs/>
          <w:iCs/>
          <w:lang w:val="en-US"/>
        </w:rPr>
        <w:t xml:space="preserve"> </w:t>
      </w:r>
      <w:r w:rsidR="005A65CE" w:rsidRPr="003171CD">
        <w:rPr>
          <w:rFonts w:eastAsiaTheme="minorHAnsi" w:cs="Arial"/>
          <w:bCs/>
          <w:iCs/>
          <w:lang w:val="en-US"/>
        </w:rPr>
        <w:t xml:space="preserve">the </w:t>
      </w:r>
      <w:r w:rsidR="005E22BD" w:rsidRPr="003171CD">
        <w:rPr>
          <w:rFonts w:eastAsiaTheme="minorHAnsi" w:cs="Arial"/>
          <w:bCs/>
          <w:iCs/>
          <w:lang w:val="en-US"/>
        </w:rPr>
        <w:t>errors</w:t>
      </w:r>
      <w:r w:rsidR="000B2DE3" w:rsidRPr="003171CD">
        <w:rPr>
          <w:rFonts w:eastAsiaTheme="minorHAnsi" w:cs="Arial"/>
          <w:bCs/>
          <w:iCs/>
          <w:lang w:val="en-US"/>
        </w:rPr>
        <w:t xml:space="preserve"> </w:t>
      </w:r>
      <w:r w:rsidR="005A65CE" w:rsidRPr="003171CD">
        <w:rPr>
          <w:rFonts w:eastAsiaTheme="minorHAnsi" w:cs="Arial"/>
          <w:bCs/>
          <w:iCs/>
          <w:lang w:val="en-US"/>
        </w:rPr>
        <w:t xml:space="preserve">in the </w:t>
      </w:r>
      <w:r w:rsidR="00E86957" w:rsidRPr="003171CD">
        <w:rPr>
          <w:rFonts w:eastAsiaTheme="minorHAnsi" w:cs="Arial"/>
          <w:bCs/>
          <w:iCs/>
          <w:lang w:val="en-US"/>
        </w:rPr>
        <w:t>technical defense</w:t>
      </w:r>
      <w:r w:rsidRPr="003171CD">
        <w:rPr>
          <w:rFonts w:eastAsiaTheme="minorHAnsi" w:cs="Arial"/>
          <w:bCs/>
          <w:iCs/>
          <w:lang w:val="en-US"/>
        </w:rPr>
        <w:t xml:space="preserve"> [were] so blatant</w:t>
      </w:r>
      <w:r w:rsidR="005A65CE" w:rsidRPr="003171CD">
        <w:rPr>
          <w:rFonts w:eastAsiaTheme="minorHAnsi" w:cs="Arial"/>
          <w:bCs/>
          <w:iCs/>
          <w:lang w:val="en-US"/>
        </w:rPr>
        <w:t xml:space="preserve">, that </w:t>
      </w:r>
      <w:r w:rsidRPr="003171CD">
        <w:rPr>
          <w:rFonts w:eastAsiaTheme="minorHAnsi" w:cs="Arial"/>
          <w:bCs/>
          <w:iCs/>
          <w:lang w:val="en-US"/>
        </w:rPr>
        <w:t xml:space="preserve">they </w:t>
      </w:r>
      <w:r w:rsidR="005E22BD" w:rsidRPr="003171CD">
        <w:rPr>
          <w:rFonts w:eastAsiaTheme="minorHAnsi" w:cs="Arial"/>
          <w:bCs/>
          <w:iCs/>
          <w:lang w:val="en-US"/>
        </w:rPr>
        <w:t xml:space="preserve">showed </w:t>
      </w:r>
      <w:r w:rsidR="005A65CE" w:rsidRPr="003171CD">
        <w:rPr>
          <w:rFonts w:eastAsiaTheme="minorHAnsi" w:cs="Arial"/>
          <w:bCs/>
          <w:iCs/>
          <w:lang w:val="en-US"/>
        </w:rPr>
        <w:t xml:space="preserve">a </w:t>
      </w:r>
      <w:r w:rsidR="00FE39FA" w:rsidRPr="003171CD">
        <w:rPr>
          <w:rFonts w:eastAsiaTheme="minorHAnsi" w:cs="Arial"/>
          <w:bCs/>
          <w:iCs/>
          <w:lang w:val="en-US"/>
        </w:rPr>
        <w:t xml:space="preserve">state of </w:t>
      </w:r>
      <w:r w:rsidR="005E22BD" w:rsidRPr="003171CD">
        <w:rPr>
          <w:rFonts w:eastAsiaTheme="minorHAnsi" w:cs="Arial"/>
          <w:bCs/>
          <w:iCs/>
          <w:lang w:val="en-US"/>
        </w:rPr>
        <w:t xml:space="preserve">defenselessness </w:t>
      </w:r>
      <w:r w:rsidR="005A65CE" w:rsidRPr="003171CD">
        <w:rPr>
          <w:rFonts w:eastAsiaTheme="minorHAnsi" w:cs="Arial"/>
          <w:bCs/>
          <w:iCs/>
          <w:lang w:val="en-US"/>
        </w:rPr>
        <w:t>tha</w:t>
      </w:r>
      <w:r w:rsidRPr="003171CD">
        <w:rPr>
          <w:rFonts w:eastAsiaTheme="minorHAnsi" w:cs="Arial"/>
          <w:bCs/>
          <w:iCs/>
          <w:lang w:val="en-US"/>
        </w:rPr>
        <w:t xml:space="preserve">t cannot be ignored. The </w:t>
      </w:r>
      <w:r w:rsidR="002625A5" w:rsidRPr="003171CD">
        <w:rPr>
          <w:rFonts w:eastAsiaTheme="minorHAnsi" w:cs="Arial"/>
          <w:bCs/>
          <w:iCs/>
          <w:lang w:val="en-US"/>
        </w:rPr>
        <w:t xml:space="preserve">accused </w:t>
      </w:r>
      <w:r w:rsidRPr="003171CD">
        <w:rPr>
          <w:rFonts w:eastAsiaTheme="minorHAnsi" w:cs="Arial"/>
          <w:bCs/>
          <w:iCs/>
          <w:lang w:val="en-US"/>
        </w:rPr>
        <w:t xml:space="preserve">person </w:t>
      </w:r>
      <w:r w:rsidR="002625A5" w:rsidRPr="003171CD">
        <w:rPr>
          <w:rFonts w:eastAsiaTheme="minorHAnsi" w:cs="Arial"/>
          <w:bCs/>
          <w:iCs/>
          <w:lang w:val="en-US"/>
        </w:rPr>
        <w:t xml:space="preserve">has the </w:t>
      </w:r>
      <w:r w:rsidR="005A65CE" w:rsidRPr="003171CD">
        <w:rPr>
          <w:rFonts w:eastAsiaTheme="minorHAnsi" w:cs="Arial"/>
          <w:bCs/>
          <w:iCs/>
          <w:lang w:val="en-US"/>
        </w:rPr>
        <w:t xml:space="preserve">right to </w:t>
      </w:r>
      <w:r w:rsidR="002625A5" w:rsidRPr="003171CD">
        <w:rPr>
          <w:rFonts w:eastAsiaTheme="minorHAnsi" w:cs="Arial"/>
          <w:bCs/>
          <w:iCs/>
          <w:lang w:val="en-US"/>
        </w:rPr>
        <w:t>be tried</w:t>
      </w:r>
      <w:r w:rsidR="005A65CE" w:rsidRPr="003171CD">
        <w:rPr>
          <w:rFonts w:eastAsiaTheme="minorHAnsi" w:cs="Arial"/>
          <w:bCs/>
          <w:iCs/>
          <w:lang w:val="en-US"/>
        </w:rPr>
        <w:t xml:space="preserve"> </w:t>
      </w:r>
      <w:r w:rsidRPr="003171CD">
        <w:rPr>
          <w:rFonts w:eastAsiaTheme="minorHAnsi" w:cs="Arial"/>
          <w:bCs/>
          <w:iCs/>
          <w:lang w:val="en-US"/>
        </w:rPr>
        <w:t xml:space="preserve">with </w:t>
      </w:r>
      <w:r w:rsidR="005A65CE" w:rsidRPr="003171CD">
        <w:rPr>
          <w:rFonts w:eastAsiaTheme="minorHAnsi" w:cs="Arial"/>
          <w:bCs/>
          <w:iCs/>
          <w:lang w:val="en-US"/>
        </w:rPr>
        <w:t>respe</w:t>
      </w:r>
      <w:r w:rsidRPr="003171CD">
        <w:rPr>
          <w:rFonts w:eastAsiaTheme="minorHAnsi" w:cs="Arial"/>
          <w:bCs/>
          <w:iCs/>
          <w:lang w:val="en-US"/>
        </w:rPr>
        <w:t>ct for</w:t>
      </w:r>
      <w:r w:rsidR="002625A5" w:rsidRPr="003171CD">
        <w:rPr>
          <w:rFonts w:eastAsiaTheme="minorHAnsi" w:cs="Arial"/>
          <w:bCs/>
          <w:iCs/>
          <w:lang w:val="en-US"/>
        </w:rPr>
        <w:t xml:space="preserve"> </w:t>
      </w:r>
      <w:r w:rsidR="005A65CE" w:rsidRPr="003171CD">
        <w:rPr>
          <w:rFonts w:eastAsiaTheme="minorHAnsi" w:cs="Arial"/>
          <w:bCs/>
          <w:iCs/>
          <w:lang w:val="en-US"/>
        </w:rPr>
        <w:t xml:space="preserve">the </w:t>
      </w:r>
      <w:r w:rsidR="00266893" w:rsidRPr="003171CD">
        <w:rPr>
          <w:rFonts w:eastAsiaTheme="minorHAnsi" w:cs="Arial"/>
          <w:bCs/>
          <w:iCs/>
          <w:lang w:val="en-US"/>
        </w:rPr>
        <w:t>rules</w:t>
      </w:r>
      <w:r w:rsidR="005A65CE" w:rsidRPr="003171CD">
        <w:rPr>
          <w:rFonts w:eastAsiaTheme="minorHAnsi" w:cs="Arial"/>
          <w:bCs/>
          <w:iCs/>
          <w:lang w:val="en-US"/>
        </w:rPr>
        <w:t xml:space="preserve"> </w:t>
      </w:r>
      <w:r w:rsidR="002625A5" w:rsidRPr="003171CD">
        <w:rPr>
          <w:rFonts w:eastAsiaTheme="minorHAnsi" w:cs="Arial"/>
          <w:bCs/>
          <w:iCs/>
          <w:lang w:val="en-US"/>
        </w:rPr>
        <w:t xml:space="preserve">contained in the Code of Criminal Procedure, </w:t>
      </w:r>
      <w:r w:rsidR="005A65CE" w:rsidRPr="003171CD">
        <w:rPr>
          <w:rFonts w:eastAsiaTheme="minorHAnsi" w:cs="Arial"/>
          <w:bCs/>
          <w:iCs/>
          <w:lang w:val="en-US"/>
        </w:rPr>
        <w:t xml:space="preserve">the Constitution </w:t>
      </w:r>
      <w:r w:rsidR="002625A5" w:rsidRPr="003171CD">
        <w:rPr>
          <w:rFonts w:eastAsiaTheme="minorHAnsi" w:cs="Arial"/>
          <w:bCs/>
          <w:iCs/>
          <w:lang w:val="en-US"/>
        </w:rPr>
        <w:t>and the American Convention on Human R</w:t>
      </w:r>
      <w:r w:rsidRPr="003171CD">
        <w:rPr>
          <w:rFonts w:eastAsiaTheme="minorHAnsi" w:cs="Arial"/>
          <w:bCs/>
          <w:iCs/>
          <w:lang w:val="en-US"/>
        </w:rPr>
        <w:t>ights. This</w:t>
      </w:r>
      <w:r w:rsidR="005A65CE" w:rsidRPr="003171CD">
        <w:rPr>
          <w:rFonts w:eastAsiaTheme="minorHAnsi" w:cs="Arial"/>
          <w:bCs/>
          <w:iCs/>
          <w:lang w:val="en-US"/>
        </w:rPr>
        <w:t xml:space="preserve"> </w:t>
      </w:r>
      <w:r w:rsidR="000B2DE3" w:rsidRPr="003171CD">
        <w:rPr>
          <w:rFonts w:eastAsiaTheme="minorHAnsi" w:cs="Arial"/>
          <w:bCs/>
          <w:iCs/>
          <w:lang w:val="en-US"/>
        </w:rPr>
        <w:t xml:space="preserve">includes </w:t>
      </w:r>
      <w:r w:rsidR="005A65CE" w:rsidRPr="003171CD">
        <w:rPr>
          <w:rFonts w:eastAsiaTheme="minorHAnsi" w:cs="Arial"/>
          <w:bCs/>
          <w:iCs/>
          <w:lang w:val="en-US"/>
        </w:rPr>
        <w:t xml:space="preserve">the </w:t>
      </w:r>
      <w:r w:rsidR="00765AD7" w:rsidRPr="003171CD">
        <w:rPr>
          <w:rFonts w:eastAsiaTheme="minorHAnsi" w:cs="Arial"/>
          <w:bCs/>
          <w:iCs/>
          <w:lang w:val="en-US"/>
        </w:rPr>
        <w:t>right</w:t>
      </w:r>
      <w:r w:rsidR="000B2DE3" w:rsidRPr="003171CD">
        <w:rPr>
          <w:rFonts w:eastAsiaTheme="minorHAnsi" w:cs="Arial"/>
          <w:bCs/>
          <w:iCs/>
          <w:lang w:val="en-US"/>
        </w:rPr>
        <w:t xml:space="preserve"> to an adequate</w:t>
      </w:r>
      <w:r w:rsidR="005A65CE" w:rsidRPr="003171CD">
        <w:rPr>
          <w:rFonts w:eastAsiaTheme="minorHAnsi" w:cs="Arial"/>
          <w:bCs/>
          <w:iCs/>
          <w:lang w:val="en-US"/>
        </w:rPr>
        <w:t xml:space="preserve"> </w:t>
      </w:r>
      <w:r w:rsidR="00E86957" w:rsidRPr="003171CD">
        <w:rPr>
          <w:rFonts w:eastAsiaTheme="minorHAnsi" w:cs="Arial"/>
          <w:bCs/>
          <w:iCs/>
          <w:lang w:val="en-US"/>
        </w:rPr>
        <w:t>technical defense</w:t>
      </w:r>
      <w:r w:rsidR="000B2DE3" w:rsidRPr="003171CD">
        <w:rPr>
          <w:rFonts w:eastAsiaTheme="minorHAnsi" w:cs="Arial"/>
          <w:bCs/>
          <w:iCs/>
          <w:lang w:val="en-US"/>
        </w:rPr>
        <w:t xml:space="preserve">, something that did not occur in this </w:t>
      </w:r>
      <w:r w:rsidR="005E22BD" w:rsidRPr="003171CD">
        <w:rPr>
          <w:rFonts w:eastAsiaTheme="minorHAnsi" w:cs="Arial"/>
          <w:bCs/>
          <w:iCs/>
          <w:lang w:val="en-US"/>
        </w:rPr>
        <w:t>case</w:t>
      </w:r>
      <w:r w:rsidR="000B2DE3" w:rsidRPr="003171CD">
        <w:rPr>
          <w:rFonts w:eastAsiaTheme="minorHAnsi" w:cs="Arial"/>
          <w:bCs/>
          <w:iCs/>
          <w:lang w:val="en-US"/>
        </w:rPr>
        <w:t>.</w:t>
      </w:r>
      <w:r w:rsidR="005A65CE" w:rsidRPr="003171CD">
        <w:rPr>
          <w:rFonts w:eastAsiaTheme="minorHAnsi" w:cs="Arial"/>
          <w:bCs/>
          <w:iCs/>
          <w:lang w:val="en-US"/>
        </w:rPr>
        <w:t>”</w:t>
      </w:r>
      <w:r w:rsidR="005A65CE" w:rsidRPr="003171CD">
        <w:rPr>
          <w:rStyle w:val="Refdenotaalpie"/>
          <w:rFonts w:eastAsiaTheme="minorHAnsi" w:cs="Arial"/>
          <w:bCs/>
          <w:iCs/>
          <w:lang w:val="en-US"/>
        </w:rPr>
        <w:footnoteReference w:id="250"/>
      </w:r>
    </w:p>
    <w:p w14:paraId="6D56E759" w14:textId="77777777" w:rsidR="005A65CE" w:rsidRPr="003171CD" w:rsidRDefault="005A65CE" w:rsidP="005A65CE">
      <w:pPr>
        <w:jc w:val="both"/>
        <w:rPr>
          <w:rFonts w:eastAsiaTheme="minorHAnsi" w:cs="Arial"/>
          <w:snapToGrid/>
          <w:lang w:val="en-US" w:eastAsia="en-US"/>
        </w:rPr>
      </w:pPr>
    </w:p>
    <w:p w14:paraId="39F6248A" w14:textId="77777777" w:rsidR="005A65CE" w:rsidRPr="003171CD" w:rsidRDefault="002625A5"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In sum</w:t>
      </w:r>
      <w:r w:rsidR="005A65CE" w:rsidRPr="003171CD">
        <w:rPr>
          <w:rFonts w:eastAsiaTheme="minorHAnsi" w:cs="Arial"/>
          <w:lang w:val="en-US"/>
        </w:rPr>
        <w:t>, th</w:t>
      </w:r>
      <w:r w:rsidR="000B2DE3" w:rsidRPr="003171CD">
        <w:rPr>
          <w:rFonts w:eastAsiaTheme="minorHAnsi" w:cs="Arial"/>
          <w:lang w:val="en-US"/>
        </w:rPr>
        <w:t xml:space="preserve">e </w:t>
      </w:r>
      <w:r w:rsidR="00FE39FA" w:rsidRPr="003171CD">
        <w:rPr>
          <w:rFonts w:eastAsiaTheme="minorHAnsi" w:cs="Arial"/>
          <w:lang w:val="en-US"/>
        </w:rPr>
        <w:t xml:space="preserve">State’s </w:t>
      </w:r>
      <w:r w:rsidR="000B2DE3" w:rsidRPr="003171CD">
        <w:rPr>
          <w:rFonts w:eastAsiaTheme="minorHAnsi" w:cs="Arial"/>
          <w:lang w:val="en-US"/>
        </w:rPr>
        <w:t xml:space="preserve">international responsibility </w:t>
      </w:r>
      <w:r w:rsidR="00410E51" w:rsidRPr="003171CD">
        <w:rPr>
          <w:rFonts w:eastAsiaTheme="minorHAnsi" w:cs="Arial"/>
          <w:lang w:val="en-US"/>
        </w:rPr>
        <w:t xml:space="preserve">may </w:t>
      </w:r>
      <w:r w:rsidR="00FE39FA" w:rsidRPr="003171CD">
        <w:rPr>
          <w:rFonts w:eastAsiaTheme="minorHAnsi" w:cs="Arial"/>
          <w:lang w:val="en-US"/>
        </w:rPr>
        <w:t xml:space="preserve">also be </w:t>
      </w:r>
      <w:r w:rsidRPr="003171CD">
        <w:rPr>
          <w:rFonts w:eastAsiaTheme="minorHAnsi" w:cs="Arial"/>
          <w:lang w:val="en-US"/>
        </w:rPr>
        <w:t xml:space="preserve">established </w:t>
      </w:r>
      <w:r w:rsidR="00410E51" w:rsidRPr="003171CD">
        <w:rPr>
          <w:rFonts w:eastAsiaTheme="minorHAnsi" w:cs="Arial"/>
          <w:lang w:val="en-US"/>
        </w:rPr>
        <w:t xml:space="preserve">if </w:t>
      </w:r>
      <w:r w:rsidRPr="003171CD">
        <w:rPr>
          <w:rFonts w:eastAsiaTheme="minorHAnsi" w:cs="Arial"/>
          <w:lang w:val="en-US"/>
        </w:rPr>
        <w:t xml:space="preserve">the </w:t>
      </w:r>
      <w:r w:rsidR="00410E51" w:rsidRPr="003171CD">
        <w:rPr>
          <w:rFonts w:eastAsiaTheme="minorHAnsi" w:cs="Arial"/>
          <w:lang w:val="en-US"/>
        </w:rPr>
        <w:t xml:space="preserve">defense counsel’s </w:t>
      </w:r>
      <w:r w:rsidRPr="003171CD">
        <w:rPr>
          <w:rFonts w:eastAsiaTheme="minorHAnsi" w:cs="Arial"/>
          <w:lang w:val="en-US"/>
        </w:rPr>
        <w:t>inexcusable negligence or manifest</w:t>
      </w:r>
      <w:r w:rsidR="005A65CE" w:rsidRPr="003171CD">
        <w:rPr>
          <w:rFonts w:eastAsiaTheme="minorHAnsi" w:cs="Arial"/>
          <w:lang w:val="en-US"/>
        </w:rPr>
        <w:t xml:space="preserve"> </w:t>
      </w:r>
      <w:r w:rsidR="000B2DE3" w:rsidRPr="003171CD">
        <w:rPr>
          <w:rFonts w:eastAsiaTheme="minorHAnsi" w:cs="Arial"/>
          <w:lang w:val="en-US"/>
        </w:rPr>
        <w:t xml:space="preserve">failure </w:t>
      </w:r>
      <w:r w:rsidRPr="003171CD">
        <w:rPr>
          <w:rFonts w:eastAsiaTheme="minorHAnsi" w:cs="Arial"/>
          <w:lang w:val="en-US"/>
        </w:rPr>
        <w:t xml:space="preserve">should have been obvious to </w:t>
      </w:r>
      <w:r w:rsidR="005A65CE" w:rsidRPr="003171CD">
        <w:rPr>
          <w:rFonts w:eastAsiaTheme="minorHAnsi" w:cs="Arial"/>
          <w:lang w:val="en-US"/>
        </w:rPr>
        <w:t xml:space="preserve">the </w:t>
      </w:r>
      <w:r w:rsidR="00266893" w:rsidRPr="003171CD">
        <w:rPr>
          <w:rFonts w:eastAsiaTheme="minorHAnsi" w:cs="Arial"/>
          <w:lang w:val="en-US"/>
        </w:rPr>
        <w:t>judicial authorities</w:t>
      </w:r>
      <w:r w:rsidR="003838EF" w:rsidRPr="003171CD">
        <w:rPr>
          <w:rFonts w:eastAsiaTheme="minorHAnsi" w:cs="Arial"/>
          <w:lang w:val="en-US"/>
        </w:rPr>
        <w:t>;</w:t>
      </w:r>
      <w:r w:rsidR="005A65CE" w:rsidRPr="003171CD">
        <w:rPr>
          <w:rFonts w:eastAsiaTheme="minorHAnsi" w:cs="Arial"/>
          <w:lang w:val="en-US"/>
        </w:rPr>
        <w:t xml:space="preserve"> or </w:t>
      </w:r>
      <w:r w:rsidR="00410E51" w:rsidRPr="003171CD">
        <w:rPr>
          <w:rFonts w:eastAsiaTheme="minorHAnsi" w:cs="Arial"/>
          <w:lang w:val="en-US"/>
        </w:rPr>
        <w:t xml:space="preserve">if it was </w:t>
      </w:r>
      <w:r w:rsidR="000B2DE3" w:rsidRPr="003171CD">
        <w:rPr>
          <w:rFonts w:eastAsiaTheme="minorHAnsi" w:cs="Arial"/>
          <w:lang w:val="en-US"/>
        </w:rPr>
        <w:t xml:space="preserve">brought to their attention </w:t>
      </w:r>
      <w:r w:rsidR="005A65CE" w:rsidRPr="003171CD">
        <w:rPr>
          <w:rFonts w:eastAsiaTheme="minorHAnsi" w:cs="Arial"/>
          <w:lang w:val="en-US"/>
        </w:rPr>
        <w:t xml:space="preserve">and </w:t>
      </w:r>
      <w:r w:rsidR="00FE39FA" w:rsidRPr="003171CD">
        <w:rPr>
          <w:rFonts w:eastAsiaTheme="minorHAnsi" w:cs="Arial"/>
          <w:lang w:val="en-US"/>
        </w:rPr>
        <w:t>the</w:t>
      </w:r>
      <w:r w:rsidR="000E7AC9" w:rsidRPr="003171CD">
        <w:rPr>
          <w:rFonts w:eastAsiaTheme="minorHAnsi" w:cs="Arial"/>
          <w:lang w:val="en-US"/>
        </w:rPr>
        <w:t>y did not take the</w:t>
      </w:r>
      <w:r w:rsidR="00FE39FA" w:rsidRPr="003171CD">
        <w:rPr>
          <w:rFonts w:eastAsiaTheme="minorHAnsi" w:cs="Arial"/>
          <w:lang w:val="en-US"/>
        </w:rPr>
        <w:t xml:space="preserve"> </w:t>
      </w:r>
      <w:r w:rsidR="005A65CE" w:rsidRPr="003171CD">
        <w:rPr>
          <w:rFonts w:eastAsiaTheme="minorHAnsi" w:cs="Arial"/>
          <w:lang w:val="en-US"/>
        </w:rPr>
        <w:t xml:space="preserve">necessary and </w:t>
      </w:r>
      <w:r w:rsidR="003838EF" w:rsidRPr="003171CD">
        <w:rPr>
          <w:rFonts w:eastAsiaTheme="minorHAnsi" w:cs="Arial"/>
          <w:lang w:val="en-US"/>
        </w:rPr>
        <w:t xml:space="preserve">appropriate steps </w:t>
      </w:r>
      <w:r w:rsidR="000B2DE3" w:rsidRPr="003171CD">
        <w:rPr>
          <w:rFonts w:eastAsiaTheme="minorHAnsi" w:cs="Arial"/>
          <w:lang w:val="en-US"/>
        </w:rPr>
        <w:t xml:space="preserve">to </w:t>
      </w:r>
      <w:r w:rsidRPr="003171CD">
        <w:rPr>
          <w:rFonts w:eastAsiaTheme="minorHAnsi" w:cs="Arial"/>
          <w:lang w:val="en-US"/>
        </w:rPr>
        <w:t>prevent</w:t>
      </w:r>
      <w:r w:rsidR="000B2DE3" w:rsidRPr="003171CD">
        <w:rPr>
          <w:rFonts w:eastAsiaTheme="minorHAnsi" w:cs="Arial"/>
          <w:lang w:val="en-US"/>
        </w:rPr>
        <w:t xml:space="preserve"> and/or remedy</w:t>
      </w:r>
      <w:r w:rsidR="005A65CE" w:rsidRPr="003171CD">
        <w:rPr>
          <w:rFonts w:eastAsiaTheme="minorHAnsi" w:cs="Arial"/>
          <w:lang w:val="en-US"/>
        </w:rPr>
        <w:t xml:space="preserve"> the violation </w:t>
      </w:r>
      <w:r w:rsidR="000B2DE3" w:rsidRPr="003171CD">
        <w:rPr>
          <w:rFonts w:eastAsiaTheme="minorHAnsi" w:cs="Arial"/>
          <w:lang w:val="en-US"/>
        </w:rPr>
        <w:t xml:space="preserve">of the </w:t>
      </w:r>
      <w:r w:rsidR="000E7AC9" w:rsidRPr="003171CD">
        <w:rPr>
          <w:rFonts w:eastAsiaTheme="minorHAnsi" w:cs="Arial"/>
          <w:lang w:val="en-US"/>
        </w:rPr>
        <w:t>right of</w:t>
      </w:r>
      <w:r w:rsidRPr="003171CD">
        <w:rPr>
          <w:rFonts w:eastAsiaTheme="minorHAnsi" w:cs="Arial"/>
          <w:lang w:val="en-US"/>
        </w:rPr>
        <w:t xml:space="preserve"> defense</w:t>
      </w:r>
      <w:r w:rsidR="005A65CE" w:rsidRPr="003171CD">
        <w:rPr>
          <w:rFonts w:eastAsiaTheme="minorHAnsi" w:cs="Arial"/>
          <w:lang w:val="en-US"/>
        </w:rPr>
        <w:t xml:space="preserve">, </w:t>
      </w:r>
      <w:r w:rsidR="00A200CF" w:rsidRPr="003171CD">
        <w:rPr>
          <w:rFonts w:eastAsiaTheme="minorHAnsi" w:cs="Arial"/>
          <w:lang w:val="en-US"/>
        </w:rPr>
        <w:t>so that</w:t>
      </w:r>
      <w:r w:rsidR="005A65CE" w:rsidRPr="003171CD">
        <w:rPr>
          <w:rFonts w:eastAsiaTheme="minorHAnsi" w:cs="Arial"/>
          <w:lang w:val="en-US"/>
        </w:rPr>
        <w:t xml:space="preserve"> the situation </w:t>
      </w:r>
      <w:r w:rsidRPr="003171CD">
        <w:rPr>
          <w:rFonts w:eastAsiaTheme="minorHAnsi" w:cs="Arial"/>
          <w:lang w:val="en-US"/>
        </w:rPr>
        <w:t xml:space="preserve">led to </w:t>
      </w:r>
      <w:r w:rsidR="000E7AC9" w:rsidRPr="003171CD">
        <w:rPr>
          <w:rFonts w:eastAsiaTheme="minorHAnsi" w:cs="Arial"/>
          <w:lang w:val="en-US"/>
        </w:rPr>
        <w:t xml:space="preserve">a </w:t>
      </w:r>
      <w:r w:rsidR="005A65CE" w:rsidRPr="003171CD">
        <w:rPr>
          <w:rFonts w:eastAsiaTheme="minorHAnsi" w:cs="Arial"/>
          <w:lang w:val="en-US"/>
        </w:rPr>
        <w:t xml:space="preserve">violation </w:t>
      </w:r>
      <w:r w:rsidR="00266893" w:rsidRPr="003171CD">
        <w:rPr>
          <w:rFonts w:eastAsiaTheme="minorHAnsi" w:cs="Arial"/>
          <w:lang w:val="en-US"/>
        </w:rPr>
        <w:t xml:space="preserve">of </w:t>
      </w:r>
      <w:r w:rsidR="005A65CE" w:rsidRPr="003171CD">
        <w:rPr>
          <w:rFonts w:eastAsiaTheme="minorHAnsi" w:cs="Arial"/>
          <w:lang w:val="en-US"/>
        </w:rPr>
        <w:t>due process, at</w:t>
      </w:r>
      <w:r w:rsidR="00D52F24" w:rsidRPr="003171CD">
        <w:rPr>
          <w:rFonts w:eastAsiaTheme="minorHAnsi" w:cs="Arial"/>
          <w:lang w:val="en-US"/>
        </w:rPr>
        <w:t>t</w:t>
      </w:r>
      <w:r w:rsidR="005A65CE" w:rsidRPr="003171CD">
        <w:rPr>
          <w:rFonts w:eastAsiaTheme="minorHAnsi" w:cs="Arial"/>
          <w:lang w:val="en-US"/>
        </w:rPr>
        <w:t>ribu</w:t>
      </w:r>
      <w:r w:rsidR="00D52F24" w:rsidRPr="003171CD">
        <w:rPr>
          <w:rFonts w:eastAsiaTheme="minorHAnsi" w:cs="Arial"/>
          <w:lang w:val="en-US"/>
        </w:rPr>
        <w:t xml:space="preserve">table to </w:t>
      </w:r>
      <w:r w:rsidR="005A65CE" w:rsidRPr="003171CD">
        <w:rPr>
          <w:rFonts w:eastAsiaTheme="minorHAnsi" w:cs="Arial"/>
          <w:lang w:val="en-US"/>
        </w:rPr>
        <w:t>the State.</w:t>
      </w:r>
    </w:p>
    <w:p w14:paraId="32E4887E" w14:textId="77777777" w:rsidR="005A65CE" w:rsidRPr="003171CD" w:rsidRDefault="005A65CE" w:rsidP="005A65CE">
      <w:pPr>
        <w:jc w:val="both"/>
        <w:rPr>
          <w:rFonts w:eastAsiaTheme="minorHAnsi" w:cs="Arial"/>
          <w:snapToGrid/>
          <w:lang w:val="en-US" w:eastAsia="en-US"/>
        </w:rPr>
      </w:pPr>
    </w:p>
    <w:p w14:paraId="045512C2" w14:textId="77777777" w:rsidR="005A65CE" w:rsidRPr="003171CD" w:rsidRDefault="00266893"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szCs w:val="20"/>
          <w:lang w:val="en-US"/>
        </w:rPr>
        <w:t>I</w:t>
      </w:r>
      <w:r w:rsidR="005A65CE" w:rsidRPr="003171CD">
        <w:rPr>
          <w:rFonts w:eastAsiaTheme="minorHAnsi" w:cs="Arial"/>
          <w:szCs w:val="20"/>
          <w:lang w:val="en-US"/>
        </w:rPr>
        <w:t xml:space="preserve">n the </w:t>
      </w:r>
      <w:r w:rsidR="003838EF" w:rsidRPr="003171CD">
        <w:rPr>
          <w:rFonts w:eastAsiaTheme="minorHAnsi" w:cs="Arial"/>
          <w:szCs w:val="20"/>
          <w:lang w:val="en-US"/>
        </w:rPr>
        <w:t xml:space="preserve">instant </w:t>
      </w:r>
      <w:r w:rsidR="005A65CE" w:rsidRPr="003171CD">
        <w:rPr>
          <w:rFonts w:eastAsiaTheme="minorHAnsi" w:cs="Arial"/>
          <w:szCs w:val="20"/>
          <w:lang w:val="en-US"/>
        </w:rPr>
        <w:t xml:space="preserve">case </w:t>
      </w:r>
      <w:r w:rsidR="00FE39FA" w:rsidRPr="003171CD">
        <w:rPr>
          <w:rFonts w:eastAsiaTheme="minorHAnsi" w:cs="Arial"/>
          <w:szCs w:val="20"/>
          <w:lang w:val="en-US"/>
        </w:rPr>
        <w:t>it is clear that</w:t>
      </w:r>
      <w:r w:rsidR="005A65CE" w:rsidRPr="003171CD">
        <w:rPr>
          <w:rFonts w:eastAsiaTheme="minorHAnsi" w:cs="Arial"/>
          <w:szCs w:val="20"/>
          <w:lang w:val="en-US"/>
        </w:rPr>
        <w:t xml:space="preserve">, </w:t>
      </w:r>
      <w:r w:rsidRPr="003171CD">
        <w:rPr>
          <w:rFonts w:eastAsiaTheme="minorHAnsi" w:cs="Arial"/>
          <w:szCs w:val="20"/>
          <w:lang w:val="en-US"/>
        </w:rPr>
        <w:t xml:space="preserve">prior to </w:t>
      </w:r>
      <w:r w:rsidR="005A65CE" w:rsidRPr="003171CD">
        <w:rPr>
          <w:rFonts w:cs="Arial"/>
          <w:szCs w:val="20"/>
          <w:lang w:val="en-US"/>
        </w:rPr>
        <w:t>the public hearing, Mr. Ruano Torres requested the ac</w:t>
      </w:r>
      <w:r w:rsidR="00FE39FA" w:rsidRPr="003171CD">
        <w:rPr>
          <w:rFonts w:cs="Arial"/>
          <w:szCs w:val="20"/>
          <w:lang w:val="en-US"/>
        </w:rPr>
        <w:t>c</w:t>
      </w:r>
      <w:r w:rsidR="005A65CE" w:rsidRPr="003171CD">
        <w:rPr>
          <w:rFonts w:cs="Arial"/>
          <w:szCs w:val="20"/>
          <w:lang w:val="en-US"/>
        </w:rPr>
        <w:t xml:space="preserve">reditation of a </w:t>
      </w:r>
      <w:r w:rsidRPr="003171CD">
        <w:rPr>
          <w:rFonts w:cs="Arial"/>
          <w:szCs w:val="20"/>
          <w:lang w:val="en-US"/>
        </w:rPr>
        <w:t xml:space="preserve">private </w:t>
      </w:r>
      <w:r w:rsidR="005A65CE" w:rsidRPr="003171CD">
        <w:rPr>
          <w:rFonts w:cs="Arial"/>
          <w:szCs w:val="20"/>
          <w:lang w:val="en-US"/>
        </w:rPr>
        <w:t>defen</w:t>
      </w:r>
      <w:r w:rsidRPr="003171CD">
        <w:rPr>
          <w:rFonts w:cs="Arial"/>
          <w:szCs w:val="20"/>
          <w:lang w:val="en-US"/>
        </w:rPr>
        <w:t xml:space="preserve">der, who </w:t>
      </w:r>
      <w:r w:rsidR="005A65CE" w:rsidRPr="003171CD">
        <w:rPr>
          <w:rFonts w:cs="Arial"/>
          <w:szCs w:val="20"/>
          <w:lang w:val="en-US"/>
        </w:rPr>
        <w:t xml:space="preserve">requested the suspension of the hearing </w:t>
      </w:r>
      <w:r w:rsidRPr="003171CD">
        <w:rPr>
          <w:rFonts w:cs="Arial"/>
          <w:szCs w:val="20"/>
          <w:lang w:val="en-US"/>
        </w:rPr>
        <w:t xml:space="preserve">in order to </w:t>
      </w:r>
      <w:r w:rsidR="005A65CE" w:rsidRPr="003171CD">
        <w:rPr>
          <w:rFonts w:cs="Arial"/>
          <w:szCs w:val="20"/>
          <w:lang w:val="en-US"/>
        </w:rPr>
        <w:t>“</w:t>
      </w:r>
      <w:r w:rsidRPr="003171CD">
        <w:rPr>
          <w:rFonts w:cs="Arial"/>
          <w:szCs w:val="20"/>
          <w:lang w:val="en-US"/>
        </w:rPr>
        <w:t>better study the case,”</w:t>
      </w:r>
      <w:r w:rsidR="005A65CE" w:rsidRPr="003171CD">
        <w:rPr>
          <w:rFonts w:cs="Arial"/>
          <w:szCs w:val="20"/>
          <w:lang w:val="en-US"/>
        </w:rPr>
        <w:t xml:space="preserve"> </w:t>
      </w:r>
      <w:r w:rsidR="003838EF" w:rsidRPr="003171CD">
        <w:rPr>
          <w:rFonts w:cs="Arial"/>
          <w:szCs w:val="20"/>
          <w:lang w:val="en-US"/>
        </w:rPr>
        <w:t xml:space="preserve">a petition that </w:t>
      </w:r>
      <w:r w:rsidRPr="003171CD">
        <w:rPr>
          <w:rFonts w:cs="Arial"/>
          <w:szCs w:val="20"/>
          <w:lang w:val="en-US"/>
        </w:rPr>
        <w:t xml:space="preserve">was </w:t>
      </w:r>
      <w:r w:rsidR="001F05FC" w:rsidRPr="003171CD">
        <w:rPr>
          <w:rFonts w:cs="Arial"/>
          <w:szCs w:val="20"/>
          <w:lang w:val="en-US"/>
        </w:rPr>
        <w:t xml:space="preserve">rejected </w:t>
      </w:r>
      <w:r w:rsidRPr="003171CD">
        <w:rPr>
          <w:rFonts w:cs="Arial"/>
          <w:szCs w:val="20"/>
          <w:lang w:val="en-US"/>
        </w:rPr>
        <w:t xml:space="preserve">by </w:t>
      </w:r>
      <w:r w:rsidR="005A65CE" w:rsidRPr="003171CD">
        <w:rPr>
          <w:rFonts w:cs="Arial"/>
          <w:szCs w:val="20"/>
          <w:lang w:val="en-US"/>
        </w:rPr>
        <w:t xml:space="preserve">the </w:t>
      </w:r>
      <w:r w:rsidR="005A65CE" w:rsidRPr="003171CD">
        <w:rPr>
          <w:rFonts w:eastAsiaTheme="minorHAnsi" w:cs="Arial"/>
          <w:szCs w:val="20"/>
          <w:lang w:val="en-US"/>
        </w:rPr>
        <w:t xml:space="preserve">Second Trial Court of </w:t>
      </w:r>
      <w:r w:rsidR="005A65CE" w:rsidRPr="003171CD">
        <w:rPr>
          <w:lang w:val="en-US"/>
        </w:rPr>
        <w:t>San Salvador</w:t>
      </w:r>
      <w:r w:rsidR="005A65CE" w:rsidRPr="003171CD">
        <w:rPr>
          <w:rFonts w:eastAsiaTheme="minorHAnsi" w:cs="Arial"/>
          <w:szCs w:val="20"/>
          <w:lang w:val="en-US"/>
        </w:rPr>
        <w:t xml:space="preserve"> (</w:t>
      </w:r>
      <w:r w:rsidR="005A65CE" w:rsidRPr="003171CD">
        <w:rPr>
          <w:rFonts w:eastAsiaTheme="minorHAnsi" w:cs="Arial"/>
          <w:i/>
          <w:szCs w:val="20"/>
          <w:lang w:val="en-US"/>
        </w:rPr>
        <w:t xml:space="preserve">supra </w:t>
      </w:r>
      <w:r w:rsidR="005A65CE" w:rsidRPr="003171CD">
        <w:rPr>
          <w:rFonts w:eastAsiaTheme="minorHAnsi" w:cs="Arial"/>
          <w:szCs w:val="20"/>
          <w:lang w:val="en-US"/>
        </w:rPr>
        <w:t>para. 88)</w:t>
      </w:r>
      <w:r w:rsidR="005A65CE" w:rsidRPr="003171CD">
        <w:rPr>
          <w:rFonts w:cs="Arial"/>
          <w:szCs w:val="20"/>
          <w:lang w:val="en-US"/>
        </w:rPr>
        <w:t xml:space="preserve">. </w:t>
      </w:r>
      <w:r w:rsidR="003838EF" w:rsidRPr="003171CD">
        <w:rPr>
          <w:rFonts w:cs="Arial"/>
          <w:szCs w:val="20"/>
          <w:lang w:val="en-US"/>
        </w:rPr>
        <w:t xml:space="preserve">In addition, several complaints </w:t>
      </w:r>
      <w:r w:rsidR="002625A5" w:rsidRPr="003171CD">
        <w:rPr>
          <w:rFonts w:eastAsiaTheme="minorHAnsi" w:cs="Arial"/>
          <w:szCs w:val="20"/>
          <w:lang w:val="en-US"/>
        </w:rPr>
        <w:t xml:space="preserve">regarding the inefficacy </w:t>
      </w:r>
      <w:r w:rsidR="005A65CE" w:rsidRPr="003171CD">
        <w:rPr>
          <w:rFonts w:eastAsiaTheme="minorHAnsi" w:cs="Arial"/>
          <w:szCs w:val="20"/>
          <w:lang w:val="en-US"/>
        </w:rPr>
        <w:t>of the public defense</w:t>
      </w:r>
      <w:r w:rsidR="005A65CE" w:rsidRPr="003171CD">
        <w:rPr>
          <w:rFonts w:cs="Arial"/>
          <w:szCs w:val="20"/>
          <w:lang w:val="en-US"/>
        </w:rPr>
        <w:t xml:space="preserve"> </w:t>
      </w:r>
      <w:r w:rsidR="003838EF" w:rsidRPr="003171CD">
        <w:rPr>
          <w:rFonts w:cs="Arial"/>
          <w:szCs w:val="20"/>
          <w:lang w:val="en-US"/>
        </w:rPr>
        <w:t xml:space="preserve">were submitted to </w:t>
      </w:r>
      <w:r w:rsidR="005A65CE" w:rsidRPr="003171CD">
        <w:rPr>
          <w:rFonts w:cs="Arial"/>
          <w:szCs w:val="20"/>
          <w:lang w:val="en-US"/>
        </w:rPr>
        <w:t xml:space="preserve">the </w:t>
      </w:r>
      <w:r w:rsidR="005A65CE" w:rsidRPr="003171CD">
        <w:rPr>
          <w:rFonts w:eastAsiaTheme="minorHAnsi" w:cs="Arial"/>
          <w:szCs w:val="20"/>
          <w:lang w:val="en-US"/>
        </w:rPr>
        <w:t xml:space="preserve">Second Trial Court of </w:t>
      </w:r>
      <w:r w:rsidR="005A65CE" w:rsidRPr="003171CD">
        <w:rPr>
          <w:lang w:val="en-US"/>
        </w:rPr>
        <w:t>San Salvador</w:t>
      </w:r>
      <w:r w:rsidR="005A65CE" w:rsidRPr="003171CD">
        <w:rPr>
          <w:rFonts w:eastAsiaTheme="minorHAnsi" w:cs="Arial"/>
          <w:szCs w:val="20"/>
          <w:lang w:val="en-US"/>
        </w:rPr>
        <w:t xml:space="preserve">, </w:t>
      </w:r>
      <w:r w:rsidR="003838EF" w:rsidRPr="003171CD">
        <w:rPr>
          <w:rFonts w:eastAsiaTheme="minorHAnsi" w:cs="Arial"/>
          <w:szCs w:val="20"/>
          <w:lang w:val="en-US"/>
        </w:rPr>
        <w:t xml:space="preserve">either </w:t>
      </w:r>
      <w:r w:rsidR="005A65CE" w:rsidRPr="003171CD">
        <w:rPr>
          <w:rFonts w:eastAsiaTheme="minorHAnsi" w:cs="Arial"/>
          <w:szCs w:val="20"/>
          <w:lang w:val="en-US"/>
        </w:rPr>
        <w:t>direct</w:t>
      </w:r>
      <w:r w:rsidR="000B2DE3" w:rsidRPr="003171CD">
        <w:rPr>
          <w:rFonts w:eastAsiaTheme="minorHAnsi" w:cs="Arial"/>
          <w:szCs w:val="20"/>
          <w:lang w:val="en-US"/>
        </w:rPr>
        <w:t xml:space="preserve">ly </w:t>
      </w:r>
      <w:r w:rsidR="005A65CE" w:rsidRPr="003171CD">
        <w:rPr>
          <w:rFonts w:eastAsiaTheme="minorHAnsi" w:cs="Arial"/>
          <w:szCs w:val="20"/>
          <w:lang w:val="en-US"/>
        </w:rPr>
        <w:t xml:space="preserve">or </w:t>
      </w:r>
      <w:r w:rsidR="000B2DE3" w:rsidRPr="003171CD">
        <w:rPr>
          <w:rFonts w:eastAsiaTheme="minorHAnsi" w:cs="Arial"/>
          <w:szCs w:val="20"/>
          <w:lang w:val="en-US"/>
        </w:rPr>
        <w:t xml:space="preserve">through </w:t>
      </w:r>
      <w:r w:rsidR="005A65CE" w:rsidRPr="003171CD">
        <w:rPr>
          <w:rFonts w:eastAsiaTheme="minorHAnsi" w:cs="Arial"/>
          <w:szCs w:val="20"/>
          <w:lang w:val="en-US"/>
        </w:rPr>
        <w:t>other persons,</w:t>
      </w:r>
      <w:r w:rsidR="005A65CE" w:rsidRPr="003171CD">
        <w:rPr>
          <w:rFonts w:cs="Arial"/>
          <w:szCs w:val="20"/>
          <w:lang w:val="en-US"/>
        </w:rPr>
        <w:t xml:space="preserve"> </w:t>
      </w:r>
      <w:r w:rsidR="003838EF" w:rsidRPr="003171CD">
        <w:rPr>
          <w:rFonts w:cs="Arial"/>
          <w:szCs w:val="20"/>
          <w:lang w:val="en-US"/>
        </w:rPr>
        <w:t xml:space="preserve">yet no favorable response was received </w:t>
      </w:r>
      <w:r w:rsidR="005A65CE" w:rsidRPr="003171CD">
        <w:rPr>
          <w:rFonts w:cs="Arial"/>
          <w:szCs w:val="20"/>
          <w:lang w:val="en-US"/>
        </w:rPr>
        <w:t>during the proce</w:t>
      </w:r>
      <w:r w:rsidR="00D52F24" w:rsidRPr="003171CD">
        <w:rPr>
          <w:rFonts w:cs="Arial"/>
          <w:szCs w:val="20"/>
          <w:lang w:val="en-US"/>
        </w:rPr>
        <w:t>eding</w:t>
      </w:r>
      <w:r w:rsidR="001F05FC" w:rsidRPr="003171CD">
        <w:rPr>
          <w:rFonts w:cs="Arial"/>
          <w:szCs w:val="20"/>
          <w:lang w:val="en-US"/>
        </w:rPr>
        <w:t>s</w:t>
      </w:r>
      <w:r w:rsidR="00D52F24" w:rsidRPr="003171CD">
        <w:rPr>
          <w:rFonts w:cs="Arial"/>
          <w:szCs w:val="20"/>
          <w:lang w:val="en-US"/>
        </w:rPr>
        <w:t xml:space="preserve"> </w:t>
      </w:r>
      <w:r w:rsidR="005A65CE" w:rsidRPr="003171CD">
        <w:rPr>
          <w:rFonts w:cs="Arial"/>
          <w:szCs w:val="20"/>
          <w:lang w:val="en-US"/>
        </w:rPr>
        <w:t xml:space="preserve">or </w:t>
      </w:r>
      <w:r w:rsidR="000B2DE3" w:rsidRPr="003171CD">
        <w:rPr>
          <w:rFonts w:cs="Arial"/>
          <w:szCs w:val="20"/>
          <w:lang w:val="en-US"/>
        </w:rPr>
        <w:t xml:space="preserve">thereafter </w:t>
      </w:r>
      <w:r w:rsidR="005A65CE" w:rsidRPr="003171CD">
        <w:rPr>
          <w:rFonts w:eastAsiaTheme="minorHAnsi" w:cs="Arial"/>
          <w:szCs w:val="20"/>
          <w:lang w:val="en-US"/>
        </w:rPr>
        <w:t>(</w:t>
      </w:r>
      <w:r w:rsidR="005A65CE" w:rsidRPr="003171CD">
        <w:rPr>
          <w:rFonts w:eastAsiaTheme="minorHAnsi" w:cs="Arial"/>
          <w:i/>
          <w:szCs w:val="20"/>
          <w:lang w:val="en-US"/>
        </w:rPr>
        <w:t xml:space="preserve">supra </w:t>
      </w:r>
      <w:r w:rsidR="005A65CE" w:rsidRPr="003171CD">
        <w:rPr>
          <w:rFonts w:eastAsiaTheme="minorHAnsi" w:cs="Arial"/>
          <w:szCs w:val="20"/>
          <w:lang w:val="en-US"/>
        </w:rPr>
        <w:t>paras. 85, 96 and 99).</w:t>
      </w:r>
      <w:r w:rsidR="005A65CE" w:rsidRPr="003171CD">
        <w:rPr>
          <w:rFonts w:cs="Arial"/>
          <w:szCs w:val="20"/>
          <w:lang w:val="en-US"/>
        </w:rPr>
        <w:t xml:space="preserve"> </w:t>
      </w:r>
      <w:r w:rsidR="000B2DE3" w:rsidRPr="003171CD">
        <w:rPr>
          <w:rFonts w:cs="Arial"/>
          <w:szCs w:val="20"/>
          <w:lang w:val="en-US"/>
        </w:rPr>
        <w:t>Furthermore</w:t>
      </w:r>
      <w:r w:rsidR="005A65CE" w:rsidRPr="003171CD">
        <w:rPr>
          <w:rFonts w:eastAsiaTheme="minorHAnsi" w:cs="Arial"/>
          <w:szCs w:val="20"/>
          <w:lang w:val="en-US"/>
        </w:rPr>
        <w:t xml:space="preserve">, </w:t>
      </w:r>
      <w:r w:rsidR="000B2DE3" w:rsidRPr="003171CD">
        <w:rPr>
          <w:rFonts w:eastAsiaTheme="minorHAnsi" w:cs="Arial"/>
          <w:szCs w:val="20"/>
          <w:lang w:val="en-US"/>
        </w:rPr>
        <w:t xml:space="preserve">such </w:t>
      </w:r>
      <w:r w:rsidR="005A65CE" w:rsidRPr="003171CD">
        <w:rPr>
          <w:rFonts w:eastAsiaTheme="minorHAnsi" w:cs="Arial"/>
          <w:szCs w:val="20"/>
          <w:lang w:val="en-US"/>
        </w:rPr>
        <w:t xml:space="preserve">circumstances were </w:t>
      </w:r>
      <w:r w:rsidR="000B2DE3" w:rsidRPr="003171CD">
        <w:rPr>
          <w:rFonts w:eastAsiaTheme="minorHAnsi" w:cs="Arial"/>
          <w:szCs w:val="20"/>
          <w:lang w:val="en-US"/>
        </w:rPr>
        <w:t xml:space="preserve">brought to the attention of </w:t>
      </w:r>
      <w:r w:rsidR="005A65CE" w:rsidRPr="003171CD">
        <w:rPr>
          <w:rFonts w:eastAsiaTheme="minorHAnsi" w:cs="Arial"/>
          <w:szCs w:val="20"/>
          <w:lang w:val="en-US"/>
        </w:rPr>
        <w:t>the Constitutiona</w:t>
      </w:r>
      <w:r w:rsidR="000B2DE3" w:rsidRPr="003171CD">
        <w:rPr>
          <w:rFonts w:eastAsiaTheme="minorHAnsi" w:cs="Arial"/>
          <w:szCs w:val="20"/>
          <w:lang w:val="en-US"/>
        </w:rPr>
        <w:t xml:space="preserve">l Chamber of the Supreme Court </w:t>
      </w:r>
      <w:r w:rsidR="003838EF" w:rsidRPr="003171CD">
        <w:rPr>
          <w:rFonts w:eastAsiaTheme="minorHAnsi" w:cs="Arial"/>
          <w:szCs w:val="20"/>
          <w:lang w:val="en-US"/>
        </w:rPr>
        <w:t>of Justice through the petition for</w:t>
      </w:r>
      <w:r w:rsidR="005A65CE" w:rsidRPr="003171CD">
        <w:rPr>
          <w:rFonts w:eastAsiaTheme="minorHAnsi" w:cs="Arial"/>
          <w:szCs w:val="20"/>
          <w:lang w:val="en-US"/>
        </w:rPr>
        <w:t xml:space="preserve"> </w:t>
      </w:r>
      <w:r w:rsidR="005A65CE" w:rsidRPr="003171CD">
        <w:rPr>
          <w:rFonts w:eastAsiaTheme="minorHAnsi" w:cs="Arial"/>
          <w:i/>
          <w:szCs w:val="20"/>
          <w:lang w:val="en-US"/>
        </w:rPr>
        <w:t>habeas corpus</w:t>
      </w:r>
      <w:r w:rsidR="003838EF" w:rsidRPr="003171CD">
        <w:rPr>
          <w:rFonts w:eastAsiaTheme="minorHAnsi" w:cs="Arial"/>
          <w:i/>
          <w:szCs w:val="20"/>
          <w:lang w:val="en-US"/>
        </w:rPr>
        <w:t>,</w:t>
      </w:r>
      <w:r w:rsidR="005A65CE" w:rsidRPr="003171CD">
        <w:rPr>
          <w:rFonts w:eastAsiaTheme="minorHAnsi" w:cs="Arial"/>
          <w:szCs w:val="20"/>
          <w:lang w:val="en-US"/>
        </w:rPr>
        <w:t xml:space="preserve"> which </w:t>
      </w:r>
      <w:r w:rsidR="001F05FC" w:rsidRPr="003171CD">
        <w:rPr>
          <w:rFonts w:eastAsiaTheme="minorHAnsi" w:cs="Arial"/>
          <w:szCs w:val="20"/>
          <w:lang w:val="en-US"/>
        </w:rPr>
        <w:t xml:space="preserve">perpetuated </w:t>
      </w:r>
      <w:r w:rsidR="005A65CE" w:rsidRPr="003171CD">
        <w:rPr>
          <w:rFonts w:eastAsiaTheme="minorHAnsi" w:cs="Arial"/>
          <w:szCs w:val="20"/>
          <w:lang w:val="en-US"/>
        </w:rPr>
        <w:t xml:space="preserve">the </w:t>
      </w:r>
      <w:r w:rsidR="002E723D" w:rsidRPr="003171CD">
        <w:rPr>
          <w:rFonts w:eastAsiaTheme="minorHAnsi" w:cs="Arial"/>
          <w:szCs w:val="20"/>
          <w:lang w:val="en-US"/>
        </w:rPr>
        <w:t xml:space="preserve">prevailing </w:t>
      </w:r>
      <w:r w:rsidR="005A65CE" w:rsidRPr="003171CD">
        <w:rPr>
          <w:rFonts w:eastAsiaTheme="minorHAnsi" w:cs="Arial"/>
          <w:szCs w:val="20"/>
          <w:lang w:val="en-US"/>
        </w:rPr>
        <w:t>situation (</w:t>
      </w:r>
      <w:r w:rsidR="005A65CE" w:rsidRPr="003171CD">
        <w:rPr>
          <w:rFonts w:eastAsiaTheme="minorHAnsi" w:cs="Arial"/>
          <w:i/>
          <w:szCs w:val="20"/>
          <w:lang w:val="en-US"/>
        </w:rPr>
        <w:t xml:space="preserve">supra </w:t>
      </w:r>
      <w:r w:rsidR="005A65CE" w:rsidRPr="003171CD">
        <w:rPr>
          <w:rFonts w:eastAsiaTheme="minorHAnsi" w:cs="Arial"/>
          <w:szCs w:val="20"/>
          <w:lang w:val="en-US"/>
        </w:rPr>
        <w:t xml:space="preserve">paras. 107, 109 and 111). </w:t>
      </w:r>
      <w:r w:rsidR="003838EF" w:rsidRPr="003171CD">
        <w:rPr>
          <w:rFonts w:eastAsiaTheme="minorHAnsi" w:cs="Arial"/>
          <w:szCs w:val="20"/>
          <w:lang w:val="en-US"/>
        </w:rPr>
        <w:t>In addition</w:t>
      </w:r>
      <w:r w:rsidR="00D52F24" w:rsidRPr="003171CD">
        <w:rPr>
          <w:rFonts w:eastAsiaTheme="minorHAnsi" w:cs="Arial"/>
          <w:szCs w:val="20"/>
          <w:lang w:val="en-US"/>
        </w:rPr>
        <w:t>, the disciplinary complaint filed</w:t>
      </w:r>
      <w:r w:rsidR="005A65CE" w:rsidRPr="003171CD">
        <w:rPr>
          <w:rFonts w:eastAsiaTheme="minorHAnsi" w:cs="Arial"/>
          <w:szCs w:val="20"/>
          <w:lang w:val="en-US"/>
        </w:rPr>
        <w:t xml:space="preserve"> was declar</w:t>
      </w:r>
      <w:r w:rsidR="00D52F24" w:rsidRPr="003171CD">
        <w:rPr>
          <w:rFonts w:eastAsiaTheme="minorHAnsi" w:cs="Arial"/>
          <w:szCs w:val="20"/>
          <w:lang w:val="en-US"/>
        </w:rPr>
        <w:t xml:space="preserve">ed </w:t>
      </w:r>
      <w:r w:rsidR="005A65CE" w:rsidRPr="003171CD">
        <w:rPr>
          <w:rFonts w:eastAsiaTheme="minorHAnsi" w:cs="Arial"/>
          <w:szCs w:val="20"/>
          <w:lang w:val="en-US"/>
        </w:rPr>
        <w:t>ina</w:t>
      </w:r>
      <w:r w:rsidR="00D52F24" w:rsidRPr="003171CD">
        <w:rPr>
          <w:rFonts w:eastAsiaTheme="minorHAnsi" w:cs="Arial"/>
          <w:szCs w:val="20"/>
          <w:lang w:val="en-US"/>
        </w:rPr>
        <w:t xml:space="preserve">dmissible by the Supreme Court </w:t>
      </w:r>
      <w:r w:rsidR="005A65CE" w:rsidRPr="003171CD">
        <w:rPr>
          <w:rFonts w:eastAsiaTheme="minorHAnsi" w:cs="Arial"/>
          <w:szCs w:val="20"/>
          <w:lang w:val="en-US"/>
        </w:rPr>
        <w:t>of Justice (</w:t>
      </w:r>
      <w:r w:rsidR="005A65CE" w:rsidRPr="003171CD">
        <w:rPr>
          <w:rFonts w:eastAsiaTheme="minorHAnsi" w:cs="Arial"/>
          <w:i/>
          <w:szCs w:val="20"/>
          <w:lang w:val="en-US"/>
        </w:rPr>
        <w:t xml:space="preserve">supra </w:t>
      </w:r>
      <w:r w:rsidR="00D52F24" w:rsidRPr="003171CD">
        <w:rPr>
          <w:rFonts w:eastAsiaTheme="minorHAnsi" w:cs="Arial"/>
          <w:szCs w:val="20"/>
          <w:lang w:val="en-US"/>
        </w:rPr>
        <w:t>para. 95). I</w:t>
      </w:r>
      <w:r w:rsidR="005A65CE" w:rsidRPr="003171CD">
        <w:rPr>
          <w:rFonts w:eastAsiaTheme="minorHAnsi" w:cs="Arial"/>
          <w:szCs w:val="20"/>
          <w:lang w:val="en-US"/>
        </w:rPr>
        <w:t>n s</w:t>
      </w:r>
      <w:r w:rsidR="00D52F24" w:rsidRPr="003171CD">
        <w:rPr>
          <w:rFonts w:eastAsiaTheme="minorHAnsi" w:cs="Arial"/>
          <w:szCs w:val="20"/>
          <w:lang w:val="en-US"/>
        </w:rPr>
        <w:t>hort</w:t>
      </w:r>
      <w:r w:rsidR="005A65CE" w:rsidRPr="003171CD">
        <w:rPr>
          <w:rFonts w:eastAsiaTheme="minorHAnsi" w:cs="Arial"/>
          <w:szCs w:val="20"/>
          <w:lang w:val="en-US"/>
        </w:rPr>
        <w:t xml:space="preserve">, the </w:t>
      </w:r>
      <w:r w:rsidRPr="003171CD">
        <w:rPr>
          <w:rFonts w:eastAsiaTheme="minorHAnsi" w:cs="Arial"/>
          <w:szCs w:val="20"/>
          <w:lang w:val="en-US"/>
        </w:rPr>
        <w:t>judicial authorities</w:t>
      </w:r>
      <w:r w:rsidR="005A65CE" w:rsidRPr="003171CD">
        <w:rPr>
          <w:rFonts w:eastAsiaTheme="minorHAnsi" w:cs="Arial"/>
          <w:szCs w:val="20"/>
          <w:lang w:val="en-US"/>
        </w:rPr>
        <w:t xml:space="preserve"> fa</w:t>
      </w:r>
      <w:r w:rsidR="00D52F24" w:rsidRPr="003171CD">
        <w:rPr>
          <w:rFonts w:eastAsiaTheme="minorHAnsi" w:cs="Arial"/>
          <w:szCs w:val="20"/>
          <w:lang w:val="en-US"/>
        </w:rPr>
        <w:t xml:space="preserve">iled in their duty to ensure </w:t>
      </w:r>
      <w:r w:rsidR="005A65CE" w:rsidRPr="003171CD">
        <w:rPr>
          <w:rFonts w:eastAsiaTheme="minorHAnsi" w:cs="Arial"/>
          <w:szCs w:val="20"/>
          <w:lang w:val="en-US"/>
        </w:rPr>
        <w:t xml:space="preserve">the </w:t>
      </w:r>
      <w:r w:rsidR="00EA0B61" w:rsidRPr="003171CD">
        <w:rPr>
          <w:rFonts w:eastAsiaTheme="minorHAnsi" w:cs="Arial"/>
          <w:szCs w:val="20"/>
          <w:lang w:val="en-US"/>
        </w:rPr>
        <w:t>effective</w:t>
      </w:r>
      <w:r w:rsidR="005A65CE" w:rsidRPr="003171CD">
        <w:rPr>
          <w:rFonts w:eastAsiaTheme="minorHAnsi" w:cs="Arial"/>
          <w:szCs w:val="20"/>
          <w:lang w:val="en-US"/>
        </w:rPr>
        <w:t xml:space="preserve"> </w:t>
      </w:r>
      <w:r w:rsidR="00D52F24" w:rsidRPr="003171CD">
        <w:rPr>
          <w:rFonts w:eastAsiaTheme="minorHAnsi" w:cs="Arial"/>
          <w:szCs w:val="20"/>
          <w:lang w:val="en-US"/>
        </w:rPr>
        <w:t xml:space="preserve">exercise </w:t>
      </w:r>
      <w:r w:rsidR="005B7FBD" w:rsidRPr="003171CD">
        <w:rPr>
          <w:rFonts w:eastAsiaTheme="minorHAnsi" w:cs="Arial"/>
          <w:szCs w:val="20"/>
          <w:lang w:val="en-US"/>
        </w:rPr>
        <w:t xml:space="preserve">of the </w:t>
      </w:r>
      <w:r w:rsidR="001649FA" w:rsidRPr="003171CD">
        <w:rPr>
          <w:rFonts w:eastAsiaTheme="minorHAnsi" w:cs="Arial"/>
          <w:szCs w:val="20"/>
          <w:lang w:val="en-US"/>
        </w:rPr>
        <w:t xml:space="preserve">right to </w:t>
      </w:r>
      <w:r w:rsidR="003838EF" w:rsidRPr="003171CD">
        <w:rPr>
          <w:rFonts w:eastAsiaTheme="minorHAnsi" w:cs="Arial"/>
          <w:szCs w:val="20"/>
          <w:lang w:val="en-US"/>
        </w:rPr>
        <w:t xml:space="preserve">a legal </w:t>
      </w:r>
      <w:r w:rsidR="00E86957" w:rsidRPr="003171CD">
        <w:rPr>
          <w:rFonts w:eastAsiaTheme="minorHAnsi" w:cs="Arial"/>
          <w:szCs w:val="20"/>
          <w:lang w:val="en-US"/>
        </w:rPr>
        <w:t>defense</w:t>
      </w:r>
      <w:r w:rsidR="005A65CE" w:rsidRPr="003171CD">
        <w:rPr>
          <w:rFonts w:eastAsiaTheme="minorHAnsi" w:cs="Arial"/>
          <w:szCs w:val="20"/>
          <w:lang w:val="en-US"/>
        </w:rPr>
        <w:t>.</w:t>
      </w:r>
    </w:p>
    <w:p w14:paraId="4EBD4CCE" w14:textId="77777777" w:rsidR="005A65CE" w:rsidRPr="003171CD" w:rsidRDefault="005A65CE" w:rsidP="005A65CE">
      <w:pPr>
        <w:pStyle w:val="Prrafodelista"/>
        <w:tabs>
          <w:tab w:val="left" w:pos="720"/>
        </w:tabs>
        <w:ind w:left="0" w:right="-90"/>
        <w:jc w:val="both"/>
        <w:rPr>
          <w:rFonts w:eastAsiaTheme="minorHAnsi" w:cs="Arial"/>
          <w:lang w:val="en-US"/>
        </w:rPr>
      </w:pPr>
    </w:p>
    <w:p w14:paraId="4F385ABE" w14:textId="77777777" w:rsidR="005A65CE" w:rsidRPr="003171CD" w:rsidRDefault="000B2DE3"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I</w:t>
      </w:r>
      <w:r w:rsidR="005A65CE" w:rsidRPr="003171CD">
        <w:rPr>
          <w:rFonts w:eastAsiaTheme="minorHAnsi" w:cs="Arial"/>
          <w:lang w:val="en-US"/>
        </w:rPr>
        <w:t>n the circumstance</w:t>
      </w:r>
      <w:r w:rsidRPr="003171CD">
        <w:rPr>
          <w:rFonts w:eastAsiaTheme="minorHAnsi" w:cs="Arial"/>
          <w:lang w:val="en-US"/>
        </w:rPr>
        <w:t>s described, the Court considers</w:t>
      </w:r>
      <w:r w:rsidR="005A65CE" w:rsidRPr="003171CD">
        <w:rPr>
          <w:rFonts w:eastAsiaTheme="minorHAnsi" w:cs="Arial"/>
          <w:lang w:val="en-US"/>
        </w:rPr>
        <w:t xml:space="preserve"> that the </w:t>
      </w:r>
      <w:r w:rsidR="003838EF" w:rsidRPr="003171CD">
        <w:rPr>
          <w:rFonts w:eastAsiaTheme="minorHAnsi" w:cs="Arial"/>
          <w:lang w:val="en-US"/>
        </w:rPr>
        <w:t xml:space="preserve">obvious </w:t>
      </w:r>
      <w:r w:rsidR="00D52F24" w:rsidRPr="003171CD">
        <w:rPr>
          <w:rFonts w:eastAsiaTheme="minorHAnsi" w:cs="Arial"/>
          <w:lang w:val="en-US"/>
        </w:rPr>
        <w:t xml:space="preserve">failures </w:t>
      </w:r>
      <w:r w:rsidR="005A65CE" w:rsidRPr="003171CD">
        <w:rPr>
          <w:rFonts w:eastAsiaTheme="minorHAnsi" w:cs="Arial"/>
          <w:lang w:val="en-US"/>
        </w:rPr>
        <w:t>in the act</w:t>
      </w:r>
      <w:r w:rsidRPr="003171CD">
        <w:rPr>
          <w:rFonts w:eastAsiaTheme="minorHAnsi" w:cs="Arial"/>
          <w:lang w:val="en-US"/>
        </w:rPr>
        <w:t xml:space="preserve">ions </w:t>
      </w:r>
      <w:r w:rsidR="005A65CE" w:rsidRPr="003171CD">
        <w:rPr>
          <w:rFonts w:eastAsiaTheme="minorHAnsi" w:cs="Arial"/>
          <w:lang w:val="en-US"/>
        </w:rPr>
        <w:t xml:space="preserve">of the public defenders and the </w:t>
      </w:r>
      <w:r w:rsidR="003E02EA" w:rsidRPr="003171CD">
        <w:rPr>
          <w:rFonts w:eastAsiaTheme="minorHAnsi" w:cs="Arial"/>
          <w:lang w:val="en-US"/>
        </w:rPr>
        <w:t>lack</w:t>
      </w:r>
      <w:r w:rsidR="005A65CE" w:rsidRPr="003171CD">
        <w:rPr>
          <w:rFonts w:eastAsiaTheme="minorHAnsi" w:cs="Arial"/>
          <w:lang w:val="en-US"/>
        </w:rPr>
        <w:t xml:space="preserve"> of </w:t>
      </w:r>
      <w:r w:rsidRPr="003171CD">
        <w:rPr>
          <w:rFonts w:eastAsiaTheme="minorHAnsi" w:cs="Arial"/>
          <w:lang w:val="en-US"/>
        </w:rPr>
        <w:t xml:space="preserve">an </w:t>
      </w:r>
      <w:r w:rsidR="005A65CE" w:rsidRPr="003171CD">
        <w:rPr>
          <w:rFonts w:eastAsiaTheme="minorHAnsi" w:cs="Arial"/>
          <w:lang w:val="en-US"/>
        </w:rPr>
        <w:t xml:space="preserve">adequate and </w:t>
      </w:r>
      <w:r w:rsidR="00EA0B61" w:rsidRPr="003171CD">
        <w:rPr>
          <w:rFonts w:eastAsiaTheme="minorHAnsi" w:cs="Arial"/>
          <w:lang w:val="en-US"/>
        </w:rPr>
        <w:t>effective</w:t>
      </w:r>
      <w:r w:rsidR="005A65CE" w:rsidRPr="003171CD">
        <w:rPr>
          <w:rFonts w:eastAsiaTheme="minorHAnsi" w:cs="Arial"/>
          <w:lang w:val="en-US"/>
        </w:rPr>
        <w:t xml:space="preserve"> </w:t>
      </w:r>
      <w:r w:rsidRPr="003171CD">
        <w:rPr>
          <w:rFonts w:eastAsiaTheme="minorHAnsi" w:cs="Arial"/>
          <w:lang w:val="en-US"/>
        </w:rPr>
        <w:t xml:space="preserve">response </w:t>
      </w:r>
      <w:r w:rsidR="005A65CE" w:rsidRPr="003171CD">
        <w:rPr>
          <w:rFonts w:eastAsiaTheme="minorHAnsi" w:cs="Arial"/>
          <w:lang w:val="en-US"/>
        </w:rPr>
        <w:t xml:space="preserve">by the </w:t>
      </w:r>
      <w:r w:rsidR="00266893" w:rsidRPr="003171CD">
        <w:rPr>
          <w:rFonts w:eastAsiaTheme="minorHAnsi" w:cs="Arial"/>
          <w:lang w:val="en-US"/>
        </w:rPr>
        <w:t>judicial authorities</w:t>
      </w:r>
      <w:r w:rsidR="005A65CE" w:rsidRPr="003171CD">
        <w:rPr>
          <w:rFonts w:eastAsiaTheme="minorHAnsi" w:cs="Arial"/>
          <w:lang w:val="en-US"/>
        </w:rPr>
        <w:t xml:space="preserve"> </w:t>
      </w:r>
      <w:r w:rsidRPr="003171CD">
        <w:rPr>
          <w:rFonts w:eastAsiaTheme="minorHAnsi" w:cs="Arial"/>
          <w:lang w:val="en-US"/>
        </w:rPr>
        <w:t xml:space="preserve">placed </w:t>
      </w:r>
      <w:r w:rsidR="005A65CE" w:rsidRPr="003171CD">
        <w:rPr>
          <w:rFonts w:eastAsiaTheme="minorHAnsi" w:cs="Arial"/>
          <w:lang w:val="en-US"/>
        </w:rPr>
        <w:t xml:space="preserve">José Agapito Ruano Torres in a </w:t>
      </w:r>
      <w:r w:rsidRPr="003171CD">
        <w:rPr>
          <w:rFonts w:eastAsiaTheme="minorHAnsi" w:cs="Arial"/>
          <w:lang w:val="en-US"/>
        </w:rPr>
        <w:t xml:space="preserve">state of total </w:t>
      </w:r>
      <w:r w:rsidR="00D52F24" w:rsidRPr="003171CD">
        <w:rPr>
          <w:rFonts w:eastAsiaTheme="minorHAnsi" w:cs="Arial"/>
          <w:lang w:val="en-US"/>
        </w:rPr>
        <w:t>vulnerability</w:t>
      </w:r>
      <w:r w:rsidR="005A65CE" w:rsidRPr="003171CD">
        <w:rPr>
          <w:rFonts w:eastAsiaTheme="minorHAnsi" w:cs="Arial"/>
          <w:lang w:val="en-US"/>
        </w:rPr>
        <w:t xml:space="preserve">, which </w:t>
      </w:r>
      <w:r w:rsidRPr="003171CD">
        <w:rPr>
          <w:rFonts w:eastAsiaTheme="minorHAnsi" w:cs="Arial"/>
          <w:lang w:val="en-US"/>
        </w:rPr>
        <w:t xml:space="preserve">was aggravated </w:t>
      </w:r>
      <w:r w:rsidR="005A65CE" w:rsidRPr="003171CD">
        <w:rPr>
          <w:rFonts w:eastAsiaTheme="minorHAnsi" w:cs="Arial"/>
          <w:lang w:val="en-US"/>
        </w:rPr>
        <w:t xml:space="preserve">by the </w:t>
      </w:r>
      <w:r w:rsidR="00897B7E" w:rsidRPr="003171CD">
        <w:rPr>
          <w:rFonts w:eastAsiaTheme="minorHAnsi" w:cs="Arial"/>
          <w:lang w:val="en-US"/>
        </w:rPr>
        <w:t>fact</w:t>
      </w:r>
      <w:r w:rsidR="005A65CE" w:rsidRPr="003171CD">
        <w:rPr>
          <w:rFonts w:eastAsiaTheme="minorHAnsi" w:cs="Arial"/>
          <w:lang w:val="en-US"/>
        </w:rPr>
        <w:t xml:space="preserve"> </w:t>
      </w:r>
      <w:r w:rsidRPr="003171CD">
        <w:rPr>
          <w:rFonts w:eastAsiaTheme="minorHAnsi" w:cs="Arial"/>
          <w:lang w:val="en-US"/>
        </w:rPr>
        <w:lastRenderedPageBreak/>
        <w:t xml:space="preserve">that he was deprived </w:t>
      </w:r>
      <w:r w:rsidR="005A65CE" w:rsidRPr="003171CD">
        <w:rPr>
          <w:rFonts w:eastAsiaTheme="minorHAnsi" w:cs="Arial"/>
          <w:lang w:val="en-US"/>
        </w:rPr>
        <w:t xml:space="preserve">of </w:t>
      </w:r>
      <w:r w:rsidRPr="003171CD">
        <w:rPr>
          <w:rFonts w:eastAsiaTheme="minorHAnsi" w:cs="Arial"/>
          <w:lang w:val="en-US"/>
        </w:rPr>
        <w:t xml:space="preserve">his </w:t>
      </w:r>
      <w:r w:rsidR="00E755FC" w:rsidRPr="003171CD">
        <w:rPr>
          <w:rFonts w:eastAsiaTheme="minorHAnsi" w:cs="Arial"/>
          <w:lang w:val="en-US"/>
        </w:rPr>
        <w:t>liberty</w:t>
      </w:r>
      <w:r w:rsidR="005A65CE" w:rsidRPr="003171CD">
        <w:rPr>
          <w:rFonts w:eastAsiaTheme="minorHAnsi" w:cs="Arial"/>
          <w:lang w:val="en-US"/>
        </w:rPr>
        <w:t xml:space="preserve"> </w:t>
      </w:r>
      <w:r w:rsidRPr="003171CD">
        <w:rPr>
          <w:rFonts w:eastAsiaTheme="minorHAnsi" w:cs="Arial"/>
          <w:lang w:val="en-US"/>
        </w:rPr>
        <w:t xml:space="preserve">throughout </w:t>
      </w:r>
      <w:r w:rsidR="00987265" w:rsidRPr="003171CD">
        <w:rPr>
          <w:rFonts w:eastAsiaTheme="minorHAnsi" w:cs="Arial"/>
          <w:lang w:val="en-US"/>
        </w:rPr>
        <w:t>the course of his trial</w:t>
      </w:r>
      <w:r w:rsidR="005A65CE" w:rsidRPr="003171CD">
        <w:rPr>
          <w:rFonts w:eastAsiaTheme="minorHAnsi" w:cs="Arial"/>
          <w:lang w:val="en-US"/>
        </w:rPr>
        <w:t xml:space="preserve">. </w:t>
      </w:r>
      <w:r w:rsidR="00B47544" w:rsidRPr="003171CD">
        <w:rPr>
          <w:rFonts w:eastAsiaTheme="minorHAnsi" w:cs="Arial"/>
          <w:lang w:val="en-US"/>
        </w:rPr>
        <w:t>Furthermore</w:t>
      </w:r>
      <w:r w:rsidR="005A65CE" w:rsidRPr="003171CD">
        <w:rPr>
          <w:rFonts w:eastAsiaTheme="minorHAnsi" w:cs="Arial"/>
          <w:lang w:val="en-US"/>
        </w:rPr>
        <w:t xml:space="preserve">, </w:t>
      </w:r>
      <w:r w:rsidR="00D52F24" w:rsidRPr="003171CD">
        <w:rPr>
          <w:rFonts w:eastAsiaTheme="minorHAnsi" w:cs="Arial"/>
          <w:lang w:val="en-US"/>
        </w:rPr>
        <w:t xml:space="preserve">by virtue of those </w:t>
      </w:r>
      <w:r w:rsidR="005A65CE" w:rsidRPr="003171CD">
        <w:rPr>
          <w:rFonts w:eastAsiaTheme="minorHAnsi" w:cs="Arial"/>
          <w:lang w:val="en-US"/>
        </w:rPr>
        <w:t>circumstances, i</w:t>
      </w:r>
      <w:r w:rsidR="00D52F24" w:rsidRPr="003171CD">
        <w:rPr>
          <w:rFonts w:eastAsiaTheme="minorHAnsi" w:cs="Arial"/>
          <w:lang w:val="en-US"/>
        </w:rPr>
        <w:t>t i</w:t>
      </w:r>
      <w:r w:rsidR="005A65CE" w:rsidRPr="003171CD">
        <w:rPr>
          <w:rFonts w:eastAsiaTheme="minorHAnsi" w:cs="Arial"/>
          <w:lang w:val="en-US"/>
        </w:rPr>
        <w:t xml:space="preserve">s possible </w:t>
      </w:r>
      <w:r w:rsidR="00D52F24" w:rsidRPr="003171CD">
        <w:rPr>
          <w:rFonts w:eastAsiaTheme="minorHAnsi" w:cs="Arial"/>
          <w:lang w:val="en-US"/>
        </w:rPr>
        <w:t xml:space="preserve">to </w:t>
      </w:r>
      <w:r w:rsidR="005A65CE" w:rsidRPr="003171CD">
        <w:rPr>
          <w:rFonts w:eastAsiaTheme="minorHAnsi" w:cs="Arial"/>
          <w:lang w:val="en-US"/>
        </w:rPr>
        <w:t xml:space="preserve">consider that </w:t>
      </w:r>
      <w:r w:rsidR="00D52F24" w:rsidRPr="003171CD">
        <w:rPr>
          <w:rFonts w:eastAsiaTheme="minorHAnsi" w:cs="Arial"/>
          <w:lang w:val="en-US"/>
        </w:rPr>
        <w:t xml:space="preserve">he </w:t>
      </w:r>
      <w:r w:rsidR="00C97AE2" w:rsidRPr="003171CD">
        <w:rPr>
          <w:rFonts w:eastAsiaTheme="minorHAnsi" w:cs="Arial"/>
          <w:lang w:val="en-US"/>
        </w:rPr>
        <w:t xml:space="preserve">did not receive a hearing </w:t>
      </w:r>
      <w:r w:rsidR="005A65CE" w:rsidRPr="003171CD">
        <w:rPr>
          <w:rFonts w:eastAsiaTheme="minorHAnsi" w:cs="Arial"/>
          <w:lang w:val="en-US"/>
        </w:rPr>
        <w:t xml:space="preserve">with </w:t>
      </w:r>
      <w:r w:rsidR="00C97AE2" w:rsidRPr="003171CD">
        <w:rPr>
          <w:rFonts w:eastAsiaTheme="minorHAnsi" w:cs="Arial"/>
          <w:lang w:val="en-US"/>
        </w:rPr>
        <w:t xml:space="preserve">the due </w:t>
      </w:r>
      <w:r w:rsidR="005A65CE" w:rsidRPr="003171CD">
        <w:rPr>
          <w:rFonts w:eastAsiaTheme="minorHAnsi" w:cs="Arial"/>
          <w:lang w:val="en-US"/>
        </w:rPr>
        <w:t>guarantees.</w:t>
      </w:r>
    </w:p>
    <w:p w14:paraId="3FFE180B" w14:textId="77777777" w:rsidR="005A65CE" w:rsidRPr="003171CD" w:rsidRDefault="005A65CE" w:rsidP="005A65CE">
      <w:pPr>
        <w:jc w:val="both"/>
        <w:rPr>
          <w:rFonts w:eastAsiaTheme="minorHAnsi" w:cs="Arial"/>
          <w:snapToGrid/>
          <w:lang w:val="en-US" w:eastAsia="en-US"/>
        </w:rPr>
      </w:pPr>
    </w:p>
    <w:p w14:paraId="11ED42DA" w14:textId="77777777" w:rsidR="005A65CE" w:rsidRPr="003171CD" w:rsidRDefault="00D52F24" w:rsidP="005A65CE">
      <w:pPr>
        <w:pStyle w:val="Prrafodelista"/>
        <w:numPr>
          <w:ilvl w:val="0"/>
          <w:numId w:val="1"/>
        </w:numPr>
        <w:tabs>
          <w:tab w:val="left" w:pos="720"/>
          <w:tab w:val="num" w:pos="5057"/>
        </w:tabs>
        <w:ind w:right="-90"/>
        <w:jc w:val="both"/>
        <w:rPr>
          <w:rFonts w:eastAsiaTheme="minorHAnsi" w:cs="Arial"/>
          <w:lang w:val="en-US"/>
        </w:rPr>
      </w:pPr>
      <w:r w:rsidRPr="003171CD">
        <w:rPr>
          <w:rFonts w:eastAsiaTheme="minorHAnsi" w:cs="Arial"/>
          <w:lang w:val="en-US"/>
        </w:rPr>
        <w:t xml:space="preserve">Based on the foregoing </w:t>
      </w:r>
      <w:r w:rsidR="00B47544" w:rsidRPr="003171CD">
        <w:rPr>
          <w:rFonts w:eastAsiaTheme="minorHAnsi" w:cs="Arial"/>
          <w:lang w:val="en-US"/>
        </w:rPr>
        <w:t xml:space="preserve">considerations </w:t>
      </w:r>
      <w:r w:rsidR="005A65CE" w:rsidRPr="003171CD">
        <w:rPr>
          <w:rFonts w:eastAsiaTheme="minorHAnsi" w:cs="Arial"/>
          <w:lang w:val="en-US"/>
        </w:rPr>
        <w:t xml:space="preserve">and </w:t>
      </w:r>
      <w:r w:rsidR="00B47544" w:rsidRPr="003171CD">
        <w:rPr>
          <w:rFonts w:eastAsiaTheme="minorHAnsi" w:cs="Arial"/>
          <w:lang w:val="en-US"/>
        </w:rPr>
        <w:t xml:space="preserve">on the State’s </w:t>
      </w:r>
      <w:r w:rsidR="005A65CE" w:rsidRPr="003171CD">
        <w:rPr>
          <w:rFonts w:eastAsiaTheme="minorHAnsi" w:cs="Arial"/>
          <w:lang w:val="en-US"/>
        </w:rPr>
        <w:t>acknowledgment of responsibility</w:t>
      </w:r>
      <w:r w:rsidR="00B47544" w:rsidRPr="003171CD">
        <w:rPr>
          <w:rFonts w:eastAsiaTheme="minorHAnsi" w:cs="Arial"/>
          <w:lang w:val="en-US"/>
        </w:rPr>
        <w:t>,</w:t>
      </w:r>
      <w:r w:rsidR="005A65CE" w:rsidRPr="003171CD">
        <w:rPr>
          <w:rFonts w:eastAsiaTheme="minorHAnsi" w:cs="Arial"/>
          <w:lang w:val="en-US"/>
        </w:rPr>
        <w:t xml:space="preserve"> the Court conclu</w:t>
      </w:r>
      <w:r w:rsidR="000B2DE3" w:rsidRPr="003171CD">
        <w:rPr>
          <w:rFonts w:eastAsiaTheme="minorHAnsi" w:cs="Arial"/>
          <w:lang w:val="en-US"/>
        </w:rPr>
        <w:t xml:space="preserve">des </w:t>
      </w:r>
      <w:r w:rsidR="005A65CE" w:rsidRPr="003171CD">
        <w:rPr>
          <w:rFonts w:eastAsiaTheme="minorHAnsi" w:cs="Arial"/>
          <w:lang w:val="en-US"/>
        </w:rPr>
        <w:t xml:space="preserve">that the State is responsible for the </w:t>
      </w:r>
      <w:r w:rsidR="00D42FEA" w:rsidRPr="003171CD">
        <w:rPr>
          <w:rFonts w:eastAsiaTheme="minorHAnsi" w:cs="Arial"/>
          <w:lang w:val="en-US"/>
        </w:rPr>
        <w:t>violation</w:t>
      </w:r>
      <w:r w:rsidR="005A65CE" w:rsidRPr="003171CD">
        <w:rPr>
          <w:rFonts w:eastAsiaTheme="minorHAnsi" w:cs="Arial"/>
          <w:lang w:val="en-US"/>
        </w:rPr>
        <w:t xml:space="preserve"> of Articles </w:t>
      </w:r>
      <w:r w:rsidR="00F26C88" w:rsidRPr="003171CD">
        <w:rPr>
          <w:rFonts w:eastAsiaTheme="minorHAnsi" w:cs="Arial"/>
          <w:lang w:val="en-US"/>
        </w:rPr>
        <w:t>8(1), 8(2)(d) and 8(2)(e)</w:t>
      </w:r>
      <w:r w:rsidR="005A65CE" w:rsidRPr="003171CD">
        <w:rPr>
          <w:rFonts w:eastAsiaTheme="minorHAnsi" w:cs="Arial"/>
          <w:lang w:val="en-US"/>
        </w:rPr>
        <w:t xml:space="preserve"> of the American Convention, in relation to Article 1(1) thereof, to the detriment </w:t>
      </w:r>
      <w:r w:rsidR="002E723D" w:rsidRPr="003171CD">
        <w:rPr>
          <w:rFonts w:eastAsiaTheme="minorHAnsi" w:cs="Arial"/>
          <w:lang w:val="en-US"/>
        </w:rPr>
        <w:t>of José</w:t>
      </w:r>
      <w:r w:rsidR="005A65CE" w:rsidRPr="003171CD">
        <w:rPr>
          <w:rFonts w:eastAsiaTheme="minorHAnsi" w:cs="Arial"/>
          <w:lang w:val="en-US"/>
        </w:rPr>
        <w:t xml:space="preserve"> Agapito Ruano Torres.</w:t>
      </w:r>
    </w:p>
    <w:p w14:paraId="562A6B67" w14:textId="77777777" w:rsidR="005A65CE" w:rsidRPr="003171CD" w:rsidRDefault="005A65CE" w:rsidP="005A65CE">
      <w:pPr>
        <w:jc w:val="both"/>
        <w:rPr>
          <w:rFonts w:eastAsiaTheme="minorHAnsi" w:cs="Arial"/>
          <w:snapToGrid/>
          <w:lang w:val="en-US" w:eastAsia="en-US"/>
        </w:rPr>
      </w:pPr>
    </w:p>
    <w:p w14:paraId="34672FD3" w14:textId="77777777" w:rsidR="005A65CE" w:rsidRPr="003171CD" w:rsidRDefault="000B2DE3" w:rsidP="005A65CE">
      <w:pPr>
        <w:keepNext/>
        <w:keepLines/>
        <w:tabs>
          <w:tab w:val="left" w:pos="851"/>
        </w:tabs>
        <w:jc w:val="center"/>
        <w:outlineLvl w:val="0"/>
        <w:rPr>
          <w:rFonts w:eastAsia="Times New Roman" w:cs="Arial"/>
          <w:b/>
          <w:bCs/>
          <w:caps/>
          <w:snapToGrid/>
          <w:lang w:val="en-US" w:eastAsia="en-US"/>
        </w:rPr>
      </w:pPr>
      <w:bookmarkStart w:id="55" w:name="_Toc416260586"/>
      <w:bookmarkStart w:id="56" w:name="_Toc416260694"/>
      <w:bookmarkStart w:id="57" w:name="_Toc45186715"/>
      <w:r w:rsidRPr="003171CD">
        <w:rPr>
          <w:rFonts w:eastAsia="Times New Roman" w:cs="Arial"/>
          <w:b/>
          <w:bCs/>
          <w:caps/>
          <w:snapToGrid/>
          <w:lang w:val="en-US" w:eastAsia="en-US"/>
        </w:rPr>
        <w:t>VII-3</w:t>
      </w:r>
      <w:r w:rsidRPr="003171CD">
        <w:rPr>
          <w:rFonts w:eastAsia="Times New Roman" w:cs="Arial"/>
          <w:b/>
          <w:bCs/>
          <w:caps/>
          <w:snapToGrid/>
          <w:lang w:val="en-US" w:eastAsia="en-US"/>
        </w:rPr>
        <w:br/>
        <w:t xml:space="preserve">RIGHT TO </w:t>
      </w:r>
      <w:r w:rsidR="005A65CE" w:rsidRPr="003171CD">
        <w:rPr>
          <w:rFonts w:eastAsia="Times New Roman" w:cs="Arial"/>
          <w:b/>
          <w:bCs/>
          <w:caps/>
          <w:snapToGrid/>
          <w:lang w:val="en-US" w:eastAsia="en-US"/>
        </w:rPr>
        <w:t xml:space="preserve">PERSONAL INTEGRITY of </w:t>
      </w:r>
      <w:r w:rsidRPr="003171CD">
        <w:rPr>
          <w:rFonts w:eastAsia="Times New Roman" w:cs="Arial"/>
          <w:b/>
          <w:bCs/>
          <w:caps/>
          <w:snapToGrid/>
          <w:lang w:val="en-US" w:eastAsia="en-US"/>
        </w:rPr>
        <w:t xml:space="preserve">THE FAMILY </w:t>
      </w:r>
      <w:r w:rsidR="005A65CE" w:rsidRPr="003171CD">
        <w:rPr>
          <w:rFonts w:eastAsia="Times New Roman" w:cs="Arial"/>
          <w:b/>
          <w:bCs/>
          <w:caps/>
          <w:snapToGrid/>
          <w:lang w:val="en-US" w:eastAsia="en-US"/>
        </w:rPr>
        <w:t>of JOSÉ AGAPITO RUANO TORRES</w:t>
      </w:r>
      <w:bookmarkEnd w:id="55"/>
      <w:bookmarkEnd w:id="56"/>
      <w:bookmarkEnd w:id="57"/>
    </w:p>
    <w:p w14:paraId="75A29095" w14:textId="77777777" w:rsidR="005A65CE" w:rsidRPr="003171CD" w:rsidRDefault="005A65CE" w:rsidP="005A65CE">
      <w:pPr>
        <w:jc w:val="both"/>
        <w:outlineLvl w:val="2"/>
        <w:rPr>
          <w:rFonts w:cs="Arial"/>
          <w:snapToGrid/>
          <w:lang w:val="en-US" w:eastAsia="en-US"/>
        </w:rPr>
      </w:pPr>
    </w:p>
    <w:p w14:paraId="7891A9A6" w14:textId="77777777" w:rsidR="005A65CE" w:rsidRPr="003171CD" w:rsidRDefault="005A65CE" w:rsidP="005A65CE">
      <w:pPr>
        <w:pStyle w:val="Prrafodelista"/>
        <w:numPr>
          <w:ilvl w:val="0"/>
          <w:numId w:val="1"/>
        </w:numPr>
        <w:tabs>
          <w:tab w:val="left" w:pos="720"/>
          <w:tab w:val="num" w:pos="5057"/>
        </w:tabs>
        <w:ind w:right="-90"/>
        <w:jc w:val="both"/>
        <w:rPr>
          <w:rFonts w:cs="Times"/>
          <w:lang w:val="en-US"/>
        </w:rPr>
      </w:pPr>
      <w:r w:rsidRPr="003171CD">
        <w:rPr>
          <w:rFonts w:cs="Times"/>
          <w:lang w:val="en-US"/>
        </w:rPr>
        <w:t>The Court ha</w:t>
      </w:r>
      <w:r w:rsidR="000B2DE3" w:rsidRPr="003171CD">
        <w:rPr>
          <w:rFonts w:cs="Times"/>
          <w:lang w:val="en-US"/>
        </w:rPr>
        <w:t>s</w:t>
      </w:r>
      <w:r w:rsidRPr="003171CD">
        <w:rPr>
          <w:rFonts w:cs="Times"/>
          <w:lang w:val="en-US"/>
        </w:rPr>
        <w:t xml:space="preserve"> </w:t>
      </w:r>
      <w:r w:rsidR="004A643A" w:rsidRPr="003171CD">
        <w:rPr>
          <w:rFonts w:cs="Times"/>
          <w:lang w:val="en-US"/>
        </w:rPr>
        <w:t>reiterated</w:t>
      </w:r>
      <w:r w:rsidR="000B2DE3" w:rsidRPr="003171CD">
        <w:rPr>
          <w:rFonts w:cs="Times"/>
          <w:lang w:val="en-US"/>
        </w:rPr>
        <w:t xml:space="preserve"> on several occasions</w:t>
      </w:r>
      <w:r w:rsidRPr="003171CD">
        <w:rPr>
          <w:rFonts w:cs="Times"/>
          <w:lang w:val="en-US"/>
        </w:rPr>
        <w:t xml:space="preserve"> that the famili</w:t>
      </w:r>
      <w:r w:rsidR="000B2DE3" w:rsidRPr="003171CD">
        <w:rPr>
          <w:rFonts w:cs="Times"/>
          <w:lang w:val="en-US"/>
        </w:rPr>
        <w:t xml:space="preserve">es </w:t>
      </w:r>
      <w:r w:rsidRPr="003171CD">
        <w:rPr>
          <w:rFonts w:cs="Times"/>
          <w:lang w:val="en-US"/>
        </w:rPr>
        <w:t xml:space="preserve">of victims of human rights </w:t>
      </w:r>
      <w:r w:rsidR="004A643A" w:rsidRPr="003171CD">
        <w:rPr>
          <w:rFonts w:cs="Times"/>
          <w:lang w:val="en-US"/>
        </w:rPr>
        <w:t xml:space="preserve">violations may, </w:t>
      </w:r>
      <w:r w:rsidR="00F26C88" w:rsidRPr="003171CD">
        <w:rPr>
          <w:rFonts w:cs="Times"/>
          <w:lang w:val="en-US"/>
        </w:rPr>
        <w:t>in turn</w:t>
      </w:r>
      <w:r w:rsidR="004A643A" w:rsidRPr="003171CD">
        <w:rPr>
          <w:rFonts w:cs="Times"/>
          <w:lang w:val="en-US"/>
        </w:rPr>
        <w:t xml:space="preserve">, be </w:t>
      </w:r>
      <w:r w:rsidRPr="003171CD">
        <w:rPr>
          <w:rFonts w:cs="Times"/>
          <w:lang w:val="en-US"/>
        </w:rPr>
        <w:t>victims</w:t>
      </w:r>
      <w:r w:rsidR="004A643A" w:rsidRPr="003171CD">
        <w:rPr>
          <w:rFonts w:cs="Times"/>
          <w:lang w:val="en-US"/>
        </w:rPr>
        <w:t>.</w:t>
      </w:r>
      <w:r w:rsidRPr="003171CD">
        <w:rPr>
          <w:rFonts w:cs="Times"/>
          <w:vertAlign w:val="superscript"/>
          <w:lang w:val="en-US"/>
        </w:rPr>
        <w:footnoteReference w:id="251"/>
      </w:r>
      <w:r w:rsidRPr="003171CD">
        <w:rPr>
          <w:rFonts w:cs="Times"/>
          <w:lang w:val="en-US"/>
        </w:rPr>
        <w:t xml:space="preserve"> This Court ha</w:t>
      </w:r>
      <w:r w:rsidR="004A643A" w:rsidRPr="003171CD">
        <w:rPr>
          <w:rFonts w:cs="Times"/>
          <w:lang w:val="en-US"/>
        </w:rPr>
        <w:t>s</w:t>
      </w:r>
      <w:r w:rsidRPr="003171CD">
        <w:rPr>
          <w:rFonts w:cs="Times"/>
          <w:lang w:val="en-US"/>
        </w:rPr>
        <w:t xml:space="preserve"> c</w:t>
      </w:r>
      <w:r w:rsidR="001649FA" w:rsidRPr="003171CD">
        <w:rPr>
          <w:rFonts w:cs="Times"/>
          <w:lang w:val="en-US"/>
        </w:rPr>
        <w:t xml:space="preserve">onsidered that </w:t>
      </w:r>
      <w:r w:rsidR="0052143E" w:rsidRPr="003171CD">
        <w:rPr>
          <w:rFonts w:cs="Times"/>
          <w:lang w:val="en-US"/>
        </w:rPr>
        <w:t xml:space="preserve">it is possible to </w:t>
      </w:r>
      <w:r w:rsidR="001649FA" w:rsidRPr="003171CD">
        <w:rPr>
          <w:rFonts w:cs="Times"/>
          <w:lang w:val="en-US"/>
        </w:rPr>
        <w:t>declare</w:t>
      </w:r>
      <w:r w:rsidRPr="003171CD">
        <w:rPr>
          <w:rFonts w:cs="Times"/>
          <w:lang w:val="en-US"/>
        </w:rPr>
        <w:t xml:space="preserve"> </w:t>
      </w:r>
      <w:r w:rsidR="0052143E" w:rsidRPr="003171CD">
        <w:rPr>
          <w:rFonts w:cs="Times"/>
          <w:lang w:val="en-US"/>
        </w:rPr>
        <w:t xml:space="preserve">the violation of </w:t>
      </w:r>
      <w:r w:rsidR="004A643A" w:rsidRPr="003171CD">
        <w:rPr>
          <w:rFonts w:cs="Times"/>
          <w:lang w:val="en-US"/>
        </w:rPr>
        <w:t xml:space="preserve">the right to </w:t>
      </w:r>
      <w:r w:rsidRPr="003171CD">
        <w:rPr>
          <w:rFonts w:cs="Times"/>
          <w:lang w:val="en-US"/>
        </w:rPr>
        <w:t xml:space="preserve">mental and moral </w:t>
      </w:r>
      <w:r w:rsidR="004A643A" w:rsidRPr="003171CD">
        <w:rPr>
          <w:rFonts w:cs="Times"/>
          <w:lang w:val="en-US"/>
        </w:rPr>
        <w:t xml:space="preserve">integrity </w:t>
      </w:r>
      <w:r w:rsidRPr="003171CD">
        <w:rPr>
          <w:rFonts w:cs="Times"/>
          <w:lang w:val="en-US"/>
        </w:rPr>
        <w:t xml:space="preserve">of </w:t>
      </w:r>
      <w:r w:rsidR="009239B1" w:rsidRPr="003171CD">
        <w:rPr>
          <w:rFonts w:cs="Times"/>
          <w:lang w:val="en-US"/>
        </w:rPr>
        <w:t xml:space="preserve">the </w:t>
      </w:r>
      <w:r w:rsidRPr="003171CD">
        <w:rPr>
          <w:rFonts w:cs="Times"/>
          <w:lang w:val="en-US"/>
        </w:rPr>
        <w:t>“</w:t>
      </w:r>
      <w:r w:rsidR="004A643A" w:rsidRPr="003171CD">
        <w:rPr>
          <w:rFonts w:cs="Times"/>
          <w:lang w:val="en-US"/>
        </w:rPr>
        <w:t xml:space="preserve">direct </w:t>
      </w:r>
      <w:r w:rsidR="009B2656" w:rsidRPr="003171CD">
        <w:rPr>
          <w:rFonts w:cs="Times"/>
          <w:lang w:val="en-US"/>
        </w:rPr>
        <w:t>next of kin</w:t>
      </w:r>
      <w:r w:rsidRPr="003171CD">
        <w:rPr>
          <w:rFonts w:cs="Times"/>
          <w:lang w:val="en-US"/>
        </w:rPr>
        <w:t xml:space="preserve">” of victims and of other persons with </w:t>
      </w:r>
      <w:r w:rsidR="0052143E" w:rsidRPr="003171CD">
        <w:rPr>
          <w:rFonts w:cs="Times"/>
          <w:lang w:val="en-US"/>
        </w:rPr>
        <w:t xml:space="preserve">close links to </w:t>
      </w:r>
      <w:r w:rsidR="00F26C88" w:rsidRPr="003171CD">
        <w:rPr>
          <w:rFonts w:cs="Times"/>
          <w:lang w:val="en-US"/>
        </w:rPr>
        <w:t xml:space="preserve">those </w:t>
      </w:r>
      <w:r w:rsidRPr="003171CD">
        <w:rPr>
          <w:rFonts w:cs="Times"/>
          <w:lang w:val="en-US"/>
        </w:rPr>
        <w:t>victims</w:t>
      </w:r>
      <w:r w:rsidR="00D60C20" w:rsidRPr="003171CD">
        <w:rPr>
          <w:rFonts w:cs="Times"/>
          <w:lang w:val="en-US"/>
        </w:rPr>
        <w:t>.</w:t>
      </w:r>
      <w:r w:rsidRPr="003171CD">
        <w:rPr>
          <w:rFonts w:cs="Times"/>
          <w:lang w:val="en-US"/>
        </w:rPr>
        <w:t xml:space="preserve"> </w:t>
      </w:r>
      <w:r w:rsidR="00D60C20" w:rsidRPr="003171CD">
        <w:rPr>
          <w:rFonts w:cs="Times"/>
          <w:lang w:val="en-US"/>
        </w:rPr>
        <w:t xml:space="preserve">This is because of </w:t>
      </w:r>
      <w:r w:rsidR="004A643A" w:rsidRPr="003171CD">
        <w:rPr>
          <w:rFonts w:cs="Times"/>
          <w:lang w:val="en-US"/>
        </w:rPr>
        <w:t xml:space="preserve">the additional </w:t>
      </w:r>
      <w:r w:rsidRPr="003171CD">
        <w:rPr>
          <w:rFonts w:cs="Times"/>
          <w:lang w:val="en-US"/>
        </w:rPr>
        <w:t xml:space="preserve">suffering </w:t>
      </w:r>
      <w:r w:rsidR="004A643A" w:rsidRPr="003171CD">
        <w:rPr>
          <w:rFonts w:cs="Times"/>
          <w:lang w:val="en-US"/>
        </w:rPr>
        <w:t xml:space="preserve">they have endured as a consequence of </w:t>
      </w:r>
      <w:r w:rsidRPr="003171CD">
        <w:rPr>
          <w:rFonts w:cs="Times"/>
          <w:lang w:val="en-US"/>
        </w:rPr>
        <w:t xml:space="preserve">the particular </w:t>
      </w:r>
      <w:r w:rsidR="004A643A" w:rsidRPr="003171CD">
        <w:rPr>
          <w:rFonts w:cs="Times"/>
          <w:lang w:val="en-US"/>
        </w:rPr>
        <w:t xml:space="preserve">circumstances </w:t>
      </w:r>
      <w:r w:rsidRPr="003171CD">
        <w:rPr>
          <w:rFonts w:cs="Times"/>
          <w:lang w:val="en-US"/>
        </w:rPr>
        <w:t>of the violations perpetra</w:t>
      </w:r>
      <w:r w:rsidR="004A643A" w:rsidRPr="003171CD">
        <w:rPr>
          <w:rFonts w:cs="Times"/>
          <w:lang w:val="en-US"/>
        </w:rPr>
        <w:t xml:space="preserve">ted </w:t>
      </w:r>
      <w:r w:rsidR="00266893" w:rsidRPr="003171CD">
        <w:rPr>
          <w:rFonts w:cs="Times"/>
          <w:lang w:val="en-US"/>
        </w:rPr>
        <w:t>against</w:t>
      </w:r>
      <w:r w:rsidRPr="003171CD">
        <w:rPr>
          <w:rFonts w:cs="Times"/>
          <w:lang w:val="en-US"/>
        </w:rPr>
        <w:t xml:space="preserve"> </w:t>
      </w:r>
      <w:r w:rsidR="004A643A" w:rsidRPr="003171CD">
        <w:rPr>
          <w:rFonts w:cs="Times"/>
          <w:lang w:val="en-US"/>
        </w:rPr>
        <w:t>their loved ones</w:t>
      </w:r>
      <w:r w:rsidRPr="003171CD">
        <w:rPr>
          <w:rFonts w:cs="Times"/>
          <w:lang w:val="en-US"/>
        </w:rPr>
        <w:t xml:space="preserve">, and </w:t>
      </w:r>
      <w:r w:rsidR="001027E9" w:rsidRPr="003171CD">
        <w:rPr>
          <w:rFonts w:cs="Times"/>
          <w:lang w:val="en-US"/>
        </w:rPr>
        <w:t xml:space="preserve">because </w:t>
      </w:r>
      <w:r w:rsidRPr="003171CD">
        <w:rPr>
          <w:rFonts w:cs="Times"/>
          <w:lang w:val="en-US"/>
        </w:rPr>
        <w:t xml:space="preserve">of </w:t>
      </w:r>
      <w:r w:rsidR="001027E9" w:rsidRPr="003171CD">
        <w:rPr>
          <w:rFonts w:cs="Times"/>
          <w:lang w:val="en-US"/>
        </w:rPr>
        <w:t xml:space="preserve">subsequent </w:t>
      </w:r>
      <w:r w:rsidR="001418A2" w:rsidRPr="003171CD">
        <w:rPr>
          <w:rFonts w:cs="Times"/>
          <w:lang w:val="en-US"/>
        </w:rPr>
        <w:t>actions or omissions</w:t>
      </w:r>
      <w:r w:rsidR="00F26C88" w:rsidRPr="003171CD">
        <w:rPr>
          <w:rFonts w:cs="Times"/>
          <w:lang w:val="en-US"/>
        </w:rPr>
        <w:t xml:space="preserve"> by</w:t>
      </w:r>
      <w:r w:rsidRPr="003171CD">
        <w:rPr>
          <w:rFonts w:cs="Times"/>
          <w:lang w:val="en-US"/>
        </w:rPr>
        <w:t xml:space="preserve"> the </w:t>
      </w:r>
      <w:r w:rsidR="004A643A" w:rsidRPr="003171CD">
        <w:rPr>
          <w:rFonts w:cs="Times"/>
          <w:lang w:val="en-US"/>
        </w:rPr>
        <w:t xml:space="preserve">State </w:t>
      </w:r>
      <w:r w:rsidRPr="003171CD">
        <w:rPr>
          <w:rFonts w:cs="Times"/>
          <w:lang w:val="en-US"/>
        </w:rPr>
        <w:t xml:space="preserve">authorities </w:t>
      </w:r>
      <w:r w:rsidR="00D52F24" w:rsidRPr="003171CD">
        <w:rPr>
          <w:rFonts w:cs="Times"/>
          <w:lang w:val="en-US"/>
        </w:rPr>
        <w:t xml:space="preserve">regarding these </w:t>
      </w:r>
      <w:r w:rsidRPr="003171CD">
        <w:rPr>
          <w:rFonts w:cs="Times"/>
          <w:lang w:val="en-US"/>
        </w:rPr>
        <w:t>facts</w:t>
      </w:r>
      <w:r w:rsidR="0052143E" w:rsidRPr="003171CD">
        <w:rPr>
          <w:rFonts w:cs="Times"/>
          <w:lang w:val="en-US"/>
        </w:rPr>
        <w:t>,</w:t>
      </w:r>
      <w:r w:rsidRPr="003171CD">
        <w:rPr>
          <w:rFonts w:cs="Times"/>
          <w:vertAlign w:val="superscript"/>
          <w:lang w:val="en-US"/>
        </w:rPr>
        <w:footnoteReference w:id="252"/>
      </w:r>
      <w:r w:rsidRPr="003171CD">
        <w:rPr>
          <w:rFonts w:cs="Times"/>
          <w:lang w:val="en-US"/>
        </w:rPr>
        <w:t xml:space="preserve"> t</w:t>
      </w:r>
      <w:r w:rsidR="001027E9" w:rsidRPr="003171CD">
        <w:rPr>
          <w:rFonts w:cs="Times"/>
          <w:lang w:val="en-US"/>
        </w:rPr>
        <w:t>aking into account</w:t>
      </w:r>
      <w:r w:rsidRPr="003171CD">
        <w:rPr>
          <w:rFonts w:cs="Times"/>
          <w:lang w:val="en-US"/>
        </w:rPr>
        <w:t xml:space="preserve">, </w:t>
      </w:r>
      <w:r w:rsidR="009239B1" w:rsidRPr="003171CD">
        <w:rPr>
          <w:rFonts w:cs="Times"/>
          <w:lang w:val="en-US"/>
        </w:rPr>
        <w:t>also</w:t>
      </w:r>
      <w:r w:rsidRPr="003171CD">
        <w:rPr>
          <w:rFonts w:cs="Times"/>
          <w:lang w:val="en-US"/>
        </w:rPr>
        <w:t xml:space="preserve">, the </w:t>
      </w:r>
      <w:r w:rsidR="001027E9" w:rsidRPr="003171CD">
        <w:rPr>
          <w:rFonts w:cs="Times"/>
          <w:lang w:val="en-US"/>
        </w:rPr>
        <w:t xml:space="preserve">steps taken to </w:t>
      </w:r>
      <w:r w:rsidRPr="003171CD">
        <w:rPr>
          <w:rFonts w:cs="Times"/>
          <w:lang w:val="en-US"/>
        </w:rPr>
        <w:t>obt</w:t>
      </w:r>
      <w:r w:rsidR="004A643A" w:rsidRPr="003171CD">
        <w:rPr>
          <w:rFonts w:cs="Times"/>
          <w:lang w:val="en-US"/>
        </w:rPr>
        <w:t xml:space="preserve">ain </w:t>
      </w:r>
      <w:r w:rsidRPr="003171CD">
        <w:rPr>
          <w:rFonts w:cs="Times"/>
          <w:lang w:val="en-US"/>
        </w:rPr>
        <w:t xml:space="preserve">justice and the existence of </w:t>
      </w:r>
      <w:r w:rsidR="00D52F24" w:rsidRPr="003171CD">
        <w:rPr>
          <w:rFonts w:cs="Times"/>
          <w:lang w:val="en-US"/>
        </w:rPr>
        <w:t>close family ties.</w:t>
      </w:r>
      <w:r w:rsidRPr="003171CD">
        <w:rPr>
          <w:rFonts w:cs="Times"/>
          <w:vertAlign w:val="superscript"/>
          <w:lang w:val="en-US"/>
        </w:rPr>
        <w:footnoteReference w:id="253"/>
      </w:r>
      <w:r w:rsidR="00D52F24" w:rsidRPr="003171CD">
        <w:rPr>
          <w:rFonts w:cs="Times"/>
          <w:lang w:val="en-US"/>
        </w:rPr>
        <w:t xml:space="preserve"> T</w:t>
      </w:r>
      <w:r w:rsidRPr="003171CD">
        <w:rPr>
          <w:rFonts w:cs="Times"/>
          <w:lang w:val="en-US"/>
        </w:rPr>
        <w:t xml:space="preserve">he </w:t>
      </w:r>
      <w:r w:rsidR="00D60C20" w:rsidRPr="003171CD">
        <w:rPr>
          <w:rFonts w:cs="Times"/>
          <w:lang w:val="en-US"/>
        </w:rPr>
        <w:t xml:space="preserve">Court has also declared the </w:t>
      </w:r>
      <w:r w:rsidRPr="003171CD">
        <w:rPr>
          <w:rFonts w:cs="Times"/>
          <w:lang w:val="en-US"/>
        </w:rPr>
        <w:t xml:space="preserve">violation of </w:t>
      </w:r>
      <w:r w:rsidR="004A643A" w:rsidRPr="003171CD">
        <w:rPr>
          <w:rFonts w:cs="Times"/>
          <w:lang w:val="en-US"/>
        </w:rPr>
        <w:t xml:space="preserve">this </w:t>
      </w:r>
      <w:r w:rsidR="00765AD7" w:rsidRPr="003171CD">
        <w:rPr>
          <w:rFonts w:cs="Times"/>
          <w:lang w:val="en-US"/>
        </w:rPr>
        <w:t>right</w:t>
      </w:r>
      <w:r w:rsidRPr="003171CD">
        <w:rPr>
          <w:rFonts w:cs="Times"/>
          <w:lang w:val="en-US"/>
        </w:rPr>
        <w:t xml:space="preserve"> </w:t>
      </w:r>
      <w:r w:rsidR="00D52F24" w:rsidRPr="003171CD">
        <w:rPr>
          <w:rFonts w:cs="Times"/>
          <w:lang w:val="en-US"/>
        </w:rPr>
        <w:t xml:space="preserve">because of </w:t>
      </w:r>
      <w:r w:rsidRPr="003171CD">
        <w:rPr>
          <w:rFonts w:cs="Times"/>
          <w:lang w:val="en-US"/>
        </w:rPr>
        <w:t xml:space="preserve">the suffering </w:t>
      </w:r>
      <w:r w:rsidR="00D60C20" w:rsidRPr="003171CD">
        <w:rPr>
          <w:rFonts w:cs="Times"/>
          <w:lang w:val="en-US"/>
        </w:rPr>
        <w:t xml:space="preserve">caused </w:t>
      </w:r>
      <w:r w:rsidR="00D52F24" w:rsidRPr="003171CD">
        <w:rPr>
          <w:rFonts w:cs="Times"/>
          <w:lang w:val="en-US"/>
        </w:rPr>
        <w:t xml:space="preserve">by </w:t>
      </w:r>
      <w:r w:rsidRPr="003171CD">
        <w:rPr>
          <w:rFonts w:cs="Times"/>
          <w:lang w:val="en-US"/>
        </w:rPr>
        <w:t xml:space="preserve">the </w:t>
      </w:r>
      <w:r w:rsidR="00D52F24" w:rsidRPr="003171CD">
        <w:rPr>
          <w:rFonts w:cs="Times"/>
          <w:lang w:val="en-US"/>
        </w:rPr>
        <w:t xml:space="preserve">actions </w:t>
      </w:r>
      <w:r w:rsidRPr="003171CD">
        <w:rPr>
          <w:rFonts w:cs="Times"/>
          <w:lang w:val="en-US"/>
        </w:rPr>
        <w:t>perpetra</w:t>
      </w:r>
      <w:r w:rsidR="00D52F24" w:rsidRPr="003171CD">
        <w:rPr>
          <w:rFonts w:cs="Times"/>
          <w:lang w:val="en-US"/>
        </w:rPr>
        <w:t xml:space="preserve">ted </w:t>
      </w:r>
      <w:r w:rsidRPr="003171CD">
        <w:rPr>
          <w:rFonts w:cs="Times"/>
          <w:lang w:val="en-US"/>
        </w:rPr>
        <w:t xml:space="preserve">against </w:t>
      </w:r>
      <w:r w:rsidR="001027E9" w:rsidRPr="003171CD">
        <w:rPr>
          <w:rFonts w:cs="Times"/>
          <w:lang w:val="en-US"/>
        </w:rPr>
        <w:t>their loved ones</w:t>
      </w:r>
      <w:r w:rsidR="004A643A" w:rsidRPr="003171CD">
        <w:rPr>
          <w:rFonts w:cs="Times"/>
          <w:lang w:val="en-US"/>
        </w:rPr>
        <w:t>.</w:t>
      </w:r>
      <w:r w:rsidRPr="003171CD">
        <w:rPr>
          <w:rFonts w:cs="Times"/>
          <w:vertAlign w:val="superscript"/>
          <w:lang w:val="en-US"/>
        </w:rPr>
        <w:footnoteReference w:id="254"/>
      </w:r>
    </w:p>
    <w:p w14:paraId="07263986" w14:textId="77777777" w:rsidR="005A65CE" w:rsidRPr="003171CD" w:rsidRDefault="005A65CE" w:rsidP="005A65CE">
      <w:pPr>
        <w:jc w:val="both"/>
        <w:rPr>
          <w:rFonts w:eastAsia="Batang" w:cs="Times"/>
          <w:snapToGrid/>
          <w:lang w:val="en-US" w:eastAsia="en-US"/>
        </w:rPr>
      </w:pPr>
    </w:p>
    <w:p w14:paraId="607972AA" w14:textId="77777777" w:rsidR="005A65CE" w:rsidRPr="003171CD" w:rsidRDefault="004A643A" w:rsidP="005A65CE">
      <w:pPr>
        <w:pStyle w:val="Prrafodelista"/>
        <w:numPr>
          <w:ilvl w:val="0"/>
          <w:numId w:val="1"/>
        </w:numPr>
        <w:tabs>
          <w:tab w:val="left" w:pos="720"/>
          <w:tab w:val="num" w:pos="5057"/>
        </w:tabs>
        <w:autoSpaceDE/>
        <w:autoSpaceDN/>
        <w:adjustRightInd/>
        <w:ind w:right="-90"/>
        <w:contextualSpacing/>
        <w:jc w:val="both"/>
        <w:rPr>
          <w:rFonts w:cs="Times"/>
          <w:lang w:val="en-US"/>
        </w:rPr>
      </w:pPr>
      <w:r w:rsidRPr="003171CD">
        <w:rPr>
          <w:rFonts w:cs="Times"/>
          <w:lang w:val="en-US"/>
        </w:rPr>
        <w:t>I</w:t>
      </w:r>
      <w:r w:rsidR="005A65CE" w:rsidRPr="003171CD">
        <w:rPr>
          <w:rFonts w:cs="Times"/>
          <w:lang w:val="en-US"/>
        </w:rPr>
        <w:t xml:space="preserve">n cases </w:t>
      </w:r>
      <w:r w:rsidRPr="003171CD">
        <w:rPr>
          <w:rFonts w:cs="Times"/>
          <w:lang w:val="en-US"/>
        </w:rPr>
        <w:t xml:space="preserve">involving serious human rights </w:t>
      </w:r>
      <w:r w:rsidR="005A65CE" w:rsidRPr="003171CD">
        <w:rPr>
          <w:rFonts w:cs="Times"/>
          <w:lang w:val="en-US"/>
        </w:rPr>
        <w:t>violation</w:t>
      </w:r>
      <w:r w:rsidRPr="003171CD">
        <w:rPr>
          <w:rFonts w:cs="Times"/>
          <w:lang w:val="en-US"/>
        </w:rPr>
        <w:t>s</w:t>
      </w:r>
      <w:r w:rsidR="005A65CE" w:rsidRPr="003171CD">
        <w:rPr>
          <w:rFonts w:cs="Times"/>
          <w:lang w:val="en-US"/>
        </w:rPr>
        <w:t>, such as mas</w:t>
      </w:r>
      <w:r w:rsidRPr="003171CD">
        <w:rPr>
          <w:rFonts w:cs="Times"/>
          <w:lang w:val="en-US"/>
        </w:rPr>
        <w:t>s</w:t>
      </w:r>
      <w:r w:rsidR="005A65CE" w:rsidRPr="003171CD">
        <w:rPr>
          <w:rFonts w:cs="Times"/>
          <w:lang w:val="en-US"/>
        </w:rPr>
        <w:t>acres</w:t>
      </w:r>
      <w:r w:rsidRPr="003171CD">
        <w:rPr>
          <w:rFonts w:cs="Times"/>
          <w:lang w:val="en-US"/>
        </w:rPr>
        <w:t>,</w:t>
      </w:r>
      <w:r w:rsidR="005A65CE" w:rsidRPr="003171CD">
        <w:rPr>
          <w:vertAlign w:val="superscript"/>
          <w:lang w:val="en-US"/>
        </w:rPr>
        <w:footnoteReference w:id="255"/>
      </w:r>
      <w:r w:rsidR="005A65CE" w:rsidRPr="003171CD">
        <w:rPr>
          <w:rFonts w:cs="Times"/>
          <w:lang w:val="en-US"/>
        </w:rPr>
        <w:t xml:space="preserve"> </w:t>
      </w:r>
      <w:r w:rsidRPr="003171CD">
        <w:rPr>
          <w:rFonts w:cs="Times"/>
          <w:lang w:val="en-US"/>
        </w:rPr>
        <w:t xml:space="preserve">forced disappearance of </w:t>
      </w:r>
      <w:r w:rsidR="005A65CE" w:rsidRPr="003171CD">
        <w:rPr>
          <w:rFonts w:cs="Times"/>
          <w:lang w:val="en-US"/>
        </w:rPr>
        <w:t>persons</w:t>
      </w:r>
      <w:r w:rsidR="00D52F24" w:rsidRPr="003171CD">
        <w:rPr>
          <w:rFonts w:cs="Times"/>
          <w:lang w:val="en-US"/>
        </w:rPr>
        <w:t>,</w:t>
      </w:r>
      <w:r w:rsidR="005A65CE" w:rsidRPr="003171CD">
        <w:rPr>
          <w:vertAlign w:val="superscript"/>
          <w:lang w:val="en-US"/>
        </w:rPr>
        <w:footnoteReference w:id="256"/>
      </w:r>
      <w:r w:rsidR="005A65CE" w:rsidRPr="003171CD">
        <w:rPr>
          <w:rFonts w:cs="Times"/>
          <w:lang w:val="en-US"/>
        </w:rPr>
        <w:t xml:space="preserve"> extrajudicial</w:t>
      </w:r>
      <w:r w:rsidRPr="003171CD">
        <w:rPr>
          <w:rFonts w:cs="Times"/>
          <w:lang w:val="en-US"/>
        </w:rPr>
        <w:t xml:space="preserve"> executions</w:t>
      </w:r>
      <w:r w:rsidR="005A65CE" w:rsidRPr="003171CD">
        <w:rPr>
          <w:vertAlign w:val="superscript"/>
          <w:lang w:val="en-US"/>
        </w:rPr>
        <w:footnoteReference w:id="257"/>
      </w:r>
      <w:r w:rsidRPr="003171CD">
        <w:rPr>
          <w:rFonts w:cs="Times"/>
          <w:lang w:val="en-US"/>
        </w:rPr>
        <w:t xml:space="preserve"> and, more</w:t>
      </w:r>
      <w:r w:rsidR="005A65CE" w:rsidRPr="003171CD">
        <w:rPr>
          <w:rFonts w:cs="Times"/>
          <w:lang w:val="en-US"/>
        </w:rPr>
        <w:t xml:space="preserve"> rec</w:t>
      </w:r>
      <w:r w:rsidRPr="003171CD">
        <w:rPr>
          <w:rFonts w:cs="Times"/>
          <w:lang w:val="en-US"/>
        </w:rPr>
        <w:t>ently</w:t>
      </w:r>
      <w:r w:rsidR="005A65CE" w:rsidRPr="003171CD">
        <w:rPr>
          <w:rFonts w:cs="Times"/>
          <w:lang w:val="en-US"/>
        </w:rPr>
        <w:t>, torture</w:t>
      </w:r>
      <w:r w:rsidR="00D52F24" w:rsidRPr="003171CD">
        <w:rPr>
          <w:rFonts w:cs="Times"/>
          <w:lang w:val="en-US"/>
        </w:rPr>
        <w:t>,</w:t>
      </w:r>
      <w:r w:rsidR="005A65CE" w:rsidRPr="003171CD">
        <w:rPr>
          <w:vertAlign w:val="superscript"/>
          <w:lang w:val="en-US"/>
        </w:rPr>
        <w:footnoteReference w:id="258"/>
      </w:r>
      <w:r w:rsidR="005A65CE" w:rsidRPr="003171CD">
        <w:rPr>
          <w:rFonts w:cs="Times"/>
          <w:lang w:val="en-US"/>
        </w:rPr>
        <w:t xml:space="preserve"> the Court ha</w:t>
      </w:r>
      <w:r w:rsidRPr="003171CD">
        <w:rPr>
          <w:rFonts w:cs="Times"/>
          <w:lang w:val="en-US"/>
        </w:rPr>
        <w:t>s</w:t>
      </w:r>
      <w:r w:rsidR="005A65CE" w:rsidRPr="003171CD">
        <w:rPr>
          <w:rFonts w:cs="Times"/>
          <w:lang w:val="en-US"/>
        </w:rPr>
        <w:t xml:space="preserve"> considered that the Commission or the representatives </w:t>
      </w:r>
      <w:r w:rsidRPr="003171CD">
        <w:rPr>
          <w:rFonts w:cs="Times"/>
          <w:lang w:val="en-US"/>
        </w:rPr>
        <w:t xml:space="preserve">do not need to prove </w:t>
      </w:r>
      <w:r w:rsidR="005A65CE" w:rsidRPr="003171CD">
        <w:rPr>
          <w:rFonts w:cs="Times"/>
          <w:lang w:val="en-US"/>
        </w:rPr>
        <w:t xml:space="preserve">the </w:t>
      </w:r>
      <w:r w:rsidR="00D42FEA" w:rsidRPr="003171CD">
        <w:rPr>
          <w:rFonts w:cs="Times"/>
          <w:lang w:val="en-US"/>
        </w:rPr>
        <w:t>violation</w:t>
      </w:r>
      <w:r w:rsidRPr="003171CD">
        <w:rPr>
          <w:rFonts w:cs="Times"/>
          <w:lang w:val="en-US"/>
        </w:rPr>
        <w:t xml:space="preserve"> of</w:t>
      </w:r>
      <w:r w:rsidR="005A65CE" w:rsidRPr="003171CD">
        <w:rPr>
          <w:rFonts w:cs="Times"/>
          <w:lang w:val="en-US"/>
        </w:rPr>
        <w:t xml:space="preserve"> </w:t>
      </w:r>
      <w:r w:rsidR="00F26C88" w:rsidRPr="003171CD">
        <w:rPr>
          <w:rFonts w:cs="Times"/>
          <w:lang w:val="en-US"/>
        </w:rPr>
        <w:t xml:space="preserve">the </w:t>
      </w:r>
      <w:r w:rsidR="005A65CE" w:rsidRPr="003171CD">
        <w:rPr>
          <w:rFonts w:cs="Times"/>
          <w:lang w:val="en-US"/>
        </w:rPr>
        <w:t>personal integrit</w:t>
      </w:r>
      <w:r w:rsidRPr="003171CD">
        <w:rPr>
          <w:rFonts w:cs="Times"/>
          <w:lang w:val="en-US"/>
        </w:rPr>
        <w:t>y</w:t>
      </w:r>
      <w:r w:rsidR="009B16E9" w:rsidRPr="003171CD">
        <w:rPr>
          <w:rFonts w:cs="Times"/>
          <w:lang w:val="en-US"/>
        </w:rPr>
        <w:t xml:space="preserve"> </w:t>
      </w:r>
      <w:r w:rsidR="009B16E9" w:rsidRPr="003171CD">
        <w:rPr>
          <w:lang w:val="en-US"/>
        </w:rPr>
        <w:t>of the direct next of kin</w:t>
      </w:r>
      <w:r w:rsidRPr="003171CD">
        <w:rPr>
          <w:rFonts w:cs="Times"/>
          <w:lang w:val="en-US"/>
        </w:rPr>
        <w:t xml:space="preserve">, </w:t>
      </w:r>
      <w:r w:rsidR="00D60C20" w:rsidRPr="003171CD">
        <w:rPr>
          <w:rFonts w:cs="Times"/>
          <w:lang w:val="en-US"/>
        </w:rPr>
        <w:t xml:space="preserve">given that </w:t>
      </w:r>
      <w:r w:rsidRPr="003171CD">
        <w:rPr>
          <w:rFonts w:cs="Times"/>
          <w:lang w:val="en-US"/>
        </w:rPr>
        <w:t xml:space="preserve">a </w:t>
      </w:r>
      <w:r w:rsidR="005A65CE" w:rsidRPr="003171CD">
        <w:rPr>
          <w:rFonts w:cs="Times"/>
          <w:i/>
          <w:lang w:val="en-US"/>
        </w:rPr>
        <w:t>iuris tantum</w:t>
      </w:r>
      <w:r w:rsidRPr="003171CD">
        <w:rPr>
          <w:rFonts w:cs="Times"/>
          <w:lang w:val="en-US"/>
        </w:rPr>
        <w:t xml:space="preserve"> </w:t>
      </w:r>
      <w:r w:rsidR="007E648B" w:rsidRPr="003171CD">
        <w:rPr>
          <w:rFonts w:cs="Times"/>
          <w:lang w:val="en-US"/>
        </w:rPr>
        <w:t xml:space="preserve">presumption </w:t>
      </w:r>
      <w:r w:rsidRPr="003171CD">
        <w:rPr>
          <w:rFonts w:cs="Times"/>
          <w:lang w:val="en-US"/>
        </w:rPr>
        <w:t>operates</w:t>
      </w:r>
      <w:r w:rsidR="00D52F24" w:rsidRPr="003171CD">
        <w:rPr>
          <w:rFonts w:cs="Times"/>
          <w:lang w:val="en-US"/>
        </w:rPr>
        <w:t>.</w:t>
      </w:r>
      <w:r w:rsidRPr="003171CD">
        <w:rPr>
          <w:rFonts w:cs="Times"/>
          <w:lang w:val="en-US"/>
        </w:rPr>
        <w:t xml:space="preserve"> T</w:t>
      </w:r>
      <w:r w:rsidR="005A65CE" w:rsidRPr="003171CD">
        <w:rPr>
          <w:rFonts w:cs="Times"/>
          <w:lang w:val="en-US"/>
        </w:rPr>
        <w:t>h</w:t>
      </w:r>
      <w:r w:rsidR="00D60C20" w:rsidRPr="003171CD">
        <w:rPr>
          <w:rFonts w:cs="Times"/>
          <w:lang w:val="en-US"/>
        </w:rPr>
        <w:t xml:space="preserve">e </w:t>
      </w:r>
      <w:r w:rsidR="005A65CE" w:rsidRPr="003171CD">
        <w:rPr>
          <w:rFonts w:cs="Times"/>
          <w:i/>
          <w:lang w:val="en-US"/>
        </w:rPr>
        <w:t>iuris tantum</w:t>
      </w:r>
      <w:r w:rsidR="005A65CE" w:rsidRPr="003171CD">
        <w:rPr>
          <w:rFonts w:cs="Times"/>
          <w:lang w:val="en-US"/>
        </w:rPr>
        <w:t xml:space="preserve"> </w:t>
      </w:r>
      <w:r w:rsidR="0052143E" w:rsidRPr="003171CD">
        <w:rPr>
          <w:rFonts w:cs="Times"/>
          <w:lang w:val="en-US"/>
        </w:rPr>
        <w:t>presumption r</w:t>
      </w:r>
      <w:r w:rsidR="0011643A" w:rsidRPr="003171CD">
        <w:rPr>
          <w:rFonts w:cs="Times"/>
          <w:lang w:val="en-US"/>
        </w:rPr>
        <w:t xml:space="preserve">esults in </w:t>
      </w:r>
      <w:r w:rsidR="005A65CE" w:rsidRPr="003171CD">
        <w:rPr>
          <w:rFonts w:cs="Times"/>
          <w:lang w:val="en-US"/>
        </w:rPr>
        <w:t>a</w:t>
      </w:r>
      <w:r w:rsidR="00D52F24" w:rsidRPr="003171CD">
        <w:rPr>
          <w:rFonts w:cs="Times"/>
          <w:lang w:val="en-US"/>
        </w:rPr>
        <w:t>n</w:t>
      </w:r>
      <w:r w:rsidR="005A65CE" w:rsidRPr="003171CD">
        <w:rPr>
          <w:rFonts w:cs="Times"/>
          <w:lang w:val="en-US"/>
        </w:rPr>
        <w:t xml:space="preserve"> inversion of the </w:t>
      </w:r>
      <w:r w:rsidR="00F26C88" w:rsidRPr="003171CD">
        <w:rPr>
          <w:rFonts w:cs="Times"/>
          <w:lang w:val="en-US"/>
        </w:rPr>
        <w:t>burden of proof:</w:t>
      </w:r>
      <w:r w:rsidR="00F91667" w:rsidRPr="003171CD">
        <w:rPr>
          <w:rFonts w:cs="Times"/>
          <w:lang w:val="en-US"/>
        </w:rPr>
        <w:t xml:space="preserve"> in</w:t>
      </w:r>
      <w:r w:rsidR="0011643A" w:rsidRPr="003171CD">
        <w:rPr>
          <w:rFonts w:cs="Times"/>
          <w:lang w:val="en-US"/>
        </w:rPr>
        <w:t xml:space="preserve"> </w:t>
      </w:r>
      <w:r w:rsidR="00D60C20" w:rsidRPr="003171CD">
        <w:rPr>
          <w:rFonts w:cs="Times"/>
          <w:lang w:val="en-US"/>
        </w:rPr>
        <w:t xml:space="preserve">other words, </w:t>
      </w:r>
      <w:r w:rsidR="0011643A" w:rsidRPr="003171CD">
        <w:rPr>
          <w:rFonts w:cs="Times"/>
          <w:lang w:val="en-US"/>
        </w:rPr>
        <w:t>the</w:t>
      </w:r>
      <w:r w:rsidR="009B16E9" w:rsidRPr="003171CD">
        <w:rPr>
          <w:rFonts w:cs="Times"/>
          <w:lang w:val="en-US"/>
        </w:rPr>
        <w:t xml:space="preserve"> “direct next of kin” </w:t>
      </w:r>
      <w:r w:rsidR="0011643A" w:rsidRPr="003171CD">
        <w:rPr>
          <w:rFonts w:cs="Times"/>
          <w:lang w:val="en-US"/>
        </w:rPr>
        <w:t xml:space="preserve">are not required to </w:t>
      </w:r>
      <w:r w:rsidR="005A65CE" w:rsidRPr="003171CD">
        <w:rPr>
          <w:rFonts w:cs="Times"/>
          <w:lang w:val="en-US"/>
        </w:rPr>
        <w:t>pro</w:t>
      </w:r>
      <w:r w:rsidR="009B2656" w:rsidRPr="003171CD">
        <w:rPr>
          <w:rFonts w:cs="Times"/>
          <w:lang w:val="en-US"/>
        </w:rPr>
        <w:t xml:space="preserve">ve </w:t>
      </w:r>
      <w:r w:rsidR="005A65CE" w:rsidRPr="003171CD">
        <w:rPr>
          <w:rFonts w:cs="Times"/>
          <w:lang w:val="en-US"/>
        </w:rPr>
        <w:t xml:space="preserve">the violation </w:t>
      </w:r>
      <w:r w:rsidR="009B2656" w:rsidRPr="003171CD">
        <w:rPr>
          <w:rFonts w:cs="Times"/>
          <w:lang w:val="en-US"/>
        </w:rPr>
        <w:t>of the</w:t>
      </w:r>
      <w:r w:rsidR="009B16E9" w:rsidRPr="003171CD">
        <w:rPr>
          <w:rFonts w:cs="Times"/>
          <w:lang w:val="en-US"/>
        </w:rPr>
        <w:t>ir</w:t>
      </w:r>
      <w:r w:rsidR="009B2656" w:rsidRPr="003171CD">
        <w:rPr>
          <w:rFonts w:cs="Times"/>
          <w:lang w:val="en-US"/>
        </w:rPr>
        <w:t xml:space="preserve"> right to </w:t>
      </w:r>
      <w:r w:rsidR="005A65CE" w:rsidRPr="003171CD">
        <w:rPr>
          <w:rFonts w:cs="Times"/>
          <w:lang w:val="en-US"/>
        </w:rPr>
        <w:t xml:space="preserve">mental and moral </w:t>
      </w:r>
      <w:r w:rsidR="009B2656" w:rsidRPr="003171CD">
        <w:rPr>
          <w:rFonts w:cs="Times"/>
          <w:lang w:val="en-US"/>
        </w:rPr>
        <w:t>integrity</w:t>
      </w:r>
      <w:r w:rsidR="009B16E9" w:rsidRPr="003171CD">
        <w:rPr>
          <w:rFonts w:cs="Times"/>
          <w:lang w:val="en-US"/>
        </w:rPr>
        <w:t>;</w:t>
      </w:r>
      <w:r w:rsidR="005A65CE" w:rsidRPr="003171CD">
        <w:rPr>
          <w:rFonts w:cs="Times"/>
          <w:lang w:val="en-US"/>
        </w:rPr>
        <w:t xml:space="preserve"> </w:t>
      </w:r>
      <w:r w:rsidR="00D60C20" w:rsidRPr="003171CD">
        <w:rPr>
          <w:rFonts w:cs="Times"/>
          <w:lang w:val="en-US"/>
        </w:rPr>
        <w:t xml:space="preserve">rather, it is </w:t>
      </w:r>
      <w:r w:rsidR="00F26C88" w:rsidRPr="003171CD">
        <w:rPr>
          <w:rFonts w:cs="Times"/>
          <w:lang w:val="en-US"/>
        </w:rPr>
        <w:t xml:space="preserve">for </w:t>
      </w:r>
      <w:r w:rsidR="00D60C20" w:rsidRPr="003171CD">
        <w:rPr>
          <w:rFonts w:cs="Times"/>
          <w:lang w:val="en-US"/>
        </w:rPr>
        <w:t>the State t</w:t>
      </w:r>
      <w:r w:rsidR="00F26C88" w:rsidRPr="003171CD">
        <w:rPr>
          <w:rFonts w:cs="Times"/>
          <w:lang w:val="en-US"/>
        </w:rPr>
        <w:t xml:space="preserve">o </w:t>
      </w:r>
      <w:r w:rsidR="009B2656" w:rsidRPr="003171CD">
        <w:rPr>
          <w:rFonts w:cs="Times"/>
          <w:lang w:val="en-US"/>
        </w:rPr>
        <w:t>disprove that claim</w:t>
      </w:r>
      <w:r w:rsidR="00AA62FD" w:rsidRPr="003171CD">
        <w:rPr>
          <w:rFonts w:cs="Times"/>
          <w:lang w:val="en-US"/>
        </w:rPr>
        <w:t>.</w:t>
      </w:r>
      <w:r w:rsidR="005A65CE" w:rsidRPr="003171CD">
        <w:rPr>
          <w:vertAlign w:val="superscript"/>
          <w:lang w:val="en-US"/>
        </w:rPr>
        <w:footnoteReference w:id="259"/>
      </w:r>
      <w:r w:rsidR="005A65CE" w:rsidRPr="003171CD">
        <w:rPr>
          <w:rFonts w:cs="Times"/>
          <w:lang w:val="en-US"/>
        </w:rPr>
        <w:t xml:space="preserve"> </w:t>
      </w:r>
      <w:r w:rsidR="00AA62FD" w:rsidRPr="003171CD">
        <w:rPr>
          <w:rFonts w:cs="Times"/>
          <w:lang w:val="en-US"/>
        </w:rPr>
        <w:t>Th</w:t>
      </w:r>
      <w:r w:rsidR="003E3FE6" w:rsidRPr="003171CD">
        <w:rPr>
          <w:rFonts w:cs="Times"/>
          <w:lang w:val="en-US"/>
        </w:rPr>
        <w:t xml:space="preserve">e </w:t>
      </w:r>
      <w:r w:rsidR="005A65CE" w:rsidRPr="003171CD">
        <w:rPr>
          <w:rFonts w:cs="Times"/>
          <w:lang w:val="en-US"/>
        </w:rPr>
        <w:t>Court ha</w:t>
      </w:r>
      <w:r w:rsidR="00AA62FD" w:rsidRPr="003171CD">
        <w:rPr>
          <w:rFonts w:cs="Times"/>
          <w:lang w:val="en-US"/>
        </w:rPr>
        <w:t>s</w:t>
      </w:r>
      <w:r w:rsidR="005A65CE" w:rsidRPr="003171CD">
        <w:rPr>
          <w:rFonts w:cs="Times"/>
          <w:lang w:val="en-US"/>
        </w:rPr>
        <w:t xml:space="preserve"> considered </w:t>
      </w:r>
      <w:r w:rsidR="00AA62FD" w:rsidRPr="003171CD">
        <w:rPr>
          <w:rFonts w:cs="Times"/>
          <w:lang w:val="en-US"/>
        </w:rPr>
        <w:t xml:space="preserve">as </w:t>
      </w:r>
      <w:r w:rsidR="005A65CE" w:rsidRPr="003171CD">
        <w:rPr>
          <w:rFonts w:cs="Times"/>
          <w:lang w:val="en-US"/>
        </w:rPr>
        <w:t>“</w:t>
      </w:r>
      <w:r w:rsidR="00AA62FD" w:rsidRPr="003171CD">
        <w:rPr>
          <w:rFonts w:cs="Times"/>
          <w:lang w:val="en-US"/>
        </w:rPr>
        <w:t xml:space="preserve">direct </w:t>
      </w:r>
      <w:r w:rsidR="009B2656" w:rsidRPr="003171CD">
        <w:rPr>
          <w:rFonts w:cs="Times"/>
          <w:lang w:val="en-US"/>
        </w:rPr>
        <w:t>next of kin</w:t>
      </w:r>
      <w:r w:rsidR="005A65CE" w:rsidRPr="003171CD">
        <w:rPr>
          <w:rFonts w:cs="Times"/>
          <w:lang w:val="en-US"/>
        </w:rPr>
        <w:t xml:space="preserve">” </w:t>
      </w:r>
      <w:r w:rsidR="009B16E9" w:rsidRPr="003171CD">
        <w:rPr>
          <w:rFonts w:cs="Times"/>
          <w:lang w:val="en-US"/>
        </w:rPr>
        <w:t xml:space="preserve">the </w:t>
      </w:r>
      <w:r w:rsidR="00AA62FD" w:rsidRPr="003171CD">
        <w:rPr>
          <w:rFonts w:cs="Times"/>
          <w:lang w:val="en-US"/>
        </w:rPr>
        <w:t>mothers</w:t>
      </w:r>
      <w:r w:rsidR="005A65CE" w:rsidRPr="003171CD">
        <w:rPr>
          <w:rFonts w:cs="Times"/>
          <w:lang w:val="en-US"/>
        </w:rPr>
        <w:t xml:space="preserve"> and </w:t>
      </w:r>
      <w:r w:rsidR="00AA62FD" w:rsidRPr="003171CD">
        <w:rPr>
          <w:rFonts w:cs="Times"/>
          <w:lang w:val="en-US"/>
        </w:rPr>
        <w:t>fathers, sons and daughters</w:t>
      </w:r>
      <w:r w:rsidR="005A65CE" w:rsidRPr="003171CD">
        <w:rPr>
          <w:rFonts w:cs="Times"/>
          <w:lang w:val="en-US"/>
        </w:rPr>
        <w:t xml:space="preserve">, </w:t>
      </w:r>
      <w:r w:rsidR="00AA62FD" w:rsidRPr="003171CD">
        <w:rPr>
          <w:rFonts w:cs="Times"/>
          <w:lang w:val="en-US"/>
        </w:rPr>
        <w:t>husbands and wives</w:t>
      </w:r>
      <w:r w:rsidR="005A65CE" w:rsidRPr="003171CD">
        <w:rPr>
          <w:rFonts w:cs="Times"/>
          <w:lang w:val="en-US"/>
        </w:rPr>
        <w:t xml:space="preserve">, and </w:t>
      </w:r>
      <w:r w:rsidR="0011643A" w:rsidRPr="003171CD">
        <w:rPr>
          <w:rFonts w:cs="Times"/>
          <w:lang w:val="en-US"/>
        </w:rPr>
        <w:t xml:space="preserve">permanent companions </w:t>
      </w:r>
      <w:r w:rsidR="005A65CE" w:rsidRPr="003171CD">
        <w:rPr>
          <w:rFonts w:cs="Times"/>
          <w:lang w:val="en-US"/>
        </w:rPr>
        <w:t xml:space="preserve">of </w:t>
      </w:r>
      <w:r w:rsidR="0011643A" w:rsidRPr="003171CD">
        <w:rPr>
          <w:rFonts w:cs="Times"/>
          <w:lang w:val="en-US"/>
        </w:rPr>
        <w:t xml:space="preserve">victims of </w:t>
      </w:r>
      <w:r w:rsidR="00AA62FD" w:rsidRPr="003171CD">
        <w:rPr>
          <w:rFonts w:cs="Times"/>
          <w:lang w:val="en-US"/>
        </w:rPr>
        <w:t xml:space="preserve">grave human rights </w:t>
      </w:r>
      <w:r w:rsidR="005A65CE" w:rsidRPr="003171CD">
        <w:rPr>
          <w:rFonts w:cs="Times"/>
          <w:lang w:val="en-US"/>
        </w:rPr>
        <w:t>violation</w:t>
      </w:r>
      <w:r w:rsidR="0011643A" w:rsidRPr="003171CD">
        <w:rPr>
          <w:rFonts w:cs="Times"/>
          <w:lang w:val="en-US"/>
        </w:rPr>
        <w:t>s. However, t</w:t>
      </w:r>
      <w:r w:rsidR="005A65CE" w:rsidRPr="003171CD">
        <w:rPr>
          <w:rFonts w:cs="Times"/>
          <w:lang w:val="en-US"/>
        </w:rPr>
        <w:t>h</w:t>
      </w:r>
      <w:r w:rsidR="009B16E9" w:rsidRPr="003171CD">
        <w:rPr>
          <w:rFonts w:cs="Times"/>
          <w:lang w:val="en-US"/>
        </w:rPr>
        <w:t>e</w:t>
      </w:r>
      <w:r w:rsidR="0011643A" w:rsidRPr="003171CD">
        <w:rPr>
          <w:rFonts w:cs="Times"/>
          <w:lang w:val="en-US"/>
        </w:rPr>
        <w:t xml:space="preserve"> </w:t>
      </w:r>
      <w:r w:rsidR="005A65CE" w:rsidRPr="003171CD">
        <w:rPr>
          <w:rFonts w:cs="Times"/>
          <w:i/>
          <w:lang w:val="en-US"/>
        </w:rPr>
        <w:t>iuris tantum</w:t>
      </w:r>
      <w:r w:rsidR="005A65CE" w:rsidRPr="003171CD">
        <w:rPr>
          <w:rFonts w:cs="Times"/>
          <w:lang w:val="en-US"/>
        </w:rPr>
        <w:t xml:space="preserve"> </w:t>
      </w:r>
      <w:r w:rsidR="009B16E9" w:rsidRPr="003171CD">
        <w:rPr>
          <w:rFonts w:cs="Times"/>
          <w:lang w:val="en-US"/>
        </w:rPr>
        <w:t xml:space="preserve">presumption </w:t>
      </w:r>
      <w:r w:rsidR="005A65CE" w:rsidRPr="003171CD">
        <w:rPr>
          <w:rFonts w:cs="Times"/>
          <w:lang w:val="en-US"/>
        </w:rPr>
        <w:t>in favor of “</w:t>
      </w:r>
      <w:r w:rsidR="00AA62FD" w:rsidRPr="003171CD">
        <w:rPr>
          <w:rFonts w:cs="Times"/>
          <w:lang w:val="en-US"/>
        </w:rPr>
        <w:t xml:space="preserve">direct </w:t>
      </w:r>
      <w:r w:rsidR="009B2656" w:rsidRPr="003171CD">
        <w:rPr>
          <w:rFonts w:cs="Times"/>
          <w:lang w:val="en-US"/>
        </w:rPr>
        <w:t>next of kin</w:t>
      </w:r>
      <w:r w:rsidR="005A65CE" w:rsidRPr="003171CD">
        <w:rPr>
          <w:rFonts w:cs="Times"/>
          <w:lang w:val="en-US"/>
        </w:rPr>
        <w:t xml:space="preserve">” </w:t>
      </w:r>
      <w:r w:rsidR="00AA62FD" w:rsidRPr="003171CD">
        <w:rPr>
          <w:rFonts w:cs="Times"/>
          <w:lang w:val="en-US"/>
        </w:rPr>
        <w:t xml:space="preserve">does not exclude </w:t>
      </w:r>
      <w:r w:rsidR="005A65CE" w:rsidRPr="003171CD">
        <w:rPr>
          <w:rFonts w:cs="Times"/>
          <w:lang w:val="en-US"/>
        </w:rPr>
        <w:t>other persons no</w:t>
      </w:r>
      <w:r w:rsidR="00AA62FD" w:rsidRPr="003171CD">
        <w:rPr>
          <w:rFonts w:cs="Times"/>
          <w:lang w:val="en-US"/>
        </w:rPr>
        <w:t>t</w:t>
      </w:r>
      <w:r w:rsidR="005A65CE" w:rsidRPr="003171CD">
        <w:rPr>
          <w:rFonts w:cs="Times"/>
          <w:lang w:val="en-US"/>
        </w:rPr>
        <w:t xml:space="preserve"> inclu</w:t>
      </w:r>
      <w:r w:rsidR="00AA62FD" w:rsidRPr="003171CD">
        <w:rPr>
          <w:rFonts w:cs="Times"/>
          <w:lang w:val="en-US"/>
        </w:rPr>
        <w:t>ded in this category</w:t>
      </w:r>
      <w:r w:rsidR="005A65CE" w:rsidRPr="003171CD">
        <w:rPr>
          <w:rFonts w:cs="Times"/>
          <w:lang w:val="en-US"/>
        </w:rPr>
        <w:t xml:space="preserve"> </w:t>
      </w:r>
      <w:r w:rsidR="00AA62FD" w:rsidRPr="003171CD">
        <w:rPr>
          <w:rFonts w:cs="Times"/>
          <w:lang w:val="en-US"/>
        </w:rPr>
        <w:t xml:space="preserve">if they can </w:t>
      </w:r>
      <w:r w:rsidR="00B376B3" w:rsidRPr="003171CD">
        <w:rPr>
          <w:rFonts w:cs="Times"/>
          <w:lang w:val="en-US"/>
        </w:rPr>
        <w:t>demonstrate</w:t>
      </w:r>
      <w:r w:rsidR="00AA62FD" w:rsidRPr="003171CD">
        <w:rPr>
          <w:rFonts w:cs="Times"/>
          <w:lang w:val="en-US"/>
        </w:rPr>
        <w:t xml:space="preserve"> </w:t>
      </w:r>
      <w:r w:rsidR="003E3FE6" w:rsidRPr="003171CD">
        <w:rPr>
          <w:rFonts w:cs="Times"/>
          <w:lang w:val="en-US"/>
        </w:rPr>
        <w:t xml:space="preserve">that </w:t>
      </w:r>
      <w:r w:rsidR="005A65CE" w:rsidRPr="003171CD">
        <w:rPr>
          <w:rFonts w:cs="Times"/>
          <w:lang w:val="en-US"/>
        </w:rPr>
        <w:t>particular</w:t>
      </w:r>
      <w:r w:rsidR="00AA62FD" w:rsidRPr="003171CD">
        <w:rPr>
          <w:rFonts w:cs="Times"/>
          <w:lang w:val="en-US"/>
        </w:rPr>
        <w:t xml:space="preserve">ly close </w:t>
      </w:r>
      <w:r w:rsidR="0011643A" w:rsidRPr="003171CD">
        <w:rPr>
          <w:rFonts w:cs="Times"/>
          <w:lang w:val="en-US"/>
        </w:rPr>
        <w:t xml:space="preserve">ties </w:t>
      </w:r>
      <w:r w:rsidR="003E3FE6" w:rsidRPr="003171CD">
        <w:rPr>
          <w:rFonts w:cs="Times"/>
          <w:lang w:val="en-US"/>
        </w:rPr>
        <w:t xml:space="preserve">exist </w:t>
      </w:r>
      <w:r w:rsidR="00AA62FD" w:rsidRPr="003171CD">
        <w:rPr>
          <w:rFonts w:cs="Times"/>
          <w:lang w:val="en-US"/>
        </w:rPr>
        <w:lastRenderedPageBreak/>
        <w:t xml:space="preserve">between them and the victims in </w:t>
      </w:r>
      <w:r w:rsidR="005A65CE" w:rsidRPr="003171CD">
        <w:rPr>
          <w:rFonts w:cs="Times"/>
          <w:lang w:val="en-US"/>
        </w:rPr>
        <w:t xml:space="preserve">the case that </w:t>
      </w:r>
      <w:r w:rsidR="0011643A" w:rsidRPr="003171CD">
        <w:rPr>
          <w:rFonts w:cs="Times"/>
          <w:lang w:val="en-US"/>
        </w:rPr>
        <w:t>would allow</w:t>
      </w:r>
      <w:r w:rsidR="00AA62FD" w:rsidRPr="003171CD">
        <w:rPr>
          <w:rFonts w:cs="Times"/>
          <w:lang w:val="en-US"/>
        </w:rPr>
        <w:t xml:space="preserve"> the </w:t>
      </w:r>
      <w:r w:rsidR="005A65CE" w:rsidRPr="003171CD">
        <w:rPr>
          <w:rFonts w:cs="Times"/>
          <w:lang w:val="en-US"/>
        </w:rPr>
        <w:t xml:space="preserve">Court </w:t>
      </w:r>
      <w:r w:rsidR="00AA62FD" w:rsidRPr="003171CD">
        <w:rPr>
          <w:rFonts w:cs="Times"/>
          <w:lang w:val="en-US"/>
        </w:rPr>
        <w:t>to declare the violation of the</w:t>
      </w:r>
      <w:r w:rsidR="0011643A" w:rsidRPr="003171CD">
        <w:rPr>
          <w:rFonts w:cs="Times"/>
          <w:lang w:val="en-US"/>
        </w:rPr>
        <w:t>ir</w:t>
      </w:r>
      <w:r w:rsidR="00AA62FD" w:rsidRPr="003171CD">
        <w:rPr>
          <w:rFonts w:cs="Times"/>
          <w:lang w:val="en-US"/>
        </w:rPr>
        <w:t xml:space="preserve"> right to </w:t>
      </w:r>
      <w:r w:rsidR="005A65CE" w:rsidRPr="003171CD">
        <w:rPr>
          <w:rFonts w:cs="Times"/>
          <w:lang w:val="en-US"/>
        </w:rPr>
        <w:t>personal integrity</w:t>
      </w:r>
      <w:r w:rsidR="000638C7" w:rsidRPr="003171CD">
        <w:rPr>
          <w:rFonts w:cs="Times"/>
          <w:lang w:val="en-US"/>
        </w:rPr>
        <w:t>.</w:t>
      </w:r>
      <w:r w:rsidR="005A65CE" w:rsidRPr="003171CD">
        <w:rPr>
          <w:vertAlign w:val="superscript"/>
          <w:lang w:val="en-US"/>
        </w:rPr>
        <w:footnoteReference w:id="260"/>
      </w:r>
    </w:p>
    <w:p w14:paraId="2E30CB4F" w14:textId="77777777" w:rsidR="005A65CE" w:rsidRPr="003171CD" w:rsidRDefault="005A65CE" w:rsidP="005A65CE">
      <w:pPr>
        <w:jc w:val="both"/>
        <w:rPr>
          <w:rFonts w:eastAsia="Batang" w:cs="Times"/>
          <w:snapToGrid/>
          <w:lang w:val="en-US" w:eastAsia="en-US"/>
        </w:rPr>
      </w:pPr>
    </w:p>
    <w:p w14:paraId="20F47097" w14:textId="77777777" w:rsidR="005A65CE" w:rsidRPr="003171CD" w:rsidRDefault="006A7B69" w:rsidP="005A65CE">
      <w:pPr>
        <w:pStyle w:val="Prrafodelista"/>
        <w:numPr>
          <w:ilvl w:val="0"/>
          <w:numId w:val="1"/>
        </w:numPr>
        <w:tabs>
          <w:tab w:val="left" w:pos="720"/>
          <w:tab w:val="num" w:pos="5057"/>
        </w:tabs>
        <w:ind w:right="-90"/>
        <w:jc w:val="both"/>
        <w:rPr>
          <w:sz w:val="16"/>
          <w:lang w:val="en-US"/>
        </w:rPr>
      </w:pPr>
      <w:r w:rsidRPr="003171CD">
        <w:rPr>
          <w:rFonts w:cs="Times"/>
          <w:lang w:val="en-US"/>
        </w:rPr>
        <w:t>I</w:t>
      </w:r>
      <w:r w:rsidR="005A65CE" w:rsidRPr="003171CD">
        <w:rPr>
          <w:rFonts w:cs="Times"/>
          <w:lang w:val="en-US"/>
        </w:rPr>
        <w:t xml:space="preserve">n cases </w:t>
      </w:r>
      <w:r w:rsidR="009B16E9" w:rsidRPr="003171CD">
        <w:rPr>
          <w:rFonts w:cs="Times"/>
          <w:lang w:val="en-US"/>
        </w:rPr>
        <w:t xml:space="preserve">where </w:t>
      </w:r>
      <w:r w:rsidR="005A65CE" w:rsidRPr="003171CD">
        <w:rPr>
          <w:rFonts w:cs="Times"/>
          <w:lang w:val="en-US"/>
        </w:rPr>
        <w:t>“</w:t>
      </w:r>
      <w:r w:rsidR="00771C5F" w:rsidRPr="003171CD">
        <w:rPr>
          <w:rFonts w:cs="Times"/>
          <w:lang w:val="en-US"/>
        </w:rPr>
        <w:t xml:space="preserve">the </w:t>
      </w:r>
      <w:r w:rsidR="005A65CE" w:rsidRPr="003171CD">
        <w:rPr>
          <w:rFonts w:cs="Times"/>
          <w:lang w:val="en-US"/>
        </w:rPr>
        <w:t xml:space="preserve">circumstances </w:t>
      </w:r>
      <w:r w:rsidR="00771C5F" w:rsidRPr="003171CD">
        <w:rPr>
          <w:rFonts w:cs="Times"/>
          <w:lang w:val="en-US"/>
        </w:rPr>
        <w:t xml:space="preserve">do not entail </w:t>
      </w:r>
      <w:r w:rsidR="005A65CE" w:rsidRPr="003171CD">
        <w:rPr>
          <w:rFonts w:cs="Times"/>
          <w:lang w:val="en-US"/>
        </w:rPr>
        <w:t xml:space="preserve">a grave </w:t>
      </w:r>
      <w:r w:rsidRPr="003171CD">
        <w:rPr>
          <w:rFonts w:cs="Times"/>
          <w:lang w:val="en-US"/>
        </w:rPr>
        <w:t xml:space="preserve">violation </w:t>
      </w:r>
      <w:r w:rsidR="009B16E9" w:rsidRPr="003171CD">
        <w:rPr>
          <w:rFonts w:cs="Times"/>
          <w:lang w:val="en-US"/>
        </w:rPr>
        <w:t xml:space="preserve">of human rights </w:t>
      </w:r>
      <w:r w:rsidR="005A65CE" w:rsidRPr="003171CD">
        <w:rPr>
          <w:rFonts w:cs="Times"/>
          <w:lang w:val="en-US"/>
        </w:rPr>
        <w:t xml:space="preserve">in the terms of </w:t>
      </w:r>
      <w:r w:rsidR="009B16E9" w:rsidRPr="003171CD">
        <w:rPr>
          <w:rFonts w:cs="Times"/>
          <w:lang w:val="en-US"/>
        </w:rPr>
        <w:t xml:space="preserve">the Court’s </w:t>
      </w:r>
      <w:r w:rsidR="00AA62FD" w:rsidRPr="003171CD">
        <w:rPr>
          <w:rFonts w:cs="Times"/>
          <w:lang w:val="en-US"/>
        </w:rPr>
        <w:t>case law</w:t>
      </w:r>
      <w:r w:rsidR="005A65CE" w:rsidRPr="003171CD">
        <w:rPr>
          <w:rFonts w:cs="Times"/>
          <w:lang w:val="en-US"/>
        </w:rPr>
        <w:t xml:space="preserve">, the </w:t>
      </w:r>
      <w:r w:rsidR="00D42FEA" w:rsidRPr="003171CD">
        <w:rPr>
          <w:rFonts w:cs="Times"/>
          <w:lang w:val="en-US"/>
        </w:rPr>
        <w:t>violation</w:t>
      </w:r>
      <w:r w:rsidR="005A65CE" w:rsidRPr="003171CD">
        <w:rPr>
          <w:rFonts w:cs="Times"/>
          <w:lang w:val="en-US"/>
        </w:rPr>
        <w:t xml:space="preserve"> of personal integrity of the </w:t>
      </w:r>
      <w:r w:rsidR="009B2656" w:rsidRPr="003171CD">
        <w:rPr>
          <w:rFonts w:cs="Times"/>
          <w:lang w:val="en-US"/>
        </w:rPr>
        <w:t>next of kin</w:t>
      </w:r>
      <w:r w:rsidR="005A65CE" w:rsidRPr="003171CD">
        <w:rPr>
          <w:rFonts w:cs="Times"/>
          <w:lang w:val="en-US"/>
        </w:rPr>
        <w:t xml:space="preserve">, </w:t>
      </w:r>
      <w:r w:rsidRPr="003171CD">
        <w:rPr>
          <w:rFonts w:cs="Times"/>
          <w:lang w:val="en-US"/>
        </w:rPr>
        <w:t xml:space="preserve">in relation to the pain </w:t>
      </w:r>
      <w:r w:rsidR="005A65CE" w:rsidRPr="003171CD">
        <w:rPr>
          <w:rFonts w:cs="Times"/>
          <w:lang w:val="en-US"/>
        </w:rPr>
        <w:t xml:space="preserve">and suffering </w:t>
      </w:r>
      <w:r w:rsidR="002E723D" w:rsidRPr="003171CD">
        <w:rPr>
          <w:rFonts w:cs="Times"/>
          <w:lang w:val="en-US"/>
        </w:rPr>
        <w:t>caused</w:t>
      </w:r>
      <w:r w:rsidR="005A65CE" w:rsidRPr="003171CD">
        <w:rPr>
          <w:rFonts w:cs="Times"/>
          <w:lang w:val="en-US"/>
        </w:rPr>
        <w:t xml:space="preserve">, </w:t>
      </w:r>
      <w:r w:rsidR="00AA62FD" w:rsidRPr="003171CD">
        <w:rPr>
          <w:rFonts w:cs="Times"/>
          <w:lang w:val="en-US"/>
        </w:rPr>
        <w:t>must be proven.</w:t>
      </w:r>
      <w:r w:rsidR="005A65CE" w:rsidRPr="003171CD">
        <w:rPr>
          <w:rFonts w:cs="Times"/>
          <w:lang w:val="en-US"/>
        </w:rPr>
        <w:t>”</w:t>
      </w:r>
      <w:r w:rsidR="005A65CE" w:rsidRPr="003171CD">
        <w:rPr>
          <w:vertAlign w:val="superscript"/>
          <w:lang w:val="en-US"/>
        </w:rPr>
        <w:footnoteReference w:id="261"/>
      </w:r>
      <w:r w:rsidR="005A65CE" w:rsidRPr="003171CD">
        <w:rPr>
          <w:rFonts w:cs="Times"/>
          <w:lang w:val="en-US"/>
        </w:rPr>
        <w:t xml:space="preserve"> </w:t>
      </w:r>
      <w:r w:rsidR="00AA62FD" w:rsidRPr="003171CD">
        <w:rPr>
          <w:rFonts w:cs="Times"/>
          <w:lang w:val="en-US"/>
        </w:rPr>
        <w:t xml:space="preserve">This category includes </w:t>
      </w:r>
      <w:r w:rsidR="005A65CE" w:rsidRPr="003171CD">
        <w:rPr>
          <w:rFonts w:cs="Times"/>
          <w:lang w:val="en-US"/>
        </w:rPr>
        <w:t xml:space="preserve">violations </w:t>
      </w:r>
      <w:r w:rsidR="00AA62FD" w:rsidRPr="003171CD">
        <w:rPr>
          <w:rFonts w:cs="Times"/>
          <w:lang w:val="en-US"/>
        </w:rPr>
        <w:t xml:space="preserve">of </w:t>
      </w:r>
      <w:r w:rsidR="0011643A" w:rsidRPr="003171CD">
        <w:rPr>
          <w:rFonts w:cs="Times"/>
          <w:lang w:val="en-US"/>
        </w:rPr>
        <w:t xml:space="preserve">the rights to </w:t>
      </w:r>
      <w:r w:rsidR="005A65CE" w:rsidRPr="003171CD">
        <w:rPr>
          <w:rFonts w:cs="Times"/>
          <w:lang w:val="en-US"/>
        </w:rPr>
        <w:t xml:space="preserve">personal </w:t>
      </w:r>
      <w:r w:rsidR="00AA62FD" w:rsidRPr="003171CD">
        <w:rPr>
          <w:rFonts w:cs="Times"/>
          <w:lang w:val="en-US"/>
        </w:rPr>
        <w:t>liberty</w:t>
      </w:r>
      <w:r w:rsidR="005A65CE" w:rsidRPr="003171CD">
        <w:rPr>
          <w:rFonts w:cs="Times"/>
          <w:lang w:val="en-US"/>
        </w:rPr>
        <w:t xml:space="preserve">, </w:t>
      </w:r>
      <w:r w:rsidR="00AA62FD" w:rsidRPr="003171CD">
        <w:rPr>
          <w:rFonts w:cs="Times"/>
          <w:lang w:val="en-US"/>
        </w:rPr>
        <w:t>judicial guarantee</w:t>
      </w:r>
      <w:r w:rsidR="005A65CE" w:rsidRPr="003171CD">
        <w:rPr>
          <w:rFonts w:cs="Times"/>
          <w:lang w:val="en-US"/>
        </w:rPr>
        <w:t>s and judicial protect</w:t>
      </w:r>
      <w:r w:rsidR="00AA62FD" w:rsidRPr="003171CD">
        <w:rPr>
          <w:rFonts w:cs="Times"/>
          <w:lang w:val="en-US"/>
        </w:rPr>
        <w:t>ion. I</w:t>
      </w:r>
      <w:r w:rsidR="005A65CE" w:rsidRPr="003171CD">
        <w:rPr>
          <w:rFonts w:cs="Times"/>
          <w:lang w:val="en-US"/>
        </w:rPr>
        <w:t xml:space="preserve">n </w:t>
      </w:r>
      <w:r w:rsidR="00AA62FD" w:rsidRPr="003171CD">
        <w:rPr>
          <w:rFonts w:cs="Times"/>
          <w:lang w:val="en-US"/>
        </w:rPr>
        <w:t xml:space="preserve">such </w:t>
      </w:r>
      <w:r w:rsidR="005A65CE" w:rsidRPr="003171CD">
        <w:rPr>
          <w:rFonts w:cs="Times"/>
          <w:lang w:val="en-US"/>
        </w:rPr>
        <w:t xml:space="preserve">cases, the Court </w:t>
      </w:r>
      <w:r w:rsidR="009C0AC0" w:rsidRPr="003171CD">
        <w:rPr>
          <w:rFonts w:cs="Times"/>
          <w:lang w:val="en-US"/>
        </w:rPr>
        <w:t xml:space="preserve">will first assess </w:t>
      </w:r>
      <w:r w:rsidR="009C0AC0" w:rsidRPr="003171CD">
        <w:rPr>
          <w:lang w:val="en-US"/>
        </w:rPr>
        <w:t>the existence of a particularly close link between the family members and the victim in order to determine if their right to personal integrity was affected</w:t>
      </w:r>
      <w:r w:rsidR="005A65CE" w:rsidRPr="003171CD">
        <w:rPr>
          <w:vertAlign w:val="superscript"/>
          <w:lang w:val="en-US"/>
        </w:rPr>
        <w:footnoteReference w:id="262"/>
      </w:r>
      <w:r w:rsidR="000638C7" w:rsidRPr="003171CD">
        <w:rPr>
          <w:rFonts w:cs="Times"/>
          <w:lang w:val="en-US"/>
        </w:rPr>
        <w:t xml:space="preserve"> and</w:t>
      </w:r>
      <w:r w:rsidR="009C0AC0" w:rsidRPr="003171CD">
        <w:rPr>
          <w:rFonts w:cs="Times"/>
          <w:lang w:val="en-US"/>
        </w:rPr>
        <w:t xml:space="preserve"> will then determine whether</w:t>
      </w:r>
      <w:r w:rsidRPr="003171CD">
        <w:rPr>
          <w:rFonts w:cs="Times"/>
          <w:lang w:val="en-US"/>
        </w:rPr>
        <w:t xml:space="preserve"> </w:t>
      </w:r>
      <w:r w:rsidR="005A65CE" w:rsidRPr="003171CD">
        <w:rPr>
          <w:rFonts w:cs="Times"/>
          <w:lang w:val="en-US"/>
        </w:rPr>
        <w:t xml:space="preserve">the evidence in the </w:t>
      </w:r>
      <w:r w:rsidR="00620D9F" w:rsidRPr="003171CD">
        <w:rPr>
          <w:rFonts w:cs="Times"/>
          <w:lang w:val="en-US"/>
        </w:rPr>
        <w:t xml:space="preserve">case </w:t>
      </w:r>
      <w:r w:rsidR="005A65CE" w:rsidRPr="003171CD">
        <w:rPr>
          <w:rFonts w:cs="Times"/>
          <w:lang w:val="en-US"/>
        </w:rPr>
        <w:t>file</w:t>
      </w:r>
      <w:r w:rsidR="009C0AC0" w:rsidRPr="003171CD">
        <w:rPr>
          <w:rFonts w:cs="Times"/>
          <w:lang w:val="en-US"/>
        </w:rPr>
        <w:t xml:space="preserve"> </w:t>
      </w:r>
      <w:r w:rsidR="00771C5F" w:rsidRPr="003171CD">
        <w:rPr>
          <w:rFonts w:cs="Times"/>
          <w:lang w:val="en-US"/>
        </w:rPr>
        <w:t xml:space="preserve">demonstrates </w:t>
      </w:r>
      <w:r w:rsidR="005A65CE" w:rsidRPr="003171CD">
        <w:rPr>
          <w:rFonts w:cs="Times"/>
          <w:lang w:val="en-US"/>
        </w:rPr>
        <w:t xml:space="preserve">a violation </w:t>
      </w:r>
      <w:r w:rsidR="000638C7" w:rsidRPr="003171CD">
        <w:rPr>
          <w:rFonts w:cs="Times"/>
          <w:lang w:val="en-US"/>
        </w:rPr>
        <w:t xml:space="preserve">of the right to </w:t>
      </w:r>
      <w:r w:rsidR="005A65CE" w:rsidRPr="003171CD">
        <w:rPr>
          <w:rFonts w:cs="Times"/>
          <w:lang w:val="en-US"/>
        </w:rPr>
        <w:t xml:space="preserve">personal integrity of the </w:t>
      </w:r>
      <w:r w:rsidR="000638C7" w:rsidRPr="003171CD">
        <w:rPr>
          <w:rFonts w:cs="Times"/>
          <w:lang w:val="en-US"/>
        </w:rPr>
        <w:t>alleged v</w:t>
      </w:r>
      <w:r w:rsidR="005A65CE" w:rsidRPr="003171CD">
        <w:rPr>
          <w:rFonts w:cs="Times"/>
          <w:lang w:val="en-US"/>
        </w:rPr>
        <w:t>ictim</w:t>
      </w:r>
      <w:r w:rsidR="00AA62FD" w:rsidRPr="003171CD">
        <w:rPr>
          <w:rFonts w:cs="Times"/>
          <w:lang w:val="en-US"/>
        </w:rPr>
        <w:t>.</w:t>
      </w:r>
      <w:r w:rsidR="005A65CE" w:rsidRPr="003171CD">
        <w:rPr>
          <w:vertAlign w:val="superscript"/>
          <w:lang w:val="en-US"/>
        </w:rPr>
        <w:footnoteReference w:id="263"/>
      </w:r>
      <w:r w:rsidR="005A65CE" w:rsidRPr="003171CD">
        <w:rPr>
          <w:rFonts w:cs="Times"/>
          <w:lang w:val="en-US"/>
        </w:rPr>
        <w:t xml:space="preserve"> </w:t>
      </w:r>
      <w:r w:rsidR="00AA62FD" w:rsidRPr="003171CD">
        <w:rPr>
          <w:rFonts w:cs="Times"/>
          <w:lang w:val="en-US"/>
        </w:rPr>
        <w:t xml:space="preserve">In order to prove the </w:t>
      </w:r>
      <w:r w:rsidR="00771C5F" w:rsidRPr="003171CD">
        <w:rPr>
          <w:rFonts w:cs="Times"/>
          <w:lang w:val="en-US"/>
        </w:rPr>
        <w:t xml:space="preserve">alleged </w:t>
      </w:r>
      <w:r w:rsidR="00AA62FD" w:rsidRPr="003171CD">
        <w:rPr>
          <w:rFonts w:cs="Times"/>
          <w:lang w:val="en-US"/>
        </w:rPr>
        <w:t xml:space="preserve">effects on the </w:t>
      </w:r>
      <w:r w:rsidR="005A65CE" w:rsidRPr="003171CD">
        <w:rPr>
          <w:rFonts w:cs="Times"/>
          <w:lang w:val="en-US"/>
        </w:rPr>
        <w:t xml:space="preserve">personal integrity of </w:t>
      </w:r>
      <w:r w:rsidR="00771C5F" w:rsidRPr="003171CD">
        <w:rPr>
          <w:rFonts w:cs="Times"/>
          <w:lang w:val="en-US"/>
        </w:rPr>
        <w:t xml:space="preserve">family members </w:t>
      </w:r>
      <w:r w:rsidR="00AA62FD" w:rsidRPr="003171CD">
        <w:rPr>
          <w:rFonts w:cs="Times"/>
          <w:lang w:val="en-US"/>
        </w:rPr>
        <w:t xml:space="preserve">resulting from the violation of the rights to </w:t>
      </w:r>
      <w:r w:rsidR="005A65CE" w:rsidRPr="003171CD">
        <w:rPr>
          <w:rFonts w:cs="Times"/>
          <w:lang w:val="en-US"/>
        </w:rPr>
        <w:t xml:space="preserve">personal </w:t>
      </w:r>
      <w:r w:rsidR="00AA62FD" w:rsidRPr="003171CD">
        <w:rPr>
          <w:rFonts w:cs="Times"/>
          <w:lang w:val="en-US"/>
        </w:rPr>
        <w:t>liberty</w:t>
      </w:r>
      <w:r w:rsidR="005A65CE" w:rsidRPr="003171CD">
        <w:rPr>
          <w:rFonts w:cs="Times"/>
          <w:lang w:val="en-US"/>
        </w:rPr>
        <w:t>, judic</w:t>
      </w:r>
      <w:r w:rsidR="00AA62FD" w:rsidRPr="003171CD">
        <w:rPr>
          <w:rFonts w:cs="Times"/>
          <w:lang w:val="en-US"/>
        </w:rPr>
        <w:t>ial guarantee</w:t>
      </w:r>
      <w:r w:rsidR="005A65CE" w:rsidRPr="003171CD">
        <w:rPr>
          <w:rFonts w:cs="Times"/>
          <w:lang w:val="en-US"/>
        </w:rPr>
        <w:t xml:space="preserve">s and judicial protection, the Court </w:t>
      </w:r>
      <w:r w:rsidR="00AA62FD" w:rsidRPr="003171CD">
        <w:rPr>
          <w:rFonts w:cs="Times"/>
          <w:lang w:val="en-US"/>
        </w:rPr>
        <w:t xml:space="preserve">has emphasized and accepted </w:t>
      </w:r>
      <w:r w:rsidR="009B16E9" w:rsidRPr="003171CD">
        <w:rPr>
          <w:rFonts w:cs="Times"/>
          <w:lang w:val="en-US"/>
        </w:rPr>
        <w:t xml:space="preserve">specific </w:t>
      </w:r>
      <w:r w:rsidR="005A65CE" w:rsidRPr="003171CD">
        <w:rPr>
          <w:rFonts w:cs="Times"/>
          <w:lang w:val="en-US"/>
        </w:rPr>
        <w:t xml:space="preserve">evidence of </w:t>
      </w:r>
      <w:r w:rsidR="00A05466" w:rsidRPr="003171CD">
        <w:rPr>
          <w:rFonts w:cs="Times"/>
          <w:lang w:val="en-US"/>
        </w:rPr>
        <w:t xml:space="preserve">four types of </w:t>
      </w:r>
      <w:r w:rsidR="00771C5F" w:rsidRPr="003171CD">
        <w:rPr>
          <w:rFonts w:cs="Times"/>
          <w:lang w:val="en-US"/>
        </w:rPr>
        <w:t>adverse effects</w:t>
      </w:r>
      <w:r w:rsidR="005A65CE" w:rsidRPr="003171CD">
        <w:rPr>
          <w:rFonts w:cs="Times"/>
          <w:lang w:val="en-US"/>
        </w:rPr>
        <w:t xml:space="preserve">: </w:t>
      </w:r>
      <w:r w:rsidR="00771C5F" w:rsidRPr="003171CD">
        <w:rPr>
          <w:rFonts w:cs="Times"/>
          <w:lang w:val="en-US"/>
        </w:rPr>
        <w:t xml:space="preserve">on the </w:t>
      </w:r>
      <w:r w:rsidR="00AE112A" w:rsidRPr="003171CD">
        <w:rPr>
          <w:rFonts w:cs="Times"/>
          <w:lang w:val="en-US"/>
        </w:rPr>
        <w:t xml:space="preserve">daily lives </w:t>
      </w:r>
      <w:r w:rsidR="005A65CE" w:rsidRPr="003171CD">
        <w:rPr>
          <w:rFonts w:cs="Times"/>
          <w:lang w:val="en-US"/>
        </w:rPr>
        <w:t xml:space="preserve">of the </w:t>
      </w:r>
      <w:r w:rsidR="009B2656" w:rsidRPr="003171CD">
        <w:rPr>
          <w:rFonts w:cs="Times"/>
          <w:lang w:val="en-US"/>
        </w:rPr>
        <w:t>next of kin</w:t>
      </w:r>
      <w:r w:rsidR="005A65CE" w:rsidRPr="003171CD">
        <w:rPr>
          <w:rFonts w:cs="Times"/>
          <w:lang w:val="en-US"/>
        </w:rPr>
        <w:t xml:space="preserve">; </w:t>
      </w:r>
      <w:r w:rsidR="00771C5F" w:rsidRPr="003171CD">
        <w:rPr>
          <w:rFonts w:cs="Times"/>
          <w:lang w:val="en-US"/>
        </w:rPr>
        <w:t xml:space="preserve">on </w:t>
      </w:r>
      <w:r w:rsidR="005A65CE" w:rsidRPr="003171CD">
        <w:rPr>
          <w:rFonts w:cs="Times"/>
          <w:lang w:val="en-US"/>
        </w:rPr>
        <w:t>the</w:t>
      </w:r>
      <w:r w:rsidR="00AE112A" w:rsidRPr="003171CD">
        <w:rPr>
          <w:rFonts w:cs="Times"/>
          <w:lang w:val="en-US"/>
        </w:rPr>
        <w:t>ir</w:t>
      </w:r>
      <w:r w:rsidR="005A65CE" w:rsidRPr="003171CD">
        <w:rPr>
          <w:rFonts w:cs="Times"/>
          <w:lang w:val="en-US"/>
        </w:rPr>
        <w:t xml:space="preserve"> physical and mental </w:t>
      </w:r>
      <w:r w:rsidR="00771C5F" w:rsidRPr="003171CD">
        <w:rPr>
          <w:rFonts w:cs="Times"/>
          <w:lang w:val="en-US"/>
        </w:rPr>
        <w:t>health</w:t>
      </w:r>
      <w:r w:rsidR="005A65CE" w:rsidRPr="003171CD">
        <w:rPr>
          <w:rFonts w:cs="Times"/>
          <w:lang w:val="en-US"/>
        </w:rPr>
        <w:t xml:space="preserve">; </w:t>
      </w:r>
      <w:r w:rsidR="00AE112A" w:rsidRPr="003171CD">
        <w:rPr>
          <w:rFonts w:cs="Times"/>
          <w:lang w:val="en-US"/>
        </w:rPr>
        <w:t xml:space="preserve">the suffering experienced by the next of kin during </w:t>
      </w:r>
      <w:r w:rsidR="00771C5F" w:rsidRPr="003171CD">
        <w:rPr>
          <w:rFonts w:cs="Times"/>
          <w:lang w:val="en-US"/>
        </w:rPr>
        <w:t>prison</w:t>
      </w:r>
      <w:r w:rsidR="00AE112A" w:rsidRPr="003171CD">
        <w:rPr>
          <w:rFonts w:cs="Times"/>
          <w:lang w:val="en-US"/>
        </w:rPr>
        <w:t xml:space="preserve"> visits upo</w:t>
      </w:r>
      <w:r w:rsidR="00620D9F" w:rsidRPr="003171CD">
        <w:rPr>
          <w:rFonts w:cs="Times"/>
          <w:lang w:val="en-US"/>
        </w:rPr>
        <w:t>n seeing their loved ones in</w:t>
      </w:r>
      <w:r w:rsidR="00AE112A" w:rsidRPr="003171CD">
        <w:rPr>
          <w:rFonts w:cs="Times"/>
          <w:lang w:val="en-US"/>
        </w:rPr>
        <w:t xml:space="preserve"> </w:t>
      </w:r>
      <w:r w:rsidR="00A05466" w:rsidRPr="003171CD">
        <w:rPr>
          <w:rFonts w:cs="Times"/>
          <w:lang w:val="en-US"/>
        </w:rPr>
        <w:t xml:space="preserve">precarious </w:t>
      </w:r>
      <w:r w:rsidR="005A65CE" w:rsidRPr="003171CD">
        <w:rPr>
          <w:rFonts w:cs="Times"/>
          <w:lang w:val="en-US"/>
        </w:rPr>
        <w:t>conditions of detention; and the a</w:t>
      </w:r>
      <w:r w:rsidR="00771C5F" w:rsidRPr="003171CD">
        <w:rPr>
          <w:rFonts w:cs="Times"/>
          <w:lang w:val="en-US"/>
        </w:rPr>
        <w:t xml:space="preserve">dverse effects on </w:t>
      </w:r>
      <w:r w:rsidRPr="003171CD">
        <w:rPr>
          <w:rFonts w:cs="Times"/>
          <w:lang w:val="en-US"/>
        </w:rPr>
        <w:t xml:space="preserve">the </w:t>
      </w:r>
      <w:r w:rsidR="00A05466" w:rsidRPr="003171CD">
        <w:rPr>
          <w:rFonts w:cs="Times"/>
          <w:lang w:val="en-US"/>
        </w:rPr>
        <w:t>children.</w:t>
      </w:r>
      <w:r w:rsidR="005A65CE" w:rsidRPr="003171CD">
        <w:rPr>
          <w:vertAlign w:val="superscript"/>
          <w:lang w:val="en-US"/>
        </w:rPr>
        <w:footnoteReference w:id="264"/>
      </w:r>
    </w:p>
    <w:p w14:paraId="5C9010FE" w14:textId="77777777" w:rsidR="005A65CE" w:rsidRPr="003171CD" w:rsidRDefault="005A65CE" w:rsidP="005A65CE">
      <w:pPr>
        <w:pStyle w:val="Prrafodelista"/>
        <w:tabs>
          <w:tab w:val="left" w:pos="720"/>
        </w:tabs>
        <w:ind w:left="0" w:right="-90"/>
        <w:jc w:val="both"/>
        <w:rPr>
          <w:rFonts w:cs="Times"/>
          <w:lang w:val="en-US"/>
        </w:rPr>
      </w:pPr>
    </w:p>
    <w:p w14:paraId="1DE8CCB2" w14:textId="77777777" w:rsidR="005A65CE" w:rsidRPr="003171CD" w:rsidRDefault="00A05466" w:rsidP="005A65CE">
      <w:pPr>
        <w:pStyle w:val="Prrafodelista"/>
        <w:numPr>
          <w:ilvl w:val="0"/>
          <w:numId w:val="1"/>
        </w:numPr>
        <w:tabs>
          <w:tab w:val="left" w:pos="720"/>
          <w:tab w:val="num" w:pos="5057"/>
        </w:tabs>
        <w:ind w:right="-90"/>
        <w:jc w:val="both"/>
        <w:rPr>
          <w:rFonts w:cs="Times"/>
          <w:lang w:val="en-US"/>
        </w:rPr>
      </w:pPr>
      <w:r w:rsidRPr="003171CD">
        <w:rPr>
          <w:rFonts w:cs="Times"/>
          <w:lang w:val="en-US"/>
        </w:rPr>
        <w:t>I</w:t>
      </w:r>
      <w:r w:rsidR="005A65CE" w:rsidRPr="003171CD">
        <w:rPr>
          <w:rFonts w:cs="Times"/>
          <w:lang w:val="en-US"/>
        </w:rPr>
        <w:t xml:space="preserve">n the </w:t>
      </w:r>
      <w:r w:rsidR="00771C5F" w:rsidRPr="003171CD">
        <w:rPr>
          <w:rFonts w:cs="Times"/>
          <w:lang w:val="en-US"/>
        </w:rPr>
        <w:t xml:space="preserve">instant </w:t>
      </w:r>
      <w:r w:rsidR="005A65CE" w:rsidRPr="003171CD">
        <w:rPr>
          <w:rFonts w:cs="Times"/>
          <w:lang w:val="en-US"/>
        </w:rPr>
        <w:t xml:space="preserve">case, </w:t>
      </w:r>
      <w:r w:rsidRPr="003171CD">
        <w:rPr>
          <w:rFonts w:cs="Times"/>
          <w:lang w:val="en-US"/>
        </w:rPr>
        <w:t xml:space="preserve">the following persons were named as alleged victims of the violation of </w:t>
      </w:r>
      <w:r w:rsidR="005A65CE" w:rsidRPr="003171CD">
        <w:rPr>
          <w:rFonts w:cs="Times"/>
          <w:lang w:val="en-US"/>
        </w:rPr>
        <w:t>Article 5 of the Convention</w:t>
      </w:r>
      <w:r w:rsidRPr="003171CD">
        <w:rPr>
          <w:rFonts w:cs="Times"/>
          <w:lang w:val="en-US"/>
        </w:rPr>
        <w:t>: María Maribel Guevara de</w:t>
      </w:r>
      <w:r w:rsidR="005A65CE" w:rsidRPr="003171CD">
        <w:rPr>
          <w:rFonts w:cs="Times"/>
          <w:lang w:val="en-US"/>
        </w:rPr>
        <w:t xml:space="preserve"> Ruano (</w:t>
      </w:r>
      <w:r w:rsidRPr="003171CD">
        <w:rPr>
          <w:rFonts w:cs="Times"/>
          <w:lang w:val="en-US"/>
        </w:rPr>
        <w:t>wife</w:t>
      </w:r>
      <w:r w:rsidR="005A65CE" w:rsidRPr="003171CD">
        <w:rPr>
          <w:rFonts w:cs="Times"/>
          <w:lang w:val="en-US"/>
        </w:rPr>
        <w:t>), Oscar Manuel Ruano Guevara (</w:t>
      </w:r>
      <w:r w:rsidRPr="003171CD">
        <w:rPr>
          <w:rFonts w:cs="Times"/>
          <w:lang w:val="en-US"/>
        </w:rPr>
        <w:t>son</w:t>
      </w:r>
      <w:r w:rsidR="005A65CE" w:rsidRPr="003171CD">
        <w:rPr>
          <w:rFonts w:cs="Times"/>
          <w:lang w:val="en-US"/>
        </w:rPr>
        <w:t>), Keily Lisbeth Ruano Guevara (</w:t>
      </w:r>
      <w:r w:rsidRPr="003171CD">
        <w:rPr>
          <w:rFonts w:cs="Times"/>
          <w:lang w:val="en-US"/>
        </w:rPr>
        <w:t>daughter</w:t>
      </w:r>
      <w:r w:rsidR="005A65CE" w:rsidRPr="003171CD">
        <w:rPr>
          <w:rFonts w:cs="Times"/>
          <w:lang w:val="en-US"/>
        </w:rPr>
        <w:t xml:space="preserve">), and Pedro Torres Hércules (cousin). The State </w:t>
      </w:r>
      <w:r w:rsidR="00620D9F" w:rsidRPr="003171CD">
        <w:rPr>
          <w:rFonts w:cs="Times"/>
          <w:lang w:val="en-US"/>
        </w:rPr>
        <w:t>acknowledged the said</w:t>
      </w:r>
      <w:r w:rsidRPr="003171CD">
        <w:rPr>
          <w:rFonts w:cs="Times"/>
          <w:lang w:val="en-US"/>
        </w:rPr>
        <w:t xml:space="preserve"> violation to the detriment of </w:t>
      </w:r>
      <w:r w:rsidR="005A65CE" w:rsidRPr="003171CD">
        <w:rPr>
          <w:rFonts w:cs="Times"/>
          <w:lang w:val="en-US"/>
        </w:rPr>
        <w:t xml:space="preserve">the </w:t>
      </w:r>
      <w:r w:rsidRPr="003171CD">
        <w:rPr>
          <w:rFonts w:cs="Times"/>
          <w:lang w:val="en-US"/>
        </w:rPr>
        <w:t xml:space="preserve">aforementioned </w:t>
      </w:r>
      <w:r w:rsidR="005A65CE" w:rsidRPr="003171CD">
        <w:rPr>
          <w:rFonts w:cs="Times"/>
          <w:lang w:val="en-US"/>
        </w:rPr>
        <w:t>persons.</w:t>
      </w:r>
    </w:p>
    <w:p w14:paraId="07019C23" w14:textId="77777777" w:rsidR="005A65CE" w:rsidRPr="003171CD" w:rsidRDefault="005A65CE" w:rsidP="005A65CE">
      <w:pPr>
        <w:autoSpaceDE/>
        <w:autoSpaceDN/>
        <w:adjustRightInd/>
        <w:contextualSpacing/>
        <w:jc w:val="both"/>
        <w:rPr>
          <w:rFonts w:eastAsia="Batang" w:cs="Times"/>
          <w:snapToGrid/>
          <w:lang w:val="en-US" w:eastAsia="en-US"/>
        </w:rPr>
      </w:pPr>
    </w:p>
    <w:p w14:paraId="63CFAB87" w14:textId="77777777" w:rsidR="005A65CE" w:rsidRPr="003171CD" w:rsidRDefault="002E723D" w:rsidP="005A65CE">
      <w:pPr>
        <w:pStyle w:val="Prrafodelista"/>
        <w:numPr>
          <w:ilvl w:val="0"/>
          <w:numId w:val="1"/>
        </w:numPr>
        <w:tabs>
          <w:tab w:val="left" w:pos="720"/>
          <w:tab w:val="num" w:pos="5057"/>
        </w:tabs>
        <w:ind w:right="-90"/>
        <w:jc w:val="both"/>
        <w:rPr>
          <w:rFonts w:cs="Times"/>
          <w:lang w:val="en-US"/>
        </w:rPr>
      </w:pPr>
      <w:r w:rsidRPr="003171CD">
        <w:rPr>
          <w:rFonts w:cs="Times"/>
          <w:lang w:val="en-US"/>
        </w:rPr>
        <w:t xml:space="preserve">The case file </w:t>
      </w:r>
      <w:r w:rsidR="009F2AEA" w:rsidRPr="003171CD">
        <w:rPr>
          <w:rFonts w:cs="Times"/>
          <w:lang w:val="en-US"/>
        </w:rPr>
        <w:t xml:space="preserve">also </w:t>
      </w:r>
      <w:r w:rsidR="005A65CE" w:rsidRPr="003171CD">
        <w:rPr>
          <w:rFonts w:cs="Times"/>
          <w:lang w:val="en-US"/>
        </w:rPr>
        <w:t>con</w:t>
      </w:r>
      <w:r w:rsidRPr="003171CD">
        <w:rPr>
          <w:rFonts w:cs="Times"/>
          <w:lang w:val="en-US"/>
        </w:rPr>
        <w:t>firms</w:t>
      </w:r>
      <w:r w:rsidR="00A05466" w:rsidRPr="003171CD">
        <w:rPr>
          <w:rFonts w:cs="Times"/>
          <w:lang w:val="en-US"/>
        </w:rPr>
        <w:t xml:space="preserve"> that </w:t>
      </w:r>
      <w:r w:rsidR="00377619" w:rsidRPr="003171CD">
        <w:rPr>
          <w:rFonts w:cs="Times"/>
          <w:lang w:val="en-US"/>
        </w:rPr>
        <w:t xml:space="preserve">the torture </w:t>
      </w:r>
      <w:r w:rsidR="00527CE7" w:rsidRPr="003171CD">
        <w:rPr>
          <w:rFonts w:cs="Times"/>
          <w:lang w:val="en-US"/>
        </w:rPr>
        <w:t xml:space="preserve">inflicted on </w:t>
      </w:r>
      <w:r w:rsidR="00377619" w:rsidRPr="003171CD">
        <w:rPr>
          <w:rFonts w:cs="Times"/>
          <w:lang w:val="en-US"/>
        </w:rPr>
        <w:t>Mr. Ruano Torres</w:t>
      </w:r>
      <w:r w:rsidR="00377619" w:rsidRPr="003171CD">
        <w:rPr>
          <w:vertAlign w:val="superscript"/>
          <w:lang w:val="en-US"/>
        </w:rPr>
        <w:footnoteReference w:id="265"/>
      </w:r>
      <w:r w:rsidR="00377619" w:rsidRPr="003171CD">
        <w:rPr>
          <w:rFonts w:cs="Times"/>
          <w:lang w:val="en-US"/>
        </w:rPr>
        <w:t xml:space="preserve"> was witnessed by his wife </w:t>
      </w:r>
      <w:r w:rsidR="00A05466" w:rsidRPr="003171CD">
        <w:rPr>
          <w:rFonts w:cs="Times"/>
          <w:lang w:val="en-US"/>
        </w:rPr>
        <w:t>María Maribel Guevara de</w:t>
      </w:r>
      <w:r w:rsidR="005A65CE" w:rsidRPr="003171CD">
        <w:rPr>
          <w:rFonts w:cs="Times"/>
          <w:lang w:val="en-US"/>
        </w:rPr>
        <w:t xml:space="preserve"> Ruano and </w:t>
      </w:r>
      <w:r w:rsidR="00377619" w:rsidRPr="003171CD">
        <w:rPr>
          <w:rFonts w:cs="Times"/>
          <w:lang w:val="en-US"/>
        </w:rPr>
        <w:t>her son</w:t>
      </w:r>
      <w:r w:rsidR="00527CE7" w:rsidRPr="003171CD">
        <w:rPr>
          <w:rFonts w:cs="Times"/>
          <w:lang w:val="en-US"/>
        </w:rPr>
        <w:t>,</w:t>
      </w:r>
      <w:r w:rsidR="00377619" w:rsidRPr="003171CD">
        <w:rPr>
          <w:rFonts w:cs="Times"/>
          <w:lang w:val="en-US"/>
        </w:rPr>
        <w:t xml:space="preserve"> </w:t>
      </w:r>
      <w:r w:rsidR="005A65CE" w:rsidRPr="003171CD">
        <w:rPr>
          <w:rFonts w:cs="Times"/>
          <w:lang w:val="en-US"/>
        </w:rPr>
        <w:t>Oscar Manuel Ruano Guevara</w:t>
      </w:r>
      <w:r w:rsidR="00377619" w:rsidRPr="003171CD">
        <w:rPr>
          <w:rFonts w:cs="Times"/>
          <w:lang w:val="en-US"/>
        </w:rPr>
        <w:t>, who was</w:t>
      </w:r>
      <w:r w:rsidR="005A65CE" w:rsidRPr="003171CD">
        <w:rPr>
          <w:rFonts w:cs="Times"/>
          <w:lang w:val="en-US"/>
        </w:rPr>
        <w:t xml:space="preserve"> </w:t>
      </w:r>
      <w:r w:rsidR="00FE39FA" w:rsidRPr="003171CD">
        <w:rPr>
          <w:rFonts w:cs="Times"/>
          <w:lang w:val="en-US"/>
        </w:rPr>
        <w:t>only</w:t>
      </w:r>
      <w:r w:rsidR="005A65CE" w:rsidRPr="003171CD">
        <w:rPr>
          <w:rFonts w:cs="Times"/>
          <w:lang w:val="en-US"/>
        </w:rPr>
        <w:t xml:space="preserve"> </w:t>
      </w:r>
      <w:r w:rsidR="00377619" w:rsidRPr="003171CD">
        <w:rPr>
          <w:rFonts w:cs="Times"/>
          <w:lang w:val="en-US"/>
        </w:rPr>
        <w:t>two years old</w:t>
      </w:r>
      <w:r w:rsidR="00527CE7" w:rsidRPr="003171CD">
        <w:rPr>
          <w:rFonts w:cs="Times"/>
          <w:lang w:val="en-US"/>
        </w:rPr>
        <w:t xml:space="preserve"> at the time</w:t>
      </w:r>
      <w:r w:rsidR="00377619" w:rsidRPr="003171CD">
        <w:rPr>
          <w:rFonts w:cs="Times"/>
          <w:lang w:val="en-US"/>
        </w:rPr>
        <w:t>,</w:t>
      </w:r>
      <w:r w:rsidR="005A65CE" w:rsidRPr="003171CD">
        <w:rPr>
          <w:vertAlign w:val="superscript"/>
          <w:lang w:val="en-US"/>
        </w:rPr>
        <w:footnoteReference w:id="266"/>
      </w:r>
      <w:r w:rsidR="005A65CE" w:rsidRPr="003171CD">
        <w:rPr>
          <w:rFonts w:cs="Times"/>
          <w:lang w:val="en-US"/>
        </w:rPr>
        <w:t xml:space="preserve"> </w:t>
      </w:r>
      <w:r w:rsidRPr="003171CD">
        <w:rPr>
          <w:rFonts w:cs="Times"/>
          <w:lang w:val="en-US"/>
        </w:rPr>
        <w:t xml:space="preserve">and that both </w:t>
      </w:r>
      <w:r w:rsidR="00A05466" w:rsidRPr="003171CD">
        <w:rPr>
          <w:rFonts w:cs="Times"/>
          <w:lang w:val="en-US"/>
        </w:rPr>
        <w:t xml:space="preserve">subsequently </w:t>
      </w:r>
      <w:r w:rsidR="005A65CE" w:rsidRPr="003171CD">
        <w:rPr>
          <w:rFonts w:cs="Times"/>
          <w:lang w:val="en-US"/>
        </w:rPr>
        <w:t>suf</w:t>
      </w:r>
      <w:r w:rsidR="00A05466" w:rsidRPr="003171CD">
        <w:rPr>
          <w:rFonts w:cs="Times"/>
          <w:lang w:val="en-US"/>
        </w:rPr>
        <w:t xml:space="preserve">fered </w:t>
      </w:r>
      <w:r w:rsidR="005A65CE" w:rsidRPr="003171CD">
        <w:rPr>
          <w:rFonts w:cs="Times"/>
          <w:lang w:val="en-US"/>
        </w:rPr>
        <w:t>psychol</w:t>
      </w:r>
      <w:r w:rsidR="00A05466" w:rsidRPr="003171CD">
        <w:rPr>
          <w:rFonts w:cs="Times"/>
          <w:lang w:val="en-US"/>
        </w:rPr>
        <w:t>ogical effects as a result of this</w:t>
      </w:r>
      <w:r w:rsidR="005A65CE" w:rsidRPr="003171CD">
        <w:rPr>
          <w:rFonts w:cs="Times"/>
          <w:lang w:val="en-US"/>
        </w:rPr>
        <w:t xml:space="preserve"> </w:t>
      </w:r>
      <w:r w:rsidR="00620D9F" w:rsidRPr="003171CD">
        <w:rPr>
          <w:rFonts w:cs="Times"/>
          <w:lang w:val="en-US"/>
        </w:rPr>
        <w:t>event</w:t>
      </w:r>
      <w:r w:rsidR="00A05466" w:rsidRPr="003171CD">
        <w:rPr>
          <w:rFonts w:cs="Times"/>
          <w:lang w:val="en-US"/>
        </w:rPr>
        <w:t>.</w:t>
      </w:r>
      <w:r w:rsidR="005A65CE" w:rsidRPr="003171CD">
        <w:rPr>
          <w:vertAlign w:val="superscript"/>
          <w:lang w:val="en-US"/>
        </w:rPr>
        <w:footnoteReference w:id="267"/>
      </w:r>
      <w:r w:rsidR="005A65CE" w:rsidRPr="003171CD">
        <w:rPr>
          <w:rFonts w:cs="Times"/>
          <w:lang w:val="en-US"/>
        </w:rPr>
        <w:t xml:space="preserve"> </w:t>
      </w:r>
      <w:r w:rsidRPr="003171CD">
        <w:rPr>
          <w:rFonts w:cs="Times"/>
          <w:lang w:val="en-US"/>
        </w:rPr>
        <w:t xml:space="preserve">The Court recalls that the </w:t>
      </w:r>
      <w:r w:rsidR="00897B7E" w:rsidRPr="003171CD">
        <w:rPr>
          <w:rFonts w:cs="Times"/>
          <w:lang w:val="en-US"/>
        </w:rPr>
        <w:t>fact</w:t>
      </w:r>
      <w:r w:rsidR="005A65CE" w:rsidRPr="003171CD">
        <w:rPr>
          <w:rFonts w:cs="Times"/>
          <w:lang w:val="en-US"/>
        </w:rPr>
        <w:t xml:space="preserve"> of ha</w:t>
      </w:r>
      <w:r w:rsidR="00A05466" w:rsidRPr="003171CD">
        <w:rPr>
          <w:rFonts w:cs="Times"/>
          <w:lang w:val="en-US"/>
        </w:rPr>
        <w:t xml:space="preserve">ving witnessed the arrest and </w:t>
      </w:r>
      <w:r w:rsidR="005A65CE" w:rsidRPr="003171CD">
        <w:rPr>
          <w:rFonts w:cs="Times"/>
          <w:lang w:val="en-US"/>
        </w:rPr>
        <w:t>mistreatment of a famil</w:t>
      </w:r>
      <w:r w:rsidR="00A05466" w:rsidRPr="003171CD">
        <w:rPr>
          <w:rFonts w:cs="Times"/>
          <w:lang w:val="en-US"/>
        </w:rPr>
        <w:t xml:space="preserve">y member can aggravate the </w:t>
      </w:r>
      <w:r w:rsidR="005A65CE" w:rsidRPr="003171CD">
        <w:rPr>
          <w:rFonts w:cs="Times"/>
          <w:lang w:val="en-US"/>
        </w:rPr>
        <w:t xml:space="preserve">emotional </w:t>
      </w:r>
      <w:r w:rsidRPr="003171CD">
        <w:rPr>
          <w:rFonts w:cs="Times"/>
          <w:lang w:val="en-US"/>
        </w:rPr>
        <w:t xml:space="preserve">damage </w:t>
      </w:r>
      <w:r w:rsidR="00A05466" w:rsidRPr="003171CD">
        <w:rPr>
          <w:rFonts w:cs="Times"/>
          <w:lang w:val="en-US"/>
        </w:rPr>
        <w:t>suffered by the next of kin.</w:t>
      </w:r>
      <w:r w:rsidR="005A65CE" w:rsidRPr="003171CD">
        <w:rPr>
          <w:vertAlign w:val="superscript"/>
          <w:lang w:val="en-US"/>
        </w:rPr>
        <w:footnoteReference w:id="268"/>
      </w:r>
    </w:p>
    <w:p w14:paraId="30F43874" w14:textId="77777777" w:rsidR="005A65CE" w:rsidRPr="003171CD" w:rsidRDefault="005A65CE" w:rsidP="005A65CE">
      <w:pPr>
        <w:autoSpaceDE/>
        <w:autoSpaceDN/>
        <w:adjustRightInd/>
        <w:contextualSpacing/>
        <w:jc w:val="both"/>
        <w:rPr>
          <w:rFonts w:eastAsia="Batang" w:cs="Times"/>
          <w:snapToGrid/>
          <w:szCs w:val="24"/>
          <w:lang w:val="en-US" w:eastAsia="en-US"/>
        </w:rPr>
      </w:pPr>
    </w:p>
    <w:p w14:paraId="24268EE3" w14:textId="77777777" w:rsidR="005A65CE" w:rsidRPr="003171CD" w:rsidRDefault="00527CE7" w:rsidP="005A65CE">
      <w:pPr>
        <w:pStyle w:val="Prrafodelista"/>
        <w:numPr>
          <w:ilvl w:val="0"/>
          <w:numId w:val="1"/>
        </w:numPr>
        <w:tabs>
          <w:tab w:val="left" w:pos="720"/>
          <w:tab w:val="num" w:pos="5057"/>
        </w:tabs>
        <w:ind w:right="-90"/>
        <w:jc w:val="both"/>
        <w:rPr>
          <w:szCs w:val="20"/>
          <w:lang w:val="en-US"/>
        </w:rPr>
      </w:pPr>
      <w:r w:rsidRPr="003171CD">
        <w:rPr>
          <w:rFonts w:cs="Times"/>
          <w:lang w:val="en-US"/>
        </w:rPr>
        <w:t>T</w:t>
      </w:r>
      <w:r w:rsidR="005A65CE" w:rsidRPr="003171CD">
        <w:rPr>
          <w:rFonts w:cs="Times"/>
          <w:lang w:val="en-US"/>
        </w:rPr>
        <w:t xml:space="preserve">he </w:t>
      </w:r>
      <w:r w:rsidRPr="003171CD">
        <w:rPr>
          <w:rFonts w:cs="Times"/>
          <w:lang w:val="en-US"/>
        </w:rPr>
        <w:t xml:space="preserve">evidence in the </w:t>
      </w:r>
      <w:r w:rsidR="002E723D" w:rsidRPr="003171CD">
        <w:rPr>
          <w:rFonts w:cs="Times"/>
          <w:lang w:val="en-US"/>
        </w:rPr>
        <w:t xml:space="preserve">case </w:t>
      </w:r>
      <w:r w:rsidR="005A65CE" w:rsidRPr="003171CD">
        <w:rPr>
          <w:rFonts w:cs="Times"/>
          <w:lang w:val="en-US"/>
        </w:rPr>
        <w:t xml:space="preserve">file </w:t>
      </w:r>
      <w:r w:rsidRPr="003171CD">
        <w:rPr>
          <w:rFonts w:cs="Times"/>
          <w:lang w:val="en-US"/>
        </w:rPr>
        <w:t xml:space="preserve">also shows </w:t>
      </w:r>
      <w:r w:rsidR="005A65CE" w:rsidRPr="003171CD">
        <w:rPr>
          <w:rFonts w:cs="Times"/>
          <w:lang w:val="en-US"/>
        </w:rPr>
        <w:t>that “during the</w:t>
      </w:r>
      <w:r w:rsidR="00987265" w:rsidRPr="003171CD">
        <w:rPr>
          <w:rFonts w:cs="Times"/>
          <w:lang w:val="en-US"/>
        </w:rPr>
        <w:t>se</w:t>
      </w:r>
      <w:r w:rsidR="005A65CE" w:rsidRPr="003171CD">
        <w:rPr>
          <w:rFonts w:cs="Times"/>
          <w:lang w:val="en-US"/>
        </w:rPr>
        <w:t xml:space="preserve"> </w:t>
      </w:r>
      <w:r w:rsidR="007250C0" w:rsidRPr="003171CD">
        <w:rPr>
          <w:rFonts w:cs="Times"/>
          <w:lang w:val="en-US"/>
        </w:rPr>
        <w:t>events his wife was always at his side, supporting him and visiting him at the prison until the la</w:t>
      </w:r>
      <w:r w:rsidR="002E723D" w:rsidRPr="003171CD">
        <w:rPr>
          <w:rFonts w:cs="Times"/>
          <w:lang w:val="en-US"/>
        </w:rPr>
        <w:t xml:space="preserve">st day </w:t>
      </w:r>
      <w:r w:rsidRPr="003171CD">
        <w:rPr>
          <w:rFonts w:cs="Times"/>
          <w:lang w:val="en-US"/>
        </w:rPr>
        <w:t>of his incarceration</w:t>
      </w:r>
      <w:r w:rsidR="002E723D" w:rsidRPr="003171CD">
        <w:rPr>
          <w:rFonts w:cs="Times"/>
          <w:lang w:val="en-GB"/>
        </w:rPr>
        <w:t>;</w:t>
      </w:r>
      <w:r w:rsidR="005A65CE" w:rsidRPr="003171CD">
        <w:rPr>
          <w:rFonts w:cs="Times"/>
          <w:lang w:val="en-US"/>
        </w:rPr>
        <w:t>”</w:t>
      </w:r>
      <w:r w:rsidR="005A65CE" w:rsidRPr="003171CD">
        <w:rPr>
          <w:vertAlign w:val="superscript"/>
          <w:lang w:val="en-US"/>
        </w:rPr>
        <w:footnoteReference w:id="269"/>
      </w:r>
      <w:r w:rsidR="005A65CE" w:rsidRPr="003171CD">
        <w:rPr>
          <w:rFonts w:cs="Times"/>
          <w:lang w:val="en-US"/>
        </w:rPr>
        <w:t xml:space="preserve"> </w:t>
      </w:r>
      <w:r w:rsidR="002E723D" w:rsidRPr="003171CD">
        <w:rPr>
          <w:rFonts w:cs="Times"/>
          <w:lang w:val="en-US"/>
        </w:rPr>
        <w:t xml:space="preserve">thus, </w:t>
      </w:r>
      <w:r w:rsidR="007250C0" w:rsidRPr="003171CD">
        <w:rPr>
          <w:rFonts w:cs="Times"/>
          <w:lang w:val="en-US"/>
        </w:rPr>
        <w:t xml:space="preserve">it </w:t>
      </w:r>
      <w:r w:rsidR="007250C0" w:rsidRPr="003171CD">
        <w:rPr>
          <w:rFonts w:cs="Times"/>
          <w:lang w:val="en-US"/>
        </w:rPr>
        <w:lastRenderedPageBreak/>
        <w:t>is clear that they</w:t>
      </w:r>
      <w:r w:rsidR="002E723D" w:rsidRPr="003171CD">
        <w:rPr>
          <w:rFonts w:cs="Times"/>
          <w:lang w:val="en-US"/>
        </w:rPr>
        <w:t xml:space="preserve"> </w:t>
      </w:r>
      <w:r w:rsidR="007250C0" w:rsidRPr="003171CD">
        <w:rPr>
          <w:rFonts w:cs="Times"/>
          <w:lang w:val="en-US"/>
        </w:rPr>
        <w:t>maintained close family ties</w:t>
      </w:r>
      <w:r w:rsidR="005A65CE" w:rsidRPr="003171CD">
        <w:rPr>
          <w:rFonts w:cs="Times"/>
          <w:lang w:val="en-US"/>
        </w:rPr>
        <w:t xml:space="preserve">. </w:t>
      </w:r>
      <w:r w:rsidR="002E723D" w:rsidRPr="003171CD">
        <w:rPr>
          <w:rFonts w:cs="Times"/>
          <w:lang w:val="en-US"/>
        </w:rPr>
        <w:t xml:space="preserve">Furthermore, there is </w:t>
      </w:r>
      <w:r w:rsidR="006A7B69" w:rsidRPr="003171CD">
        <w:rPr>
          <w:rFonts w:cs="Times"/>
          <w:lang w:val="en-US"/>
        </w:rPr>
        <w:t xml:space="preserve">evidence </w:t>
      </w:r>
      <w:r w:rsidR="00620D9F" w:rsidRPr="003171CD">
        <w:rPr>
          <w:rFonts w:cs="Times"/>
          <w:lang w:val="en-US"/>
        </w:rPr>
        <w:t>that the violation</w:t>
      </w:r>
      <w:r w:rsidR="006A7B69" w:rsidRPr="003171CD">
        <w:rPr>
          <w:rFonts w:cs="Times"/>
          <w:lang w:val="en-US"/>
        </w:rPr>
        <w:t xml:space="preserve"> of</w:t>
      </w:r>
      <w:r w:rsidR="005A65CE" w:rsidRPr="003171CD">
        <w:rPr>
          <w:rFonts w:cs="Times"/>
          <w:lang w:val="en-US"/>
        </w:rPr>
        <w:t xml:space="preserve"> </w:t>
      </w:r>
      <w:r w:rsidR="00E755FC" w:rsidRPr="003171CD">
        <w:rPr>
          <w:rFonts w:cs="Times"/>
          <w:lang w:val="en-US"/>
        </w:rPr>
        <w:t>Mr</w:t>
      </w:r>
      <w:r w:rsidR="005A65CE" w:rsidRPr="003171CD">
        <w:rPr>
          <w:rFonts w:cs="Times"/>
          <w:lang w:val="en-US"/>
        </w:rPr>
        <w:t>. Ruano Torres</w:t>
      </w:r>
      <w:r w:rsidR="006A7B69" w:rsidRPr="003171CD">
        <w:rPr>
          <w:rFonts w:cs="Times"/>
          <w:lang w:val="en-US"/>
        </w:rPr>
        <w:t>’ right</w:t>
      </w:r>
      <w:r w:rsidR="002E723D" w:rsidRPr="003171CD">
        <w:rPr>
          <w:rFonts w:cs="Times"/>
          <w:lang w:val="en-US"/>
        </w:rPr>
        <w:t>s</w:t>
      </w:r>
      <w:r w:rsidR="005A65CE" w:rsidRPr="003171CD">
        <w:rPr>
          <w:rFonts w:cs="Times"/>
          <w:lang w:val="en-US"/>
        </w:rPr>
        <w:t xml:space="preserve"> </w:t>
      </w:r>
      <w:r w:rsidR="006A7B69" w:rsidRPr="003171CD">
        <w:rPr>
          <w:rFonts w:cs="Times"/>
          <w:lang w:val="en-US"/>
        </w:rPr>
        <w:t xml:space="preserve">had </w:t>
      </w:r>
      <w:r w:rsidR="00620D9F" w:rsidRPr="003171CD">
        <w:rPr>
          <w:rFonts w:cs="Times"/>
          <w:lang w:val="en-US"/>
        </w:rPr>
        <w:t xml:space="preserve">a major impact </w:t>
      </w:r>
      <w:r w:rsidR="006A7B69" w:rsidRPr="003171CD">
        <w:rPr>
          <w:rFonts w:cs="Times"/>
          <w:lang w:val="en-US"/>
        </w:rPr>
        <w:t>on her life</w:t>
      </w:r>
      <w:r w:rsidR="005A65CE" w:rsidRPr="003171CD">
        <w:rPr>
          <w:rFonts w:cs="Times"/>
          <w:szCs w:val="20"/>
          <w:lang w:val="en-US"/>
        </w:rPr>
        <w:t>:</w:t>
      </w:r>
    </w:p>
    <w:p w14:paraId="76445EA6" w14:textId="77777777" w:rsidR="005A65CE" w:rsidRPr="003171CD" w:rsidRDefault="005A65CE" w:rsidP="005A65CE">
      <w:pPr>
        <w:ind w:left="720" w:right="720"/>
        <w:contextualSpacing/>
        <w:jc w:val="both"/>
        <w:rPr>
          <w:rFonts w:eastAsia="Batang" w:cs="Times"/>
          <w:bCs/>
          <w:snapToGrid/>
          <w:lang w:val="en-US" w:eastAsia="en-US"/>
        </w:rPr>
      </w:pPr>
    </w:p>
    <w:p w14:paraId="37EFEB62" w14:textId="77777777" w:rsidR="005A65CE" w:rsidRPr="003171CD" w:rsidRDefault="002E723D" w:rsidP="005A65CE">
      <w:pPr>
        <w:ind w:left="720" w:right="582"/>
        <w:contextualSpacing/>
        <w:jc w:val="both"/>
        <w:rPr>
          <w:rFonts w:eastAsia="Batang" w:cs="Times"/>
          <w:bCs/>
          <w:snapToGrid/>
          <w:sz w:val="16"/>
          <w:szCs w:val="16"/>
          <w:lang w:val="en-US" w:eastAsia="en-US"/>
        </w:rPr>
      </w:pPr>
      <w:r w:rsidRPr="003171CD">
        <w:rPr>
          <w:rFonts w:eastAsia="Batang" w:cs="Times"/>
          <w:bCs/>
          <w:snapToGrid/>
          <w:sz w:val="16"/>
          <w:szCs w:val="16"/>
          <w:lang w:val="en-US" w:eastAsia="en-US"/>
        </w:rPr>
        <w:t>[A</w:t>
      </w:r>
      <w:r w:rsidR="005A65CE" w:rsidRPr="003171CD">
        <w:rPr>
          <w:rFonts w:eastAsia="Batang" w:cs="Times"/>
          <w:bCs/>
          <w:snapToGrid/>
          <w:sz w:val="16"/>
          <w:szCs w:val="16"/>
          <w:lang w:val="en-US" w:eastAsia="en-US"/>
        </w:rPr>
        <w:t>]</w:t>
      </w:r>
      <w:r w:rsidRPr="003171CD">
        <w:rPr>
          <w:rFonts w:eastAsia="Batang" w:cs="Times"/>
          <w:bCs/>
          <w:snapToGrid/>
          <w:sz w:val="16"/>
          <w:szCs w:val="16"/>
          <w:lang w:val="en-US" w:eastAsia="en-US"/>
        </w:rPr>
        <w:t xml:space="preserve">s a </w:t>
      </w:r>
      <w:r w:rsidR="005A65CE" w:rsidRPr="003171CD">
        <w:rPr>
          <w:rFonts w:eastAsia="Batang" w:cs="Times"/>
          <w:bCs/>
          <w:snapToGrid/>
          <w:sz w:val="16"/>
          <w:szCs w:val="16"/>
          <w:lang w:val="en-US" w:eastAsia="en-US"/>
        </w:rPr>
        <w:t>conse</w:t>
      </w:r>
      <w:r w:rsidR="007250C0" w:rsidRPr="003171CD">
        <w:rPr>
          <w:rFonts w:eastAsia="Batang" w:cs="Times"/>
          <w:bCs/>
          <w:snapToGrid/>
          <w:sz w:val="16"/>
          <w:szCs w:val="16"/>
          <w:lang w:val="en-US" w:eastAsia="en-US"/>
        </w:rPr>
        <w:t xml:space="preserve">quence </w:t>
      </w:r>
      <w:r w:rsidR="005A65CE" w:rsidRPr="003171CD">
        <w:rPr>
          <w:rFonts w:eastAsia="Batang" w:cs="Times"/>
          <w:bCs/>
          <w:snapToGrid/>
          <w:sz w:val="16"/>
          <w:szCs w:val="16"/>
          <w:lang w:val="en-US" w:eastAsia="en-US"/>
        </w:rPr>
        <w:t xml:space="preserve">of the irregular </w:t>
      </w:r>
      <w:r w:rsidR="007250C0" w:rsidRPr="003171CD">
        <w:rPr>
          <w:rFonts w:eastAsia="Batang" w:cs="Times"/>
          <w:bCs/>
          <w:snapToGrid/>
          <w:sz w:val="16"/>
          <w:szCs w:val="16"/>
          <w:lang w:val="en-US" w:eastAsia="en-US"/>
        </w:rPr>
        <w:t xml:space="preserve">arrest </w:t>
      </w:r>
      <w:r w:rsidR="005A65CE" w:rsidRPr="003171CD">
        <w:rPr>
          <w:rFonts w:eastAsia="Batang" w:cs="Times"/>
          <w:bCs/>
          <w:snapToGrid/>
          <w:sz w:val="16"/>
          <w:szCs w:val="16"/>
          <w:lang w:val="en-US" w:eastAsia="en-US"/>
        </w:rPr>
        <w:t xml:space="preserve">and </w:t>
      </w:r>
      <w:r w:rsidR="006D65DA" w:rsidRPr="003171CD">
        <w:rPr>
          <w:rFonts w:eastAsia="Batang" w:cs="Times"/>
          <w:bCs/>
          <w:snapToGrid/>
          <w:sz w:val="16"/>
          <w:szCs w:val="16"/>
          <w:lang w:val="en-US" w:eastAsia="en-US"/>
        </w:rPr>
        <w:t>criminal trial</w:t>
      </w:r>
      <w:r w:rsidR="005A65CE" w:rsidRPr="003171CD">
        <w:rPr>
          <w:rFonts w:eastAsia="Batang" w:cs="Times"/>
          <w:bCs/>
          <w:snapToGrid/>
          <w:sz w:val="16"/>
          <w:szCs w:val="16"/>
          <w:lang w:val="en-US" w:eastAsia="en-US"/>
        </w:rPr>
        <w:t xml:space="preserve"> </w:t>
      </w:r>
      <w:r w:rsidRPr="003171CD">
        <w:rPr>
          <w:rFonts w:eastAsia="Batang" w:cs="Times"/>
          <w:bCs/>
          <w:snapToGrid/>
          <w:sz w:val="16"/>
          <w:szCs w:val="16"/>
          <w:lang w:val="en-US" w:eastAsia="en-US"/>
        </w:rPr>
        <w:t xml:space="preserve">initiated </w:t>
      </w:r>
      <w:r w:rsidR="005A65CE" w:rsidRPr="003171CD">
        <w:rPr>
          <w:rFonts w:eastAsia="Batang" w:cs="Times"/>
          <w:bCs/>
          <w:snapToGrid/>
          <w:sz w:val="16"/>
          <w:szCs w:val="16"/>
          <w:lang w:val="en-US" w:eastAsia="en-US"/>
        </w:rPr>
        <w:t xml:space="preserve">against </w:t>
      </w:r>
      <w:r w:rsidR="007250C0" w:rsidRPr="003171CD">
        <w:rPr>
          <w:rFonts w:eastAsia="Batang" w:cs="Times"/>
          <w:bCs/>
          <w:snapToGrid/>
          <w:sz w:val="16"/>
          <w:szCs w:val="16"/>
          <w:lang w:val="en-US" w:eastAsia="en-US"/>
        </w:rPr>
        <w:t>her husband, she has suffered from nerves, s</w:t>
      </w:r>
      <w:r w:rsidR="006A7B69" w:rsidRPr="003171CD">
        <w:rPr>
          <w:rFonts w:eastAsia="Batang" w:cs="Times"/>
          <w:bCs/>
          <w:snapToGrid/>
          <w:sz w:val="16"/>
          <w:szCs w:val="16"/>
          <w:lang w:val="en-US" w:eastAsia="en-US"/>
        </w:rPr>
        <w:t>tomach problems and</w:t>
      </w:r>
      <w:r w:rsidR="007250C0" w:rsidRPr="003171CD">
        <w:rPr>
          <w:rFonts w:eastAsia="Batang" w:cs="Times"/>
          <w:bCs/>
          <w:snapToGrid/>
          <w:sz w:val="16"/>
          <w:szCs w:val="16"/>
          <w:lang w:val="en-US" w:eastAsia="en-US"/>
        </w:rPr>
        <w:t xml:space="preserve"> nausea</w:t>
      </w:r>
      <w:r w:rsidR="005A65CE" w:rsidRPr="003171CD">
        <w:rPr>
          <w:rFonts w:eastAsia="Batang" w:cs="Times"/>
          <w:bCs/>
          <w:snapToGrid/>
          <w:sz w:val="16"/>
          <w:szCs w:val="16"/>
          <w:lang w:val="en-US" w:eastAsia="en-US"/>
        </w:rPr>
        <w:t xml:space="preserve"> and diarr</w:t>
      </w:r>
      <w:r w:rsidR="007250C0" w:rsidRPr="003171CD">
        <w:rPr>
          <w:rFonts w:eastAsia="Batang" w:cs="Times"/>
          <w:bCs/>
          <w:snapToGrid/>
          <w:sz w:val="16"/>
          <w:szCs w:val="16"/>
          <w:lang w:val="en-US" w:eastAsia="en-US"/>
        </w:rPr>
        <w:t>h</w:t>
      </w:r>
      <w:r w:rsidR="005A65CE" w:rsidRPr="003171CD">
        <w:rPr>
          <w:rFonts w:eastAsia="Batang" w:cs="Times"/>
          <w:bCs/>
          <w:snapToGrid/>
          <w:sz w:val="16"/>
          <w:szCs w:val="16"/>
          <w:lang w:val="en-US" w:eastAsia="en-US"/>
        </w:rPr>
        <w:t xml:space="preserve">ea. </w:t>
      </w:r>
      <w:r w:rsidR="006A7B69" w:rsidRPr="003171CD">
        <w:rPr>
          <w:rFonts w:eastAsia="Batang" w:cs="Times"/>
          <w:bCs/>
          <w:snapToGrid/>
          <w:sz w:val="16"/>
          <w:szCs w:val="16"/>
          <w:lang w:val="en-US" w:eastAsia="en-US"/>
        </w:rPr>
        <w:t xml:space="preserve">She </w:t>
      </w:r>
      <w:r w:rsidR="00527CE7" w:rsidRPr="003171CD">
        <w:rPr>
          <w:rFonts w:eastAsia="Batang" w:cs="Times"/>
          <w:bCs/>
          <w:snapToGrid/>
          <w:sz w:val="16"/>
          <w:szCs w:val="16"/>
          <w:lang w:val="en-US" w:eastAsia="en-US"/>
        </w:rPr>
        <w:t xml:space="preserve">felt </w:t>
      </w:r>
      <w:r w:rsidR="006A7B69" w:rsidRPr="003171CD">
        <w:rPr>
          <w:rFonts w:eastAsia="Batang" w:cs="Times"/>
          <w:bCs/>
          <w:snapToGrid/>
          <w:sz w:val="16"/>
          <w:szCs w:val="16"/>
          <w:lang w:val="en-US" w:eastAsia="en-US"/>
        </w:rPr>
        <w:t>fri</w:t>
      </w:r>
      <w:r w:rsidR="007250C0" w:rsidRPr="003171CD">
        <w:rPr>
          <w:rFonts w:eastAsia="Batang" w:cs="Times"/>
          <w:bCs/>
          <w:snapToGrid/>
          <w:sz w:val="16"/>
          <w:szCs w:val="16"/>
          <w:lang w:val="en-US" w:eastAsia="en-US"/>
        </w:rPr>
        <w:t>ghtened when</w:t>
      </w:r>
      <w:r w:rsidRPr="003171CD">
        <w:rPr>
          <w:rFonts w:eastAsia="Batang" w:cs="Times"/>
          <w:bCs/>
          <w:snapToGrid/>
          <w:sz w:val="16"/>
          <w:szCs w:val="16"/>
          <w:lang w:val="en-US" w:eastAsia="en-US"/>
        </w:rPr>
        <w:t>ever</w:t>
      </w:r>
      <w:r w:rsidR="007250C0" w:rsidRPr="003171CD">
        <w:rPr>
          <w:rFonts w:eastAsia="Batang" w:cs="Times"/>
          <w:bCs/>
          <w:snapToGrid/>
          <w:sz w:val="16"/>
          <w:szCs w:val="16"/>
          <w:lang w:val="en-US" w:eastAsia="en-US"/>
        </w:rPr>
        <w:t xml:space="preserve"> she saw </w:t>
      </w:r>
      <w:r w:rsidR="005A65CE" w:rsidRPr="003171CD">
        <w:rPr>
          <w:rFonts w:eastAsia="Batang" w:cs="Times"/>
          <w:bCs/>
          <w:snapToGrid/>
          <w:sz w:val="16"/>
          <w:szCs w:val="16"/>
          <w:lang w:val="en-US" w:eastAsia="en-US"/>
        </w:rPr>
        <w:t xml:space="preserve">police agents in the </w:t>
      </w:r>
      <w:r w:rsidR="007250C0" w:rsidRPr="003171CD">
        <w:rPr>
          <w:rFonts w:eastAsia="Batang" w:cs="Times"/>
          <w:bCs/>
          <w:snapToGrid/>
          <w:sz w:val="16"/>
          <w:szCs w:val="16"/>
          <w:lang w:val="en-US" w:eastAsia="en-US"/>
        </w:rPr>
        <w:t xml:space="preserve">street </w:t>
      </w:r>
      <w:r w:rsidR="005A65CE" w:rsidRPr="003171CD">
        <w:rPr>
          <w:rFonts w:eastAsia="Batang" w:cs="Times"/>
          <w:bCs/>
          <w:snapToGrid/>
          <w:sz w:val="16"/>
          <w:szCs w:val="16"/>
          <w:lang w:val="en-US" w:eastAsia="en-US"/>
        </w:rPr>
        <w:t>b</w:t>
      </w:r>
      <w:r w:rsidR="007250C0" w:rsidRPr="003171CD">
        <w:rPr>
          <w:rFonts w:eastAsia="Batang" w:cs="Times"/>
          <w:bCs/>
          <w:snapToGrid/>
          <w:sz w:val="16"/>
          <w:szCs w:val="16"/>
          <w:lang w:val="en-US" w:eastAsia="en-US"/>
        </w:rPr>
        <w:t xml:space="preserve">ecause of </w:t>
      </w:r>
      <w:r w:rsidR="005A65CE" w:rsidRPr="003171CD">
        <w:rPr>
          <w:rFonts w:eastAsia="Batang" w:cs="Times"/>
          <w:bCs/>
          <w:snapToGrid/>
          <w:sz w:val="16"/>
          <w:szCs w:val="16"/>
          <w:lang w:val="en-US" w:eastAsia="en-US"/>
        </w:rPr>
        <w:t xml:space="preserve">the injustices </w:t>
      </w:r>
      <w:r w:rsidR="007250C0" w:rsidRPr="003171CD">
        <w:rPr>
          <w:rFonts w:eastAsia="Batang" w:cs="Times"/>
          <w:bCs/>
          <w:snapToGrid/>
          <w:sz w:val="16"/>
          <w:szCs w:val="16"/>
          <w:lang w:val="en-US" w:eastAsia="en-US"/>
        </w:rPr>
        <w:t>done to her husband</w:t>
      </w:r>
      <w:r w:rsidR="005A65CE" w:rsidRPr="003171CD">
        <w:rPr>
          <w:rFonts w:eastAsia="Batang" w:cs="Times"/>
          <w:bCs/>
          <w:snapToGrid/>
          <w:sz w:val="16"/>
          <w:szCs w:val="16"/>
          <w:lang w:val="en-US" w:eastAsia="en-US"/>
        </w:rPr>
        <w:t xml:space="preserve">. </w:t>
      </w:r>
      <w:r w:rsidR="007250C0" w:rsidRPr="003171CD">
        <w:rPr>
          <w:rFonts w:eastAsia="Batang" w:cs="Times"/>
          <w:bCs/>
          <w:snapToGrid/>
          <w:sz w:val="16"/>
          <w:szCs w:val="16"/>
          <w:lang w:val="en-US" w:eastAsia="en-US"/>
        </w:rPr>
        <w:t xml:space="preserve">She had problems sleeping and had nightmares that </w:t>
      </w:r>
      <w:r w:rsidR="006A7B69" w:rsidRPr="003171CD">
        <w:rPr>
          <w:rFonts w:eastAsia="Batang" w:cs="Times"/>
          <w:bCs/>
          <w:snapToGrid/>
          <w:sz w:val="16"/>
          <w:szCs w:val="16"/>
          <w:lang w:val="en-US" w:eastAsia="en-US"/>
        </w:rPr>
        <w:t xml:space="preserve">they were </w:t>
      </w:r>
      <w:r w:rsidRPr="003171CD">
        <w:rPr>
          <w:rFonts w:eastAsia="Batang" w:cs="Times"/>
          <w:bCs/>
          <w:snapToGrid/>
          <w:sz w:val="16"/>
          <w:szCs w:val="16"/>
          <w:lang w:val="en-US" w:eastAsia="en-US"/>
        </w:rPr>
        <w:t xml:space="preserve">banging on </w:t>
      </w:r>
      <w:r w:rsidR="00527CE7" w:rsidRPr="003171CD">
        <w:rPr>
          <w:rFonts w:eastAsia="Batang" w:cs="Times"/>
          <w:bCs/>
          <w:snapToGrid/>
          <w:sz w:val="16"/>
          <w:szCs w:val="16"/>
          <w:lang w:val="en-US" w:eastAsia="en-US"/>
        </w:rPr>
        <w:t>her</w:t>
      </w:r>
      <w:r w:rsidR="005A65CE" w:rsidRPr="003171CD">
        <w:rPr>
          <w:rFonts w:eastAsia="Batang" w:cs="Times"/>
          <w:bCs/>
          <w:snapToGrid/>
          <w:sz w:val="16"/>
          <w:szCs w:val="16"/>
          <w:lang w:val="en-US" w:eastAsia="en-US"/>
        </w:rPr>
        <w:t xml:space="preserve"> </w:t>
      </w:r>
      <w:r w:rsidR="00620D9F" w:rsidRPr="003171CD">
        <w:rPr>
          <w:rFonts w:eastAsia="Batang" w:cs="Times"/>
          <w:bCs/>
          <w:snapToGrid/>
          <w:sz w:val="16"/>
          <w:szCs w:val="16"/>
          <w:lang w:val="en-US" w:eastAsia="en-US"/>
        </w:rPr>
        <w:t>door</w:t>
      </w:r>
      <w:r w:rsidR="005A65CE" w:rsidRPr="003171CD">
        <w:rPr>
          <w:rFonts w:eastAsia="Batang" w:cs="Times"/>
          <w:bCs/>
          <w:snapToGrid/>
          <w:sz w:val="16"/>
          <w:szCs w:val="16"/>
          <w:lang w:val="en-US" w:eastAsia="en-US"/>
        </w:rPr>
        <w:t>. S</w:t>
      </w:r>
      <w:r w:rsidR="00D248BF" w:rsidRPr="003171CD">
        <w:rPr>
          <w:rFonts w:eastAsia="Batang" w:cs="Times"/>
          <w:bCs/>
          <w:snapToGrid/>
          <w:sz w:val="16"/>
          <w:szCs w:val="16"/>
          <w:lang w:val="en-US" w:eastAsia="en-US"/>
        </w:rPr>
        <w:t>he f</w:t>
      </w:r>
      <w:r w:rsidR="006A7B69" w:rsidRPr="003171CD">
        <w:rPr>
          <w:rFonts w:eastAsia="Batang" w:cs="Times"/>
          <w:bCs/>
          <w:snapToGrid/>
          <w:sz w:val="16"/>
          <w:szCs w:val="16"/>
          <w:lang w:val="en-US" w:eastAsia="en-US"/>
        </w:rPr>
        <w:t>el</w:t>
      </w:r>
      <w:r w:rsidR="00D248BF" w:rsidRPr="003171CD">
        <w:rPr>
          <w:rFonts w:eastAsia="Batang" w:cs="Times"/>
          <w:bCs/>
          <w:snapToGrid/>
          <w:sz w:val="16"/>
          <w:szCs w:val="16"/>
          <w:lang w:val="en-US" w:eastAsia="en-US"/>
        </w:rPr>
        <w:t xml:space="preserve">t very lonely and missed </w:t>
      </w:r>
      <w:r w:rsidR="005A65CE" w:rsidRPr="003171CD">
        <w:rPr>
          <w:rFonts w:eastAsia="Batang" w:cs="Times"/>
          <w:bCs/>
          <w:snapToGrid/>
          <w:sz w:val="16"/>
          <w:szCs w:val="16"/>
          <w:lang w:val="en-US" w:eastAsia="en-US"/>
        </w:rPr>
        <w:t xml:space="preserve">the </w:t>
      </w:r>
      <w:r w:rsidR="00527CE7" w:rsidRPr="003171CD">
        <w:rPr>
          <w:rFonts w:eastAsia="Batang" w:cs="Times"/>
          <w:bCs/>
          <w:snapToGrid/>
          <w:sz w:val="16"/>
          <w:szCs w:val="16"/>
          <w:lang w:val="en-US" w:eastAsia="en-US"/>
        </w:rPr>
        <w:t xml:space="preserve">love </w:t>
      </w:r>
      <w:r w:rsidR="005A65CE" w:rsidRPr="003171CD">
        <w:rPr>
          <w:rFonts w:eastAsia="Batang" w:cs="Times"/>
          <w:bCs/>
          <w:snapToGrid/>
          <w:sz w:val="16"/>
          <w:szCs w:val="16"/>
          <w:lang w:val="en-US" w:eastAsia="en-US"/>
        </w:rPr>
        <w:t xml:space="preserve">of </w:t>
      </w:r>
      <w:r w:rsidR="00D248BF" w:rsidRPr="003171CD">
        <w:rPr>
          <w:rFonts w:eastAsia="Batang" w:cs="Times"/>
          <w:bCs/>
          <w:snapToGrid/>
          <w:sz w:val="16"/>
          <w:szCs w:val="16"/>
          <w:lang w:val="en-US" w:eastAsia="en-US"/>
        </w:rPr>
        <w:t>her husband</w:t>
      </w:r>
      <w:r w:rsidR="005A65CE" w:rsidRPr="003171CD">
        <w:rPr>
          <w:rFonts w:eastAsia="Batang" w:cs="Times"/>
          <w:bCs/>
          <w:snapToGrid/>
          <w:sz w:val="16"/>
          <w:szCs w:val="16"/>
          <w:lang w:val="en-US" w:eastAsia="en-US"/>
        </w:rPr>
        <w:t>. S</w:t>
      </w:r>
      <w:r w:rsidR="007250C0" w:rsidRPr="003171CD">
        <w:rPr>
          <w:rFonts w:eastAsia="Batang" w:cs="Times"/>
          <w:bCs/>
          <w:snapToGrid/>
          <w:sz w:val="16"/>
          <w:szCs w:val="16"/>
          <w:lang w:val="en-US" w:eastAsia="en-US"/>
        </w:rPr>
        <w:t xml:space="preserve">he suffered from </w:t>
      </w:r>
      <w:r w:rsidR="005A65CE" w:rsidRPr="003171CD">
        <w:rPr>
          <w:rFonts w:eastAsia="Batang" w:cs="Times"/>
          <w:bCs/>
          <w:snapToGrid/>
          <w:sz w:val="16"/>
          <w:szCs w:val="16"/>
          <w:lang w:val="en-US" w:eastAsia="en-US"/>
        </w:rPr>
        <w:t>depre</w:t>
      </w:r>
      <w:r w:rsidR="007250C0" w:rsidRPr="003171CD">
        <w:rPr>
          <w:rFonts w:eastAsia="Batang" w:cs="Times"/>
          <w:bCs/>
          <w:snapToGrid/>
          <w:sz w:val="16"/>
          <w:szCs w:val="16"/>
          <w:lang w:val="en-US" w:eastAsia="en-US"/>
        </w:rPr>
        <w:t>s</w:t>
      </w:r>
      <w:r w:rsidR="005A65CE" w:rsidRPr="003171CD">
        <w:rPr>
          <w:rFonts w:eastAsia="Batang" w:cs="Times"/>
          <w:bCs/>
          <w:snapToGrid/>
          <w:sz w:val="16"/>
          <w:szCs w:val="16"/>
          <w:lang w:val="en-US" w:eastAsia="en-US"/>
        </w:rPr>
        <w:t xml:space="preserve">sion </w:t>
      </w:r>
      <w:r w:rsidR="007250C0" w:rsidRPr="003171CD">
        <w:rPr>
          <w:rFonts w:eastAsia="Batang" w:cs="Times"/>
          <w:bCs/>
          <w:snapToGrid/>
          <w:sz w:val="16"/>
          <w:szCs w:val="16"/>
          <w:lang w:val="en-US" w:eastAsia="en-US"/>
        </w:rPr>
        <w:t>for approximately six years and did not go to the doctor because she did not have enough money</w:t>
      </w:r>
      <w:r w:rsidR="00617363" w:rsidRPr="003171CD">
        <w:rPr>
          <w:rFonts w:eastAsia="Batang" w:cs="Times"/>
          <w:bCs/>
          <w:snapToGrid/>
          <w:sz w:val="16"/>
          <w:szCs w:val="16"/>
          <w:lang w:val="en-US" w:eastAsia="en-US"/>
        </w:rPr>
        <w:t>, so she</w:t>
      </w:r>
      <w:r w:rsidR="007250C0" w:rsidRPr="003171CD">
        <w:rPr>
          <w:rFonts w:eastAsia="Batang" w:cs="Times"/>
          <w:bCs/>
          <w:snapToGrid/>
          <w:sz w:val="16"/>
          <w:szCs w:val="16"/>
          <w:lang w:val="en-US" w:eastAsia="en-US"/>
        </w:rPr>
        <w:t xml:space="preserve"> bought </w:t>
      </w:r>
      <w:r w:rsidR="005A65CE" w:rsidRPr="003171CD">
        <w:rPr>
          <w:rFonts w:eastAsia="Batang" w:cs="Times"/>
          <w:bCs/>
          <w:snapToGrid/>
          <w:sz w:val="16"/>
          <w:szCs w:val="16"/>
          <w:lang w:val="en-US" w:eastAsia="en-US"/>
        </w:rPr>
        <w:t>tranquiliz</w:t>
      </w:r>
      <w:r w:rsidR="007250C0" w:rsidRPr="003171CD">
        <w:rPr>
          <w:rFonts w:eastAsia="Batang" w:cs="Times"/>
          <w:bCs/>
          <w:snapToGrid/>
          <w:sz w:val="16"/>
          <w:szCs w:val="16"/>
          <w:lang w:val="en-US" w:eastAsia="en-US"/>
        </w:rPr>
        <w:t>ers at the pharmacy</w:t>
      </w:r>
      <w:r w:rsidR="005A65CE" w:rsidRPr="003171CD">
        <w:rPr>
          <w:rFonts w:eastAsia="Batang" w:cs="Times"/>
          <w:bCs/>
          <w:snapToGrid/>
          <w:sz w:val="16"/>
          <w:szCs w:val="16"/>
          <w:lang w:val="en-US" w:eastAsia="en-US"/>
        </w:rPr>
        <w:t xml:space="preserve">. </w:t>
      </w:r>
      <w:r w:rsidR="007250C0" w:rsidRPr="003171CD">
        <w:rPr>
          <w:rFonts w:eastAsia="Batang" w:cs="Times"/>
          <w:bCs/>
          <w:snapToGrid/>
          <w:sz w:val="16"/>
          <w:szCs w:val="16"/>
          <w:lang w:val="en-US" w:eastAsia="en-US"/>
        </w:rPr>
        <w:t xml:space="preserve">She faced her pregnancy practically alone. </w:t>
      </w:r>
      <w:r w:rsidR="00527CE7" w:rsidRPr="003171CD">
        <w:rPr>
          <w:rFonts w:eastAsia="Batang" w:cs="Times"/>
          <w:bCs/>
          <w:snapToGrid/>
          <w:sz w:val="16"/>
          <w:szCs w:val="16"/>
          <w:lang w:val="en-US" w:eastAsia="en-US"/>
        </w:rPr>
        <w:t xml:space="preserve">She also felt </w:t>
      </w:r>
      <w:r w:rsidR="007250C0" w:rsidRPr="003171CD">
        <w:rPr>
          <w:rFonts w:eastAsia="Batang" w:cs="Times"/>
          <w:bCs/>
          <w:snapToGrid/>
          <w:sz w:val="16"/>
          <w:szCs w:val="16"/>
          <w:lang w:val="en-US" w:eastAsia="en-US"/>
        </w:rPr>
        <w:t>shame</w:t>
      </w:r>
      <w:r w:rsidR="005A65CE" w:rsidRPr="003171CD">
        <w:rPr>
          <w:rFonts w:eastAsia="Batang" w:cs="Times"/>
          <w:bCs/>
          <w:snapToGrid/>
          <w:sz w:val="16"/>
          <w:szCs w:val="16"/>
          <w:lang w:val="en-US" w:eastAsia="en-US"/>
        </w:rPr>
        <w:t xml:space="preserve">, </w:t>
      </w:r>
      <w:r w:rsidR="007250C0" w:rsidRPr="003171CD">
        <w:rPr>
          <w:rFonts w:eastAsia="Batang" w:cs="Times"/>
          <w:bCs/>
          <w:snapToGrid/>
          <w:sz w:val="16"/>
          <w:szCs w:val="16"/>
          <w:lang w:val="en-US" w:eastAsia="en-US"/>
        </w:rPr>
        <w:t xml:space="preserve">discomfort and </w:t>
      </w:r>
      <w:r w:rsidR="006A7B69" w:rsidRPr="003171CD">
        <w:rPr>
          <w:rFonts w:eastAsia="Batang" w:cs="Times"/>
          <w:bCs/>
          <w:snapToGrid/>
          <w:sz w:val="16"/>
          <w:szCs w:val="16"/>
          <w:lang w:val="en-US" w:eastAsia="en-US"/>
        </w:rPr>
        <w:t xml:space="preserve">nervousness </w:t>
      </w:r>
      <w:r w:rsidR="007E648B" w:rsidRPr="003171CD">
        <w:rPr>
          <w:rFonts w:eastAsia="Batang" w:cs="Times"/>
          <w:bCs/>
          <w:snapToGrid/>
          <w:sz w:val="16"/>
          <w:szCs w:val="16"/>
          <w:lang w:val="en-US" w:eastAsia="en-US"/>
        </w:rPr>
        <w:t xml:space="preserve">at </w:t>
      </w:r>
      <w:r w:rsidR="00527CE7" w:rsidRPr="003171CD">
        <w:rPr>
          <w:rFonts w:eastAsia="Batang" w:cs="Times"/>
          <w:bCs/>
          <w:snapToGrid/>
          <w:sz w:val="16"/>
          <w:szCs w:val="16"/>
          <w:lang w:val="en-US" w:eastAsia="en-US"/>
        </w:rPr>
        <w:t xml:space="preserve">having her private parts </w:t>
      </w:r>
      <w:r w:rsidR="007E648B" w:rsidRPr="003171CD">
        <w:rPr>
          <w:rFonts w:eastAsia="Batang" w:cs="Times"/>
          <w:bCs/>
          <w:snapToGrid/>
          <w:sz w:val="16"/>
          <w:szCs w:val="16"/>
          <w:lang w:val="en-US" w:eastAsia="en-US"/>
        </w:rPr>
        <w:t xml:space="preserve">abusively searched </w:t>
      </w:r>
      <w:r w:rsidR="005A65CE" w:rsidRPr="003171CD">
        <w:rPr>
          <w:rFonts w:eastAsia="Batang" w:cs="Times"/>
          <w:bCs/>
          <w:snapToGrid/>
          <w:sz w:val="16"/>
          <w:szCs w:val="16"/>
          <w:lang w:val="en-US" w:eastAsia="en-US"/>
        </w:rPr>
        <w:t xml:space="preserve">when </w:t>
      </w:r>
      <w:r w:rsidR="007250C0" w:rsidRPr="003171CD">
        <w:rPr>
          <w:rFonts w:eastAsia="Batang" w:cs="Times"/>
          <w:bCs/>
          <w:snapToGrid/>
          <w:sz w:val="16"/>
          <w:szCs w:val="16"/>
          <w:lang w:val="en-US" w:eastAsia="en-US"/>
        </w:rPr>
        <w:t xml:space="preserve">she visited her husband </w:t>
      </w:r>
      <w:r w:rsidR="005A65CE" w:rsidRPr="003171CD">
        <w:rPr>
          <w:rFonts w:eastAsia="Batang" w:cs="Times"/>
          <w:bCs/>
          <w:snapToGrid/>
          <w:sz w:val="16"/>
          <w:szCs w:val="16"/>
          <w:lang w:val="en-US" w:eastAsia="en-US"/>
        </w:rPr>
        <w:t xml:space="preserve">in </w:t>
      </w:r>
      <w:r w:rsidR="00620D9F" w:rsidRPr="003171CD">
        <w:rPr>
          <w:rFonts w:eastAsia="Batang" w:cs="Times"/>
          <w:bCs/>
          <w:snapToGrid/>
          <w:sz w:val="16"/>
          <w:szCs w:val="16"/>
          <w:lang w:val="en-US" w:eastAsia="en-US"/>
        </w:rPr>
        <w:t>prison</w:t>
      </w:r>
      <w:r w:rsidR="007250C0" w:rsidRPr="003171CD">
        <w:rPr>
          <w:rFonts w:eastAsia="Batang" w:cs="Times"/>
          <w:bCs/>
          <w:snapToGrid/>
          <w:sz w:val="16"/>
          <w:szCs w:val="16"/>
          <w:lang w:val="en-US" w:eastAsia="en-US"/>
        </w:rPr>
        <w:t>.</w:t>
      </w:r>
      <w:r w:rsidR="005A65CE" w:rsidRPr="003171CD">
        <w:rPr>
          <w:rFonts w:eastAsia="Batang" w:cs="Times New Roman"/>
          <w:bCs/>
          <w:snapToGrid/>
          <w:sz w:val="16"/>
          <w:szCs w:val="16"/>
          <w:vertAlign w:val="superscript"/>
          <w:lang w:val="en-US" w:eastAsia="en-US"/>
        </w:rPr>
        <w:footnoteReference w:id="270"/>
      </w:r>
      <w:r w:rsidR="005A65CE" w:rsidRPr="003171CD">
        <w:rPr>
          <w:rFonts w:eastAsia="Batang" w:cs="Times"/>
          <w:bCs/>
          <w:snapToGrid/>
          <w:sz w:val="16"/>
          <w:szCs w:val="16"/>
          <w:lang w:val="en-US" w:eastAsia="en-US"/>
        </w:rPr>
        <w:t xml:space="preserve"> </w:t>
      </w:r>
    </w:p>
    <w:p w14:paraId="0A25E9CB" w14:textId="77777777" w:rsidR="005A65CE" w:rsidRPr="003171CD" w:rsidRDefault="005A65CE" w:rsidP="005A65CE">
      <w:pPr>
        <w:pStyle w:val="Prrafodelista"/>
        <w:tabs>
          <w:tab w:val="left" w:pos="720"/>
        </w:tabs>
        <w:ind w:left="0" w:right="-90"/>
        <w:contextualSpacing/>
        <w:jc w:val="both"/>
        <w:rPr>
          <w:szCs w:val="20"/>
          <w:lang w:val="en-US"/>
        </w:rPr>
      </w:pPr>
    </w:p>
    <w:p w14:paraId="6B86C664" w14:textId="77777777" w:rsidR="005A65CE" w:rsidRPr="003171CD" w:rsidRDefault="007250C0" w:rsidP="005A65CE">
      <w:pPr>
        <w:pStyle w:val="Prrafodelista"/>
        <w:numPr>
          <w:ilvl w:val="0"/>
          <w:numId w:val="1"/>
        </w:numPr>
        <w:tabs>
          <w:tab w:val="left" w:pos="720"/>
          <w:tab w:val="num" w:pos="5057"/>
        </w:tabs>
        <w:ind w:right="-90"/>
        <w:jc w:val="both"/>
        <w:rPr>
          <w:sz w:val="16"/>
          <w:lang w:val="en-US"/>
        </w:rPr>
      </w:pPr>
      <w:r w:rsidRPr="003171CD">
        <w:rPr>
          <w:rFonts w:cs="Times"/>
          <w:bCs/>
          <w:lang w:val="en-US"/>
        </w:rPr>
        <w:t>The Court notes that Mrs.</w:t>
      </w:r>
      <w:r w:rsidR="006A7B69" w:rsidRPr="003171CD">
        <w:rPr>
          <w:rFonts w:cs="Times"/>
          <w:bCs/>
          <w:lang w:val="en-US"/>
        </w:rPr>
        <w:t xml:space="preserve"> </w:t>
      </w:r>
      <w:r w:rsidRPr="003171CD">
        <w:rPr>
          <w:rFonts w:cs="Times"/>
          <w:bCs/>
          <w:lang w:val="en-US"/>
        </w:rPr>
        <w:t>Guevara de</w:t>
      </w:r>
      <w:r w:rsidR="005A65CE" w:rsidRPr="003171CD">
        <w:rPr>
          <w:rFonts w:cs="Times"/>
          <w:bCs/>
          <w:lang w:val="en-US"/>
        </w:rPr>
        <w:t xml:space="preserve"> Ruano </w:t>
      </w:r>
      <w:r w:rsidRPr="003171CD">
        <w:rPr>
          <w:rFonts w:cs="Times"/>
          <w:bCs/>
          <w:lang w:val="en-US"/>
        </w:rPr>
        <w:t xml:space="preserve">was also affected by </w:t>
      </w:r>
      <w:r w:rsidR="005A65CE" w:rsidRPr="003171CD">
        <w:rPr>
          <w:rFonts w:cs="Times"/>
          <w:bCs/>
          <w:lang w:val="en-US"/>
        </w:rPr>
        <w:t>the precari</w:t>
      </w:r>
      <w:r w:rsidRPr="003171CD">
        <w:rPr>
          <w:rFonts w:cs="Times"/>
          <w:bCs/>
          <w:lang w:val="en-US"/>
        </w:rPr>
        <w:t xml:space="preserve">ous prison </w:t>
      </w:r>
      <w:r w:rsidR="005A65CE" w:rsidRPr="003171CD">
        <w:rPr>
          <w:rFonts w:cs="Times"/>
          <w:bCs/>
          <w:lang w:val="en-US"/>
        </w:rPr>
        <w:t xml:space="preserve">conditions </w:t>
      </w:r>
      <w:r w:rsidRPr="003171CD">
        <w:rPr>
          <w:rFonts w:cs="Times"/>
          <w:bCs/>
          <w:lang w:val="en-US"/>
        </w:rPr>
        <w:t>endured by her husband</w:t>
      </w:r>
      <w:r w:rsidR="005A65CE" w:rsidRPr="003171CD">
        <w:rPr>
          <w:rFonts w:cs="Times"/>
          <w:bCs/>
          <w:lang w:val="en-US"/>
        </w:rPr>
        <w:t xml:space="preserve">. </w:t>
      </w:r>
      <w:r w:rsidRPr="003171CD">
        <w:rPr>
          <w:rFonts w:cs="Times"/>
          <w:bCs/>
          <w:lang w:val="en-US"/>
        </w:rPr>
        <w:t xml:space="preserve">When she visited him, she found him </w:t>
      </w:r>
      <w:r w:rsidR="005A65CE" w:rsidRPr="003171CD">
        <w:rPr>
          <w:rFonts w:cs="Times"/>
          <w:bCs/>
          <w:lang w:val="en-US"/>
        </w:rPr>
        <w:t>“depr</w:t>
      </w:r>
      <w:r w:rsidRPr="003171CD">
        <w:rPr>
          <w:rFonts w:cs="Times"/>
          <w:bCs/>
          <w:lang w:val="en-US"/>
        </w:rPr>
        <w:t>essed</w:t>
      </w:r>
      <w:r w:rsidR="005A65CE" w:rsidRPr="003171CD">
        <w:rPr>
          <w:rFonts w:cs="Times"/>
          <w:bCs/>
          <w:lang w:val="en-US"/>
        </w:rPr>
        <w:t xml:space="preserve">, </w:t>
      </w:r>
      <w:r w:rsidRPr="003171CD">
        <w:rPr>
          <w:rFonts w:cs="Times"/>
          <w:bCs/>
          <w:lang w:val="en-US"/>
        </w:rPr>
        <w:t xml:space="preserve">fearful, </w:t>
      </w:r>
      <w:r w:rsidR="00477039" w:rsidRPr="003171CD">
        <w:rPr>
          <w:rFonts w:cs="Times"/>
          <w:bCs/>
          <w:lang w:val="en-US"/>
        </w:rPr>
        <w:t xml:space="preserve">and </w:t>
      </w:r>
      <w:r w:rsidRPr="003171CD">
        <w:rPr>
          <w:rFonts w:cs="Times"/>
          <w:bCs/>
          <w:lang w:val="en-US"/>
        </w:rPr>
        <w:t>thin</w:t>
      </w:r>
      <w:r w:rsidR="00477039" w:rsidRPr="003171CD">
        <w:rPr>
          <w:rFonts w:cs="Times"/>
          <w:bCs/>
          <w:lang w:val="en-US"/>
        </w:rPr>
        <w:t>,</w:t>
      </w:r>
      <w:r w:rsidRPr="003171CD">
        <w:rPr>
          <w:rFonts w:cs="Times"/>
          <w:bCs/>
          <w:lang w:val="en-US"/>
        </w:rPr>
        <w:t xml:space="preserve"> with his face </w:t>
      </w:r>
      <w:r w:rsidR="00477039" w:rsidRPr="003171CD">
        <w:rPr>
          <w:rFonts w:cs="Times"/>
          <w:bCs/>
          <w:lang w:val="en-US"/>
        </w:rPr>
        <w:t xml:space="preserve">blotchy </w:t>
      </w:r>
      <w:r w:rsidR="003E19CD" w:rsidRPr="003171CD">
        <w:rPr>
          <w:rFonts w:cs="Times"/>
          <w:bCs/>
          <w:lang w:val="en-US"/>
        </w:rPr>
        <w:t xml:space="preserve">and </w:t>
      </w:r>
      <w:r w:rsidR="005A65CE" w:rsidRPr="003171CD">
        <w:rPr>
          <w:rFonts w:cs="Times"/>
          <w:bCs/>
          <w:lang w:val="en-US"/>
        </w:rPr>
        <w:t>p</w:t>
      </w:r>
      <w:r w:rsidRPr="003171CD">
        <w:rPr>
          <w:rFonts w:cs="Times"/>
          <w:bCs/>
          <w:lang w:val="en-US"/>
        </w:rPr>
        <w:t>ale</w:t>
      </w:r>
      <w:r w:rsidR="005A65CE" w:rsidRPr="003171CD">
        <w:rPr>
          <w:rFonts w:cs="Times"/>
          <w:bCs/>
          <w:lang w:val="en-US"/>
        </w:rPr>
        <w:t xml:space="preserve">” and </w:t>
      </w:r>
      <w:r w:rsidRPr="003171CD">
        <w:rPr>
          <w:rFonts w:cs="Times"/>
          <w:bCs/>
          <w:lang w:val="en-US"/>
        </w:rPr>
        <w:t xml:space="preserve">suffering from various skin </w:t>
      </w:r>
      <w:r w:rsidR="005A65CE" w:rsidRPr="003171CD">
        <w:rPr>
          <w:rFonts w:cs="Times"/>
          <w:bCs/>
          <w:lang w:val="en-US"/>
        </w:rPr>
        <w:t>conditions</w:t>
      </w:r>
      <w:r w:rsidRPr="003171CD">
        <w:rPr>
          <w:rFonts w:cs="Times"/>
          <w:bCs/>
          <w:lang w:val="en-US"/>
        </w:rPr>
        <w:t>.</w:t>
      </w:r>
      <w:r w:rsidR="005A65CE" w:rsidRPr="003171CD">
        <w:rPr>
          <w:bCs/>
          <w:vertAlign w:val="superscript"/>
          <w:lang w:val="en-US"/>
        </w:rPr>
        <w:footnoteReference w:id="271"/>
      </w:r>
      <w:r w:rsidR="005A65CE" w:rsidRPr="003171CD">
        <w:rPr>
          <w:rFonts w:cs="Times"/>
          <w:bCs/>
          <w:lang w:val="en-US"/>
        </w:rPr>
        <w:t xml:space="preserve"> </w:t>
      </w:r>
      <w:r w:rsidR="00617363" w:rsidRPr="003171CD">
        <w:rPr>
          <w:rFonts w:cs="Times"/>
          <w:bCs/>
          <w:lang w:val="en-US"/>
        </w:rPr>
        <w:t>S</w:t>
      </w:r>
      <w:r w:rsidR="006A7B69" w:rsidRPr="003171CD">
        <w:rPr>
          <w:rFonts w:cs="Times"/>
          <w:bCs/>
          <w:lang w:val="en-US"/>
        </w:rPr>
        <w:t>he also suffered fear</w:t>
      </w:r>
      <w:r w:rsidR="005A65CE" w:rsidRPr="003171CD">
        <w:rPr>
          <w:rFonts w:cs="Times"/>
          <w:bCs/>
          <w:lang w:val="en-US"/>
        </w:rPr>
        <w:t>, angu</w:t>
      </w:r>
      <w:r w:rsidRPr="003171CD">
        <w:rPr>
          <w:rFonts w:cs="Times"/>
          <w:bCs/>
          <w:lang w:val="en-US"/>
        </w:rPr>
        <w:t xml:space="preserve">ish and uncertainty </w:t>
      </w:r>
      <w:r w:rsidR="00617363" w:rsidRPr="003171CD">
        <w:rPr>
          <w:rFonts w:cs="Times"/>
          <w:bCs/>
          <w:lang w:val="en-US"/>
        </w:rPr>
        <w:t xml:space="preserve">after a </w:t>
      </w:r>
      <w:r w:rsidR="00477039" w:rsidRPr="003171CD">
        <w:rPr>
          <w:rFonts w:cs="Times"/>
          <w:bCs/>
          <w:lang w:val="en-US"/>
        </w:rPr>
        <w:t xml:space="preserve">mutiny </w:t>
      </w:r>
      <w:r w:rsidR="00617363" w:rsidRPr="003171CD">
        <w:rPr>
          <w:rFonts w:cs="Times"/>
          <w:bCs/>
          <w:lang w:val="en-US"/>
        </w:rPr>
        <w:t xml:space="preserve">took place </w:t>
      </w:r>
      <w:r w:rsidR="006A7B69" w:rsidRPr="003171CD">
        <w:rPr>
          <w:rFonts w:cs="Times"/>
          <w:bCs/>
          <w:lang w:val="en-US"/>
        </w:rPr>
        <w:t xml:space="preserve">in the prison where </w:t>
      </w:r>
      <w:r w:rsidR="005A65CE" w:rsidRPr="003171CD">
        <w:rPr>
          <w:rFonts w:cs="Times"/>
          <w:bCs/>
          <w:lang w:val="en-US"/>
        </w:rPr>
        <w:t xml:space="preserve">Mr. Ruano Torres </w:t>
      </w:r>
      <w:r w:rsidR="006A7B69" w:rsidRPr="003171CD">
        <w:rPr>
          <w:rFonts w:cs="Times"/>
          <w:bCs/>
          <w:lang w:val="en-US"/>
        </w:rPr>
        <w:t xml:space="preserve">was held </w:t>
      </w:r>
      <w:r w:rsidR="005A65CE" w:rsidRPr="003171CD">
        <w:rPr>
          <w:rFonts w:cs="Times"/>
          <w:bCs/>
          <w:lang w:val="en-US"/>
        </w:rPr>
        <w:t>in 2007 (</w:t>
      </w:r>
      <w:r w:rsidR="005A65CE" w:rsidRPr="003171CD">
        <w:rPr>
          <w:rFonts w:cs="Times"/>
          <w:bCs/>
          <w:i/>
          <w:lang w:val="en-US"/>
        </w:rPr>
        <w:t xml:space="preserve">supra </w:t>
      </w:r>
      <w:r w:rsidR="005A65CE" w:rsidRPr="003171CD">
        <w:rPr>
          <w:rFonts w:cs="Times"/>
          <w:bCs/>
          <w:lang w:val="en-US"/>
        </w:rPr>
        <w:t xml:space="preserve">para. 101). </w:t>
      </w:r>
      <w:r w:rsidR="006A7B69" w:rsidRPr="003171CD">
        <w:rPr>
          <w:rFonts w:cs="Times"/>
          <w:bCs/>
          <w:lang w:val="en-US"/>
        </w:rPr>
        <w:t>She stated that</w:t>
      </w:r>
      <w:r w:rsidR="005A65CE" w:rsidRPr="003171CD">
        <w:rPr>
          <w:rFonts w:cs="Times"/>
          <w:bCs/>
          <w:lang w:val="en-US"/>
        </w:rPr>
        <w:t>:</w:t>
      </w:r>
    </w:p>
    <w:p w14:paraId="2C75ECA1" w14:textId="77777777" w:rsidR="005A65CE" w:rsidRPr="003171CD" w:rsidRDefault="005A65CE" w:rsidP="005A65CE">
      <w:pPr>
        <w:ind w:left="720" w:right="720"/>
        <w:contextualSpacing/>
        <w:jc w:val="both"/>
        <w:rPr>
          <w:rFonts w:eastAsia="Batang" w:cs="Times"/>
          <w:bCs/>
          <w:snapToGrid/>
          <w:lang w:val="en-US" w:eastAsia="en-US"/>
        </w:rPr>
      </w:pPr>
    </w:p>
    <w:p w14:paraId="4303B188" w14:textId="77777777" w:rsidR="005A65CE" w:rsidRPr="003171CD" w:rsidRDefault="00D248BF" w:rsidP="005A65CE">
      <w:pPr>
        <w:ind w:left="720" w:right="582"/>
        <w:contextualSpacing/>
        <w:jc w:val="both"/>
        <w:rPr>
          <w:rFonts w:eastAsia="Batang" w:cs="Times"/>
          <w:bCs/>
          <w:snapToGrid/>
          <w:sz w:val="16"/>
          <w:szCs w:val="16"/>
          <w:lang w:val="en-US" w:eastAsia="en-US"/>
        </w:rPr>
      </w:pPr>
      <w:r w:rsidRPr="003171CD">
        <w:rPr>
          <w:rFonts w:eastAsia="Batang" w:cs="Times"/>
          <w:bCs/>
          <w:snapToGrid/>
          <w:sz w:val="16"/>
          <w:szCs w:val="16"/>
          <w:lang w:val="en-US" w:eastAsia="en-US"/>
        </w:rPr>
        <w:t xml:space="preserve">Twenty-five days after the </w:t>
      </w:r>
      <w:r w:rsidR="005A65CE" w:rsidRPr="003171CD">
        <w:rPr>
          <w:rFonts w:eastAsia="Batang" w:cs="Times"/>
          <w:bCs/>
          <w:snapToGrid/>
          <w:sz w:val="16"/>
          <w:szCs w:val="16"/>
          <w:lang w:val="en-US" w:eastAsia="en-US"/>
        </w:rPr>
        <w:t>mas</w:t>
      </w:r>
      <w:r w:rsidR="007250C0" w:rsidRPr="003171CD">
        <w:rPr>
          <w:rFonts w:eastAsia="Batang" w:cs="Times"/>
          <w:bCs/>
          <w:snapToGrid/>
          <w:sz w:val="16"/>
          <w:szCs w:val="16"/>
          <w:lang w:val="en-US" w:eastAsia="en-US"/>
        </w:rPr>
        <w:t>s</w:t>
      </w:r>
      <w:r w:rsidR="005A65CE" w:rsidRPr="003171CD">
        <w:rPr>
          <w:rFonts w:eastAsia="Batang" w:cs="Times"/>
          <w:bCs/>
          <w:snapToGrid/>
          <w:sz w:val="16"/>
          <w:szCs w:val="16"/>
          <w:lang w:val="en-US" w:eastAsia="en-US"/>
        </w:rPr>
        <w:t xml:space="preserve">acre </w:t>
      </w:r>
      <w:r w:rsidR="00951BCF" w:rsidRPr="003171CD">
        <w:rPr>
          <w:rFonts w:eastAsia="Batang" w:cs="Times"/>
          <w:bCs/>
          <w:snapToGrid/>
          <w:sz w:val="16"/>
          <w:szCs w:val="16"/>
          <w:lang w:val="en-US" w:eastAsia="en-US"/>
        </w:rPr>
        <w:t xml:space="preserve">at the </w:t>
      </w:r>
      <w:r w:rsidR="005A65CE" w:rsidRPr="003171CD">
        <w:rPr>
          <w:rFonts w:eastAsia="Batang" w:cs="Times"/>
          <w:bCs/>
          <w:snapToGrid/>
          <w:sz w:val="16"/>
          <w:szCs w:val="16"/>
          <w:lang w:val="en-US" w:eastAsia="en-US"/>
        </w:rPr>
        <w:t xml:space="preserve">Apanteos </w:t>
      </w:r>
      <w:r w:rsidR="00617363" w:rsidRPr="003171CD">
        <w:rPr>
          <w:rFonts w:eastAsia="Batang" w:cs="Times"/>
          <w:bCs/>
          <w:snapToGrid/>
          <w:sz w:val="16"/>
          <w:szCs w:val="16"/>
          <w:lang w:val="en-US" w:eastAsia="en-US"/>
        </w:rPr>
        <w:t>P</w:t>
      </w:r>
      <w:r w:rsidR="00951BCF" w:rsidRPr="003171CD">
        <w:rPr>
          <w:rFonts w:eastAsia="Batang" w:cs="Times"/>
          <w:bCs/>
          <w:snapToGrid/>
          <w:sz w:val="16"/>
          <w:szCs w:val="16"/>
          <w:lang w:val="en-US" w:eastAsia="en-US"/>
        </w:rPr>
        <w:t>enitentiary</w:t>
      </w:r>
      <w:r w:rsidR="00617363" w:rsidRPr="003171CD">
        <w:rPr>
          <w:rFonts w:eastAsia="Batang" w:cs="Times"/>
          <w:bCs/>
          <w:snapToGrid/>
          <w:sz w:val="16"/>
          <w:szCs w:val="16"/>
          <w:lang w:val="en-US" w:eastAsia="en-US"/>
        </w:rPr>
        <w:t>, which took place</w:t>
      </w:r>
      <w:r w:rsidR="00951BCF" w:rsidRPr="003171CD">
        <w:rPr>
          <w:rFonts w:eastAsia="Batang" w:cs="Times"/>
          <w:bCs/>
          <w:snapToGrid/>
          <w:sz w:val="16"/>
          <w:szCs w:val="16"/>
          <w:lang w:val="en-US" w:eastAsia="en-US"/>
        </w:rPr>
        <w:t xml:space="preserve"> on </w:t>
      </w:r>
      <w:r w:rsidR="005A65CE" w:rsidRPr="003171CD">
        <w:rPr>
          <w:rFonts w:eastAsia="Batang" w:cs="Times"/>
          <w:bCs/>
          <w:snapToGrid/>
          <w:sz w:val="16"/>
          <w:szCs w:val="16"/>
          <w:lang w:val="en-US" w:eastAsia="en-US"/>
        </w:rPr>
        <w:t xml:space="preserve">January </w:t>
      </w:r>
      <w:r w:rsidR="00951BCF" w:rsidRPr="003171CD">
        <w:rPr>
          <w:rFonts w:eastAsia="Batang" w:cs="Times"/>
          <w:bCs/>
          <w:snapToGrid/>
          <w:sz w:val="16"/>
          <w:szCs w:val="16"/>
          <w:lang w:val="en-US" w:eastAsia="en-US"/>
        </w:rPr>
        <w:t xml:space="preserve">5, </w:t>
      </w:r>
      <w:r w:rsidR="007250C0" w:rsidRPr="003171CD">
        <w:rPr>
          <w:rFonts w:eastAsia="Batang" w:cs="Times"/>
          <w:bCs/>
          <w:snapToGrid/>
          <w:sz w:val="16"/>
          <w:szCs w:val="16"/>
          <w:lang w:val="en-US" w:eastAsia="en-US"/>
        </w:rPr>
        <w:t xml:space="preserve">2007, </w:t>
      </w:r>
      <w:r w:rsidR="00477039" w:rsidRPr="003171CD">
        <w:rPr>
          <w:rFonts w:eastAsia="Batang" w:cs="Times"/>
          <w:bCs/>
          <w:snapToGrid/>
          <w:sz w:val="16"/>
          <w:szCs w:val="16"/>
          <w:lang w:val="en-US" w:eastAsia="en-US"/>
        </w:rPr>
        <w:t>[</w:t>
      </w:r>
      <w:r w:rsidR="00951BCF" w:rsidRPr="003171CD">
        <w:rPr>
          <w:rFonts w:eastAsia="Batang" w:cs="Times"/>
          <w:bCs/>
          <w:snapToGrid/>
          <w:sz w:val="16"/>
          <w:szCs w:val="16"/>
          <w:lang w:val="en-US" w:eastAsia="en-US"/>
        </w:rPr>
        <w:t>she</w:t>
      </w:r>
      <w:r w:rsidR="00477039" w:rsidRPr="003171CD">
        <w:rPr>
          <w:rFonts w:eastAsia="Batang" w:cs="Times"/>
          <w:bCs/>
          <w:snapToGrid/>
          <w:sz w:val="16"/>
          <w:szCs w:val="16"/>
          <w:lang w:val="en-US" w:eastAsia="en-US"/>
        </w:rPr>
        <w:t>]</w:t>
      </w:r>
      <w:r w:rsidR="00951BCF" w:rsidRPr="003171CD">
        <w:rPr>
          <w:rFonts w:eastAsia="Batang" w:cs="Times"/>
          <w:bCs/>
          <w:snapToGrid/>
          <w:sz w:val="16"/>
          <w:szCs w:val="16"/>
          <w:lang w:val="en-US" w:eastAsia="en-US"/>
        </w:rPr>
        <w:t xml:space="preserve"> found out that </w:t>
      </w:r>
      <w:r w:rsidR="00477039" w:rsidRPr="003171CD">
        <w:rPr>
          <w:rFonts w:eastAsia="Batang" w:cs="Times"/>
          <w:bCs/>
          <w:snapToGrid/>
          <w:sz w:val="16"/>
          <w:szCs w:val="16"/>
          <w:lang w:val="en-US" w:eastAsia="en-US"/>
        </w:rPr>
        <w:t>[</w:t>
      </w:r>
      <w:r w:rsidR="00951BCF" w:rsidRPr="003171CD">
        <w:rPr>
          <w:rFonts w:eastAsia="Batang" w:cs="Times"/>
          <w:bCs/>
          <w:snapToGrid/>
          <w:sz w:val="16"/>
          <w:szCs w:val="16"/>
          <w:lang w:val="en-US" w:eastAsia="en-US"/>
        </w:rPr>
        <w:t>her</w:t>
      </w:r>
      <w:r w:rsidR="00477039" w:rsidRPr="003171CD">
        <w:rPr>
          <w:rFonts w:eastAsia="Batang" w:cs="Times"/>
          <w:bCs/>
          <w:snapToGrid/>
          <w:sz w:val="16"/>
          <w:szCs w:val="16"/>
          <w:lang w:val="en-US" w:eastAsia="en-US"/>
        </w:rPr>
        <w:t>]</w:t>
      </w:r>
      <w:r w:rsidR="00951BCF" w:rsidRPr="003171CD">
        <w:rPr>
          <w:rFonts w:eastAsia="Batang" w:cs="Times"/>
          <w:bCs/>
          <w:snapToGrid/>
          <w:sz w:val="16"/>
          <w:szCs w:val="16"/>
          <w:lang w:val="en-US" w:eastAsia="en-US"/>
        </w:rPr>
        <w:t xml:space="preserve"> husband was alive</w:t>
      </w:r>
      <w:r w:rsidR="005A65CE" w:rsidRPr="003171CD">
        <w:rPr>
          <w:rFonts w:eastAsia="Batang" w:cs="Times"/>
          <w:bCs/>
          <w:snapToGrid/>
          <w:sz w:val="16"/>
          <w:szCs w:val="16"/>
          <w:lang w:val="en-US" w:eastAsia="en-US"/>
        </w:rPr>
        <w:t xml:space="preserve">. </w:t>
      </w:r>
      <w:r w:rsidR="00477039" w:rsidRPr="003171CD">
        <w:rPr>
          <w:rFonts w:eastAsia="Batang" w:cs="Times"/>
          <w:bCs/>
          <w:snapToGrid/>
          <w:sz w:val="16"/>
          <w:szCs w:val="16"/>
          <w:lang w:val="en-US" w:eastAsia="en-US"/>
        </w:rPr>
        <w:t xml:space="preserve">He was </w:t>
      </w:r>
      <w:r w:rsidR="00951BCF" w:rsidRPr="003171CD">
        <w:rPr>
          <w:rFonts w:eastAsia="Batang" w:cs="Times"/>
          <w:bCs/>
          <w:snapToGrid/>
          <w:sz w:val="16"/>
          <w:szCs w:val="16"/>
          <w:lang w:val="en-US" w:eastAsia="en-US"/>
        </w:rPr>
        <w:t xml:space="preserve">wearing old, torn clothes </w:t>
      </w:r>
      <w:r w:rsidR="005A65CE" w:rsidRPr="003171CD">
        <w:rPr>
          <w:rFonts w:eastAsia="Batang" w:cs="Times"/>
          <w:bCs/>
          <w:snapToGrid/>
          <w:sz w:val="16"/>
          <w:szCs w:val="16"/>
          <w:lang w:val="en-US" w:eastAsia="en-US"/>
        </w:rPr>
        <w:t xml:space="preserve">that </w:t>
      </w:r>
      <w:r w:rsidR="00951BCF" w:rsidRPr="003171CD">
        <w:rPr>
          <w:rFonts w:eastAsia="Batang" w:cs="Times"/>
          <w:bCs/>
          <w:snapToGrid/>
          <w:sz w:val="16"/>
          <w:szCs w:val="16"/>
          <w:lang w:val="en-US" w:eastAsia="en-US"/>
        </w:rPr>
        <w:t>did not belon</w:t>
      </w:r>
      <w:r w:rsidR="007E648B" w:rsidRPr="003171CD">
        <w:rPr>
          <w:rFonts w:eastAsia="Batang" w:cs="Times"/>
          <w:bCs/>
          <w:snapToGrid/>
          <w:sz w:val="16"/>
          <w:szCs w:val="16"/>
          <w:lang w:val="en-US" w:eastAsia="en-US"/>
        </w:rPr>
        <w:t>g to him, and mismatched shoes</w:t>
      </w:r>
      <w:r w:rsidR="00951BCF" w:rsidRPr="003171CD">
        <w:rPr>
          <w:rFonts w:eastAsia="Batang" w:cs="Times"/>
          <w:bCs/>
          <w:snapToGrid/>
          <w:sz w:val="16"/>
          <w:szCs w:val="16"/>
          <w:lang w:val="en-US" w:eastAsia="en-US"/>
        </w:rPr>
        <w:t>;</w:t>
      </w:r>
      <w:r w:rsidR="005A65CE" w:rsidRPr="003171CD">
        <w:rPr>
          <w:rFonts w:eastAsia="Batang" w:cs="Times"/>
          <w:bCs/>
          <w:snapToGrid/>
          <w:sz w:val="16"/>
          <w:szCs w:val="16"/>
          <w:lang w:val="en-US" w:eastAsia="en-US"/>
        </w:rPr>
        <w:t xml:space="preserve"> </w:t>
      </w:r>
      <w:r w:rsidR="00951BCF" w:rsidRPr="003171CD">
        <w:rPr>
          <w:rFonts w:eastAsia="Batang" w:cs="Times"/>
          <w:bCs/>
          <w:snapToGrid/>
          <w:sz w:val="16"/>
          <w:szCs w:val="16"/>
          <w:lang w:val="en-US" w:eastAsia="en-US"/>
        </w:rPr>
        <w:t xml:space="preserve">he was wearing the clothes </w:t>
      </w:r>
      <w:r w:rsidR="00617363" w:rsidRPr="003171CD">
        <w:rPr>
          <w:rFonts w:eastAsia="Batang" w:cs="Times"/>
          <w:bCs/>
          <w:snapToGrid/>
          <w:sz w:val="16"/>
          <w:szCs w:val="16"/>
          <w:lang w:val="en-US" w:eastAsia="en-US"/>
        </w:rPr>
        <w:t>belonging to the dead</w:t>
      </w:r>
      <w:r w:rsidR="006A7B69" w:rsidRPr="003171CD">
        <w:rPr>
          <w:rFonts w:eastAsia="Batang" w:cs="Times"/>
          <w:bCs/>
          <w:snapToGrid/>
          <w:sz w:val="16"/>
          <w:szCs w:val="16"/>
          <w:lang w:val="en-US" w:eastAsia="en-US"/>
        </w:rPr>
        <w:t>, because the clothes he was wearing were not his</w:t>
      </w:r>
      <w:r w:rsidR="005A65CE" w:rsidRPr="003171CD">
        <w:rPr>
          <w:rFonts w:eastAsia="Batang" w:cs="Times"/>
          <w:bCs/>
          <w:snapToGrid/>
          <w:sz w:val="16"/>
          <w:szCs w:val="16"/>
          <w:lang w:val="en-US" w:eastAsia="en-US"/>
        </w:rPr>
        <w:t xml:space="preserve">. </w:t>
      </w:r>
      <w:r w:rsidR="005F1B96" w:rsidRPr="003171CD">
        <w:rPr>
          <w:rFonts w:eastAsia="Batang" w:cs="Times"/>
          <w:bCs/>
          <w:snapToGrid/>
          <w:sz w:val="16"/>
          <w:szCs w:val="16"/>
          <w:lang w:val="en-US" w:eastAsia="en-US"/>
        </w:rPr>
        <w:t xml:space="preserve">He was not given </w:t>
      </w:r>
      <w:r w:rsidR="006A7B69" w:rsidRPr="003171CD">
        <w:rPr>
          <w:rFonts w:eastAsia="Batang" w:cs="Times"/>
          <w:bCs/>
          <w:snapToGrid/>
          <w:sz w:val="16"/>
          <w:szCs w:val="16"/>
          <w:lang w:val="en-US" w:eastAsia="en-US"/>
        </w:rPr>
        <w:t>food or water</w:t>
      </w:r>
      <w:r w:rsidR="005A65CE" w:rsidRPr="003171CD">
        <w:rPr>
          <w:rFonts w:eastAsia="Batang" w:cs="Times"/>
          <w:bCs/>
          <w:snapToGrid/>
          <w:sz w:val="16"/>
          <w:szCs w:val="16"/>
          <w:lang w:val="en-US" w:eastAsia="en-US"/>
        </w:rPr>
        <w:t xml:space="preserve">, </w:t>
      </w:r>
      <w:r w:rsidR="005F1B96" w:rsidRPr="003171CD">
        <w:rPr>
          <w:rFonts w:eastAsia="Batang" w:cs="Times"/>
          <w:bCs/>
          <w:snapToGrid/>
          <w:sz w:val="16"/>
          <w:szCs w:val="16"/>
          <w:lang w:val="en-US" w:eastAsia="en-US"/>
        </w:rPr>
        <w:t xml:space="preserve">and </w:t>
      </w:r>
      <w:r w:rsidR="00620D9F" w:rsidRPr="003171CD">
        <w:rPr>
          <w:rFonts w:eastAsia="Batang" w:cs="Times"/>
          <w:bCs/>
          <w:snapToGrid/>
          <w:sz w:val="16"/>
          <w:szCs w:val="16"/>
          <w:lang w:val="en-US" w:eastAsia="en-US"/>
        </w:rPr>
        <w:t xml:space="preserve">he was </w:t>
      </w:r>
      <w:r w:rsidR="005F1B96" w:rsidRPr="003171CD">
        <w:rPr>
          <w:rFonts w:eastAsia="Batang" w:cs="Times"/>
          <w:bCs/>
          <w:snapToGrid/>
          <w:sz w:val="16"/>
          <w:szCs w:val="16"/>
          <w:lang w:val="en-US" w:eastAsia="en-US"/>
        </w:rPr>
        <w:t xml:space="preserve">hungry. </w:t>
      </w:r>
      <w:r w:rsidR="00477039" w:rsidRPr="003171CD">
        <w:rPr>
          <w:rFonts w:eastAsia="Batang" w:cs="Times"/>
          <w:bCs/>
          <w:snapToGrid/>
          <w:sz w:val="16"/>
          <w:szCs w:val="16"/>
          <w:lang w:val="en-US" w:eastAsia="en-US"/>
        </w:rPr>
        <w:t>[</w:t>
      </w:r>
      <w:r w:rsidR="005F1B96" w:rsidRPr="003171CD">
        <w:rPr>
          <w:rFonts w:eastAsia="Batang" w:cs="Times"/>
          <w:bCs/>
          <w:snapToGrid/>
          <w:sz w:val="16"/>
          <w:szCs w:val="16"/>
          <w:lang w:val="en-US" w:eastAsia="en-US"/>
        </w:rPr>
        <w:t>She</w:t>
      </w:r>
      <w:r w:rsidR="00477039" w:rsidRPr="003171CD">
        <w:rPr>
          <w:rFonts w:eastAsia="Batang" w:cs="Times"/>
          <w:bCs/>
          <w:snapToGrid/>
          <w:sz w:val="16"/>
          <w:szCs w:val="16"/>
          <w:lang w:val="en-US" w:eastAsia="en-US"/>
        </w:rPr>
        <w:t>]</w:t>
      </w:r>
      <w:r w:rsidR="005F1B96" w:rsidRPr="003171CD">
        <w:rPr>
          <w:rFonts w:eastAsia="Batang" w:cs="Times"/>
          <w:bCs/>
          <w:snapToGrid/>
          <w:sz w:val="16"/>
          <w:szCs w:val="16"/>
          <w:lang w:val="en-US" w:eastAsia="en-US"/>
        </w:rPr>
        <w:t xml:space="preserve"> suffered </w:t>
      </w:r>
      <w:r w:rsidR="007E648B" w:rsidRPr="003171CD">
        <w:rPr>
          <w:rFonts w:eastAsia="Batang" w:cs="Times"/>
          <w:bCs/>
          <w:snapToGrid/>
          <w:sz w:val="16"/>
          <w:szCs w:val="16"/>
          <w:lang w:val="en-US" w:eastAsia="en-US"/>
        </w:rPr>
        <w:t xml:space="preserve">because </w:t>
      </w:r>
      <w:r w:rsidR="00477039" w:rsidRPr="003171CD">
        <w:rPr>
          <w:rFonts w:eastAsia="Batang" w:cs="Times"/>
          <w:bCs/>
          <w:snapToGrid/>
          <w:sz w:val="16"/>
          <w:szCs w:val="16"/>
          <w:lang w:val="en-US" w:eastAsia="en-US"/>
        </w:rPr>
        <w:t>[</w:t>
      </w:r>
      <w:r w:rsidR="007E648B" w:rsidRPr="003171CD">
        <w:rPr>
          <w:rFonts w:eastAsia="Batang" w:cs="Times"/>
          <w:bCs/>
          <w:snapToGrid/>
          <w:sz w:val="16"/>
          <w:szCs w:val="16"/>
          <w:lang w:val="en-US" w:eastAsia="en-US"/>
        </w:rPr>
        <w:t>she</w:t>
      </w:r>
      <w:r w:rsidR="00477039" w:rsidRPr="003171CD">
        <w:rPr>
          <w:rFonts w:eastAsia="Batang" w:cs="Times"/>
          <w:bCs/>
          <w:snapToGrid/>
          <w:sz w:val="16"/>
          <w:szCs w:val="16"/>
          <w:lang w:val="en-US" w:eastAsia="en-US"/>
        </w:rPr>
        <w:t>]</w:t>
      </w:r>
      <w:r w:rsidR="007E648B" w:rsidRPr="003171CD">
        <w:rPr>
          <w:rFonts w:eastAsia="Batang" w:cs="Times"/>
          <w:bCs/>
          <w:snapToGrid/>
          <w:sz w:val="16"/>
          <w:szCs w:val="16"/>
          <w:lang w:val="en-US" w:eastAsia="en-US"/>
        </w:rPr>
        <w:t xml:space="preserve"> </w:t>
      </w:r>
      <w:r w:rsidR="00477039" w:rsidRPr="003171CD">
        <w:rPr>
          <w:rFonts w:eastAsia="Batang" w:cs="Times"/>
          <w:bCs/>
          <w:snapToGrid/>
          <w:sz w:val="16"/>
          <w:szCs w:val="16"/>
          <w:lang w:val="en-US" w:eastAsia="en-US"/>
        </w:rPr>
        <w:t xml:space="preserve">was </w:t>
      </w:r>
      <w:r w:rsidR="007E648B" w:rsidRPr="003171CD">
        <w:rPr>
          <w:rFonts w:eastAsia="Batang" w:cs="Times"/>
          <w:bCs/>
          <w:snapToGrid/>
          <w:sz w:val="16"/>
          <w:szCs w:val="16"/>
          <w:lang w:val="en-US" w:eastAsia="en-US"/>
        </w:rPr>
        <w:t xml:space="preserve">worried </w:t>
      </w:r>
      <w:r w:rsidR="006A7B69" w:rsidRPr="003171CD">
        <w:rPr>
          <w:rFonts w:eastAsia="Batang" w:cs="Times"/>
          <w:bCs/>
          <w:snapToGrid/>
          <w:sz w:val="16"/>
          <w:szCs w:val="16"/>
          <w:lang w:val="en-US" w:eastAsia="en-US"/>
        </w:rPr>
        <w:t xml:space="preserve">that her husband had died </w:t>
      </w:r>
      <w:r w:rsidR="005A65CE" w:rsidRPr="003171CD">
        <w:rPr>
          <w:rFonts w:eastAsia="Batang" w:cs="Times"/>
          <w:bCs/>
          <w:snapToGrid/>
          <w:sz w:val="16"/>
          <w:szCs w:val="16"/>
          <w:lang w:val="en-US" w:eastAsia="en-US"/>
        </w:rPr>
        <w:t xml:space="preserve">and </w:t>
      </w:r>
      <w:r w:rsidR="005F1B96" w:rsidRPr="003171CD">
        <w:rPr>
          <w:rFonts w:eastAsia="Batang" w:cs="Times"/>
          <w:bCs/>
          <w:snapToGrid/>
          <w:sz w:val="16"/>
          <w:szCs w:val="16"/>
          <w:lang w:val="en-US" w:eastAsia="en-US"/>
        </w:rPr>
        <w:t xml:space="preserve">the most </w:t>
      </w:r>
      <w:r w:rsidR="005A65CE" w:rsidRPr="003171CD">
        <w:rPr>
          <w:rFonts w:eastAsia="Batang" w:cs="Times"/>
          <w:bCs/>
          <w:snapToGrid/>
          <w:sz w:val="16"/>
          <w:szCs w:val="16"/>
          <w:lang w:val="en-US" w:eastAsia="en-US"/>
        </w:rPr>
        <w:t>d</w:t>
      </w:r>
      <w:r w:rsidR="00355112" w:rsidRPr="003171CD">
        <w:rPr>
          <w:rFonts w:eastAsia="Batang" w:cs="Times"/>
          <w:bCs/>
          <w:snapToGrid/>
          <w:sz w:val="16"/>
          <w:szCs w:val="16"/>
          <w:lang w:val="en-US" w:eastAsia="en-US"/>
        </w:rPr>
        <w:t xml:space="preserve">istressing </w:t>
      </w:r>
      <w:r w:rsidR="007E648B" w:rsidRPr="003171CD">
        <w:rPr>
          <w:rFonts w:eastAsia="Batang" w:cs="Times"/>
          <w:bCs/>
          <w:snapToGrid/>
          <w:sz w:val="16"/>
          <w:szCs w:val="16"/>
          <w:lang w:val="en-US" w:eastAsia="en-US"/>
        </w:rPr>
        <w:t xml:space="preserve">part was not having </w:t>
      </w:r>
      <w:r w:rsidR="005F1B96" w:rsidRPr="003171CD">
        <w:rPr>
          <w:rFonts w:eastAsia="Batang" w:cs="Times"/>
          <w:bCs/>
          <w:snapToGrid/>
          <w:sz w:val="16"/>
          <w:szCs w:val="16"/>
          <w:lang w:val="en-US" w:eastAsia="en-US"/>
        </w:rPr>
        <w:t xml:space="preserve">any </w:t>
      </w:r>
      <w:r w:rsidR="005A65CE" w:rsidRPr="003171CD">
        <w:rPr>
          <w:rFonts w:eastAsia="Batang" w:cs="Times"/>
          <w:bCs/>
          <w:snapToGrid/>
          <w:sz w:val="16"/>
          <w:szCs w:val="16"/>
          <w:lang w:val="en-US" w:eastAsia="en-US"/>
        </w:rPr>
        <w:t>n</w:t>
      </w:r>
      <w:r w:rsidR="005F1B96" w:rsidRPr="003171CD">
        <w:rPr>
          <w:rFonts w:eastAsia="Batang" w:cs="Times"/>
          <w:bCs/>
          <w:snapToGrid/>
          <w:sz w:val="16"/>
          <w:szCs w:val="16"/>
          <w:lang w:val="en-US" w:eastAsia="en-US"/>
        </w:rPr>
        <w:t>ews</w:t>
      </w:r>
      <w:r w:rsidR="007E648B" w:rsidRPr="003171CD">
        <w:rPr>
          <w:rFonts w:eastAsia="Batang" w:cs="Times"/>
          <w:bCs/>
          <w:snapToGrid/>
          <w:sz w:val="16"/>
          <w:szCs w:val="16"/>
          <w:lang w:val="en-US" w:eastAsia="en-US"/>
        </w:rPr>
        <w:t xml:space="preserve"> of him</w:t>
      </w:r>
      <w:r w:rsidR="005A65CE" w:rsidRPr="003171CD">
        <w:rPr>
          <w:rFonts w:eastAsia="Batang" w:cs="Times"/>
          <w:bCs/>
          <w:snapToGrid/>
          <w:sz w:val="16"/>
          <w:szCs w:val="16"/>
          <w:lang w:val="en-US" w:eastAsia="en-US"/>
        </w:rPr>
        <w:t xml:space="preserve">, </w:t>
      </w:r>
      <w:r w:rsidR="007E648B" w:rsidRPr="003171CD">
        <w:rPr>
          <w:rFonts w:eastAsia="Batang" w:cs="Times"/>
          <w:bCs/>
          <w:snapToGrid/>
          <w:sz w:val="16"/>
          <w:szCs w:val="16"/>
          <w:lang w:val="en-US" w:eastAsia="en-US"/>
        </w:rPr>
        <w:t xml:space="preserve">and </w:t>
      </w:r>
      <w:r w:rsidR="005F1B96" w:rsidRPr="003171CD">
        <w:rPr>
          <w:rFonts w:eastAsia="Batang" w:cs="Times"/>
          <w:bCs/>
          <w:snapToGrid/>
          <w:sz w:val="16"/>
          <w:szCs w:val="16"/>
          <w:lang w:val="en-US" w:eastAsia="en-US"/>
        </w:rPr>
        <w:t xml:space="preserve">to be told that they should go and check in </w:t>
      </w:r>
      <w:r w:rsidR="007250C0" w:rsidRPr="003171CD">
        <w:rPr>
          <w:rFonts w:eastAsia="Batang" w:cs="Times"/>
          <w:bCs/>
          <w:snapToGrid/>
          <w:sz w:val="16"/>
          <w:szCs w:val="16"/>
          <w:lang w:val="en-US" w:eastAsia="en-US"/>
        </w:rPr>
        <w:t>the m</w:t>
      </w:r>
      <w:r w:rsidR="005A65CE" w:rsidRPr="003171CD">
        <w:rPr>
          <w:rFonts w:eastAsia="Batang" w:cs="Times"/>
          <w:bCs/>
          <w:snapToGrid/>
          <w:sz w:val="16"/>
          <w:szCs w:val="16"/>
          <w:lang w:val="en-US" w:eastAsia="en-US"/>
        </w:rPr>
        <w:t>orgue</w:t>
      </w:r>
      <w:r w:rsidR="00620D9F" w:rsidRPr="003171CD">
        <w:rPr>
          <w:rFonts w:eastAsia="Batang" w:cs="Times"/>
          <w:bCs/>
          <w:snapToGrid/>
          <w:sz w:val="16"/>
          <w:szCs w:val="16"/>
          <w:lang w:val="en-US" w:eastAsia="en-US"/>
        </w:rPr>
        <w:t>.</w:t>
      </w:r>
      <w:r w:rsidR="005A65CE" w:rsidRPr="003171CD">
        <w:rPr>
          <w:rFonts w:eastAsia="Batang" w:cs="Times New Roman"/>
          <w:bCs/>
          <w:snapToGrid/>
          <w:sz w:val="16"/>
          <w:szCs w:val="16"/>
          <w:vertAlign w:val="superscript"/>
          <w:lang w:val="en-US" w:eastAsia="en-US"/>
        </w:rPr>
        <w:footnoteReference w:id="272"/>
      </w:r>
    </w:p>
    <w:p w14:paraId="7FBE8E76" w14:textId="77777777" w:rsidR="005A65CE" w:rsidRPr="003171CD" w:rsidRDefault="005A65CE" w:rsidP="005A65CE">
      <w:pPr>
        <w:ind w:left="720" w:right="720"/>
        <w:contextualSpacing/>
        <w:jc w:val="both"/>
        <w:rPr>
          <w:rFonts w:eastAsia="Batang" w:cs="Times"/>
          <w:bCs/>
          <w:snapToGrid/>
          <w:lang w:val="en-US" w:eastAsia="en-US"/>
        </w:rPr>
      </w:pPr>
    </w:p>
    <w:p w14:paraId="4C6C3FD3" w14:textId="77777777" w:rsidR="005A65CE" w:rsidRPr="003171CD" w:rsidRDefault="00617363" w:rsidP="005A65CE">
      <w:pPr>
        <w:pStyle w:val="Prrafodelista"/>
        <w:numPr>
          <w:ilvl w:val="0"/>
          <w:numId w:val="1"/>
        </w:numPr>
        <w:tabs>
          <w:tab w:val="left" w:pos="720"/>
          <w:tab w:val="num" w:pos="5057"/>
        </w:tabs>
        <w:ind w:right="-90"/>
        <w:jc w:val="both"/>
        <w:rPr>
          <w:lang w:val="en-US"/>
        </w:rPr>
      </w:pPr>
      <w:r w:rsidRPr="003171CD">
        <w:rPr>
          <w:rFonts w:cs="Times"/>
          <w:bCs/>
          <w:lang w:val="en-US"/>
        </w:rPr>
        <w:t xml:space="preserve">Based on the foregoing, it is clear </w:t>
      </w:r>
      <w:r w:rsidR="00620D9F" w:rsidRPr="003171CD">
        <w:rPr>
          <w:rFonts w:cs="Times"/>
          <w:bCs/>
          <w:lang w:val="en-US"/>
        </w:rPr>
        <w:t>that María Maribel Guevara de</w:t>
      </w:r>
      <w:r w:rsidR="005A65CE" w:rsidRPr="003171CD">
        <w:rPr>
          <w:rFonts w:cs="Times"/>
          <w:bCs/>
          <w:lang w:val="en-US"/>
        </w:rPr>
        <w:t xml:space="preserve"> Ruano </w:t>
      </w:r>
      <w:r w:rsidR="00951BCF" w:rsidRPr="003171CD">
        <w:rPr>
          <w:rFonts w:cs="Times"/>
          <w:bCs/>
          <w:lang w:val="en-US"/>
        </w:rPr>
        <w:t>suffered mental</w:t>
      </w:r>
      <w:r w:rsidR="005A65CE" w:rsidRPr="003171CD">
        <w:rPr>
          <w:rFonts w:cs="Times"/>
          <w:bCs/>
          <w:lang w:val="en-US"/>
        </w:rPr>
        <w:t xml:space="preserve"> and </w:t>
      </w:r>
      <w:r w:rsidR="00951BCF" w:rsidRPr="003171CD">
        <w:rPr>
          <w:rFonts w:cs="Times"/>
          <w:bCs/>
          <w:lang w:val="en-US"/>
        </w:rPr>
        <w:t>physical</w:t>
      </w:r>
      <w:r w:rsidR="005A65CE" w:rsidRPr="003171CD">
        <w:rPr>
          <w:rFonts w:cs="Times"/>
          <w:bCs/>
          <w:lang w:val="en-US"/>
        </w:rPr>
        <w:t xml:space="preserve"> </w:t>
      </w:r>
      <w:r w:rsidR="00620D9F" w:rsidRPr="003171CD">
        <w:rPr>
          <w:rFonts w:cs="Times"/>
          <w:bCs/>
          <w:lang w:val="en-US"/>
        </w:rPr>
        <w:t xml:space="preserve">consequences after </w:t>
      </w:r>
      <w:r w:rsidR="00951BCF" w:rsidRPr="003171CD">
        <w:rPr>
          <w:rFonts w:cs="Times"/>
          <w:bCs/>
          <w:lang w:val="en-US"/>
        </w:rPr>
        <w:t xml:space="preserve">her husband’s </w:t>
      </w:r>
      <w:r w:rsidRPr="003171CD">
        <w:rPr>
          <w:rFonts w:cs="Times"/>
          <w:bCs/>
          <w:lang w:val="en-US"/>
        </w:rPr>
        <w:t>arbitrary arrest and subsequent de</w:t>
      </w:r>
      <w:r w:rsidR="005A65CE" w:rsidRPr="003171CD">
        <w:rPr>
          <w:rFonts w:cs="Times"/>
          <w:bCs/>
          <w:lang w:val="en-US"/>
        </w:rPr>
        <w:t xml:space="preserve">privation of </w:t>
      </w:r>
      <w:r w:rsidR="00E755FC" w:rsidRPr="003171CD">
        <w:rPr>
          <w:rFonts w:cs="Times"/>
          <w:bCs/>
          <w:lang w:val="en-US"/>
        </w:rPr>
        <w:t>liberty</w:t>
      </w:r>
      <w:r w:rsidRPr="003171CD">
        <w:rPr>
          <w:rFonts w:cs="Times"/>
          <w:bCs/>
          <w:lang w:val="en-US"/>
        </w:rPr>
        <w:t>.</w:t>
      </w:r>
      <w:r w:rsidR="005A65CE" w:rsidRPr="003171CD">
        <w:rPr>
          <w:rFonts w:cs="Times"/>
          <w:bCs/>
          <w:lang w:val="en-US"/>
        </w:rPr>
        <w:t xml:space="preserve"> </w:t>
      </w:r>
      <w:r w:rsidRPr="003171CD">
        <w:rPr>
          <w:rFonts w:cs="Times"/>
          <w:bCs/>
          <w:lang w:val="en-US"/>
        </w:rPr>
        <w:t xml:space="preserve">It also affected her </w:t>
      </w:r>
      <w:r w:rsidR="00951BCF" w:rsidRPr="003171CD">
        <w:rPr>
          <w:rFonts w:cs="Times"/>
          <w:bCs/>
          <w:lang w:val="en-US"/>
        </w:rPr>
        <w:t xml:space="preserve">daily life </w:t>
      </w:r>
      <w:r w:rsidR="005A65CE" w:rsidRPr="003171CD">
        <w:rPr>
          <w:rFonts w:cs="Times"/>
          <w:bCs/>
          <w:lang w:val="en-US"/>
        </w:rPr>
        <w:t>b</w:t>
      </w:r>
      <w:r w:rsidR="00173C78" w:rsidRPr="003171CD">
        <w:rPr>
          <w:rFonts w:cs="Times"/>
          <w:bCs/>
          <w:lang w:val="en-US"/>
        </w:rPr>
        <w:t xml:space="preserve">ecause she had to </w:t>
      </w:r>
      <w:r w:rsidR="00951BCF" w:rsidRPr="003171CD">
        <w:rPr>
          <w:rFonts w:cs="Times"/>
          <w:bCs/>
          <w:lang w:val="en-US"/>
        </w:rPr>
        <w:t xml:space="preserve">raise her children and care for them </w:t>
      </w:r>
      <w:r w:rsidR="00477039" w:rsidRPr="003171CD">
        <w:rPr>
          <w:rFonts w:cs="Times"/>
          <w:bCs/>
          <w:lang w:val="en-US"/>
        </w:rPr>
        <w:t xml:space="preserve">alone, </w:t>
      </w:r>
      <w:r w:rsidR="00951BCF" w:rsidRPr="003171CD">
        <w:rPr>
          <w:rFonts w:cs="Times"/>
          <w:bCs/>
          <w:lang w:val="en-US"/>
        </w:rPr>
        <w:t>without the support of her husband</w:t>
      </w:r>
      <w:r w:rsidR="005A65CE" w:rsidRPr="003171CD">
        <w:rPr>
          <w:rFonts w:cs="Times"/>
          <w:bCs/>
          <w:lang w:val="en-US"/>
        </w:rPr>
        <w:t>.</w:t>
      </w:r>
    </w:p>
    <w:p w14:paraId="6FD95E56" w14:textId="77777777" w:rsidR="005A65CE" w:rsidRPr="003171CD" w:rsidRDefault="005A65CE" w:rsidP="005A65CE">
      <w:pPr>
        <w:jc w:val="both"/>
        <w:rPr>
          <w:rFonts w:eastAsiaTheme="minorHAnsi" w:cs="Arial"/>
          <w:snapToGrid/>
          <w:lang w:val="en-US" w:eastAsia="en-US"/>
        </w:rPr>
      </w:pPr>
    </w:p>
    <w:p w14:paraId="0104FD89" w14:textId="77777777" w:rsidR="005A65CE" w:rsidRPr="003171CD" w:rsidRDefault="00477039" w:rsidP="005A65CE">
      <w:pPr>
        <w:pStyle w:val="Prrafodelista"/>
        <w:numPr>
          <w:ilvl w:val="0"/>
          <w:numId w:val="1"/>
        </w:numPr>
        <w:tabs>
          <w:tab w:val="left" w:pos="720"/>
          <w:tab w:val="num" w:pos="5057"/>
        </w:tabs>
        <w:ind w:right="-90"/>
        <w:jc w:val="both"/>
        <w:rPr>
          <w:rFonts w:eastAsiaTheme="minorHAnsi"/>
          <w:lang w:val="en-US"/>
        </w:rPr>
      </w:pPr>
      <w:r w:rsidRPr="003171CD">
        <w:rPr>
          <w:rFonts w:eastAsiaTheme="minorHAnsi" w:cs="Arial"/>
          <w:bCs/>
          <w:lang w:val="en-US"/>
        </w:rPr>
        <w:t xml:space="preserve">As to </w:t>
      </w:r>
      <w:r w:rsidR="00617363" w:rsidRPr="003171CD">
        <w:rPr>
          <w:rFonts w:eastAsiaTheme="minorHAnsi" w:cs="Arial"/>
          <w:bCs/>
          <w:lang w:val="en-US"/>
        </w:rPr>
        <w:t xml:space="preserve">the children </w:t>
      </w:r>
      <w:r w:rsidR="005A65CE" w:rsidRPr="003171CD">
        <w:rPr>
          <w:rFonts w:eastAsiaTheme="minorHAnsi" w:cs="Arial"/>
          <w:bCs/>
          <w:lang w:val="en-US"/>
        </w:rPr>
        <w:t>of José Agapito Ruano Tor</w:t>
      </w:r>
      <w:r w:rsidR="00617363" w:rsidRPr="003171CD">
        <w:rPr>
          <w:rFonts w:eastAsiaTheme="minorHAnsi" w:cs="Arial"/>
          <w:bCs/>
          <w:lang w:val="en-US"/>
        </w:rPr>
        <w:t>res and María Maribel Guevara de</w:t>
      </w:r>
      <w:r w:rsidR="005A65CE" w:rsidRPr="003171CD">
        <w:rPr>
          <w:rFonts w:eastAsiaTheme="minorHAnsi" w:cs="Arial"/>
          <w:bCs/>
          <w:lang w:val="en-US"/>
        </w:rPr>
        <w:t xml:space="preserve"> Ruano, Oscar Manuel Ruano Guevara and Keily Lisbeth Ruano Guevara, </w:t>
      </w:r>
      <w:r w:rsidR="00617363" w:rsidRPr="003171CD">
        <w:rPr>
          <w:rFonts w:eastAsiaTheme="minorHAnsi" w:cs="Arial"/>
          <w:bCs/>
          <w:lang w:val="en-US"/>
        </w:rPr>
        <w:t xml:space="preserve">the </w:t>
      </w:r>
      <w:r w:rsidR="005A65CE" w:rsidRPr="003171CD">
        <w:rPr>
          <w:rFonts w:eastAsiaTheme="minorHAnsi" w:cs="Arial"/>
          <w:bCs/>
          <w:lang w:val="en-US"/>
        </w:rPr>
        <w:t xml:space="preserve">evidence in the </w:t>
      </w:r>
      <w:r w:rsidR="00617363" w:rsidRPr="003171CD">
        <w:rPr>
          <w:rFonts w:eastAsiaTheme="minorHAnsi" w:cs="Arial"/>
          <w:bCs/>
          <w:lang w:val="en-US"/>
        </w:rPr>
        <w:t xml:space="preserve">case </w:t>
      </w:r>
      <w:r w:rsidR="005A65CE" w:rsidRPr="003171CD">
        <w:rPr>
          <w:rFonts w:eastAsiaTheme="minorHAnsi" w:cs="Arial"/>
          <w:bCs/>
          <w:lang w:val="en-US"/>
        </w:rPr>
        <w:t xml:space="preserve">file </w:t>
      </w:r>
      <w:r w:rsidR="00617363" w:rsidRPr="003171CD">
        <w:rPr>
          <w:rFonts w:eastAsiaTheme="minorHAnsi" w:cs="Arial"/>
          <w:bCs/>
          <w:lang w:val="en-US"/>
        </w:rPr>
        <w:t xml:space="preserve">shows that </w:t>
      </w:r>
      <w:r w:rsidR="005A65CE" w:rsidRPr="003171CD">
        <w:rPr>
          <w:rFonts w:eastAsiaTheme="minorHAnsi" w:cs="Arial"/>
          <w:bCs/>
          <w:lang w:val="en-US"/>
        </w:rPr>
        <w:t xml:space="preserve">the arbitrary </w:t>
      </w:r>
      <w:r w:rsidR="00617363" w:rsidRPr="003171CD">
        <w:rPr>
          <w:rFonts w:eastAsiaTheme="minorHAnsi" w:cs="Arial"/>
          <w:bCs/>
          <w:lang w:val="en-US"/>
        </w:rPr>
        <w:t xml:space="preserve">detention of their </w:t>
      </w:r>
      <w:r w:rsidR="005F1B96" w:rsidRPr="003171CD">
        <w:rPr>
          <w:rFonts w:eastAsiaTheme="minorHAnsi" w:cs="Arial"/>
          <w:bCs/>
          <w:lang w:val="en-US"/>
        </w:rPr>
        <w:t xml:space="preserve">father </w:t>
      </w:r>
      <w:r w:rsidR="00951BCF" w:rsidRPr="003171CD">
        <w:rPr>
          <w:rFonts w:eastAsiaTheme="minorHAnsi" w:cs="Arial"/>
          <w:bCs/>
          <w:lang w:val="en-US"/>
        </w:rPr>
        <w:t>had a strong impact on their lives</w:t>
      </w:r>
      <w:r w:rsidR="005A65CE" w:rsidRPr="003171CD">
        <w:rPr>
          <w:rFonts w:eastAsiaTheme="minorHAnsi" w:cs="Arial"/>
          <w:bCs/>
          <w:lang w:val="en-US"/>
        </w:rPr>
        <w:t xml:space="preserve">. </w:t>
      </w:r>
      <w:r w:rsidR="00951BCF" w:rsidRPr="003171CD">
        <w:rPr>
          <w:rFonts w:eastAsiaTheme="minorHAnsi" w:cs="Arial"/>
          <w:bCs/>
          <w:lang w:val="en-US"/>
        </w:rPr>
        <w:t xml:space="preserve">With regard to </w:t>
      </w:r>
      <w:r w:rsidR="005A65CE" w:rsidRPr="003171CD">
        <w:rPr>
          <w:rFonts w:eastAsiaTheme="minorHAnsi" w:cs="Arial"/>
          <w:bCs/>
          <w:lang w:val="en-US"/>
        </w:rPr>
        <w:t xml:space="preserve">Oscar Manuel, the </w:t>
      </w:r>
      <w:r w:rsidR="00617363" w:rsidRPr="003171CD">
        <w:rPr>
          <w:rFonts w:eastAsiaTheme="minorHAnsi" w:cs="Arial"/>
          <w:bCs/>
          <w:lang w:val="en-US"/>
        </w:rPr>
        <w:t xml:space="preserve">evidence in the </w:t>
      </w:r>
      <w:r w:rsidR="005A65CE" w:rsidRPr="003171CD">
        <w:rPr>
          <w:rFonts w:eastAsiaTheme="minorHAnsi" w:cs="Arial"/>
          <w:bCs/>
          <w:lang w:val="en-US"/>
        </w:rPr>
        <w:t xml:space="preserve">file </w:t>
      </w:r>
      <w:r w:rsidRPr="003171CD">
        <w:rPr>
          <w:rFonts w:eastAsiaTheme="minorHAnsi" w:cs="Arial"/>
          <w:bCs/>
          <w:lang w:val="en-US"/>
        </w:rPr>
        <w:t xml:space="preserve">mentions </w:t>
      </w:r>
      <w:r w:rsidR="00617363" w:rsidRPr="003171CD">
        <w:rPr>
          <w:rFonts w:eastAsiaTheme="minorHAnsi" w:cs="Arial"/>
          <w:bCs/>
          <w:lang w:val="en-US"/>
        </w:rPr>
        <w:t xml:space="preserve">that </w:t>
      </w:r>
      <w:r w:rsidR="005A65CE" w:rsidRPr="003171CD">
        <w:rPr>
          <w:rFonts w:eastAsiaTheme="minorHAnsi" w:cs="Arial"/>
          <w:bCs/>
          <w:lang w:val="en-US"/>
        </w:rPr>
        <w:t xml:space="preserve">in the </w:t>
      </w:r>
      <w:r w:rsidR="00617363" w:rsidRPr="003171CD">
        <w:rPr>
          <w:rFonts w:eastAsiaTheme="minorHAnsi" w:cs="Arial"/>
          <w:bCs/>
          <w:lang w:val="en-US"/>
        </w:rPr>
        <w:t xml:space="preserve">years following </w:t>
      </w:r>
      <w:r w:rsidR="005A65CE" w:rsidRPr="003171CD">
        <w:rPr>
          <w:rFonts w:eastAsiaTheme="minorHAnsi" w:cs="Arial"/>
          <w:bCs/>
          <w:lang w:val="en-US"/>
        </w:rPr>
        <w:t>the detention of José Agapito Ruano Torres, “</w:t>
      </w:r>
      <w:r w:rsidR="00951BCF" w:rsidRPr="003171CD">
        <w:rPr>
          <w:rFonts w:eastAsiaTheme="minorHAnsi" w:cs="Arial"/>
          <w:bCs/>
          <w:lang w:val="en-US"/>
        </w:rPr>
        <w:t>he cried for his father</w:t>
      </w:r>
      <w:r w:rsidR="005A65CE" w:rsidRPr="003171CD">
        <w:rPr>
          <w:rFonts w:eastAsiaTheme="minorHAnsi" w:cs="Arial"/>
          <w:bCs/>
          <w:lang w:val="en-US"/>
        </w:rPr>
        <w:t xml:space="preserve">. </w:t>
      </w:r>
      <w:r w:rsidR="00951BCF" w:rsidRPr="003171CD">
        <w:rPr>
          <w:rFonts w:eastAsiaTheme="minorHAnsi" w:cs="Arial"/>
          <w:bCs/>
          <w:lang w:val="en-US"/>
        </w:rPr>
        <w:t>When</w:t>
      </w:r>
      <w:r w:rsidRPr="003171CD">
        <w:rPr>
          <w:rFonts w:eastAsiaTheme="minorHAnsi" w:cs="Arial"/>
          <w:bCs/>
          <w:lang w:val="en-US"/>
        </w:rPr>
        <w:t>ever</w:t>
      </w:r>
      <w:r w:rsidR="00951BCF" w:rsidRPr="003171CD">
        <w:rPr>
          <w:rFonts w:eastAsiaTheme="minorHAnsi" w:cs="Arial"/>
          <w:bCs/>
          <w:lang w:val="en-US"/>
        </w:rPr>
        <w:t xml:space="preserve"> he saw ph</w:t>
      </w:r>
      <w:r w:rsidR="005A65CE" w:rsidRPr="003171CD">
        <w:rPr>
          <w:rFonts w:eastAsiaTheme="minorHAnsi" w:cs="Arial"/>
          <w:bCs/>
          <w:lang w:val="en-US"/>
        </w:rPr>
        <w:t xml:space="preserve">otos </w:t>
      </w:r>
      <w:r w:rsidR="00951BCF" w:rsidRPr="003171CD">
        <w:rPr>
          <w:rFonts w:eastAsiaTheme="minorHAnsi" w:cs="Arial"/>
          <w:bCs/>
          <w:lang w:val="en-US"/>
        </w:rPr>
        <w:t xml:space="preserve">of his father </w:t>
      </w:r>
      <w:r w:rsidR="005F1B96" w:rsidRPr="003171CD">
        <w:rPr>
          <w:rFonts w:eastAsiaTheme="minorHAnsi" w:cs="Arial"/>
          <w:bCs/>
          <w:lang w:val="en-US"/>
        </w:rPr>
        <w:t xml:space="preserve">he would destroy whatever he </w:t>
      </w:r>
      <w:r w:rsidRPr="003171CD">
        <w:rPr>
          <w:rFonts w:eastAsiaTheme="minorHAnsi" w:cs="Arial"/>
          <w:bCs/>
          <w:lang w:val="en-US"/>
        </w:rPr>
        <w:t xml:space="preserve">was holding </w:t>
      </w:r>
      <w:r w:rsidR="005F1B96" w:rsidRPr="003171CD">
        <w:rPr>
          <w:rFonts w:eastAsiaTheme="minorHAnsi" w:cs="Arial"/>
          <w:bCs/>
          <w:lang w:val="en-US"/>
        </w:rPr>
        <w:t>in his hands</w:t>
      </w:r>
      <w:r w:rsidR="005A65CE" w:rsidRPr="003171CD">
        <w:rPr>
          <w:rFonts w:eastAsiaTheme="minorHAnsi" w:cs="Arial"/>
          <w:bCs/>
          <w:lang w:val="en-US"/>
        </w:rPr>
        <w:t>. A</w:t>
      </w:r>
      <w:r w:rsidRPr="003171CD">
        <w:rPr>
          <w:rFonts w:eastAsiaTheme="minorHAnsi" w:cs="Arial"/>
          <w:bCs/>
          <w:lang w:val="en-US"/>
        </w:rPr>
        <w:t>s he grew up, the bo</w:t>
      </w:r>
      <w:r w:rsidR="00951BCF" w:rsidRPr="003171CD">
        <w:rPr>
          <w:rFonts w:eastAsiaTheme="minorHAnsi" w:cs="Arial"/>
          <w:bCs/>
          <w:lang w:val="en-US"/>
        </w:rPr>
        <w:t>y became rebellious</w:t>
      </w:r>
      <w:r w:rsidR="00355112" w:rsidRPr="003171CD">
        <w:rPr>
          <w:rFonts w:eastAsiaTheme="minorHAnsi" w:cs="Arial"/>
          <w:bCs/>
          <w:lang w:val="en-US"/>
        </w:rPr>
        <w:t xml:space="preserve"> and</w:t>
      </w:r>
      <w:r w:rsidR="005A65CE" w:rsidRPr="003171CD">
        <w:rPr>
          <w:rFonts w:eastAsiaTheme="minorHAnsi" w:cs="Arial"/>
          <w:bCs/>
          <w:lang w:val="en-US"/>
        </w:rPr>
        <w:t xml:space="preserve"> </w:t>
      </w:r>
      <w:r w:rsidR="00355112" w:rsidRPr="003171CD">
        <w:rPr>
          <w:rFonts w:eastAsiaTheme="minorHAnsi" w:cs="Arial"/>
          <w:bCs/>
          <w:lang w:val="en-US"/>
        </w:rPr>
        <w:t xml:space="preserve">when he was in third grade he had to repeat the </w:t>
      </w:r>
      <w:r w:rsidR="00BB71FB" w:rsidRPr="003171CD">
        <w:rPr>
          <w:rFonts w:eastAsiaTheme="minorHAnsi" w:cs="Arial"/>
          <w:bCs/>
          <w:lang w:val="en-US"/>
        </w:rPr>
        <w:t xml:space="preserve">school </w:t>
      </w:r>
      <w:r w:rsidR="00355112" w:rsidRPr="003171CD">
        <w:rPr>
          <w:rFonts w:eastAsiaTheme="minorHAnsi" w:cs="Arial"/>
          <w:bCs/>
          <w:lang w:val="en-US"/>
        </w:rPr>
        <w:t>year three times</w:t>
      </w:r>
      <w:r w:rsidR="005A65CE" w:rsidRPr="003171CD">
        <w:rPr>
          <w:rFonts w:eastAsiaTheme="minorHAnsi" w:cs="Arial"/>
          <w:bCs/>
          <w:lang w:val="en-US"/>
        </w:rPr>
        <w:t xml:space="preserve">. </w:t>
      </w:r>
      <w:r w:rsidR="00951BCF" w:rsidRPr="003171CD">
        <w:rPr>
          <w:rFonts w:eastAsiaTheme="minorHAnsi" w:cs="Arial"/>
          <w:bCs/>
          <w:lang w:val="en-US"/>
        </w:rPr>
        <w:t xml:space="preserve">He </w:t>
      </w:r>
      <w:r w:rsidR="00BB71FB" w:rsidRPr="003171CD">
        <w:rPr>
          <w:rFonts w:eastAsiaTheme="minorHAnsi" w:cs="Arial"/>
          <w:bCs/>
          <w:lang w:val="en-US"/>
        </w:rPr>
        <w:t>would ask</w:t>
      </w:r>
      <w:r w:rsidR="00951BCF" w:rsidRPr="003171CD">
        <w:rPr>
          <w:rFonts w:eastAsiaTheme="minorHAnsi" w:cs="Arial"/>
          <w:bCs/>
          <w:lang w:val="en-US"/>
        </w:rPr>
        <w:t xml:space="preserve"> why his father was in jail.</w:t>
      </w:r>
      <w:r w:rsidR="005A65CE" w:rsidRPr="003171CD">
        <w:rPr>
          <w:rFonts w:eastAsiaTheme="minorHAnsi" w:cs="Arial"/>
          <w:bCs/>
          <w:lang w:val="en-US"/>
        </w:rPr>
        <w:t>”</w:t>
      </w:r>
      <w:r w:rsidR="005A65CE" w:rsidRPr="003171CD">
        <w:rPr>
          <w:rFonts w:eastAsiaTheme="minorHAnsi"/>
          <w:bCs/>
          <w:vertAlign w:val="superscript"/>
          <w:lang w:val="en-US"/>
        </w:rPr>
        <w:footnoteReference w:id="273"/>
      </w:r>
      <w:r w:rsidR="005A65CE" w:rsidRPr="003171CD">
        <w:rPr>
          <w:rFonts w:eastAsiaTheme="minorHAnsi" w:cs="Arial"/>
          <w:bCs/>
          <w:lang w:val="en-US"/>
        </w:rPr>
        <w:t xml:space="preserve"> </w:t>
      </w:r>
      <w:r w:rsidR="00355112" w:rsidRPr="003171CD">
        <w:rPr>
          <w:rFonts w:eastAsiaTheme="minorHAnsi" w:cs="Arial"/>
          <w:bCs/>
          <w:lang w:val="en-US"/>
        </w:rPr>
        <w:t xml:space="preserve">With regard to </w:t>
      </w:r>
      <w:r w:rsidR="005A65CE" w:rsidRPr="003171CD">
        <w:rPr>
          <w:rFonts w:eastAsiaTheme="minorHAnsi" w:cs="Arial"/>
          <w:bCs/>
          <w:lang w:val="en-US"/>
        </w:rPr>
        <w:t xml:space="preserve">Keily Lisbeth, </w:t>
      </w:r>
      <w:r w:rsidR="00355112" w:rsidRPr="003171CD">
        <w:rPr>
          <w:rFonts w:eastAsiaTheme="minorHAnsi" w:cs="Arial"/>
          <w:bCs/>
          <w:lang w:val="en-US"/>
        </w:rPr>
        <w:t xml:space="preserve">who </w:t>
      </w:r>
      <w:r w:rsidR="00951BCF" w:rsidRPr="003171CD">
        <w:rPr>
          <w:rFonts w:eastAsiaTheme="minorHAnsi" w:cs="Arial"/>
          <w:bCs/>
          <w:lang w:val="en-US"/>
        </w:rPr>
        <w:t xml:space="preserve">was born in </w:t>
      </w:r>
      <w:r w:rsidR="005A65CE" w:rsidRPr="003171CD">
        <w:rPr>
          <w:rFonts w:eastAsiaTheme="minorHAnsi" w:cs="Arial"/>
          <w:bCs/>
          <w:lang w:val="en-US"/>
        </w:rPr>
        <w:t xml:space="preserve">2009, </w:t>
      </w:r>
      <w:r w:rsidR="00355112" w:rsidRPr="003171CD">
        <w:rPr>
          <w:rFonts w:eastAsiaTheme="minorHAnsi" w:cs="Arial"/>
          <w:bCs/>
          <w:lang w:val="en-US"/>
        </w:rPr>
        <w:t xml:space="preserve">she </w:t>
      </w:r>
      <w:r w:rsidR="00885D3E" w:rsidRPr="003171CD">
        <w:rPr>
          <w:rFonts w:eastAsiaTheme="minorHAnsi" w:cs="Arial"/>
          <w:bCs/>
          <w:lang w:val="en-US"/>
        </w:rPr>
        <w:t>spent the first three years of her life without the presence</w:t>
      </w:r>
      <w:r w:rsidR="005A65CE" w:rsidRPr="003171CD">
        <w:rPr>
          <w:rFonts w:eastAsiaTheme="minorHAnsi" w:cs="Arial"/>
          <w:bCs/>
          <w:lang w:val="en-US"/>
        </w:rPr>
        <w:t xml:space="preserve"> of </w:t>
      </w:r>
      <w:r w:rsidR="00E431DB" w:rsidRPr="003171CD">
        <w:rPr>
          <w:rFonts w:eastAsiaTheme="minorHAnsi" w:cs="Arial"/>
          <w:bCs/>
          <w:lang w:val="en-US"/>
        </w:rPr>
        <w:t xml:space="preserve">her father because Mr. Ruano Torres was not granted parole until 2012. </w:t>
      </w:r>
      <w:r w:rsidR="00885D3E" w:rsidRPr="003171CD">
        <w:rPr>
          <w:rFonts w:eastAsiaTheme="minorHAnsi" w:cs="Arial"/>
          <w:bCs/>
          <w:lang w:val="en-US"/>
        </w:rPr>
        <w:t xml:space="preserve"> T</w:t>
      </w:r>
      <w:r w:rsidR="005A65CE" w:rsidRPr="003171CD">
        <w:rPr>
          <w:rFonts w:eastAsiaTheme="minorHAnsi" w:cs="Arial"/>
          <w:bCs/>
          <w:lang w:val="en-US"/>
        </w:rPr>
        <w:t>he ps</w:t>
      </w:r>
      <w:r w:rsidR="00885D3E" w:rsidRPr="003171CD">
        <w:rPr>
          <w:rFonts w:eastAsiaTheme="minorHAnsi" w:cs="Arial"/>
          <w:bCs/>
          <w:lang w:val="en-US"/>
        </w:rPr>
        <w:t xml:space="preserve">ychologist </w:t>
      </w:r>
      <w:r w:rsidR="005A65CE" w:rsidRPr="003171CD">
        <w:rPr>
          <w:rFonts w:eastAsiaTheme="minorHAnsi" w:cs="Arial"/>
          <w:bCs/>
          <w:lang w:val="en-US"/>
        </w:rPr>
        <w:t xml:space="preserve">Diana Lourdes Miranda Guerrero </w:t>
      </w:r>
      <w:r w:rsidR="00355112" w:rsidRPr="003171CD">
        <w:rPr>
          <w:rFonts w:eastAsiaTheme="minorHAnsi" w:cs="Arial"/>
          <w:bCs/>
          <w:lang w:val="en-US"/>
        </w:rPr>
        <w:t xml:space="preserve">stated </w:t>
      </w:r>
      <w:r w:rsidR="00885D3E" w:rsidRPr="003171CD">
        <w:rPr>
          <w:rFonts w:eastAsiaTheme="minorHAnsi" w:cs="Arial"/>
          <w:bCs/>
          <w:lang w:val="en-US"/>
        </w:rPr>
        <w:t xml:space="preserve">that after his release from prison on </w:t>
      </w:r>
      <w:r w:rsidR="00355112" w:rsidRPr="003171CD">
        <w:rPr>
          <w:rFonts w:eastAsiaTheme="minorHAnsi" w:cs="Arial"/>
          <w:bCs/>
          <w:lang w:val="en-US"/>
        </w:rPr>
        <w:t>parole</w:t>
      </w:r>
      <w:r w:rsidR="00885D3E" w:rsidRPr="003171CD">
        <w:rPr>
          <w:rFonts w:eastAsiaTheme="minorHAnsi" w:cs="Arial"/>
          <w:bCs/>
          <w:lang w:val="en-US"/>
        </w:rPr>
        <w:t>, Mr. Ruano Torres “had</w:t>
      </w:r>
      <w:r w:rsidR="005A65CE" w:rsidRPr="003171CD">
        <w:rPr>
          <w:rFonts w:eastAsiaTheme="minorHAnsi" w:cs="Arial"/>
          <w:bCs/>
          <w:lang w:val="en-US"/>
        </w:rPr>
        <w:t xml:space="preserve"> </w:t>
      </w:r>
      <w:r w:rsidR="00885D3E" w:rsidRPr="003171CD">
        <w:rPr>
          <w:rFonts w:eastAsiaTheme="minorHAnsi" w:cs="Arial"/>
          <w:bCs/>
          <w:lang w:val="en-US"/>
        </w:rPr>
        <w:t xml:space="preserve">difficulties </w:t>
      </w:r>
      <w:r w:rsidR="005A65CE" w:rsidRPr="003171CD">
        <w:rPr>
          <w:rFonts w:eastAsiaTheme="minorHAnsi" w:cs="Arial"/>
          <w:bCs/>
          <w:lang w:val="en-US"/>
        </w:rPr>
        <w:t>re</w:t>
      </w:r>
      <w:r w:rsidR="00885D3E" w:rsidRPr="003171CD">
        <w:rPr>
          <w:rFonts w:eastAsiaTheme="minorHAnsi" w:cs="Arial"/>
          <w:bCs/>
          <w:lang w:val="en-US"/>
        </w:rPr>
        <w:t>suming</w:t>
      </w:r>
      <w:r w:rsidR="00E431DB" w:rsidRPr="003171CD">
        <w:rPr>
          <w:rFonts w:eastAsiaTheme="minorHAnsi" w:cs="Arial"/>
          <w:bCs/>
          <w:lang w:val="en-US"/>
        </w:rPr>
        <w:t xml:space="preserve"> his role as a full-time father</w:t>
      </w:r>
      <w:r w:rsidR="005A65CE" w:rsidRPr="003171CD">
        <w:rPr>
          <w:rFonts w:eastAsiaTheme="minorHAnsi" w:cs="Arial"/>
          <w:bCs/>
          <w:lang w:val="en-US"/>
        </w:rPr>
        <w:t>”</w:t>
      </w:r>
      <w:r w:rsidR="005A65CE" w:rsidRPr="003171CD">
        <w:rPr>
          <w:rFonts w:eastAsiaTheme="minorHAnsi"/>
          <w:bCs/>
          <w:vertAlign w:val="superscript"/>
          <w:lang w:val="en-US"/>
        </w:rPr>
        <w:footnoteReference w:id="274"/>
      </w:r>
      <w:r w:rsidR="005A65CE" w:rsidRPr="003171CD">
        <w:rPr>
          <w:rFonts w:eastAsiaTheme="minorHAnsi" w:cs="Arial"/>
          <w:bCs/>
          <w:lang w:val="en-US"/>
        </w:rPr>
        <w:t xml:space="preserve"> which also </w:t>
      </w:r>
      <w:r w:rsidR="005F1B96" w:rsidRPr="003171CD">
        <w:rPr>
          <w:rFonts w:eastAsiaTheme="minorHAnsi" w:cs="Arial"/>
          <w:bCs/>
          <w:lang w:val="en-US"/>
        </w:rPr>
        <w:t>affect</w:t>
      </w:r>
      <w:r w:rsidR="00355112" w:rsidRPr="003171CD">
        <w:rPr>
          <w:rFonts w:eastAsiaTheme="minorHAnsi" w:cs="Arial"/>
          <w:bCs/>
          <w:lang w:val="en-US"/>
        </w:rPr>
        <w:t>ed</w:t>
      </w:r>
      <w:r w:rsidR="005F1B96" w:rsidRPr="003171CD">
        <w:rPr>
          <w:rFonts w:eastAsiaTheme="minorHAnsi" w:cs="Arial"/>
          <w:bCs/>
          <w:lang w:val="en-US"/>
        </w:rPr>
        <w:t xml:space="preserve"> </w:t>
      </w:r>
      <w:r w:rsidR="005A65CE" w:rsidRPr="003171CD">
        <w:rPr>
          <w:rFonts w:eastAsiaTheme="minorHAnsi" w:cs="Arial"/>
          <w:bCs/>
          <w:lang w:val="en-US"/>
        </w:rPr>
        <w:t xml:space="preserve">the </w:t>
      </w:r>
      <w:r w:rsidR="00355112" w:rsidRPr="003171CD">
        <w:rPr>
          <w:rFonts w:eastAsiaTheme="minorHAnsi" w:cs="Arial"/>
          <w:bCs/>
          <w:lang w:val="en-US"/>
        </w:rPr>
        <w:t xml:space="preserve">relationship </w:t>
      </w:r>
      <w:r w:rsidR="00885D3E" w:rsidRPr="003171CD">
        <w:rPr>
          <w:rFonts w:eastAsiaTheme="minorHAnsi" w:cs="Arial"/>
          <w:bCs/>
          <w:lang w:val="en-US"/>
        </w:rPr>
        <w:t>between the chi</w:t>
      </w:r>
      <w:r w:rsidR="005F1B96" w:rsidRPr="003171CD">
        <w:rPr>
          <w:rFonts w:eastAsiaTheme="minorHAnsi" w:cs="Arial"/>
          <w:bCs/>
          <w:lang w:val="en-US"/>
        </w:rPr>
        <w:t>l</w:t>
      </w:r>
      <w:r w:rsidR="00885D3E" w:rsidRPr="003171CD">
        <w:rPr>
          <w:rFonts w:eastAsiaTheme="minorHAnsi" w:cs="Arial"/>
          <w:bCs/>
          <w:lang w:val="en-US"/>
        </w:rPr>
        <w:t>dren and their father</w:t>
      </w:r>
      <w:r w:rsidR="005A65CE" w:rsidRPr="003171CD">
        <w:rPr>
          <w:rFonts w:eastAsiaTheme="minorHAnsi" w:cs="Arial"/>
          <w:bCs/>
          <w:lang w:val="en-US"/>
        </w:rPr>
        <w:t>.</w:t>
      </w:r>
    </w:p>
    <w:p w14:paraId="377F20A6" w14:textId="77777777" w:rsidR="005A65CE" w:rsidRPr="003171CD" w:rsidRDefault="005A65CE" w:rsidP="005A65CE">
      <w:pPr>
        <w:contextualSpacing/>
        <w:jc w:val="both"/>
        <w:rPr>
          <w:rFonts w:eastAsiaTheme="minorHAnsi" w:cs="Times New Roman"/>
          <w:snapToGrid/>
          <w:lang w:val="en-US" w:eastAsia="en-US"/>
        </w:rPr>
      </w:pPr>
    </w:p>
    <w:p w14:paraId="23145CC5" w14:textId="77777777" w:rsidR="005A65CE" w:rsidRPr="003171CD" w:rsidRDefault="005F1B96" w:rsidP="005A65CE">
      <w:pPr>
        <w:pStyle w:val="Prrafodelista"/>
        <w:numPr>
          <w:ilvl w:val="0"/>
          <w:numId w:val="1"/>
        </w:numPr>
        <w:tabs>
          <w:tab w:val="left" w:pos="720"/>
          <w:tab w:val="num" w:pos="5057"/>
        </w:tabs>
        <w:ind w:right="-90"/>
        <w:jc w:val="both"/>
        <w:rPr>
          <w:rFonts w:eastAsiaTheme="minorHAnsi"/>
          <w:lang w:val="en-US"/>
        </w:rPr>
      </w:pPr>
      <w:r w:rsidRPr="003171CD">
        <w:rPr>
          <w:rFonts w:eastAsiaTheme="minorHAnsi" w:cs="Arial"/>
          <w:bCs/>
          <w:lang w:val="en-US"/>
        </w:rPr>
        <w:lastRenderedPageBreak/>
        <w:t>From the evidence in the file it is clear that</w:t>
      </w:r>
      <w:r w:rsidR="005A65CE" w:rsidRPr="003171CD">
        <w:rPr>
          <w:rFonts w:eastAsiaTheme="minorHAnsi" w:cs="Arial"/>
          <w:bCs/>
          <w:lang w:val="en-US"/>
        </w:rPr>
        <w:t xml:space="preserve">, </w:t>
      </w:r>
      <w:r w:rsidRPr="003171CD">
        <w:rPr>
          <w:rFonts w:eastAsiaTheme="minorHAnsi" w:cs="Arial"/>
          <w:bCs/>
          <w:lang w:val="en-US"/>
        </w:rPr>
        <w:t xml:space="preserve">as a </w:t>
      </w:r>
      <w:r w:rsidR="00355112" w:rsidRPr="003171CD">
        <w:rPr>
          <w:rFonts w:eastAsiaTheme="minorHAnsi" w:cs="Arial"/>
          <w:bCs/>
          <w:lang w:val="en-US"/>
        </w:rPr>
        <w:t xml:space="preserve">consequence </w:t>
      </w:r>
      <w:r w:rsidRPr="003171CD">
        <w:rPr>
          <w:rFonts w:eastAsiaTheme="minorHAnsi" w:cs="Arial"/>
          <w:bCs/>
          <w:lang w:val="en-US"/>
        </w:rPr>
        <w:t xml:space="preserve">of Mr. Ruano Torres’ </w:t>
      </w:r>
      <w:r w:rsidR="005A65CE" w:rsidRPr="003171CD">
        <w:rPr>
          <w:rFonts w:eastAsiaTheme="minorHAnsi" w:cs="Arial"/>
          <w:bCs/>
          <w:lang w:val="en-US"/>
        </w:rPr>
        <w:t xml:space="preserve">arbitrary </w:t>
      </w:r>
      <w:r w:rsidRPr="003171CD">
        <w:rPr>
          <w:rFonts w:eastAsiaTheme="minorHAnsi" w:cs="Arial"/>
          <w:bCs/>
          <w:lang w:val="en-US"/>
        </w:rPr>
        <w:t xml:space="preserve">deprivation </w:t>
      </w:r>
      <w:r w:rsidR="005A65CE" w:rsidRPr="003171CD">
        <w:rPr>
          <w:rFonts w:eastAsiaTheme="minorHAnsi" w:cs="Arial"/>
          <w:bCs/>
          <w:lang w:val="en-US"/>
        </w:rPr>
        <w:t xml:space="preserve">of </w:t>
      </w:r>
      <w:r w:rsidR="00E755FC" w:rsidRPr="003171CD">
        <w:rPr>
          <w:rFonts w:eastAsiaTheme="minorHAnsi" w:cs="Arial"/>
          <w:bCs/>
          <w:lang w:val="en-US"/>
        </w:rPr>
        <w:t>liberty</w:t>
      </w:r>
      <w:r w:rsidRPr="003171CD">
        <w:rPr>
          <w:rFonts w:eastAsiaTheme="minorHAnsi" w:cs="Arial"/>
          <w:bCs/>
          <w:lang w:val="en-US"/>
        </w:rPr>
        <w:t xml:space="preserve"> and </w:t>
      </w:r>
      <w:r w:rsidR="00355112" w:rsidRPr="003171CD">
        <w:rPr>
          <w:rFonts w:eastAsiaTheme="minorHAnsi" w:cs="Arial"/>
          <w:bCs/>
          <w:lang w:val="en-US"/>
        </w:rPr>
        <w:t xml:space="preserve">the </w:t>
      </w:r>
      <w:r w:rsidRPr="003171CD">
        <w:rPr>
          <w:rFonts w:eastAsiaTheme="minorHAnsi" w:cs="Arial"/>
          <w:bCs/>
          <w:lang w:val="en-US"/>
        </w:rPr>
        <w:t xml:space="preserve">violation of his </w:t>
      </w:r>
      <w:r w:rsidR="005A65CE" w:rsidRPr="003171CD">
        <w:rPr>
          <w:rFonts w:eastAsiaTheme="minorHAnsi" w:cs="Arial"/>
          <w:bCs/>
          <w:lang w:val="en-US"/>
        </w:rPr>
        <w:t xml:space="preserve">judicial </w:t>
      </w:r>
      <w:r w:rsidR="00C51F8B" w:rsidRPr="003171CD">
        <w:rPr>
          <w:rFonts w:eastAsiaTheme="minorHAnsi" w:cs="Arial"/>
          <w:bCs/>
          <w:lang w:val="en-US"/>
        </w:rPr>
        <w:t>guarantees</w:t>
      </w:r>
      <w:r w:rsidR="005A65CE" w:rsidRPr="003171CD">
        <w:rPr>
          <w:rFonts w:eastAsiaTheme="minorHAnsi" w:cs="Arial"/>
          <w:bCs/>
          <w:lang w:val="en-US"/>
        </w:rPr>
        <w:t xml:space="preserve">, </w:t>
      </w:r>
      <w:r w:rsidRPr="003171CD">
        <w:rPr>
          <w:rFonts w:eastAsiaTheme="minorHAnsi" w:cs="Arial"/>
          <w:bCs/>
          <w:lang w:val="en-US"/>
        </w:rPr>
        <w:t xml:space="preserve">his children did not </w:t>
      </w:r>
      <w:r w:rsidR="000B5F32" w:rsidRPr="003171CD">
        <w:rPr>
          <w:rFonts w:eastAsiaTheme="minorHAnsi" w:cs="Arial"/>
          <w:bCs/>
          <w:lang w:val="en-US"/>
        </w:rPr>
        <w:t xml:space="preserve">develop a </w:t>
      </w:r>
      <w:r w:rsidR="005A65CE" w:rsidRPr="003171CD">
        <w:rPr>
          <w:rFonts w:eastAsiaTheme="minorHAnsi" w:cs="Arial"/>
          <w:bCs/>
          <w:lang w:val="en-US"/>
        </w:rPr>
        <w:t>c</w:t>
      </w:r>
      <w:r w:rsidR="00355112" w:rsidRPr="003171CD">
        <w:rPr>
          <w:rFonts w:eastAsiaTheme="minorHAnsi" w:cs="Arial"/>
          <w:bCs/>
          <w:lang w:val="en-US"/>
        </w:rPr>
        <w:t xml:space="preserve">lose bond with </w:t>
      </w:r>
      <w:r w:rsidR="005A65CE" w:rsidRPr="003171CD">
        <w:rPr>
          <w:rFonts w:eastAsiaTheme="minorHAnsi" w:cs="Arial"/>
          <w:bCs/>
          <w:lang w:val="en-US"/>
        </w:rPr>
        <w:t>the</w:t>
      </w:r>
      <w:r w:rsidR="00E5086F" w:rsidRPr="003171CD">
        <w:rPr>
          <w:rFonts w:eastAsiaTheme="minorHAnsi" w:cs="Arial"/>
          <w:bCs/>
          <w:lang w:val="en-US"/>
        </w:rPr>
        <w:t>ir</w:t>
      </w:r>
      <w:r w:rsidR="005A65CE" w:rsidRPr="003171CD">
        <w:rPr>
          <w:rFonts w:eastAsiaTheme="minorHAnsi" w:cs="Arial"/>
          <w:bCs/>
          <w:lang w:val="en-US"/>
        </w:rPr>
        <w:t xml:space="preserve"> </w:t>
      </w:r>
      <w:r w:rsidR="00F31140" w:rsidRPr="003171CD">
        <w:rPr>
          <w:rFonts w:eastAsiaTheme="minorHAnsi" w:cs="Arial"/>
          <w:bCs/>
          <w:lang w:val="en-US"/>
        </w:rPr>
        <w:t xml:space="preserve">father </w:t>
      </w:r>
      <w:r w:rsidR="005A65CE" w:rsidRPr="003171CD">
        <w:rPr>
          <w:rFonts w:eastAsiaTheme="minorHAnsi" w:cs="Arial"/>
          <w:bCs/>
          <w:lang w:val="en-US"/>
        </w:rPr>
        <w:t>and ha</w:t>
      </w:r>
      <w:r w:rsidR="00F31140" w:rsidRPr="003171CD">
        <w:rPr>
          <w:rFonts w:eastAsiaTheme="minorHAnsi" w:cs="Arial"/>
          <w:bCs/>
          <w:lang w:val="en-US"/>
        </w:rPr>
        <w:t xml:space="preserve">ve suffered </w:t>
      </w:r>
      <w:r w:rsidR="005A65CE" w:rsidRPr="003171CD">
        <w:rPr>
          <w:rFonts w:eastAsiaTheme="minorHAnsi" w:cs="Arial"/>
          <w:bCs/>
          <w:lang w:val="en-US"/>
        </w:rPr>
        <w:t xml:space="preserve">the emotional and </w:t>
      </w:r>
      <w:r w:rsidR="00885D3E" w:rsidRPr="003171CD">
        <w:rPr>
          <w:rFonts w:eastAsiaTheme="minorHAnsi" w:cs="Arial"/>
          <w:bCs/>
          <w:lang w:val="en-US"/>
        </w:rPr>
        <w:t xml:space="preserve">financial consequences </w:t>
      </w:r>
      <w:r w:rsidR="00E5086F" w:rsidRPr="003171CD">
        <w:rPr>
          <w:rFonts w:eastAsiaTheme="minorHAnsi" w:cs="Arial"/>
          <w:bCs/>
          <w:lang w:val="en-US"/>
        </w:rPr>
        <w:t xml:space="preserve">of </w:t>
      </w:r>
      <w:r w:rsidR="00AF2F91" w:rsidRPr="003171CD">
        <w:rPr>
          <w:rFonts w:eastAsiaTheme="minorHAnsi" w:cs="Arial"/>
          <w:bCs/>
          <w:lang w:val="en-US"/>
        </w:rPr>
        <w:t>t</w:t>
      </w:r>
      <w:r w:rsidR="00F31140" w:rsidRPr="003171CD">
        <w:rPr>
          <w:rFonts w:eastAsiaTheme="minorHAnsi" w:cs="Arial"/>
          <w:bCs/>
          <w:lang w:val="en-US"/>
        </w:rPr>
        <w:t>his</w:t>
      </w:r>
      <w:r w:rsidR="005A65CE" w:rsidRPr="003171CD">
        <w:rPr>
          <w:rFonts w:eastAsiaTheme="minorHAnsi" w:cs="Arial"/>
          <w:bCs/>
          <w:lang w:val="en-US"/>
        </w:rPr>
        <w:t xml:space="preserve"> situation</w:t>
      </w:r>
      <w:r w:rsidRPr="003171CD">
        <w:rPr>
          <w:rFonts w:eastAsiaTheme="minorHAnsi" w:cs="Arial"/>
          <w:bCs/>
          <w:lang w:val="en-US"/>
        </w:rPr>
        <w:t>.</w:t>
      </w:r>
      <w:r w:rsidR="005A65CE" w:rsidRPr="003171CD">
        <w:rPr>
          <w:rFonts w:eastAsiaTheme="minorHAnsi"/>
          <w:bCs/>
          <w:vertAlign w:val="superscript"/>
          <w:lang w:val="en-US"/>
        </w:rPr>
        <w:footnoteReference w:id="275"/>
      </w:r>
      <w:r w:rsidR="005A65CE" w:rsidRPr="003171CD">
        <w:rPr>
          <w:rFonts w:eastAsiaTheme="minorHAnsi" w:cs="Arial"/>
          <w:bCs/>
          <w:lang w:val="en-US"/>
        </w:rPr>
        <w:t xml:space="preserve"> </w:t>
      </w:r>
      <w:r w:rsidR="000B5F32" w:rsidRPr="003171CD">
        <w:rPr>
          <w:rFonts w:eastAsiaTheme="minorHAnsi" w:cs="Arial"/>
          <w:bCs/>
          <w:lang w:val="en-US"/>
        </w:rPr>
        <w:t xml:space="preserve">In other words, the arbitrary </w:t>
      </w:r>
      <w:r w:rsidR="004D1DA0" w:rsidRPr="003171CD">
        <w:rPr>
          <w:rFonts w:eastAsiaTheme="minorHAnsi" w:cs="Arial"/>
          <w:bCs/>
          <w:lang w:val="en-US"/>
        </w:rPr>
        <w:t xml:space="preserve">detention of their father </w:t>
      </w:r>
      <w:r w:rsidR="000B5F32" w:rsidRPr="003171CD">
        <w:rPr>
          <w:rFonts w:eastAsiaTheme="minorHAnsi" w:cs="Arial"/>
          <w:bCs/>
          <w:lang w:val="en-US"/>
        </w:rPr>
        <w:t xml:space="preserve">affected </w:t>
      </w:r>
      <w:r w:rsidR="005A65CE" w:rsidRPr="003171CD">
        <w:rPr>
          <w:rFonts w:eastAsiaTheme="minorHAnsi" w:cs="Arial"/>
          <w:bCs/>
          <w:lang w:val="en-US"/>
        </w:rPr>
        <w:t>th</w:t>
      </w:r>
      <w:r w:rsidR="000B5F32" w:rsidRPr="003171CD">
        <w:rPr>
          <w:rFonts w:eastAsiaTheme="minorHAnsi" w:cs="Arial"/>
          <w:bCs/>
          <w:lang w:val="en-US"/>
        </w:rPr>
        <w:t xml:space="preserve">eir </w:t>
      </w:r>
      <w:r w:rsidR="005A65CE" w:rsidRPr="003171CD">
        <w:rPr>
          <w:rFonts w:eastAsiaTheme="minorHAnsi" w:cs="Arial"/>
          <w:bCs/>
          <w:lang w:val="en-US"/>
        </w:rPr>
        <w:t>mental and moral</w:t>
      </w:r>
      <w:r w:rsidR="000B5F32" w:rsidRPr="003171CD">
        <w:rPr>
          <w:rFonts w:eastAsiaTheme="minorHAnsi" w:cs="Arial"/>
          <w:bCs/>
          <w:lang w:val="en-US"/>
        </w:rPr>
        <w:t xml:space="preserve"> integrity as well as their personal development</w:t>
      </w:r>
      <w:r w:rsidR="005A65CE" w:rsidRPr="003171CD">
        <w:rPr>
          <w:rFonts w:eastAsiaTheme="minorHAnsi" w:cs="Arial"/>
          <w:bCs/>
          <w:lang w:val="en-US"/>
        </w:rPr>
        <w:t>.</w:t>
      </w:r>
    </w:p>
    <w:p w14:paraId="5F37B60D" w14:textId="77777777" w:rsidR="005A65CE" w:rsidRPr="003171CD" w:rsidRDefault="005A65CE" w:rsidP="005A65CE">
      <w:pPr>
        <w:jc w:val="both"/>
        <w:rPr>
          <w:rFonts w:eastAsiaTheme="minorHAnsi" w:cs="Times New Roman"/>
          <w:snapToGrid/>
          <w:lang w:val="en-US" w:eastAsia="en-US"/>
        </w:rPr>
      </w:pPr>
    </w:p>
    <w:p w14:paraId="774FEB4F" w14:textId="77777777" w:rsidR="005A65CE" w:rsidRPr="003171CD" w:rsidRDefault="000B5F32" w:rsidP="005A65CE">
      <w:pPr>
        <w:pStyle w:val="Prrafodelista"/>
        <w:numPr>
          <w:ilvl w:val="0"/>
          <w:numId w:val="1"/>
        </w:numPr>
        <w:tabs>
          <w:tab w:val="left" w:pos="720"/>
          <w:tab w:val="num" w:pos="5057"/>
        </w:tabs>
        <w:ind w:right="-90"/>
        <w:jc w:val="both"/>
        <w:rPr>
          <w:sz w:val="16"/>
          <w:lang w:val="en-US"/>
        </w:rPr>
      </w:pPr>
      <w:r w:rsidRPr="003171CD">
        <w:rPr>
          <w:rFonts w:cs="Times"/>
          <w:lang w:val="en-US"/>
        </w:rPr>
        <w:t>As to Pedro Torres Hércules,</w:t>
      </w:r>
      <w:r w:rsidR="00C51F8B" w:rsidRPr="003171CD">
        <w:rPr>
          <w:rFonts w:cs="Times"/>
          <w:lang w:val="en-US"/>
        </w:rPr>
        <w:t xml:space="preserve"> the Court considers</w:t>
      </w:r>
      <w:r w:rsidR="005A65CE" w:rsidRPr="003171CD">
        <w:rPr>
          <w:rFonts w:cs="Times"/>
          <w:lang w:val="en-US"/>
        </w:rPr>
        <w:t xml:space="preserve"> </w:t>
      </w:r>
      <w:r w:rsidRPr="003171CD">
        <w:rPr>
          <w:rFonts w:cs="Times"/>
          <w:lang w:val="en-US"/>
        </w:rPr>
        <w:t>that his</w:t>
      </w:r>
      <w:r w:rsidR="005A65CE" w:rsidRPr="003171CD">
        <w:rPr>
          <w:rFonts w:cs="Times"/>
          <w:lang w:val="en-US"/>
        </w:rPr>
        <w:t xml:space="preserve"> com</w:t>
      </w:r>
      <w:r w:rsidRPr="003171CD">
        <w:rPr>
          <w:rFonts w:cs="Times"/>
          <w:lang w:val="en-US"/>
        </w:rPr>
        <w:t xml:space="preserve">mitment to </w:t>
      </w:r>
      <w:r w:rsidR="005A65CE" w:rsidRPr="003171CD">
        <w:rPr>
          <w:rFonts w:cs="Times"/>
          <w:lang w:val="en-US"/>
        </w:rPr>
        <w:t xml:space="preserve">the </w:t>
      </w:r>
      <w:r w:rsidR="005F1B96" w:rsidRPr="003171CD">
        <w:rPr>
          <w:rFonts w:cs="Times"/>
          <w:lang w:val="en-US"/>
        </w:rPr>
        <w:t xml:space="preserve">search for </w:t>
      </w:r>
      <w:r w:rsidR="005A65CE" w:rsidRPr="003171CD">
        <w:rPr>
          <w:rFonts w:cs="Times"/>
          <w:lang w:val="en-US"/>
        </w:rPr>
        <w:t xml:space="preserve">justice </w:t>
      </w:r>
      <w:r w:rsidR="005F1B96" w:rsidRPr="003171CD">
        <w:rPr>
          <w:rFonts w:cs="Times"/>
          <w:lang w:val="en-US"/>
        </w:rPr>
        <w:t xml:space="preserve">for </w:t>
      </w:r>
      <w:r w:rsidR="005A65CE" w:rsidRPr="003171CD">
        <w:rPr>
          <w:rFonts w:cs="Times"/>
          <w:lang w:val="en-US"/>
        </w:rPr>
        <w:t>his cousin</w:t>
      </w:r>
      <w:r w:rsidRPr="003171CD">
        <w:rPr>
          <w:rFonts w:cs="Times"/>
          <w:lang w:val="en-US"/>
        </w:rPr>
        <w:t xml:space="preserve"> </w:t>
      </w:r>
      <w:r w:rsidR="00E5086F" w:rsidRPr="003171CD">
        <w:rPr>
          <w:rFonts w:cs="Times"/>
          <w:lang w:val="en-US"/>
        </w:rPr>
        <w:t xml:space="preserve">has been clearly </w:t>
      </w:r>
      <w:r w:rsidR="00AF2F91" w:rsidRPr="003171CD">
        <w:rPr>
          <w:rFonts w:cs="Times"/>
          <w:lang w:val="en-US"/>
        </w:rPr>
        <w:t>demonstrated</w:t>
      </w:r>
      <w:r w:rsidR="005A65CE" w:rsidRPr="003171CD">
        <w:rPr>
          <w:rFonts w:cs="Times"/>
          <w:lang w:val="en-US"/>
        </w:rPr>
        <w:t xml:space="preserve">. </w:t>
      </w:r>
      <w:r w:rsidR="00F31140" w:rsidRPr="003171CD">
        <w:rPr>
          <w:rFonts w:cs="Times"/>
          <w:lang w:val="en-US"/>
        </w:rPr>
        <w:t xml:space="preserve">In particular, </w:t>
      </w:r>
      <w:r w:rsidR="007D2BB5" w:rsidRPr="003171CD">
        <w:rPr>
          <w:rFonts w:cs="Times"/>
          <w:lang w:val="en-US"/>
        </w:rPr>
        <w:t xml:space="preserve">the Court </w:t>
      </w:r>
      <w:r w:rsidR="00F31140" w:rsidRPr="003171CD">
        <w:rPr>
          <w:rFonts w:cs="Times"/>
          <w:lang w:val="en-US"/>
        </w:rPr>
        <w:t>takes note of the</w:t>
      </w:r>
      <w:r w:rsidR="005A65CE" w:rsidRPr="003171CD">
        <w:rPr>
          <w:rFonts w:cs="Times"/>
          <w:lang w:val="en-US"/>
        </w:rPr>
        <w:t xml:space="preserve"> </w:t>
      </w:r>
      <w:r w:rsidR="00897B7E" w:rsidRPr="003171CD">
        <w:rPr>
          <w:rFonts w:cs="Times"/>
          <w:lang w:val="en-US"/>
        </w:rPr>
        <w:t>fact</w:t>
      </w:r>
      <w:r w:rsidR="005A65CE" w:rsidRPr="003171CD">
        <w:rPr>
          <w:rFonts w:cs="Times"/>
          <w:lang w:val="en-US"/>
        </w:rPr>
        <w:t xml:space="preserve"> </w:t>
      </w:r>
      <w:r w:rsidR="00F31140" w:rsidRPr="003171CD">
        <w:rPr>
          <w:rFonts w:cs="Times"/>
          <w:lang w:val="en-US"/>
        </w:rPr>
        <w:t>that</w:t>
      </w:r>
      <w:r w:rsidR="005A65CE" w:rsidRPr="003171CD">
        <w:rPr>
          <w:rFonts w:cs="Times"/>
          <w:lang w:val="en-US"/>
        </w:rPr>
        <w:t xml:space="preserve">, </w:t>
      </w:r>
      <w:r w:rsidR="00885D3E" w:rsidRPr="003171CD">
        <w:rPr>
          <w:rFonts w:cs="Times"/>
          <w:lang w:val="en-US"/>
        </w:rPr>
        <w:t xml:space="preserve">once he found out about </w:t>
      </w:r>
      <w:r w:rsidR="005A65CE" w:rsidRPr="003171CD">
        <w:rPr>
          <w:rFonts w:cs="Times"/>
          <w:lang w:val="en-US"/>
        </w:rPr>
        <w:t xml:space="preserve">the detention </w:t>
      </w:r>
      <w:r w:rsidR="00E755FC" w:rsidRPr="003171CD">
        <w:rPr>
          <w:rFonts w:cs="Times"/>
          <w:lang w:val="en-US"/>
        </w:rPr>
        <w:t>of Mr</w:t>
      </w:r>
      <w:r w:rsidR="005A65CE" w:rsidRPr="003171CD">
        <w:rPr>
          <w:rFonts w:cs="Times"/>
          <w:lang w:val="en-US"/>
        </w:rPr>
        <w:t>. Ruano Torres, “[d]</w:t>
      </w:r>
      <w:r w:rsidR="00C51F8B" w:rsidRPr="003171CD">
        <w:rPr>
          <w:rFonts w:cs="Times"/>
          <w:lang w:val="en-US"/>
        </w:rPr>
        <w:t xml:space="preserve">oubting </w:t>
      </w:r>
      <w:r w:rsidR="005A65CE" w:rsidRPr="003171CD">
        <w:rPr>
          <w:rFonts w:cs="Times"/>
          <w:lang w:val="en-US"/>
        </w:rPr>
        <w:t xml:space="preserve">that his cousin </w:t>
      </w:r>
      <w:r w:rsidR="00885D3E" w:rsidRPr="003171CD">
        <w:rPr>
          <w:rFonts w:cs="Times"/>
          <w:lang w:val="en-US"/>
        </w:rPr>
        <w:t>would do something like that</w:t>
      </w:r>
      <w:r w:rsidR="005A65CE" w:rsidRPr="003171CD">
        <w:rPr>
          <w:rFonts w:cs="Times"/>
          <w:lang w:val="en-US"/>
        </w:rPr>
        <w:t xml:space="preserve">, </w:t>
      </w:r>
      <w:r w:rsidRPr="003171CD">
        <w:rPr>
          <w:rFonts w:cs="Times"/>
          <w:lang w:val="en-US"/>
        </w:rPr>
        <w:t xml:space="preserve">and </w:t>
      </w:r>
      <w:r w:rsidR="00E5086F" w:rsidRPr="003171CD">
        <w:rPr>
          <w:rFonts w:cs="Times"/>
          <w:lang w:val="en-US"/>
        </w:rPr>
        <w:t xml:space="preserve">thinking it over, </w:t>
      </w:r>
      <w:r w:rsidRPr="003171CD">
        <w:rPr>
          <w:rFonts w:cs="Times"/>
          <w:lang w:val="en-US"/>
        </w:rPr>
        <w:t xml:space="preserve">he returned to </w:t>
      </w:r>
      <w:r w:rsidR="005A65CE" w:rsidRPr="003171CD">
        <w:rPr>
          <w:rFonts w:cs="Times"/>
          <w:lang w:val="en-US"/>
        </w:rPr>
        <w:t xml:space="preserve">El Salvador” </w:t>
      </w:r>
      <w:r w:rsidR="005F1B96" w:rsidRPr="003171CD">
        <w:rPr>
          <w:rFonts w:cs="Times"/>
          <w:lang w:val="en-US"/>
        </w:rPr>
        <w:t xml:space="preserve">from </w:t>
      </w:r>
      <w:r w:rsidR="005A65CE" w:rsidRPr="003171CD">
        <w:rPr>
          <w:rFonts w:cs="Times"/>
          <w:lang w:val="en-US"/>
        </w:rPr>
        <w:t xml:space="preserve">Guatemala, </w:t>
      </w:r>
      <w:r w:rsidR="005F1B96" w:rsidRPr="003171CD">
        <w:rPr>
          <w:rFonts w:cs="Times"/>
          <w:lang w:val="en-US"/>
        </w:rPr>
        <w:t>where he was living at that time.</w:t>
      </w:r>
      <w:r w:rsidR="005A65CE" w:rsidRPr="003171CD">
        <w:rPr>
          <w:vertAlign w:val="superscript"/>
          <w:lang w:val="en-US"/>
        </w:rPr>
        <w:footnoteReference w:id="276"/>
      </w:r>
      <w:r w:rsidR="005A65CE" w:rsidRPr="003171CD">
        <w:rPr>
          <w:rFonts w:cs="Times"/>
          <w:lang w:val="en-US"/>
        </w:rPr>
        <w:t xml:space="preserve"> </w:t>
      </w:r>
      <w:r w:rsidR="003379E4" w:rsidRPr="003171CD">
        <w:rPr>
          <w:rFonts w:cs="Times"/>
          <w:lang w:val="en-US"/>
        </w:rPr>
        <w:t xml:space="preserve">From that </w:t>
      </w:r>
      <w:r w:rsidR="005A65CE" w:rsidRPr="003171CD">
        <w:rPr>
          <w:rFonts w:cs="Times"/>
          <w:lang w:val="en-US"/>
        </w:rPr>
        <w:t xml:space="preserve">moment, </w:t>
      </w:r>
      <w:r w:rsidR="005F1B96" w:rsidRPr="003171CD">
        <w:rPr>
          <w:rFonts w:cs="Times"/>
          <w:lang w:val="en-US"/>
        </w:rPr>
        <w:t xml:space="preserve">he </w:t>
      </w:r>
      <w:r w:rsidR="005D4264" w:rsidRPr="003171CD">
        <w:rPr>
          <w:rFonts w:cs="Times"/>
          <w:lang w:val="en-US"/>
        </w:rPr>
        <w:t xml:space="preserve">was </w:t>
      </w:r>
      <w:r w:rsidR="005F1B96" w:rsidRPr="003171CD">
        <w:rPr>
          <w:rFonts w:cs="Times"/>
          <w:lang w:val="en-US"/>
        </w:rPr>
        <w:t xml:space="preserve">constantly involved </w:t>
      </w:r>
      <w:r w:rsidR="005A65CE" w:rsidRPr="003171CD">
        <w:rPr>
          <w:rFonts w:cs="Times"/>
          <w:lang w:val="en-US"/>
        </w:rPr>
        <w:t xml:space="preserve">in the </w:t>
      </w:r>
      <w:r w:rsidR="00AF2F91" w:rsidRPr="003171CD">
        <w:rPr>
          <w:rFonts w:cs="Times"/>
          <w:lang w:val="en-US"/>
        </w:rPr>
        <w:t>quest for</w:t>
      </w:r>
      <w:r w:rsidR="005A65CE" w:rsidRPr="003171CD">
        <w:rPr>
          <w:rFonts w:cs="Times"/>
          <w:lang w:val="en-US"/>
        </w:rPr>
        <w:t xml:space="preserve"> justice </w:t>
      </w:r>
      <w:r w:rsidR="005D4264" w:rsidRPr="003171CD">
        <w:rPr>
          <w:rFonts w:cs="Times"/>
          <w:lang w:val="en-US"/>
        </w:rPr>
        <w:t xml:space="preserve">for </w:t>
      </w:r>
      <w:r w:rsidR="005A65CE" w:rsidRPr="003171CD">
        <w:rPr>
          <w:rFonts w:cs="Times"/>
          <w:lang w:val="en-US"/>
        </w:rPr>
        <w:t>his cousin</w:t>
      </w:r>
      <w:r w:rsidR="005D4264" w:rsidRPr="003171CD">
        <w:rPr>
          <w:rFonts w:cs="Times"/>
          <w:lang w:val="en-US"/>
        </w:rPr>
        <w:t>,</w:t>
      </w:r>
      <w:r w:rsidR="005A65CE" w:rsidRPr="003171CD">
        <w:rPr>
          <w:vertAlign w:val="superscript"/>
          <w:lang w:val="en-US"/>
        </w:rPr>
        <w:footnoteReference w:id="277"/>
      </w:r>
      <w:r w:rsidR="005A65CE" w:rsidRPr="003171CD">
        <w:rPr>
          <w:rFonts w:cs="Times"/>
          <w:lang w:val="en-US"/>
        </w:rPr>
        <w:t xml:space="preserve"> and </w:t>
      </w:r>
      <w:r w:rsidR="00AF2F91" w:rsidRPr="003171CD">
        <w:rPr>
          <w:rFonts w:cs="Times"/>
          <w:lang w:val="en-US"/>
        </w:rPr>
        <w:t xml:space="preserve">it </w:t>
      </w:r>
      <w:r w:rsidR="005A65CE" w:rsidRPr="003171CD">
        <w:rPr>
          <w:rFonts w:cs="Times"/>
          <w:lang w:val="en-US"/>
        </w:rPr>
        <w:t>was d</w:t>
      </w:r>
      <w:r w:rsidR="003379E4" w:rsidRPr="003171CD">
        <w:rPr>
          <w:rFonts w:cs="Times"/>
          <w:lang w:val="en-US"/>
        </w:rPr>
        <w:t xml:space="preserve">ue to his </w:t>
      </w:r>
      <w:r w:rsidR="005D4264" w:rsidRPr="003171CD">
        <w:rPr>
          <w:rFonts w:cs="Times"/>
          <w:lang w:val="en-US"/>
        </w:rPr>
        <w:t xml:space="preserve">efforts </w:t>
      </w:r>
      <w:r w:rsidR="005A65CE" w:rsidRPr="003171CD">
        <w:rPr>
          <w:rFonts w:cs="Times"/>
          <w:lang w:val="en-US"/>
        </w:rPr>
        <w:t xml:space="preserve">that the case </w:t>
      </w:r>
      <w:r w:rsidR="005F1B96" w:rsidRPr="003171CD">
        <w:rPr>
          <w:rFonts w:cs="Times"/>
          <w:lang w:val="en-US"/>
        </w:rPr>
        <w:t xml:space="preserve">reached </w:t>
      </w:r>
      <w:r w:rsidR="005A65CE" w:rsidRPr="003171CD">
        <w:rPr>
          <w:rFonts w:cs="Times"/>
          <w:lang w:val="en-US"/>
        </w:rPr>
        <w:t xml:space="preserve">the Inter-American Commission and </w:t>
      </w:r>
      <w:r w:rsidR="005F1B96" w:rsidRPr="003171CD">
        <w:rPr>
          <w:rFonts w:cs="Times"/>
          <w:lang w:val="en-US"/>
        </w:rPr>
        <w:t xml:space="preserve">subsequently </w:t>
      </w:r>
      <w:r w:rsidR="005A65CE" w:rsidRPr="003171CD">
        <w:rPr>
          <w:rFonts w:cs="Times"/>
          <w:lang w:val="en-US"/>
        </w:rPr>
        <w:t xml:space="preserve">the Court. The State </w:t>
      </w:r>
      <w:r w:rsidR="005F1B96" w:rsidRPr="003171CD">
        <w:rPr>
          <w:rFonts w:cs="Times"/>
          <w:lang w:val="en-US"/>
        </w:rPr>
        <w:t>a</w:t>
      </w:r>
      <w:r w:rsidR="00AF2F91" w:rsidRPr="003171CD">
        <w:rPr>
          <w:rFonts w:cs="Times"/>
          <w:lang w:val="en-US"/>
        </w:rPr>
        <w:t>lso a</w:t>
      </w:r>
      <w:r w:rsidR="005F1B96" w:rsidRPr="003171CD">
        <w:rPr>
          <w:rFonts w:cs="Times"/>
          <w:lang w:val="en-US"/>
        </w:rPr>
        <w:t xml:space="preserve">cknowledged </w:t>
      </w:r>
      <w:r w:rsidR="005A65CE" w:rsidRPr="003171CD">
        <w:rPr>
          <w:rFonts w:cs="Times"/>
          <w:lang w:val="en-US"/>
        </w:rPr>
        <w:t>that “</w:t>
      </w:r>
      <w:r w:rsidR="005F1B96" w:rsidRPr="003171CD">
        <w:rPr>
          <w:rFonts w:cs="Times"/>
          <w:lang w:val="en-US"/>
        </w:rPr>
        <w:t xml:space="preserve">his </w:t>
      </w:r>
      <w:r w:rsidR="005A65CE" w:rsidRPr="003171CD">
        <w:rPr>
          <w:rFonts w:cs="Times"/>
          <w:lang w:val="en-US"/>
        </w:rPr>
        <w:t>com</w:t>
      </w:r>
      <w:r w:rsidR="005F1B96" w:rsidRPr="003171CD">
        <w:rPr>
          <w:rFonts w:cs="Times"/>
          <w:lang w:val="en-US"/>
        </w:rPr>
        <w:t xml:space="preserve">mitment to </w:t>
      </w:r>
      <w:r w:rsidR="005A65CE" w:rsidRPr="003171CD">
        <w:rPr>
          <w:rFonts w:cs="Times"/>
          <w:lang w:val="en-US"/>
        </w:rPr>
        <w:t xml:space="preserve">the case and </w:t>
      </w:r>
      <w:r w:rsidR="005F1B96" w:rsidRPr="003171CD">
        <w:rPr>
          <w:rFonts w:cs="Times"/>
          <w:lang w:val="en-US"/>
        </w:rPr>
        <w:t xml:space="preserve">to obtaining </w:t>
      </w:r>
      <w:r w:rsidR="005A65CE" w:rsidRPr="003171CD">
        <w:rPr>
          <w:rFonts w:cs="Times"/>
          <w:lang w:val="en-US"/>
        </w:rPr>
        <w:t xml:space="preserve">justice </w:t>
      </w:r>
      <w:r w:rsidR="005F1B96" w:rsidRPr="003171CD">
        <w:rPr>
          <w:rFonts w:cs="Times"/>
          <w:lang w:val="en-US"/>
        </w:rPr>
        <w:t xml:space="preserve">for </w:t>
      </w:r>
      <w:r w:rsidR="005A65CE" w:rsidRPr="003171CD">
        <w:rPr>
          <w:rFonts w:cs="Times"/>
          <w:lang w:val="en-US"/>
        </w:rPr>
        <w:t xml:space="preserve">his cousin is </w:t>
      </w:r>
      <w:r w:rsidR="005F1B96" w:rsidRPr="003171CD">
        <w:rPr>
          <w:rFonts w:cs="Times"/>
          <w:lang w:val="en-US"/>
        </w:rPr>
        <w:t>undeniable.”</w:t>
      </w:r>
    </w:p>
    <w:p w14:paraId="500326B1" w14:textId="77777777" w:rsidR="005A65CE" w:rsidRPr="003171CD" w:rsidRDefault="005A65CE" w:rsidP="005A65CE">
      <w:pPr>
        <w:ind w:left="720"/>
        <w:contextualSpacing/>
        <w:jc w:val="both"/>
        <w:rPr>
          <w:rFonts w:eastAsia="Batang" w:cs="Times"/>
          <w:snapToGrid/>
          <w:szCs w:val="24"/>
          <w:lang w:val="en-US" w:eastAsia="en-US"/>
        </w:rPr>
      </w:pPr>
    </w:p>
    <w:p w14:paraId="23F02AD8" w14:textId="77777777" w:rsidR="005A65CE" w:rsidRPr="003171CD" w:rsidRDefault="005A65CE" w:rsidP="005A65CE">
      <w:pPr>
        <w:pStyle w:val="Prrafodelista"/>
        <w:numPr>
          <w:ilvl w:val="0"/>
          <w:numId w:val="1"/>
        </w:numPr>
        <w:tabs>
          <w:tab w:val="left" w:pos="720"/>
          <w:tab w:val="num" w:pos="5057"/>
        </w:tabs>
        <w:ind w:right="-90"/>
        <w:jc w:val="both"/>
        <w:rPr>
          <w:rFonts w:cs="Times"/>
          <w:b/>
          <w:strike/>
          <w:szCs w:val="20"/>
          <w:lang w:val="en-US"/>
        </w:rPr>
      </w:pPr>
      <w:r w:rsidRPr="003171CD">
        <w:rPr>
          <w:rFonts w:cs="Times"/>
          <w:lang w:val="en-US"/>
        </w:rPr>
        <w:t xml:space="preserve">Mr. Torres Hércules </w:t>
      </w:r>
      <w:r w:rsidR="00362D37" w:rsidRPr="003171CD">
        <w:rPr>
          <w:rFonts w:cs="Times"/>
          <w:lang w:val="en-US"/>
        </w:rPr>
        <w:t xml:space="preserve">stated </w:t>
      </w:r>
      <w:r w:rsidR="00C51F8B" w:rsidRPr="003171CD">
        <w:rPr>
          <w:rFonts w:cs="Times"/>
          <w:lang w:val="en-US"/>
        </w:rPr>
        <w:t xml:space="preserve">that in addition to leaving his job for </w:t>
      </w:r>
      <w:r w:rsidR="005D4264" w:rsidRPr="003171CD">
        <w:rPr>
          <w:rFonts w:cs="Times"/>
          <w:lang w:val="en-US"/>
        </w:rPr>
        <w:t xml:space="preserve">a period of </w:t>
      </w:r>
      <w:r w:rsidR="00C51F8B" w:rsidRPr="003171CD">
        <w:rPr>
          <w:rFonts w:cs="Times"/>
          <w:lang w:val="en-US"/>
        </w:rPr>
        <w:t>time to follow</w:t>
      </w:r>
      <w:r w:rsidR="004B22E5" w:rsidRPr="003171CD">
        <w:rPr>
          <w:rFonts w:cs="Times"/>
          <w:lang w:val="en-US"/>
        </w:rPr>
        <w:t xml:space="preserve"> up on</w:t>
      </w:r>
      <w:r w:rsidR="00C51F8B" w:rsidRPr="003171CD">
        <w:rPr>
          <w:rFonts w:cs="Times"/>
          <w:lang w:val="en-US"/>
        </w:rPr>
        <w:t xml:space="preserve"> the case</w:t>
      </w:r>
      <w:r w:rsidRPr="003171CD">
        <w:rPr>
          <w:rFonts w:cs="Times"/>
          <w:lang w:val="en-US"/>
        </w:rPr>
        <w:t xml:space="preserve">, </w:t>
      </w:r>
      <w:r w:rsidR="00C51F8B" w:rsidRPr="003171CD">
        <w:rPr>
          <w:rFonts w:cs="Times"/>
          <w:lang w:val="en-US"/>
        </w:rPr>
        <w:t>which affected his finances and his family life</w:t>
      </w:r>
      <w:r w:rsidRPr="003171CD">
        <w:rPr>
          <w:rFonts w:cs="Times"/>
          <w:lang w:val="en-US"/>
        </w:rPr>
        <w:t xml:space="preserve">, </w:t>
      </w:r>
      <w:r w:rsidR="00C32896" w:rsidRPr="003171CD">
        <w:rPr>
          <w:rFonts w:cs="Times"/>
          <w:lang w:val="en-US"/>
        </w:rPr>
        <w:t xml:space="preserve">he </w:t>
      </w:r>
      <w:r w:rsidRPr="003171CD">
        <w:rPr>
          <w:rFonts w:cs="Times"/>
          <w:lang w:val="en-US"/>
        </w:rPr>
        <w:t>suf</w:t>
      </w:r>
      <w:r w:rsidR="00C51F8B" w:rsidRPr="003171CD">
        <w:rPr>
          <w:rFonts w:cs="Times"/>
          <w:lang w:val="en-US"/>
        </w:rPr>
        <w:t>fered</w:t>
      </w:r>
      <w:r w:rsidR="00C32896" w:rsidRPr="003171CD">
        <w:rPr>
          <w:rFonts w:cs="Times"/>
          <w:lang w:val="en-US"/>
        </w:rPr>
        <w:t xml:space="preserve"> -</w:t>
      </w:r>
      <w:r w:rsidR="00C51F8B" w:rsidRPr="003171CD">
        <w:rPr>
          <w:rFonts w:cs="Times"/>
          <w:lang w:val="en-US"/>
        </w:rPr>
        <w:t xml:space="preserve"> </w:t>
      </w:r>
      <w:r w:rsidR="00C32896" w:rsidRPr="003171CD">
        <w:rPr>
          <w:rFonts w:cs="Times"/>
          <w:lang w:val="en-US"/>
        </w:rPr>
        <w:t xml:space="preserve">along </w:t>
      </w:r>
      <w:r w:rsidRPr="003171CD">
        <w:rPr>
          <w:rFonts w:cs="Times"/>
          <w:lang w:val="en-US"/>
        </w:rPr>
        <w:t xml:space="preserve">with </w:t>
      </w:r>
      <w:r w:rsidR="00C32896" w:rsidRPr="003171CD">
        <w:rPr>
          <w:rFonts w:cs="Times"/>
          <w:lang w:val="en-US"/>
        </w:rPr>
        <w:t xml:space="preserve">the victim’s </w:t>
      </w:r>
      <w:r w:rsidR="00C51F8B" w:rsidRPr="003171CD">
        <w:rPr>
          <w:rFonts w:cs="Times"/>
          <w:lang w:val="en-US"/>
        </w:rPr>
        <w:t xml:space="preserve">direct </w:t>
      </w:r>
      <w:r w:rsidR="00362D37" w:rsidRPr="003171CD">
        <w:rPr>
          <w:rFonts w:cs="Times"/>
          <w:lang w:val="en-US"/>
        </w:rPr>
        <w:t xml:space="preserve">next of kin </w:t>
      </w:r>
      <w:r w:rsidR="00C32896" w:rsidRPr="003171CD">
        <w:rPr>
          <w:rFonts w:cs="Times"/>
          <w:lang w:val="en-US"/>
        </w:rPr>
        <w:t xml:space="preserve">- </w:t>
      </w:r>
      <w:r w:rsidRPr="003171CD">
        <w:rPr>
          <w:rFonts w:cs="Times"/>
          <w:lang w:val="en-US"/>
        </w:rPr>
        <w:t xml:space="preserve">the </w:t>
      </w:r>
      <w:r w:rsidR="00C51F8B" w:rsidRPr="003171CD">
        <w:rPr>
          <w:rFonts w:cs="Times"/>
          <w:lang w:val="en-US"/>
        </w:rPr>
        <w:t>uncertainty</w:t>
      </w:r>
      <w:r w:rsidRPr="003171CD">
        <w:rPr>
          <w:rFonts w:cs="Times"/>
          <w:lang w:val="en-US"/>
        </w:rPr>
        <w:t xml:space="preserve"> and </w:t>
      </w:r>
      <w:r w:rsidR="00C51F8B" w:rsidRPr="003171CD">
        <w:rPr>
          <w:rFonts w:cs="Times"/>
          <w:lang w:val="en-US"/>
        </w:rPr>
        <w:t xml:space="preserve">fear for </w:t>
      </w:r>
      <w:r w:rsidR="00362D37" w:rsidRPr="003171CD">
        <w:rPr>
          <w:rFonts w:cs="Times"/>
          <w:lang w:val="en-US"/>
        </w:rPr>
        <w:t xml:space="preserve">his cousin’s </w:t>
      </w:r>
      <w:r w:rsidR="00C51F8B" w:rsidRPr="003171CD">
        <w:rPr>
          <w:rFonts w:cs="Times"/>
          <w:lang w:val="en-US"/>
        </w:rPr>
        <w:t xml:space="preserve">life </w:t>
      </w:r>
      <w:r w:rsidR="00C32896" w:rsidRPr="003171CD">
        <w:rPr>
          <w:rFonts w:cs="Times"/>
          <w:lang w:val="en-US"/>
        </w:rPr>
        <w:t xml:space="preserve">during </w:t>
      </w:r>
      <w:r w:rsidRPr="003171CD">
        <w:rPr>
          <w:rFonts w:cs="Times"/>
          <w:lang w:val="en-US"/>
        </w:rPr>
        <w:t xml:space="preserve">the </w:t>
      </w:r>
      <w:r w:rsidR="00C51F8B" w:rsidRPr="003171CD">
        <w:rPr>
          <w:rFonts w:cs="Times"/>
          <w:lang w:val="en-US"/>
        </w:rPr>
        <w:t xml:space="preserve">prison </w:t>
      </w:r>
      <w:r w:rsidR="00C32896" w:rsidRPr="003171CD">
        <w:rPr>
          <w:rFonts w:cs="Times"/>
          <w:lang w:val="en-US"/>
        </w:rPr>
        <w:t xml:space="preserve">mutiny </w:t>
      </w:r>
      <w:r w:rsidR="00C51F8B" w:rsidRPr="003171CD">
        <w:rPr>
          <w:rFonts w:cs="Times"/>
          <w:lang w:val="en-US"/>
        </w:rPr>
        <w:t xml:space="preserve">of </w:t>
      </w:r>
      <w:r w:rsidRPr="003171CD">
        <w:rPr>
          <w:rFonts w:cs="Times"/>
          <w:lang w:val="en-US"/>
        </w:rPr>
        <w:t xml:space="preserve">2007. </w:t>
      </w:r>
      <w:r w:rsidR="00C32896" w:rsidRPr="003171CD">
        <w:rPr>
          <w:rFonts w:cs="Times"/>
          <w:lang w:val="en-US"/>
        </w:rPr>
        <w:t xml:space="preserve">He </w:t>
      </w:r>
      <w:r w:rsidR="00AF2F91" w:rsidRPr="003171CD">
        <w:rPr>
          <w:rFonts w:cs="Times"/>
          <w:lang w:val="en-US"/>
        </w:rPr>
        <w:t xml:space="preserve">stated </w:t>
      </w:r>
      <w:r w:rsidR="00C32896" w:rsidRPr="003171CD">
        <w:rPr>
          <w:rFonts w:cs="Times"/>
          <w:lang w:val="en-US"/>
        </w:rPr>
        <w:t>that after that event</w:t>
      </w:r>
      <w:r w:rsidR="00C51F8B" w:rsidRPr="003171CD">
        <w:rPr>
          <w:rFonts w:cs="Times"/>
          <w:lang w:val="en-US"/>
        </w:rPr>
        <w:t xml:space="preserve"> </w:t>
      </w:r>
      <w:r w:rsidR="00C32896" w:rsidRPr="003171CD">
        <w:rPr>
          <w:rFonts w:cs="Times"/>
          <w:szCs w:val="20"/>
          <w:lang w:val="en-US"/>
        </w:rPr>
        <w:t>“in</w:t>
      </w:r>
      <w:r w:rsidRPr="003171CD">
        <w:rPr>
          <w:rFonts w:cs="Times"/>
          <w:szCs w:val="20"/>
          <w:lang w:val="en-US"/>
        </w:rPr>
        <w:t xml:space="preserve"> </w:t>
      </w:r>
      <w:r w:rsidR="00C51F8B" w:rsidRPr="003171CD">
        <w:rPr>
          <w:rFonts w:cs="Times"/>
          <w:szCs w:val="20"/>
          <w:lang w:val="en-US"/>
        </w:rPr>
        <w:t xml:space="preserve">which there were many </w:t>
      </w:r>
      <w:r w:rsidR="002C75BD" w:rsidRPr="003171CD">
        <w:rPr>
          <w:rFonts w:cs="Times"/>
          <w:szCs w:val="20"/>
          <w:lang w:val="en-US"/>
        </w:rPr>
        <w:t xml:space="preserve">dead </w:t>
      </w:r>
      <w:r w:rsidRPr="003171CD">
        <w:rPr>
          <w:rFonts w:cs="Times"/>
          <w:szCs w:val="20"/>
          <w:lang w:val="en-US"/>
        </w:rPr>
        <w:t>[…</w:t>
      </w:r>
      <w:r w:rsidR="00C32896" w:rsidRPr="003171CD">
        <w:rPr>
          <w:rFonts w:cs="Times"/>
          <w:szCs w:val="20"/>
          <w:lang w:val="en-US"/>
        </w:rPr>
        <w:t>he</w:t>
      </w:r>
      <w:r w:rsidRPr="003171CD">
        <w:rPr>
          <w:rFonts w:cs="Times"/>
          <w:szCs w:val="20"/>
          <w:lang w:val="en-US"/>
        </w:rPr>
        <w:t xml:space="preserve">] </w:t>
      </w:r>
      <w:r w:rsidR="00C32896" w:rsidRPr="003171CD">
        <w:rPr>
          <w:rFonts w:cs="Times"/>
          <w:szCs w:val="20"/>
          <w:lang w:val="en-US"/>
        </w:rPr>
        <w:t xml:space="preserve">experienced </w:t>
      </w:r>
      <w:r w:rsidR="00C51F8B" w:rsidRPr="003171CD">
        <w:rPr>
          <w:rFonts w:cs="Times"/>
          <w:szCs w:val="20"/>
          <w:lang w:val="en-US"/>
        </w:rPr>
        <w:t>more than twenty days of uncertainty</w:t>
      </w:r>
      <w:r w:rsidRPr="003171CD">
        <w:rPr>
          <w:rFonts w:cs="Times"/>
          <w:szCs w:val="20"/>
          <w:lang w:val="en-US"/>
        </w:rPr>
        <w:t xml:space="preserve"> </w:t>
      </w:r>
      <w:r w:rsidR="00C51F8B" w:rsidRPr="003171CD">
        <w:rPr>
          <w:rFonts w:cs="Times"/>
          <w:szCs w:val="20"/>
          <w:lang w:val="en-US"/>
        </w:rPr>
        <w:t xml:space="preserve">thinking that </w:t>
      </w:r>
      <w:r w:rsidRPr="003171CD">
        <w:rPr>
          <w:rFonts w:cs="Times"/>
          <w:szCs w:val="20"/>
          <w:lang w:val="en-US"/>
        </w:rPr>
        <w:t>his cousin Agapito</w:t>
      </w:r>
      <w:r w:rsidR="00C51F8B" w:rsidRPr="003171CD">
        <w:rPr>
          <w:rFonts w:cs="Times"/>
          <w:szCs w:val="20"/>
          <w:lang w:val="en-US"/>
        </w:rPr>
        <w:t xml:space="preserve"> was amongst the dead</w:t>
      </w:r>
      <w:r w:rsidRPr="003171CD">
        <w:rPr>
          <w:rFonts w:cs="Times"/>
          <w:szCs w:val="20"/>
          <w:lang w:val="en-US"/>
        </w:rPr>
        <w:t xml:space="preserve">, </w:t>
      </w:r>
      <w:r w:rsidR="00C51F8B" w:rsidRPr="003171CD">
        <w:rPr>
          <w:rFonts w:cs="Times"/>
          <w:szCs w:val="20"/>
          <w:lang w:val="en-US"/>
        </w:rPr>
        <w:t xml:space="preserve">without knowing if </w:t>
      </w:r>
      <w:r w:rsidR="004D0C85" w:rsidRPr="003171CD">
        <w:rPr>
          <w:rFonts w:cs="Times"/>
          <w:szCs w:val="20"/>
          <w:lang w:val="en-US"/>
        </w:rPr>
        <w:t>some tragedy had befallen him</w:t>
      </w:r>
      <w:r w:rsidR="00C32896" w:rsidRPr="003171CD">
        <w:rPr>
          <w:rFonts w:cs="Times"/>
          <w:szCs w:val="20"/>
          <w:lang w:val="en-US"/>
        </w:rPr>
        <w:t>;</w:t>
      </w:r>
      <w:r w:rsidR="002C75BD" w:rsidRPr="003171CD">
        <w:rPr>
          <w:rFonts w:cs="Times"/>
          <w:szCs w:val="20"/>
          <w:lang w:val="en-US"/>
        </w:rPr>
        <w:t xml:space="preserve"> </w:t>
      </w:r>
      <w:r w:rsidR="00AF2F91" w:rsidRPr="003171CD">
        <w:rPr>
          <w:rFonts w:cs="Times"/>
          <w:szCs w:val="20"/>
          <w:lang w:val="en-US"/>
        </w:rPr>
        <w:t>those</w:t>
      </w:r>
      <w:r w:rsidR="00C32896" w:rsidRPr="003171CD">
        <w:rPr>
          <w:rFonts w:cs="Times"/>
          <w:szCs w:val="20"/>
          <w:lang w:val="en-US"/>
        </w:rPr>
        <w:t xml:space="preserve"> </w:t>
      </w:r>
      <w:r w:rsidR="002C75BD" w:rsidRPr="003171CD">
        <w:rPr>
          <w:rFonts w:cs="Times"/>
          <w:szCs w:val="20"/>
          <w:lang w:val="en-US"/>
        </w:rPr>
        <w:t>were d</w:t>
      </w:r>
      <w:r w:rsidR="00C51F8B" w:rsidRPr="003171CD">
        <w:rPr>
          <w:rFonts w:cs="Times"/>
          <w:szCs w:val="20"/>
          <w:lang w:val="en-US"/>
        </w:rPr>
        <w:t xml:space="preserve">ays </w:t>
      </w:r>
      <w:r w:rsidR="002C75BD" w:rsidRPr="003171CD">
        <w:rPr>
          <w:rFonts w:cs="Times"/>
          <w:szCs w:val="20"/>
          <w:lang w:val="en-US"/>
        </w:rPr>
        <w:t xml:space="preserve">of </w:t>
      </w:r>
      <w:r w:rsidR="00AF2F91" w:rsidRPr="003171CD">
        <w:rPr>
          <w:rFonts w:cs="Times"/>
          <w:szCs w:val="20"/>
          <w:lang w:val="en-US"/>
        </w:rPr>
        <w:t xml:space="preserve">great </w:t>
      </w:r>
      <w:r w:rsidRPr="003171CD">
        <w:rPr>
          <w:rFonts w:cs="Times"/>
          <w:szCs w:val="20"/>
          <w:lang w:val="en-US"/>
        </w:rPr>
        <w:t xml:space="preserve">suffering and </w:t>
      </w:r>
      <w:r w:rsidR="002C75BD" w:rsidRPr="003171CD">
        <w:rPr>
          <w:rFonts w:cs="Times"/>
          <w:szCs w:val="20"/>
          <w:lang w:val="en-US"/>
        </w:rPr>
        <w:t xml:space="preserve">despair </w:t>
      </w:r>
      <w:r w:rsidRPr="003171CD">
        <w:rPr>
          <w:rFonts w:cs="Times"/>
          <w:szCs w:val="20"/>
          <w:lang w:val="en-US"/>
        </w:rPr>
        <w:t>[</w:t>
      </w:r>
      <w:r w:rsidR="00C51F8B" w:rsidRPr="003171CD">
        <w:rPr>
          <w:rFonts w:cs="Times"/>
          <w:szCs w:val="20"/>
          <w:lang w:val="en-US"/>
        </w:rPr>
        <w:t>without]</w:t>
      </w:r>
      <w:r w:rsidRPr="003171CD">
        <w:rPr>
          <w:rFonts w:cs="Times"/>
          <w:szCs w:val="20"/>
          <w:lang w:val="en-US"/>
        </w:rPr>
        <w:t xml:space="preserve"> obt</w:t>
      </w:r>
      <w:r w:rsidR="00C51F8B" w:rsidRPr="003171CD">
        <w:rPr>
          <w:rFonts w:cs="Times"/>
          <w:szCs w:val="20"/>
          <w:lang w:val="en-US"/>
        </w:rPr>
        <w:t xml:space="preserve">aining a response from the </w:t>
      </w:r>
      <w:r w:rsidR="002C75BD" w:rsidRPr="003171CD">
        <w:rPr>
          <w:rFonts w:cs="Times"/>
          <w:szCs w:val="20"/>
          <w:lang w:val="en-US"/>
        </w:rPr>
        <w:t xml:space="preserve">prison </w:t>
      </w:r>
      <w:r w:rsidRPr="003171CD">
        <w:rPr>
          <w:rFonts w:cs="Times"/>
          <w:szCs w:val="20"/>
          <w:lang w:val="en-US"/>
        </w:rPr>
        <w:t>authorities</w:t>
      </w:r>
      <w:r w:rsidR="002C75BD" w:rsidRPr="003171CD">
        <w:rPr>
          <w:rFonts w:cs="Times"/>
          <w:szCs w:val="20"/>
          <w:lang w:val="en-US"/>
        </w:rPr>
        <w:t>.</w:t>
      </w:r>
      <w:r w:rsidRPr="003171CD">
        <w:rPr>
          <w:rFonts w:cs="Times"/>
          <w:szCs w:val="20"/>
          <w:lang w:val="en-US"/>
        </w:rPr>
        <w:t>”</w:t>
      </w:r>
      <w:r w:rsidRPr="003171CD">
        <w:rPr>
          <w:szCs w:val="20"/>
          <w:vertAlign w:val="superscript"/>
          <w:lang w:val="en-US"/>
        </w:rPr>
        <w:footnoteReference w:id="278"/>
      </w:r>
      <w:r w:rsidR="00C51F8B" w:rsidRPr="003171CD">
        <w:rPr>
          <w:rFonts w:cs="Times"/>
          <w:szCs w:val="20"/>
          <w:lang w:val="en-US"/>
        </w:rPr>
        <w:t xml:space="preserve"> T</w:t>
      </w:r>
      <w:r w:rsidRPr="003171CD">
        <w:rPr>
          <w:rFonts w:cs="Times"/>
          <w:szCs w:val="20"/>
          <w:lang w:val="en-US"/>
        </w:rPr>
        <w:t>herefore</w:t>
      </w:r>
      <w:r w:rsidRPr="003171CD">
        <w:rPr>
          <w:rFonts w:cs="Times"/>
          <w:lang w:val="en-US"/>
        </w:rPr>
        <w:t xml:space="preserve">, the Court </w:t>
      </w:r>
      <w:r w:rsidR="00C51F8B" w:rsidRPr="003171CD">
        <w:rPr>
          <w:rFonts w:cs="Times"/>
          <w:lang w:val="en-US"/>
        </w:rPr>
        <w:t xml:space="preserve">considers proven </w:t>
      </w:r>
      <w:r w:rsidR="00AF2F91" w:rsidRPr="003171CD">
        <w:rPr>
          <w:rFonts w:cs="Times"/>
          <w:lang w:val="en-US"/>
        </w:rPr>
        <w:t>that</w:t>
      </w:r>
      <w:r w:rsidRPr="003171CD">
        <w:rPr>
          <w:rFonts w:cs="Times"/>
          <w:lang w:val="en-US"/>
        </w:rPr>
        <w:t xml:space="preserve"> </w:t>
      </w:r>
      <w:r w:rsidR="00AF2F91" w:rsidRPr="003171CD">
        <w:rPr>
          <w:rFonts w:cs="Times"/>
          <w:lang w:val="en-US"/>
        </w:rPr>
        <w:t xml:space="preserve">a close </w:t>
      </w:r>
      <w:r w:rsidRPr="003171CD">
        <w:rPr>
          <w:rFonts w:cs="Times"/>
          <w:lang w:val="en-US"/>
        </w:rPr>
        <w:t>relation</w:t>
      </w:r>
      <w:r w:rsidR="000B5F32" w:rsidRPr="003171CD">
        <w:rPr>
          <w:rFonts w:cs="Times"/>
          <w:lang w:val="en-US"/>
        </w:rPr>
        <w:t xml:space="preserve">ship </w:t>
      </w:r>
      <w:r w:rsidR="00AF2F91" w:rsidRPr="003171CD">
        <w:rPr>
          <w:rFonts w:cs="Times"/>
          <w:lang w:val="en-US"/>
        </w:rPr>
        <w:t xml:space="preserve">existed </w:t>
      </w:r>
      <w:r w:rsidR="000B5F32" w:rsidRPr="003171CD">
        <w:rPr>
          <w:rFonts w:cs="Times"/>
          <w:lang w:val="en-US"/>
        </w:rPr>
        <w:t>between</w:t>
      </w:r>
      <w:r w:rsidRPr="003171CD">
        <w:rPr>
          <w:rFonts w:cs="Times"/>
          <w:lang w:val="en-US"/>
        </w:rPr>
        <w:t xml:space="preserve"> </w:t>
      </w:r>
      <w:r w:rsidR="000B5F32" w:rsidRPr="003171CD">
        <w:rPr>
          <w:rFonts w:cs="Times"/>
          <w:lang w:val="en-US"/>
        </w:rPr>
        <w:t>José Agapito Ruano Torres and his cousin, Pedro Torres Hércules</w:t>
      </w:r>
      <w:r w:rsidR="00AF2F91" w:rsidRPr="003171CD">
        <w:rPr>
          <w:rFonts w:cs="Times"/>
          <w:lang w:val="en-US"/>
        </w:rPr>
        <w:t>, that the latter</w:t>
      </w:r>
      <w:r w:rsidR="000B5F32" w:rsidRPr="003171CD">
        <w:rPr>
          <w:rFonts w:cs="Times"/>
          <w:lang w:val="en-US"/>
        </w:rPr>
        <w:t xml:space="preserve"> </w:t>
      </w:r>
      <w:r w:rsidR="00AF2F91" w:rsidRPr="003171CD">
        <w:rPr>
          <w:rFonts w:cs="Times"/>
          <w:lang w:val="en-US"/>
        </w:rPr>
        <w:t xml:space="preserve">was deeply committed to obtaining </w:t>
      </w:r>
      <w:r w:rsidRPr="003171CD">
        <w:rPr>
          <w:rFonts w:cs="Times"/>
          <w:lang w:val="en-US"/>
        </w:rPr>
        <w:t xml:space="preserve">justice </w:t>
      </w:r>
      <w:r w:rsidR="00C51F8B" w:rsidRPr="003171CD">
        <w:rPr>
          <w:rFonts w:cs="Times"/>
          <w:lang w:val="en-US"/>
        </w:rPr>
        <w:t xml:space="preserve">for </w:t>
      </w:r>
      <w:r w:rsidRPr="003171CD">
        <w:rPr>
          <w:rFonts w:cs="Times"/>
          <w:lang w:val="en-US"/>
        </w:rPr>
        <w:t xml:space="preserve">his </w:t>
      </w:r>
      <w:r w:rsidR="000B5F32" w:rsidRPr="003171CD">
        <w:rPr>
          <w:rFonts w:cs="Times"/>
          <w:lang w:val="en-US"/>
        </w:rPr>
        <w:t>relative</w:t>
      </w:r>
      <w:r w:rsidRPr="003171CD">
        <w:rPr>
          <w:rFonts w:cs="Times"/>
          <w:lang w:val="en-US"/>
        </w:rPr>
        <w:t xml:space="preserve">, and </w:t>
      </w:r>
      <w:r w:rsidR="00AF2F91" w:rsidRPr="003171CD">
        <w:rPr>
          <w:rFonts w:cs="Times"/>
          <w:lang w:val="en-US"/>
        </w:rPr>
        <w:t xml:space="preserve">that he also suffered </w:t>
      </w:r>
      <w:r w:rsidR="00C51F8B" w:rsidRPr="003171CD">
        <w:rPr>
          <w:rFonts w:cs="Times"/>
          <w:lang w:val="en-US"/>
        </w:rPr>
        <w:t xml:space="preserve">as a result of </w:t>
      </w:r>
      <w:r w:rsidR="000B5F32" w:rsidRPr="003171CD">
        <w:rPr>
          <w:rFonts w:cs="Times"/>
          <w:lang w:val="en-US"/>
        </w:rPr>
        <w:t xml:space="preserve">his cousin’s </w:t>
      </w:r>
      <w:r w:rsidR="00C51F8B" w:rsidRPr="003171CD">
        <w:rPr>
          <w:rFonts w:cs="Times"/>
          <w:lang w:val="en-US"/>
        </w:rPr>
        <w:t xml:space="preserve">arbitrary detention and prison </w:t>
      </w:r>
      <w:r w:rsidRPr="003171CD">
        <w:rPr>
          <w:rFonts w:cs="Times"/>
          <w:lang w:val="en-US"/>
        </w:rPr>
        <w:t>conditions.</w:t>
      </w:r>
    </w:p>
    <w:p w14:paraId="4FA87271" w14:textId="77777777" w:rsidR="005A65CE" w:rsidRPr="003171CD" w:rsidRDefault="005A65CE" w:rsidP="005A65CE">
      <w:pPr>
        <w:jc w:val="both"/>
        <w:rPr>
          <w:rFonts w:cs="Times"/>
          <w:snapToGrid/>
          <w:lang w:val="en-US" w:eastAsia="en-US"/>
        </w:rPr>
      </w:pPr>
    </w:p>
    <w:p w14:paraId="0C3B27F4" w14:textId="77777777" w:rsidR="005A65CE" w:rsidRPr="003171CD" w:rsidRDefault="00C51F8B" w:rsidP="005A65CE">
      <w:pPr>
        <w:pStyle w:val="Prrafodelista"/>
        <w:numPr>
          <w:ilvl w:val="0"/>
          <w:numId w:val="1"/>
        </w:numPr>
        <w:tabs>
          <w:tab w:val="left" w:pos="720"/>
          <w:tab w:val="num" w:pos="5057"/>
        </w:tabs>
        <w:ind w:right="-90"/>
        <w:jc w:val="both"/>
        <w:rPr>
          <w:rFonts w:cs="Arial"/>
          <w:lang w:val="en-US"/>
        </w:rPr>
      </w:pPr>
      <w:r w:rsidRPr="003171CD">
        <w:rPr>
          <w:rFonts w:cs="Arial"/>
          <w:lang w:val="en-US"/>
        </w:rPr>
        <w:t>F</w:t>
      </w:r>
      <w:r w:rsidR="005A65CE" w:rsidRPr="003171CD">
        <w:rPr>
          <w:rFonts w:cs="Arial"/>
          <w:lang w:val="en-US"/>
        </w:rPr>
        <w:t xml:space="preserve">or </w:t>
      </w:r>
      <w:r w:rsidRPr="003171CD">
        <w:rPr>
          <w:rFonts w:cs="Arial"/>
          <w:lang w:val="en-US"/>
        </w:rPr>
        <w:t>all the foregoing reasons</w:t>
      </w:r>
      <w:r w:rsidR="005A65CE" w:rsidRPr="003171CD">
        <w:rPr>
          <w:rFonts w:cs="Arial"/>
          <w:lang w:val="en-US"/>
        </w:rPr>
        <w:t xml:space="preserve">, </w:t>
      </w:r>
      <w:r w:rsidR="005A65CE" w:rsidRPr="003171CD">
        <w:rPr>
          <w:rFonts w:cs="Times"/>
          <w:lang w:val="en-US"/>
        </w:rPr>
        <w:t>the Court conclu</w:t>
      </w:r>
      <w:r w:rsidRPr="003171CD">
        <w:rPr>
          <w:rFonts w:cs="Times"/>
          <w:lang w:val="en-US"/>
        </w:rPr>
        <w:t xml:space="preserve">des </w:t>
      </w:r>
      <w:r w:rsidR="005A65CE" w:rsidRPr="003171CD">
        <w:rPr>
          <w:rFonts w:cs="Times"/>
          <w:lang w:val="en-US"/>
        </w:rPr>
        <w:t xml:space="preserve">that </w:t>
      </w:r>
      <w:r w:rsidRPr="003171CD">
        <w:rPr>
          <w:rFonts w:cs="Arial"/>
          <w:lang w:val="en-US"/>
        </w:rPr>
        <w:t>María Maribel Guevara de</w:t>
      </w:r>
      <w:r w:rsidR="005A65CE" w:rsidRPr="003171CD">
        <w:rPr>
          <w:rFonts w:cs="Arial"/>
          <w:lang w:val="en-US"/>
        </w:rPr>
        <w:t xml:space="preserve"> Ruano and Oscar Manuel Ruano Guevara suf</w:t>
      </w:r>
      <w:r w:rsidRPr="003171CD">
        <w:rPr>
          <w:rFonts w:cs="Arial"/>
          <w:lang w:val="en-US"/>
        </w:rPr>
        <w:t xml:space="preserve">fered pain </w:t>
      </w:r>
      <w:r w:rsidR="005A65CE" w:rsidRPr="003171CD">
        <w:rPr>
          <w:rFonts w:cs="Arial"/>
          <w:lang w:val="en-US"/>
        </w:rPr>
        <w:t xml:space="preserve">and </w:t>
      </w:r>
      <w:r w:rsidRPr="003171CD">
        <w:rPr>
          <w:rFonts w:cs="Arial"/>
          <w:lang w:val="en-US"/>
        </w:rPr>
        <w:t>anguish</w:t>
      </w:r>
      <w:r w:rsidR="005A65CE" w:rsidRPr="003171CD">
        <w:rPr>
          <w:rFonts w:cs="Arial"/>
          <w:lang w:val="en-US"/>
        </w:rPr>
        <w:t xml:space="preserve"> </w:t>
      </w:r>
      <w:r w:rsidRPr="003171CD">
        <w:rPr>
          <w:rFonts w:cs="Arial"/>
          <w:lang w:val="en-US"/>
        </w:rPr>
        <w:t xml:space="preserve">when witnessing </w:t>
      </w:r>
      <w:r w:rsidR="005A65CE" w:rsidRPr="003171CD">
        <w:rPr>
          <w:rFonts w:cs="Arial"/>
          <w:lang w:val="en-US"/>
        </w:rPr>
        <w:t xml:space="preserve">the torture </w:t>
      </w:r>
      <w:r w:rsidRPr="003171CD">
        <w:rPr>
          <w:rFonts w:cs="Arial"/>
          <w:lang w:val="en-US"/>
        </w:rPr>
        <w:t>inflicted on</w:t>
      </w:r>
      <w:r w:rsidR="005A65CE" w:rsidRPr="003171CD">
        <w:rPr>
          <w:rFonts w:cs="Arial"/>
          <w:lang w:val="en-US"/>
        </w:rPr>
        <w:t xml:space="preserve"> José Agapito Ruano Torres, and that María Mari</w:t>
      </w:r>
      <w:r w:rsidRPr="003171CD">
        <w:rPr>
          <w:rFonts w:cs="Arial"/>
          <w:lang w:val="en-US"/>
        </w:rPr>
        <w:t>bel Guevara de</w:t>
      </w:r>
      <w:r w:rsidR="005A65CE" w:rsidRPr="003171CD">
        <w:rPr>
          <w:rFonts w:cs="Arial"/>
          <w:lang w:val="en-US"/>
        </w:rPr>
        <w:t xml:space="preserve"> Ruano, Oscar Manuel Ruano Guevara, Keily Lisbeth Ruano Guevara and Pedro Torres Hércules suf</w:t>
      </w:r>
      <w:r w:rsidRPr="003171CD">
        <w:rPr>
          <w:rFonts w:cs="Arial"/>
          <w:lang w:val="en-US"/>
        </w:rPr>
        <w:t xml:space="preserve">fered pain </w:t>
      </w:r>
      <w:r w:rsidR="005A65CE" w:rsidRPr="003171CD">
        <w:rPr>
          <w:rFonts w:cs="Arial"/>
          <w:lang w:val="en-US"/>
        </w:rPr>
        <w:t xml:space="preserve">and </w:t>
      </w:r>
      <w:r w:rsidRPr="003171CD">
        <w:rPr>
          <w:rFonts w:cs="Arial"/>
          <w:lang w:val="en-US"/>
        </w:rPr>
        <w:t>anguish</w:t>
      </w:r>
      <w:r w:rsidR="005A65CE" w:rsidRPr="003171CD">
        <w:rPr>
          <w:rFonts w:cs="Arial"/>
          <w:lang w:val="en-US"/>
        </w:rPr>
        <w:t xml:space="preserve">, </w:t>
      </w:r>
      <w:r w:rsidR="00C32896" w:rsidRPr="003171CD">
        <w:rPr>
          <w:rFonts w:cs="Arial"/>
          <w:lang w:val="en-US"/>
        </w:rPr>
        <w:t xml:space="preserve">together with </w:t>
      </w:r>
      <w:r w:rsidRPr="003171CD">
        <w:rPr>
          <w:rFonts w:cs="Arial"/>
          <w:lang w:val="en-US"/>
        </w:rPr>
        <w:t>feelings of frustration and impotence</w:t>
      </w:r>
      <w:r w:rsidR="005A65CE" w:rsidRPr="003171CD">
        <w:rPr>
          <w:rFonts w:cs="Arial"/>
          <w:lang w:val="en-US"/>
        </w:rPr>
        <w:t xml:space="preserve">, </w:t>
      </w:r>
      <w:r w:rsidR="005A65CE" w:rsidRPr="003171CD">
        <w:rPr>
          <w:rFonts w:cs="Times"/>
          <w:lang w:val="en-US"/>
        </w:rPr>
        <w:t>a</w:t>
      </w:r>
      <w:r w:rsidRPr="003171CD">
        <w:rPr>
          <w:rFonts w:cs="Times"/>
          <w:lang w:val="en-US"/>
        </w:rPr>
        <w:t xml:space="preserve">s a result of the violation of the rights to </w:t>
      </w:r>
      <w:r w:rsidR="005A65CE" w:rsidRPr="003171CD">
        <w:rPr>
          <w:rFonts w:cs="Times"/>
          <w:lang w:val="en-US"/>
        </w:rPr>
        <w:t xml:space="preserve">personal </w:t>
      </w:r>
      <w:r w:rsidRPr="003171CD">
        <w:rPr>
          <w:rFonts w:cs="Times"/>
          <w:lang w:val="en-US"/>
        </w:rPr>
        <w:t>liberty</w:t>
      </w:r>
      <w:r w:rsidR="005A65CE" w:rsidRPr="003171CD">
        <w:rPr>
          <w:rFonts w:cs="Times"/>
          <w:lang w:val="en-US"/>
        </w:rPr>
        <w:t xml:space="preserve">, judicial </w:t>
      </w:r>
      <w:r w:rsidRPr="003171CD">
        <w:rPr>
          <w:rFonts w:cs="Times"/>
          <w:lang w:val="en-US"/>
        </w:rPr>
        <w:t>guarantees</w:t>
      </w:r>
      <w:r w:rsidR="005A65CE" w:rsidRPr="003171CD">
        <w:rPr>
          <w:rFonts w:cs="Times"/>
          <w:lang w:val="en-US"/>
        </w:rPr>
        <w:t xml:space="preserve"> and judicial protection</w:t>
      </w:r>
      <w:r w:rsidR="008126A8" w:rsidRPr="003171CD">
        <w:rPr>
          <w:rFonts w:cs="Times"/>
          <w:lang w:val="en-US"/>
        </w:rPr>
        <w:t xml:space="preserve"> of </w:t>
      </w:r>
      <w:r w:rsidR="008126A8" w:rsidRPr="003171CD">
        <w:rPr>
          <w:rFonts w:cs="Arial"/>
          <w:lang w:val="en-US"/>
        </w:rPr>
        <w:t>José Agapito Ruano Torres</w:t>
      </w:r>
      <w:r w:rsidR="005A65CE" w:rsidRPr="003171CD">
        <w:rPr>
          <w:rFonts w:cs="Times"/>
          <w:lang w:val="en-US"/>
        </w:rPr>
        <w:t xml:space="preserve">, </w:t>
      </w:r>
      <w:r w:rsidR="00C32896" w:rsidRPr="003171CD">
        <w:rPr>
          <w:rFonts w:cs="Times"/>
          <w:lang w:val="en-US"/>
        </w:rPr>
        <w:t xml:space="preserve">and also </w:t>
      </w:r>
      <w:r w:rsidR="008126A8" w:rsidRPr="003171CD">
        <w:rPr>
          <w:rFonts w:cs="Times"/>
          <w:lang w:val="en-US"/>
        </w:rPr>
        <w:t xml:space="preserve">because of the precarious prison </w:t>
      </w:r>
      <w:r w:rsidR="005A65CE" w:rsidRPr="003171CD">
        <w:rPr>
          <w:rFonts w:cs="Times"/>
          <w:lang w:val="en-US"/>
        </w:rPr>
        <w:t xml:space="preserve">conditions </w:t>
      </w:r>
      <w:r w:rsidR="008126A8" w:rsidRPr="003171CD">
        <w:rPr>
          <w:rFonts w:cs="Times"/>
          <w:lang w:val="en-US"/>
        </w:rPr>
        <w:t>he endured</w:t>
      </w:r>
      <w:r w:rsidR="005A65CE" w:rsidRPr="003171CD">
        <w:rPr>
          <w:rFonts w:cs="Arial"/>
          <w:lang w:val="en-US"/>
        </w:rPr>
        <w:t xml:space="preserve">. </w:t>
      </w:r>
      <w:r w:rsidR="00C32896" w:rsidRPr="003171CD">
        <w:rPr>
          <w:rFonts w:cs="Arial"/>
          <w:lang w:val="en-US"/>
        </w:rPr>
        <w:t>Therefore</w:t>
      </w:r>
      <w:r w:rsidR="008126A8" w:rsidRPr="003171CD">
        <w:rPr>
          <w:rFonts w:cs="Arial"/>
          <w:lang w:val="en-US"/>
        </w:rPr>
        <w:t>, the Court declares</w:t>
      </w:r>
      <w:r w:rsidR="005A65CE" w:rsidRPr="003171CD">
        <w:rPr>
          <w:rFonts w:cs="Arial"/>
          <w:lang w:val="en-US"/>
        </w:rPr>
        <w:t xml:space="preserve"> that </w:t>
      </w:r>
      <w:r w:rsidR="005A65CE" w:rsidRPr="003171CD">
        <w:rPr>
          <w:rFonts w:cs="Times"/>
          <w:lang w:val="en-US"/>
        </w:rPr>
        <w:t>the State viol</w:t>
      </w:r>
      <w:r w:rsidR="008126A8" w:rsidRPr="003171CD">
        <w:rPr>
          <w:rFonts w:cs="Times"/>
          <w:lang w:val="en-US"/>
        </w:rPr>
        <w:t xml:space="preserve">ated </w:t>
      </w:r>
      <w:r w:rsidR="005A65CE" w:rsidRPr="003171CD">
        <w:rPr>
          <w:rFonts w:cs="Times"/>
          <w:lang w:val="en-US"/>
        </w:rPr>
        <w:t xml:space="preserve">the </w:t>
      </w:r>
      <w:r w:rsidR="00765AD7" w:rsidRPr="003171CD">
        <w:rPr>
          <w:rFonts w:cs="Times"/>
          <w:lang w:val="en-US"/>
        </w:rPr>
        <w:t>right</w:t>
      </w:r>
      <w:r w:rsidR="008126A8" w:rsidRPr="003171CD">
        <w:rPr>
          <w:rFonts w:cs="Times"/>
          <w:lang w:val="en-US"/>
        </w:rPr>
        <w:t xml:space="preserve"> </w:t>
      </w:r>
      <w:r w:rsidR="000B5F32" w:rsidRPr="003171CD">
        <w:rPr>
          <w:rFonts w:cs="Times"/>
          <w:lang w:val="en-US"/>
        </w:rPr>
        <w:t xml:space="preserve">to personal integrity </w:t>
      </w:r>
      <w:r w:rsidR="008126A8" w:rsidRPr="003171CD">
        <w:rPr>
          <w:rFonts w:cs="Times"/>
          <w:lang w:val="en-US"/>
        </w:rPr>
        <w:t>recognized in Article 5(</w:t>
      </w:r>
      <w:r w:rsidR="005A65CE" w:rsidRPr="003171CD">
        <w:rPr>
          <w:rFonts w:cs="Times"/>
          <w:lang w:val="en-US"/>
        </w:rPr>
        <w:t>1</w:t>
      </w:r>
      <w:r w:rsidR="008126A8" w:rsidRPr="003171CD">
        <w:rPr>
          <w:rFonts w:cs="Times"/>
          <w:lang w:val="en-US"/>
        </w:rPr>
        <w:t>)</w:t>
      </w:r>
      <w:r w:rsidR="005A65CE" w:rsidRPr="003171CD">
        <w:rPr>
          <w:rFonts w:cs="Times"/>
          <w:lang w:val="en-US"/>
        </w:rPr>
        <w:t xml:space="preserve"> of the American Convention, in relation to Article 1(1</w:t>
      </w:r>
      <w:r w:rsidR="008126A8" w:rsidRPr="003171CD">
        <w:rPr>
          <w:rFonts w:cs="Times"/>
          <w:lang w:val="en-US"/>
        </w:rPr>
        <w:t xml:space="preserve">) thereof, to the detriment of </w:t>
      </w:r>
      <w:r w:rsidR="00C32896" w:rsidRPr="003171CD">
        <w:rPr>
          <w:rFonts w:cs="Times"/>
          <w:lang w:val="en-US"/>
        </w:rPr>
        <w:t>María Maribel Guevara de</w:t>
      </w:r>
      <w:r w:rsidR="005A65CE" w:rsidRPr="003171CD">
        <w:rPr>
          <w:rFonts w:cs="Times"/>
          <w:lang w:val="en-US"/>
        </w:rPr>
        <w:t xml:space="preserve"> Ruano, Oscar Manuel Ruano Guevara, Keily Lisbeth Ruano Guevara and Pedro Torres Hércules.</w:t>
      </w:r>
    </w:p>
    <w:p w14:paraId="54787961" w14:textId="77777777" w:rsidR="005A65CE" w:rsidRPr="003171CD" w:rsidRDefault="005A65CE" w:rsidP="005A65CE">
      <w:pPr>
        <w:jc w:val="both"/>
        <w:rPr>
          <w:rFonts w:eastAsiaTheme="minorHAnsi" w:cs="Arial"/>
          <w:snapToGrid/>
          <w:lang w:val="en-US" w:eastAsia="en-US"/>
        </w:rPr>
      </w:pPr>
    </w:p>
    <w:p w14:paraId="2CD571DB" w14:textId="77777777" w:rsidR="005A65CE" w:rsidRPr="003171CD" w:rsidRDefault="005A65CE" w:rsidP="005A65CE">
      <w:pPr>
        <w:pStyle w:val="Ttulo1"/>
        <w:numPr>
          <w:ilvl w:val="0"/>
          <w:numId w:val="0"/>
        </w:numPr>
        <w:ind w:left="360"/>
        <w:rPr>
          <w:rFonts w:eastAsia="Times New Roman" w:cs="Arial"/>
          <w:bCs/>
          <w:caps/>
          <w:snapToGrid/>
          <w:lang w:val="en-US" w:eastAsia="en-US"/>
        </w:rPr>
      </w:pPr>
      <w:bookmarkStart w:id="58" w:name="_Toc406580700"/>
      <w:bookmarkStart w:id="59" w:name="_Toc392536827"/>
      <w:bookmarkStart w:id="60" w:name="_Toc402459730"/>
      <w:bookmarkStart w:id="61" w:name="_Toc402461114"/>
      <w:bookmarkStart w:id="62" w:name="_Toc402799510"/>
      <w:bookmarkStart w:id="63" w:name="_Toc45186716"/>
      <w:bookmarkStart w:id="64" w:name="_Toc45703218"/>
      <w:r w:rsidRPr="003171CD">
        <w:rPr>
          <w:rFonts w:eastAsia="Times New Roman" w:cs="Arial"/>
          <w:bCs/>
          <w:caps/>
          <w:snapToGrid/>
          <w:lang w:val="en-US" w:eastAsia="en-US"/>
        </w:rPr>
        <w:t>VIII</w:t>
      </w:r>
      <w:r w:rsidRPr="003171CD">
        <w:rPr>
          <w:rFonts w:eastAsia="Times New Roman" w:cs="Arial"/>
          <w:bCs/>
          <w:caps/>
          <w:snapToGrid/>
          <w:lang w:val="en-US" w:eastAsia="en-US"/>
        </w:rPr>
        <w:br/>
        <w:t>REPARATIONS</w:t>
      </w:r>
      <w:bookmarkStart w:id="65" w:name="_Toc402459731"/>
      <w:bookmarkStart w:id="66" w:name="_Toc402461115"/>
      <w:bookmarkStart w:id="67" w:name="_Toc402799511"/>
      <w:bookmarkEnd w:id="58"/>
      <w:bookmarkEnd w:id="59"/>
      <w:bookmarkEnd w:id="60"/>
      <w:bookmarkEnd w:id="61"/>
      <w:bookmarkEnd w:id="62"/>
      <w:bookmarkEnd w:id="63"/>
      <w:bookmarkEnd w:id="64"/>
    </w:p>
    <w:p w14:paraId="137D9C74" w14:textId="77777777" w:rsidR="005A65CE" w:rsidRPr="003171CD" w:rsidRDefault="005A65CE" w:rsidP="005A65CE">
      <w:pPr>
        <w:jc w:val="center"/>
        <w:rPr>
          <w:rFonts w:eastAsia="Times New Roman" w:cs="Arial"/>
          <w:b/>
          <w:bCs/>
          <w:caps/>
          <w:snapToGrid/>
          <w:lang w:val="en-US" w:eastAsia="en-US"/>
        </w:rPr>
      </w:pPr>
      <w:r w:rsidRPr="003171CD">
        <w:rPr>
          <w:rFonts w:eastAsia="Times New Roman" w:cs="Arial"/>
          <w:b/>
          <w:bCs/>
          <w:caps/>
          <w:snapToGrid/>
          <w:lang w:val="en-US" w:eastAsia="en-US"/>
        </w:rPr>
        <w:t>(</w:t>
      </w:r>
      <w:r w:rsidR="008126A8" w:rsidRPr="003171CD">
        <w:rPr>
          <w:rFonts w:eastAsia="Times New Roman" w:cs="Arial"/>
          <w:b/>
          <w:bCs/>
          <w:snapToGrid/>
          <w:lang w:val="en-US" w:eastAsia="en-US"/>
        </w:rPr>
        <w:t>Application of Article 63(</w:t>
      </w:r>
      <w:r w:rsidRPr="003171CD">
        <w:rPr>
          <w:rFonts w:eastAsia="Times New Roman" w:cs="Arial"/>
          <w:b/>
          <w:bCs/>
          <w:snapToGrid/>
          <w:lang w:val="en-US" w:eastAsia="en-US"/>
        </w:rPr>
        <w:t>1</w:t>
      </w:r>
      <w:r w:rsidR="008126A8" w:rsidRPr="003171CD">
        <w:rPr>
          <w:rFonts w:eastAsia="Times New Roman" w:cs="Arial"/>
          <w:b/>
          <w:bCs/>
          <w:snapToGrid/>
          <w:lang w:val="en-US" w:eastAsia="en-US"/>
        </w:rPr>
        <w:t>)</w:t>
      </w:r>
      <w:r w:rsidRPr="003171CD">
        <w:rPr>
          <w:rFonts w:eastAsia="Times New Roman" w:cs="Arial"/>
          <w:b/>
          <w:bCs/>
          <w:snapToGrid/>
          <w:lang w:val="en-US" w:eastAsia="en-US"/>
        </w:rPr>
        <w:t xml:space="preserve"> of the American Convention</w:t>
      </w:r>
      <w:r w:rsidRPr="003171CD">
        <w:rPr>
          <w:rFonts w:eastAsia="Times New Roman" w:cs="Arial"/>
          <w:b/>
          <w:bCs/>
          <w:caps/>
          <w:snapToGrid/>
          <w:lang w:val="en-US" w:eastAsia="en-US"/>
        </w:rPr>
        <w:t>)</w:t>
      </w:r>
      <w:bookmarkEnd w:id="65"/>
      <w:bookmarkEnd w:id="66"/>
      <w:bookmarkEnd w:id="67"/>
    </w:p>
    <w:p w14:paraId="54E7C2F7" w14:textId="77777777" w:rsidR="005A65CE" w:rsidRPr="003171CD" w:rsidRDefault="005A65CE" w:rsidP="005A65CE">
      <w:pPr>
        <w:jc w:val="center"/>
        <w:rPr>
          <w:b/>
          <w:lang w:val="en-US"/>
        </w:rPr>
      </w:pPr>
    </w:p>
    <w:p w14:paraId="5A2F59BE" w14:textId="77777777" w:rsidR="005A65CE" w:rsidRPr="003171CD" w:rsidRDefault="008126A8" w:rsidP="005A65CE">
      <w:pPr>
        <w:pStyle w:val="Prrafodelista"/>
        <w:numPr>
          <w:ilvl w:val="0"/>
          <w:numId w:val="1"/>
        </w:numPr>
        <w:tabs>
          <w:tab w:val="left" w:pos="720"/>
          <w:tab w:val="num" w:pos="5057"/>
        </w:tabs>
        <w:ind w:right="-90"/>
        <w:jc w:val="both"/>
        <w:rPr>
          <w:lang w:val="en-US"/>
        </w:rPr>
      </w:pPr>
      <w:r w:rsidRPr="003171CD">
        <w:rPr>
          <w:lang w:val="en-US"/>
        </w:rPr>
        <w:t>Based on the provisions of Article 63(</w:t>
      </w:r>
      <w:r w:rsidR="005A65CE" w:rsidRPr="003171CD">
        <w:rPr>
          <w:lang w:val="en-US"/>
        </w:rPr>
        <w:t>1</w:t>
      </w:r>
      <w:r w:rsidRPr="003171CD">
        <w:rPr>
          <w:lang w:val="en-US"/>
        </w:rPr>
        <w:t>)</w:t>
      </w:r>
      <w:r w:rsidR="005A65CE" w:rsidRPr="003171CD">
        <w:rPr>
          <w:lang w:val="en-US"/>
        </w:rPr>
        <w:t xml:space="preserve"> of the American Convention</w:t>
      </w:r>
      <w:r w:rsidR="008C349C" w:rsidRPr="003171CD">
        <w:rPr>
          <w:lang w:val="en-US"/>
        </w:rPr>
        <w:t>,</w:t>
      </w:r>
      <w:r w:rsidR="005A65CE" w:rsidRPr="003171CD">
        <w:rPr>
          <w:rStyle w:val="Refdenotaalpie"/>
          <w:lang w:val="en-US"/>
        </w:rPr>
        <w:footnoteReference w:id="279"/>
      </w:r>
      <w:r w:rsidR="005A65CE" w:rsidRPr="003171CD">
        <w:rPr>
          <w:lang w:val="en-US"/>
        </w:rPr>
        <w:t xml:space="preserve"> the Court ha</w:t>
      </w:r>
      <w:r w:rsidRPr="003171CD">
        <w:rPr>
          <w:lang w:val="en-US"/>
        </w:rPr>
        <w:t>s</w:t>
      </w:r>
      <w:r w:rsidR="005A65CE" w:rsidRPr="003171CD">
        <w:rPr>
          <w:lang w:val="en-US"/>
        </w:rPr>
        <w:t xml:space="preserve"> indicated </w:t>
      </w:r>
      <w:r w:rsidR="00362D37" w:rsidRPr="003171CD">
        <w:rPr>
          <w:szCs w:val="20"/>
          <w:lang w:val="en-US"/>
        </w:rPr>
        <w:t xml:space="preserve">that any violation of an international obligation that has produced harm entails the obligation to make </w:t>
      </w:r>
      <w:r w:rsidR="00362D37" w:rsidRPr="003171CD">
        <w:rPr>
          <w:szCs w:val="20"/>
          <w:lang w:val="en-US"/>
        </w:rPr>
        <w:lastRenderedPageBreak/>
        <w:t>adequate reparation</w:t>
      </w:r>
      <w:r w:rsidR="00362D37" w:rsidRPr="003171CD">
        <w:rPr>
          <w:lang w:val="en-US"/>
        </w:rPr>
        <w:t xml:space="preserve"> </w:t>
      </w:r>
      <w:r w:rsidR="00362D37" w:rsidRPr="003171CD">
        <w:rPr>
          <w:szCs w:val="20"/>
          <w:lang w:val="en-US"/>
        </w:rPr>
        <w:t>and that this provision reflects a customary norm that constitutes one of the fundamental principles of contemporary</w:t>
      </w:r>
      <w:r w:rsidR="00362D37" w:rsidRPr="003171CD">
        <w:rPr>
          <w:lang w:val="en-US"/>
        </w:rPr>
        <w:t xml:space="preserve"> international law on State responsibility</w:t>
      </w:r>
      <w:r w:rsidRPr="003171CD">
        <w:rPr>
          <w:lang w:val="en-US"/>
        </w:rPr>
        <w:t>.</w:t>
      </w:r>
      <w:r w:rsidR="005A65CE" w:rsidRPr="003171CD">
        <w:rPr>
          <w:vertAlign w:val="superscript"/>
          <w:lang w:val="en-US"/>
        </w:rPr>
        <w:footnoteReference w:id="280"/>
      </w:r>
    </w:p>
    <w:p w14:paraId="6592A9F5" w14:textId="77777777" w:rsidR="005A65CE" w:rsidRPr="003171CD" w:rsidRDefault="005A65CE" w:rsidP="005A65CE">
      <w:pPr>
        <w:contextualSpacing/>
        <w:jc w:val="both"/>
        <w:rPr>
          <w:lang w:val="en-US"/>
        </w:rPr>
      </w:pPr>
    </w:p>
    <w:p w14:paraId="468F1756" w14:textId="77777777" w:rsidR="005A65CE" w:rsidRPr="003171CD" w:rsidRDefault="00362D37" w:rsidP="005A65CE">
      <w:pPr>
        <w:numPr>
          <w:ilvl w:val="0"/>
          <w:numId w:val="1"/>
        </w:numPr>
        <w:autoSpaceDE/>
        <w:autoSpaceDN/>
        <w:adjustRightInd/>
        <w:contextualSpacing/>
        <w:jc w:val="both"/>
        <w:rPr>
          <w:lang w:val="en-US"/>
        </w:rPr>
      </w:pPr>
      <w:r w:rsidRPr="003171CD">
        <w:rPr>
          <w:bCs/>
          <w:iCs/>
          <w:lang w:val="en-US"/>
        </w:rPr>
        <w:t>The reparation of the harm caused by the violation of an international obligation requires, whenever possible, full restitution (</w:t>
      </w:r>
      <w:r w:rsidRPr="003171CD">
        <w:rPr>
          <w:bCs/>
          <w:i/>
          <w:iCs/>
          <w:lang w:val="en-US"/>
        </w:rPr>
        <w:t>restitutio in integrum</w:t>
      </w:r>
      <w:r w:rsidRPr="003171CD">
        <w:rPr>
          <w:bCs/>
          <w:iCs/>
          <w:lang w:val="en-US"/>
        </w:rPr>
        <w:t>), which consists of the re-establishment of the previous situation</w:t>
      </w:r>
      <w:r w:rsidRPr="003171CD">
        <w:rPr>
          <w:bCs/>
          <w:lang w:val="en-US"/>
        </w:rPr>
        <w:t xml:space="preserve">. </w:t>
      </w:r>
      <w:r w:rsidRPr="003171CD">
        <w:rPr>
          <w:lang w:val="en-US"/>
        </w:rPr>
        <w:t xml:space="preserve">If this is not feasible, </w:t>
      </w:r>
      <w:r w:rsidRPr="003171CD">
        <w:rPr>
          <w:bCs/>
          <w:iCs/>
          <w:lang w:val="en-US"/>
        </w:rPr>
        <w:t xml:space="preserve">the Court will determine measures to guarantee the rights that have been violated and to redress the consequences of </w:t>
      </w:r>
      <w:r w:rsidR="005A65CE" w:rsidRPr="003171CD">
        <w:rPr>
          <w:lang w:val="en-US"/>
        </w:rPr>
        <w:t>th</w:t>
      </w:r>
      <w:r w:rsidRPr="003171CD">
        <w:rPr>
          <w:lang w:val="en-US"/>
        </w:rPr>
        <w:t>os</w:t>
      </w:r>
      <w:r w:rsidR="005A65CE" w:rsidRPr="003171CD">
        <w:rPr>
          <w:lang w:val="en-US"/>
        </w:rPr>
        <w:t xml:space="preserve">e </w:t>
      </w:r>
      <w:r w:rsidRPr="003171CD">
        <w:rPr>
          <w:lang w:val="en-US"/>
        </w:rPr>
        <w:t>violations.</w:t>
      </w:r>
      <w:r w:rsidR="005A65CE" w:rsidRPr="003171CD">
        <w:rPr>
          <w:rStyle w:val="Refdenotaalpie"/>
          <w:lang w:val="en-US"/>
        </w:rPr>
        <w:footnoteReference w:id="281"/>
      </w:r>
      <w:r w:rsidR="005A65CE" w:rsidRPr="003171CD">
        <w:rPr>
          <w:lang w:val="en-US"/>
        </w:rPr>
        <w:t xml:space="preserve"> </w:t>
      </w:r>
      <w:r w:rsidR="00E70DD9" w:rsidRPr="003171CD">
        <w:rPr>
          <w:lang w:val="en-US"/>
        </w:rPr>
        <w:t>Therefore</w:t>
      </w:r>
      <w:r w:rsidR="007744BD" w:rsidRPr="003171CD">
        <w:rPr>
          <w:lang w:val="en-US"/>
        </w:rPr>
        <w:t>, the Court has considered it necessary to grant different measures of reparation in order to redress the harm comprehensively; thus, in addit</w:t>
      </w:r>
      <w:r w:rsidR="00F15251" w:rsidRPr="003171CD">
        <w:rPr>
          <w:lang w:val="en-US"/>
        </w:rPr>
        <w:t xml:space="preserve">ion to pecuniary compensation, </w:t>
      </w:r>
      <w:r w:rsidR="007744BD" w:rsidRPr="003171CD">
        <w:rPr>
          <w:lang w:val="en-US"/>
        </w:rPr>
        <w:t>measures of restitution, rehabilitation and satisfaction, and guarantees of non-repetition have special relevance for the harm caused</w:t>
      </w:r>
      <w:r w:rsidR="00DD25D9" w:rsidRPr="003171CD">
        <w:rPr>
          <w:lang w:val="en-US"/>
        </w:rPr>
        <w:t>.</w:t>
      </w:r>
      <w:r w:rsidR="005A65CE" w:rsidRPr="003171CD">
        <w:rPr>
          <w:rStyle w:val="Refdenotaalpie"/>
          <w:lang w:val="en-US"/>
        </w:rPr>
        <w:footnoteReference w:id="282"/>
      </w:r>
    </w:p>
    <w:p w14:paraId="7A7F1754" w14:textId="77777777" w:rsidR="005A65CE" w:rsidRPr="003171CD" w:rsidRDefault="005A65CE" w:rsidP="005A65CE">
      <w:pPr>
        <w:jc w:val="both"/>
        <w:rPr>
          <w:lang w:val="en-US"/>
        </w:rPr>
      </w:pPr>
    </w:p>
    <w:p w14:paraId="78AEF097" w14:textId="77777777" w:rsidR="005A65CE" w:rsidRPr="003171CD" w:rsidRDefault="007744BD" w:rsidP="005A65CE">
      <w:pPr>
        <w:numPr>
          <w:ilvl w:val="0"/>
          <w:numId w:val="1"/>
        </w:numPr>
        <w:autoSpaceDE/>
        <w:autoSpaceDN/>
        <w:adjustRightInd/>
        <w:contextualSpacing/>
        <w:jc w:val="both"/>
        <w:rPr>
          <w:lang w:val="en-US"/>
        </w:rPr>
      </w:pPr>
      <w:r w:rsidRPr="003171CD">
        <w:rPr>
          <w:lang w:val="en-US"/>
        </w:rPr>
        <w:t xml:space="preserve">The Court has established that reparations must have a causal nexus with the facts of the case, the violations declared, the harm proved, and the measures requested to redress the respective </w:t>
      </w:r>
      <w:r w:rsidR="00E67AA7" w:rsidRPr="003171CD">
        <w:rPr>
          <w:lang w:val="en-US"/>
        </w:rPr>
        <w:t>damage caused</w:t>
      </w:r>
      <w:r w:rsidRPr="003171CD">
        <w:rPr>
          <w:lang w:val="en-US"/>
        </w:rPr>
        <w:t xml:space="preserve">. Therefore, the Court must observe the concurrence of these factors </w:t>
      </w:r>
      <w:r w:rsidR="00E70DD9" w:rsidRPr="003171CD">
        <w:rPr>
          <w:lang w:val="en-US"/>
        </w:rPr>
        <w:t xml:space="preserve">in order </w:t>
      </w:r>
      <w:r w:rsidRPr="003171CD">
        <w:rPr>
          <w:lang w:val="en-US"/>
        </w:rPr>
        <w:t>to rule appropriately and</w:t>
      </w:r>
      <w:r w:rsidR="005A65CE" w:rsidRPr="003171CD">
        <w:rPr>
          <w:lang w:val="en-US"/>
        </w:rPr>
        <w:t xml:space="preserve"> </w:t>
      </w:r>
      <w:r w:rsidR="00DD25D9" w:rsidRPr="003171CD">
        <w:rPr>
          <w:lang w:val="en-US"/>
        </w:rPr>
        <w:t>according to the law.</w:t>
      </w:r>
      <w:r w:rsidR="005A65CE" w:rsidRPr="003171CD">
        <w:rPr>
          <w:vertAlign w:val="superscript"/>
          <w:lang w:val="en-US"/>
        </w:rPr>
        <w:footnoteReference w:id="283"/>
      </w:r>
    </w:p>
    <w:p w14:paraId="6A50D374" w14:textId="77777777" w:rsidR="005A65CE" w:rsidRPr="003171CD" w:rsidRDefault="005A65CE" w:rsidP="005A65CE">
      <w:pPr>
        <w:jc w:val="both"/>
        <w:rPr>
          <w:lang w:val="en-US"/>
        </w:rPr>
      </w:pPr>
    </w:p>
    <w:p w14:paraId="39CCFA0F" w14:textId="77777777" w:rsidR="005A65CE" w:rsidRPr="003171CD" w:rsidRDefault="00362D37" w:rsidP="005A65CE">
      <w:pPr>
        <w:numPr>
          <w:ilvl w:val="0"/>
          <w:numId w:val="1"/>
        </w:numPr>
        <w:autoSpaceDE/>
        <w:autoSpaceDN/>
        <w:adjustRightInd/>
        <w:contextualSpacing/>
        <w:jc w:val="both"/>
        <w:rPr>
          <w:lang w:val="en-US"/>
        </w:rPr>
      </w:pPr>
      <w:r w:rsidRPr="003171CD">
        <w:rPr>
          <w:lang w:val="en-US"/>
        </w:rPr>
        <w:t>Considering the violations of the Convention declared in the foregoing chapters, the Court will proceed to examine the claims presented by the Commission and the representatives</w:t>
      </w:r>
      <w:r w:rsidR="005A65CE" w:rsidRPr="003171CD">
        <w:rPr>
          <w:lang w:val="en-US"/>
        </w:rPr>
        <w:t xml:space="preserve">, </w:t>
      </w:r>
      <w:r w:rsidRPr="003171CD">
        <w:rPr>
          <w:lang w:val="en-US" w:bidi="en-US"/>
        </w:rPr>
        <w:t xml:space="preserve">as well as the arguments of the State, in light </w:t>
      </w:r>
      <w:r w:rsidRPr="003171CD">
        <w:rPr>
          <w:lang w:val="en-US"/>
        </w:rPr>
        <w:t>of the criteria established in its case law regarding the nature and scope of the obligation to make reparation,</w:t>
      </w:r>
      <w:r w:rsidR="005A65CE" w:rsidRPr="003171CD">
        <w:rPr>
          <w:vertAlign w:val="superscript"/>
          <w:lang w:val="en-US"/>
        </w:rPr>
        <w:footnoteReference w:id="284"/>
      </w:r>
      <w:r w:rsidR="005A65CE" w:rsidRPr="003171CD">
        <w:rPr>
          <w:lang w:val="en-US"/>
        </w:rPr>
        <w:t xml:space="preserve"> </w:t>
      </w:r>
      <w:r w:rsidR="0048176F" w:rsidRPr="003171CD">
        <w:rPr>
          <w:lang w:val="en-US"/>
        </w:rPr>
        <w:t xml:space="preserve">in order </w:t>
      </w:r>
      <w:r w:rsidRPr="003171CD">
        <w:rPr>
          <w:lang w:val="en-US"/>
        </w:rPr>
        <w:t>to establish measures aimed at redressing the harm caused to the victims</w:t>
      </w:r>
      <w:r w:rsidR="005A65CE" w:rsidRPr="003171CD">
        <w:rPr>
          <w:lang w:val="en-US"/>
        </w:rPr>
        <w:t>.</w:t>
      </w:r>
    </w:p>
    <w:p w14:paraId="07A1E107" w14:textId="77777777" w:rsidR="005A65CE" w:rsidRPr="003171CD" w:rsidRDefault="005A65CE" w:rsidP="005A65CE">
      <w:pPr>
        <w:widowControl w:val="0"/>
        <w:tabs>
          <w:tab w:val="left" w:pos="720"/>
        </w:tabs>
        <w:jc w:val="both"/>
        <w:textAlignment w:val="baseline"/>
        <w:rPr>
          <w:lang w:val="en-US"/>
        </w:rPr>
      </w:pPr>
    </w:p>
    <w:p w14:paraId="68427945" w14:textId="77777777" w:rsidR="005A65CE" w:rsidRPr="003171CD" w:rsidRDefault="005A65CE" w:rsidP="005A65CE">
      <w:pPr>
        <w:pStyle w:val="Prrafodelista"/>
        <w:keepNext/>
        <w:keepLines/>
        <w:numPr>
          <w:ilvl w:val="0"/>
          <w:numId w:val="19"/>
        </w:numPr>
        <w:ind w:left="1418" w:hanging="709"/>
        <w:jc w:val="both"/>
        <w:outlineLvl w:val="1"/>
        <w:rPr>
          <w:rFonts w:cs="Arial"/>
          <w:b/>
          <w:i/>
          <w:lang w:val="en-US"/>
        </w:rPr>
      </w:pPr>
      <w:bookmarkStart w:id="68" w:name="_Toc45186717"/>
      <w:r w:rsidRPr="003171CD">
        <w:rPr>
          <w:rFonts w:cs="Arial"/>
          <w:b/>
          <w:i/>
          <w:lang w:val="en-US"/>
        </w:rPr>
        <w:t>Injured party</w:t>
      </w:r>
      <w:bookmarkEnd w:id="68"/>
    </w:p>
    <w:p w14:paraId="593340F4" w14:textId="77777777" w:rsidR="005A65CE" w:rsidRPr="003171CD" w:rsidRDefault="005A65CE" w:rsidP="005A65CE">
      <w:pPr>
        <w:rPr>
          <w:lang w:val="en-US"/>
        </w:rPr>
      </w:pPr>
    </w:p>
    <w:p w14:paraId="1E4FB845" w14:textId="77777777" w:rsidR="005A65CE" w:rsidRPr="003171CD" w:rsidRDefault="00DD25D9" w:rsidP="005A65CE">
      <w:pPr>
        <w:pStyle w:val="Prrafodelista"/>
        <w:numPr>
          <w:ilvl w:val="0"/>
          <w:numId w:val="1"/>
        </w:numPr>
        <w:autoSpaceDE/>
        <w:autoSpaceDN/>
        <w:adjustRightInd/>
        <w:contextualSpacing/>
        <w:jc w:val="both"/>
        <w:rPr>
          <w:lang w:val="en-US"/>
        </w:rPr>
      </w:pPr>
      <w:r w:rsidRPr="003171CD">
        <w:rPr>
          <w:lang w:val="en-US"/>
        </w:rPr>
        <w:t>Under</w:t>
      </w:r>
      <w:r w:rsidR="008C349C" w:rsidRPr="003171CD">
        <w:rPr>
          <w:lang w:val="en-US"/>
        </w:rPr>
        <w:t xml:space="preserve"> the terms of </w:t>
      </w:r>
      <w:r w:rsidR="005A65CE" w:rsidRPr="003171CD">
        <w:rPr>
          <w:lang w:val="en-US"/>
        </w:rPr>
        <w:t xml:space="preserve">Article </w:t>
      </w:r>
      <w:r w:rsidR="008C349C" w:rsidRPr="003171CD">
        <w:rPr>
          <w:lang w:val="en-US"/>
        </w:rPr>
        <w:t>63(1)</w:t>
      </w:r>
      <w:r w:rsidR="005A65CE" w:rsidRPr="003171CD">
        <w:rPr>
          <w:lang w:val="en-US"/>
        </w:rPr>
        <w:t xml:space="preserve"> of the Convention, </w:t>
      </w:r>
      <w:r w:rsidRPr="003171CD">
        <w:rPr>
          <w:lang w:val="en-US"/>
        </w:rPr>
        <w:t xml:space="preserve">this Court considers as injured party anyone who has been </w:t>
      </w:r>
      <w:r w:rsidR="005A65CE" w:rsidRPr="003171CD">
        <w:rPr>
          <w:lang w:val="en-US"/>
        </w:rPr>
        <w:t>declar</w:t>
      </w:r>
      <w:r w:rsidRPr="003171CD">
        <w:rPr>
          <w:lang w:val="en-US"/>
        </w:rPr>
        <w:t>ed a victim</w:t>
      </w:r>
      <w:r w:rsidR="005A65CE" w:rsidRPr="003171CD">
        <w:rPr>
          <w:lang w:val="en-US"/>
        </w:rPr>
        <w:t xml:space="preserve"> of the violation of </w:t>
      </w:r>
      <w:r w:rsidRPr="003171CD">
        <w:rPr>
          <w:lang w:val="en-US"/>
        </w:rPr>
        <w:t xml:space="preserve">any </w:t>
      </w:r>
      <w:r w:rsidR="00765AD7" w:rsidRPr="003171CD">
        <w:rPr>
          <w:lang w:val="en-US"/>
        </w:rPr>
        <w:t>right</w:t>
      </w:r>
      <w:r w:rsidR="005A65CE" w:rsidRPr="003171CD">
        <w:rPr>
          <w:lang w:val="en-US"/>
        </w:rPr>
        <w:t xml:space="preserve"> recognized </w:t>
      </w:r>
      <w:r w:rsidRPr="003171CD">
        <w:rPr>
          <w:lang w:val="en-US"/>
        </w:rPr>
        <w:t>there</w:t>
      </w:r>
      <w:r w:rsidR="005A65CE" w:rsidRPr="003171CD">
        <w:rPr>
          <w:lang w:val="en-US"/>
        </w:rPr>
        <w:t>in</w:t>
      </w:r>
      <w:r w:rsidR="008C349C" w:rsidRPr="003171CD">
        <w:rPr>
          <w:lang w:val="en-US"/>
        </w:rPr>
        <w:t>.</w:t>
      </w:r>
      <w:r w:rsidR="005A65CE" w:rsidRPr="003171CD">
        <w:rPr>
          <w:vertAlign w:val="superscript"/>
          <w:lang w:val="en-US"/>
        </w:rPr>
        <w:footnoteReference w:id="285"/>
      </w:r>
      <w:r w:rsidR="008C349C" w:rsidRPr="003171CD">
        <w:rPr>
          <w:lang w:val="en-US"/>
        </w:rPr>
        <w:t xml:space="preserve"> Therefore, the Court considers</w:t>
      </w:r>
      <w:r w:rsidR="005A65CE" w:rsidRPr="003171CD">
        <w:rPr>
          <w:lang w:val="en-US"/>
        </w:rPr>
        <w:t xml:space="preserve"> </w:t>
      </w:r>
      <w:r w:rsidR="008C349C" w:rsidRPr="003171CD">
        <w:rPr>
          <w:lang w:val="en-US"/>
        </w:rPr>
        <w:t xml:space="preserve">as </w:t>
      </w:r>
      <w:r w:rsidRPr="003171CD">
        <w:rPr>
          <w:lang w:val="en-US"/>
        </w:rPr>
        <w:t xml:space="preserve">“injured party” </w:t>
      </w:r>
      <w:r w:rsidR="005A65CE" w:rsidRPr="003171CD">
        <w:rPr>
          <w:lang w:val="en-US"/>
        </w:rPr>
        <w:t xml:space="preserve">José Agapito Ruano </w:t>
      </w:r>
      <w:r w:rsidRPr="003171CD">
        <w:rPr>
          <w:lang w:val="en-US"/>
        </w:rPr>
        <w:t>Torres, María Maribel Guevara de</w:t>
      </w:r>
      <w:r w:rsidR="005A65CE" w:rsidRPr="003171CD">
        <w:rPr>
          <w:lang w:val="en-US"/>
        </w:rPr>
        <w:t xml:space="preserve"> Ruano, Oscar Manuel Ruano Guevara, Keily Lisbeth Ruano Gu</w:t>
      </w:r>
      <w:r w:rsidR="0048176F" w:rsidRPr="003171CD">
        <w:rPr>
          <w:lang w:val="en-US"/>
        </w:rPr>
        <w:t>evara and Pedro Torres Hércules</w:t>
      </w:r>
      <w:r w:rsidR="005A65CE" w:rsidRPr="003171CD">
        <w:rPr>
          <w:lang w:val="en-US"/>
        </w:rPr>
        <w:t xml:space="preserve"> </w:t>
      </w:r>
      <w:r w:rsidR="008C349C" w:rsidRPr="003171CD">
        <w:rPr>
          <w:lang w:val="en-US"/>
        </w:rPr>
        <w:t>who</w:t>
      </w:r>
      <w:r w:rsidR="0048176F" w:rsidRPr="003171CD">
        <w:rPr>
          <w:lang w:val="en-US"/>
        </w:rPr>
        <w:t>,</w:t>
      </w:r>
      <w:r w:rsidR="008C349C" w:rsidRPr="003171CD">
        <w:rPr>
          <w:lang w:val="en-US"/>
        </w:rPr>
        <w:t xml:space="preserve"> as </w:t>
      </w:r>
      <w:r w:rsidR="005A65CE" w:rsidRPr="003171CD">
        <w:rPr>
          <w:lang w:val="en-US"/>
        </w:rPr>
        <w:t>victims of the violations declar</w:t>
      </w:r>
      <w:r w:rsidR="008C349C" w:rsidRPr="003171CD">
        <w:rPr>
          <w:lang w:val="en-US"/>
        </w:rPr>
        <w:t xml:space="preserve">ed in this </w:t>
      </w:r>
      <w:r w:rsidR="005A65CE" w:rsidRPr="003171CD">
        <w:rPr>
          <w:lang w:val="en-US"/>
        </w:rPr>
        <w:t>Judgment, s</w:t>
      </w:r>
      <w:r w:rsidR="008C349C" w:rsidRPr="003171CD">
        <w:rPr>
          <w:lang w:val="en-US"/>
        </w:rPr>
        <w:t>hall be considered as beneficiarie</w:t>
      </w:r>
      <w:r w:rsidR="005A65CE" w:rsidRPr="003171CD">
        <w:rPr>
          <w:lang w:val="en-US"/>
        </w:rPr>
        <w:t xml:space="preserve">s of the reparations </w:t>
      </w:r>
      <w:r w:rsidR="008C349C" w:rsidRPr="003171CD">
        <w:rPr>
          <w:lang w:val="en-US"/>
        </w:rPr>
        <w:t xml:space="preserve">ordered by </w:t>
      </w:r>
      <w:r w:rsidR="005A65CE" w:rsidRPr="003171CD">
        <w:rPr>
          <w:lang w:val="en-US"/>
        </w:rPr>
        <w:t>the Court.</w:t>
      </w:r>
    </w:p>
    <w:p w14:paraId="735CEA8F" w14:textId="77777777" w:rsidR="005A65CE" w:rsidRPr="003171CD" w:rsidRDefault="005A65CE" w:rsidP="005A65CE">
      <w:pPr>
        <w:jc w:val="both"/>
        <w:rPr>
          <w:lang w:val="en-US"/>
        </w:rPr>
      </w:pPr>
    </w:p>
    <w:p w14:paraId="4E9F5254" w14:textId="77777777" w:rsidR="005A65CE" w:rsidRPr="003171CD" w:rsidRDefault="005A65CE" w:rsidP="005A65CE">
      <w:pPr>
        <w:pStyle w:val="Prrafodelista"/>
        <w:keepNext/>
        <w:keepLines/>
        <w:numPr>
          <w:ilvl w:val="0"/>
          <w:numId w:val="19"/>
        </w:numPr>
        <w:ind w:left="1418" w:hanging="709"/>
        <w:jc w:val="both"/>
        <w:outlineLvl w:val="1"/>
        <w:rPr>
          <w:rFonts w:cs="Arial"/>
          <w:b/>
          <w:i/>
          <w:lang w:val="en-US"/>
        </w:rPr>
      </w:pPr>
      <w:bookmarkStart w:id="69" w:name="_Toc406580702"/>
      <w:bookmarkStart w:id="70" w:name="_Toc45186718"/>
      <w:bookmarkStart w:id="71" w:name="_Toc384720471"/>
      <w:r w:rsidRPr="003171CD">
        <w:rPr>
          <w:rFonts w:cs="Arial"/>
          <w:b/>
          <w:i/>
          <w:lang w:val="en-US"/>
        </w:rPr>
        <w:t xml:space="preserve">Obligation </w:t>
      </w:r>
      <w:r w:rsidR="00E67AA7" w:rsidRPr="003171CD">
        <w:rPr>
          <w:rFonts w:cs="Arial"/>
          <w:b/>
          <w:i/>
          <w:lang w:val="en-US"/>
        </w:rPr>
        <w:t xml:space="preserve">to </w:t>
      </w:r>
      <w:r w:rsidRPr="003171CD">
        <w:rPr>
          <w:rFonts w:cs="Arial"/>
          <w:b/>
          <w:i/>
          <w:lang w:val="en-US"/>
        </w:rPr>
        <w:t xml:space="preserve">investigate the facts that </w:t>
      </w:r>
      <w:r w:rsidR="00E67AA7" w:rsidRPr="003171CD">
        <w:rPr>
          <w:rFonts w:cs="Arial"/>
          <w:b/>
          <w:i/>
          <w:lang w:val="en-US"/>
        </w:rPr>
        <w:t xml:space="preserve">caused </w:t>
      </w:r>
      <w:r w:rsidRPr="003171CD">
        <w:rPr>
          <w:rFonts w:cs="Arial"/>
          <w:b/>
          <w:i/>
          <w:lang w:val="en-US"/>
        </w:rPr>
        <w:t>the</w:t>
      </w:r>
      <w:r w:rsidR="00DD25D9" w:rsidRPr="003171CD">
        <w:rPr>
          <w:rFonts w:cs="Arial"/>
          <w:b/>
          <w:i/>
          <w:lang w:val="en-US"/>
        </w:rPr>
        <w:t xml:space="preserve"> violations an</w:t>
      </w:r>
      <w:r w:rsidR="0048176F" w:rsidRPr="003171CD">
        <w:rPr>
          <w:rFonts w:cs="Arial"/>
          <w:b/>
          <w:i/>
          <w:lang w:val="en-US"/>
        </w:rPr>
        <w:t>d</w:t>
      </w:r>
      <w:r w:rsidR="00E67AA7" w:rsidRPr="003171CD">
        <w:rPr>
          <w:rFonts w:cs="Arial"/>
          <w:b/>
          <w:i/>
          <w:lang w:val="en-US"/>
        </w:rPr>
        <w:t xml:space="preserve"> to</w:t>
      </w:r>
      <w:r w:rsidR="008C349C" w:rsidRPr="003171CD">
        <w:rPr>
          <w:rFonts w:cs="Arial"/>
          <w:b/>
          <w:i/>
          <w:lang w:val="en-US"/>
        </w:rPr>
        <w:t xml:space="preserve"> identify, </w:t>
      </w:r>
      <w:r w:rsidR="00DD25D9" w:rsidRPr="003171CD">
        <w:rPr>
          <w:rFonts w:cs="Arial"/>
          <w:b/>
          <w:i/>
          <w:lang w:val="en-US"/>
        </w:rPr>
        <w:t xml:space="preserve">prosecute </w:t>
      </w:r>
      <w:r w:rsidR="008C349C" w:rsidRPr="003171CD">
        <w:rPr>
          <w:rFonts w:cs="Arial"/>
          <w:b/>
          <w:i/>
          <w:lang w:val="en-US"/>
        </w:rPr>
        <w:t>and</w:t>
      </w:r>
      <w:r w:rsidRPr="003171CD">
        <w:rPr>
          <w:rFonts w:cs="Arial"/>
          <w:b/>
          <w:i/>
          <w:lang w:val="en-US"/>
        </w:rPr>
        <w:t>, i</w:t>
      </w:r>
      <w:r w:rsidR="008C349C" w:rsidRPr="003171CD">
        <w:rPr>
          <w:rFonts w:cs="Arial"/>
          <w:b/>
          <w:i/>
          <w:lang w:val="en-US"/>
        </w:rPr>
        <w:t>f appropriate, punish those responsi</w:t>
      </w:r>
      <w:r w:rsidRPr="003171CD">
        <w:rPr>
          <w:rFonts w:cs="Arial"/>
          <w:b/>
          <w:i/>
          <w:lang w:val="en-US"/>
        </w:rPr>
        <w:t>ble</w:t>
      </w:r>
      <w:bookmarkEnd w:id="69"/>
      <w:bookmarkEnd w:id="70"/>
    </w:p>
    <w:bookmarkEnd w:id="71"/>
    <w:p w14:paraId="51264D63" w14:textId="77777777" w:rsidR="005A65CE" w:rsidRPr="003171CD" w:rsidRDefault="005A65CE" w:rsidP="005A65CE">
      <w:pPr>
        <w:contextualSpacing/>
        <w:jc w:val="both"/>
        <w:rPr>
          <w:b/>
          <w:i/>
          <w:lang w:val="en-US"/>
        </w:rPr>
      </w:pPr>
    </w:p>
    <w:p w14:paraId="4573A5E2" w14:textId="77777777" w:rsidR="005A65CE" w:rsidRPr="003171CD" w:rsidRDefault="005A65CE" w:rsidP="005A65CE">
      <w:pPr>
        <w:ind w:left="720" w:firstLine="720"/>
        <w:contextualSpacing/>
        <w:jc w:val="both"/>
        <w:rPr>
          <w:b/>
          <w:i/>
          <w:lang w:val="en-US"/>
        </w:rPr>
      </w:pPr>
      <w:r w:rsidRPr="003171CD">
        <w:rPr>
          <w:b/>
          <w:i/>
          <w:lang w:val="en-US"/>
        </w:rPr>
        <w:t xml:space="preserve">B.1 </w:t>
      </w:r>
      <w:r w:rsidRPr="003171CD">
        <w:rPr>
          <w:b/>
          <w:i/>
          <w:lang w:val="en-US"/>
        </w:rPr>
        <w:tab/>
        <w:t>Re</w:t>
      </w:r>
      <w:r w:rsidR="00DD25D9" w:rsidRPr="003171CD">
        <w:rPr>
          <w:b/>
          <w:i/>
          <w:lang w:val="en-US"/>
        </w:rPr>
        <w:t xml:space="preserve">garding </w:t>
      </w:r>
      <w:r w:rsidRPr="003171CD">
        <w:rPr>
          <w:b/>
          <w:i/>
          <w:lang w:val="en-US"/>
        </w:rPr>
        <w:t>the torture</w:t>
      </w:r>
    </w:p>
    <w:p w14:paraId="00AF9D8E" w14:textId="77777777" w:rsidR="005A65CE" w:rsidRPr="003171CD" w:rsidRDefault="005A65CE" w:rsidP="005A65CE">
      <w:pPr>
        <w:rPr>
          <w:i/>
          <w:lang w:val="en-US"/>
        </w:rPr>
      </w:pPr>
    </w:p>
    <w:p w14:paraId="6C3C0AE1" w14:textId="77777777" w:rsidR="005A65CE" w:rsidRPr="003171CD" w:rsidRDefault="005A65CE" w:rsidP="005A65CE">
      <w:pPr>
        <w:ind w:firstLine="720"/>
        <w:rPr>
          <w:i/>
          <w:lang w:val="en-US"/>
        </w:rPr>
      </w:pPr>
      <w:r w:rsidRPr="003171CD">
        <w:rPr>
          <w:i/>
          <w:lang w:val="en-US"/>
        </w:rPr>
        <w:lastRenderedPageBreak/>
        <w:t>Arguments of the parties and of the Commission</w:t>
      </w:r>
    </w:p>
    <w:p w14:paraId="567A3FB7" w14:textId="77777777" w:rsidR="005A65CE" w:rsidRPr="003171CD" w:rsidRDefault="005A65CE" w:rsidP="005A65CE">
      <w:pPr>
        <w:rPr>
          <w:b/>
          <w:i/>
          <w:lang w:val="en-US"/>
        </w:rPr>
      </w:pPr>
    </w:p>
    <w:p w14:paraId="2AEB3D1A"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Commission</w:t>
      </w:r>
      <w:r w:rsidR="001B46FF" w:rsidRPr="003171CD">
        <w:rPr>
          <w:lang w:val="en-US"/>
        </w:rPr>
        <w:t xml:space="preserve"> </w:t>
      </w:r>
      <w:r w:rsidR="0048176F" w:rsidRPr="003171CD">
        <w:rPr>
          <w:lang w:val="en-US"/>
        </w:rPr>
        <w:t>r</w:t>
      </w:r>
      <w:r w:rsidR="00987265" w:rsidRPr="003171CD">
        <w:rPr>
          <w:lang w:val="en-US"/>
        </w:rPr>
        <w:t xml:space="preserve">equested that </w:t>
      </w:r>
      <w:r w:rsidR="001B46FF" w:rsidRPr="003171CD">
        <w:rPr>
          <w:lang w:val="en-US"/>
        </w:rPr>
        <w:t>the Court order</w:t>
      </w:r>
      <w:r w:rsidRPr="003171CD">
        <w:rPr>
          <w:lang w:val="en-US"/>
        </w:rPr>
        <w:t xml:space="preserve"> the State </w:t>
      </w:r>
      <w:r w:rsidR="001B46FF" w:rsidRPr="003171CD">
        <w:rPr>
          <w:lang w:val="en-US"/>
        </w:rPr>
        <w:t xml:space="preserve">to </w:t>
      </w:r>
      <w:r w:rsidRPr="003171CD">
        <w:rPr>
          <w:lang w:val="en-US"/>
        </w:rPr>
        <w:t>“</w:t>
      </w:r>
      <w:r w:rsidR="001B46FF" w:rsidRPr="003171CD">
        <w:rPr>
          <w:lang w:val="en-US"/>
        </w:rPr>
        <w:t xml:space="preserve">conduct </w:t>
      </w:r>
      <w:r w:rsidRPr="003171CD">
        <w:rPr>
          <w:lang w:val="en-US"/>
        </w:rPr>
        <w:t xml:space="preserve">a </w:t>
      </w:r>
      <w:r w:rsidR="001B46FF" w:rsidRPr="003171CD">
        <w:rPr>
          <w:lang w:val="en-US"/>
        </w:rPr>
        <w:t>serious, diligent</w:t>
      </w:r>
      <w:r w:rsidRPr="003171CD">
        <w:rPr>
          <w:lang w:val="en-US"/>
        </w:rPr>
        <w:t xml:space="preserve"> and </w:t>
      </w:r>
      <w:r w:rsidR="00EA0B61" w:rsidRPr="003171CD">
        <w:rPr>
          <w:lang w:val="en-US"/>
        </w:rPr>
        <w:t>effective</w:t>
      </w:r>
      <w:r w:rsidR="001B46FF" w:rsidRPr="003171CD">
        <w:rPr>
          <w:lang w:val="en-US"/>
        </w:rPr>
        <w:t xml:space="preserve"> investigation</w:t>
      </w:r>
      <w:r w:rsidRPr="003171CD">
        <w:rPr>
          <w:lang w:val="en-US"/>
        </w:rPr>
        <w:t xml:space="preserve">, within a reasonable time, </w:t>
      </w:r>
      <w:r w:rsidR="001B46FF" w:rsidRPr="003171CD">
        <w:rPr>
          <w:lang w:val="en-US"/>
        </w:rPr>
        <w:t xml:space="preserve">to </w:t>
      </w:r>
      <w:r w:rsidR="00F15251" w:rsidRPr="003171CD">
        <w:rPr>
          <w:lang w:val="en-US"/>
        </w:rPr>
        <w:t xml:space="preserve">clarify </w:t>
      </w:r>
      <w:r w:rsidR="00E67AA7" w:rsidRPr="003171CD">
        <w:rPr>
          <w:lang w:val="en-US"/>
        </w:rPr>
        <w:t xml:space="preserve">the </w:t>
      </w:r>
      <w:r w:rsidRPr="003171CD">
        <w:rPr>
          <w:lang w:val="en-US"/>
        </w:rPr>
        <w:t>acts of torture d</w:t>
      </w:r>
      <w:r w:rsidR="001B46FF" w:rsidRPr="003171CD">
        <w:rPr>
          <w:lang w:val="en-US"/>
        </w:rPr>
        <w:t xml:space="preserve">escribed by Mr. Ruano Torres, identify </w:t>
      </w:r>
      <w:r w:rsidRPr="003171CD">
        <w:rPr>
          <w:lang w:val="en-US"/>
        </w:rPr>
        <w:t>th</w:t>
      </w:r>
      <w:r w:rsidR="001B46FF" w:rsidRPr="003171CD">
        <w:rPr>
          <w:lang w:val="en-US"/>
        </w:rPr>
        <w:t>os</w:t>
      </w:r>
      <w:r w:rsidRPr="003171CD">
        <w:rPr>
          <w:lang w:val="en-US"/>
        </w:rPr>
        <w:t>e respons</w:t>
      </w:r>
      <w:r w:rsidR="001B46FF" w:rsidRPr="003171CD">
        <w:rPr>
          <w:lang w:val="en-US"/>
        </w:rPr>
        <w:t xml:space="preserve">ible and </w:t>
      </w:r>
      <w:r w:rsidRPr="003171CD">
        <w:rPr>
          <w:lang w:val="en-US"/>
        </w:rPr>
        <w:t>impo</w:t>
      </w:r>
      <w:r w:rsidR="001B46FF" w:rsidRPr="003171CD">
        <w:rPr>
          <w:lang w:val="en-US"/>
        </w:rPr>
        <w:t xml:space="preserve">se the corresponding </w:t>
      </w:r>
      <w:r w:rsidRPr="003171CD">
        <w:rPr>
          <w:lang w:val="en-US"/>
        </w:rPr>
        <w:t>san</w:t>
      </w:r>
      <w:r w:rsidR="001B46FF" w:rsidRPr="003171CD">
        <w:rPr>
          <w:lang w:val="en-US"/>
        </w:rPr>
        <w:t>c</w:t>
      </w:r>
      <w:r w:rsidRPr="003171CD">
        <w:rPr>
          <w:lang w:val="en-US"/>
        </w:rPr>
        <w:t>tions</w:t>
      </w:r>
      <w:r w:rsidR="001B46FF" w:rsidRPr="003171CD">
        <w:rPr>
          <w:lang w:val="en-US"/>
        </w:rPr>
        <w:t>.”</w:t>
      </w:r>
    </w:p>
    <w:p w14:paraId="1D93DE52" w14:textId="77777777" w:rsidR="005A65CE" w:rsidRPr="003171CD" w:rsidRDefault="005A65CE" w:rsidP="005A65CE">
      <w:pPr>
        <w:contextualSpacing/>
        <w:jc w:val="both"/>
        <w:rPr>
          <w:lang w:val="en-US"/>
        </w:rPr>
      </w:pPr>
    </w:p>
    <w:p w14:paraId="4CC4BB64"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representatives</w:t>
      </w:r>
      <w:r w:rsidR="001B46FF" w:rsidRPr="003171CD">
        <w:rPr>
          <w:lang w:val="en-US"/>
        </w:rPr>
        <w:t xml:space="preserve"> </w:t>
      </w:r>
      <w:r w:rsidR="00987265" w:rsidRPr="003171CD">
        <w:rPr>
          <w:lang w:val="en-US"/>
        </w:rPr>
        <w:t xml:space="preserve">requested that the </w:t>
      </w:r>
      <w:r w:rsidR="001B46FF" w:rsidRPr="003171CD">
        <w:rPr>
          <w:lang w:val="en-US"/>
        </w:rPr>
        <w:t>Court order</w:t>
      </w:r>
      <w:r w:rsidRPr="003171CD">
        <w:rPr>
          <w:lang w:val="en-US"/>
        </w:rPr>
        <w:t xml:space="preserve"> the State</w:t>
      </w:r>
      <w:r w:rsidR="00987265" w:rsidRPr="003171CD">
        <w:rPr>
          <w:lang w:val="en-US"/>
        </w:rPr>
        <w:t xml:space="preserve"> to</w:t>
      </w:r>
      <w:r w:rsidRPr="003171CD">
        <w:rPr>
          <w:lang w:val="en-US"/>
        </w:rPr>
        <w:t xml:space="preserve"> </w:t>
      </w:r>
      <w:r w:rsidR="001B46FF" w:rsidRPr="003171CD">
        <w:rPr>
          <w:lang w:val="en-US"/>
        </w:rPr>
        <w:t xml:space="preserve">“conduct a serious, diligent and effective investigation, within a reasonable time, to </w:t>
      </w:r>
      <w:r w:rsidR="00F7072F" w:rsidRPr="003171CD">
        <w:rPr>
          <w:lang w:val="en-US"/>
        </w:rPr>
        <w:t xml:space="preserve">establish the </w:t>
      </w:r>
      <w:r w:rsidRPr="003171CD">
        <w:rPr>
          <w:lang w:val="en-US"/>
        </w:rPr>
        <w:t>acts of torture described and den</w:t>
      </w:r>
      <w:r w:rsidR="001B46FF" w:rsidRPr="003171CD">
        <w:rPr>
          <w:lang w:val="en-US"/>
        </w:rPr>
        <w:t>ounced</w:t>
      </w:r>
      <w:r w:rsidRPr="003171CD">
        <w:rPr>
          <w:lang w:val="en-US"/>
        </w:rPr>
        <w:t>,” and t</w:t>
      </w:r>
      <w:r w:rsidR="001B46FF" w:rsidRPr="003171CD">
        <w:rPr>
          <w:lang w:val="en-US"/>
        </w:rPr>
        <w:t xml:space="preserve">o </w:t>
      </w:r>
      <w:r w:rsidRPr="003171CD">
        <w:rPr>
          <w:lang w:val="en-US"/>
        </w:rPr>
        <w:t>“</w:t>
      </w:r>
      <w:r w:rsidR="001B46FF" w:rsidRPr="003171CD">
        <w:rPr>
          <w:lang w:val="en-US"/>
        </w:rPr>
        <w:t>identify those responsible</w:t>
      </w:r>
      <w:r w:rsidRPr="003171CD">
        <w:rPr>
          <w:lang w:val="en-US"/>
        </w:rPr>
        <w:t xml:space="preserve"> </w:t>
      </w:r>
      <w:r w:rsidR="000B5129" w:rsidRPr="003171CD">
        <w:rPr>
          <w:lang w:val="en-US"/>
        </w:rPr>
        <w:t xml:space="preserve">and apply </w:t>
      </w:r>
      <w:r w:rsidRPr="003171CD">
        <w:rPr>
          <w:lang w:val="en-US"/>
        </w:rPr>
        <w:t>the corresponding</w:t>
      </w:r>
      <w:r w:rsidR="000B5129" w:rsidRPr="003171CD">
        <w:rPr>
          <w:lang w:val="en-US"/>
        </w:rPr>
        <w:t xml:space="preserve"> sanctions</w:t>
      </w:r>
      <w:r w:rsidRPr="003171CD">
        <w:rPr>
          <w:lang w:val="en-US"/>
        </w:rPr>
        <w:t>”.</w:t>
      </w:r>
    </w:p>
    <w:p w14:paraId="3255CFBC" w14:textId="77777777" w:rsidR="005A65CE" w:rsidRPr="003171CD" w:rsidRDefault="005A65CE" w:rsidP="005A65CE">
      <w:pPr>
        <w:contextualSpacing/>
        <w:jc w:val="both"/>
        <w:rPr>
          <w:lang w:val="en-US"/>
        </w:rPr>
      </w:pPr>
    </w:p>
    <w:p w14:paraId="210F220F"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b/>
          <w:lang w:val="en-US"/>
        </w:rPr>
        <w:t xml:space="preserve"> </w:t>
      </w:r>
      <w:r w:rsidR="009208CC" w:rsidRPr="003171CD">
        <w:rPr>
          <w:lang w:val="en-US"/>
        </w:rPr>
        <w:t>pointed out</w:t>
      </w:r>
      <w:r w:rsidR="009208CC" w:rsidRPr="003171CD">
        <w:rPr>
          <w:b/>
          <w:lang w:val="en-US"/>
        </w:rPr>
        <w:t xml:space="preserve"> </w:t>
      </w:r>
      <w:r w:rsidR="00987265" w:rsidRPr="003171CD">
        <w:rPr>
          <w:lang w:val="en-US"/>
        </w:rPr>
        <w:t xml:space="preserve">that the General Directorate of the National Civil Police had </w:t>
      </w:r>
      <w:r w:rsidR="00550714" w:rsidRPr="003171CD">
        <w:rPr>
          <w:lang w:val="en-US"/>
        </w:rPr>
        <w:t xml:space="preserve">ordered </w:t>
      </w:r>
      <w:r w:rsidR="00987265" w:rsidRPr="003171CD">
        <w:rPr>
          <w:lang w:val="en-US"/>
        </w:rPr>
        <w:t>an</w:t>
      </w:r>
      <w:r w:rsidRPr="003171CD">
        <w:rPr>
          <w:lang w:val="en-US"/>
        </w:rPr>
        <w:t xml:space="preserve"> investigation </w:t>
      </w:r>
      <w:r w:rsidR="00DD25D9" w:rsidRPr="003171CD">
        <w:rPr>
          <w:lang w:val="en-US"/>
        </w:rPr>
        <w:t xml:space="preserve">to </w:t>
      </w:r>
      <w:r w:rsidR="00550714" w:rsidRPr="003171CD">
        <w:rPr>
          <w:lang w:val="en-US"/>
        </w:rPr>
        <w:t xml:space="preserve">clarify </w:t>
      </w:r>
      <w:r w:rsidRPr="003171CD">
        <w:rPr>
          <w:lang w:val="en-US"/>
        </w:rPr>
        <w:t xml:space="preserve">the facts </w:t>
      </w:r>
      <w:r w:rsidR="0048176F" w:rsidRPr="003171CD">
        <w:rPr>
          <w:lang w:val="en-US"/>
        </w:rPr>
        <w:t xml:space="preserve">regarding the </w:t>
      </w:r>
      <w:r w:rsidRPr="003171CD">
        <w:rPr>
          <w:lang w:val="en-US"/>
        </w:rPr>
        <w:t>torture, i</w:t>
      </w:r>
      <w:r w:rsidR="00987265" w:rsidRPr="003171CD">
        <w:rPr>
          <w:lang w:val="en-US"/>
        </w:rPr>
        <w:t>dentify</w:t>
      </w:r>
      <w:r w:rsidR="009208CC" w:rsidRPr="003171CD">
        <w:rPr>
          <w:lang w:val="en-US"/>
        </w:rPr>
        <w:t xml:space="preserve"> those </w:t>
      </w:r>
      <w:r w:rsidR="001B46FF" w:rsidRPr="003171CD">
        <w:rPr>
          <w:lang w:val="en-US"/>
        </w:rPr>
        <w:t>responsible</w:t>
      </w:r>
      <w:r w:rsidR="009208CC" w:rsidRPr="003171CD">
        <w:rPr>
          <w:lang w:val="en-US"/>
        </w:rPr>
        <w:t xml:space="preserve"> and</w:t>
      </w:r>
      <w:r w:rsidRPr="003171CD">
        <w:rPr>
          <w:lang w:val="en-US"/>
        </w:rPr>
        <w:t xml:space="preserve"> impos</w:t>
      </w:r>
      <w:r w:rsidR="00987265" w:rsidRPr="003171CD">
        <w:rPr>
          <w:lang w:val="en-US"/>
        </w:rPr>
        <w:t xml:space="preserve">e </w:t>
      </w:r>
      <w:r w:rsidR="0048176F" w:rsidRPr="003171CD">
        <w:rPr>
          <w:lang w:val="en-US"/>
        </w:rPr>
        <w:t xml:space="preserve">the appropriate </w:t>
      </w:r>
      <w:r w:rsidR="00987265" w:rsidRPr="003171CD">
        <w:rPr>
          <w:lang w:val="en-US"/>
        </w:rPr>
        <w:t>sanctions. This</w:t>
      </w:r>
      <w:r w:rsidR="00550714" w:rsidRPr="003171CD">
        <w:rPr>
          <w:lang w:val="en-US"/>
        </w:rPr>
        <w:t xml:space="preserve"> instruction</w:t>
      </w:r>
      <w:r w:rsidR="00987265" w:rsidRPr="003171CD">
        <w:rPr>
          <w:lang w:val="en-US"/>
        </w:rPr>
        <w:t xml:space="preserve"> was </w:t>
      </w:r>
      <w:r w:rsidR="009208CC" w:rsidRPr="003171CD">
        <w:rPr>
          <w:lang w:val="en-US"/>
        </w:rPr>
        <w:t xml:space="preserve">forwarded to </w:t>
      </w:r>
      <w:r w:rsidRPr="003171CD">
        <w:rPr>
          <w:lang w:val="en-US"/>
        </w:rPr>
        <w:t xml:space="preserve">the </w:t>
      </w:r>
      <w:r w:rsidR="009208CC" w:rsidRPr="003171CD">
        <w:rPr>
          <w:lang w:val="en-US"/>
        </w:rPr>
        <w:t>Internal Affairs</w:t>
      </w:r>
      <w:r w:rsidR="000B5129" w:rsidRPr="003171CD">
        <w:rPr>
          <w:lang w:val="en-US"/>
        </w:rPr>
        <w:t xml:space="preserve"> Unit</w:t>
      </w:r>
      <w:r w:rsidR="001B46FF" w:rsidRPr="003171CD">
        <w:rPr>
          <w:lang w:val="en-US"/>
        </w:rPr>
        <w:t>, responsi</w:t>
      </w:r>
      <w:r w:rsidRPr="003171CD">
        <w:rPr>
          <w:lang w:val="en-US"/>
        </w:rPr>
        <w:t xml:space="preserve">ble </w:t>
      </w:r>
      <w:r w:rsidR="001B46FF" w:rsidRPr="003171CD">
        <w:rPr>
          <w:lang w:val="en-US"/>
        </w:rPr>
        <w:t xml:space="preserve">for </w:t>
      </w:r>
      <w:r w:rsidRPr="003171CD">
        <w:rPr>
          <w:lang w:val="en-US"/>
        </w:rPr>
        <w:t>conduc</w:t>
      </w:r>
      <w:r w:rsidR="00550714" w:rsidRPr="003171CD">
        <w:rPr>
          <w:lang w:val="en-US"/>
        </w:rPr>
        <w:t>ting the</w:t>
      </w:r>
      <w:r w:rsidR="001B46FF" w:rsidRPr="003171CD">
        <w:rPr>
          <w:lang w:val="en-US"/>
        </w:rPr>
        <w:t xml:space="preserve"> </w:t>
      </w:r>
      <w:r w:rsidRPr="003171CD">
        <w:rPr>
          <w:lang w:val="en-US"/>
        </w:rPr>
        <w:t>in</w:t>
      </w:r>
      <w:r w:rsidR="00550714" w:rsidRPr="003171CD">
        <w:rPr>
          <w:lang w:val="en-US"/>
        </w:rPr>
        <w:t>quiry</w:t>
      </w:r>
      <w:r w:rsidRPr="003171CD">
        <w:rPr>
          <w:lang w:val="en-US"/>
        </w:rPr>
        <w:t>.</w:t>
      </w:r>
    </w:p>
    <w:p w14:paraId="5C9A6D38" w14:textId="77777777" w:rsidR="005A65CE" w:rsidRPr="003171CD" w:rsidRDefault="005A65CE" w:rsidP="005A65CE">
      <w:pPr>
        <w:contextualSpacing/>
        <w:jc w:val="both"/>
        <w:rPr>
          <w:lang w:val="en-US"/>
        </w:rPr>
      </w:pPr>
    </w:p>
    <w:p w14:paraId="2B5CDA08" w14:textId="77777777" w:rsidR="005A65CE" w:rsidRPr="003171CD" w:rsidRDefault="005A65CE" w:rsidP="005A65CE">
      <w:pPr>
        <w:ind w:firstLine="720"/>
        <w:jc w:val="both"/>
        <w:rPr>
          <w:i/>
          <w:lang w:val="en-US"/>
        </w:rPr>
      </w:pPr>
      <w:r w:rsidRPr="003171CD">
        <w:rPr>
          <w:i/>
          <w:lang w:val="en-US"/>
        </w:rPr>
        <w:t>Considerations of the Court</w:t>
      </w:r>
    </w:p>
    <w:p w14:paraId="242532D5" w14:textId="77777777" w:rsidR="005A65CE" w:rsidRPr="003171CD" w:rsidRDefault="005A65CE" w:rsidP="005A65CE">
      <w:pPr>
        <w:jc w:val="both"/>
        <w:rPr>
          <w:i/>
          <w:lang w:val="en-US"/>
        </w:rPr>
      </w:pPr>
    </w:p>
    <w:p w14:paraId="421BEB9F" w14:textId="77777777" w:rsidR="005A65CE" w:rsidRPr="003171CD" w:rsidRDefault="00DD25D9" w:rsidP="005A65CE">
      <w:pPr>
        <w:numPr>
          <w:ilvl w:val="0"/>
          <w:numId w:val="1"/>
        </w:numPr>
        <w:autoSpaceDE/>
        <w:autoSpaceDN/>
        <w:adjustRightInd/>
        <w:contextualSpacing/>
        <w:jc w:val="both"/>
        <w:rPr>
          <w:lang w:val="en-US"/>
        </w:rPr>
      </w:pPr>
      <w:r w:rsidRPr="003171CD">
        <w:rPr>
          <w:lang w:val="en-US"/>
        </w:rPr>
        <w:t>I</w:t>
      </w:r>
      <w:r w:rsidR="005A65CE" w:rsidRPr="003171CD">
        <w:rPr>
          <w:lang w:val="en-US"/>
        </w:rPr>
        <w:t>n th</w:t>
      </w:r>
      <w:r w:rsidRPr="003171CD">
        <w:rPr>
          <w:lang w:val="en-US"/>
        </w:rPr>
        <w:t>is Judgment</w:t>
      </w:r>
      <w:r w:rsidR="005A65CE" w:rsidRPr="003171CD">
        <w:rPr>
          <w:lang w:val="en-US"/>
        </w:rPr>
        <w:t xml:space="preserve"> </w:t>
      </w:r>
      <w:r w:rsidRPr="003171CD">
        <w:rPr>
          <w:lang w:val="en-US"/>
        </w:rPr>
        <w:t xml:space="preserve">the Court declared, </w:t>
      </w:r>
      <w:r w:rsidR="005A65CE" w:rsidRPr="003171CD">
        <w:rPr>
          <w:i/>
          <w:lang w:val="en-US"/>
        </w:rPr>
        <w:t>inter alia</w:t>
      </w:r>
      <w:r w:rsidR="005A65CE" w:rsidRPr="003171CD">
        <w:rPr>
          <w:lang w:val="en-US"/>
        </w:rPr>
        <w:t>, that Mr. José Agapito Ruano Torres was s</w:t>
      </w:r>
      <w:r w:rsidR="001B46FF" w:rsidRPr="003171CD">
        <w:rPr>
          <w:lang w:val="en-US"/>
        </w:rPr>
        <w:t xml:space="preserve">ubjected to </w:t>
      </w:r>
      <w:r w:rsidR="004B1FF4" w:rsidRPr="003171CD">
        <w:rPr>
          <w:lang w:val="en-US"/>
        </w:rPr>
        <w:t xml:space="preserve">acts of </w:t>
      </w:r>
      <w:r w:rsidR="005A65CE" w:rsidRPr="003171CD">
        <w:rPr>
          <w:lang w:val="en-US"/>
        </w:rPr>
        <w:t>torture a</w:t>
      </w:r>
      <w:r w:rsidR="001B46FF" w:rsidRPr="003171CD">
        <w:rPr>
          <w:lang w:val="en-US"/>
        </w:rPr>
        <w:t xml:space="preserve">t the time of his arrest </w:t>
      </w:r>
      <w:r w:rsidR="005A65CE" w:rsidRPr="003171CD">
        <w:rPr>
          <w:lang w:val="en-US"/>
        </w:rPr>
        <w:t xml:space="preserve">and that </w:t>
      </w:r>
      <w:r w:rsidR="00E5086F" w:rsidRPr="003171CD">
        <w:rPr>
          <w:lang w:val="en-US"/>
        </w:rPr>
        <w:t xml:space="preserve">the State failed </w:t>
      </w:r>
      <w:r w:rsidR="00540477" w:rsidRPr="003171CD">
        <w:rPr>
          <w:lang w:val="en-US"/>
        </w:rPr>
        <w:t xml:space="preserve">in its duty to guarantee his rights </w:t>
      </w:r>
      <w:r w:rsidR="00F7072F" w:rsidRPr="003171CD">
        <w:rPr>
          <w:lang w:val="en-US"/>
        </w:rPr>
        <w:t xml:space="preserve">because it did not </w:t>
      </w:r>
      <w:r w:rsidR="005A65CE" w:rsidRPr="003171CD">
        <w:rPr>
          <w:lang w:val="en-US"/>
        </w:rPr>
        <w:t>investiga</w:t>
      </w:r>
      <w:r w:rsidR="00F7072F" w:rsidRPr="003171CD">
        <w:rPr>
          <w:lang w:val="en-US"/>
        </w:rPr>
        <w:t>te</w:t>
      </w:r>
      <w:r w:rsidRPr="003171CD">
        <w:rPr>
          <w:lang w:val="en-US"/>
        </w:rPr>
        <w:t xml:space="preserve"> </w:t>
      </w:r>
      <w:r w:rsidR="005A65CE" w:rsidRPr="003171CD">
        <w:rPr>
          <w:lang w:val="en-US"/>
        </w:rPr>
        <w:t>th</w:t>
      </w:r>
      <w:r w:rsidR="001B46FF" w:rsidRPr="003171CD">
        <w:rPr>
          <w:lang w:val="en-US"/>
        </w:rPr>
        <w:t>os</w:t>
      </w:r>
      <w:r w:rsidR="005A65CE" w:rsidRPr="003171CD">
        <w:rPr>
          <w:lang w:val="en-US"/>
        </w:rPr>
        <w:t>e acts of torture (</w:t>
      </w:r>
      <w:r w:rsidR="005A65CE" w:rsidRPr="003171CD">
        <w:rPr>
          <w:i/>
          <w:lang w:val="en-US"/>
        </w:rPr>
        <w:t>supra</w:t>
      </w:r>
      <w:r w:rsidR="005A65CE" w:rsidRPr="003171CD">
        <w:rPr>
          <w:lang w:val="en-US"/>
        </w:rPr>
        <w:t xml:space="preserve"> paras. 123 and 125).</w:t>
      </w:r>
    </w:p>
    <w:p w14:paraId="442B0F39" w14:textId="77777777" w:rsidR="005A65CE" w:rsidRPr="003171CD" w:rsidRDefault="005A65CE" w:rsidP="005A65CE">
      <w:pPr>
        <w:jc w:val="both"/>
        <w:rPr>
          <w:rFonts w:eastAsia="MS Mincho"/>
          <w:lang w:val="en-US"/>
        </w:rPr>
      </w:pPr>
    </w:p>
    <w:p w14:paraId="42F3DD17" w14:textId="77777777" w:rsidR="005A65CE" w:rsidRPr="003171CD" w:rsidRDefault="004B1FF4" w:rsidP="005A65CE">
      <w:pPr>
        <w:numPr>
          <w:ilvl w:val="0"/>
          <w:numId w:val="1"/>
        </w:numPr>
        <w:autoSpaceDE/>
        <w:autoSpaceDN/>
        <w:adjustRightInd/>
        <w:contextualSpacing/>
        <w:jc w:val="both"/>
        <w:rPr>
          <w:rFonts w:eastAsia="MS Mincho"/>
          <w:lang w:val="en-US"/>
        </w:rPr>
      </w:pPr>
      <w:r w:rsidRPr="003171CD">
        <w:rPr>
          <w:rFonts w:eastAsia="MS Mincho"/>
          <w:lang w:val="en-US"/>
        </w:rPr>
        <w:t xml:space="preserve">Therefore, </w:t>
      </w:r>
      <w:r w:rsidR="000A776C" w:rsidRPr="003171CD">
        <w:rPr>
          <w:rFonts w:eastAsia="MS Mincho"/>
          <w:lang w:val="en-US"/>
        </w:rPr>
        <w:t xml:space="preserve">as </w:t>
      </w:r>
      <w:r w:rsidR="003E19CD" w:rsidRPr="003171CD">
        <w:rPr>
          <w:rFonts w:eastAsia="MS Mincho"/>
          <w:lang w:val="en-US"/>
        </w:rPr>
        <w:t>it has done o</w:t>
      </w:r>
      <w:r w:rsidR="005A65CE" w:rsidRPr="003171CD">
        <w:rPr>
          <w:rFonts w:eastAsia="MS Mincho"/>
          <w:lang w:val="en-US"/>
        </w:rPr>
        <w:t>n other o</w:t>
      </w:r>
      <w:r w:rsidR="00DD25D9" w:rsidRPr="003171CD">
        <w:rPr>
          <w:rFonts w:eastAsia="MS Mincho"/>
          <w:lang w:val="en-US"/>
        </w:rPr>
        <w:t>ccasions</w:t>
      </w:r>
      <w:r w:rsidR="000B5129" w:rsidRPr="003171CD">
        <w:rPr>
          <w:rFonts w:eastAsia="MS Mincho"/>
          <w:lang w:val="en-US"/>
        </w:rPr>
        <w:t>,</w:t>
      </w:r>
      <w:r w:rsidR="005A65CE" w:rsidRPr="003171CD">
        <w:rPr>
          <w:rFonts w:eastAsia="MS Mincho"/>
          <w:vertAlign w:val="superscript"/>
          <w:lang w:val="en-US"/>
        </w:rPr>
        <w:footnoteReference w:id="286"/>
      </w:r>
      <w:r w:rsidR="001B46FF" w:rsidRPr="003171CD">
        <w:rPr>
          <w:rFonts w:eastAsia="MS Mincho"/>
          <w:lang w:val="en-US"/>
        </w:rPr>
        <w:t xml:space="preserve"> </w:t>
      </w:r>
      <w:r w:rsidRPr="003171CD">
        <w:rPr>
          <w:rFonts w:eastAsia="MS Mincho"/>
          <w:lang w:val="en-US"/>
        </w:rPr>
        <w:t xml:space="preserve">the Court </w:t>
      </w:r>
      <w:r w:rsidR="00F7072F" w:rsidRPr="003171CD">
        <w:rPr>
          <w:rFonts w:eastAsia="MS Mincho"/>
          <w:lang w:val="en-US"/>
        </w:rPr>
        <w:t xml:space="preserve">requires </w:t>
      </w:r>
      <w:r w:rsidR="005A65CE" w:rsidRPr="003171CD">
        <w:rPr>
          <w:rFonts w:eastAsia="MS Mincho"/>
          <w:lang w:val="en-US"/>
        </w:rPr>
        <w:t xml:space="preserve">that </w:t>
      </w:r>
      <w:r w:rsidRPr="003171CD">
        <w:rPr>
          <w:rFonts w:eastAsia="MS Mincho"/>
          <w:lang w:val="en-US"/>
        </w:rPr>
        <w:t xml:space="preserve">the State investigate those </w:t>
      </w:r>
      <w:r w:rsidR="005A65CE" w:rsidRPr="003171CD">
        <w:rPr>
          <w:rFonts w:eastAsia="MS Mincho"/>
          <w:lang w:val="en-US"/>
        </w:rPr>
        <w:t xml:space="preserve">facts </w:t>
      </w:r>
      <w:r w:rsidR="00EA0B61" w:rsidRPr="003171CD">
        <w:rPr>
          <w:rFonts w:eastAsia="MS Mincho"/>
          <w:lang w:val="en-US"/>
        </w:rPr>
        <w:t>effective</w:t>
      </w:r>
      <w:r w:rsidR="000B5129" w:rsidRPr="003171CD">
        <w:rPr>
          <w:rFonts w:eastAsia="MS Mincho"/>
          <w:lang w:val="en-US"/>
        </w:rPr>
        <w:t xml:space="preserve">ly </w:t>
      </w:r>
      <w:r w:rsidR="00540477" w:rsidRPr="003171CD">
        <w:rPr>
          <w:rFonts w:eastAsia="MS Mincho"/>
          <w:lang w:val="en-US"/>
        </w:rPr>
        <w:t xml:space="preserve">through </w:t>
      </w:r>
      <w:r w:rsidR="005A65CE" w:rsidRPr="003171CD">
        <w:rPr>
          <w:rFonts w:eastAsia="MS Mincho"/>
          <w:lang w:val="en-US"/>
        </w:rPr>
        <w:t>a proce</w:t>
      </w:r>
      <w:r w:rsidR="000B5129" w:rsidRPr="003171CD">
        <w:rPr>
          <w:rFonts w:eastAsia="MS Mincho"/>
          <w:lang w:val="en-US"/>
        </w:rPr>
        <w:t xml:space="preserve">eding </w:t>
      </w:r>
      <w:r w:rsidR="005A65CE" w:rsidRPr="003171CD">
        <w:rPr>
          <w:rFonts w:eastAsia="MS Mincho"/>
          <w:lang w:val="en-US"/>
        </w:rPr>
        <w:t>dir</w:t>
      </w:r>
      <w:r w:rsidR="003E19CD" w:rsidRPr="003171CD">
        <w:rPr>
          <w:rFonts w:eastAsia="MS Mincho"/>
          <w:lang w:val="en-US"/>
        </w:rPr>
        <w:t xml:space="preserve">ected </w:t>
      </w:r>
      <w:r w:rsidR="00266893" w:rsidRPr="003171CD">
        <w:rPr>
          <w:rFonts w:eastAsia="MS Mincho"/>
          <w:lang w:val="en-US"/>
        </w:rPr>
        <w:t>against</w:t>
      </w:r>
      <w:r w:rsidR="005A65CE" w:rsidRPr="003171CD">
        <w:rPr>
          <w:rFonts w:eastAsia="MS Mincho"/>
          <w:lang w:val="en-US"/>
        </w:rPr>
        <w:t xml:space="preserve"> th</w:t>
      </w:r>
      <w:r w:rsidR="00DD25D9" w:rsidRPr="003171CD">
        <w:rPr>
          <w:rFonts w:eastAsia="MS Mincho"/>
          <w:lang w:val="en-US"/>
        </w:rPr>
        <w:t>os</w:t>
      </w:r>
      <w:r w:rsidR="005A65CE" w:rsidRPr="003171CD">
        <w:rPr>
          <w:rFonts w:eastAsia="MS Mincho"/>
          <w:lang w:val="en-US"/>
        </w:rPr>
        <w:t xml:space="preserve">e </w:t>
      </w:r>
      <w:r w:rsidR="000B5129" w:rsidRPr="003171CD">
        <w:rPr>
          <w:rFonts w:eastAsia="MS Mincho"/>
          <w:lang w:val="en-US"/>
        </w:rPr>
        <w:t xml:space="preserve">allegedly </w:t>
      </w:r>
      <w:r w:rsidR="001B46FF" w:rsidRPr="003171CD">
        <w:rPr>
          <w:rFonts w:eastAsia="MS Mincho"/>
          <w:lang w:val="en-US"/>
        </w:rPr>
        <w:t>responsible</w:t>
      </w:r>
      <w:r w:rsidR="005A65CE" w:rsidRPr="003171CD">
        <w:rPr>
          <w:rFonts w:eastAsia="MS Mincho"/>
          <w:lang w:val="en-US"/>
        </w:rPr>
        <w:t xml:space="preserve"> </w:t>
      </w:r>
      <w:r w:rsidRPr="003171CD">
        <w:rPr>
          <w:rFonts w:eastAsia="MS Mincho"/>
          <w:lang w:val="en-US"/>
        </w:rPr>
        <w:t xml:space="preserve">for </w:t>
      </w:r>
      <w:r w:rsidR="005A65CE" w:rsidRPr="003171CD">
        <w:rPr>
          <w:rFonts w:eastAsia="MS Mincho"/>
          <w:lang w:val="en-US"/>
        </w:rPr>
        <w:t xml:space="preserve">the </w:t>
      </w:r>
      <w:r w:rsidR="00D42FEA" w:rsidRPr="003171CD">
        <w:rPr>
          <w:rFonts w:eastAsia="MS Mincho"/>
          <w:lang w:val="en-US"/>
        </w:rPr>
        <w:t>violation</w:t>
      </w:r>
      <w:r w:rsidR="00DD25D9" w:rsidRPr="003171CD">
        <w:rPr>
          <w:rFonts w:eastAsia="MS Mincho"/>
          <w:lang w:val="en-US"/>
        </w:rPr>
        <w:t>s of</w:t>
      </w:r>
      <w:r w:rsidR="005A65CE" w:rsidRPr="003171CD">
        <w:rPr>
          <w:rFonts w:eastAsia="MS Mincho"/>
          <w:lang w:val="en-US"/>
        </w:rPr>
        <w:t xml:space="preserve"> personal integrity. Consequently, this Court </w:t>
      </w:r>
      <w:r w:rsidR="003E19CD" w:rsidRPr="003171CD">
        <w:rPr>
          <w:rFonts w:eastAsia="MS Mincho"/>
          <w:lang w:val="en-US"/>
        </w:rPr>
        <w:t xml:space="preserve">decides that </w:t>
      </w:r>
      <w:r w:rsidR="005A65CE" w:rsidRPr="003171CD">
        <w:rPr>
          <w:rFonts w:eastAsia="MS Mincho"/>
          <w:lang w:val="en-US"/>
        </w:rPr>
        <w:t>the</w:t>
      </w:r>
      <w:r w:rsidR="009208CC" w:rsidRPr="003171CD">
        <w:rPr>
          <w:rFonts w:eastAsia="MS Mincho"/>
          <w:lang w:val="en-US"/>
        </w:rPr>
        <w:t xml:space="preserve"> State </w:t>
      </w:r>
      <w:r w:rsidR="003E19CD" w:rsidRPr="003171CD">
        <w:rPr>
          <w:rFonts w:eastAsia="MS Mincho"/>
          <w:lang w:val="en-US"/>
        </w:rPr>
        <w:t xml:space="preserve">must </w:t>
      </w:r>
      <w:r w:rsidR="009208CC" w:rsidRPr="003171CD">
        <w:rPr>
          <w:rFonts w:eastAsia="MS Mincho"/>
          <w:lang w:val="en-US"/>
        </w:rPr>
        <w:t>ini</w:t>
      </w:r>
      <w:r w:rsidR="003E19CD" w:rsidRPr="003171CD">
        <w:rPr>
          <w:rFonts w:eastAsia="MS Mincho"/>
          <w:lang w:val="en-US"/>
        </w:rPr>
        <w:t xml:space="preserve">tiate </w:t>
      </w:r>
      <w:r w:rsidR="00540477" w:rsidRPr="003171CD">
        <w:rPr>
          <w:rFonts w:eastAsia="MS Mincho"/>
          <w:lang w:val="en-US"/>
        </w:rPr>
        <w:t>and carry out</w:t>
      </w:r>
      <w:r w:rsidRPr="003171CD">
        <w:rPr>
          <w:rFonts w:eastAsia="MS Mincho"/>
          <w:lang w:val="en-US"/>
        </w:rPr>
        <w:t>, within a reasonable time, an</w:t>
      </w:r>
      <w:r w:rsidR="005A65CE" w:rsidRPr="003171CD">
        <w:rPr>
          <w:rFonts w:eastAsia="MS Mincho"/>
          <w:lang w:val="en-US"/>
        </w:rPr>
        <w:t xml:space="preserve"> </w:t>
      </w:r>
      <w:r w:rsidR="00540477" w:rsidRPr="003171CD">
        <w:rPr>
          <w:rFonts w:eastAsia="MS Mincho"/>
          <w:lang w:val="en-US"/>
        </w:rPr>
        <w:t xml:space="preserve">effective </w:t>
      </w:r>
      <w:r w:rsidR="005A65CE" w:rsidRPr="003171CD">
        <w:rPr>
          <w:rFonts w:eastAsia="MS Mincho"/>
          <w:lang w:val="en-US"/>
        </w:rPr>
        <w:t xml:space="preserve">investigation and </w:t>
      </w:r>
      <w:r w:rsidR="006D65DA" w:rsidRPr="003171CD">
        <w:rPr>
          <w:rFonts w:eastAsia="MS Mincho"/>
          <w:lang w:val="en-US"/>
        </w:rPr>
        <w:t xml:space="preserve">criminal </w:t>
      </w:r>
      <w:r w:rsidRPr="003171CD">
        <w:rPr>
          <w:rFonts w:eastAsia="MS Mincho"/>
          <w:lang w:val="en-US"/>
        </w:rPr>
        <w:t xml:space="preserve">prosecution of the </w:t>
      </w:r>
      <w:r w:rsidR="005A65CE" w:rsidRPr="003171CD">
        <w:rPr>
          <w:rFonts w:eastAsia="MS Mincho"/>
          <w:lang w:val="en-US"/>
        </w:rPr>
        <w:t xml:space="preserve">acts </w:t>
      </w:r>
      <w:r w:rsidRPr="003171CD">
        <w:rPr>
          <w:rFonts w:eastAsia="MS Mincho"/>
          <w:lang w:val="en-US"/>
        </w:rPr>
        <w:t xml:space="preserve">committed </w:t>
      </w:r>
      <w:r w:rsidR="003E19CD" w:rsidRPr="003171CD">
        <w:rPr>
          <w:rFonts w:eastAsia="MS Mincho"/>
          <w:lang w:val="en-US"/>
        </w:rPr>
        <w:t xml:space="preserve">in violation of </w:t>
      </w:r>
      <w:r w:rsidR="005A65CE" w:rsidRPr="003171CD">
        <w:rPr>
          <w:rFonts w:eastAsia="MS Mincho"/>
          <w:lang w:val="en-US"/>
        </w:rPr>
        <w:t xml:space="preserve">Article 5(2) of the Convention against Mr. José Agapito Ruano Torres, </w:t>
      </w:r>
      <w:r w:rsidRPr="003171CD">
        <w:rPr>
          <w:rFonts w:eastAsia="MS Mincho"/>
          <w:lang w:val="en-US"/>
        </w:rPr>
        <w:t xml:space="preserve">to </w:t>
      </w:r>
      <w:r w:rsidR="009F6D5F" w:rsidRPr="003171CD">
        <w:rPr>
          <w:rFonts w:eastAsia="MS Mincho"/>
          <w:lang w:val="en-US"/>
        </w:rPr>
        <w:t>determine</w:t>
      </w:r>
      <w:r w:rsidR="005A65CE" w:rsidRPr="003171CD">
        <w:rPr>
          <w:rFonts w:eastAsia="MS Mincho"/>
          <w:lang w:val="en-US"/>
        </w:rPr>
        <w:t xml:space="preserve"> the </w:t>
      </w:r>
      <w:r w:rsidR="000B5129" w:rsidRPr="003171CD">
        <w:rPr>
          <w:rFonts w:eastAsia="MS Mincho"/>
          <w:lang w:val="en-US"/>
        </w:rPr>
        <w:t xml:space="preserve">possible criminal </w:t>
      </w:r>
      <w:r w:rsidR="00DD25D9" w:rsidRPr="003171CD">
        <w:rPr>
          <w:rFonts w:eastAsia="MS Mincho"/>
          <w:lang w:val="en-US"/>
        </w:rPr>
        <w:t>responsibilities and</w:t>
      </w:r>
      <w:r w:rsidR="005A65CE" w:rsidRPr="003171CD">
        <w:rPr>
          <w:rFonts w:eastAsia="MS Mincho"/>
          <w:lang w:val="en-US"/>
        </w:rPr>
        <w:t xml:space="preserve">, </w:t>
      </w:r>
      <w:r w:rsidR="000B5129" w:rsidRPr="003171CD">
        <w:rPr>
          <w:rFonts w:eastAsia="MS Mincho"/>
          <w:lang w:val="en-US"/>
        </w:rPr>
        <w:t>where appropriate</w:t>
      </w:r>
      <w:r w:rsidR="005A65CE" w:rsidRPr="003171CD">
        <w:rPr>
          <w:rFonts w:eastAsia="MS Mincho"/>
          <w:lang w:val="en-US"/>
        </w:rPr>
        <w:t xml:space="preserve">, </w:t>
      </w:r>
      <w:r w:rsidR="003E19CD" w:rsidRPr="003171CD">
        <w:rPr>
          <w:rFonts w:eastAsia="MS Mincho"/>
          <w:lang w:val="en-US"/>
        </w:rPr>
        <w:t xml:space="preserve">apply </w:t>
      </w:r>
      <w:r w:rsidR="005A65CE" w:rsidRPr="003171CD">
        <w:rPr>
          <w:rFonts w:eastAsia="MS Mincho"/>
          <w:lang w:val="en-US"/>
        </w:rPr>
        <w:t xml:space="preserve">the </w:t>
      </w:r>
      <w:r w:rsidR="00DD25D9" w:rsidRPr="003171CD">
        <w:rPr>
          <w:rFonts w:eastAsia="MS Mincho"/>
          <w:lang w:val="en-US"/>
        </w:rPr>
        <w:t>sanctions</w:t>
      </w:r>
      <w:r w:rsidR="005A65CE" w:rsidRPr="003171CD">
        <w:rPr>
          <w:rFonts w:eastAsia="MS Mincho"/>
          <w:lang w:val="en-US"/>
        </w:rPr>
        <w:t xml:space="preserve"> and consequences </w:t>
      </w:r>
      <w:r w:rsidR="003E19CD" w:rsidRPr="003171CD">
        <w:rPr>
          <w:rFonts w:eastAsia="MS Mincho"/>
          <w:lang w:val="en-US"/>
        </w:rPr>
        <w:t>stipulated by law</w:t>
      </w:r>
      <w:r w:rsidR="005A65CE" w:rsidRPr="003171CD">
        <w:rPr>
          <w:rFonts w:eastAsia="MS Mincho"/>
          <w:lang w:val="en-US"/>
        </w:rPr>
        <w:t xml:space="preserve">. </w:t>
      </w:r>
      <w:r w:rsidR="00A2200E" w:rsidRPr="003171CD">
        <w:rPr>
          <w:rFonts w:eastAsia="MS Mincho"/>
          <w:lang w:val="en-US"/>
        </w:rPr>
        <w:t>Thus</w:t>
      </w:r>
      <w:r w:rsidR="005A65CE" w:rsidRPr="003171CD">
        <w:rPr>
          <w:lang w:val="en-US"/>
        </w:rPr>
        <w:t xml:space="preserve">, the State </w:t>
      </w:r>
      <w:r w:rsidR="000B5129" w:rsidRPr="003171CD">
        <w:rPr>
          <w:lang w:val="en-US"/>
        </w:rPr>
        <w:t xml:space="preserve">must </w:t>
      </w:r>
      <w:r w:rsidR="00540477" w:rsidRPr="003171CD">
        <w:rPr>
          <w:lang w:val="en-US"/>
        </w:rPr>
        <w:t>diligently take all the necessary steps</w:t>
      </w:r>
      <w:r w:rsidR="00A2200E" w:rsidRPr="003171CD">
        <w:rPr>
          <w:lang w:val="en-US"/>
        </w:rPr>
        <w:t xml:space="preserve"> </w:t>
      </w:r>
      <w:r w:rsidR="00CE72C1" w:rsidRPr="003171CD">
        <w:rPr>
          <w:lang w:val="en-US"/>
        </w:rPr>
        <w:t xml:space="preserve">to </w:t>
      </w:r>
      <w:r w:rsidR="00DD25D9" w:rsidRPr="003171CD">
        <w:rPr>
          <w:lang w:val="en-US"/>
        </w:rPr>
        <w:t>i</w:t>
      </w:r>
      <w:r w:rsidR="00CE72C1" w:rsidRPr="003171CD">
        <w:rPr>
          <w:lang w:val="en-US"/>
        </w:rPr>
        <w:t>dentify</w:t>
      </w:r>
      <w:r w:rsidR="00DD25D9" w:rsidRPr="003171CD">
        <w:rPr>
          <w:lang w:val="en-US"/>
        </w:rPr>
        <w:t xml:space="preserve">, </w:t>
      </w:r>
      <w:r w:rsidR="00CE72C1" w:rsidRPr="003171CD">
        <w:rPr>
          <w:lang w:val="en-US"/>
        </w:rPr>
        <w:t xml:space="preserve">prosecute </w:t>
      </w:r>
      <w:r w:rsidR="00DD25D9" w:rsidRPr="003171CD">
        <w:rPr>
          <w:lang w:val="en-US"/>
        </w:rPr>
        <w:t>and</w:t>
      </w:r>
      <w:r w:rsidR="005A65CE" w:rsidRPr="003171CD">
        <w:rPr>
          <w:lang w:val="en-US"/>
        </w:rPr>
        <w:t xml:space="preserve">, </w:t>
      </w:r>
      <w:r w:rsidR="00CE72C1" w:rsidRPr="003171CD">
        <w:rPr>
          <w:lang w:val="en-US"/>
        </w:rPr>
        <w:t>where appropriate</w:t>
      </w:r>
      <w:r w:rsidR="005A65CE" w:rsidRPr="003171CD">
        <w:rPr>
          <w:lang w:val="en-US"/>
        </w:rPr>
        <w:t xml:space="preserve">, </w:t>
      </w:r>
      <w:r w:rsidR="00CE72C1" w:rsidRPr="003171CD">
        <w:rPr>
          <w:lang w:val="en-US"/>
        </w:rPr>
        <w:t xml:space="preserve">punish all </w:t>
      </w:r>
      <w:r w:rsidR="005A65CE" w:rsidRPr="003171CD">
        <w:rPr>
          <w:lang w:val="en-US"/>
        </w:rPr>
        <w:t>th</w:t>
      </w:r>
      <w:r w:rsidR="003E19CD" w:rsidRPr="003171CD">
        <w:rPr>
          <w:lang w:val="en-US"/>
        </w:rPr>
        <w:t>os</w:t>
      </w:r>
      <w:r w:rsidR="005A65CE" w:rsidRPr="003171CD">
        <w:rPr>
          <w:lang w:val="en-US"/>
        </w:rPr>
        <w:t xml:space="preserve">e </w:t>
      </w:r>
      <w:r w:rsidR="003E19CD" w:rsidRPr="003171CD">
        <w:rPr>
          <w:lang w:val="en-US"/>
        </w:rPr>
        <w:t xml:space="preserve">responsible for </w:t>
      </w:r>
      <w:r w:rsidR="005A65CE" w:rsidRPr="003171CD">
        <w:rPr>
          <w:lang w:val="en-US"/>
        </w:rPr>
        <w:t xml:space="preserve">the facts </w:t>
      </w:r>
      <w:r w:rsidR="001B46FF" w:rsidRPr="003171CD">
        <w:rPr>
          <w:lang w:val="en-US"/>
        </w:rPr>
        <w:t>denounced</w:t>
      </w:r>
      <w:r w:rsidR="005A65CE" w:rsidRPr="003171CD">
        <w:rPr>
          <w:lang w:val="en-US"/>
        </w:rPr>
        <w:t xml:space="preserve"> by Mr. Ruano Torres, </w:t>
      </w:r>
      <w:r w:rsidR="00F7072F" w:rsidRPr="003171CD">
        <w:rPr>
          <w:lang w:val="en-US"/>
        </w:rPr>
        <w:t xml:space="preserve">and </w:t>
      </w:r>
      <w:r w:rsidR="005E1CA6" w:rsidRPr="003171CD">
        <w:rPr>
          <w:lang w:val="en-US"/>
        </w:rPr>
        <w:t xml:space="preserve">for </w:t>
      </w:r>
      <w:r w:rsidR="00540477" w:rsidRPr="003171CD">
        <w:rPr>
          <w:lang w:val="en-US"/>
        </w:rPr>
        <w:t xml:space="preserve">the </w:t>
      </w:r>
      <w:r w:rsidR="00E5086F" w:rsidRPr="003171CD">
        <w:rPr>
          <w:lang w:val="en-US"/>
        </w:rPr>
        <w:t xml:space="preserve">criminal </w:t>
      </w:r>
      <w:r w:rsidR="00F82C24" w:rsidRPr="003171CD">
        <w:rPr>
          <w:lang w:val="en-US"/>
        </w:rPr>
        <w:t xml:space="preserve">or any other </w:t>
      </w:r>
      <w:r w:rsidR="00E5086F" w:rsidRPr="003171CD">
        <w:rPr>
          <w:lang w:val="en-US"/>
        </w:rPr>
        <w:t xml:space="preserve">consequences </w:t>
      </w:r>
      <w:r w:rsidR="005A65CE" w:rsidRPr="003171CD">
        <w:rPr>
          <w:lang w:val="en-US"/>
        </w:rPr>
        <w:t xml:space="preserve">that </w:t>
      </w:r>
      <w:r w:rsidR="003E19CD" w:rsidRPr="003171CD">
        <w:rPr>
          <w:lang w:val="en-US"/>
        </w:rPr>
        <w:t xml:space="preserve">could result from </w:t>
      </w:r>
      <w:r w:rsidR="005A65CE" w:rsidRPr="003171CD">
        <w:rPr>
          <w:lang w:val="en-US"/>
        </w:rPr>
        <w:t xml:space="preserve">the investigation of the facts. Likewise, the </w:t>
      </w:r>
      <w:r w:rsidR="000A776C" w:rsidRPr="003171CD">
        <w:rPr>
          <w:lang w:val="en-US"/>
        </w:rPr>
        <w:t>competent authorities</w:t>
      </w:r>
      <w:r w:rsidR="005A65CE" w:rsidRPr="003171CD">
        <w:rPr>
          <w:lang w:val="en-US"/>
        </w:rPr>
        <w:t xml:space="preserve"> </w:t>
      </w:r>
      <w:r w:rsidR="009208CC" w:rsidRPr="003171CD">
        <w:rPr>
          <w:lang w:val="en-US"/>
        </w:rPr>
        <w:t xml:space="preserve">must take into consideration </w:t>
      </w:r>
      <w:r w:rsidR="005A65CE" w:rsidRPr="003171CD">
        <w:rPr>
          <w:lang w:val="en-US"/>
        </w:rPr>
        <w:t xml:space="preserve">international </w:t>
      </w:r>
      <w:r w:rsidR="009208CC" w:rsidRPr="003171CD">
        <w:rPr>
          <w:lang w:val="en-US"/>
        </w:rPr>
        <w:t>standards for the documentation and</w:t>
      </w:r>
      <w:r w:rsidR="005A65CE" w:rsidRPr="003171CD">
        <w:rPr>
          <w:lang w:val="en-US"/>
        </w:rPr>
        <w:t xml:space="preserve"> interpretation of </w:t>
      </w:r>
      <w:r w:rsidR="000973BF" w:rsidRPr="003171CD">
        <w:rPr>
          <w:lang w:val="en-US"/>
        </w:rPr>
        <w:t xml:space="preserve">forensic </w:t>
      </w:r>
      <w:r w:rsidR="005A65CE" w:rsidRPr="003171CD">
        <w:rPr>
          <w:lang w:val="en-US"/>
        </w:rPr>
        <w:t xml:space="preserve">evidence </w:t>
      </w:r>
      <w:r w:rsidR="000973BF" w:rsidRPr="003171CD">
        <w:rPr>
          <w:lang w:val="en-US"/>
        </w:rPr>
        <w:t>re</w:t>
      </w:r>
      <w:r w:rsidR="00A2200E" w:rsidRPr="003171CD">
        <w:rPr>
          <w:lang w:val="en-US"/>
        </w:rPr>
        <w:t xml:space="preserve">lated to </w:t>
      </w:r>
      <w:r w:rsidR="000973BF" w:rsidRPr="003171CD">
        <w:rPr>
          <w:lang w:val="en-US"/>
        </w:rPr>
        <w:t xml:space="preserve">the </w:t>
      </w:r>
      <w:r w:rsidR="005A65CE" w:rsidRPr="003171CD">
        <w:rPr>
          <w:lang w:val="en-US"/>
        </w:rPr>
        <w:t xml:space="preserve">acts of torture </w:t>
      </w:r>
      <w:r w:rsidR="000973BF" w:rsidRPr="003171CD">
        <w:rPr>
          <w:lang w:val="en-US"/>
        </w:rPr>
        <w:t>committed</w:t>
      </w:r>
      <w:r w:rsidR="00A2200E" w:rsidRPr="003171CD">
        <w:rPr>
          <w:lang w:val="en-US"/>
        </w:rPr>
        <w:t>,</w:t>
      </w:r>
      <w:r w:rsidR="005A65CE" w:rsidRPr="003171CD">
        <w:rPr>
          <w:lang w:val="en-US"/>
        </w:rPr>
        <w:t xml:space="preserve"> particular</w:t>
      </w:r>
      <w:r w:rsidR="001B46FF" w:rsidRPr="003171CD">
        <w:rPr>
          <w:lang w:val="en-US"/>
        </w:rPr>
        <w:t xml:space="preserve">ly </w:t>
      </w:r>
      <w:r w:rsidR="005A65CE" w:rsidRPr="003171CD">
        <w:rPr>
          <w:lang w:val="en-US"/>
        </w:rPr>
        <w:t>th</w:t>
      </w:r>
      <w:r w:rsidR="001B46FF" w:rsidRPr="003171CD">
        <w:rPr>
          <w:lang w:val="en-US"/>
        </w:rPr>
        <w:t>os</w:t>
      </w:r>
      <w:r w:rsidR="005A65CE" w:rsidRPr="003171CD">
        <w:rPr>
          <w:lang w:val="en-US"/>
        </w:rPr>
        <w:t>e defin</w:t>
      </w:r>
      <w:r w:rsidR="001B46FF" w:rsidRPr="003171CD">
        <w:rPr>
          <w:lang w:val="en-US"/>
        </w:rPr>
        <w:t xml:space="preserve">ed </w:t>
      </w:r>
      <w:r w:rsidR="005A65CE" w:rsidRPr="003171CD">
        <w:rPr>
          <w:lang w:val="en-US"/>
        </w:rPr>
        <w:t xml:space="preserve">in the Manual </w:t>
      </w:r>
      <w:r w:rsidR="000973BF" w:rsidRPr="003171CD">
        <w:rPr>
          <w:lang w:val="en-US"/>
        </w:rPr>
        <w:t xml:space="preserve">on </w:t>
      </w:r>
      <w:r w:rsidR="005A65CE" w:rsidRPr="003171CD">
        <w:rPr>
          <w:lang w:val="en-US"/>
        </w:rPr>
        <w:t xml:space="preserve">the </w:t>
      </w:r>
      <w:r w:rsidR="00A2200E" w:rsidRPr="003171CD">
        <w:rPr>
          <w:lang w:val="en-US"/>
        </w:rPr>
        <w:t>E</w:t>
      </w:r>
      <w:r w:rsidR="001B46FF" w:rsidRPr="003171CD">
        <w:rPr>
          <w:lang w:val="en-US"/>
        </w:rPr>
        <w:t xml:space="preserve">ffective </w:t>
      </w:r>
      <w:r w:rsidR="00A2200E" w:rsidRPr="003171CD">
        <w:rPr>
          <w:lang w:val="en-US"/>
        </w:rPr>
        <w:t>I</w:t>
      </w:r>
      <w:r w:rsidR="005A65CE" w:rsidRPr="003171CD">
        <w:rPr>
          <w:lang w:val="en-US"/>
        </w:rPr>
        <w:t>nvestigation an</w:t>
      </w:r>
      <w:r w:rsidR="00A2200E" w:rsidRPr="003171CD">
        <w:rPr>
          <w:lang w:val="en-US"/>
        </w:rPr>
        <w:t>d D</w:t>
      </w:r>
      <w:r w:rsidR="001B46FF" w:rsidRPr="003171CD">
        <w:rPr>
          <w:lang w:val="en-US"/>
        </w:rPr>
        <w:t xml:space="preserve">ocumentation of </w:t>
      </w:r>
      <w:r w:rsidR="00A2200E" w:rsidRPr="003171CD">
        <w:rPr>
          <w:lang w:val="en-US"/>
        </w:rPr>
        <w:t>Torture and O</w:t>
      </w:r>
      <w:r w:rsidR="005A65CE" w:rsidRPr="003171CD">
        <w:rPr>
          <w:lang w:val="en-US"/>
        </w:rPr>
        <w:t xml:space="preserve">ther </w:t>
      </w:r>
      <w:r w:rsidR="00A2200E" w:rsidRPr="003171CD">
        <w:rPr>
          <w:lang w:val="en-US"/>
        </w:rPr>
        <w:t>Cruel, I</w:t>
      </w:r>
      <w:r w:rsidR="001B46FF" w:rsidRPr="003171CD">
        <w:rPr>
          <w:lang w:val="en-US"/>
        </w:rPr>
        <w:t>nhuman</w:t>
      </w:r>
      <w:r w:rsidR="00A2200E" w:rsidRPr="003171CD">
        <w:rPr>
          <w:lang w:val="en-US"/>
        </w:rPr>
        <w:t xml:space="preserve"> or D</w:t>
      </w:r>
      <w:r w:rsidR="005A65CE" w:rsidRPr="003171CD">
        <w:rPr>
          <w:lang w:val="en-US"/>
        </w:rPr>
        <w:t xml:space="preserve">egrading </w:t>
      </w:r>
      <w:r w:rsidR="00A2200E" w:rsidRPr="003171CD">
        <w:rPr>
          <w:lang w:val="en-US"/>
        </w:rPr>
        <w:t>Treatment or P</w:t>
      </w:r>
      <w:r w:rsidR="001B46FF" w:rsidRPr="003171CD">
        <w:rPr>
          <w:lang w:val="en-US"/>
        </w:rPr>
        <w:t xml:space="preserve">unishment </w:t>
      </w:r>
      <w:r w:rsidR="00DD25D9" w:rsidRPr="003171CD">
        <w:rPr>
          <w:lang w:val="en-US"/>
        </w:rPr>
        <w:t>(“the Istan</w:t>
      </w:r>
      <w:r w:rsidR="005A65CE" w:rsidRPr="003171CD">
        <w:rPr>
          <w:lang w:val="en-US"/>
        </w:rPr>
        <w:t>bul</w:t>
      </w:r>
      <w:r w:rsidR="00DD25D9" w:rsidRPr="003171CD">
        <w:rPr>
          <w:lang w:val="en-US"/>
        </w:rPr>
        <w:t xml:space="preserve"> Protocol</w:t>
      </w:r>
      <w:r w:rsidR="005A65CE" w:rsidRPr="003171CD">
        <w:rPr>
          <w:lang w:val="en-US"/>
        </w:rPr>
        <w:t>”)</w:t>
      </w:r>
      <w:r w:rsidR="00DD25D9" w:rsidRPr="003171CD">
        <w:rPr>
          <w:lang w:val="en-US"/>
        </w:rPr>
        <w:t>.</w:t>
      </w:r>
      <w:r w:rsidR="005A65CE" w:rsidRPr="003171CD">
        <w:rPr>
          <w:vertAlign w:val="superscript"/>
          <w:lang w:val="en-US"/>
        </w:rPr>
        <w:footnoteReference w:id="287"/>
      </w:r>
    </w:p>
    <w:p w14:paraId="20759DF7" w14:textId="77777777" w:rsidR="005A65CE" w:rsidRPr="003171CD" w:rsidRDefault="005A65CE" w:rsidP="005A65CE">
      <w:pPr>
        <w:jc w:val="both"/>
        <w:rPr>
          <w:rFonts w:eastAsia="MS Mincho"/>
          <w:lang w:val="en-US"/>
        </w:rPr>
      </w:pPr>
    </w:p>
    <w:p w14:paraId="5B39C1B4" w14:textId="77777777" w:rsidR="005A65CE" w:rsidRPr="003171CD" w:rsidRDefault="00527C29" w:rsidP="005A65CE">
      <w:pPr>
        <w:numPr>
          <w:ilvl w:val="0"/>
          <w:numId w:val="1"/>
        </w:numPr>
        <w:autoSpaceDE/>
        <w:autoSpaceDN/>
        <w:adjustRightInd/>
        <w:contextualSpacing/>
        <w:jc w:val="both"/>
        <w:rPr>
          <w:lang w:val="en-US"/>
        </w:rPr>
      </w:pPr>
      <w:r w:rsidRPr="003171CD">
        <w:rPr>
          <w:lang w:val="en-US"/>
        </w:rPr>
        <w:t>The Court notes</w:t>
      </w:r>
      <w:r w:rsidR="005A65CE" w:rsidRPr="003171CD">
        <w:rPr>
          <w:lang w:val="en-US"/>
        </w:rPr>
        <w:t xml:space="preserve"> that the State </w:t>
      </w:r>
      <w:r w:rsidRPr="003171CD">
        <w:rPr>
          <w:lang w:val="en-US"/>
        </w:rPr>
        <w:t xml:space="preserve">reported that some of the police </w:t>
      </w:r>
      <w:r w:rsidR="005E1CA6" w:rsidRPr="003171CD">
        <w:rPr>
          <w:lang w:val="en-US"/>
        </w:rPr>
        <w:t xml:space="preserve">officers </w:t>
      </w:r>
      <w:r w:rsidR="001B46FF" w:rsidRPr="003171CD">
        <w:rPr>
          <w:lang w:val="en-US"/>
        </w:rPr>
        <w:t>responsible</w:t>
      </w:r>
      <w:r w:rsidR="005A65CE" w:rsidRPr="003171CD">
        <w:rPr>
          <w:lang w:val="en-US"/>
        </w:rPr>
        <w:t xml:space="preserve"> </w:t>
      </w:r>
      <w:r w:rsidRPr="003171CD">
        <w:rPr>
          <w:lang w:val="en-US"/>
        </w:rPr>
        <w:t>for th</w:t>
      </w:r>
      <w:r w:rsidR="005E1CA6" w:rsidRPr="003171CD">
        <w:rPr>
          <w:lang w:val="en-US"/>
        </w:rPr>
        <w:t xml:space="preserve">e </w:t>
      </w:r>
      <w:r w:rsidR="005A65CE" w:rsidRPr="003171CD">
        <w:rPr>
          <w:lang w:val="en-US"/>
        </w:rPr>
        <w:t>violation</w:t>
      </w:r>
      <w:r w:rsidR="005E1CA6" w:rsidRPr="003171CD">
        <w:rPr>
          <w:lang w:val="en-US"/>
        </w:rPr>
        <w:t>s</w:t>
      </w:r>
      <w:r w:rsidR="005A65CE" w:rsidRPr="003171CD">
        <w:rPr>
          <w:lang w:val="en-US"/>
        </w:rPr>
        <w:t xml:space="preserve"> ha</w:t>
      </w:r>
      <w:r w:rsidRPr="003171CD">
        <w:rPr>
          <w:lang w:val="en-US"/>
        </w:rPr>
        <w:t xml:space="preserve">d died or </w:t>
      </w:r>
      <w:r w:rsidR="005E1CA6" w:rsidRPr="003171CD">
        <w:rPr>
          <w:lang w:val="en-US"/>
        </w:rPr>
        <w:t xml:space="preserve">were </w:t>
      </w:r>
      <w:r w:rsidRPr="003171CD">
        <w:rPr>
          <w:lang w:val="en-US"/>
        </w:rPr>
        <w:t xml:space="preserve">no longer </w:t>
      </w:r>
      <w:r w:rsidR="005E1CA6" w:rsidRPr="003171CD">
        <w:rPr>
          <w:lang w:val="en-US"/>
        </w:rPr>
        <w:t xml:space="preserve">members of </w:t>
      </w:r>
      <w:r w:rsidRPr="003171CD">
        <w:rPr>
          <w:lang w:val="en-US"/>
        </w:rPr>
        <w:t>the police force</w:t>
      </w:r>
      <w:r w:rsidR="005A65CE" w:rsidRPr="003171CD">
        <w:rPr>
          <w:lang w:val="en-US"/>
        </w:rPr>
        <w:t xml:space="preserve">. However, </w:t>
      </w:r>
      <w:r w:rsidRPr="003171CD">
        <w:rPr>
          <w:lang w:val="en-US"/>
        </w:rPr>
        <w:t xml:space="preserve">this does not </w:t>
      </w:r>
      <w:r w:rsidR="000973BF" w:rsidRPr="003171CD">
        <w:rPr>
          <w:lang w:val="en-US"/>
        </w:rPr>
        <w:t xml:space="preserve">preclude the </w:t>
      </w:r>
      <w:r w:rsidR="005E1CA6" w:rsidRPr="003171CD">
        <w:rPr>
          <w:lang w:val="en-US"/>
        </w:rPr>
        <w:t xml:space="preserve">investigation of </w:t>
      </w:r>
      <w:r w:rsidRPr="003171CD">
        <w:rPr>
          <w:lang w:val="en-US"/>
        </w:rPr>
        <w:t xml:space="preserve">those who </w:t>
      </w:r>
      <w:r w:rsidR="00025517" w:rsidRPr="003171CD">
        <w:rPr>
          <w:lang w:val="en-US"/>
        </w:rPr>
        <w:t xml:space="preserve">are </w:t>
      </w:r>
      <w:r w:rsidR="000973BF" w:rsidRPr="003171CD">
        <w:rPr>
          <w:lang w:val="en-US"/>
        </w:rPr>
        <w:t xml:space="preserve">no longer </w:t>
      </w:r>
      <w:r w:rsidR="00025517" w:rsidRPr="003171CD">
        <w:rPr>
          <w:lang w:val="en-US"/>
        </w:rPr>
        <w:t xml:space="preserve">members of </w:t>
      </w:r>
      <w:r w:rsidR="005A65CE" w:rsidRPr="003171CD">
        <w:rPr>
          <w:lang w:val="en-US"/>
        </w:rPr>
        <w:t xml:space="preserve">the </w:t>
      </w:r>
      <w:r w:rsidR="000973BF" w:rsidRPr="003171CD">
        <w:rPr>
          <w:lang w:val="en-US"/>
        </w:rPr>
        <w:t>police force</w:t>
      </w:r>
      <w:r w:rsidR="005A65CE" w:rsidRPr="003171CD">
        <w:rPr>
          <w:lang w:val="en-US"/>
        </w:rPr>
        <w:t xml:space="preserve"> </w:t>
      </w:r>
      <w:r w:rsidR="005E1CA6" w:rsidRPr="003171CD">
        <w:rPr>
          <w:lang w:val="en-US"/>
        </w:rPr>
        <w:t xml:space="preserve">given that, </w:t>
      </w:r>
      <w:r w:rsidRPr="003171CD">
        <w:rPr>
          <w:lang w:val="en-US"/>
        </w:rPr>
        <w:t xml:space="preserve">for the purposes of </w:t>
      </w:r>
      <w:r w:rsidR="005A65CE" w:rsidRPr="003171CD">
        <w:rPr>
          <w:lang w:val="en-US"/>
        </w:rPr>
        <w:t>verif</w:t>
      </w:r>
      <w:r w:rsidR="001502D2" w:rsidRPr="003171CD">
        <w:rPr>
          <w:lang w:val="en-US"/>
        </w:rPr>
        <w:t xml:space="preserve">ying </w:t>
      </w:r>
      <w:r w:rsidR="005A65CE" w:rsidRPr="003171CD">
        <w:rPr>
          <w:lang w:val="en-US"/>
        </w:rPr>
        <w:t xml:space="preserve">elements </w:t>
      </w:r>
      <w:r w:rsidR="001502D2" w:rsidRPr="003171CD">
        <w:rPr>
          <w:lang w:val="en-US"/>
        </w:rPr>
        <w:t>of a criminal nature</w:t>
      </w:r>
      <w:r w:rsidR="005E1CA6" w:rsidRPr="003171CD">
        <w:rPr>
          <w:lang w:val="en-US"/>
        </w:rPr>
        <w:t>,</w:t>
      </w:r>
      <w:r w:rsidR="001502D2" w:rsidRPr="003171CD">
        <w:rPr>
          <w:lang w:val="en-US"/>
        </w:rPr>
        <w:t xml:space="preserve"> it is sufficient to prove </w:t>
      </w:r>
      <w:r w:rsidR="005A65CE" w:rsidRPr="003171CD">
        <w:rPr>
          <w:lang w:val="en-US"/>
        </w:rPr>
        <w:t xml:space="preserve">the facts </w:t>
      </w:r>
      <w:r w:rsidR="006A2571" w:rsidRPr="003171CD">
        <w:rPr>
          <w:lang w:val="en-US"/>
        </w:rPr>
        <w:t xml:space="preserve">according to the circumstances at the time </w:t>
      </w:r>
      <w:r w:rsidR="005E1CA6" w:rsidRPr="003171CD">
        <w:rPr>
          <w:lang w:val="en-US"/>
        </w:rPr>
        <w:t xml:space="preserve">when the crime was </w:t>
      </w:r>
      <w:r w:rsidR="006A2571" w:rsidRPr="003171CD">
        <w:rPr>
          <w:lang w:val="en-US"/>
        </w:rPr>
        <w:t>commi</w:t>
      </w:r>
      <w:r w:rsidR="005E1CA6" w:rsidRPr="003171CD">
        <w:rPr>
          <w:lang w:val="en-US"/>
        </w:rPr>
        <w:t>tted</w:t>
      </w:r>
      <w:r w:rsidR="005A65CE" w:rsidRPr="003171CD">
        <w:rPr>
          <w:lang w:val="en-US"/>
        </w:rPr>
        <w:t>.</w:t>
      </w:r>
    </w:p>
    <w:p w14:paraId="51C90057" w14:textId="77777777" w:rsidR="005A65CE" w:rsidRPr="003171CD" w:rsidRDefault="005A65CE" w:rsidP="005A65CE">
      <w:pPr>
        <w:contextualSpacing/>
        <w:jc w:val="both"/>
        <w:rPr>
          <w:lang w:val="en-US"/>
        </w:rPr>
      </w:pPr>
    </w:p>
    <w:p w14:paraId="271EDD4D" w14:textId="77777777" w:rsidR="005A65CE" w:rsidRPr="003171CD" w:rsidRDefault="005A65CE" w:rsidP="005A65CE">
      <w:pPr>
        <w:ind w:left="1440"/>
        <w:contextualSpacing/>
        <w:jc w:val="both"/>
        <w:rPr>
          <w:b/>
          <w:i/>
          <w:lang w:val="en-US"/>
        </w:rPr>
      </w:pPr>
      <w:r w:rsidRPr="003171CD">
        <w:rPr>
          <w:b/>
          <w:i/>
          <w:lang w:val="en-US"/>
        </w:rPr>
        <w:t xml:space="preserve">B.2 </w:t>
      </w:r>
      <w:r w:rsidRPr="003171CD">
        <w:rPr>
          <w:b/>
          <w:i/>
          <w:lang w:val="en-US"/>
        </w:rPr>
        <w:tab/>
      </w:r>
      <w:r w:rsidR="006A2571" w:rsidRPr="003171CD">
        <w:rPr>
          <w:b/>
          <w:i/>
          <w:lang w:val="en-US"/>
        </w:rPr>
        <w:t xml:space="preserve">Regarding the </w:t>
      </w:r>
      <w:r w:rsidRPr="003171CD">
        <w:rPr>
          <w:b/>
          <w:i/>
          <w:lang w:val="en-US"/>
        </w:rPr>
        <w:t>act</w:t>
      </w:r>
      <w:r w:rsidR="006A2571" w:rsidRPr="003171CD">
        <w:rPr>
          <w:b/>
          <w:i/>
          <w:lang w:val="en-US"/>
        </w:rPr>
        <w:t xml:space="preserve">ions </w:t>
      </w:r>
      <w:r w:rsidRPr="003171CD">
        <w:rPr>
          <w:b/>
          <w:i/>
          <w:lang w:val="en-US"/>
        </w:rPr>
        <w:t>of the public defen</w:t>
      </w:r>
      <w:r w:rsidR="00E5086F" w:rsidRPr="003171CD">
        <w:rPr>
          <w:b/>
          <w:i/>
          <w:lang w:val="en-US"/>
        </w:rPr>
        <w:t>ders</w:t>
      </w:r>
    </w:p>
    <w:p w14:paraId="661CA8B0" w14:textId="77777777" w:rsidR="005A65CE" w:rsidRPr="003171CD" w:rsidRDefault="005A65CE" w:rsidP="005A65CE">
      <w:pPr>
        <w:rPr>
          <w:b/>
          <w:i/>
          <w:lang w:val="en-US"/>
        </w:rPr>
      </w:pPr>
    </w:p>
    <w:p w14:paraId="74806058" w14:textId="77777777" w:rsidR="005A65CE" w:rsidRPr="003171CD" w:rsidRDefault="005A65CE" w:rsidP="005A65CE">
      <w:pPr>
        <w:ind w:firstLine="720"/>
        <w:rPr>
          <w:i/>
          <w:lang w:val="en-US"/>
        </w:rPr>
      </w:pPr>
      <w:r w:rsidRPr="003171CD">
        <w:rPr>
          <w:i/>
          <w:lang w:val="en-US"/>
        </w:rPr>
        <w:t>Arguments of the parties and of the Commission</w:t>
      </w:r>
    </w:p>
    <w:p w14:paraId="7BFD0C32" w14:textId="77777777" w:rsidR="005A65CE" w:rsidRPr="003171CD" w:rsidRDefault="005A65CE" w:rsidP="005A65CE">
      <w:pPr>
        <w:rPr>
          <w:b/>
          <w:i/>
          <w:lang w:val="en-US"/>
        </w:rPr>
      </w:pPr>
    </w:p>
    <w:p w14:paraId="35C9E0A9"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lastRenderedPageBreak/>
        <w:t xml:space="preserve">The </w:t>
      </w:r>
      <w:r w:rsidRPr="003171CD">
        <w:rPr>
          <w:b/>
          <w:i/>
          <w:lang w:val="en-US"/>
        </w:rPr>
        <w:t xml:space="preserve">Commission </w:t>
      </w:r>
      <w:r w:rsidR="006A2571" w:rsidRPr="003171CD">
        <w:rPr>
          <w:lang w:val="en-US"/>
        </w:rPr>
        <w:t xml:space="preserve">recommended that the Court order </w:t>
      </w:r>
      <w:r w:rsidRPr="003171CD">
        <w:rPr>
          <w:lang w:val="en-US"/>
        </w:rPr>
        <w:t xml:space="preserve">the State </w:t>
      </w:r>
      <w:r w:rsidR="005E1CA6" w:rsidRPr="003171CD">
        <w:rPr>
          <w:lang w:val="en-US"/>
        </w:rPr>
        <w:t>to i</w:t>
      </w:r>
      <w:r w:rsidR="00F7072F" w:rsidRPr="003171CD">
        <w:rPr>
          <w:lang w:val="en-US"/>
        </w:rPr>
        <w:t xml:space="preserve">ssue </w:t>
      </w:r>
      <w:r w:rsidRPr="003171CD">
        <w:rPr>
          <w:lang w:val="en-US"/>
        </w:rPr>
        <w:t>“the</w:t>
      </w:r>
      <w:r w:rsidR="006A2571" w:rsidRPr="003171CD">
        <w:rPr>
          <w:lang w:val="en-US"/>
        </w:rPr>
        <w:t xml:space="preserve"> </w:t>
      </w:r>
      <w:r w:rsidR="00527C29" w:rsidRPr="003171CD">
        <w:rPr>
          <w:lang w:val="en-US"/>
        </w:rPr>
        <w:t>applicable</w:t>
      </w:r>
      <w:r w:rsidR="006A2571" w:rsidRPr="003171CD">
        <w:rPr>
          <w:lang w:val="en-US"/>
        </w:rPr>
        <w:t xml:space="preserve"> administrative, disciplinary and </w:t>
      </w:r>
      <w:r w:rsidR="00527C29" w:rsidRPr="003171CD">
        <w:rPr>
          <w:lang w:val="en-US"/>
        </w:rPr>
        <w:t xml:space="preserve">criminal </w:t>
      </w:r>
      <w:r w:rsidR="006A2571" w:rsidRPr="003171CD">
        <w:rPr>
          <w:lang w:val="en-US"/>
        </w:rPr>
        <w:t xml:space="preserve">measures </w:t>
      </w:r>
      <w:r w:rsidR="00527C29" w:rsidRPr="003171CD">
        <w:rPr>
          <w:lang w:val="en-US"/>
        </w:rPr>
        <w:t xml:space="preserve">in connection with the </w:t>
      </w:r>
      <w:r w:rsidR="006A2571" w:rsidRPr="003171CD">
        <w:rPr>
          <w:lang w:val="en-US"/>
        </w:rPr>
        <w:t>actions or</w:t>
      </w:r>
      <w:r w:rsidRPr="003171CD">
        <w:rPr>
          <w:lang w:val="en-US"/>
        </w:rPr>
        <w:t xml:space="preserve"> </w:t>
      </w:r>
      <w:r w:rsidR="00B55ACC" w:rsidRPr="003171CD">
        <w:rPr>
          <w:lang w:val="en-US"/>
        </w:rPr>
        <w:t>omission</w:t>
      </w:r>
      <w:r w:rsidRPr="003171CD">
        <w:rPr>
          <w:lang w:val="en-US"/>
        </w:rPr>
        <w:t xml:space="preserve">s of the </w:t>
      </w:r>
      <w:r w:rsidR="006A2571" w:rsidRPr="003171CD">
        <w:rPr>
          <w:lang w:val="en-US"/>
        </w:rPr>
        <w:t xml:space="preserve">State </w:t>
      </w:r>
      <w:r w:rsidR="00527C29" w:rsidRPr="003171CD">
        <w:rPr>
          <w:lang w:val="en-US"/>
        </w:rPr>
        <w:t xml:space="preserve">agents </w:t>
      </w:r>
      <w:r w:rsidRPr="003171CD">
        <w:rPr>
          <w:lang w:val="en-US"/>
        </w:rPr>
        <w:t xml:space="preserve">(police </w:t>
      </w:r>
      <w:r w:rsidR="00527C29" w:rsidRPr="003171CD">
        <w:rPr>
          <w:lang w:val="en-US"/>
        </w:rPr>
        <w:t>officers</w:t>
      </w:r>
      <w:r w:rsidRPr="003171CD">
        <w:rPr>
          <w:lang w:val="en-US"/>
        </w:rPr>
        <w:t>, prosecutors, public defen</w:t>
      </w:r>
      <w:r w:rsidR="00527C29" w:rsidRPr="003171CD">
        <w:rPr>
          <w:lang w:val="en-US"/>
        </w:rPr>
        <w:t xml:space="preserve">ders </w:t>
      </w:r>
      <w:r w:rsidRPr="003171CD">
        <w:rPr>
          <w:lang w:val="en-US"/>
        </w:rPr>
        <w:t xml:space="preserve">and judges of the </w:t>
      </w:r>
      <w:r w:rsidR="00527C29" w:rsidRPr="003171CD">
        <w:rPr>
          <w:lang w:val="en-US"/>
        </w:rPr>
        <w:t>various courts</w:t>
      </w:r>
      <w:r w:rsidRPr="003171CD">
        <w:rPr>
          <w:lang w:val="en-US"/>
        </w:rPr>
        <w:t xml:space="preserve">) </w:t>
      </w:r>
      <w:r w:rsidR="00527C29" w:rsidRPr="003171CD">
        <w:rPr>
          <w:lang w:val="en-US"/>
        </w:rPr>
        <w:t xml:space="preserve">whose actions </w:t>
      </w:r>
      <w:r w:rsidRPr="003171CD">
        <w:rPr>
          <w:lang w:val="en-US"/>
        </w:rPr>
        <w:t>contribu</w:t>
      </w:r>
      <w:r w:rsidR="006A2571" w:rsidRPr="003171CD">
        <w:rPr>
          <w:lang w:val="en-US"/>
        </w:rPr>
        <w:t xml:space="preserve">ted to </w:t>
      </w:r>
      <w:r w:rsidRPr="003171CD">
        <w:rPr>
          <w:lang w:val="en-US"/>
        </w:rPr>
        <w:t xml:space="preserve">the violation of </w:t>
      </w:r>
      <w:r w:rsidR="00F7072F" w:rsidRPr="003171CD">
        <w:rPr>
          <w:lang w:val="en-US"/>
        </w:rPr>
        <w:t xml:space="preserve">the rights of </w:t>
      </w:r>
      <w:r w:rsidRPr="003171CD">
        <w:rPr>
          <w:lang w:val="en-US"/>
        </w:rPr>
        <w:t>José Agapito Ruano Torres</w:t>
      </w:r>
      <w:r w:rsidR="00527C29" w:rsidRPr="003171CD">
        <w:rPr>
          <w:lang w:val="en-US"/>
        </w:rPr>
        <w:t>.”</w:t>
      </w:r>
    </w:p>
    <w:p w14:paraId="1CBC8F09" w14:textId="77777777" w:rsidR="005A65CE" w:rsidRPr="003171CD" w:rsidRDefault="005A65CE" w:rsidP="005A65CE">
      <w:pPr>
        <w:contextualSpacing/>
        <w:jc w:val="both"/>
        <w:rPr>
          <w:lang w:val="en-US"/>
        </w:rPr>
      </w:pPr>
    </w:p>
    <w:p w14:paraId="08C8055E" w14:textId="77777777" w:rsidR="005A65CE" w:rsidRPr="003171CD" w:rsidRDefault="006A2571" w:rsidP="005A65CE">
      <w:pPr>
        <w:numPr>
          <w:ilvl w:val="0"/>
          <w:numId w:val="1"/>
        </w:numPr>
        <w:autoSpaceDE/>
        <w:autoSpaceDN/>
        <w:adjustRightInd/>
        <w:contextualSpacing/>
        <w:jc w:val="both"/>
        <w:rPr>
          <w:lang w:val="en-US"/>
        </w:rPr>
      </w:pPr>
      <w:r w:rsidRPr="003171CD">
        <w:rPr>
          <w:lang w:val="en-US"/>
        </w:rPr>
        <w:t>Likewise</w:t>
      </w:r>
      <w:r w:rsidR="005A65CE" w:rsidRPr="003171CD">
        <w:rPr>
          <w:lang w:val="en-US"/>
        </w:rPr>
        <w:t xml:space="preserve">, the </w:t>
      </w:r>
      <w:r w:rsidR="005A65CE" w:rsidRPr="003171CD">
        <w:rPr>
          <w:b/>
          <w:i/>
          <w:lang w:val="en-US"/>
        </w:rPr>
        <w:t>representatives</w:t>
      </w:r>
      <w:r w:rsidR="001B46FF" w:rsidRPr="003171CD">
        <w:rPr>
          <w:lang w:val="en-US"/>
        </w:rPr>
        <w:t xml:space="preserve"> asked the Court to order</w:t>
      </w:r>
      <w:r w:rsidR="005A65CE" w:rsidRPr="003171CD">
        <w:rPr>
          <w:lang w:val="en-US"/>
        </w:rPr>
        <w:t xml:space="preserve"> the State</w:t>
      </w:r>
      <w:r w:rsidR="005E1CA6" w:rsidRPr="003171CD">
        <w:rPr>
          <w:lang w:val="en-US"/>
        </w:rPr>
        <w:t xml:space="preserve"> to</w:t>
      </w:r>
      <w:r w:rsidR="005A65CE" w:rsidRPr="003171CD">
        <w:rPr>
          <w:lang w:val="en-US"/>
        </w:rPr>
        <w:t xml:space="preserve"> “</w:t>
      </w:r>
      <w:r w:rsidR="00527C29" w:rsidRPr="003171CD">
        <w:rPr>
          <w:lang w:val="en-US"/>
        </w:rPr>
        <w:t xml:space="preserve">punish </w:t>
      </w:r>
      <w:r w:rsidR="005E1CA6" w:rsidRPr="003171CD">
        <w:rPr>
          <w:lang w:val="en-US"/>
        </w:rPr>
        <w:t>th</w:t>
      </w:r>
      <w:r w:rsidRPr="003171CD">
        <w:rPr>
          <w:lang w:val="en-US"/>
        </w:rPr>
        <w:t>e agent</w:t>
      </w:r>
      <w:r w:rsidR="005A65CE" w:rsidRPr="003171CD">
        <w:rPr>
          <w:lang w:val="en-US"/>
        </w:rPr>
        <w:t xml:space="preserve">s </w:t>
      </w:r>
      <w:r w:rsidRPr="003171CD">
        <w:rPr>
          <w:lang w:val="en-US"/>
        </w:rPr>
        <w:t xml:space="preserve">of </w:t>
      </w:r>
      <w:r w:rsidR="005A65CE" w:rsidRPr="003171CD">
        <w:rPr>
          <w:lang w:val="en-US"/>
        </w:rPr>
        <w:t>the State (polic</w:t>
      </w:r>
      <w:r w:rsidR="00527C29" w:rsidRPr="003171CD">
        <w:rPr>
          <w:lang w:val="en-US"/>
        </w:rPr>
        <w:t>e officers</w:t>
      </w:r>
      <w:r w:rsidR="005A65CE" w:rsidRPr="003171CD">
        <w:rPr>
          <w:lang w:val="en-US"/>
        </w:rPr>
        <w:t xml:space="preserve">, judges, public defenders) </w:t>
      </w:r>
      <w:r w:rsidR="001B46FF" w:rsidRPr="003171CD">
        <w:rPr>
          <w:lang w:val="en-US"/>
        </w:rPr>
        <w:t>responsible</w:t>
      </w:r>
      <w:r w:rsidR="005A65CE" w:rsidRPr="003171CD">
        <w:rPr>
          <w:lang w:val="en-US"/>
        </w:rPr>
        <w:t xml:space="preserve"> </w:t>
      </w:r>
      <w:r w:rsidR="00527C29" w:rsidRPr="003171CD">
        <w:rPr>
          <w:lang w:val="en-US"/>
        </w:rPr>
        <w:t xml:space="preserve">for </w:t>
      </w:r>
      <w:r w:rsidR="005A65CE" w:rsidRPr="003171CD">
        <w:rPr>
          <w:lang w:val="en-US"/>
        </w:rPr>
        <w:t xml:space="preserve">the […] </w:t>
      </w:r>
      <w:r w:rsidR="009656AE" w:rsidRPr="003171CD">
        <w:rPr>
          <w:lang w:val="en-US"/>
        </w:rPr>
        <w:t>conviction</w:t>
      </w:r>
      <w:r w:rsidR="005A65CE" w:rsidRPr="003171CD">
        <w:rPr>
          <w:lang w:val="en-US"/>
        </w:rPr>
        <w:t xml:space="preserve"> of [José] Agapito</w:t>
      </w:r>
      <w:r w:rsidR="00527C29" w:rsidRPr="003171CD">
        <w:rPr>
          <w:lang w:val="en-US"/>
        </w:rPr>
        <w:t>.”</w:t>
      </w:r>
    </w:p>
    <w:p w14:paraId="7C82AA5B" w14:textId="77777777" w:rsidR="005A65CE" w:rsidRPr="003171CD" w:rsidRDefault="005A65CE" w:rsidP="005A65CE">
      <w:pPr>
        <w:contextualSpacing/>
        <w:jc w:val="both"/>
        <w:rPr>
          <w:lang w:val="en-US"/>
        </w:rPr>
      </w:pPr>
    </w:p>
    <w:p w14:paraId="3BCE62A4"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b/>
          <w:lang w:val="en-US"/>
        </w:rPr>
        <w:t xml:space="preserve"> </w:t>
      </w:r>
      <w:r w:rsidR="003E7F07" w:rsidRPr="003171CD">
        <w:rPr>
          <w:lang w:val="en-US"/>
        </w:rPr>
        <w:t>reported</w:t>
      </w:r>
      <w:r w:rsidR="003E7F07" w:rsidRPr="003171CD">
        <w:rPr>
          <w:b/>
          <w:lang w:val="en-US"/>
        </w:rPr>
        <w:t xml:space="preserve"> </w:t>
      </w:r>
      <w:r w:rsidRPr="003171CD">
        <w:rPr>
          <w:lang w:val="en-US"/>
        </w:rPr>
        <w:t xml:space="preserve">that </w:t>
      </w:r>
      <w:r w:rsidR="003E7F07" w:rsidRPr="003171CD">
        <w:rPr>
          <w:lang w:val="en-US"/>
        </w:rPr>
        <w:t xml:space="preserve">it had </w:t>
      </w:r>
      <w:r w:rsidRPr="003171CD">
        <w:rPr>
          <w:lang w:val="en-US"/>
        </w:rPr>
        <w:t>instru</w:t>
      </w:r>
      <w:r w:rsidR="00527C29" w:rsidRPr="003171CD">
        <w:rPr>
          <w:lang w:val="en-US"/>
        </w:rPr>
        <w:t xml:space="preserve">cted the </w:t>
      </w:r>
      <w:r w:rsidR="00E01D94" w:rsidRPr="003171CD">
        <w:rPr>
          <w:lang w:val="en-US"/>
        </w:rPr>
        <w:t>Judicial Investigation</w:t>
      </w:r>
      <w:r w:rsidRPr="003171CD">
        <w:rPr>
          <w:lang w:val="en-US"/>
        </w:rPr>
        <w:t xml:space="preserve"> </w:t>
      </w:r>
      <w:r w:rsidR="00527C29" w:rsidRPr="003171CD">
        <w:rPr>
          <w:lang w:val="en-US"/>
        </w:rPr>
        <w:t xml:space="preserve">Division to </w:t>
      </w:r>
      <w:r w:rsidR="00440A74" w:rsidRPr="003171CD">
        <w:rPr>
          <w:lang w:val="en-US"/>
        </w:rPr>
        <w:t xml:space="preserve">conduct </w:t>
      </w:r>
      <w:r w:rsidRPr="003171CD">
        <w:rPr>
          <w:lang w:val="en-US"/>
        </w:rPr>
        <w:t>“</w:t>
      </w:r>
      <w:r w:rsidR="00440A74" w:rsidRPr="003171CD">
        <w:rPr>
          <w:lang w:val="en-US"/>
        </w:rPr>
        <w:t>the</w:t>
      </w:r>
      <w:r w:rsidRPr="003171CD">
        <w:rPr>
          <w:lang w:val="en-US"/>
        </w:rPr>
        <w:t xml:space="preserve"> </w:t>
      </w:r>
      <w:r w:rsidR="004C6D25" w:rsidRPr="003171CD">
        <w:rPr>
          <w:lang w:val="en-US"/>
        </w:rPr>
        <w:t xml:space="preserve">pertinent </w:t>
      </w:r>
      <w:r w:rsidRPr="003171CD">
        <w:rPr>
          <w:lang w:val="en-US"/>
        </w:rPr>
        <w:t>audit</w:t>
      </w:r>
      <w:r w:rsidR="00527C29" w:rsidRPr="003171CD">
        <w:rPr>
          <w:lang w:val="en-US"/>
        </w:rPr>
        <w:t xml:space="preserve">s </w:t>
      </w:r>
      <w:r w:rsidRPr="003171CD">
        <w:rPr>
          <w:lang w:val="en-US"/>
        </w:rPr>
        <w:t>and proce</w:t>
      </w:r>
      <w:r w:rsidR="003454B5" w:rsidRPr="003171CD">
        <w:rPr>
          <w:lang w:val="en-US"/>
        </w:rPr>
        <w:t>ed</w:t>
      </w:r>
      <w:r w:rsidRPr="003171CD">
        <w:rPr>
          <w:lang w:val="en-US"/>
        </w:rPr>
        <w:t xml:space="preserve"> </w:t>
      </w:r>
      <w:r w:rsidR="003454B5" w:rsidRPr="003171CD">
        <w:rPr>
          <w:lang w:val="en-US"/>
        </w:rPr>
        <w:t xml:space="preserve">according to the </w:t>
      </w:r>
      <w:r w:rsidR="00440A74" w:rsidRPr="003171CD">
        <w:rPr>
          <w:lang w:val="en-US"/>
        </w:rPr>
        <w:t>disciplinary</w:t>
      </w:r>
      <w:r w:rsidRPr="003171CD">
        <w:rPr>
          <w:lang w:val="en-US"/>
        </w:rPr>
        <w:t xml:space="preserve"> </w:t>
      </w:r>
      <w:r w:rsidR="003454B5" w:rsidRPr="003171CD">
        <w:rPr>
          <w:lang w:val="en-US"/>
        </w:rPr>
        <w:t>r</w:t>
      </w:r>
      <w:r w:rsidR="00F7072F" w:rsidRPr="003171CD">
        <w:rPr>
          <w:lang w:val="en-US"/>
        </w:rPr>
        <w:t xml:space="preserve">ules </w:t>
      </w:r>
      <w:r w:rsidRPr="003171CD">
        <w:rPr>
          <w:lang w:val="en-US"/>
        </w:rPr>
        <w:t>established in the L</w:t>
      </w:r>
      <w:r w:rsidR="003454B5" w:rsidRPr="003171CD">
        <w:rPr>
          <w:lang w:val="en-US"/>
        </w:rPr>
        <w:t xml:space="preserve">aw </w:t>
      </w:r>
      <w:r w:rsidRPr="003171CD">
        <w:rPr>
          <w:lang w:val="en-US"/>
        </w:rPr>
        <w:t xml:space="preserve">of the </w:t>
      </w:r>
      <w:r w:rsidR="005E1CA6" w:rsidRPr="003171CD">
        <w:rPr>
          <w:lang w:val="en-US"/>
        </w:rPr>
        <w:t>Judiciary</w:t>
      </w:r>
      <w:r w:rsidRPr="003171CD">
        <w:rPr>
          <w:lang w:val="en-US"/>
        </w:rPr>
        <w:t xml:space="preserve">, </w:t>
      </w:r>
      <w:r w:rsidR="005E1CA6" w:rsidRPr="003171CD">
        <w:rPr>
          <w:lang w:val="en-US"/>
        </w:rPr>
        <w:t xml:space="preserve">in order to </w:t>
      </w:r>
      <w:r w:rsidR="009F6D5F" w:rsidRPr="003171CD">
        <w:rPr>
          <w:lang w:val="en-US"/>
        </w:rPr>
        <w:t>determine</w:t>
      </w:r>
      <w:r w:rsidRPr="003171CD">
        <w:rPr>
          <w:lang w:val="en-US"/>
        </w:rPr>
        <w:t xml:space="preserve"> the </w:t>
      </w:r>
      <w:r w:rsidR="005E1CA6" w:rsidRPr="003171CD">
        <w:rPr>
          <w:lang w:val="en-US"/>
        </w:rPr>
        <w:t>responsibilities</w:t>
      </w:r>
      <w:r w:rsidRPr="003171CD">
        <w:rPr>
          <w:lang w:val="en-US"/>
        </w:rPr>
        <w:t xml:space="preserve"> in relation </w:t>
      </w:r>
      <w:r w:rsidR="003454B5" w:rsidRPr="003171CD">
        <w:rPr>
          <w:lang w:val="en-US"/>
        </w:rPr>
        <w:t xml:space="preserve">to the </w:t>
      </w:r>
      <w:r w:rsidRPr="003171CD">
        <w:rPr>
          <w:lang w:val="en-US"/>
        </w:rPr>
        <w:t>case</w:t>
      </w:r>
      <w:r w:rsidR="005E1CA6" w:rsidRPr="003171CD">
        <w:rPr>
          <w:lang w:val="en-US"/>
        </w:rPr>
        <w:t>.”</w:t>
      </w:r>
      <w:r w:rsidRPr="003171CD">
        <w:rPr>
          <w:lang w:val="en-US"/>
        </w:rPr>
        <w:t xml:space="preserve"> </w:t>
      </w:r>
      <w:r w:rsidR="005E1CA6" w:rsidRPr="003171CD">
        <w:rPr>
          <w:lang w:val="en-US"/>
        </w:rPr>
        <w:t xml:space="preserve">It also </w:t>
      </w:r>
      <w:r w:rsidRPr="003171CD">
        <w:rPr>
          <w:lang w:val="en-US"/>
        </w:rPr>
        <w:t xml:space="preserve">indicated that the Prosecutor General </w:t>
      </w:r>
      <w:r w:rsidR="005E1CA6" w:rsidRPr="003171CD">
        <w:rPr>
          <w:lang w:val="en-US"/>
        </w:rPr>
        <w:t xml:space="preserve">had </w:t>
      </w:r>
      <w:r w:rsidRPr="003171CD">
        <w:rPr>
          <w:lang w:val="en-US"/>
        </w:rPr>
        <w:t>“</w:t>
      </w:r>
      <w:r w:rsidR="003454B5" w:rsidRPr="003171CD">
        <w:rPr>
          <w:lang w:val="en-US"/>
        </w:rPr>
        <w:t xml:space="preserve">reported </w:t>
      </w:r>
      <w:r w:rsidRPr="003171CD">
        <w:rPr>
          <w:lang w:val="en-US"/>
        </w:rPr>
        <w:t>the i</w:t>
      </w:r>
      <w:r w:rsidR="00440A74" w:rsidRPr="003171CD">
        <w:rPr>
          <w:lang w:val="en-US"/>
        </w:rPr>
        <w:t xml:space="preserve">mmediate </w:t>
      </w:r>
      <w:r w:rsidR="005E1CA6" w:rsidRPr="003171CD">
        <w:rPr>
          <w:lang w:val="en-US"/>
        </w:rPr>
        <w:t xml:space="preserve">opening </w:t>
      </w:r>
      <w:r w:rsidRPr="003171CD">
        <w:rPr>
          <w:lang w:val="en-US"/>
        </w:rPr>
        <w:t>of a</w:t>
      </w:r>
      <w:r w:rsidR="00440A74" w:rsidRPr="003171CD">
        <w:rPr>
          <w:lang w:val="en-US"/>
        </w:rPr>
        <w:t>n</w:t>
      </w:r>
      <w:r w:rsidRPr="003171CD">
        <w:rPr>
          <w:lang w:val="en-US"/>
        </w:rPr>
        <w:t xml:space="preserve"> </w:t>
      </w:r>
      <w:r w:rsidR="00440A74" w:rsidRPr="003171CD">
        <w:rPr>
          <w:lang w:val="en-US"/>
        </w:rPr>
        <w:t xml:space="preserve">administrative </w:t>
      </w:r>
      <w:r w:rsidR="003454B5" w:rsidRPr="003171CD">
        <w:rPr>
          <w:lang w:val="en-US"/>
        </w:rPr>
        <w:t>process</w:t>
      </w:r>
      <w:r w:rsidR="00440A74" w:rsidRPr="003171CD">
        <w:rPr>
          <w:lang w:val="en-US"/>
        </w:rPr>
        <w:t xml:space="preserve"> to</w:t>
      </w:r>
      <w:r w:rsidRPr="003171CD">
        <w:rPr>
          <w:lang w:val="en-US"/>
        </w:rPr>
        <w:t xml:space="preserve"> </w:t>
      </w:r>
      <w:r w:rsidR="00440A74" w:rsidRPr="003171CD">
        <w:rPr>
          <w:lang w:val="en-US"/>
        </w:rPr>
        <w:t>analy</w:t>
      </w:r>
      <w:r w:rsidRPr="003171CD">
        <w:rPr>
          <w:lang w:val="en-US"/>
        </w:rPr>
        <w:t>z</w:t>
      </w:r>
      <w:r w:rsidR="00440A74" w:rsidRPr="003171CD">
        <w:rPr>
          <w:lang w:val="en-US"/>
        </w:rPr>
        <w:t xml:space="preserve">e </w:t>
      </w:r>
      <w:r w:rsidRPr="003171CD">
        <w:rPr>
          <w:lang w:val="en-US"/>
        </w:rPr>
        <w:t>the rol</w:t>
      </w:r>
      <w:r w:rsidR="00440A74" w:rsidRPr="003171CD">
        <w:rPr>
          <w:lang w:val="en-US"/>
        </w:rPr>
        <w:t>e</w:t>
      </w:r>
      <w:r w:rsidRPr="003171CD">
        <w:rPr>
          <w:lang w:val="en-US"/>
        </w:rPr>
        <w:t xml:space="preserve"> </w:t>
      </w:r>
      <w:r w:rsidR="003454B5" w:rsidRPr="003171CD">
        <w:rPr>
          <w:lang w:val="en-US"/>
        </w:rPr>
        <w:t xml:space="preserve">played by </w:t>
      </w:r>
      <w:r w:rsidRPr="003171CD">
        <w:rPr>
          <w:lang w:val="en-US"/>
        </w:rPr>
        <w:t>the public defen</w:t>
      </w:r>
      <w:r w:rsidR="00677A63" w:rsidRPr="003171CD">
        <w:rPr>
          <w:lang w:val="en-US"/>
        </w:rPr>
        <w:t xml:space="preserve">ders </w:t>
      </w:r>
      <w:r w:rsidRPr="003171CD">
        <w:rPr>
          <w:lang w:val="en-US"/>
        </w:rPr>
        <w:t xml:space="preserve">in the case, </w:t>
      </w:r>
      <w:r w:rsidR="00FF7E6C" w:rsidRPr="003171CD">
        <w:rPr>
          <w:lang w:val="en-US"/>
        </w:rPr>
        <w:t xml:space="preserve">in order to </w:t>
      </w:r>
      <w:r w:rsidR="009F6D5F" w:rsidRPr="003171CD">
        <w:rPr>
          <w:lang w:val="en-US"/>
        </w:rPr>
        <w:t>determine</w:t>
      </w:r>
      <w:r w:rsidR="003E7F07" w:rsidRPr="003171CD">
        <w:rPr>
          <w:lang w:val="en-US"/>
        </w:rPr>
        <w:t xml:space="preserve"> the responsi</w:t>
      </w:r>
      <w:r w:rsidRPr="003171CD">
        <w:rPr>
          <w:lang w:val="en-US"/>
        </w:rPr>
        <w:t xml:space="preserve">bilities </w:t>
      </w:r>
      <w:r w:rsidR="00855540" w:rsidRPr="003171CD">
        <w:rPr>
          <w:lang w:val="en-US"/>
        </w:rPr>
        <w:t xml:space="preserve">if any, </w:t>
      </w:r>
      <w:r w:rsidRPr="003171CD">
        <w:rPr>
          <w:lang w:val="en-US"/>
        </w:rPr>
        <w:t xml:space="preserve">and </w:t>
      </w:r>
      <w:r w:rsidR="00FF0300" w:rsidRPr="003171CD">
        <w:rPr>
          <w:lang w:val="en-US"/>
        </w:rPr>
        <w:t>appl</w:t>
      </w:r>
      <w:r w:rsidR="003454B5" w:rsidRPr="003171CD">
        <w:rPr>
          <w:lang w:val="en-US"/>
        </w:rPr>
        <w:t xml:space="preserve">y </w:t>
      </w:r>
      <w:r w:rsidRPr="003171CD">
        <w:rPr>
          <w:lang w:val="en-US"/>
        </w:rPr>
        <w:t>the corresponding</w:t>
      </w:r>
      <w:r w:rsidR="003454B5" w:rsidRPr="003171CD">
        <w:rPr>
          <w:lang w:val="en-US"/>
        </w:rPr>
        <w:t xml:space="preserve"> sanctions</w:t>
      </w:r>
      <w:r w:rsidRPr="003171CD">
        <w:rPr>
          <w:lang w:val="en-US"/>
        </w:rPr>
        <w:t xml:space="preserve">, </w:t>
      </w:r>
      <w:r w:rsidR="00440A74" w:rsidRPr="003171CD">
        <w:rPr>
          <w:lang w:val="en-US"/>
        </w:rPr>
        <w:t>if appropriate.”</w:t>
      </w:r>
    </w:p>
    <w:p w14:paraId="77AAF189" w14:textId="77777777" w:rsidR="005A65CE" w:rsidRPr="003171CD" w:rsidRDefault="005A65CE" w:rsidP="005A65CE">
      <w:pPr>
        <w:jc w:val="both"/>
        <w:rPr>
          <w:lang w:val="en-US"/>
        </w:rPr>
      </w:pPr>
    </w:p>
    <w:p w14:paraId="74010B4E" w14:textId="77777777" w:rsidR="005A65CE" w:rsidRPr="003171CD" w:rsidRDefault="005A65CE" w:rsidP="005A65CE">
      <w:pPr>
        <w:ind w:firstLine="720"/>
        <w:jc w:val="both"/>
        <w:rPr>
          <w:i/>
          <w:lang w:val="en-US"/>
        </w:rPr>
      </w:pPr>
      <w:r w:rsidRPr="003171CD">
        <w:rPr>
          <w:i/>
          <w:lang w:val="en-US"/>
        </w:rPr>
        <w:t>Considerations of the Court</w:t>
      </w:r>
    </w:p>
    <w:p w14:paraId="671B96F6" w14:textId="77777777" w:rsidR="005A65CE" w:rsidRPr="003171CD" w:rsidRDefault="005A65CE" w:rsidP="005A65CE">
      <w:pPr>
        <w:jc w:val="both"/>
        <w:rPr>
          <w:lang w:val="en-US"/>
        </w:rPr>
      </w:pPr>
    </w:p>
    <w:p w14:paraId="287B3D4D" w14:textId="77777777" w:rsidR="005A65CE" w:rsidRPr="003171CD" w:rsidRDefault="001502D2" w:rsidP="005A65CE">
      <w:pPr>
        <w:numPr>
          <w:ilvl w:val="0"/>
          <w:numId w:val="1"/>
        </w:numPr>
        <w:autoSpaceDE/>
        <w:autoSpaceDN/>
        <w:adjustRightInd/>
        <w:contextualSpacing/>
        <w:jc w:val="both"/>
        <w:rPr>
          <w:lang w:val="en-US"/>
        </w:rPr>
      </w:pPr>
      <w:r w:rsidRPr="003171CD">
        <w:rPr>
          <w:lang w:val="en-US"/>
        </w:rPr>
        <w:t>In this J</w:t>
      </w:r>
      <w:r w:rsidR="005A65CE" w:rsidRPr="003171CD">
        <w:rPr>
          <w:lang w:val="en-US"/>
        </w:rPr>
        <w:t xml:space="preserve">udgment </w:t>
      </w:r>
      <w:r w:rsidRPr="003171CD">
        <w:rPr>
          <w:lang w:val="en-US"/>
        </w:rPr>
        <w:t xml:space="preserve">the Court has declared </w:t>
      </w:r>
      <w:r w:rsidR="005A65CE" w:rsidRPr="003171CD">
        <w:rPr>
          <w:lang w:val="en-US"/>
        </w:rPr>
        <w:t xml:space="preserve">that </w:t>
      </w:r>
      <w:r w:rsidRPr="003171CD">
        <w:rPr>
          <w:lang w:val="en-US"/>
        </w:rPr>
        <w:t xml:space="preserve">the State violated </w:t>
      </w:r>
      <w:r w:rsidR="005A65CE" w:rsidRPr="003171CD">
        <w:rPr>
          <w:lang w:val="en-US"/>
        </w:rPr>
        <w:t>Articles 8(1), 8(2)</w:t>
      </w:r>
      <w:r w:rsidRPr="003171CD">
        <w:rPr>
          <w:lang w:val="en-US"/>
        </w:rPr>
        <w:t>(d) and 8(2)(e)</w:t>
      </w:r>
      <w:r w:rsidR="005A65CE" w:rsidRPr="003171CD">
        <w:rPr>
          <w:lang w:val="en-US"/>
        </w:rPr>
        <w:t xml:space="preserve"> of the American Convention, in relation to Article 1(1) thereof, </w:t>
      </w:r>
      <w:r w:rsidRPr="003171CD">
        <w:rPr>
          <w:lang w:val="en-US"/>
        </w:rPr>
        <w:t xml:space="preserve">given the state of vulnerability in which </w:t>
      </w:r>
      <w:r w:rsidR="005A65CE" w:rsidRPr="003171CD">
        <w:rPr>
          <w:lang w:val="en-US"/>
        </w:rPr>
        <w:t xml:space="preserve">Mr. Ruano Torres </w:t>
      </w:r>
      <w:r w:rsidRPr="003171CD">
        <w:rPr>
          <w:lang w:val="en-US"/>
        </w:rPr>
        <w:t xml:space="preserve">found himself </w:t>
      </w:r>
      <w:r w:rsidR="005A65CE" w:rsidRPr="003171CD">
        <w:rPr>
          <w:lang w:val="en-US"/>
        </w:rPr>
        <w:t xml:space="preserve">during the </w:t>
      </w:r>
      <w:r w:rsidR="006D65DA" w:rsidRPr="003171CD">
        <w:rPr>
          <w:lang w:val="en-US"/>
        </w:rPr>
        <w:t>criminal trial</w:t>
      </w:r>
      <w:r w:rsidR="005A65CE" w:rsidRPr="003171CD">
        <w:rPr>
          <w:lang w:val="en-US"/>
        </w:rPr>
        <w:t xml:space="preserve"> </w:t>
      </w:r>
      <w:r w:rsidRPr="003171CD">
        <w:rPr>
          <w:lang w:val="en-US"/>
        </w:rPr>
        <w:t>against him</w:t>
      </w:r>
      <w:r w:rsidR="00EB68CC" w:rsidRPr="003171CD">
        <w:rPr>
          <w:lang w:val="en-US"/>
        </w:rPr>
        <w:t>, owing to</w:t>
      </w:r>
      <w:r w:rsidRPr="003171CD">
        <w:rPr>
          <w:lang w:val="en-US"/>
        </w:rPr>
        <w:t xml:space="preserve"> </w:t>
      </w:r>
      <w:r w:rsidR="005A65CE" w:rsidRPr="003171CD">
        <w:rPr>
          <w:lang w:val="en-US"/>
        </w:rPr>
        <w:t>the d</w:t>
      </w:r>
      <w:r w:rsidR="006A2571" w:rsidRPr="003171CD">
        <w:rPr>
          <w:lang w:val="en-US"/>
        </w:rPr>
        <w:t>ef</w:t>
      </w:r>
      <w:r w:rsidR="00AE64AB" w:rsidRPr="003171CD">
        <w:rPr>
          <w:lang w:val="en-US"/>
        </w:rPr>
        <w:t>icient</w:t>
      </w:r>
      <w:r w:rsidR="006A2571" w:rsidRPr="003171CD">
        <w:rPr>
          <w:lang w:val="en-US"/>
        </w:rPr>
        <w:t xml:space="preserve"> </w:t>
      </w:r>
      <w:r w:rsidR="006E2EB2" w:rsidRPr="003171CD">
        <w:rPr>
          <w:lang w:val="en-US"/>
        </w:rPr>
        <w:t xml:space="preserve">performance </w:t>
      </w:r>
      <w:r w:rsidR="00677A63" w:rsidRPr="003171CD">
        <w:rPr>
          <w:lang w:val="en-US"/>
        </w:rPr>
        <w:t xml:space="preserve">of </w:t>
      </w:r>
      <w:r w:rsidR="005A65CE" w:rsidRPr="003171CD">
        <w:rPr>
          <w:lang w:val="en-US"/>
        </w:rPr>
        <w:t>the public defen</w:t>
      </w:r>
      <w:r w:rsidR="00EB68CC" w:rsidRPr="003171CD">
        <w:rPr>
          <w:lang w:val="en-US"/>
        </w:rPr>
        <w:t>ders</w:t>
      </w:r>
      <w:r w:rsidR="005A65CE" w:rsidRPr="003171CD">
        <w:rPr>
          <w:lang w:val="en-US"/>
        </w:rPr>
        <w:t xml:space="preserve">, which was </w:t>
      </w:r>
      <w:r w:rsidR="00E5086F" w:rsidRPr="003171CD">
        <w:rPr>
          <w:lang w:val="en-US"/>
        </w:rPr>
        <w:t xml:space="preserve">not </w:t>
      </w:r>
      <w:r w:rsidR="00EB68CC" w:rsidRPr="003171CD">
        <w:rPr>
          <w:lang w:val="en-US"/>
        </w:rPr>
        <w:t xml:space="preserve">duly addressed </w:t>
      </w:r>
      <w:r w:rsidR="005A65CE" w:rsidRPr="003171CD">
        <w:rPr>
          <w:lang w:val="en-US"/>
        </w:rPr>
        <w:t xml:space="preserve">by the </w:t>
      </w:r>
      <w:r w:rsidR="00266893" w:rsidRPr="003171CD">
        <w:rPr>
          <w:lang w:val="en-US"/>
        </w:rPr>
        <w:t>judicial authorities</w:t>
      </w:r>
      <w:r w:rsidR="005A65CE" w:rsidRPr="003171CD">
        <w:rPr>
          <w:lang w:val="en-US"/>
        </w:rPr>
        <w:t xml:space="preserve"> (</w:t>
      </w:r>
      <w:r w:rsidR="005A65CE" w:rsidRPr="003171CD">
        <w:rPr>
          <w:i/>
          <w:lang w:val="en-US"/>
        </w:rPr>
        <w:t xml:space="preserve">supra </w:t>
      </w:r>
      <w:r w:rsidR="005A65CE" w:rsidRPr="003171CD">
        <w:rPr>
          <w:lang w:val="en-US"/>
        </w:rPr>
        <w:t>Chapter VII-2).</w:t>
      </w:r>
    </w:p>
    <w:p w14:paraId="1AEB75F6" w14:textId="77777777" w:rsidR="005A65CE" w:rsidRPr="003171CD" w:rsidRDefault="005A65CE" w:rsidP="005A65CE">
      <w:pPr>
        <w:contextualSpacing/>
        <w:jc w:val="both"/>
        <w:rPr>
          <w:lang w:val="en-US"/>
        </w:rPr>
      </w:pPr>
    </w:p>
    <w:p w14:paraId="561920AD" w14:textId="77777777" w:rsidR="005A65CE" w:rsidRPr="003171CD" w:rsidRDefault="006A2571" w:rsidP="005A65CE">
      <w:pPr>
        <w:numPr>
          <w:ilvl w:val="0"/>
          <w:numId w:val="1"/>
        </w:numPr>
        <w:autoSpaceDE/>
        <w:autoSpaceDN/>
        <w:adjustRightInd/>
        <w:contextualSpacing/>
        <w:jc w:val="both"/>
        <w:rPr>
          <w:lang w:val="en-US"/>
        </w:rPr>
      </w:pPr>
      <w:bookmarkStart w:id="72" w:name="_Toc375560978"/>
      <w:r w:rsidRPr="003171CD">
        <w:rPr>
          <w:lang w:val="en-US"/>
        </w:rPr>
        <w:t xml:space="preserve">The Court </w:t>
      </w:r>
      <w:r w:rsidR="001502D2" w:rsidRPr="003171CD">
        <w:rPr>
          <w:lang w:val="en-US"/>
        </w:rPr>
        <w:t>notes that</w:t>
      </w:r>
      <w:r w:rsidR="005A65CE" w:rsidRPr="003171CD">
        <w:rPr>
          <w:lang w:val="en-US"/>
        </w:rPr>
        <w:t xml:space="preserve">, </w:t>
      </w:r>
      <w:r w:rsidR="001502D2" w:rsidRPr="003171CD">
        <w:rPr>
          <w:lang w:val="en-US"/>
        </w:rPr>
        <w:t xml:space="preserve">despite </w:t>
      </w:r>
      <w:r w:rsidR="005A65CE" w:rsidRPr="003171CD">
        <w:rPr>
          <w:lang w:val="en-US"/>
        </w:rPr>
        <w:t>th</w:t>
      </w:r>
      <w:r w:rsidR="001502D2" w:rsidRPr="003171CD">
        <w:rPr>
          <w:lang w:val="en-US"/>
        </w:rPr>
        <w:t>e fact th</w:t>
      </w:r>
      <w:r w:rsidR="005A65CE" w:rsidRPr="003171CD">
        <w:rPr>
          <w:lang w:val="en-US"/>
        </w:rPr>
        <w:t xml:space="preserve">at the State </w:t>
      </w:r>
      <w:r w:rsidR="001502D2" w:rsidRPr="003171CD">
        <w:rPr>
          <w:lang w:val="en-US"/>
        </w:rPr>
        <w:t xml:space="preserve">claimed to be conducting </w:t>
      </w:r>
      <w:r w:rsidR="005A65CE" w:rsidRPr="003171CD">
        <w:rPr>
          <w:lang w:val="en-US"/>
        </w:rPr>
        <w:t xml:space="preserve">investigations </w:t>
      </w:r>
      <w:r w:rsidR="00677A63" w:rsidRPr="003171CD">
        <w:rPr>
          <w:lang w:val="en-US"/>
        </w:rPr>
        <w:t xml:space="preserve">into </w:t>
      </w:r>
      <w:r w:rsidR="001502D2" w:rsidRPr="003171CD">
        <w:rPr>
          <w:lang w:val="en-US"/>
        </w:rPr>
        <w:t xml:space="preserve">the </w:t>
      </w:r>
      <w:r w:rsidR="003454B5" w:rsidRPr="003171CD">
        <w:rPr>
          <w:lang w:val="en-US"/>
        </w:rPr>
        <w:t>actions</w:t>
      </w:r>
      <w:r w:rsidRPr="003171CD">
        <w:rPr>
          <w:lang w:val="en-US"/>
        </w:rPr>
        <w:t xml:space="preserve"> of the Judiciary</w:t>
      </w:r>
      <w:r w:rsidR="001502D2" w:rsidRPr="003171CD">
        <w:rPr>
          <w:lang w:val="en-US"/>
        </w:rPr>
        <w:t xml:space="preserve"> and the p</w:t>
      </w:r>
      <w:r w:rsidR="005A65CE" w:rsidRPr="003171CD">
        <w:rPr>
          <w:lang w:val="en-US"/>
        </w:rPr>
        <w:t>ublic defen</w:t>
      </w:r>
      <w:r w:rsidR="001502D2" w:rsidRPr="003171CD">
        <w:rPr>
          <w:lang w:val="en-US"/>
        </w:rPr>
        <w:t>ders</w:t>
      </w:r>
      <w:r w:rsidR="005A65CE" w:rsidRPr="003171CD">
        <w:rPr>
          <w:lang w:val="en-US"/>
        </w:rPr>
        <w:t xml:space="preserve">, </w:t>
      </w:r>
      <w:r w:rsidR="006E2EB2" w:rsidRPr="003171CD">
        <w:rPr>
          <w:lang w:val="en-US"/>
        </w:rPr>
        <w:t xml:space="preserve">so far </w:t>
      </w:r>
      <w:r w:rsidRPr="003171CD">
        <w:rPr>
          <w:lang w:val="en-US"/>
        </w:rPr>
        <w:t xml:space="preserve">date </w:t>
      </w:r>
      <w:r w:rsidR="001502D2" w:rsidRPr="003171CD">
        <w:rPr>
          <w:lang w:val="en-US"/>
        </w:rPr>
        <w:t xml:space="preserve">it has provided no concrete </w:t>
      </w:r>
      <w:r w:rsidR="005A65CE" w:rsidRPr="003171CD">
        <w:rPr>
          <w:lang w:val="en-US"/>
        </w:rPr>
        <w:t xml:space="preserve">evidence </w:t>
      </w:r>
      <w:r w:rsidR="00EB68CC" w:rsidRPr="003171CD">
        <w:rPr>
          <w:lang w:val="en-US"/>
        </w:rPr>
        <w:t xml:space="preserve">that such </w:t>
      </w:r>
      <w:r w:rsidR="005A65CE" w:rsidRPr="003171CD">
        <w:rPr>
          <w:lang w:val="en-US"/>
        </w:rPr>
        <w:t xml:space="preserve">investigations </w:t>
      </w:r>
      <w:r w:rsidR="00677A63" w:rsidRPr="003171CD">
        <w:rPr>
          <w:lang w:val="en-US"/>
        </w:rPr>
        <w:t xml:space="preserve">ever </w:t>
      </w:r>
      <w:r w:rsidR="00EB68CC" w:rsidRPr="003171CD">
        <w:rPr>
          <w:lang w:val="en-US"/>
        </w:rPr>
        <w:t xml:space="preserve">took place or of their </w:t>
      </w:r>
      <w:r w:rsidR="00D42FEA" w:rsidRPr="003171CD">
        <w:rPr>
          <w:lang w:val="en-US"/>
        </w:rPr>
        <w:t>result</w:t>
      </w:r>
      <w:r w:rsidR="005A65CE" w:rsidRPr="003171CD">
        <w:rPr>
          <w:lang w:val="en-US"/>
        </w:rPr>
        <w:t>s.</w:t>
      </w:r>
    </w:p>
    <w:p w14:paraId="1D078389" w14:textId="77777777" w:rsidR="005A65CE" w:rsidRPr="003171CD" w:rsidRDefault="005A65CE" w:rsidP="005A65CE">
      <w:pPr>
        <w:contextualSpacing/>
        <w:jc w:val="both"/>
        <w:rPr>
          <w:lang w:val="en-US"/>
        </w:rPr>
      </w:pPr>
    </w:p>
    <w:p w14:paraId="444DEDD2" w14:textId="77777777" w:rsidR="005A65CE" w:rsidRPr="003171CD" w:rsidRDefault="006A2571" w:rsidP="005A65CE">
      <w:pPr>
        <w:numPr>
          <w:ilvl w:val="0"/>
          <w:numId w:val="1"/>
        </w:numPr>
        <w:autoSpaceDE/>
        <w:autoSpaceDN/>
        <w:adjustRightInd/>
        <w:contextualSpacing/>
        <w:jc w:val="both"/>
        <w:rPr>
          <w:lang w:val="en-US"/>
        </w:rPr>
      </w:pPr>
      <w:r w:rsidRPr="003171CD">
        <w:rPr>
          <w:lang w:val="en-US"/>
        </w:rPr>
        <w:t>Th</w:t>
      </w:r>
      <w:r w:rsidR="00EB68CC" w:rsidRPr="003171CD">
        <w:rPr>
          <w:lang w:val="en-US"/>
        </w:rPr>
        <w:t>erefore, th</w:t>
      </w:r>
      <w:r w:rsidRPr="003171CD">
        <w:rPr>
          <w:lang w:val="en-US"/>
        </w:rPr>
        <w:t>is Court considers</w:t>
      </w:r>
      <w:r w:rsidR="005A65CE" w:rsidRPr="003171CD">
        <w:rPr>
          <w:lang w:val="en-US"/>
        </w:rPr>
        <w:t xml:space="preserve"> that the State </w:t>
      </w:r>
      <w:r w:rsidR="003454B5" w:rsidRPr="003171CD">
        <w:rPr>
          <w:lang w:val="en-US"/>
        </w:rPr>
        <w:t>must</w:t>
      </w:r>
      <w:r w:rsidR="00EB68CC" w:rsidRPr="003171CD">
        <w:rPr>
          <w:lang w:val="en-US"/>
        </w:rPr>
        <w:t xml:space="preserve"> determine</w:t>
      </w:r>
      <w:r w:rsidR="00E5086F" w:rsidRPr="003171CD">
        <w:rPr>
          <w:lang w:val="en-US"/>
        </w:rPr>
        <w:t xml:space="preserve">, within a </w:t>
      </w:r>
      <w:r w:rsidR="005A65CE" w:rsidRPr="003171CD">
        <w:rPr>
          <w:lang w:val="en-US"/>
        </w:rPr>
        <w:t>reasonable time</w:t>
      </w:r>
      <w:r w:rsidR="00D14216" w:rsidRPr="003171CD">
        <w:rPr>
          <w:lang w:val="en-US"/>
        </w:rPr>
        <w:t>, and</w:t>
      </w:r>
      <w:r w:rsidR="00EB68CC" w:rsidRPr="003171CD">
        <w:rPr>
          <w:lang w:val="en-US"/>
        </w:rPr>
        <w:t xml:space="preserve"> </w:t>
      </w:r>
      <w:r w:rsidR="003454B5" w:rsidRPr="003171CD">
        <w:rPr>
          <w:lang w:val="en-US"/>
        </w:rPr>
        <w:t xml:space="preserve">through </w:t>
      </w:r>
      <w:r w:rsidR="005A65CE" w:rsidRPr="003171CD">
        <w:rPr>
          <w:lang w:val="en-US"/>
        </w:rPr>
        <w:t xml:space="preserve">the </w:t>
      </w:r>
      <w:r w:rsidRPr="003171CD">
        <w:rPr>
          <w:lang w:val="en-US"/>
        </w:rPr>
        <w:t xml:space="preserve">competent public </w:t>
      </w:r>
      <w:r w:rsidR="005A65CE" w:rsidRPr="003171CD">
        <w:rPr>
          <w:lang w:val="en-US"/>
        </w:rPr>
        <w:t xml:space="preserve">institutions, the </w:t>
      </w:r>
      <w:r w:rsidR="00114761" w:rsidRPr="003171CD">
        <w:rPr>
          <w:lang w:val="en-US"/>
        </w:rPr>
        <w:t>possible responsibility</w:t>
      </w:r>
      <w:r w:rsidR="005A65CE" w:rsidRPr="003171CD">
        <w:rPr>
          <w:lang w:val="en-US"/>
        </w:rPr>
        <w:t xml:space="preserve"> of the </w:t>
      </w:r>
      <w:r w:rsidR="00E96948" w:rsidRPr="003171CD">
        <w:rPr>
          <w:lang w:val="en-US"/>
        </w:rPr>
        <w:t>officials</w:t>
      </w:r>
      <w:r w:rsidR="005A65CE" w:rsidRPr="003171CD">
        <w:rPr>
          <w:lang w:val="en-US"/>
        </w:rPr>
        <w:t xml:space="preserve"> of the </w:t>
      </w:r>
      <w:r w:rsidR="00E5086F" w:rsidRPr="003171CD">
        <w:rPr>
          <w:lang w:val="en-US"/>
        </w:rPr>
        <w:t xml:space="preserve">Office </w:t>
      </w:r>
      <w:r w:rsidR="00000BA6" w:rsidRPr="003171CD">
        <w:rPr>
          <w:lang w:val="en-US"/>
        </w:rPr>
        <w:t>of the Public Defender</w:t>
      </w:r>
      <w:r w:rsidR="00E5086F" w:rsidRPr="003171CD">
        <w:rPr>
          <w:lang w:val="en-US"/>
        </w:rPr>
        <w:t xml:space="preserve"> whose actions </w:t>
      </w:r>
      <w:r w:rsidR="005A65CE" w:rsidRPr="003171CD">
        <w:rPr>
          <w:lang w:val="en-US"/>
        </w:rPr>
        <w:t>contribu</w:t>
      </w:r>
      <w:r w:rsidR="003454B5" w:rsidRPr="003171CD">
        <w:rPr>
          <w:lang w:val="en-US"/>
        </w:rPr>
        <w:t xml:space="preserve">ted </w:t>
      </w:r>
      <w:r w:rsidR="00E5086F" w:rsidRPr="003171CD">
        <w:rPr>
          <w:lang w:val="en-US"/>
        </w:rPr>
        <w:t xml:space="preserve">to </w:t>
      </w:r>
      <w:r w:rsidR="005A65CE" w:rsidRPr="003171CD">
        <w:rPr>
          <w:lang w:val="en-US"/>
        </w:rPr>
        <w:t xml:space="preserve">the violation of the </w:t>
      </w:r>
      <w:r w:rsidR="00834B13" w:rsidRPr="003171CD">
        <w:rPr>
          <w:lang w:val="en-US"/>
        </w:rPr>
        <w:t>rights</w:t>
      </w:r>
      <w:r w:rsidR="005A65CE" w:rsidRPr="003171CD">
        <w:rPr>
          <w:lang w:val="en-US"/>
        </w:rPr>
        <w:t xml:space="preserve"> </w:t>
      </w:r>
      <w:r w:rsidR="00E5086F" w:rsidRPr="003171CD">
        <w:rPr>
          <w:lang w:val="en-US"/>
        </w:rPr>
        <w:t xml:space="preserve">of </w:t>
      </w:r>
      <w:r w:rsidR="00000BA6" w:rsidRPr="003171CD">
        <w:rPr>
          <w:lang w:val="en-US"/>
        </w:rPr>
        <w:t xml:space="preserve">Mr. </w:t>
      </w:r>
      <w:r w:rsidR="00855540" w:rsidRPr="003171CD">
        <w:rPr>
          <w:lang w:val="en-US"/>
        </w:rPr>
        <w:t>José Agapito Ruano Torres and</w:t>
      </w:r>
      <w:r w:rsidR="005A65CE" w:rsidRPr="003171CD">
        <w:rPr>
          <w:lang w:val="en-US"/>
        </w:rPr>
        <w:t>,</w:t>
      </w:r>
      <w:r w:rsidR="00E5086F" w:rsidRPr="003171CD">
        <w:rPr>
          <w:lang w:val="en-US"/>
        </w:rPr>
        <w:t xml:space="preserve"> </w:t>
      </w:r>
      <w:r w:rsidR="00EB68CC" w:rsidRPr="003171CD">
        <w:rPr>
          <w:lang w:val="en-US"/>
        </w:rPr>
        <w:t>where appropriate</w:t>
      </w:r>
      <w:r w:rsidR="005A65CE" w:rsidRPr="003171CD">
        <w:rPr>
          <w:lang w:val="en-US"/>
        </w:rPr>
        <w:t xml:space="preserve">, </w:t>
      </w:r>
      <w:r w:rsidR="00FF0300" w:rsidRPr="003171CD">
        <w:rPr>
          <w:lang w:val="en-US"/>
        </w:rPr>
        <w:t>appl</w:t>
      </w:r>
      <w:r w:rsidR="003454B5" w:rsidRPr="003171CD">
        <w:rPr>
          <w:lang w:val="en-US"/>
        </w:rPr>
        <w:t xml:space="preserve">y </w:t>
      </w:r>
      <w:r w:rsidR="005A65CE" w:rsidRPr="003171CD">
        <w:rPr>
          <w:lang w:val="en-US"/>
        </w:rPr>
        <w:t xml:space="preserve">the </w:t>
      </w:r>
      <w:r w:rsidR="00EB68CC" w:rsidRPr="003171CD">
        <w:rPr>
          <w:lang w:val="en-US"/>
        </w:rPr>
        <w:t xml:space="preserve">sanctions </w:t>
      </w:r>
      <w:r w:rsidR="00855540" w:rsidRPr="003171CD">
        <w:rPr>
          <w:lang w:val="en-US"/>
        </w:rPr>
        <w:t>established by law</w:t>
      </w:r>
      <w:r w:rsidR="005A65CE" w:rsidRPr="003171CD">
        <w:rPr>
          <w:lang w:val="en-US"/>
        </w:rPr>
        <w:t>.</w:t>
      </w:r>
    </w:p>
    <w:p w14:paraId="7CA95CF7" w14:textId="77777777" w:rsidR="005A65CE" w:rsidRPr="003171CD" w:rsidRDefault="005A65CE" w:rsidP="005A65CE">
      <w:pPr>
        <w:jc w:val="both"/>
        <w:rPr>
          <w:lang w:val="en-US"/>
        </w:rPr>
      </w:pPr>
    </w:p>
    <w:p w14:paraId="08605B1B" w14:textId="77777777" w:rsidR="005A65CE" w:rsidRPr="003171CD" w:rsidRDefault="0022281F" w:rsidP="005A65CE">
      <w:pPr>
        <w:pStyle w:val="Prrafodelista"/>
        <w:keepNext/>
        <w:keepLines/>
        <w:numPr>
          <w:ilvl w:val="0"/>
          <w:numId w:val="19"/>
        </w:numPr>
        <w:ind w:left="1418" w:hanging="709"/>
        <w:jc w:val="both"/>
        <w:outlineLvl w:val="1"/>
        <w:rPr>
          <w:rFonts w:cs="Arial"/>
          <w:b/>
          <w:i/>
          <w:lang w:val="en-US"/>
        </w:rPr>
      </w:pPr>
      <w:bookmarkStart w:id="73" w:name="_Toc374024123"/>
      <w:bookmarkStart w:id="74" w:name="_Toc374024204"/>
      <w:bookmarkStart w:id="75" w:name="_Toc406580703"/>
      <w:bookmarkStart w:id="76" w:name="_Toc45186719"/>
      <w:bookmarkEnd w:id="72"/>
      <w:r w:rsidRPr="003171CD">
        <w:rPr>
          <w:rFonts w:cs="Arial"/>
          <w:b/>
          <w:i/>
          <w:lang w:val="en-US"/>
        </w:rPr>
        <w:t xml:space="preserve">Measures of </w:t>
      </w:r>
      <w:r w:rsidR="005A65CE" w:rsidRPr="003171CD">
        <w:rPr>
          <w:rFonts w:cs="Arial"/>
          <w:b/>
          <w:i/>
          <w:lang w:val="en-US"/>
        </w:rPr>
        <w:t>restitution, rehabilitation, satisfaction and guarantees of no</w:t>
      </w:r>
      <w:r w:rsidRPr="003171CD">
        <w:rPr>
          <w:rFonts w:cs="Arial"/>
          <w:b/>
          <w:i/>
          <w:lang w:val="en-US"/>
        </w:rPr>
        <w:t>n-</w:t>
      </w:r>
      <w:r w:rsidR="005A65CE" w:rsidRPr="003171CD">
        <w:rPr>
          <w:rFonts w:cs="Arial"/>
          <w:b/>
          <w:i/>
          <w:lang w:val="en-US"/>
        </w:rPr>
        <w:t xml:space="preserve"> repetition</w:t>
      </w:r>
      <w:bookmarkEnd w:id="73"/>
      <w:bookmarkEnd w:id="74"/>
      <w:bookmarkEnd w:id="75"/>
      <w:bookmarkEnd w:id="76"/>
    </w:p>
    <w:p w14:paraId="7393D985" w14:textId="77777777" w:rsidR="005A65CE" w:rsidRPr="003171CD" w:rsidRDefault="005A65CE" w:rsidP="005A65CE">
      <w:pPr>
        <w:widowControl w:val="0"/>
        <w:tabs>
          <w:tab w:val="left" w:pos="720"/>
        </w:tabs>
        <w:textAlignment w:val="baseline"/>
        <w:rPr>
          <w:lang w:val="en-US"/>
        </w:rPr>
      </w:pPr>
    </w:p>
    <w:p w14:paraId="0A0CC4CC" w14:textId="77777777" w:rsidR="005A65CE" w:rsidRPr="003171CD" w:rsidRDefault="005A65CE" w:rsidP="005A65CE">
      <w:pPr>
        <w:ind w:left="1440"/>
        <w:contextualSpacing/>
        <w:jc w:val="both"/>
        <w:rPr>
          <w:i/>
          <w:lang w:val="en-US"/>
        </w:rPr>
      </w:pPr>
      <w:bookmarkStart w:id="77" w:name="_Toc375560979"/>
      <w:bookmarkStart w:id="78" w:name="_Toc406580704"/>
      <w:r w:rsidRPr="003171CD">
        <w:rPr>
          <w:b/>
          <w:i/>
          <w:lang w:val="en-US"/>
        </w:rPr>
        <w:t xml:space="preserve">C.1 </w:t>
      </w:r>
      <w:r w:rsidRPr="003171CD">
        <w:rPr>
          <w:b/>
          <w:i/>
          <w:lang w:val="en-US"/>
        </w:rPr>
        <w:tab/>
        <w:t>Restitution</w:t>
      </w:r>
    </w:p>
    <w:p w14:paraId="26E674CB" w14:textId="77777777" w:rsidR="005A65CE" w:rsidRPr="003171CD" w:rsidRDefault="005A65CE" w:rsidP="005A65CE">
      <w:pPr>
        <w:widowControl w:val="0"/>
        <w:jc w:val="both"/>
        <w:textAlignment w:val="baseline"/>
        <w:rPr>
          <w:lang w:val="en-US"/>
        </w:rPr>
      </w:pPr>
    </w:p>
    <w:p w14:paraId="721B4970" w14:textId="77777777" w:rsidR="005A65CE" w:rsidRPr="003171CD" w:rsidRDefault="005A65CE" w:rsidP="005A65CE">
      <w:pPr>
        <w:widowControl w:val="0"/>
        <w:ind w:firstLine="720"/>
        <w:jc w:val="both"/>
        <w:textAlignment w:val="baseline"/>
        <w:rPr>
          <w:i/>
          <w:lang w:val="en-US"/>
        </w:rPr>
      </w:pPr>
      <w:r w:rsidRPr="003171CD">
        <w:rPr>
          <w:i/>
          <w:lang w:val="en-US"/>
        </w:rPr>
        <w:t>Arguments of the parties and of the Commission</w:t>
      </w:r>
    </w:p>
    <w:p w14:paraId="1BDD48A6" w14:textId="77777777" w:rsidR="005A65CE" w:rsidRPr="003171CD" w:rsidRDefault="005A65CE" w:rsidP="005A65CE">
      <w:pPr>
        <w:jc w:val="both"/>
        <w:rPr>
          <w:lang w:val="en-US"/>
        </w:rPr>
      </w:pPr>
    </w:p>
    <w:p w14:paraId="1338BEA1"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Commission</w:t>
      </w:r>
      <w:r w:rsidR="001B46FF" w:rsidRPr="003171CD">
        <w:rPr>
          <w:b/>
          <w:lang w:val="en-US"/>
        </w:rPr>
        <w:t xml:space="preserve"> </w:t>
      </w:r>
      <w:r w:rsidR="001B46FF" w:rsidRPr="003171CD">
        <w:rPr>
          <w:lang w:val="en-US"/>
        </w:rPr>
        <w:t>asked the Court to order</w:t>
      </w:r>
      <w:r w:rsidRPr="003171CD">
        <w:rPr>
          <w:lang w:val="en-US"/>
        </w:rPr>
        <w:t xml:space="preserve"> the State “</w:t>
      </w:r>
      <w:r w:rsidR="003454B5" w:rsidRPr="003171CD">
        <w:rPr>
          <w:lang w:val="en-US"/>
        </w:rPr>
        <w:t xml:space="preserve">to </w:t>
      </w:r>
      <w:r w:rsidRPr="003171CD">
        <w:rPr>
          <w:lang w:val="en-US"/>
        </w:rPr>
        <w:t>adopt</w:t>
      </w:r>
      <w:r w:rsidR="003454B5" w:rsidRPr="003171CD">
        <w:rPr>
          <w:lang w:val="en-US"/>
        </w:rPr>
        <w:t>, as soon as</w:t>
      </w:r>
      <w:r w:rsidRPr="003171CD">
        <w:rPr>
          <w:lang w:val="en-US"/>
        </w:rPr>
        <w:t xml:space="preserve"> possible</w:t>
      </w:r>
      <w:r w:rsidR="003454B5" w:rsidRPr="003171CD">
        <w:rPr>
          <w:lang w:val="en-US"/>
        </w:rPr>
        <w:t xml:space="preserve">, the </w:t>
      </w:r>
      <w:r w:rsidRPr="003171CD">
        <w:rPr>
          <w:lang w:val="en-US"/>
        </w:rPr>
        <w:t xml:space="preserve">necessary </w:t>
      </w:r>
      <w:r w:rsidR="003454B5" w:rsidRPr="003171CD">
        <w:rPr>
          <w:lang w:val="en-US"/>
        </w:rPr>
        <w:t xml:space="preserve">measures to annul </w:t>
      </w:r>
      <w:r w:rsidRPr="003171CD">
        <w:rPr>
          <w:lang w:val="en-US"/>
        </w:rPr>
        <w:t xml:space="preserve">the effects of </w:t>
      </w:r>
      <w:r w:rsidR="00E755FC" w:rsidRPr="003171CD">
        <w:rPr>
          <w:lang w:val="en-US"/>
        </w:rPr>
        <w:t>Mr</w:t>
      </w:r>
      <w:r w:rsidRPr="003171CD">
        <w:rPr>
          <w:lang w:val="en-US"/>
        </w:rPr>
        <w:t>. Ruano Torres</w:t>
      </w:r>
      <w:r w:rsidR="003454B5" w:rsidRPr="003171CD">
        <w:rPr>
          <w:lang w:val="en-US"/>
        </w:rPr>
        <w:t>’ conviction</w:t>
      </w:r>
      <w:r w:rsidR="00855540" w:rsidRPr="003171CD">
        <w:rPr>
          <w:lang w:val="en-US"/>
        </w:rPr>
        <w:t xml:space="preserve">, including </w:t>
      </w:r>
      <w:r w:rsidR="00E5086F" w:rsidRPr="003171CD">
        <w:rPr>
          <w:lang w:val="en-US"/>
        </w:rPr>
        <w:t xml:space="preserve">the </w:t>
      </w:r>
      <w:r w:rsidR="00855540" w:rsidRPr="003171CD">
        <w:rPr>
          <w:lang w:val="en-US"/>
        </w:rPr>
        <w:t>alternative</w:t>
      </w:r>
      <w:r w:rsidR="00E5086F" w:rsidRPr="003171CD">
        <w:rPr>
          <w:lang w:val="en-US"/>
        </w:rPr>
        <w:t xml:space="preserve"> measures </w:t>
      </w:r>
      <w:r w:rsidR="00855540" w:rsidRPr="003171CD">
        <w:rPr>
          <w:lang w:val="en-US"/>
        </w:rPr>
        <w:t xml:space="preserve">to imprisonment </w:t>
      </w:r>
      <w:r w:rsidRPr="003171CD">
        <w:rPr>
          <w:lang w:val="en-US"/>
        </w:rPr>
        <w:t xml:space="preserve">that </w:t>
      </w:r>
      <w:r w:rsidR="00E5086F" w:rsidRPr="003171CD">
        <w:rPr>
          <w:lang w:val="en-US"/>
        </w:rPr>
        <w:t xml:space="preserve">were </w:t>
      </w:r>
      <w:r w:rsidRPr="003171CD">
        <w:rPr>
          <w:lang w:val="en-US"/>
        </w:rPr>
        <w:t xml:space="preserve">in </w:t>
      </w:r>
      <w:r w:rsidR="003454B5" w:rsidRPr="003171CD">
        <w:rPr>
          <w:lang w:val="en-US"/>
        </w:rPr>
        <w:t>effect</w:t>
      </w:r>
      <w:r w:rsidR="00E5086F" w:rsidRPr="003171CD">
        <w:rPr>
          <w:lang w:val="en-US"/>
        </w:rPr>
        <w:t xml:space="preserve"> [at the time]</w:t>
      </w:r>
      <w:r w:rsidR="003454B5" w:rsidRPr="003171CD">
        <w:rPr>
          <w:lang w:val="en-US"/>
        </w:rPr>
        <w:t>,”</w:t>
      </w:r>
      <w:r w:rsidRPr="003171CD">
        <w:rPr>
          <w:lang w:val="en-US"/>
        </w:rPr>
        <w:t xml:space="preserve"> and, “</w:t>
      </w:r>
      <w:r w:rsidR="00E5086F" w:rsidRPr="003171CD">
        <w:rPr>
          <w:lang w:val="en-US"/>
        </w:rPr>
        <w:t>if the victim</w:t>
      </w:r>
      <w:r w:rsidR="00114761" w:rsidRPr="003171CD">
        <w:rPr>
          <w:lang w:val="en-US"/>
        </w:rPr>
        <w:t xml:space="preserve"> so wishes, </w:t>
      </w:r>
      <w:r w:rsidR="00E5086F" w:rsidRPr="003171CD">
        <w:rPr>
          <w:lang w:val="en-US"/>
        </w:rPr>
        <w:t xml:space="preserve">to </w:t>
      </w:r>
      <w:r w:rsidRPr="003171CD">
        <w:rPr>
          <w:lang w:val="en-US"/>
        </w:rPr>
        <w:t>revi</w:t>
      </w:r>
      <w:r w:rsidR="00114761" w:rsidRPr="003171CD">
        <w:rPr>
          <w:lang w:val="en-US"/>
        </w:rPr>
        <w:t xml:space="preserve">ew </w:t>
      </w:r>
      <w:r w:rsidRPr="003171CD">
        <w:rPr>
          <w:lang w:val="en-US"/>
        </w:rPr>
        <w:t xml:space="preserve">the </w:t>
      </w:r>
      <w:r w:rsidR="009656AE" w:rsidRPr="003171CD">
        <w:rPr>
          <w:lang w:val="en-US"/>
        </w:rPr>
        <w:t>conviction</w:t>
      </w:r>
      <w:r w:rsidRPr="003171CD">
        <w:rPr>
          <w:lang w:val="en-US"/>
        </w:rPr>
        <w:t xml:space="preserve"> </w:t>
      </w:r>
      <w:r w:rsidR="00114761" w:rsidRPr="003171CD">
        <w:rPr>
          <w:lang w:val="en-US"/>
        </w:rPr>
        <w:t xml:space="preserve">to ensure that it meets the standards </w:t>
      </w:r>
      <w:r w:rsidR="006E2EB2" w:rsidRPr="003171CD">
        <w:rPr>
          <w:lang w:val="en-US"/>
        </w:rPr>
        <w:t xml:space="preserve">related to the </w:t>
      </w:r>
      <w:r w:rsidR="00114761" w:rsidRPr="003171CD">
        <w:rPr>
          <w:lang w:val="en-US"/>
        </w:rPr>
        <w:t xml:space="preserve">presumption of </w:t>
      </w:r>
      <w:r w:rsidRPr="003171CD">
        <w:rPr>
          <w:lang w:val="en-US"/>
        </w:rPr>
        <w:t xml:space="preserve">innocence and </w:t>
      </w:r>
      <w:r w:rsidR="001A6742" w:rsidRPr="003171CD">
        <w:rPr>
          <w:lang w:val="en-US"/>
        </w:rPr>
        <w:t>the right</w:t>
      </w:r>
      <w:r w:rsidRPr="003171CD">
        <w:rPr>
          <w:lang w:val="en-US"/>
        </w:rPr>
        <w:t xml:space="preserve"> of defense</w:t>
      </w:r>
      <w:r w:rsidR="00114761" w:rsidRPr="003171CD">
        <w:rPr>
          <w:lang w:val="en-US"/>
        </w:rPr>
        <w:t>.”</w:t>
      </w:r>
      <w:r w:rsidRPr="003171CD">
        <w:rPr>
          <w:lang w:val="en-US"/>
        </w:rPr>
        <w:t xml:space="preserve"> </w:t>
      </w:r>
      <w:r w:rsidR="00114761" w:rsidRPr="003171CD">
        <w:rPr>
          <w:lang w:val="en-US"/>
        </w:rPr>
        <w:t>Subsequently</w:t>
      </w:r>
      <w:r w:rsidRPr="003171CD">
        <w:rPr>
          <w:lang w:val="en-US"/>
        </w:rPr>
        <w:t xml:space="preserve">, the Commission </w:t>
      </w:r>
      <w:r w:rsidR="00442781" w:rsidRPr="003171CD">
        <w:rPr>
          <w:lang w:val="en-US"/>
        </w:rPr>
        <w:t>noted that</w:t>
      </w:r>
      <w:r w:rsidRPr="003171CD">
        <w:rPr>
          <w:lang w:val="en-US"/>
        </w:rPr>
        <w:t xml:space="preserve">, </w:t>
      </w:r>
      <w:r w:rsidR="003454B5" w:rsidRPr="003171CD">
        <w:rPr>
          <w:lang w:val="en-US"/>
        </w:rPr>
        <w:t xml:space="preserve">once </w:t>
      </w:r>
      <w:r w:rsidR="00D7405C" w:rsidRPr="003171CD">
        <w:rPr>
          <w:lang w:val="en-US"/>
        </w:rPr>
        <w:t xml:space="preserve">Mr. Ruano Torres had served his </w:t>
      </w:r>
      <w:r w:rsidR="0022281F" w:rsidRPr="003171CD">
        <w:rPr>
          <w:lang w:val="en-US"/>
        </w:rPr>
        <w:t xml:space="preserve">sentence, </w:t>
      </w:r>
      <w:r w:rsidRPr="003171CD">
        <w:rPr>
          <w:lang w:val="en-US"/>
        </w:rPr>
        <w:t xml:space="preserve">the </w:t>
      </w:r>
      <w:r w:rsidR="0022281F" w:rsidRPr="003171CD">
        <w:rPr>
          <w:lang w:val="en-US"/>
        </w:rPr>
        <w:t xml:space="preserve">petition for </w:t>
      </w:r>
      <w:r w:rsidRPr="003171CD">
        <w:rPr>
          <w:i/>
          <w:lang w:val="en-US"/>
        </w:rPr>
        <w:t>habeas corpus</w:t>
      </w:r>
      <w:r w:rsidRPr="003171CD">
        <w:rPr>
          <w:lang w:val="en-US"/>
        </w:rPr>
        <w:t xml:space="preserve"> </w:t>
      </w:r>
      <w:r w:rsidR="00442781" w:rsidRPr="003171CD">
        <w:rPr>
          <w:lang w:val="en-US"/>
        </w:rPr>
        <w:t xml:space="preserve">would no longer be the </w:t>
      </w:r>
      <w:r w:rsidRPr="003171CD">
        <w:rPr>
          <w:lang w:val="en-US"/>
        </w:rPr>
        <w:t>“</w:t>
      </w:r>
      <w:r w:rsidR="00D7405C" w:rsidRPr="003171CD">
        <w:rPr>
          <w:lang w:val="en-US"/>
        </w:rPr>
        <w:t>appropriate</w:t>
      </w:r>
      <w:r w:rsidRPr="003171CD">
        <w:rPr>
          <w:lang w:val="en-US"/>
        </w:rPr>
        <w:t xml:space="preserve">” </w:t>
      </w:r>
      <w:r w:rsidR="00442781" w:rsidRPr="003171CD">
        <w:rPr>
          <w:lang w:val="en-US"/>
        </w:rPr>
        <w:t xml:space="preserve">remedy </w:t>
      </w:r>
      <w:r w:rsidR="001A6742" w:rsidRPr="003171CD">
        <w:rPr>
          <w:lang w:val="en-US"/>
        </w:rPr>
        <w:t xml:space="preserve">for seeking </w:t>
      </w:r>
      <w:r w:rsidR="0022281F" w:rsidRPr="003171CD">
        <w:rPr>
          <w:lang w:val="en-US"/>
        </w:rPr>
        <w:t xml:space="preserve">a </w:t>
      </w:r>
      <w:r w:rsidRPr="003171CD">
        <w:rPr>
          <w:lang w:val="en-US"/>
        </w:rPr>
        <w:t>revi</w:t>
      </w:r>
      <w:r w:rsidR="003454B5" w:rsidRPr="003171CD">
        <w:rPr>
          <w:lang w:val="en-US"/>
        </w:rPr>
        <w:t xml:space="preserve">ew </w:t>
      </w:r>
      <w:r w:rsidR="0022281F" w:rsidRPr="003171CD">
        <w:rPr>
          <w:lang w:val="en-US"/>
        </w:rPr>
        <w:t xml:space="preserve">of </w:t>
      </w:r>
      <w:r w:rsidRPr="003171CD">
        <w:rPr>
          <w:lang w:val="en-US"/>
        </w:rPr>
        <w:t>the judgment, and</w:t>
      </w:r>
      <w:r w:rsidR="001B46FF" w:rsidRPr="003171CD">
        <w:rPr>
          <w:lang w:val="en-US"/>
        </w:rPr>
        <w:t xml:space="preserve"> asked the Court to order</w:t>
      </w:r>
      <w:r w:rsidRPr="003171CD">
        <w:rPr>
          <w:lang w:val="en-US"/>
        </w:rPr>
        <w:t xml:space="preserve"> the State “</w:t>
      </w:r>
      <w:r w:rsidR="00442781" w:rsidRPr="003171CD">
        <w:rPr>
          <w:lang w:val="en-US"/>
        </w:rPr>
        <w:t xml:space="preserve">to </w:t>
      </w:r>
      <w:r w:rsidR="001A6742" w:rsidRPr="003171CD">
        <w:rPr>
          <w:lang w:val="en-US"/>
        </w:rPr>
        <w:t xml:space="preserve">set aside </w:t>
      </w:r>
      <w:r w:rsidRPr="003171CD">
        <w:rPr>
          <w:lang w:val="en-US"/>
        </w:rPr>
        <w:t>the conviction […] and […] an</w:t>
      </w:r>
      <w:r w:rsidR="003454B5" w:rsidRPr="003171CD">
        <w:rPr>
          <w:lang w:val="en-US"/>
        </w:rPr>
        <w:t>n</w:t>
      </w:r>
      <w:r w:rsidRPr="003171CD">
        <w:rPr>
          <w:lang w:val="en-US"/>
        </w:rPr>
        <w:t>ul</w:t>
      </w:r>
      <w:r w:rsidR="003454B5" w:rsidRPr="003171CD">
        <w:rPr>
          <w:lang w:val="en-US"/>
        </w:rPr>
        <w:t xml:space="preserve"> </w:t>
      </w:r>
      <w:r w:rsidR="00442781" w:rsidRPr="003171CD">
        <w:rPr>
          <w:lang w:val="en-US"/>
        </w:rPr>
        <w:t xml:space="preserve">any criminal records or </w:t>
      </w:r>
      <w:r w:rsidR="007023D6" w:rsidRPr="003171CD">
        <w:rPr>
          <w:lang w:val="en-US"/>
        </w:rPr>
        <w:t>any other type</w:t>
      </w:r>
      <w:r w:rsidR="00442781" w:rsidRPr="003171CD">
        <w:rPr>
          <w:lang w:val="en-US"/>
        </w:rPr>
        <w:t xml:space="preserve"> of record </w:t>
      </w:r>
      <w:r w:rsidR="003454B5" w:rsidRPr="003171CD">
        <w:rPr>
          <w:lang w:val="en-US"/>
        </w:rPr>
        <w:t>existing</w:t>
      </w:r>
      <w:r w:rsidRPr="003171CD">
        <w:rPr>
          <w:lang w:val="en-US"/>
        </w:rPr>
        <w:t xml:space="preserve"> against the victim </w:t>
      </w:r>
      <w:r w:rsidR="001A6742" w:rsidRPr="003171CD">
        <w:rPr>
          <w:lang w:val="en-US"/>
        </w:rPr>
        <w:t>re</w:t>
      </w:r>
      <w:r w:rsidR="00C967D6" w:rsidRPr="003171CD">
        <w:rPr>
          <w:lang w:val="en-US"/>
        </w:rPr>
        <w:t xml:space="preserve">lated to </w:t>
      </w:r>
      <w:r w:rsidRPr="003171CD">
        <w:rPr>
          <w:lang w:val="en-US"/>
        </w:rPr>
        <w:t xml:space="preserve">the facts </w:t>
      </w:r>
      <w:r w:rsidR="007023D6" w:rsidRPr="003171CD">
        <w:rPr>
          <w:lang w:val="en-US"/>
        </w:rPr>
        <w:t xml:space="preserve">of this </w:t>
      </w:r>
      <w:r w:rsidRPr="003171CD">
        <w:rPr>
          <w:lang w:val="en-US"/>
        </w:rPr>
        <w:t>case</w:t>
      </w:r>
      <w:r w:rsidR="00442781" w:rsidRPr="003171CD">
        <w:rPr>
          <w:lang w:val="en-US"/>
        </w:rPr>
        <w:t>.”</w:t>
      </w:r>
    </w:p>
    <w:p w14:paraId="02F5F46B" w14:textId="77777777" w:rsidR="005A65CE" w:rsidRPr="003171CD" w:rsidRDefault="005A65CE" w:rsidP="005A65CE">
      <w:pPr>
        <w:contextualSpacing/>
        <w:jc w:val="both"/>
        <w:rPr>
          <w:lang w:val="en-US"/>
        </w:rPr>
      </w:pPr>
    </w:p>
    <w:p w14:paraId="30AE5CC0" w14:textId="77777777" w:rsidR="005A65CE" w:rsidRPr="003171CD" w:rsidRDefault="005A65CE" w:rsidP="005A65CE">
      <w:pPr>
        <w:numPr>
          <w:ilvl w:val="0"/>
          <w:numId w:val="1"/>
        </w:numPr>
        <w:autoSpaceDE/>
        <w:autoSpaceDN/>
        <w:adjustRightInd/>
        <w:contextualSpacing/>
        <w:jc w:val="both"/>
        <w:rPr>
          <w:lang w:val="en-US"/>
        </w:rPr>
      </w:pPr>
      <w:r w:rsidRPr="003171CD">
        <w:rPr>
          <w:rFonts w:eastAsia="MS Mincho"/>
          <w:lang w:val="en-US"/>
        </w:rPr>
        <w:t xml:space="preserve">The </w:t>
      </w:r>
      <w:r w:rsidRPr="003171CD">
        <w:rPr>
          <w:rFonts w:eastAsia="MS Mincho"/>
          <w:b/>
          <w:i/>
          <w:lang w:val="en-US"/>
        </w:rPr>
        <w:t>representatives</w:t>
      </w:r>
      <w:r w:rsidR="001B46FF" w:rsidRPr="003171CD">
        <w:rPr>
          <w:lang w:val="en-US"/>
        </w:rPr>
        <w:t xml:space="preserve"> asked the Court to order</w:t>
      </w:r>
      <w:r w:rsidRPr="003171CD">
        <w:rPr>
          <w:lang w:val="en-US"/>
        </w:rPr>
        <w:t xml:space="preserve"> the State </w:t>
      </w:r>
      <w:r w:rsidR="003D51DF" w:rsidRPr="003171CD">
        <w:rPr>
          <w:lang w:val="en-US"/>
        </w:rPr>
        <w:t xml:space="preserve">to </w:t>
      </w:r>
      <w:r w:rsidRPr="003171CD">
        <w:rPr>
          <w:lang w:val="en-US"/>
        </w:rPr>
        <w:t>“</w:t>
      </w:r>
      <w:r w:rsidR="00BA0D48" w:rsidRPr="003171CD">
        <w:rPr>
          <w:lang w:val="en-US"/>
        </w:rPr>
        <w:t>annul</w:t>
      </w:r>
      <w:r w:rsidRPr="003171CD">
        <w:rPr>
          <w:lang w:val="en-US"/>
        </w:rPr>
        <w:t xml:space="preserve"> the effects of the </w:t>
      </w:r>
      <w:r w:rsidR="009656AE" w:rsidRPr="003171CD">
        <w:rPr>
          <w:lang w:val="en-US"/>
        </w:rPr>
        <w:t>conviction</w:t>
      </w:r>
      <w:r w:rsidRPr="003171CD">
        <w:rPr>
          <w:lang w:val="en-US"/>
        </w:rPr>
        <w:t xml:space="preserve"> of the </w:t>
      </w:r>
      <w:r w:rsidR="00C967D6" w:rsidRPr="003171CD">
        <w:rPr>
          <w:lang w:val="en-US"/>
        </w:rPr>
        <w:t xml:space="preserve">alleged </w:t>
      </w:r>
      <w:r w:rsidRPr="003171CD">
        <w:rPr>
          <w:lang w:val="en-US"/>
        </w:rPr>
        <w:t>victim</w:t>
      </w:r>
      <w:r w:rsidR="00BA0D48" w:rsidRPr="003171CD">
        <w:rPr>
          <w:lang w:val="en-US"/>
        </w:rPr>
        <w:t>.”</w:t>
      </w:r>
      <w:r w:rsidRPr="003171CD">
        <w:rPr>
          <w:lang w:val="en-US"/>
        </w:rPr>
        <w:t xml:space="preserve"> </w:t>
      </w:r>
      <w:r w:rsidR="00BA0D48" w:rsidRPr="003171CD">
        <w:rPr>
          <w:lang w:val="en-US"/>
        </w:rPr>
        <w:t xml:space="preserve">They subsequently called on the State to promote </w:t>
      </w:r>
      <w:r w:rsidR="003454B5" w:rsidRPr="003171CD">
        <w:rPr>
          <w:lang w:val="en-US"/>
        </w:rPr>
        <w:t xml:space="preserve">a new </w:t>
      </w:r>
      <w:r w:rsidR="00BA0D48" w:rsidRPr="003171CD">
        <w:rPr>
          <w:lang w:val="en-US"/>
        </w:rPr>
        <w:t xml:space="preserve">review </w:t>
      </w:r>
      <w:r w:rsidR="003454B5" w:rsidRPr="003171CD">
        <w:rPr>
          <w:lang w:val="en-US"/>
        </w:rPr>
        <w:t xml:space="preserve">hearing to </w:t>
      </w:r>
      <w:r w:rsidRPr="003171CD">
        <w:rPr>
          <w:lang w:val="en-US"/>
        </w:rPr>
        <w:t>“an</w:t>
      </w:r>
      <w:r w:rsidR="00BA0D48" w:rsidRPr="003171CD">
        <w:rPr>
          <w:lang w:val="en-US"/>
        </w:rPr>
        <w:t>n</w:t>
      </w:r>
      <w:r w:rsidRPr="003171CD">
        <w:rPr>
          <w:lang w:val="en-US"/>
        </w:rPr>
        <w:t>ul the conviction imp</w:t>
      </w:r>
      <w:r w:rsidR="00BA0D48" w:rsidRPr="003171CD">
        <w:rPr>
          <w:lang w:val="en-US"/>
        </w:rPr>
        <w:t xml:space="preserve">osed on </w:t>
      </w:r>
      <w:r w:rsidRPr="003171CD">
        <w:rPr>
          <w:lang w:val="en-US"/>
        </w:rPr>
        <w:t xml:space="preserve">José Agapito Ruano Torres </w:t>
      </w:r>
      <w:r w:rsidR="00BA0D48" w:rsidRPr="003171CD">
        <w:rPr>
          <w:lang w:val="en-US"/>
        </w:rPr>
        <w:t xml:space="preserve">as well as its </w:t>
      </w:r>
      <w:r w:rsidRPr="003171CD">
        <w:rPr>
          <w:lang w:val="en-US"/>
        </w:rPr>
        <w:t>effects</w:t>
      </w:r>
      <w:r w:rsidR="00BA0D48" w:rsidRPr="003171CD">
        <w:rPr>
          <w:lang w:val="en-US"/>
        </w:rPr>
        <w:t>.”</w:t>
      </w:r>
      <w:r w:rsidRPr="003171CD">
        <w:rPr>
          <w:lang w:val="en-US"/>
        </w:rPr>
        <w:t xml:space="preserve"> </w:t>
      </w:r>
      <w:r w:rsidR="003D51DF" w:rsidRPr="003171CD">
        <w:rPr>
          <w:lang w:val="en-US"/>
        </w:rPr>
        <w:t xml:space="preserve">They also </w:t>
      </w:r>
      <w:r w:rsidR="001B46FF" w:rsidRPr="003171CD">
        <w:rPr>
          <w:lang w:val="en-US"/>
        </w:rPr>
        <w:t xml:space="preserve">asked </w:t>
      </w:r>
      <w:r w:rsidR="001B46FF" w:rsidRPr="003171CD">
        <w:rPr>
          <w:lang w:val="en-US"/>
        </w:rPr>
        <w:lastRenderedPageBreak/>
        <w:t>the Court to order</w:t>
      </w:r>
      <w:r w:rsidR="00BA0D48" w:rsidRPr="003171CD">
        <w:rPr>
          <w:lang w:val="en-US"/>
        </w:rPr>
        <w:t xml:space="preserve"> “the</w:t>
      </w:r>
      <w:r w:rsidRPr="003171CD">
        <w:rPr>
          <w:lang w:val="en-US"/>
        </w:rPr>
        <w:t xml:space="preserve"> </w:t>
      </w:r>
      <w:r w:rsidR="003D51DF" w:rsidRPr="003171CD">
        <w:rPr>
          <w:lang w:val="en-US"/>
        </w:rPr>
        <w:t xml:space="preserve">removal </w:t>
      </w:r>
      <w:r w:rsidRPr="003171CD">
        <w:rPr>
          <w:lang w:val="en-US"/>
        </w:rPr>
        <w:t>of the victim</w:t>
      </w:r>
      <w:r w:rsidR="00BA0D48" w:rsidRPr="003171CD">
        <w:rPr>
          <w:lang w:val="en-US"/>
        </w:rPr>
        <w:t>’s name</w:t>
      </w:r>
      <w:r w:rsidRPr="003171CD">
        <w:rPr>
          <w:lang w:val="en-US"/>
        </w:rPr>
        <w:t xml:space="preserve"> </w:t>
      </w:r>
      <w:r w:rsidR="003D51DF" w:rsidRPr="003171CD">
        <w:rPr>
          <w:lang w:val="en-US"/>
        </w:rPr>
        <w:t xml:space="preserve">from any </w:t>
      </w:r>
      <w:r w:rsidR="00BA0D48" w:rsidRPr="003171CD">
        <w:rPr>
          <w:lang w:val="en-US"/>
        </w:rPr>
        <w:t xml:space="preserve">public records in which he appears </w:t>
      </w:r>
      <w:r w:rsidR="000A776C" w:rsidRPr="003171CD">
        <w:rPr>
          <w:lang w:val="en-US"/>
        </w:rPr>
        <w:t xml:space="preserve">as </w:t>
      </w:r>
      <w:r w:rsidR="003D51DF" w:rsidRPr="003171CD">
        <w:rPr>
          <w:lang w:val="en-US"/>
        </w:rPr>
        <w:t xml:space="preserve">a </w:t>
      </w:r>
      <w:r w:rsidR="00FE39FA" w:rsidRPr="003171CD">
        <w:rPr>
          <w:lang w:val="en-US"/>
        </w:rPr>
        <w:t>consequence</w:t>
      </w:r>
      <w:r w:rsidRPr="003171CD">
        <w:rPr>
          <w:lang w:val="en-US"/>
        </w:rPr>
        <w:t xml:space="preserve"> of the conviction […] and </w:t>
      </w:r>
      <w:r w:rsidR="003D51DF" w:rsidRPr="003171CD">
        <w:rPr>
          <w:lang w:val="en-US"/>
        </w:rPr>
        <w:t xml:space="preserve">from </w:t>
      </w:r>
      <w:r w:rsidRPr="003171CD">
        <w:rPr>
          <w:lang w:val="en-US"/>
        </w:rPr>
        <w:t xml:space="preserve">the </w:t>
      </w:r>
      <w:r w:rsidR="00D7405C" w:rsidRPr="003171CD">
        <w:rPr>
          <w:lang w:val="en-US"/>
        </w:rPr>
        <w:t xml:space="preserve">archive </w:t>
      </w:r>
      <w:r w:rsidRPr="003171CD">
        <w:rPr>
          <w:lang w:val="en-US"/>
        </w:rPr>
        <w:t xml:space="preserve">of </w:t>
      </w:r>
      <w:r w:rsidR="00BA0D48" w:rsidRPr="003171CD">
        <w:rPr>
          <w:lang w:val="en-US"/>
        </w:rPr>
        <w:t>criminal records</w:t>
      </w:r>
      <w:r w:rsidRPr="003171CD">
        <w:rPr>
          <w:lang w:val="en-US"/>
        </w:rPr>
        <w:t>”.</w:t>
      </w:r>
    </w:p>
    <w:p w14:paraId="2C290E37" w14:textId="77777777" w:rsidR="005A65CE" w:rsidRPr="003171CD" w:rsidRDefault="005A65CE" w:rsidP="005A65CE">
      <w:pPr>
        <w:contextualSpacing/>
        <w:jc w:val="both"/>
        <w:rPr>
          <w:lang w:val="en-US"/>
        </w:rPr>
      </w:pPr>
    </w:p>
    <w:p w14:paraId="3E132401"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lang w:val="en-US"/>
        </w:rPr>
        <w:t xml:space="preserve"> expres</w:t>
      </w:r>
      <w:r w:rsidR="00BA0D48" w:rsidRPr="003171CD">
        <w:rPr>
          <w:lang w:val="en-US"/>
        </w:rPr>
        <w:t>sed its willingnes</w:t>
      </w:r>
      <w:r w:rsidR="008A14B7" w:rsidRPr="003171CD">
        <w:rPr>
          <w:lang w:val="en-US"/>
        </w:rPr>
        <w:t xml:space="preserve">s to accept </w:t>
      </w:r>
      <w:r w:rsidR="00BA0D48" w:rsidRPr="003171CD">
        <w:rPr>
          <w:lang w:val="en-US"/>
        </w:rPr>
        <w:t xml:space="preserve">the recommendations </w:t>
      </w:r>
      <w:r w:rsidR="003D51DF" w:rsidRPr="003171CD">
        <w:rPr>
          <w:lang w:val="en-US"/>
        </w:rPr>
        <w:t xml:space="preserve">made </w:t>
      </w:r>
      <w:r w:rsidRPr="003171CD">
        <w:rPr>
          <w:lang w:val="en-US"/>
        </w:rPr>
        <w:t>by the Commission, and s</w:t>
      </w:r>
      <w:r w:rsidR="00BA0D48" w:rsidRPr="003171CD">
        <w:rPr>
          <w:lang w:val="en-US"/>
        </w:rPr>
        <w:t xml:space="preserve">aid it understood </w:t>
      </w:r>
      <w:r w:rsidR="003D51DF" w:rsidRPr="003171CD">
        <w:rPr>
          <w:lang w:val="en-US"/>
        </w:rPr>
        <w:t xml:space="preserve">that </w:t>
      </w:r>
      <w:r w:rsidR="00C967D6" w:rsidRPr="003171CD">
        <w:rPr>
          <w:lang w:val="en-US"/>
        </w:rPr>
        <w:t xml:space="preserve">the </w:t>
      </w:r>
      <w:r w:rsidR="00BA0D48" w:rsidRPr="003171CD">
        <w:rPr>
          <w:lang w:val="en-US"/>
        </w:rPr>
        <w:t>reparation</w:t>
      </w:r>
      <w:r w:rsidR="003D51DF" w:rsidRPr="003171CD">
        <w:rPr>
          <w:lang w:val="en-US"/>
        </w:rPr>
        <w:t>s have</w:t>
      </w:r>
      <w:r w:rsidR="00BA0D48" w:rsidRPr="003171CD">
        <w:rPr>
          <w:lang w:val="en-US"/>
        </w:rPr>
        <w:t xml:space="preserve"> value</w:t>
      </w:r>
      <w:r w:rsidRPr="003171CD">
        <w:rPr>
          <w:lang w:val="en-US"/>
        </w:rPr>
        <w:t xml:space="preserve"> in the measure that </w:t>
      </w:r>
      <w:r w:rsidR="00D7405C" w:rsidRPr="003171CD">
        <w:rPr>
          <w:lang w:val="en-US"/>
        </w:rPr>
        <w:t>progress is achieved in implementing th</w:t>
      </w:r>
      <w:r w:rsidR="003D51DF" w:rsidRPr="003171CD">
        <w:rPr>
          <w:lang w:val="en-US"/>
        </w:rPr>
        <w:t>os</w:t>
      </w:r>
      <w:r w:rsidR="00D7405C" w:rsidRPr="003171CD">
        <w:rPr>
          <w:lang w:val="en-US"/>
        </w:rPr>
        <w:t xml:space="preserve">e </w:t>
      </w:r>
      <w:r w:rsidRPr="003171CD">
        <w:rPr>
          <w:lang w:val="en-US"/>
        </w:rPr>
        <w:t>recommendations. The State p</w:t>
      </w:r>
      <w:r w:rsidR="00BA0D48" w:rsidRPr="003171CD">
        <w:rPr>
          <w:lang w:val="en-US"/>
        </w:rPr>
        <w:t xml:space="preserve">ointed out </w:t>
      </w:r>
      <w:r w:rsidRPr="003171CD">
        <w:rPr>
          <w:lang w:val="en-US"/>
        </w:rPr>
        <w:t>that the Second Trial Court of San Salvador ha</w:t>
      </w:r>
      <w:r w:rsidR="00BA0D48" w:rsidRPr="003171CD">
        <w:rPr>
          <w:lang w:val="en-US"/>
        </w:rPr>
        <w:t xml:space="preserve">d held a special </w:t>
      </w:r>
      <w:r w:rsidRPr="003171CD">
        <w:rPr>
          <w:lang w:val="en-US"/>
        </w:rPr>
        <w:t xml:space="preserve">hearing </w:t>
      </w:r>
      <w:r w:rsidR="00BA0D48" w:rsidRPr="003171CD">
        <w:rPr>
          <w:lang w:val="en-US"/>
        </w:rPr>
        <w:t xml:space="preserve">to </w:t>
      </w:r>
      <w:r w:rsidRPr="003171CD">
        <w:rPr>
          <w:lang w:val="en-US"/>
        </w:rPr>
        <w:t xml:space="preserve">review </w:t>
      </w:r>
      <w:r w:rsidR="00BA0D48" w:rsidRPr="003171CD">
        <w:rPr>
          <w:lang w:val="en-US"/>
        </w:rPr>
        <w:t xml:space="preserve">the final </w:t>
      </w:r>
      <w:r w:rsidRPr="003171CD">
        <w:rPr>
          <w:lang w:val="en-US"/>
        </w:rPr>
        <w:t xml:space="preserve">judgment </w:t>
      </w:r>
      <w:r w:rsidR="00BA0D48" w:rsidRPr="003171CD">
        <w:rPr>
          <w:lang w:val="en-US"/>
        </w:rPr>
        <w:t xml:space="preserve">on </w:t>
      </w:r>
      <w:r w:rsidRPr="003171CD">
        <w:rPr>
          <w:lang w:val="en-US"/>
        </w:rPr>
        <w:t>September</w:t>
      </w:r>
      <w:r w:rsidR="00BA0D48" w:rsidRPr="003171CD">
        <w:rPr>
          <w:lang w:val="en-US"/>
        </w:rPr>
        <w:t xml:space="preserve"> 2,</w:t>
      </w:r>
      <w:r w:rsidRPr="003171CD">
        <w:rPr>
          <w:lang w:val="en-US"/>
        </w:rPr>
        <w:t xml:space="preserve"> 2014</w:t>
      </w:r>
      <w:r w:rsidR="00C967D6" w:rsidRPr="003171CD">
        <w:rPr>
          <w:lang w:val="en-US"/>
        </w:rPr>
        <w:t>,</w:t>
      </w:r>
      <w:r w:rsidRPr="003171CD">
        <w:rPr>
          <w:lang w:val="en-US"/>
        </w:rPr>
        <w:t xml:space="preserve"> and ha</w:t>
      </w:r>
      <w:r w:rsidR="00BA0D48" w:rsidRPr="003171CD">
        <w:rPr>
          <w:lang w:val="en-US"/>
        </w:rPr>
        <w:t xml:space="preserve">d upheld </w:t>
      </w:r>
      <w:r w:rsidRPr="003171CD">
        <w:rPr>
          <w:lang w:val="en-US"/>
        </w:rPr>
        <w:t xml:space="preserve">the conviction. However, </w:t>
      </w:r>
      <w:r w:rsidR="00BA0D48" w:rsidRPr="003171CD">
        <w:rPr>
          <w:lang w:val="en-US"/>
        </w:rPr>
        <w:t xml:space="preserve">it indicated </w:t>
      </w:r>
      <w:r w:rsidRPr="003171CD">
        <w:rPr>
          <w:lang w:val="en-US"/>
        </w:rPr>
        <w:t xml:space="preserve">that </w:t>
      </w:r>
      <w:r w:rsidR="00BA0D48" w:rsidRPr="003171CD">
        <w:rPr>
          <w:lang w:val="en-US"/>
        </w:rPr>
        <w:t>the annulment of the judgme</w:t>
      </w:r>
      <w:r w:rsidR="00243900" w:rsidRPr="003171CD">
        <w:rPr>
          <w:lang w:val="en-US"/>
        </w:rPr>
        <w:t>nt “</w:t>
      </w:r>
      <w:r w:rsidR="00BA0D48" w:rsidRPr="003171CD">
        <w:rPr>
          <w:lang w:val="en-US"/>
        </w:rPr>
        <w:t>i</w:t>
      </w:r>
      <w:r w:rsidRPr="003171CD">
        <w:rPr>
          <w:lang w:val="en-US"/>
        </w:rPr>
        <w:t xml:space="preserve">s a </w:t>
      </w:r>
      <w:r w:rsidR="00E427CD" w:rsidRPr="003171CD">
        <w:rPr>
          <w:lang w:val="en-US"/>
        </w:rPr>
        <w:t>possibility</w:t>
      </w:r>
      <w:r w:rsidRPr="003171CD">
        <w:rPr>
          <w:lang w:val="en-US"/>
        </w:rPr>
        <w:t xml:space="preserve"> that </w:t>
      </w:r>
      <w:r w:rsidR="00BA0D48" w:rsidRPr="003171CD">
        <w:rPr>
          <w:lang w:val="en-US"/>
        </w:rPr>
        <w:t>it is still open,”</w:t>
      </w:r>
      <w:r w:rsidRPr="003171CD">
        <w:rPr>
          <w:lang w:val="en-US"/>
        </w:rPr>
        <w:t xml:space="preserve"> </w:t>
      </w:r>
      <w:r w:rsidR="00BA0D48" w:rsidRPr="003171CD">
        <w:rPr>
          <w:lang w:val="en-US"/>
        </w:rPr>
        <w:t xml:space="preserve">given </w:t>
      </w:r>
      <w:r w:rsidRPr="003171CD">
        <w:rPr>
          <w:lang w:val="en-US"/>
        </w:rPr>
        <w:t>that “</w:t>
      </w:r>
      <w:r w:rsidR="00BA0D48" w:rsidRPr="003171CD">
        <w:rPr>
          <w:lang w:val="en-US"/>
        </w:rPr>
        <w:t>in recent years the</w:t>
      </w:r>
      <w:r w:rsidR="001B54D3" w:rsidRPr="003171CD">
        <w:rPr>
          <w:lang w:val="en-US"/>
        </w:rPr>
        <w:t>re have been important advances in</w:t>
      </w:r>
      <w:r w:rsidR="00BA0D48" w:rsidRPr="003171CD">
        <w:rPr>
          <w:lang w:val="en-US"/>
        </w:rPr>
        <w:t xml:space="preserve"> </w:t>
      </w:r>
      <w:r w:rsidR="001B54D3" w:rsidRPr="003171CD">
        <w:rPr>
          <w:lang w:val="en-US"/>
        </w:rPr>
        <w:t xml:space="preserve">the case law </w:t>
      </w:r>
      <w:r w:rsidRPr="003171CD">
        <w:rPr>
          <w:lang w:val="en-US"/>
        </w:rPr>
        <w:t>of the Constitutional Chamber in ma</w:t>
      </w:r>
      <w:r w:rsidR="00BA0D48" w:rsidRPr="003171CD">
        <w:rPr>
          <w:lang w:val="en-US"/>
        </w:rPr>
        <w:t>t</w:t>
      </w:r>
      <w:r w:rsidRPr="003171CD">
        <w:rPr>
          <w:lang w:val="en-US"/>
        </w:rPr>
        <w:t>t</w:t>
      </w:r>
      <w:r w:rsidR="00BA0D48" w:rsidRPr="003171CD">
        <w:rPr>
          <w:lang w:val="en-US"/>
        </w:rPr>
        <w:t xml:space="preserve">ers </w:t>
      </w:r>
      <w:r w:rsidRPr="003171CD">
        <w:rPr>
          <w:lang w:val="en-US"/>
        </w:rPr>
        <w:t xml:space="preserve">of </w:t>
      </w:r>
      <w:r w:rsidRPr="003171CD">
        <w:rPr>
          <w:i/>
          <w:lang w:val="en-US"/>
        </w:rPr>
        <w:t>habeas corpus</w:t>
      </w:r>
      <w:r w:rsidRPr="003171CD">
        <w:rPr>
          <w:lang w:val="en-US"/>
        </w:rPr>
        <w:t xml:space="preserve"> </w:t>
      </w:r>
      <w:r w:rsidR="00BA0D48" w:rsidRPr="003171CD">
        <w:rPr>
          <w:lang w:val="en-US"/>
        </w:rPr>
        <w:t xml:space="preserve">which, at this time, could offer </w:t>
      </w:r>
      <w:r w:rsidRPr="003171CD">
        <w:rPr>
          <w:lang w:val="en-US"/>
        </w:rPr>
        <w:t xml:space="preserve">the </w:t>
      </w:r>
      <w:r w:rsidR="00E427CD" w:rsidRPr="003171CD">
        <w:rPr>
          <w:lang w:val="en-US"/>
        </w:rPr>
        <w:t>possibility</w:t>
      </w:r>
      <w:r w:rsidRPr="003171CD">
        <w:rPr>
          <w:lang w:val="en-US"/>
        </w:rPr>
        <w:t xml:space="preserve"> of a d</w:t>
      </w:r>
      <w:r w:rsidR="00BA0D48" w:rsidRPr="003171CD">
        <w:rPr>
          <w:lang w:val="en-US"/>
        </w:rPr>
        <w:t>ifferent d</w:t>
      </w:r>
      <w:r w:rsidRPr="003171CD">
        <w:rPr>
          <w:lang w:val="en-US"/>
        </w:rPr>
        <w:t>ecision</w:t>
      </w:r>
      <w:r w:rsidR="00BA0D48" w:rsidRPr="003171CD">
        <w:rPr>
          <w:lang w:val="en-US"/>
        </w:rPr>
        <w:t>.”</w:t>
      </w:r>
      <w:r w:rsidRPr="003171CD">
        <w:rPr>
          <w:lang w:val="en-US"/>
        </w:rPr>
        <w:t xml:space="preserve"> However, </w:t>
      </w:r>
      <w:r w:rsidR="00BA0D48" w:rsidRPr="003171CD">
        <w:rPr>
          <w:lang w:val="en-US"/>
        </w:rPr>
        <w:t>to date</w:t>
      </w:r>
      <w:r w:rsidRPr="003171CD">
        <w:rPr>
          <w:lang w:val="en-US"/>
        </w:rPr>
        <w:t xml:space="preserve">, the conviction </w:t>
      </w:r>
      <w:r w:rsidR="00266893" w:rsidRPr="003171CD">
        <w:rPr>
          <w:lang w:val="en-US"/>
        </w:rPr>
        <w:t>against</w:t>
      </w:r>
      <w:r w:rsidR="001B54D3" w:rsidRPr="003171CD">
        <w:rPr>
          <w:lang w:val="en-US"/>
        </w:rPr>
        <w:t xml:space="preserve"> José Agapito Ruano Torres has not been annulled</w:t>
      </w:r>
      <w:r w:rsidRPr="003171CD">
        <w:rPr>
          <w:lang w:val="en-US"/>
        </w:rPr>
        <w:t xml:space="preserve"> </w:t>
      </w:r>
      <w:r w:rsidR="00BA0D48" w:rsidRPr="003171CD">
        <w:rPr>
          <w:lang w:val="en-US"/>
        </w:rPr>
        <w:t xml:space="preserve">despite </w:t>
      </w:r>
      <w:r w:rsidR="00243900" w:rsidRPr="003171CD">
        <w:rPr>
          <w:lang w:val="en-US"/>
        </w:rPr>
        <w:t xml:space="preserve">the fact that </w:t>
      </w:r>
      <w:r w:rsidR="00BA0D48" w:rsidRPr="003171CD">
        <w:rPr>
          <w:lang w:val="en-US"/>
        </w:rPr>
        <w:t xml:space="preserve">several motions </w:t>
      </w:r>
      <w:r w:rsidR="00243900" w:rsidRPr="003171CD">
        <w:rPr>
          <w:lang w:val="en-US"/>
        </w:rPr>
        <w:t xml:space="preserve">have been filed for a </w:t>
      </w:r>
      <w:r w:rsidR="00367FA5" w:rsidRPr="003171CD">
        <w:rPr>
          <w:lang w:val="en-US"/>
        </w:rPr>
        <w:t>review</w:t>
      </w:r>
      <w:r w:rsidRPr="003171CD">
        <w:rPr>
          <w:lang w:val="en-US"/>
        </w:rPr>
        <w:t>.</w:t>
      </w:r>
    </w:p>
    <w:p w14:paraId="7F5913E6" w14:textId="77777777" w:rsidR="005A65CE" w:rsidRPr="003171CD" w:rsidRDefault="005A65CE" w:rsidP="005A65CE">
      <w:pPr>
        <w:jc w:val="both"/>
        <w:rPr>
          <w:i/>
          <w:lang w:val="en-US"/>
        </w:rPr>
      </w:pPr>
    </w:p>
    <w:p w14:paraId="175D6115" w14:textId="77777777" w:rsidR="005A65CE" w:rsidRPr="003171CD" w:rsidRDefault="005A65CE" w:rsidP="005A65CE">
      <w:pPr>
        <w:ind w:firstLine="720"/>
        <w:jc w:val="both"/>
        <w:rPr>
          <w:i/>
          <w:lang w:val="en-US"/>
        </w:rPr>
      </w:pPr>
      <w:r w:rsidRPr="003171CD">
        <w:rPr>
          <w:i/>
          <w:lang w:val="en-US"/>
        </w:rPr>
        <w:t>Considerations of the Court</w:t>
      </w:r>
    </w:p>
    <w:p w14:paraId="74622649" w14:textId="77777777" w:rsidR="005A65CE" w:rsidRPr="003171CD" w:rsidRDefault="005A65CE" w:rsidP="005A65CE">
      <w:pPr>
        <w:jc w:val="both"/>
        <w:rPr>
          <w:i/>
          <w:lang w:val="en-US"/>
        </w:rPr>
      </w:pPr>
    </w:p>
    <w:p w14:paraId="7463BF8B" w14:textId="77777777" w:rsidR="005A65CE" w:rsidRPr="003171CD" w:rsidRDefault="001B54D3" w:rsidP="005A65CE">
      <w:pPr>
        <w:numPr>
          <w:ilvl w:val="0"/>
          <w:numId w:val="1"/>
        </w:numPr>
        <w:tabs>
          <w:tab w:val="left" w:pos="720"/>
          <w:tab w:val="num" w:pos="5057"/>
        </w:tabs>
        <w:autoSpaceDE/>
        <w:autoSpaceDN/>
        <w:adjustRightInd/>
        <w:ind w:right="-90"/>
        <w:contextualSpacing/>
        <w:jc w:val="both"/>
        <w:rPr>
          <w:rFonts w:eastAsiaTheme="minorHAnsi"/>
          <w:lang w:val="en-US"/>
        </w:rPr>
      </w:pPr>
      <w:r w:rsidRPr="003171CD">
        <w:rPr>
          <w:lang w:val="en-US"/>
        </w:rPr>
        <w:t>I</w:t>
      </w:r>
      <w:r w:rsidR="005A65CE" w:rsidRPr="003171CD">
        <w:rPr>
          <w:lang w:val="en-US"/>
        </w:rPr>
        <w:t xml:space="preserve">n </w:t>
      </w:r>
      <w:r w:rsidRPr="003171CD">
        <w:rPr>
          <w:lang w:val="en-US"/>
        </w:rPr>
        <w:t xml:space="preserve">this </w:t>
      </w:r>
      <w:r w:rsidR="005A65CE" w:rsidRPr="003171CD">
        <w:rPr>
          <w:lang w:val="en-US"/>
        </w:rPr>
        <w:t xml:space="preserve">Judgment the Court </w:t>
      </w:r>
      <w:r w:rsidRPr="003171CD">
        <w:rPr>
          <w:lang w:val="en-US"/>
        </w:rPr>
        <w:t xml:space="preserve">has </w:t>
      </w:r>
      <w:r w:rsidR="005A65CE" w:rsidRPr="003171CD">
        <w:rPr>
          <w:lang w:val="en-US"/>
        </w:rPr>
        <w:t>declar</w:t>
      </w:r>
      <w:r w:rsidRPr="003171CD">
        <w:rPr>
          <w:lang w:val="en-US"/>
        </w:rPr>
        <w:t xml:space="preserve">ed the </w:t>
      </w:r>
      <w:r w:rsidR="005A65CE" w:rsidRPr="003171CD">
        <w:rPr>
          <w:lang w:val="en-US"/>
        </w:rPr>
        <w:t xml:space="preserve">State of El Salvador responsible for the </w:t>
      </w:r>
      <w:r w:rsidRPr="003171CD">
        <w:rPr>
          <w:rFonts w:cs="Arial"/>
          <w:lang w:val="en-US"/>
        </w:rPr>
        <w:t>violation of Articles 7(</w:t>
      </w:r>
      <w:r w:rsidR="005A65CE" w:rsidRPr="003171CD">
        <w:rPr>
          <w:rFonts w:cs="Arial"/>
          <w:lang w:val="en-US"/>
        </w:rPr>
        <w:t>3</w:t>
      </w:r>
      <w:r w:rsidRPr="003171CD">
        <w:rPr>
          <w:rFonts w:cs="Arial"/>
          <w:lang w:val="en-US"/>
        </w:rPr>
        <w:t>), 8(1), 8(</w:t>
      </w:r>
      <w:r w:rsidR="005A65CE" w:rsidRPr="003171CD">
        <w:rPr>
          <w:rFonts w:cs="Arial"/>
          <w:lang w:val="en-US"/>
        </w:rPr>
        <w:t>2</w:t>
      </w:r>
      <w:r w:rsidRPr="003171CD">
        <w:rPr>
          <w:rFonts w:cs="Arial"/>
          <w:lang w:val="en-US"/>
        </w:rPr>
        <w:t>), 8(2)(d), 8(2)(e)</w:t>
      </w:r>
      <w:r w:rsidR="005A65CE" w:rsidRPr="003171CD">
        <w:rPr>
          <w:rFonts w:cs="Arial"/>
          <w:lang w:val="en-US"/>
        </w:rPr>
        <w:t xml:space="preserve"> and </w:t>
      </w:r>
      <w:r w:rsidR="00834B13" w:rsidRPr="003171CD">
        <w:rPr>
          <w:rFonts w:cs="Arial"/>
          <w:lang w:val="en-US"/>
        </w:rPr>
        <w:t>25(1)</w:t>
      </w:r>
      <w:r w:rsidR="005A65CE" w:rsidRPr="003171CD">
        <w:rPr>
          <w:rFonts w:cs="Arial"/>
          <w:lang w:val="en-US"/>
        </w:rPr>
        <w:t xml:space="preserve"> of the American Convention,</w:t>
      </w:r>
      <w:r w:rsidR="00C967D6" w:rsidRPr="003171CD">
        <w:rPr>
          <w:rFonts w:cs="Arial"/>
          <w:lang w:val="en-US"/>
        </w:rPr>
        <w:t xml:space="preserve"> in relation to Article 1(1) </w:t>
      </w:r>
      <w:r w:rsidR="005A65CE" w:rsidRPr="003171CD">
        <w:rPr>
          <w:rFonts w:cs="Arial"/>
          <w:lang w:val="en-US"/>
        </w:rPr>
        <w:t>the</w:t>
      </w:r>
      <w:r w:rsidRPr="003171CD">
        <w:rPr>
          <w:rFonts w:cs="Arial"/>
          <w:lang w:val="en-US"/>
        </w:rPr>
        <w:t>reof</w:t>
      </w:r>
      <w:r w:rsidR="005A65CE" w:rsidRPr="003171CD">
        <w:rPr>
          <w:rFonts w:cs="Arial"/>
          <w:lang w:val="en-US"/>
        </w:rPr>
        <w:t>, to the detriment of  José Agapito Ruano Torres.</w:t>
      </w:r>
      <w:r w:rsidR="005A65CE" w:rsidRPr="003171CD">
        <w:rPr>
          <w:lang w:val="en-US"/>
        </w:rPr>
        <w:t xml:space="preserve"> The Court con</w:t>
      </w:r>
      <w:r w:rsidR="008A14B7" w:rsidRPr="003171CD">
        <w:rPr>
          <w:lang w:val="en-US"/>
        </w:rPr>
        <w:t xml:space="preserve">firmed </w:t>
      </w:r>
      <w:r w:rsidR="005A65CE" w:rsidRPr="003171CD">
        <w:rPr>
          <w:lang w:val="en-US"/>
        </w:rPr>
        <w:t xml:space="preserve">the </w:t>
      </w:r>
      <w:r w:rsidR="005A65CE" w:rsidRPr="003171CD">
        <w:rPr>
          <w:rFonts w:eastAsiaTheme="minorHAnsi" w:cs="Arial"/>
          <w:lang w:val="en-US"/>
        </w:rPr>
        <w:t>v</w:t>
      </w:r>
      <w:r w:rsidRPr="003171CD">
        <w:rPr>
          <w:rFonts w:eastAsiaTheme="minorHAnsi" w:cs="Arial"/>
          <w:lang w:val="en-US"/>
        </w:rPr>
        <w:t xml:space="preserve">iolation of the </w:t>
      </w:r>
      <w:r w:rsidR="00C967D6" w:rsidRPr="003171CD">
        <w:rPr>
          <w:rFonts w:eastAsiaTheme="minorHAnsi" w:cs="Arial"/>
          <w:lang w:val="en-US"/>
        </w:rPr>
        <w:t xml:space="preserve">right to the </w:t>
      </w:r>
      <w:r w:rsidRPr="003171CD">
        <w:rPr>
          <w:rFonts w:eastAsiaTheme="minorHAnsi" w:cs="Arial"/>
          <w:lang w:val="en-US"/>
        </w:rPr>
        <w:t xml:space="preserve">presumption of </w:t>
      </w:r>
      <w:r w:rsidR="005A65CE" w:rsidRPr="003171CD">
        <w:rPr>
          <w:rFonts w:eastAsiaTheme="minorHAnsi" w:cs="Arial"/>
          <w:lang w:val="en-US"/>
        </w:rPr>
        <w:t xml:space="preserve">innocence </w:t>
      </w:r>
      <w:r w:rsidR="008A14B7" w:rsidRPr="003171CD">
        <w:rPr>
          <w:rFonts w:eastAsiaTheme="minorHAnsi" w:cs="Arial"/>
          <w:lang w:val="en-US"/>
        </w:rPr>
        <w:t xml:space="preserve">given </w:t>
      </w:r>
      <w:r w:rsidR="005A65CE" w:rsidRPr="003171CD">
        <w:rPr>
          <w:rFonts w:eastAsiaTheme="minorHAnsi" w:cs="Arial"/>
          <w:lang w:val="en-US"/>
        </w:rPr>
        <w:t xml:space="preserve">that the </w:t>
      </w:r>
      <w:r w:rsidR="006D65DA" w:rsidRPr="003171CD">
        <w:rPr>
          <w:rFonts w:eastAsiaTheme="minorHAnsi" w:cs="Arial"/>
          <w:lang w:val="en-US"/>
        </w:rPr>
        <w:t>criminal trial</w:t>
      </w:r>
      <w:r w:rsidR="005A65CE" w:rsidRPr="003171CD">
        <w:rPr>
          <w:rFonts w:eastAsiaTheme="minorHAnsi" w:cs="Arial"/>
          <w:lang w:val="en-US"/>
        </w:rPr>
        <w:t xml:space="preserve"> </w:t>
      </w:r>
      <w:r w:rsidR="00266893" w:rsidRPr="003171CD">
        <w:rPr>
          <w:rFonts w:eastAsiaTheme="minorHAnsi" w:cs="Arial"/>
          <w:lang w:val="en-US"/>
        </w:rPr>
        <w:t>against</w:t>
      </w:r>
      <w:r w:rsidR="005A65CE" w:rsidRPr="003171CD">
        <w:rPr>
          <w:rFonts w:eastAsiaTheme="minorHAnsi" w:cs="Arial"/>
          <w:lang w:val="en-US"/>
        </w:rPr>
        <w:t xml:space="preserve"> Mr. Ruano Torres </w:t>
      </w:r>
      <w:r w:rsidR="008A14B7" w:rsidRPr="003171CD">
        <w:rPr>
          <w:rFonts w:eastAsiaTheme="minorHAnsi" w:cs="Arial"/>
          <w:lang w:val="en-US"/>
        </w:rPr>
        <w:t xml:space="preserve">did not </w:t>
      </w:r>
      <w:r w:rsidR="004021CD" w:rsidRPr="003171CD">
        <w:rPr>
          <w:rFonts w:eastAsiaTheme="minorHAnsi" w:cs="Arial"/>
          <w:lang w:val="en-US"/>
        </w:rPr>
        <w:t xml:space="preserve">eliminate </w:t>
      </w:r>
      <w:r w:rsidR="00D7405C" w:rsidRPr="003171CD">
        <w:rPr>
          <w:rFonts w:eastAsiaTheme="minorHAnsi" w:cs="Arial"/>
          <w:lang w:val="en-US"/>
        </w:rPr>
        <w:t xml:space="preserve">any </w:t>
      </w:r>
      <w:r w:rsidR="007E648B" w:rsidRPr="003171CD">
        <w:rPr>
          <w:rFonts w:eastAsiaTheme="minorHAnsi" w:cs="Arial"/>
          <w:lang w:val="en-US"/>
        </w:rPr>
        <w:t xml:space="preserve">trace </w:t>
      </w:r>
      <w:r w:rsidR="005A65CE" w:rsidRPr="003171CD">
        <w:rPr>
          <w:rFonts w:eastAsiaTheme="minorHAnsi" w:cs="Arial"/>
          <w:lang w:val="en-US"/>
        </w:rPr>
        <w:t xml:space="preserve">of </w:t>
      </w:r>
      <w:r w:rsidR="00B90F96" w:rsidRPr="003171CD">
        <w:rPr>
          <w:rFonts w:eastAsiaTheme="minorHAnsi" w:cs="Arial"/>
          <w:lang w:val="en-US"/>
        </w:rPr>
        <w:t>doubt</w:t>
      </w:r>
      <w:r w:rsidR="005A65CE" w:rsidRPr="003171CD">
        <w:rPr>
          <w:rFonts w:eastAsiaTheme="minorHAnsi" w:cs="Arial"/>
          <w:lang w:val="en-US"/>
        </w:rPr>
        <w:t xml:space="preserve"> </w:t>
      </w:r>
      <w:r w:rsidR="00D7405C" w:rsidRPr="003171CD">
        <w:rPr>
          <w:rFonts w:eastAsiaTheme="minorHAnsi" w:cs="Arial"/>
          <w:lang w:val="en-US"/>
        </w:rPr>
        <w:t xml:space="preserve">regarding </w:t>
      </w:r>
      <w:r w:rsidR="005A65CE" w:rsidRPr="003171CD">
        <w:rPr>
          <w:rFonts w:eastAsiaTheme="minorHAnsi" w:cs="Arial"/>
          <w:lang w:val="en-US"/>
        </w:rPr>
        <w:t>the identi</w:t>
      </w:r>
      <w:r w:rsidR="00D7405C" w:rsidRPr="003171CD">
        <w:rPr>
          <w:rFonts w:eastAsiaTheme="minorHAnsi" w:cs="Arial"/>
          <w:lang w:val="en-US"/>
        </w:rPr>
        <w:t xml:space="preserve">ty of </w:t>
      </w:r>
      <w:r w:rsidR="005A65CE" w:rsidRPr="003171CD">
        <w:rPr>
          <w:rFonts w:eastAsiaTheme="minorHAnsi" w:cs="Arial"/>
          <w:lang w:val="en-US"/>
        </w:rPr>
        <w:t xml:space="preserve">the person </w:t>
      </w:r>
      <w:r w:rsidR="00D7405C" w:rsidRPr="003171CD">
        <w:rPr>
          <w:rFonts w:eastAsiaTheme="minorHAnsi" w:cs="Arial"/>
          <w:lang w:val="en-US"/>
        </w:rPr>
        <w:t xml:space="preserve">known by the nickname </w:t>
      </w:r>
      <w:r w:rsidR="00A96DF3" w:rsidRPr="003171CD">
        <w:rPr>
          <w:rFonts w:eastAsiaTheme="minorHAnsi" w:cs="Arial"/>
          <w:i/>
          <w:lang w:val="en-US"/>
        </w:rPr>
        <w:t>Chopo</w:t>
      </w:r>
      <w:r w:rsidR="005A65CE" w:rsidRPr="003171CD">
        <w:rPr>
          <w:rFonts w:eastAsiaTheme="minorHAnsi" w:cs="Arial"/>
          <w:i/>
          <w:lang w:val="en-US"/>
        </w:rPr>
        <w:t xml:space="preserve"> </w:t>
      </w:r>
      <w:r w:rsidR="005A65CE" w:rsidRPr="003171CD">
        <w:rPr>
          <w:rFonts w:eastAsiaTheme="minorHAnsi"/>
          <w:lang w:val="en-US"/>
        </w:rPr>
        <w:t>(</w:t>
      </w:r>
      <w:r w:rsidR="005A65CE" w:rsidRPr="003171CD">
        <w:rPr>
          <w:rFonts w:eastAsiaTheme="minorHAnsi"/>
          <w:i/>
          <w:lang w:val="en-US"/>
        </w:rPr>
        <w:t xml:space="preserve">supra </w:t>
      </w:r>
      <w:r w:rsidR="005A65CE" w:rsidRPr="003171CD">
        <w:rPr>
          <w:rFonts w:eastAsiaTheme="minorHAnsi"/>
          <w:lang w:val="en-US"/>
        </w:rPr>
        <w:t>paras. 129 a 135)</w:t>
      </w:r>
      <w:r w:rsidR="005A65CE" w:rsidRPr="003171CD">
        <w:rPr>
          <w:rFonts w:eastAsiaTheme="minorHAnsi" w:cs="Arial"/>
          <w:lang w:val="en-US"/>
        </w:rPr>
        <w:t>. Likewise</w:t>
      </w:r>
      <w:r w:rsidR="005A65CE" w:rsidRPr="003171CD">
        <w:rPr>
          <w:rFonts w:eastAsiaTheme="minorHAnsi"/>
          <w:lang w:val="en-US"/>
        </w:rPr>
        <w:t xml:space="preserve">, in the </w:t>
      </w:r>
      <w:r w:rsidR="004021CD" w:rsidRPr="003171CD">
        <w:rPr>
          <w:rFonts w:eastAsiaTheme="minorHAnsi"/>
          <w:lang w:val="en-US"/>
        </w:rPr>
        <w:t xml:space="preserve">instant </w:t>
      </w:r>
      <w:r w:rsidR="005A65CE" w:rsidRPr="003171CD">
        <w:rPr>
          <w:rFonts w:eastAsiaTheme="minorHAnsi"/>
          <w:lang w:val="en-US"/>
        </w:rPr>
        <w:t xml:space="preserve">case </w:t>
      </w:r>
      <w:r w:rsidR="00DD7057" w:rsidRPr="003171CD">
        <w:rPr>
          <w:rFonts w:eastAsiaTheme="minorHAnsi"/>
          <w:lang w:val="en-US"/>
        </w:rPr>
        <w:t xml:space="preserve">there was no </w:t>
      </w:r>
      <w:r w:rsidR="005A65CE" w:rsidRPr="003171CD">
        <w:rPr>
          <w:rFonts w:eastAsiaTheme="minorHAnsi"/>
          <w:lang w:val="en-US"/>
        </w:rPr>
        <w:t xml:space="preserve">judicial </w:t>
      </w:r>
      <w:r w:rsidR="00DD7057" w:rsidRPr="003171CD">
        <w:rPr>
          <w:rFonts w:eastAsiaTheme="minorHAnsi"/>
          <w:lang w:val="en-US"/>
        </w:rPr>
        <w:t xml:space="preserve">oversight of </w:t>
      </w:r>
      <w:r w:rsidR="005A65CE" w:rsidRPr="003171CD">
        <w:rPr>
          <w:rFonts w:eastAsiaTheme="minorHAnsi"/>
          <w:lang w:val="en-US"/>
        </w:rPr>
        <w:t xml:space="preserve">the decision </w:t>
      </w:r>
      <w:r w:rsidR="004021CD" w:rsidRPr="003171CD">
        <w:rPr>
          <w:rFonts w:eastAsiaTheme="minorHAnsi"/>
          <w:lang w:val="en-US"/>
        </w:rPr>
        <w:t>to convict</w:t>
      </w:r>
      <w:r w:rsidR="005A65CE" w:rsidRPr="003171CD">
        <w:rPr>
          <w:rFonts w:eastAsiaTheme="minorHAnsi"/>
          <w:lang w:val="en-US"/>
        </w:rPr>
        <w:t xml:space="preserve">, </w:t>
      </w:r>
      <w:r w:rsidRPr="003171CD">
        <w:rPr>
          <w:rFonts w:eastAsiaTheme="minorHAnsi"/>
          <w:lang w:val="en-US"/>
        </w:rPr>
        <w:t xml:space="preserve">given </w:t>
      </w:r>
      <w:r w:rsidR="005A65CE" w:rsidRPr="003171CD">
        <w:rPr>
          <w:rFonts w:eastAsiaTheme="minorHAnsi"/>
          <w:lang w:val="en-US"/>
        </w:rPr>
        <w:t xml:space="preserve">that the </w:t>
      </w:r>
      <w:r w:rsidR="004021CD" w:rsidRPr="003171CD">
        <w:rPr>
          <w:rFonts w:eastAsiaTheme="minorHAnsi"/>
          <w:lang w:val="en-US"/>
        </w:rPr>
        <w:t xml:space="preserve">legal </w:t>
      </w:r>
      <w:r w:rsidR="00E86957" w:rsidRPr="003171CD">
        <w:rPr>
          <w:rFonts w:eastAsiaTheme="minorHAnsi"/>
          <w:lang w:val="en-US"/>
        </w:rPr>
        <w:t>defense</w:t>
      </w:r>
      <w:r w:rsidR="005A65CE" w:rsidRPr="003171CD">
        <w:rPr>
          <w:rFonts w:eastAsiaTheme="minorHAnsi"/>
          <w:lang w:val="en-US"/>
        </w:rPr>
        <w:t xml:space="preserve"> was ineffective and </w:t>
      </w:r>
      <w:r w:rsidRPr="003171CD">
        <w:rPr>
          <w:rFonts w:eastAsiaTheme="minorHAnsi"/>
          <w:lang w:val="en-US"/>
        </w:rPr>
        <w:t xml:space="preserve">did not file any motion to appeal </w:t>
      </w:r>
      <w:r w:rsidR="005A65CE" w:rsidRPr="003171CD">
        <w:rPr>
          <w:rFonts w:eastAsiaTheme="minorHAnsi"/>
          <w:lang w:val="en-US"/>
        </w:rPr>
        <w:t>the conviction (</w:t>
      </w:r>
      <w:r w:rsidR="005A65CE" w:rsidRPr="003171CD">
        <w:rPr>
          <w:rFonts w:eastAsiaTheme="minorHAnsi"/>
          <w:i/>
          <w:lang w:val="en-US"/>
        </w:rPr>
        <w:t xml:space="preserve">supra </w:t>
      </w:r>
      <w:r w:rsidR="005A65CE" w:rsidRPr="003171CD">
        <w:rPr>
          <w:rFonts w:eastAsiaTheme="minorHAnsi"/>
          <w:lang w:val="en-US"/>
        </w:rPr>
        <w:t xml:space="preserve">para. 167). </w:t>
      </w:r>
      <w:r w:rsidRPr="003171CD">
        <w:rPr>
          <w:rFonts w:eastAsiaTheme="minorHAnsi"/>
          <w:lang w:val="en-US"/>
        </w:rPr>
        <w:t>Furthermore</w:t>
      </w:r>
      <w:r w:rsidR="005A65CE" w:rsidRPr="003171CD">
        <w:rPr>
          <w:rFonts w:eastAsiaTheme="minorHAnsi"/>
          <w:lang w:val="en-US"/>
        </w:rPr>
        <w:t xml:space="preserve">, the </w:t>
      </w:r>
      <w:r w:rsidR="00367FA5" w:rsidRPr="003171CD">
        <w:rPr>
          <w:rFonts w:eastAsiaTheme="minorHAnsi"/>
          <w:lang w:val="en-US"/>
        </w:rPr>
        <w:t>motions for review</w:t>
      </w:r>
      <w:r w:rsidR="005A65CE" w:rsidRPr="003171CD">
        <w:rPr>
          <w:rFonts w:eastAsiaTheme="minorHAnsi"/>
          <w:lang w:val="en-US"/>
        </w:rPr>
        <w:t xml:space="preserve"> </w:t>
      </w:r>
      <w:r w:rsidR="004021CD" w:rsidRPr="003171CD">
        <w:rPr>
          <w:rFonts w:eastAsiaTheme="minorHAnsi"/>
          <w:lang w:val="en-US"/>
        </w:rPr>
        <w:t xml:space="preserve">were not </w:t>
      </w:r>
      <w:r w:rsidRPr="003171CD">
        <w:rPr>
          <w:rFonts w:eastAsiaTheme="minorHAnsi"/>
          <w:lang w:val="en-US"/>
        </w:rPr>
        <w:t xml:space="preserve">an </w:t>
      </w:r>
      <w:r w:rsidR="006A2571" w:rsidRPr="003171CD">
        <w:rPr>
          <w:rFonts w:eastAsiaTheme="minorHAnsi"/>
          <w:lang w:val="en-US"/>
        </w:rPr>
        <w:t xml:space="preserve">effective remedy to </w:t>
      </w:r>
      <w:r w:rsidR="005A65CE" w:rsidRPr="003171CD">
        <w:rPr>
          <w:rFonts w:eastAsiaTheme="minorHAnsi"/>
          <w:lang w:val="en-US"/>
        </w:rPr>
        <w:t>re</w:t>
      </w:r>
      <w:r w:rsidR="006A2571" w:rsidRPr="003171CD">
        <w:rPr>
          <w:rFonts w:eastAsiaTheme="minorHAnsi"/>
          <w:lang w:val="en-US"/>
        </w:rPr>
        <w:t xml:space="preserve">dress the </w:t>
      </w:r>
      <w:r w:rsidR="005A65CE" w:rsidRPr="003171CD">
        <w:rPr>
          <w:rFonts w:eastAsiaTheme="minorHAnsi"/>
          <w:lang w:val="en-US"/>
        </w:rPr>
        <w:t xml:space="preserve">human rights </w:t>
      </w:r>
      <w:r w:rsidR="006A2571" w:rsidRPr="003171CD">
        <w:rPr>
          <w:rFonts w:eastAsiaTheme="minorHAnsi"/>
          <w:lang w:val="en-US"/>
        </w:rPr>
        <w:t xml:space="preserve">violations and, </w:t>
      </w:r>
      <w:r w:rsidR="005A65CE" w:rsidRPr="003171CD">
        <w:rPr>
          <w:rFonts w:eastAsiaTheme="minorHAnsi"/>
          <w:lang w:val="en-US"/>
        </w:rPr>
        <w:t xml:space="preserve">in particular, </w:t>
      </w:r>
      <w:r w:rsidR="006A2571" w:rsidRPr="003171CD">
        <w:rPr>
          <w:rFonts w:eastAsiaTheme="minorHAnsi"/>
          <w:lang w:val="en-US"/>
        </w:rPr>
        <w:t xml:space="preserve">to </w:t>
      </w:r>
      <w:r w:rsidRPr="003171CD">
        <w:rPr>
          <w:rFonts w:eastAsiaTheme="minorHAnsi"/>
          <w:lang w:val="en-US"/>
        </w:rPr>
        <w:t xml:space="preserve">ensure respect for the presumption of innocence and the right to </w:t>
      </w:r>
      <w:r w:rsidR="004021CD" w:rsidRPr="003171CD">
        <w:rPr>
          <w:rFonts w:eastAsiaTheme="minorHAnsi"/>
          <w:lang w:val="en-US"/>
        </w:rPr>
        <w:t xml:space="preserve">legal </w:t>
      </w:r>
      <w:r w:rsidR="00E86957" w:rsidRPr="003171CD">
        <w:rPr>
          <w:rFonts w:eastAsiaTheme="minorHAnsi"/>
          <w:lang w:val="en-US"/>
        </w:rPr>
        <w:t>defense</w:t>
      </w:r>
      <w:r w:rsidR="005A65CE" w:rsidRPr="003171CD">
        <w:rPr>
          <w:rFonts w:eastAsiaTheme="minorHAnsi"/>
          <w:lang w:val="en-US"/>
        </w:rPr>
        <w:t xml:space="preserve"> (</w:t>
      </w:r>
      <w:r w:rsidR="005A65CE" w:rsidRPr="003171CD">
        <w:rPr>
          <w:rFonts w:eastAsiaTheme="minorHAnsi"/>
          <w:i/>
          <w:lang w:val="en-US"/>
        </w:rPr>
        <w:t xml:space="preserve">supra </w:t>
      </w:r>
      <w:r w:rsidR="004021CD" w:rsidRPr="003171CD">
        <w:rPr>
          <w:rFonts w:eastAsiaTheme="minorHAnsi"/>
          <w:lang w:val="en-US"/>
        </w:rPr>
        <w:t>paras. 137 to</w:t>
      </w:r>
      <w:r w:rsidRPr="003171CD">
        <w:rPr>
          <w:rFonts w:eastAsiaTheme="minorHAnsi"/>
          <w:lang w:val="en-US"/>
        </w:rPr>
        <w:t xml:space="preserve"> 139). T</w:t>
      </w:r>
      <w:r w:rsidR="005A65CE" w:rsidRPr="003171CD">
        <w:rPr>
          <w:rFonts w:eastAsiaTheme="minorHAnsi"/>
          <w:lang w:val="en-US"/>
        </w:rPr>
        <w:t xml:space="preserve">herefore, </w:t>
      </w:r>
      <w:r w:rsidR="00E755FC" w:rsidRPr="003171CD">
        <w:rPr>
          <w:rFonts w:eastAsiaTheme="minorHAnsi"/>
          <w:lang w:val="en-US"/>
        </w:rPr>
        <w:t>Mr</w:t>
      </w:r>
      <w:r w:rsidR="005A65CE" w:rsidRPr="003171CD">
        <w:rPr>
          <w:rFonts w:eastAsiaTheme="minorHAnsi"/>
          <w:lang w:val="en-US"/>
        </w:rPr>
        <w:t>. Ruano Torres</w:t>
      </w:r>
      <w:r w:rsidRPr="003171CD">
        <w:rPr>
          <w:rFonts w:eastAsiaTheme="minorHAnsi"/>
          <w:lang w:val="en-US"/>
        </w:rPr>
        <w:t xml:space="preserve">’ imprisonment, resulting from a </w:t>
      </w:r>
      <w:r w:rsidR="006D65DA" w:rsidRPr="003171CD">
        <w:rPr>
          <w:rFonts w:eastAsiaTheme="minorHAnsi"/>
          <w:lang w:val="en-US"/>
        </w:rPr>
        <w:t>criminal trial</w:t>
      </w:r>
      <w:r w:rsidR="005A65CE" w:rsidRPr="003171CD">
        <w:rPr>
          <w:rFonts w:eastAsiaTheme="minorHAnsi"/>
          <w:lang w:val="en-US"/>
        </w:rPr>
        <w:t xml:space="preserve"> </w:t>
      </w:r>
      <w:r w:rsidR="00FB7533" w:rsidRPr="003171CD">
        <w:rPr>
          <w:rFonts w:eastAsiaTheme="minorHAnsi"/>
          <w:lang w:val="en-US"/>
        </w:rPr>
        <w:t xml:space="preserve">that </w:t>
      </w:r>
      <w:r w:rsidR="005A65CE" w:rsidRPr="003171CD">
        <w:rPr>
          <w:rFonts w:eastAsiaTheme="minorHAnsi"/>
          <w:lang w:val="en-US"/>
        </w:rPr>
        <w:t>violat</w:t>
      </w:r>
      <w:r w:rsidR="00FB7533" w:rsidRPr="003171CD">
        <w:rPr>
          <w:rFonts w:eastAsiaTheme="minorHAnsi"/>
          <w:lang w:val="en-US"/>
        </w:rPr>
        <w:t xml:space="preserve">ed his </w:t>
      </w:r>
      <w:r w:rsidR="005A65CE" w:rsidRPr="003171CD">
        <w:rPr>
          <w:rFonts w:eastAsiaTheme="minorHAnsi"/>
          <w:lang w:val="en-US"/>
        </w:rPr>
        <w:t xml:space="preserve">judicial </w:t>
      </w:r>
      <w:r w:rsidR="00C51F8B" w:rsidRPr="003171CD">
        <w:rPr>
          <w:rFonts w:eastAsiaTheme="minorHAnsi"/>
          <w:lang w:val="en-US"/>
        </w:rPr>
        <w:t>guarantees</w:t>
      </w:r>
      <w:r w:rsidR="004021CD" w:rsidRPr="003171CD">
        <w:rPr>
          <w:rFonts w:eastAsiaTheme="minorHAnsi"/>
          <w:lang w:val="en-US"/>
        </w:rPr>
        <w:t>,</w:t>
      </w:r>
      <w:r w:rsidR="005A65CE" w:rsidRPr="003171CD">
        <w:rPr>
          <w:rFonts w:eastAsiaTheme="minorHAnsi"/>
          <w:lang w:val="en-US"/>
        </w:rPr>
        <w:t xml:space="preserve"> </w:t>
      </w:r>
      <w:r w:rsidRPr="003171CD">
        <w:rPr>
          <w:rFonts w:eastAsiaTheme="minorHAnsi"/>
          <w:lang w:val="en-US"/>
        </w:rPr>
        <w:t xml:space="preserve">became </w:t>
      </w:r>
      <w:r w:rsidR="005A65CE" w:rsidRPr="003171CD">
        <w:rPr>
          <w:rFonts w:eastAsiaTheme="minorHAnsi"/>
          <w:lang w:val="en-US"/>
        </w:rPr>
        <w:t>arbitrary (</w:t>
      </w:r>
      <w:r w:rsidR="005A65CE" w:rsidRPr="003171CD">
        <w:rPr>
          <w:rFonts w:eastAsiaTheme="minorHAnsi"/>
          <w:i/>
          <w:lang w:val="en-US"/>
        </w:rPr>
        <w:t xml:space="preserve">supra </w:t>
      </w:r>
      <w:r w:rsidR="005A65CE" w:rsidRPr="003171CD">
        <w:rPr>
          <w:rFonts w:eastAsiaTheme="minorHAnsi"/>
          <w:lang w:val="en-US"/>
        </w:rPr>
        <w:t>para. 142).</w:t>
      </w:r>
    </w:p>
    <w:p w14:paraId="31B82F9B" w14:textId="77777777" w:rsidR="005A65CE" w:rsidRPr="003171CD" w:rsidRDefault="005A65CE" w:rsidP="005A65CE">
      <w:pPr>
        <w:jc w:val="both"/>
        <w:rPr>
          <w:b/>
          <w:lang w:val="en-US"/>
        </w:rPr>
      </w:pPr>
    </w:p>
    <w:p w14:paraId="02072DBF" w14:textId="77777777" w:rsidR="005A65CE" w:rsidRPr="003171CD" w:rsidRDefault="005A65CE" w:rsidP="005A65CE">
      <w:pPr>
        <w:pStyle w:val="Prrafodelista"/>
        <w:numPr>
          <w:ilvl w:val="0"/>
          <w:numId w:val="1"/>
        </w:numPr>
        <w:tabs>
          <w:tab w:val="left" w:pos="720"/>
          <w:tab w:val="num" w:pos="5057"/>
        </w:tabs>
        <w:ind w:right="-90"/>
        <w:jc w:val="both"/>
        <w:rPr>
          <w:rFonts w:eastAsiaTheme="minorHAnsi" w:cs="Arial"/>
          <w:b/>
          <w:lang w:val="en-US"/>
        </w:rPr>
      </w:pPr>
      <w:r w:rsidRPr="003171CD">
        <w:rPr>
          <w:lang w:val="en-US"/>
        </w:rPr>
        <w:t>T</w:t>
      </w:r>
      <w:r w:rsidR="001B54D3" w:rsidRPr="003171CD">
        <w:rPr>
          <w:lang w:val="en-US"/>
        </w:rPr>
        <w:t>he Court points out that, at the time of issuing this</w:t>
      </w:r>
      <w:r w:rsidRPr="003171CD">
        <w:rPr>
          <w:lang w:val="en-US"/>
        </w:rPr>
        <w:t xml:space="preserve"> Judgment</w:t>
      </w:r>
      <w:r w:rsidR="001B54D3" w:rsidRPr="003171CD">
        <w:rPr>
          <w:lang w:val="en-US"/>
        </w:rPr>
        <w:t>,</w:t>
      </w:r>
      <w:r w:rsidRPr="003171CD">
        <w:rPr>
          <w:lang w:val="en-US"/>
        </w:rPr>
        <w:t xml:space="preserve"> Mr. Ruano Torres ha</w:t>
      </w:r>
      <w:r w:rsidR="001B54D3" w:rsidRPr="003171CD">
        <w:rPr>
          <w:lang w:val="en-US"/>
        </w:rPr>
        <w:t>s</w:t>
      </w:r>
      <w:r w:rsidRPr="003171CD">
        <w:rPr>
          <w:lang w:val="en-US"/>
        </w:rPr>
        <w:t xml:space="preserve"> </w:t>
      </w:r>
      <w:r w:rsidR="001B54D3" w:rsidRPr="003171CD">
        <w:rPr>
          <w:lang w:val="en-US"/>
        </w:rPr>
        <w:t xml:space="preserve">served his </w:t>
      </w:r>
      <w:r w:rsidR="004021CD" w:rsidRPr="003171CD">
        <w:rPr>
          <w:lang w:val="en-US"/>
        </w:rPr>
        <w:t xml:space="preserve">full </w:t>
      </w:r>
      <w:r w:rsidR="001B54D3" w:rsidRPr="003171CD">
        <w:rPr>
          <w:lang w:val="en-US"/>
        </w:rPr>
        <w:t xml:space="preserve">sentence </w:t>
      </w:r>
      <w:r w:rsidRPr="003171CD">
        <w:rPr>
          <w:rFonts w:eastAsiaTheme="minorHAnsi"/>
          <w:lang w:val="en-US"/>
        </w:rPr>
        <w:t>(</w:t>
      </w:r>
      <w:r w:rsidRPr="003171CD">
        <w:rPr>
          <w:rFonts w:eastAsiaTheme="minorHAnsi"/>
          <w:i/>
          <w:lang w:val="en-US"/>
        </w:rPr>
        <w:t xml:space="preserve">supra </w:t>
      </w:r>
      <w:r w:rsidRPr="003171CD">
        <w:rPr>
          <w:rFonts w:eastAsiaTheme="minorHAnsi"/>
          <w:lang w:val="en-US"/>
        </w:rPr>
        <w:t>para. 105)</w:t>
      </w:r>
      <w:r w:rsidR="001B54D3" w:rsidRPr="003171CD">
        <w:rPr>
          <w:lang w:val="en-US"/>
        </w:rPr>
        <w:t>;</w:t>
      </w:r>
      <w:r w:rsidRPr="003171CD">
        <w:rPr>
          <w:lang w:val="en-US"/>
        </w:rPr>
        <w:t xml:space="preserve"> </w:t>
      </w:r>
      <w:r w:rsidR="004021CD" w:rsidRPr="003171CD">
        <w:rPr>
          <w:lang w:val="en-US"/>
        </w:rPr>
        <w:t>consequently</w:t>
      </w:r>
      <w:r w:rsidR="001B54D3" w:rsidRPr="003171CD">
        <w:rPr>
          <w:lang w:val="en-US"/>
        </w:rPr>
        <w:t xml:space="preserve">, it is not </w:t>
      </w:r>
      <w:r w:rsidRPr="003171CD">
        <w:rPr>
          <w:lang w:val="en-US"/>
        </w:rPr>
        <w:t>possible t</w:t>
      </w:r>
      <w:r w:rsidR="001B54D3" w:rsidRPr="003171CD">
        <w:rPr>
          <w:lang w:val="en-US"/>
        </w:rPr>
        <w:t xml:space="preserve">o restore the time that he has spent </w:t>
      </w:r>
      <w:r w:rsidR="00C967D6" w:rsidRPr="003171CD">
        <w:rPr>
          <w:lang w:val="en-US"/>
        </w:rPr>
        <w:t xml:space="preserve">being </w:t>
      </w:r>
      <w:r w:rsidR="006A2571" w:rsidRPr="003171CD">
        <w:rPr>
          <w:lang w:val="en-US"/>
        </w:rPr>
        <w:t>arbitrarily deprived of his liberty</w:t>
      </w:r>
      <w:r w:rsidRPr="003171CD">
        <w:rPr>
          <w:lang w:val="en-US"/>
        </w:rPr>
        <w:t>.</w:t>
      </w:r>
    </w:p>
    <w:p w14:paraId="6872A318" w14:textId="77777777" w:rsidR="005A65CE" w:rsidRPr="003171CD" w:rsidRDefault="005A65CE" w:rsidP="005A65CE">
      <w:pPr>
        <w:pStyle w:val="Prrafodelista"/>
        <w:tabs>
          <w:tab w:val="left" w:pos="720"/>
        </w:tabs>
        <w:ind w:left="0" w:right="-90"/>
        <w:jc w:val="both"/>
        <w:rPr>
          <w:rFonts w:eastAsiaTheme="minorHAnsi" w:cs="Arial"/>
          <w:b/>
          <w:lang w:val="en-US"/>
        </w:rPr>
      </w:pPr>
    </w:p>
    <w:p w14:paraId="10E7BE18" w14:textId="77777777" w:rsidR="005A65CE" w:rsidRPr="003171CD" w:rsidRDefault="001B54D3" w:rsidP="005A65CE">
      <w:pPr>
        <w:numPr>
          <w:ilvl w:val="0"/>
          <w:numId w:val="1"/>
        </w:numPr>
        <w:autoSpaceDE/>
        <w:autoSpaceDN/>
        <w:adjustRightInd/>
        <w:contextualSpacing/>
        <w:jc w:val="both"/>
        <w:rPr>
          <w:lang w:val="en-US"/>
        </w:rPr>
      </w:pPr>
      <w:r w:rsidRPr="003171CD">
        <w:rPr>
          <w:lang w:val="en-US"/>
        </w:rPr>
        <w:t xml:space="preserve">Therefore, having regard to the </w:t>
      </w:r>
      <w:r w:rsidR="005A65CE" w:rsidRPr="003171CD">
        <w:rPr>
          <w:lang w:val="en-US"/>
        </w:rPr>
        <w:t xml:space="preserve">violations established in the </w:t>
      </w:r>
      <w:r w:rsidRPr="003171CD">
        <w:rPr>
          <w:lang w:val="en-US"/>
        </w:rPr>
        <w:t xml:space="preserve">instant </w:t>
      </w:r>
      <w:r w:rsidR="005A65CE" w:rsidRPr="003171CD">
        <w:rPr>
          <w:lang w:val="en-US"/>
        </w:rPr>
        <w:t>case, the Court de</w:t>
      </w:r>
      <w:r w:rsidRPr="003171CD">
        <w:rPr>
          <w:lang w:val="en-US"/>
        </w:rPr>
        <w:t xml:space="preserve">cides </w:t>
      </w:r>
      <w:r w:rsidR="005A65CE" w:rsidRPr="003171CD">
        <w:rPr>
          <w:lang w:val="en-US"/>
        </w:rPr>
        <w:t xml:space="preserve">that the conviction </w:t>
      </w:r>
      <w:r w:rsidR="004D7423" w:rsidRPr="003171CD">
        <w:rPr>
          <w:lang w:val="en-US"/>
        </w:rPr>
        <w:t xml:space="preserve">handed down in </w:t>
      </w:r>
      <w:r w:rsidR="006D65DA" w:rsidRPr="003171CD">
        <w:rPr>
          <w:lang w:val="en-US"/>
        </w:rPr>
        <w:t>criminal trial</w:t>
      </w:r>
      <w:r w:rsidR="005A65CE" w:rsidRPr="003171CD">
        <w:rPr>
          <w:lang w:val="en-US"/>
        </w:rPr>
        <w:t xml:space="preserve"> No. 77-2001-2 against José Agapito Ruano Torres </w:t>
      </w:r>
      <w:r w:rsidR="004D7423" w:rsidRPr="003171CD">
        <w:rPr>
          <w:lang w:val="en-US"/>
        </w:rPr>
        <w:t xml:space="preserve">has no </w:t>
      </w:r>
      <w:r w:rsidR="00D7405C" w:rsidRPr="003171CD">
        <w:rPr>
          <w:lang w:val="en-US"/>
        </w:rPr>
        <w:t xml:space="preserve">legal </w:t>
      </w:r>
      <w:r w:rsidR="005A65CE" w:rsidRPr="003171CD">
        <w:rPr>
          <w:lang w:val="en-US"/>
        </w:rPr>
        <w:t xml:space="preserve">effects in </w:t>
      </w:r>
      <w:r w:rsidR="00D7405C" w:rsidRPr="003171CD">
        <w:rPr>
          <w:lang w:val="en-US"/>
        </w:rPr>
        <w:t xml:space="preserve">relation to </w:t>
      </w:r>
      <w:r w:rsidR="005A65CE" w:rsidRPr="003171CD">
        <w:rPr>
          <w:lang w:val="en-US"/>
        </w:rPr>
        <w:t xml:space="preserve">the victim </w:t>
      </w:r>
      <w:r w:rsidRPr="003171CD">
        <w:rPr>
          <w:rFonts w:eastAsiaTheme="minorHAnsi" w:cs="Arial"/>
          <w:lang w:val="en-US"/>
        </w:rPr>
        <w:t>and</w:t>
      </w:r>
      <w:r w:rsidR="005A65CE" w:rsidRPr="003171CD">
        <w:rPr>
          <w:rFonts w:eastAsiaTheme="minorHAnsi" w:cs="Arial"/>
          <w:lang w:val="en-US"/>
        </w:rPr>
        <w:t xml:space="preserve">, </w:t>
      </w:r>
      <w:r w:rsidR="00D7405C" w:rsidRPr="003171CD">
        <w:rPr>
          <w:rFonts w:eastAsiaTheme="minorHAnsi" w:cs="Arial"/>
          <w:lang w:val="en-US"/>
        </w:rPr>
        <w:t xml:space="preserve">accordingly, </w:t>
      </w:r>
      <w:r w:rsidR="00DD7057" w:rsidRPr="003171CD">
        <w:rPr>
          <w:rFonts w:eastAsiaTheme="minorHAnsi" w:cs="Arial"/>
          <w:lang w:val="en-US"/>
        </w:rPr>
        <w:t xml:space="preserve">orders </w:t>
      </w:r>
      <w:r w:rsidR="005A65CE" w:rsidRPr="003171CD">
        <w:rPr>
          <w:rFonts w:eastAsiaTheme="minorHAnsi" w:cs="Arial"/>
          <w:lang w:val="en-US"/>
        </w:rPr>
        <w:t xml:space="preserve">the State </w:t>
      </w:r>
      <w:r w:rsidR="00DD7057" w:rsidRPr="003171CD">
        <w:rPr>
          <w:rFonts w:eastAsiaTheme="minorHAnsi" w:cs="Arial"/>
          <w:lang w:val="en-US"/>
        </w:rPr>
        <w:t xml:space="preserve">to </w:t>
      </w:r>
      <w:r w:rsidR="008A14B7" w:rsidRPr="003171CD">
        <w:rPr>
          <w:rFonts w:eastAsiaTheme="minorHAnsi" w:cs="Arial"/>
          <w:lang w:val="en-US"/>
        </w:rPr>
        <w:t xml:space="preserve">take all necessary steps to annul </w:t>
      </w:r>
      <w:r w:rsidR="004D7423" w:rsidRPr="003171CD">
        <w:rPr>
          <w:rFonts w:eastAsiaTheme="minorHAnsi" w:cs="Arial"/>
          <w:lang w:val="en-US"/>
        </w:rPr>
        <w:t xml:space="preserve">any </w:t>
      </w:r>
      <w:r w:rsidR="005A65CE" w:rsidRPr="003171CD">
        <w:rPr>
          <w:lang w:val="en-US"/>
        </w:rPr>
        <w:t xml:space="preserve">consequences </w:t>
      </w:r>
      <w:r w:rsidR="00D7405C" w:rsidRPr="003171CD">
        <w:rPr>
          <w:lang w:val="en-US"/>
        </w:rPr>
        <w:t>derived therefrom</w:t>
      </w:r>
      <w:r w:rsidR="00AF4AEF" w:rsidRPr="003171CD">
        <w:rPr>
          <w:lang w:val="en-US"/>
        </w:rPr>
        <w:t>,</w:t>
      </w:r>
      <w:r w:rsidR="00D7405C" w:rsidRPr="003171CD">
        <w:rPr>
          <w:lang w:val="en-US"/>
        </w:rPr>
        <w:t xml:space="preserve"> </w:t>
      </w:r>
      <w:r w:rsidR="004D7423" w:rsidRPr="003171CD">
        <w:rPr>
          <w:lang w:val="en-US"/>
        </w:rPr>
        <w:t xml:space="preserve">together with </w:t>
      </w:r>
      <w:r w:rsidRPr="003171CD">
        <w:rPr>
          <w:rFonts w:eastAsiaTheme="minorHAnsi" w:cs="Arial"/>
          <w:lang w:val="en-US"/>
        </w:rPr>
        <w:t xml:space="preserve">any </w:t>
      </w:r>
      <w:r w:rsidR="005A65CE" w:rsidRPr="003171CD">
        <w:rPr>
          <w:rFonts w:eastAsiaTheme="minorHAnsi" w:cs="Arial"/>
          <w:lang w:val="en-US"/>
        </w:rPr>
        <w:t>judicial</w:t>
      </w:r>
      <w:r w:rsidRPr="003171CD">
        <w:rPr>
          <w:rFonts w:eastAsiaTheme="minorHAnsi" w:cs="Arial"/>
          <w:lang w:val="en-US"/>
        </w:rPr>
        <w:t>,</w:t>
      </w:r>
      <w:r w:rsidR="005A65CE" w:rsidRPr="003171CD">
        <w:rPr>
          <w:rFonts w:eastAsiaTheme="minorHAnsi" w:cs="Arial"/>
          <w:lang w:val="en-US"/>
        </w:rPr>
        <w:t xml:space="preserve"> administrative, </w:t>
      </w:r>
      <w:r w:rsidRPr="003171CD">
        <w:rPr>
          <w:rFonts w:eastAsiaTheme="minorHAnsi" w:cs="Arial"/>
          <w:lang w:val="en-US"/>
        </w:rPr>
        <w:t xml:space="preserve">criminal </w:t>
      </w:r>
      <w:r w:rsidR="005A65CE" w:rsidRPr="003171CD">
        <w:rPr>
          <w:rFonts w:eastAsiaTheme="minorHAnsi" w:cs="Arial"/>
          <w:lang w:val="en-US"/>
        </w:rPr>
        <w:t>or police</w:t>
      </w:r>
      <w:r w:rsidRPr="003171CD">
        <w:rPr>
          <w:rFonts w:eastAsiaTheme="minorHAnsi" w:cs="Arial"/>
          <w:lang w:val="en-US"/>
        </w:rPr>
        <w:t xml:space="preserve"> records</w:t>
      </w:r>
      <w:r w:rsidR="005A65CE" w:rsidRPr="003171CD">
        <w:rPr>
          <w:rFonts w:eastAsiaTheme="minorHAnsi" w:cs="Arial"/>
          <w:lang w:val="en-US"/>
        </w:rPr>
        <w:t xml:space="preserve"> </w:t>
      </w:r>
      <w:r w:rsidR="004D7423" w:rsidRPr="003171CD">
        <w:rPr>
          <w:rFonts w:eastAsiaTheme="minorHAnsi" w:cs="Arial"/>
          <w:lang w:val="en-US"/>
        </w:rPr>
        <w:t xml:space="preserve">related to that </w:t>
      </w:r>
      <w:r w:rsidR="008A14B7" w:rsidRPr="003171CD">
        <w:rPr>
          <w:rFonts w:eastAsiaTheme="minorHAnsi" w:cs="Arial"/>
          <w:lang w:val="en-US"/>
        </w:rPr>
        <w:t>proceeding</w:t>
      </w:r>
      <w:r w:rsidR="005A65CE" w:rsidRPr="003171CD">
        <w:rPr>
          <w:rFonts w:eastAsiaTheme="minorHAnsi" w:cs="Arial"/>
          <w:lang w:val="en-US"/>
        </w:rPr>
        <w:t>.</w:t>
      </w:r>
      <w:r w:rsidR="005A65CE" w:rsidRPr="003171CD">
        <w:rPr>
          <w:lang w:val="en-US"/>
        </w:rPr>
        <w:t xml:space="preserve"> </w:t>
      </w:r>
      <w:r w:rsidR="004D7423" w:rsidRPr="003171CD">
        <w:rPr>
          <w:lang w:val="en-US"/>
        </w:rPr>
        <w:t>T</w:t>
      </w:r>
      <w:r w:rsidR="005A65CE" w:rsidRPr="003171CD">
        <w:rPr>
          <w:lang w:val="en-US"/>
        </w:rPr>
        <w:t xml:space="preserve">he State </w:t>
      </w:r>
      <w:r w:rsidR="00DD7057" w:rsidRPr="003171CD">
        <w:rPr>
          <w:lang w:val="en-US"/>
        </w:rPr>
        <w:t xml:space="preserve">has </w:t>
      </w:r>
      <w:r w:rsidRPr="003171CD">
        <w:rPr>
          <w:lang w:val="en-US"/>
        </w:rPr>
        <w:t xml:space="preserve">one year from </w:t>
      </w:r>
      <w:r w:rsidR="005A65CE" w:rsidRPr="003171CD">
        <w:rPr>
          <w:lang w:val="en-US"/>
        </w:rPr>
        <w:t>notification of this Judgment</w:t>
      </w:r>
      <w:r w:rsidR="004D7423" w:rsidRPr="003171CD">
        <w:rPr>
          <w:lang w:val="en-US"/>
        </w:rPr>
        <w:t xml:space="preserve"> to comply with this measure</w:t>
      </w:r>
      <w:r w:rsidR="005A65CE" w:rsidRPr="003171CD">
        <w:rPr>
          <w:lang w:val="en-US"/>
        </w:rPr>
        <w:t>.</w:t>
      </w:r>
    </w:p>
    <w:p w14:paraId="25745831" w14:textId="77777777" w:rsidR="005A65CE" w:rsidRPr="003171CD" w:rsidRDefault="005A65CE" w:rsidP="005A65CE">
      <w:pPr>
        <w:autoSpaceDE/>
        <w:autoSpaceDN/>
        <w:adjustRightInd/>
        <w:contextualSpacing/>
        <w:jc w:val="both"/>
        <w:rPr>
          <w:lang w:val="en-US"/>
        </w:rPr>
      </w:pPr>
    </w:p>
    <w:p w14:paraId="7B680F7D" w14:textId="77777777" w:rsidR="005A65CE" w:rsidRPr="003171CD" w:rsidRDefault="001B54D3" w:rsidP="005A65CE">
      <w:pPr>
        <w:pStyle w:val="Prrafodelista"/>
        <w:numPr>
          <w:ilvl w:val="0"/>
          <w:numId w:val="1"/>
        </w:numPr>
        <w:tabs>
          <w:tab w:val="left" w:pos="720"/>
          <w:tab w:val="num" w:pos="5057"/>
        </w:tabs>
        <w:ind w:right="-90"/>
        <w:jc w:val="both"/>
        <w:rPr>
          <w:rFonts w:eastAsiaTheme="minorHAnsi" w:cs="Arial"/>
          <w:lang w:val="en-US"/>
        </w:rPr>
      </w:pPr>
      <w:r w:rsidRPr="003171CD">
        <w:rPr>
          <w:lang w:val="en-US"/>
        </w:rPr>
        <w:t>In addition</w:t>
      </w:r>
      <w:r w:rsidR="005A65CE" w:rsidRPr="003171CD">
        <w:rPr>
          <w:lang w:val="en-US"/>
        </w:rPr>
        <w:t xml:space="preserve">, the Court </w:t>
      </w:r>
      <w:r w:rsidRPr="003171CD">
        <w:rPr>
          <w:lang w:val="en-US"/>
        </w:rPr>
        <w:t xml:space="preserve">deems it </w:t>
      </w:r>
      <w:r w:rsidR="005A65CE" w:rsidRPr="003171CD">
        <w:rPr>
          <w:lang w:val="en-US"/>
        </w:rPr>
        <w:t xml:space="preserve">pertinent </w:t>
      </w:r>
      <w:r w:rsidRPr="003171CD">
        <w:rPr>
          <w:lang w:val="en-US"/>
        </w:rPr>
        <w:t xml:space="preserve">to grant </w:t>
      </w:r>
      <w:r w:rsidR="005A65CE" w:rsidRPr="003171CD">
        <w:rPr>
          <w:lang w:val="en-US"/>
        </w:rPr>
        <w:t>a</w:t>
      </w:r>
      <w:r w:rsidRPr="003171CD">
        <w:rPr>
          <w:lang w:val="en-US"/>
        </w:rPr>
        <w:t>n</w:t>
      </w:r>
      <w:r w:rsidR="005A65CE" w:rsidRPr="003171CD">
        <w:rPr>
          <w:lang w:val="en-US"/>
        </w:rPr>
        <w:t xml:space="preserve"> amount </w:t>
      </w:r>
      <w:r w:rsidR="00DD7057" w:rsidRPr="003171CD">
        <w:rPr>
          <w:lang w:val="en-US"/>
        </w:rPr>
        <w:t xml:space="preserve">in compensation </w:t>
      </w:r>
      <w:r w:rsidR="004D7423" w:rsidRPr="003171CD">
        <w:rPr>
          <w:lang w:val="en-US"/>
        </w:rPr>
        <w:t xml:space="preserve">as reparation for </w:t>
      </w:r>
      <w:r w:rsidR="005A65CE" w:rsidRPr="003171CD">
        <w:rPr>
          <w:lang w:val="en-US"/>
        </w:rPr>
        <w:t xml:space="preserve">the </w:t>
      </w:r>
      <w:r w:rsidR="00897B7E" w:rsidRPr="003171CD">
        <w:rPr>
          <w:lang w:val="en-US"/>
        </w:rPr>
        <w:t>fact</w:t>
      </w:r>
      <w:r w:rsidR="005A65CE" w:rsidRPr="003171CD">
        <w:rPr>
          <w:lang w:val="en-US"/>
        </w:rPr>
        <w:t xml:space="preserve"> that </w:t>
      </w:r>
      <w:r w:rsidR="00E30D75" w:rsidRPr="003171CD">
        <w:rPr>
          <w:lang w:val="en-US"/>
        </w:rPr>
        <w:t xml:space="preserve">Mr. Ruano Torres </w:t>
      </w:r>
      <w:r w:rsidR="005A65CE" w:rsidRPr="003171CD">
        <w:rPr>
          <w:lang w:val="en-US"/>
        </w:rPr>
        <w:t>was arbitrar</w:t>
      </w:r>
      <w:r w:rsidR="006A2571" w:rsidRPr="003171CD">
        <w:rPr>
          <w:lang w:val="en-US"/>
        </w:rPr>
        <w:t xml:space="preserve">ily deprived of his liberty for </w:t>
      </w:r>
      <w:r w:rsidR="005A65CE" w:rsidRPr="003171CD">
        <w:rPr>
          <w:lang w:val="en-US"/>
        </w:rPr>
        <w:t xml:space="preserve">12 </w:t>
      </w:r>
      <w:r w:rsidR="006A2571" w:rsidRPr="003171CD">
        <w:rPr>
          <w:lang w:val="en-US"/>
        </w:rPr>
        <w:t xml:space="preserve">years, </w:t>
      </w:r>
      <w:r w:rsidR="005A65CE" w:rsidRPr="003171CD">
        <w:rPr>
          <w:lang w:val="en-US"/>
        </w:rPr>
        <w:t>6 m</w:t>
      </w:r>
      <w:r w:rsidR="006A2571" w:rsidRPr="003171CD">
        <w:rPr>
          <w:lang w:val="en-US"/>
        </w:rPr>
        <w:t xml:space="preserve">onths and </w:t>
      </w:r>
      <w:r w:rsidR="005A65CE" w:rsidRPr="003171CD">
        <w:rPr>
          <w:lang w:val="en-US"/>
        </w:rPr>
        <w:t>22 d</w:t>
      </w:r>
      <w:r w:rsidR="006A2571" w:rsidRPr="003171CD">
        <w:rPr>
          <w:lang w:val="en-US"/>
        </w:rPr>
        <w:t>ays</w:t>
      </w:r>
      <w:r w:rsidR="00E30D75" w:rsidRPr="003171CD">
        <w:rPr>
          <w:lang w:val="en-US"/>
        </w:rPr>
        <w:t>,</w:t>
      </w:r>
      <w:r w:rsidR="006A2571" w:rsidRPr="003171CD">
        <w:rPr>
          <w:lang w:val="en-US"/>
        </w:rPr>
        <w:t xml:space="preserve"> </w:t>
      </w:r>
      <w:r w:rsidR="005A65CE" w:rsidRPr="003171CD">
        <w:rPr>
          <w:lang w:val="en-US"/>
        </w:rPr>
        <w:t>in violation</w:t>
      </w:r>
      <w:r w:rsidR="006A2571" w:rsidRPr="003171CD">
        <w:rPr>
          <w:lang w:val="en-US"/>
        </w:rPr>
        <w:t xml:space="preserve"> of </w:t>
      </w:r>
      <w:r w:rsidR="00DD7057" w:rsidRPr="003171CD">
        <w:rPr>
          <w:lang w:val="en-US"/>
        </w:rPr>
        <w:t xml:space="preserve">his </w:t>
      </w:r>
      <w:r w:rsidR="006714A6" w:rsidRPr="003171CD">
        <w:rPr>
          <w:lang w:val="en-US"/>
        </w:rPr>
        <w:t>procedural guarantees</w:t>
      </w:r>
      <w:r w:rsidR="005A65CE" w:rsidRPr="003171CD">
        <w:rPr>
          <w:lang w:val="en-US"/>
        </w:rPr>
        <w:t xml:space="preserve"> (</w:t>
      </w:r>
      <w:r w:rsidR="005A65CE" w:rsidRPr="003171CD">
        <w:rPr>
          <w:i/>
          <w:lang w:val="en-US"/>
        </w:rPr>
        <w:t>infra</w:t>
      </w:r>
      <w:r w:rsidR="005A65CE" w:rsidRPr="003171CD">
        <w:rPr>
          <w:lang w:val="en-US"/>
        </w:rPr>
        <w:t xml:space="preserve"> para. 250).</w:t>
      </w:r>
    </w:p>
    <w:p w14:paraId="62271762" w14:textId="77777777" w:rsidR="005A65CE" w:rsidRPr="003171CD" w:rsidRDefault="005A65CE" w:rsidP="005A65CE">
      <w:pPr>
        <w:contextualSpacing/>
        <w:jc w:val="both"/>
        <w:rPr>
          <w:lang w:val="en-US"/>
        </w:rPr>
      </w:pPr>
    </w:p>
    <w:p w14:paraId="10B8F6E0" w14:textId="77777777" w:rsidR="005A65CE" w:rsidRPr="003171CD" w:rsidRDefault="005A65CE" w:rsidP="005A65CE">
      <w:pPr>
        <w:ind w:left="1440"/>
        <w:contextualSpacing/>
        <w:jc w:val="both"/>
        <w:rPr>
          <w:b/>
          <w:i/>
          <w:lang w:val="en-US"/>
        </w:rPr>
      </w:pPr>
      <w:r w:rsidRPr="003171CD">
        <w:rPr>
          <w:b/>
          <w:i/>
          <w:lang w:val="en-US"/>
        </w:rPr>
        <w:t>C.2</w:t>
      </w:r>
      <w:bookmarkEnd w:id="77"/>
      <w:r w:rsidRPr="003171CD">
        <w:rPr>
          <w:b/>
          <w:i/>
          <w:lang w:val="en-US"/>
        </w:rPr>
        <w:t xml:space="preserve"> </w:t>
      </w:r>
      <w:r w:rsidRPr="003171CD">
        <w:rPr>
          <w:b/>
          <w:i/>
          <w:lang w:val="en-US"/>
        </w:rPr>
        <w:tab/>
        <w:t>Rehabilitation</w:t>
      </w:r>
      <w:bookmarkEnd w:id="78"/>
    </w:p>
    <w:p w14:paraId="22E3B4E9" w14:textId="77777777" w:rsidR="005A65CE" w:rsidRPr="003171CD" w:rsidRDefault="005A65CE" w:rsidP="005A65CE">
      <w:pPr>
        <w:widowControl w:val="0"/>
        <w:jc w:val="both"/>
        <w:textAlignment w:val="baseline"/>
        <w:rPr>
          <w:lang w:val="en-US"/>
        </w:rPr>
      </w:pPr>
    </w:p>
    <w:p w14:paraId="14A017B4" w14:textId="77777777" w:rsidR="005A65CE" w:rsidRPr="003171CD" w:rsidRDefault="005A65CE" w:rsidP="005A65CE">
      <w:pPr>
        <w:widowControl w:val="0"/>
        <w:ind w:left="1404" w:firstLine="720"/>
        <w:jc w:val="both"/>
        <w:textAlignment w:val="baseline"/>
        <w:rPr>
          <w:b/>
          <w:i/>
          <w:lang w:val="en-US"/>
        </w:rPr>
      </w:pPr>
      <w:r w:rsidRPr="003171CD">
        <w:rPr>
          <w:b/>
          <w:i/>
          <w:lang w:val="en-US"/>
        </w:rPr>
        <w:t xml:space="preserve">C.2.a </w:t>
      </w:r>
      <w:r w:rsidRPr="003171CD">
        <w:rPr>
          <w:b/>
          <w:i/>
          <w:lang w:val="en-US"/>
        </w:rPr>
        <w:tab/>
      </w:r>
      <w:r w:rsidR="00DD7057" w:rsidRPr="003171CD">
        <w:rPr>
          <w:b/>
          <w:i/>
          <w:lang w:val="en-US"/>
        </w:rPr>
        <w:t>P</w:t>
      </w:r>
      <w:r w:rsidRPr="003171CD">
        <w:rPr>
          <w:b/>
          <w:i/>
          <w:lang w:val="en-US"/>
        </w:rPr>
        <w:t>sychological and/or psychiatric</w:t>
      </w:r>
      <w:r w:rsidR="00DD7057" w:rsidRPr="003171CD">
        <w:rPr>
          <w:b/>
          <w:i/>
          <w:lang w:val="en-US"/>
        </w:rPr>
        <w:t xml:space="preserve"> treatment</w:t>
      </w:r>
    </w:p>
    <w:p w14:paraId="5CBA0BB0" w14:textId="77777777" w:rsidR="005A65CE" w:rsidRPr="003171CD" w:rsidRDefault="005A65CE" w:rsidP="005A65CE">
      <w:pPr>
        <w:widowControl w:val="0"/>
        <w:jc w:val="both"/>
        <w:textAlignment w:val="baseline"/>
        <w:rPr>
          <w:b/>
          <w:i/>
          <w:lang w:val="en-US"/>
        </w:rPr>
      </w:pPr>
    </w:p>
    <w:p w14:paraId="685F3AB9" w14:textId="77777777" w:rsidR="005A65CE" w:rsidRPr="003171CD" w:rsidRDefault="005A65CE" w:rsidP="005A65CE">
      <w:pPr>
        <w:widowControl w:val="0"/>
        <w:ind w:firstLine="720"/>
        <w:jc w:val="both"/>
        <w:textAlignment w:val="baseline"/>
        <w:rPr>
          <w:i/>
          <w:lang w:val="en-US"/>
        </w:rPr>
      </w:pPr>
      <w:r w:rsidRPr="003171CD">
        <w:rPr>
          <w:i/>
          <w:lang w:val="en-US"/>
        </w:rPr>
        <w:t>Arguments of the part</w:t>
      </w:r>
      <w:r w:rsidR="00FB7533" w:rsidRPr="003171CD">
        <w:rPr>
          <w:i/>
          <w:lang w:val="en-US"/>
        </w:rPr>
        <w:t>i</w:t>
      </w:r>
      <w:r w:rsidRPr="003171CD">
        <w:rPr>
          <w:i/>
          <w:lang w:val="en-US"/>
        </w:rPr>
        <w:t>es</w:t>
      </w:r>
    </w:p>
    <w:p w14:paraId="285CB89B" w14:textId="77777777" w:rsidR="005A65CE" w:rsidRPr="003171CD" w:rsidRDefault="005A65CE" w:rsidP="005A65CE">
      <w:pPr>
        <w:jc w:val="both"/>
        <w:rPr>
          <w:lang w:val="en-US"/>
        </w:rPr>
      </w:pPr>
    </w:p>
    <w:p w14:paraId="0822CD48" w14:textId="77777777" w:rsidR="005A65CE" w:rsidRPr="003171CD" w:rsidRDefault="00FB7533" w:rsidP="005A65CE">
      <w:pPr>
        <w:numPr>
          <w:ilvl w:val="0"/>
          <w:numId w:val="1"/>
        </w:numPr>
        <w:autoSpaceDE/>
        <w:autoSpaceDN/>
        <w:adjustRightInd/>
        <w:contextualSpacing/>
        <w:jc w:val="both"/>
        <w:rPr>
          <w:lang w:val="en-US"/>
        </w:rPr>
      </w:pPr>
      <w:r w:rsidRPr="003171CD">
        <w:rPr>
          <w:lang w:val="en-US"/>
        </w:rPr>
        <w:t xml:space="preserve">During </w:t>
      </w:r>
      <w:r w:rsidR="005A65CE" w:rsidRPr="003171CD">
        <w:rPr>
          <w:lang w:val="en-US"/>
        </w:rPr>
        <w:t xml:space="preserve">the public hearing and in </w:t>
      </w:r>
      <w:r w:rsidRPr="003171CD">
        <w:rPr>
          <w:lang w:val="en-US"/>
        </w:rPr>
        <w:t xml:space="preserve">its </w:t>
      </w:r>
      <w:r w:rsidR="005A65CE" w:rsidRPr="003171CD">
        <w:rPr>
          <w:lang w:val="en-US"/>
        </w:rPr>
        <w:t xml:space="preserve">final written arguments </w:t>
      </w:r>
      <w:r w:rsidRPr="003171CD">
        <w:rPr>
          <w:lang w:val="en-US"/>
        </w:rPr>
        <w:t xml:space="preserve">the </w:t>
      </w:r>
      <w:r w:rsidRPr="003171CD">
        <w:rPr>
          <w:b/>
          <w:i/>
          <w:lang w:val="en-US"/>
        </w:rPr>
        <w:t>State</w:t>
      </w:r>
      <w:r w:rsidRPr="003171CD">
        <w:rPr>
          <w:lang w:val="en-US"/>
        </w:rPr>
        <w:t xml:space="preserve"> offered </w:t>
      </w:r>
      <w:r w:rsidR="00821AEF" w:rsidRPr="003171CD">
        <w:rPr>
          <w:lang w:val="en-US"/>
        </w:rPr>
        <w:t>Mr.</w:t>
      </w:r>
      <w:r w:rsidR="005A65CE" w:rsidRPr="003171CD">
        <w:rPr>
          <w:lang w:val="en-US"/>
        </w:rPr>
        <w:t xml:space="preserve"> José Agapito Ruano Torres and his </w:t>
      </w:r>
      <w:r w:rsidRPr="003171CD">
        <w:rPr>
          <w:lang w:val="en-US"/>
        </w:rPr>
        <w:t xml:space="preserve">next of kin </w:t>
      </w:r>
      <w:r w:rsidR="005A65CE" w:rsidRPr="003171CD">
        <w:rPr>
          <w:lang w:val="en-US"/>
        </w:rPr>
        <w:t xml:space="preserve">“psychological </w:t>
      </w:r>
      <w:r w:rsidRPr="003171CD">
        <w:rPr>
          <w:lang w:val="en-US"/>
        </w:rPr>
        <w:t xml:space="preserve">treatment </w:t>
      </w:r>
      <w:r w:rsidR="005A65CE" w:rsidRPr="003171CD">
        <w:rPr>
          <w:lang w:val="en-US"/>
        </w:rPr>
        <w:t xml:space="preserve">[...] through the </w:t>
      </w:r>
      <w:r w:rsidRPr="003171CD">
        <w:rPr>
          <w:lang w:val="en-US"/>
        </w:rPr>
        <w:t xml:space="preserve">public </w:t>
      </w:r>
      <w:r w:rsidR="00561822" w:rsidRPr="003171CD">
        <w:rPr>
          <w:lang w:val="en-US"/>
        </w:rPr>
        <w:t>health</w:t>
      </w:r>
      <w:r w:rsidR="005A65CE" w:rsidRPr="003171CD">
        <w:rPr>
          <w:lang w:val="en-US"/>
        </w:rPr>
        <w:t xml:space="preserve"> </w:t>
      </w:r>
      <w:r w:rsidR="00C967D6" w:rsidRPr="003171CD">
        <w:rPr>
          <w:lang w:val="en-US"/>
        </w:rPr>
        <w:t xml:space="preserve">care </w:t>
      </w:r>
      <w:r w:rsidRPr="003171CD">
        <w:rPr>
          <w:lang w:val="en-US"/>
        </w:rPr>
        <w:t>services with a prior assessment of their individual needs</w:t>
      </w:r>
      <w:r w:rsidR="005A65CE" w:rsidRPr="003171CD">
        <w:rPr>
          <w:lang w:val="en-US"/>
        </w:rPr>
        <w:t xml:space="preserve">, </w:t>
      </w:r>
      <w:r w:rsidRPr="003171CD">
        <w:rPr>
          <w:lang w:val="en-US"/>
        </w:rPr>
        <w:t xml:space="preserve">to </w:t>
      </w:r>
      <w:r w:rsidR="005A65CE" w:rsidRPr="003171CD">
        <w:rPr>
          <w:lang w:val="en-US"/>
        </w:rPr>
        <w:t xml:space="preserve">support the integration of </w:t>
      </w:r>
      <w:r w:rsidRPr="003171CD">
        <w:rPr>
          <w:lang w:val="en-US"/>
        </w:rPr>
        <w:t>their family group.”</w:t>
      </w:r>
    </w:p>
    <w:p w14:paraId="3A29F4C2" w14:textId="77777777" w:rsidR="005A65CE" w:rsidRPr="003171CD" w:rsidRDefault="005A65CE" w:rsidP="005A65CE">
      <w:pPr>
        <w:contextualSpacing/>
        <w:jc w:val="both"/>
        <w:rPr>
          <w:lang w:val="en-US"/>
        </w:rPr>
      </w:pPr>
    </w:p>
    <w:p w14:paraId="769F99C1" w14:textId="77777777" w:rsidR="005A65CE" w:rsidRPr="003171CD" w:rsidRDefault="00FB7533" w:rsidP="005A65CE">
      <w:pPr>
        <w:numPr>
          <w:ilvl w:val="0"/>
          <w:numId w:val="1"/>
        </w:numPr>
        <w:autoSpaceDE/>
        <w:autoSpaceDN/>
        <w:adjustRightInd/>
        <w:contextualSpacing/>
        <w:jc w:val="both"/>
        <w:rPr>
          <w:lang w:val="en-US"/>
        </w:rPr>
      </w:pPr>
      <w:r w:rsidRPr="003171CD">
        <w:rPr>
          <w:rFonts w:eastAsia="MS Mincho"/>
          <w:lang w:val="en-US"/>
        </w:rPr>
        <w:lastRenderedPageBreak/>
        <w:t xml:space="preserve">In their </w:t>
      </w:r>
      <w:r w:rsidR="005A65CE" w:rsidRPr="003171CD">
        <w:rPr>
          <w:rFonts w:eastAsia="MS Mincho"/>
          <w:lang w:val="en-US"/>
        </w:rPr>
        <w:t xml:space="preserve">final written arguments, the </w:t>
      </w:r>
      <w:r w:rsidR="005A65CE" w:rsidRPr="003171CD">
        <w:rPr>
          <w:rFonts w:eastAsia="MS Mincho"/>
          <w:b/>
          <w:i/>
          <w:lang w:val="en-US"/>
        </w:rPr>
        <w:t>representatives</w:t>
      </w:r>
      <w:r w:rsidR="005A65CE" w:rsidRPr="003171CD">
        <w:rPr>
          <w:lang w:val="en-US"/>
        </w:rPr>
        <w:t xml:space="preserve"> </w:t>
      </w:r>
      <w:r w:rsidRPr="003171CD">
        <w:rPr>
          <w:rFonts w:eastAsia="MS Mincho"/>
          <w:lang w:val="en-US"/>
        </w:rPr>
        <w:t xml:space="preserve">accepted </w:t>
      </w:r>
      <w:r w:rsidRPr="003171CD">
        <w:rPr>
          <w:lang w:val="en-US"/>
        </w:rPr>
        <w:t>“the</w:t>
      </w:r>
      <w:r w:rsidR="005A65CE" w:rsidRPr="003171CD">
        <w:rPr>
          <w:lang w:val="en-US"/>
        </w:rPr>
        <w:t xml:space="preserve"> of</w:t>
      </w:r>
      <w:r w:rsidRPr="003171CD">
        <w:rPr>
          <w:lang w:val="en-US"/>
        </w:rPr>
        <w:t xml:space="preserve">fer </w:t>
      </w:r>
      <w:r w:rsidR="00AC3EEA" w:rsidRPr="003171CD">
        <w:rPr>
          <w:lang w:val="en-US"/>
        </w:rPr>
        <w:t xml:space="preserve">to </w:t>
      </w:r>
      <w:r w:rsidR="005A65CE" w:rsidRPr="003171CD">
        <w:rPr>
          <w:lang w:val="en-US"/>
        </w:rPr>
        <w:t>res</w:t>
      </w:r>
      <w:r w:rsidR="00AC3EEA" w:rsidRPr="003171CD">
        <w:rPr>
          <w:lang w:val="en-US"/>
        </w:rPr>
        <w:t>tore the family fabric</w:t>
      </w:r>
      <w:r w:rsidR="005A65CE" w:rsidRPr="003171CD">
        <w:rPr>
          <w:lang w:val="en-US"/>
        </w:rPr>
        <w:t xml:space="preserve"> </w:t>
      </w:r>
      <w:r w:rsidRPr="003171CD">
        <w:rPr>
          <w:lang w:val="en-US"/>
        </w:rPr>
        <w:t xml:space="preserve">by providing </w:t>
      </w:r>
      <w:r w:rsidR="005A65CE" w:rsidRPr="003171CD">
        <w:rPr>
          <w:lang w:val="en-US"/>
        </w:rPr>
        <w:t xml:space="preserve">psychosocial </w:t>
      </w:r>
      <w:r w:rsidRPr="003171CD">
        <w:rPr>
          <w:lang w:val="en-US"/>
        </w:rPr>
        <w:t>treatment for</w:t>
      </w:r>
      <w:r w:rsidR="005A65CE" w:rsidRPr="003171CD">
        <w:rPr>
          <w:lang w:val="en-US"/>
        </w:rPr>
        <w:t xml:space="preserve"> José Agapito Ruano Torres and his family in </w:t>
      </w:r>
      <w:r w:rsidRPr="003171CD">
        <w:rPr>
          <w:lang w:val="en-US"/>
        </w:rPr>
        <w:t xml:space="preserve">State </w:t>
      </w:r>
      <w:r w:rsidR="00E01F2D" w:rsidRPr="003171CD">
        <w:rPr>
          <w:lang w:val="en-US"/>
        </w:rPr>
        <w:t>institutions […</w:t>
      </w:r>
      <w:r w:rsidR="005A65CE" w:rsidRPr="003171CD">
        <w:rPr>
          <w:lang w:val="en-US"/>
        </w:rPr>
        <w:t>] or</w:t>
      </w:r>
      <w:r w:rsidR="00E01F2D" w:rsidRPr="003171CD">
        <w:rPr>
          <w:lang w:val="en-US"/>
        </w:rPr>
        <w:t>,</w:t>
      </w:r>
      <w:r w:rsidR="005A65CE" w:rsidRPr="003171CD">
        <w:rPr>
          <w:lang w:val="en-US"/>
        </w:rPr>
        <w:t xml:space="preserve"> </w:t>
      </w:r>
      <w:r w:rsidR="00E9595A" w:rsidRPr="003171CD">
        <w:rPr>
          <w:lang w:val="en-US"/>
        </w:rPr>
        <w:t xml:space="preserve">if </w:t>
      </w:r>
      <w:r w:rsidR="00E01F2D" w:rsidRPr="003171CD">
        <w:rPr>
          <w:lang w:val="en-US"/>
        </w:rPr>
        <w:t xml:space="preserve">these </w:t>
      </w:r>
      <w:r w:rsidR="00E9595A" w:rsidRPr="003171CD">
        <w:rPr>
          <w:lang w:val="en-US"/>
        </w:rPr>
        <w:t>types</w:t>
      </w:r>
      <w:r w:rsidR="005A65CE" w:rsidRPr="003171CD">
        <w:rPr>
          <w:lang w:val="en-US"/>
        </w:rPr>
        <w:t xml:space="preserve"> of facilities </w:t>
      </w:r>
      <w:r w:rsidR="00E01F2D" w:rsidRPr="003171CD">
        <w:rPr>
          <w:lang w:val="en-US"/>
        </w:rPr>
        <w:t xml:space="preserve">are not available, </w:t>
      </w:r>
      <w:r w:rsidR="005A65CE" w:rsidRPr="003171CD">
        <w:rPr>
          <w:lang w:val="en-US"/>
        </w:rPr>
        <w:t>t</w:t>
      </w:r>
      <w:r w:rsidR="00AC3EEA" w:rsidRPr="003171CD">
        <w:rPr>
          <w:lang w:val="en-US"/>
        </w:rPr>
        <w:t xml:space="preserve">o fund </w:t>
      </w:r>
      <w:r w:rsidR="00E01F2D" w:rsidRPr="003171CD">
        <w:rPr>
          <w:lang w:val="en-US"/>
        </w:rPr>
        <w:t xml:space="preserve">their treatment in </w:t>
      </w:r>
      <w:r w:rsidRPr="003171CD">
        <w:rPr>
          <w:lang w:val="en-US"/>
        </w:rPr>
        <w:t xml:space="preserve">private centers </w:t>
      </w:r>
      <w:r w:rsidR="005A65CE" w:rsidRPr="003171CD">
        <w:rPr>
          <w:lang w:val="en-US"/>
        </w:rPr>
        <w:t>or cl</w:t>
      </w:r>
      <w:r w:rsidRPr="003171CD">
        <w:rPr>
          <w:lang w:val="en-US"/>
        </w:rPr>
        <w:t xml:space="preserve">inics </w:t>
      </w:r>
      <w:r w:rsidR="005A65CE" w:rsidRPr="003171CD">
        <w:rPr>
          <w:lang w:val="en-US"/>
        </w:rPr>
        <w:t xml:space="preserve">[,] </w:t>
      </w:r>
      <w:r w:rsidR="0008676B" w:rsidRPr="003171CD">
        <w:rPr>
          <w:lang w:val="en-US"/>
        </w:rPr>
        <w:t xml:space="preserve">in order to </w:t>
      </w:r>
      <w:r w:rsidR="00E9595A" w:rsidRPr="003171CD">
        <w:rPr>
          <w:lang w:val="en-US"/>
        </w:rPr>
        <w:t xml:space="preserve">make it </w:t>
      </w:r>
      <w:r w:rsidRPr="003171CD">
        <w:rPr>
          <w:lang w:val="en-US"/>
        </w:rPr>
        <w:t xml:space="preserve">effective </w:t>
      </w:r>
      <w:r w:rsidR="005A65CE" w:rsidRPr="003171CD">
        <w:rPr>
          <w:lang w:val="en-US"/>
        </w:rPr>
        <w:t xml:space="preserve">and </w:t>
      </w:r>
      <w:r w:rsidR="0008676B" w:rsidRPr="003171CD">
        <w:rPr>
          <w:lang w:val="en-US"/>
        </w:rPr>
        <w:t xml:space="preserve">ensure that reparation for the psychological effects </w:t>
      </w:r>
      <w:r w:rsidR="00AC3EEA" w:rsidRPr="003171CD">
        <w:rPr>
          <w:lang w:val="en-US"/>
        </w:rPr>
        <w:t>do</w:t>
      </w:r>
      <w:r w:rsidR="0008676B" w:rsidRPr="003171CD">
        <w:rPr>
          <w:lang w:val="en-US"/>
        </w:rPr>
        <w:t>es</w:t>
      </w:r>
      <w:r w:rsidR="00AC3EEA" w:rsidRPr="003171CD">
        <w:rPr>
          <w:lang w:val="en-US"/>
        </w:rPr>
        <w:t xml:space="preserve"> not become </w:t>
      </w:r>
      <w:r w:rsidR="00E9595A" w:rsidRPr="003171CD">
        <w:rPr>
          <w:lang w:val="en-US"/>
        </w:rPr>
        <w:t>illusory</w:t>
      </w:r>
      <w:r w:rsidRPr="003171CD">
        <w:rPr>
          <w:lang w:val="en-US"/>
        </w:rPr>
        <w:t>.”</w:t>
      </w:r>
      <w:r w:rsidR="005A65CE" w:rsidRPr="003171CD">
        <w:rPr>
          <w:lang w:val="en-US"/>
        </w:rPr>
        <w:t xml:space="preserve"> </w:t>
      </w:r>
      <w:r w:rsidRPr="003171CD">
        <w:rPr>
          <w:lang w:val="en-US"/>
        </w:rPr>
        <w:t>They added that “[s</w:t>
      </w:r>
      <w:r w:rsidR="005A65CE" w:rsidRPr="003171CD">
        <w:rPr>
          <w:lang w:val="en-US"/>
        </w:rPr>
        <w:t>]</w:t>
      </w:r>
      <w:r w:rsidRPr="003171CD">
        <w:rPr>
          <w:lang w:val="en-US"/>
        </w:rPr>
        <w:t>aid</w:t>
      </w:r>
      <w:r w:rsidR="005A65CE" w:rsidRPr="003171CD">
        <w:rPr>
          <w:lang w:val="en-US"/>
        </w:rPr>
        <w:t xml:space="preserve"> treatment </w:t>
      </w:r>
      <w:r w:rsidRPr="003171CD">
        <w:rPr>
          <w:lang w:val="en-US"/>
        </w:rPr>
        <w:t xml:space="preserve">should be provided free of charge </w:t>
      </w:r>
      <w:r w:rsidR="005A65CE" w:rsidRPr="003171CD">
        <w:rPr>
          <w:lang w:val="en-US"/>
        </w:rPr>
        <w:t>with adeq</w:t>
      </w:r>
      <w:r w:rsidR="00F47B6C" w:rsidRPr="003171CD">
        <w:rPr>
          <w:lang w:val="en-US"/>
        </w:rPr>
        <w:t xml:space="preserve">uate </w:t>
      </w:r>
      <w:r w:rsidR="004D7423" w:rsidRPr="003171CD">
        <w:rPr>
          <w:lang w:val="en-US"/>
        </w:rPr>
        <w:t xml:space="preserve">professional care from </w:t>
      </w:r>
      <w:r w:rsidR="00F47B6C" w:rsidRPr="003171CD">
        <w:rPr>
          <w:lang w:val="en-US"/>
        </w:rPr>
        <w:t>psy</w:t>
      </w:r>
      <w:r w:rsidR="005A65CE" w:rsidRPr="003171CD">
        <w:rPr>
          <w:lang w:val="en-US"/>
        </w:rPr>
        <w:t>c</w:t>
      </w:r>
      <w:r w:rsidR="00F47B6C" w:rsidRPr="003171CD">
        <w:rPr>
          <w:lang w:val="en-US"/>
        </w:rPr>
        <w:t>ho</w:t>
      </w:r>
      <w:r w:rsidR="005A65CE" w:rsidRPr="003171CD">
        <w:rPr>
          <w:lang w:val="en-US"/>
        </w:rPr>
        <w:t>log</w:t>
      </w:r>
      <w:r w:rsidR="00F47B6C" w:rsidRPr="003171CD">
        <w:rPr>
          <w:lang w:val="en-US"/>
        </w:rPr>
        <w:t xml:space="preserve">ists </w:t>
      </w:r>
      <w:r w:rsidR="005A65CE" w:rsidRPr="003171CD">
        <w:rPr>
          <w:lang w:val="en-US"/>
        </w:rPr>
        <w:t xml:space="preserve">and social </w:t>
      </w:r>
      <w:r w:rsidRPr="003171CD">
        <w:rPr>
          <w:lang w:val="en-US"/>
        </w:rPr>
        <w:t>workers</w:t>
      </w:r>
      <w:r w:rsidR="004D7423" w:rsidRPr="003171CD">
        <w:rPr>
          <w:lang w:val="en-US"/>
        </w:rPr>
        <w:t xml:space="preserve">, through </w:t>
      </w:r>
      <w:r w:rsidR="005A65CE" w:rsidRPr="003171CD">
        <w:rPr>
          <w:lang w:val="en-US"/>
        </w:rPr>
        <w:t xml:space="preserve">a treatment </w:t>
      </w:r>
      <w:r w:rsidR="00AC3EEA" w:rsidRPr="003171CD">
        <w:rPr>
          <w:lang w:val="en-US"/>
        </w:rPr>
        <w:t xml:space="preserve">program </w:t>
      </w:r>
      <w:r w:rsidR="005A65CE" w:rsidRPr="003171CD">
        <w:rPr>
          <w:lang w:val="en-US"/>
        </w:rPr>
        <w:t>c</w:t>
      </w:r>
      <w:r w:rsidR="00E9595A" w:rsidRPr="003171CD">
        <w:rPr>
          <w:lang w:val="en-US"/>
        </w:rPr>
        <w:t xml:space="preserve">onsistent with </w:t>
      </w:r>
      <w:r w:rsidR="005A65CE" w:rsidRPr="003171CD">
        <w:rPr>
          <w:lang w:val="en-US"/>
        </w:rPr>
        <w:t>the p</w:t>
      </w:r>
      <w:r w:rsidR="00E9595A" w:rsidRPr="003171CD">
        <w:rPr>
          <w:lang w:val="en-US"/>
        </w:rPr>
        <w:t xml:space="preserve">rofile </w:t>
      </w:r>
      <w:r w:rsidR="005A65CE" w:rsidRPr="003171CD">
        <w:rPr>
          <w:lang w:val="en-US"/>
        </w:rPr>
        <w:t xml:space="preserve">and </w:t>
      </w:r>
      <w:r w:rsidR="00561822" w:rsidRPr="003171CD">
        <w:rPr>
          <w:lang w:val="en-US"/>
        </w:rPr>
        <w:t>characteristics</w:t>
      </w:r>
      <w:r w:rsidR="005A65CE" w:rsidRPr="003171CD">
        <w:rPr>
          <w:lang w:val="en-US"/>
        </w:rPr>
        <w:t xml:space="preserve"> </w:t>
      </w:r>
      <w:r w:rsidR="00E9595A" w:rsidRPr="003171CD">
        <w:rPr>
          <w:lang w:val="en-US"/>
        </w:rPr>
        <w:t xml:space="preserve">of </w:t>
      </w:r>
      <w:r w:rsidR="005A65CE" w:rsidRPr="003171CD">
        <w:rPr>
          <w:lang w:val="en-US"/>
        </w:rPr>
        <w:t xml:space="preserve">José </w:t>
      </w:r>
      <w:r w:rsidR="00E9595A" w:rsidRPr="003171CD">
        <w:rPr>
          <w:lang w:val="en-US"/>
        </w:rPr>
        <w:t xml:space="preserve">Agapito Ruano Torres and </w:t>
      </w:r>
      <w:r w:rsidR="0008676B" w:rsidRPr="003171CD">
        <w:rPr>
          <w:lang w:val="en-US"/>
        </w:rPr>
        <w:t xml:space="preserve">his </w:t>
      </w:r>
      <w:r w:rsidR="00E9595A" w:rsidRPr="003171CD">
        <w:rPr>
          <w:lang w:val="en-US"/>
        </w:rPr>
        <w:t>family.”</w:t>
      </w:r>
      <w:r w:rsidR="005A65CE" w:rsidRPr="003171CD">
        <w:rPr>
          <w:lang w:val="en-US"/>
        </w:rPr>
        <w:t xml:space="preserve"> The </w:t>
      </w:r>
      <w:r w:rsidR="005A65CE" w:rsidRPr="003171CD">
        <w:rPr>
          <w:b/>
          <w:i/>
          <w:lang w:val="en-US"/>
        </w:rPr>
        <w:t>Commission</w:t>
      </w:r>
      <w:r w:rsidR="005A65CE" w:rsidRPr="003171CD">
        <w:rPr>
          <w:lang w:val="en-US"/>
        </w:rPr>
        <w:t xml:space="preserve"> </w:t>
      </w:r>
      <w:r w:rsidR="00E9595A" w:rsidRPr="003171CD">
        <w:rPr>
          <w:lang w:val="en-US"/>
        </w:rPr>
        <w:t xml:space="preserve">did not comment </w:t>
      </w:r>
      <w:r w:rsidR="00C967D6" w:rsidRPr="003171CD">
        <w:rPr>
          <w:lang w:val="en-US"/>
        </w:rPr>
        <w:t xml:space="preserve">on </w:t>
      </w:r>
      <w:r w:rsidR="00E9595A" w:rsidRPr="003171CD">
        <w:rPr>
          <w:lang w:val="en-US"/>
        </w:rPr>
        <w:t xml:space="preserve">this </w:t>
      </w:r>
      <w:r w:rsidR="00C967D6" w:rsidRPr="003171CD">
        <w:rPr>
          <w:lang w:val="en-US"/>
        </w:rPr>
        <w:t>matter</w:t>
      </w:r>
      <w:r w:rsidR="005A65CE" w:rsidRPr="003171CD">
        <w:rPr>
          <w:lang w:val="en-US"/>
        </w:rPr>
        <w:t>.</w:t>
      </w:r>
    </w:p>
    <w:p w14:paraId="63DA74CD" w14:textId="77777777" w:rsidR="005A65CE" w:rsidRPr="003171CD" w:rsidRDefault="005A65CE" w:rsidP="005A65CE">
      <w:pPr>
        <w:jc w:val="both"/>
        <w:rPr>
          <w:lang w:val="en-US"/>
        </w:rPr>
      </w:pPr>
    </w:p>
    <w:p w14:paraId="4EBFC7B2" w14:textId="77777777" w:rsidR="005A65CE" w:rsidRPr="003171CD" w:rsidRDefault="005A65CE" w:rsidP="005A65CE">
      <w:pPr>
        <w:ind w:firstLine="720"/>
        <w:jc w:val="both"/>
        <w:rPr>
          <w:i/>
          <w:lang w:val="en-US"/>
        </w:rPr>
      </w:pPr>
      <w:r w:rsidRPr="003171CD">
        <w:rPr>
          <w:i/>
          <w:lang w:val="en-US"/>
        </w:rPr>
        <w:t>Considerations of the Court</w:t>
      </w:r>
    </w:p>
    <w:p w14:paraId="2E5CCEBB" w14:textId="77777777" w:rsidR="005A65CE" w:rsidRPr="003171CD" w:rsidRDefault="005A65CE" w:rsidP="005A65CE">
      <w:pPr>
        <w:jc w:val="both"/>
        <w:rPr>
          <w:i/>
          <w:lang w:val="en-US"/>
        </w:rPr>
      </w:pPr>
    </w:p>
    <w:p w14:paraId="3973B852"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Ha</w:t>
      </w:r>
      <w:r w:rsidR="00FB7533" w:rsidRPr="003171CD">
        <w:rPr>
          <w:lang w:val="en-US"/>
        </w:rPr>
        <w:t xml:space="preserve">ving </w:t>
      </w:r>
      <w:r w:rsidR="0008676B" w:rsidRPr="003171CD">
        <w:rPr>
          <w:lang w:val="en-US"/>
        </w:rPr>
        <w:t xml:space="preserve">confirmed </w:t>
      </w:r>
      <w:r w:rsidRPr="003171CD">
        <w:rPr>
          <w:lang w:val="en-US"/>
        </w:rPr>
        <w:t xml:space="preserve">the </w:t>
      </w:r>
      <w:r w:rsidR="008149CC" w:rsidRPr="003171CD">
        <w:rPr>
          <w:lang w:val="en-US"/>
        </w:rPr>
        <w:t xml:space="preserve">impact </w:t>
      </w:r>
      <w:r w:rsidR="00BA3733" w:rsidRPr="003171CD">
        <w:rPr>
          <w:lang w:val="en-US"/>
        </w:rPr>
        <w:t>caused by the facts of this case (</w:t>
      </w:r>
      <w:r w:rsidR="00BA3733" w:rsidRPr="003171CD">
        <w:rPr>
          <w:i/>
          <w:lang w:val="en-US"/>
        </w:rPr>
        <w:t>supra</w:t>
      </w:r>
      <w:r w:rsidR="00BA3733" w:rsidRPr="003171CD">
        <w:rPr>
          <w:lang w:val="en-US"/>
        </w:rPr>
        <w:t xml:space="preserve"> Chapter VII) </w:t>
      </w:r>
      <w:r w:rsidR="000C07D1" w:rsidRPr="003171CD">
        <w:rPr>
          <w:lang w:val="en-US"/>
        </w:rPr>
        <w:t xml:space="preserve">on the </w:t>
      </w:r>
      <w:r w:rsidRPr="003171CD">
        <w:rPr>
          <w:lang w:val="en-US"/>
        </w:rPr>
        <w:t xml:space="preserve">personal integrity </w:t>
      </w:r>
      <w:r w:rsidR="000C07D1" w:rsidRPr="003171CD">
        <w:rPr>
          <w:lang w:val="en-US"/>
        </w:rPr>
        <w:t xml:space="preserve">of </w:t>
      </w:r>
      <w:r w:rsidRPr="003171CD">
        <w:rPr>
          <w:lang w:val="en-US"/>
        </w:rPr>
        <w:t xml:space="preserve">José Agapito Ruano Torres and </w:t>
      </w:r>
      <w:r w:rsidR="00FB7533" w:rsidRPr="003171CD">
        <w:rPr>
          <w:lang w:val="en-US"/>
        </w:rPr>
        <w:t xml:space="preserve">his </w:t>
      </w:r>
      <w:r w:rsidR="009B2656" w:rsidRPr="003171CD">
        <w:rPr>
          <w:lang w:val="en-US"/>
        </w:rPr>
        <w:t>next of kin</w:t>
      </w:r>
      <w:r w:rsidR="000C07D1" w:rsidRPr="003171CD">
        <w:rPr>
          <w:lang w:val="en-US"/>
        </w:rPr>
        <w:t>,</w:t>
      </w:r>
      <w:r w:rsidRPr="003171CD">
        <w:rPr>
          <w:lang w:val="en-US"/>
        </w:rPr>
        <w:t xml:space="preserve"> María Maribel Guevara </w:t>
      </w:r>
      <w:r w:rsidR="008149CC" w:rsidRPr="003171CD">
        <w:rPr>
          <w:lang w:val="en-US"/>
        </w:rPr>
        <w:t xml:space="preserve">de </w:t>
      </w:r>
      <w:r w:rsidRPr="003171CD">
        <w:rPr>
          <w:lang w:val="en-US"/>
        </w:rPr>
        <w:t>Ruano, Oscar Manuel Ruano Guevara, Keily Lisbeth Ruano Guevara and Pedro Torres Hércules</w:t>
      </w:r>
      <w:r w:rsidR="000C07D1" w:rsidRPr="003171CD">
        <w:rPr>
          <w:lang w:val="en-US"/>
        </w:rPr>
        <w:t xml:space="preserve">, </w:t>
      </w:r>
      <w:r w:rsidR="008149CC" w:rsidRPr="003171CD">
        <w:rPr>
          <w:lang w:val="en-US"/>
        </w:rPr>
        <w:t xml:space="preserve">the Court, </w:t>
      </w:r>
      <w:r w:rsidR="000A776C" w:rsidRPr="003171CD">
        <w:rPr>
          <w:lang w:val="en-US"/>
        </w:rPr>
        <w:t xml:space="preserve">as </w:t>
      </w:r>
      <w:r w:rsidR="00E9595A" w:rsidRPr="003171CD">
        <w:rPr>
          <w:lang w:val="en-US"/>
        </w:rPr>
        <w:t xml:space="preserve">it has done in </w:t>
      </w:r>
      <w:r w:rsidRPr="003171CD">
        <w:rPr>
          <w:lang w:val="en-US"/>
        </w:rPr>
        <w:t>other cases</w:t>
      </w:r>
      <w:r w:rsidR="00E9595A" w:rsidRPr="003171CD">
        <w:rPr>
          <w:lang w:val="en-US"/>
        </w:rPr>
        <w:t>,</w:t>
      </w:r>
      <w:r w:rsidRPr="003171CD">
        <w:rPr>
          <w:rStyle w:val="Refdenotaalpie"/>
          <w:lang w:val="en-US"/>
        </w:rPr>
        <w:footnoteReference w:id="288"/>
      </w:r>
      <w:r w:rsidRPr="003171CD">
        <w:rPr>
          <w:lang w:val="en-US"/>
        </w:rPr>
        <w:t xml:space="preserve"> </w:t>
      </w:r>
      <w:r w:rsidR="00BA3733" w:rsidRPr="003171CD">
        <w:rPr>
          <w:lang w:val="en-US"/>
        </w:rPr>
        <w:t xml:space="preserve">considers it </w:t>
      </w:r>
      <w:r w:rsidRPr="003171CD">
        <w:rPr>
          <w:lang w:val="en-US"/>
        </w:rPr>
        <w:t xml:space="preserve">pertinent </w:t>
      </w:r>
      <w:r w:rsidR="00466EBF" w:rsidRPr="003171CD">
        <w:rPr>
          <w:lang w:val="en-US"/>
        </w:rPr>
        <w:t xml:space="preserve">to order a </w:t>
      </w:r>
      <w:r w:rsidRPr="003171CD">
        <w:rPr>
          <w:lang w:val="en-US"/>
        </w:rPr>
        <w:t xml:space="preserve">measure of reparation </w:t>
      </w:r>
      <w:r w:rsidR="00BA3733" w:rsidRPr="003171CD">
        <w:rPr>
          <w:lang w:val="en-US"/>
        </w:rPr>
        <w:t xml:space="preserve">for </w:t>
      </w:r>
      <w:r w:rsidRPr="003171CD">
        <w:rPr>
          <w:lang w:val="en-US"/>
        </w:rPr>
        <w:t xml:space="preserve">all </w:t>
      </w:r>
      <w:r w:rsidR="000C07D1" w:rsidRPr="003171CD">
        <w:rPr>
          <w:lang w:val="en-US"/>
        </w:rPr>
        <w:t>of the</w:t>
      </w:r>
      <w:r w:rsidR="008149CC" w:rsidRPr="003171CD">
        <w:rPr>
          <w:lang w:val="en-US"/>
        </w:rPr>
        <w:t>se individuals</w:t>
      </w:r>
      <w:r w:rsidR="00BA3733" w:rsidRPr="003171CD">
        <w:rPr>
          <w:lang w:val="en-US"/>
        </w:rPr>
        <w:t xml:space="preserve">, consisting of </w:t>
      </w:r>
      <w:r w:rsidRPr="003171CD">
        <w:rPr>
          <w:lang w:val="en-US"/>
        </w:rPr>
        <w:t>a</w:t>
      </w:r>
      <w:r w:rsidR="00E9595A" w:rsidRPr="003171CD">
        <w:rPr>
          <w:lang w:val="en-US"/>
        </w:rPr>
        <w:t xml:space="preserve">ppropriate </w:t>
      </w:r>
      <w:r w:rsidR="00B41832" w:rsidRPr="003171CD">
        <w:rPr>
          <w:lang w:val="en-US"/>
        </w:rPr>
        <w:t xml:space="preserve">treatment </w:t>
      </w:r>
      <w:r w:rsidR="000C07D1" w:rsidRPr="003171CD">
        <w:rPr>
          <w:lang w:val="en-US"/>
        </w:rPr>
        <w:t xml:space="preserve">for </w:t>
      </w:r>
      <w:r w:rsidRPr="003171CD">
        <w:rPr>
          <w:lang w:val="en-US"/>
        </w:rPr>
        <w:t>the</w:t>
      </w:r>
      <w:r w:rsidR="00BA3733" w:rsidRPr="003171CD">
        <w:rPr>
          <w:lang w:val="en-US"/>
        </w:rPr>
        <w:t>ir</w:t>
      </w:r>
      <w:r w:rsidRPr="003171CD">
        <w:rPr>
          <w:lang w:val="en-US"/>
        </w:rPr>
        <w:t xml:space="preserve"> </w:t>
      </w:r>
      <w:r w:rsidR="00E9595A" w:rsidRPr="003171CD">
        <w:rPr>
          <w:lang w:val="en-US"/>
        </w:rPr>
        <w:t xml:space="preserve">psychological suffering </w:t>
      </w:r>
      <w:r w:rsidR="00BA3733" w:rsidRPr="003171CD">
        <w:rPr>
          <w:lang w:val="en-US"/>
        </w:rPr>
        <w:t xml:space="preserve">as a result of </w:t>
      </w:r>
      <w:r w:rsidRPr="003171CD">
        <w:rPr>
          <w:lang w:val="en-US"/>
        </w:rPr>
        <w:t>the violations established in th</w:t>
      </w:r>
      <w:r w:rsidR="00B41832" w:rsidRPr="003171CD">
        <w:rPr>
          <w:lang w:val="en-US"/>
        </w:rPr>
        <w:t xml:space="preserve">is </w:t>
      </w:r>
      <w:r w:rsidRPr="003171CD">
        <w:rPr>
          <w:lang w:val="en-US"/>
        </w:rPr>
        <w:t xml:space="preserve">Judgment. </w:t>
      </w:r>
      <w:r w:rsidR="00E9595A" w:rsidRPr="003171CD">
        <w:rPr>
          <w:lang w:val="en-US"/>
        </w:rPr>
        <w:t>Therefore</w:t>
      </w:r>
      <w:r w:rsidRPr="003171CD">
        <w:rPr>
          <w:lang w:val="en-US"/>
        </w:rPr>
        <w:t xml:space="preserve">, the Court </w:t>
      </w:r>
      <w:r w:rsidR="00466EBF" w:rsidRPr="003171CD">
        <w:rPr>
          <w:lang w:val="en-US"/>
        </w:rPr>
        <w:t>orders the State to provide, free of charge</w:t>
      </w:r>
      <w:r w:rsidRPr="003171CD">
        <w:rPr>
          <w:lang w:val="en-US"/>
        </w:rPr>
        <w:t xml:space="preserve">, through </w:t>
      </w:r>
      <w:r w:rsidR="00E9595A" w:rsidRPr="003171CD">
        <w:rPr>
          <w:lang w:val="en-US"/>
        </w:rPr>
        <w:t xml:space="preserve">its specialized health care </w:t>
      </w:r>
      <w:r w:rsidRPr="003171CD">
        <w:rPr>
          <w:lang w:val="en-US"/>
        </w:rPr>
        <w:t xml:space="preserve">institutions, </w:t>
      </w:r>
      <w:r w:rsidR="00466EBF" w:rsidRPr="003171CD">
        <w:rPr>
          <w:lang w:val="en-US"/>
        </w:rPr>
        <w:t>immediate</w:t>
      </w:r>
      <w:r w:rsidRPr="003171CD">
        <w:rPr>
          <w:lang w:val="en-US"/>
        </w:rPr>
        <w:t xml:space="preserve">, adequate and </w:t>
      </w:r>
      <w:r w:rsidR="00EA0B61" w:rsidRPr="003171CD">
        <w:rPr>
          <w:lang w:val="en-US"/>
        </w:rPr>
        <w:t>effective</w:t>
      </w:r>
      <w:r w:rsidRPr="003171CD">
        <w:rPr>
          <w:lang w:val="en-US"/>
        </w:rPr>
        <w:t xml:space="preserve"> psychological and/or psychiatric </w:t>
      </w:r>
      <w:r w:rsidR="00E9595A" w:rsidRPr="003171CD">
        <w:rPr>
          <w:lang w:val="en-US"/>
        </w:rPr>
        <w:t xml:space="preserve">treatment, if they </w:t>
      </w:r>
      <w:r w:rsidR="00BA3733" w:rsidRPr="003171CD">
        <w:rPr>
          <w:lang w:val="en-US"/>
        </w:rPr>
        <w:t xml:space="preserve">so </w:t>
      </w:r>
      <w:r w:rsidR="00E9595A" w:rsidRPr="003171CD">
        <w:rPr>
          <w:lang w:val="en-US"/>
        </w:rPr>
        <w:t xml:space="preserve">request it, </w:t>
      </w:r>
      <w:r w:rsidR="008149CC" w:rsidRPr="003171CD">
        <w:rPr>
          <w:lang w:val="en-US"/>
        </w:rPr>
        <w:t xml:space="preserve">and </w:t>
      </w:r>
      <w:r w:rsidR="00E9595A" w:rsidRPr="003171CD">
        <w:rPr>
          <w:lang w:val="en-US"/>
        </w:rPr>
        <w:t>with their informed consent</w:t>
      </w:r>
      <w:r w:rsidRPr="003171CD">
        <w:rPr>
          <w:lang w:val="en-US"/>
        </w:rPr>
        <w:t xml:space="preserve">, including the </w:t>
      </w:r>
      <w:r w:rsidR="00E9595A" w:rsidRPr="003171CD">
        <w:rPr>
          <w:lang w:val="en-US"/>
        </w:rPr>
        <w:t xml:space="preserve">free supply of any </w:t>
      </w:r>
      <w:r w:rsidRPr="003171CD">
        <w:rPr>
          <w:lang w:val="en-US"/>
        </w:rPr>
        <w:t>medica</w:t>
      </w:r>
      <w:r w:rsidR="00E9595A" w:rsidRPr="003171CD">
        <w:rPr>
          <w:lang w:val="en-US"/>
        </w:rPr>
        <w:t xml:space="preserve">tions they may </w:t>
      </w:r>
      <w:r w:rsidRPr="003171CD">
        <w:rPr>
          <w:lang w:val="en-US"/>
        </w:rPr>
        <w:t xml:space="preserve">eventually </w:t>
      </w:r>
      <w:r w:rsidR="00E9595A" w:rsidRPr="003171CD">
        <w:rPr>
          <w:lang w:val="en-US"/>
        </w:rPr>
        <w:t>requi</w:t>
      </w:r>
      <w:r w:rsidRPr="003171CD">
        <w:rPr>
          <w:lang w:val="en-US"/>
        </w:rPr>
        <w:t>r</w:t>
      </w:r>
      <w:r w:rsidR="00E9595A" w:rsidRPr="003171CD">
        <w:rPr>
          <w:lang w:val="en-US"/>
        </w:rPr>
        <w:t>e</w:t>
      </w:r>
      <w:r w:rsidRPr="003171CD">
        <w:rPr>
          <w:lang w:val="en-US"/>
        </w:rPr>
        <w:t xml:space="preserve">. </w:t>
      </w:r>
      <w:r w:rsidR="0053214A" w:rsidRPr="003171CD">
        <w:rPr>
          <w:lang w:val="en-US"/>
        </w:rPr>
        <w:t>T</w:t>
      </w:r>
      <w:r w:rsidRPr="003171CD">
        <w:rPr>
          <w:lang w:val="en-US"/>
        </w:rPr>
        <w:t xml:space="preserve">he treatment </w:t>
      </w:r>
      <w:r w:rsidR="00E9595A" w:rsidRPr="003171CD">
        <w:rPr>
          <w:lang w:val="en-US"/>
        </w:rPr>
        <w:t>must be provided</w:t>
      </w:r>
      <w:r w:rsidRPr="003171CD">
        <w:rPr>
          <w:lang w:val="en-US"/>
        </w:rPr>
        <w:t xml:space="preserve">, </w:t>
      </w:r>
      <w:r w:rsidR="00E9595A" w:rsidRPr="003171CD">
        <w:rPr>
          <w:lang w:val="en-US"/>
        </w:rPr>
        <w:t xml:space="preserve">to the extent possible, </w:t>
      </w:r>
      <w:r w:rsidR="008149CC" w:rsidRPr="003171CD">
        <w:rPr>
          <w:lang w:val="en-US"/>
        </w:rPr>
        <w:t>at</w:t>
      </w:r>
      <w:r w:rsidRPr="003171CD">
        <w:rPr>
          <w:lang w:val="en-US"/>
        </w:rPr>
        <w:t xml:space="preserve"> the cent</w:t>
      </w:r>
      <w:r w:rsidR="00E9595A" w:rsidRPr="003171CD">
        <w:rPr>
          <w:lang w:val="en-US"/>
        </w:rPr>
        <w:t>er nearest to their</w:t>
      </w:r>
      <w:r w:rsidRPr="003171CD">
        <w:rPr>
          <w:lang w:val="en-US"/>
        </w:rPr>
        <w:t xml:space="preserve"> </w:t>
      </w:r>
      <w:r w:rsidR="00466EBF" w:rsidRPr="003171CD">
        <w:rPr>
          <w:lang w:val="en-US"/>
        </w:rPr>
        <w:t xml:space="preserve">places </w:t>
      </w:r>
      <w:r w:rsidR="00E9595A" w:rsidRPr="003171CD">
        <w:rPr>
          <w:lang w:val="en-US"/>
        </w:rPr>
        <w:t>of residence</w:t>
      </w:r>
      <w:r w:rsidRPr="003171CD">
        <w:rPr>
          <w:lang w:val="en-US"/>
        </w:rPr>
        <w:t xml:space="preserve"> in El Salvador </w:t>
      </w:r>
      <w:r w:rsidR="00E9595A" w:rsidRPr="003171CD">
        <w:rPr>
          <w:lang w:val="en-US"/>
        </w:rPr>
        <w:t xml:space="preserve">for as long as may be </w:t>
      </w:r>
      <w:r w:rsidRPr="003171CD">
        <w:rPr>
          <w:lang w:val="en-US"/>
        </w:rPr>
        <w:t>necessary.</w:t>
      </w:r>
    </w:p>
    <w:p w14:paraId="2772FA35" w14:textId="77777777" w:rsidR="005A65CE" w:rsidRPr="003171CD" w:rsidRDefault="005A65CE" w:rsidP="005A65CE">
      <w:pPr>
        <w:contextualSpacing/>
        <w:jc w:val="both"/>
        <w:rPr>
          <w:lang w:val="en-US"/>
        </w:rPr>
      </w:pPr>
    </w:p>
    <w:p w14:paraId="00F5839F" w14:textId="77777777" w:rsidR="005A65CE" w:rsidRPr="003171CD" w:rsidRDefault="0053214A" w:rsidP="005A65CE">
      <w:pPr>
        <w:numPr>
          <w:ilvl w:val="0"/>
          <w:numId w:val="1"/>
        </w:numPr>
        <w:autoSpaceDE/>
        <w:autoSpaceDN/>
        <w:adjustRightInd/>
        <w:contextualSpacing/>
        <w:jc w:val="both"/>
        <w:rPr>
          <w:lang w:val="en-US"/>
        </w:rPr>
      </w:pPr>
      <w:r w:rsidRPr="003171CD">
        <w:rPr>
          <w:lang w:val="en-US"/>
        </w:rPr>
        <w:t>The psychological treatment provided must take into account the particular circumstances and needs of each</w:t>
      </w:r>
      <w:r w:rsidR="00E9595A" w:rsidRPr="003171CD">
        <w:rPr>
          <w:lang w:val="en-US"/>
        </w:rPr>
        <w:t xml:space="preserve"> </w:t>
      </w:r>
      <w:r w:rsidR="005A65CE" w:rsidRPr="003171CD">
        <w:rPr>
          <w:lang w:val="en-US"/>
        </w:rPr>
        <w:t>victim</w:t>
      </w:r>
      <w:r w:rsidRPr="003171CD">
        <w:rPr>
          <w:lang w:val="en-US"/>
        </w:rPr>
        <w:t>,</w:t>
      </w:r>
      <w:r w:rsidR="00AC3EEA" w:rsidRPr="003171CD">
        <w:rPr>
          <w:lang w:val="en-US"/>
        </w:rPr>
        <w:t xml:space="preserve"> </w:t>
      </w:r>
      <w:r w:rsidR="00E9595A" w:rsidRPr="003171CD">
        <w:rPr>
          <w:lang w:val="en-US"/>
        </w:rPr>
        <w:t xml:space="preserve">so </w:t>
      </w:r>
      <w:r w:rsidR="005A65CE" w:rsidRPr="003171CD">
        <w:rPr>
          <w:lang w:val="en-US"/>
        </w:rPr>
        <w:t xml:space="preserve">that </w:t>
      </w:r>
      <w:r w:rsidR="00E9595A" w:rsidRPr="003171CD">
        <w:rPr>
          <w:lang w:val="en-US"/>
        </w:rPr>
        <w:t xml:space="preserve">they </w:t>
      </w:r>
      <w:r w:rsidRPr="003171CD">
        <w:rPr>
          <w:lang w:val="en-US"/>
        </w:rPr>
        <w:t xml:space="preserve">can be provided with </w:t>
      </w:r>
      <w:r w:rsidR="00E9595A" w:rsidRPr="003171CD">
        <w:rPr>
          <w:lang w:val="en-US"/>
        </w:rPr>
        <w:t>collective</w:t>
      </w:r>
      <w:r w:rsidR="005A65CE" w:rsidRPr="003171CD">
        <w:rPr>
          <w:lang w:val="en-US"/>
        </w:rPr>
        <w:t xml:space="preserve">, </w:t>
      </w:r>
      <w:r w:rsidR="00E9595A" w:rsidRPr="003171CD">
        <w:rPr>
          <w:lang w:val="en-US"/>
        </w:rPr>
        <w:t xml:space="preserve">family </w:t>
      </w:r>
      <w:r w:rsidRPr="003171CD">
        <w:rPr>
          <w:lang w:val="en-US"/>
        </w:rPr>
        <w:t xml:space="preserve">or </w:t>
      </w:r>
      <w:r w:rsidR="00E9595A" w:rsidRPr="003171CD">
        <w:rPr>
          <w:lang w:val="en-US"/>
        </w:rPr>
        <w:t>individual treatment</w:t>
      </w:r>
      <w:r w:rsidR="005A65CE" w:rsidRPr="003171CD">
        <w:rPr>
          <w:lang w:val="en-US"/>
        </w:rPr>
        <w:t xml:space="preserve">, </w:t>
      </w:r>
      <w:r w:rsidR="00AC3EEA" w:rsidRPr="003171CD">
        <w:rPr>
          <w:lang w:val="en-US"/>
        </w:rPr>
        <w:t xml:space="preserve">as agreed </w:t>
      </w:r>
      <w:r w:rsidR="005A65CE" w:rsidRPr="003171CD">
        <w:rPr>
          <w:lang w:val="en-US"/>
        </w:rPr>
        <w:t xml:space="preserve">with </w:t>
      </w:r>
      <w:r w:rsidR="00E9595A" w:rsidRPr="003171CD">
        <w:rPr>
          <w:lang w:val="en-US"/>
        </w:rPr>
        <w:t xml:space="preserve">each </w:t>
      </w:r>
      <w:r w:rsidRPr="003171CD">
        <w:rPr>
          <w:lang w:val="en-US"/>
        </w:rPr>
        <w:t xml:space="preserve">of them </w:t>
      </w:r>
      <w:r w:rsidR="005A65CE" w:rsidRPr="003171CD">
        <w:rPr>
          <w:lang w:val="en-US"/>
        </w:rPr>
        <w:t xml:space="preserve">and </w:t>
      </w:r>
      <w:r w:rsidRPr="003171CD">
        <w:rPr>
          <w:lang w:val="en-US"/>
        </w:rPr>
        <w:t xml:space="preserve">following </w:t>
      </w:r>
      <w:r w:rsidR="00E9595A" w:rsidRPr="003171CD">
        <w:rPr>
          <w:lang w:val="en-US"/>
        </w:rPr>
        <w:t xml:space="preserve">an </w:t>
      </w:r>
      <w:r w:rsidR="005A65CE" w:rsidRPr="003171CD">
        <w:rPr>
          <w:lang w:val="en-US"/>
        </w:rPr>
        <w:t>individual</w:t>
      </w:r>
      <w:r w:rsidR="00E9595A" w:rsidRPr="003171CD">
        <w:rPr>
          <w:lang w:val="en-US"/>
        </w:rPr>
        <w:t xml:space="preserve"> </w:t>
      </w:r>
      <w:r w:rsidRPr="003171CD">
        <w:rPr>
          <w:lang w:val="en-US"/>
        </w:rPr>
        <w:t>assessment</w:t>
      </w:r>
      <w:r w:rsidR="00E9595A" w:rsidRPr="003171CD">
        <w:rPr>
          <w:lang w:val="en-US"/>
        </w:rPr>
        <w:t>.</w:t>
      </w:r>
      <w:r w:rsidR="005A65CE" w:rsidRPr="003171CD">
        <w:rPr>
          <w:vertAlign w:val="superscript"/>
          <w:lang w:val="en-US"/>
        </w:rPr>
        <w:footnoteReference w:id="289"/>
      </w:r>
      <w:r w:rsidR="00E9595A" w:rsidRPr="003171CD">
        <w:rPr>
          <w:lang w:val="en-US"/>
        </w:rPr>
        <w:t xml:space="preserve"> T</w:t>
      </w:r>
      <w:r w:rsidR="005A65CE" w:rsidRPr="003171CD">
        <w:rPr>
          <w:lang w:val="en-US"/>
        </w:rPr>
        <w:t xml:space="preserve">he victims </w:t>
      </w:r>
      <w:r w:rsidRPr="003171CD">
        <w:rPr>
          <w:lang w:val="en-US"/>
        </w:rPr>
        <w:t xml:space="preserve">who </w:t>
      </w:r>
      <w:r w:rsidR="008624A1" w:rsidRPr="003171CD">
        <w:rPr>
          <w:lang w:val="en-US"/>
        </w:rPr>
        <w:t xml:space="preserve">request this </w:t>
      </w:r>
      <w:r w:rsidR="005A65CE" w:rsidRPr="003171CD">
        <w:rPr>
          <w:lang w:val="en-US"/>
        </w:rPr>
        <w:t xml:space="preserve">measure of reparation, or </w:t>
      </w:r>
      <w:r w:rsidR="00E9595A" w:rsidRPr="003171CD">
        <w:rPr>
          <w:lang w:val="en-US"/>
        </w:rPr>
        <w:t xml:space="preserve">their legal </w:t>
      </w:r>
      <w:r w:rsidR="005A65CE" w:rsidRPr="003171CD">
        <w:rPr>
          <w:lang w:val="en-US"/>
        </w:rPr>
        <w:t xml:space="preserve">representatives, </w:t>
      </w:r>
      <w:r w:rsidR="008624A1" w:rsidRPr="003171CD">
        <w:rPr>
          <w:lang w:val="en-US"/>
        </w:rPr>
        <w:t xml:space="preserve">have </w:t>
      </w:r>
      <w:r w:rsidR="005A65CE" w:rsidRPr="003171CD">
        <w:rPr>
          <w:lang w:val="en-US"/>
        </w:rPr>
        <w:t>a p</w:t>
      </w:r>
      <w:r w:rsidR="008624A1" w:rsidRPr="003171CD">
        <w:rPr>
          <w:lang w:val="en-US"/>
        </w:rPr>
        <w:t xml:space="preserve">eriod </w:t>
      </w:r>
      <w:r w:rsidR="005A65CE" w:rsidRPr="003171CD">
        <w:rPr>
          <w:lang w:val="en-US"/>
        </w:rPr>
        <w:t>of s</w:t>
      </w:r>
      <w:r w:rsidR="00E9595A" w:rsidRPr="003171CD">
        <w:rPr>
          <w:lang w:val="en-US"/>
        </w:rPr>
        <w:t xml:space="preserve">ix months from </w:t>
      </w:r>
      <w:r w:rsidRPr="003171CD">
        <w:rPr>
          <w:lang w:val="en-US"/>
        </w:rPr>
        <w:t>notification of this Judgment</w:t>
      </w:r>
      <w:r w:rsidR="005A65CE" w:rsidRPr="003171CD">
        <w:rPr>
          <w:lang w:val="en-US"/>
        </w:rPr>
        <w:t xml:space="preserve"> </w:t>
      </w:r>
      <w:r w:rsidR="00E9595A" w:rsidRPr="003171CD">
        <w:rPr>
          <w:lang w:val="en-US"/>
        </w:rPr>
        <w:t xml:space="preserve">to </w:t>
      </w:r>
      <w:r w:rsidRPr="003171CD">
        <w:rPr>
          <w:lang w:val="en-US"/>
        </w:rPr>
        <w:t xml:space="preserve">inform </w:t>
      </w:r>
      <w:r w:rsidR="005A65CE" w:rsidRPr="003171CD">
        <w:rPr>
          <w:lang w:val="en-US"/>
        </w:rPr>
        <w:t xml:space="preserve">the State </w:t>
      </w:r>
      <w:r w:rsidR="00AC3EEA" w:rsidRPr="003171CD">
        <w:rPr>
          <w:lang w:val="en-US"/>
        </w:rPr>
        <w:t xml:space="preserve">of their </w:t>
      </w:r>
      <w:r w:rsidR="005A65CE" w:rsidRPr="003171CD">
        <w:rPr>
          <w:lang w:val="en-US"/>
        </w:rPr>
        <w:t xml:space="preserve">intention </w:t>
      </w:r>
      <w:r w:rsidR="00E9595A" w:rsidRPr="003171CD">
        <w:rPr>
          <w:lang w:val="en-US"/>
        </w:rPr>
        <w:t xml:space="preserve">to receive </w:t>
      </w:r>
      <w:r w:rsidR="005A65CE" w:rsidRPr="003171CD">
        <w:rPr>
          <w:lang w:val="en-US"/>
        </w:rPr>
        <w:t>psychological and/or psychiatric</w:t>
      </w:r>
      <w:r w:rsidR="00E9595A" w:rsidRPr="003171CD">
        <w:rPr>
          <w:lang w:val="en-US"/>
        </w:rPr>
        <w:t xml:space="preserve"> treatment.</w:t>
      </w:r>
      <w:r w:rsidR="00E9595A" w:rsidRPr="003171CD">
        <w:rPr>
          <w:vertAlign w:val="superscript"/>
          <w:lang w:val="en-US"/>
        </w:rPr>
        <w:t xml:space="preserve"> </w:t>
      </w:r>
      <w:r w:rsidR="005A65CE" w:rsidRPr="003171CD">
        <w:rPr>
          <w:vertAlign w:val="superscript"/>
          <w:lang w:val="en-US"/>
        </w:rPr>
        <w:footnoteReference w:id="290"/>
      </w:r>
    </w:p>
    <w:p w14:paraId="65C71F5C" w14:textId="77777777" w:rsidR="005A65CE" w:rsidRPr="003171CD" w:rsidRDefault="005A65CE" w:rsidP="005A65CE">
      <w:pPr>
        <w:rPr>
          <w:lang w:val="en-US"/>
        </w:rPr>
      </w:pPr>
      <w:bookmarkStart w:id="79" w:name="_Toc392536833"/>
      <w:bookmarkStart w:id="80" w:name="_Toc375560980"/>
    </w:p>
    <w:p w14:paraId="230AF9E5" w14:textId="77777777" w:rsidR="005A65CE" w:rsidRPr="003171CD" w:rsidRDefault="00E9595A" w:rsidP="005A65CE">
      <w:pPr>
        <w:widowControl w:val="0"/>
        <w:ind w:left="1404" w:firstLine="720"/>
        <w:jc w:val="both"/>
        <w:textAlignment w:val="baseline"/>
        <w:rPr>
          <w:b/>
          <w:i/>
          <w:lang w:val="en-US"/>
        </w:rPr>
      </w:pPr>
      <w:r w:rsidRPr="003171CD">
        <w:rPr>
          <w:b/>
          <w:i/>
          <w:lang w:val="en-US"/>
        </w:rPr>
        <w:t xml:space="preserve">C.2.b </w:t>
      </w:r>
      <w:r w:rsidRPr="003171CD">
        <w:rPr>
          <w:b/>
          <w:i/>
          <w:lang w:val="en-US"/>
        </w:rPr>
        <w:tab/>
        <w:t>Academic</w:t>
      </w:r>
      <w:r w:rsidR="005A65CE" w:rsidRPr="003171CD">
        <w:rPr>
          <w:b/>
          <w:i/>
          <w:lang w:val="en-US"/>
        </w:rPr>
        <w:t xml:space="preserve"> or vocational</w:t>
      </w:r>
      <w:r w:rsidRPr="003171CD">
        <w:rPr>
          <w:b/>
          <w:i/>
          <w:lang w:val="en-US"/>
        </w:rPr>
        <w:t xml:space="preserve"> training</w:t>
      </w:r>
    </w:p>
    <w:p w14:paraId="77219397" w14:textId="77777777" w:rsidR="005A65CE" w:rsidRPr="003171CD" w:rsidRDefault="005A65CE" w:rsidP="005A65CE">
      <w:pPr>
        <w:widowControl w:val="0"/>
        <w:jc w:val="both"/>
        <w:textAlignment w:val="baseline"/>
        <w:rPr>
          <w:b/>
          <w:i/>
          <w:lang w:val="en-US"/>
        </w:rPr>
      </w:pPr>
    </w:p>
    <w:p w14:paraId="5E27FA0B" w14:textId="77777777" w:rsidR="005A65CE" w:rsidRPr="003171CD" w:rsidRDefault="005A65CE" w:rsidP="005A65CE">
      <w:pPr>
        <w:widowControl w:val="0"/>
        <w:ind w:firstLine="720"/>
        <w:jc w:val="both"/>
        <w:textAlignment w:val="baseline"/>
        <w:rPr>
          <w:i/>
          <w:lang w:val="en-US"/>
        </w:rPr>
      </w:pPr>
      <w:r w:rsidRPr="003171CD">
        <w:rPr>
          <w:i/>
          <w:lang w:val="en-US"/>
        </w:rPr>
        <w:t xml:space="preserve">Arguments of the parties </w:t>
      </w:r>
    </w:p>
    <w:p w14:paraId="3EB0714E" w14:textId="77777777" w:rsidR="005A65CE" w:rsidRPr="003171CD" w:rsidRDefault="005A65CE" w:rsidP="005A65CE">
      <w:pPr>
        <w:jc w:val="both"/>
        <w:rPr>
          <w:lang w:val="en-US"/>
        </w:rPr>
      </w:pPr>
    </w:p>
    <w:p w14:paraId="11F79A1A" w14:textId="77777777" w:rsidR="005A65CE" w:rsidRPr="003171CD" w:rsidRDefault="008149CC" w:rsidP="005A65CE">
      <w:pPr>
        <w:numPr>
          <w:ilvl w:val="0"/>
          <w:numId w:val="1"/>
        </w:numPr>
        <w:autoSpaceDE/>
        <w:autoSpaceDN/>
        <w:adjustRightInd/>
        <w:contextualSpacing/>
        <w:jc w:val="both"/>
        <w:rPr>
          <w:lang w:val="en-US"/>
        </w:rPr>
      </w:pPr>
      <w:r w:rsidRPr="003171CD">
        <w:rPr>
          <w:lang w:val="en-US"/>
        </w:rPr>
        <w:t xml:space="preserve">During </w:t>
      </w:r>
      <w:r w:rsidR="005A65CE" w:rsidRPr="003171CD">
        <w:rPr>
          <w:lang w:val="en-US"/>
        </w:rPr>
        <w:t xml:space="preserve">the public hearing and in </w:t>
      </w:r>
      <w:r w:rsidR="00522619" w:rsidRPr="003171CD">
        <w:rPr>
          <w:lang w:val="en-US"/>
        </w:rPr>
        <w:t xml:space="preserve">its </w:t>
      </w:r>
      <w:r w:rsidR="005A65CE" w:rsidRPr="003171CD">
        <w:rPr>
          <w:lang w:val="en-US"/>
        </w:rPr>
        <w:t xml:space="preserve">final written arguments </w:t>
      </w:r>
      <w:r w:rsidR="00522619" w:rsidRPr="003171CD">
        <w:rPr>
          <w:lang w:val="en-US"/>
        </w:rPr>
        <w:t xml:space="preserve">the </w:t>
      </w:r>
      <w:r w:rsidR="00522619" w:rsidRPr="003171CD">
        <w:rPr>
          <w:b/>
          <w:i/>
          <w:lang w:val="en-US"/>
        </w:rPr>
        <w:t>State</w:t>
      </w:r>
      <w:r w:rsidR="00522619" w:rsidRPr="003171CD">
        <w:rPr>
          <w:lang w:val="en-US"/>
        </w:rPr>
        <w:t xml:space="preserve"> offered </w:t>
      </w:r>
      <w:r w:rsidR="006F3AEF" w:rsidRPr="003171CD">
        <w:rPr>
          <w:lang w:val="en-US"/>
        </w:rPr>
        <w:t xml:space="preserve">to provide </w:t>
      </w:r>
      <w:r w:rsidR="00821AEF" w:rsidRPr="003171CD">
        <w:rPr>
          <w:lang w:val="en-US"/>
        </w:rPr>
        <w:t>Mr.</w:t>
      </w:r>
      <w:r w:rsidR="005A65CE" w:rsidRPr="003171CD">
        <w:rPr>
          <w:lang w:val="en-US"/>
        </w:rPr>
        <w:t xml:space="preserve"> José Agapito Ruano Torres and his family</w:t>
      </w:r>
      <w:r w:rsidR="006F3AEF" w:rsidRPr="003171CD">
        <w:rPr>
          <w:lang w:val="en-US"/>
        </w:rPr>
        <w:t xml:space="preserve"> with</w:t>
      </w:r>
      <w:r w:rsidR="005A65CE" w:rsidRPr="003171CD">
        <w:rPr>
          <w:lang w:val="en-US"/>
        </w:rPr>
        <w:t xml:space="preserve"> “</w:t>
      </w:r>
      <w:r w:rsidR="00522619" w:rsidRPr="003171CD">
        <w:rPr>
          <w:lang w:val="en-US"/>
        </w:rPr>
        <w:t>technical, vocational, or formal training</w:t>
      </w:r>
      <w:r w:rsidR="005A65CE" w:rsidRPr="003171CD">
        <w:rPr>
          <w:lang w:val="en-US"/>
        </w:rPr>
        <w:t xml:space="preserve"> </w:t>
      </w:r>
      <w:r w:rsidR="00522619" w:rsidRPr="003171CD">
        <w:rPr>
          <w:lang w:val="en-US"/>
        </w:rPr>
        <w:t>in accordance with their interest</w:t>
      </w:r>
      <w:r w:rsidR="005A65CE" w:rsidRPr="003171CD">
        <w:rPr>
          <w:lang w:val="en-US"/>
        </w:rPr>
        <w:t>s</w:t>
      </w:r>
      <w:r w:rsidR="00522619" w:rsidRPr="003171CD">
        <w:rPr>
          <w:lang w:val="en-US"/>
        </w:rPr>
        <w:t>,</w:t>
      </w:r>
      <w:r w:rsidR="005A65CE" w:rsidRPr="003171CD">
        <w:rPr>
          <w:lang w:val="en-US"/>
        </w:rPr>
        <w:t xml:space="preserve">” </w:t>
      </w:r>
      <w:r w:rsidR="00E755FC" w:rsidRPr="003171CD">
        <w:rPr>
          <w:lang w:val="en-US"/>
        </w:rPr>
        <w:t xml:space="preserve"> </w:t>
      </w:r>
      <w:r w:rsidR="00522619" w:rsidRPr="003171CD">
        <w:rPr>
          <w:lang w:val="en-US"/>
        </w:rPr>
        <w:t>for him</w:t>
      </w:r>
      <w:r w:rsidRPr="003171CD">
        <w:rPr>
          <w:lang w:val="en-US"/>
        </w:rPr>
        <w:t>self</w:t>
      </w:r>
      <w:r w:rsidR="00522619" w:rsidRPr="003171CD">
        <w:rPr>
          <w:lang w:val="en-US"/>
        </w:rPr>
        <w:t xml:space="preserve"> </w:t>
      </w:r>
      <w:r w:rsidR="005A65CE" w:rsidRPr="003171CD">
        <w:rPr>
          <w:lang w:val="en-US"/>
        </w:rPr>
        <w:t xml:space="preserve">and </w:t>
      </w:r>
      <w:r w:rsidR="00522619" w:rsidRPr="003171CD">
        <w:rPr>
          <w:lang w:val="en-US"/>
        </w:rPr>
        <w:t xml:space="preserve">for </w:t>
      </w:r>
      <w:r w:rsidRPr="003171CD">
        <w:rPr>
          <w:lang w:val="en-US"/>
        </w:rPr>
        <w:t xml:space="preserve">members of </w:t>
      </w:r>
      <w:r w:rsidR="00522619" w:rsidRPr="003171CD">
        <w:rPr>
          <w:lang w:val="en-US"/>
        </w:rPr>
        <w:t>his family</w:t>
      </w:r>
      <w:r w:rsidR="005A65CE" w:rsidRPr="003171CD">
        <w:rPr>
          <w:lang w:val="en-US"/>
        </w:rPr>
        <w:t>.</w:t>
      </w:r>
    </w:p>
    <w:p w14:paraId="62DF85F9" w14:textId="77777777" w:rsidR="005A65CE" w:rsidRPr="003171CD" w:rsidRDefault="005A65CE" w:rsidP="005A65CE">
      <w:pPr>
        <w:contextualSpacing/>
        <w:jc w:val="both"/>
        <w:rPr>
          <w:lang w:val="en-US"/>
        </w:rPr>
      </w:pPr>
    </w:p>
    <w:p w14:paraId="342399F1" w14:textId="77777777" w:rsidR="005A65CE" w:rsidRPr="003171CD" w:rsidRDefault="00522619" w:rsidP="005A65CE">
      <w:pPr>
        <w:numPr>
          <w:ilvl w:val="0"/>
          <w:numId w:val="1"/>
        </w:numPr>
        <w:autoSpaceDE/>
        <w:autoSpaceDN/>
        <w:adjustRightInd/>
        <w:contextualSpacing/>
        <w:jc w:val="both"/>
        <w:rPr>
          <w:lang w:val="en-US"/>
        </w:rPr>
      </w:pPr>
      <w:r w:rsidRPr="003171CD">
        <w:rPr>
          <w:rFonts w:eastAsia="MS Mincho"/>
          <w:lang w:val="en-US"/>
        </w:rPr>
        <w:t>I</w:t>
      </w:r>
      <w:r w:rsidR="005A65CE" w:rsidRPr="003171CD">
        <w:rPr>
          <w:rFonts w:eastAsia="MS Mincho"/>
          <w:lang w:val="en-US"/>
        </w:rPr>
        <w:t xml:space="preserve">n </w:t>
      </w:r>
      <w:r w:rsidRPr="003171CD">
        <w:rPr>
          <w:rFonts w:eastAsia="MS Mincho"/>
          <w:lang w:val="en-US"/>
        </w:rPr>
        <w:t xml:space="preserve">their </w:t>
      </w:r>
      <w:r w:rsidR="005A65CE" w:rsidRPr="003171CD">
        <w:rPr>
          <w:rFonts w:eastAsia="MS Mincho"/>
          <w:lang w:val="en-US"/>
        </w:rPr>
        <w:t xml:space="preserve">final written arguments, the </w:t>
      </w:r>
      <w:r w:rsidR="005A65CE" w:rsidRPr="003171CD">
        <w:rPr>
          <w:rFonts w:eastAsia="MS Mincho"/>
          <w:b/>
          <w:i/>
          <w:lang w:val="en-US"/>
        </w:rPr>
        <w:t>representatives</w:t>
      </w:r>
      <w:r w:rsidR="005A65CE" w:rsidRPr="003171CD">
        <w:rPr>
          <w:lang w:val="en-US"/>
        </w:rPr>
        <w:t xml:space="preserve"> </w:t>
      </w:r>
      <w:r w:rsidRPr="003171CD">
        <w:rPr>
          <w:rFonts w:eastAsia="MS Mincho"/>
          <w:lang w:val="en-US"/>
        </w:rPr>
        <w:t xml:space="preserve">accepted </w:t>
      </w:r>
      <w:r w:rsidRPr="003171CD">
        <w:rPr>
          <w:lang w:val="en-US"/>
        </w:rPr>
        <w:t>“[t]he</w:t>
      </w:r>
      <w:r w:rsidR="005A65CE" w:rsidRPr="003171CD">
        <w:rPr>
          <w:lang w:val="en-US"/>
        </w:rPr>
        <w:t xml:space="preserve"> s</w:t>
      </w:r>
      <w:r w:rsidRPr="003171CD">
        <w:rPr>
          <w:lang w:val="en-US"/>
        </w:rPr>
        <w:t xml:space="preserve">cholarships </w:t>
      </w:r>
      <w:r w:rsidR="009966DD" w:rsidRPr="003171CD">
        <w:rPr>
          <w:lang w:val="en-US"/>
        </w:rPr>
        <w:t xml:space="preserve">granted </w:t>
      </w:r>
      <w:r w:rsidRPr="003171CD">
        <w:rPr>
          <w:lang w:val="en-US"/>
        </w:rPr>
        <w:t>to</w:t>
      </w:r>
      <w:r w:rsidR="005A65CE" w:rsidRPr="003171CD">
        <w:rPr>
          <w:lang w:val="en-US"/>
        </w:rPr>
        <w:t xml:space="preserve"> </w:t>
      </w:r>
      <w:r w:rsidR="0097297B" w:rsidRPr="003171CD">
        <w:rPr>
          <w:lang w:val="en-US"/>
        </w:rPr>
        <w:t>study</w:t>
      </w:r>
      <w:r w:rsidRPr="003171CD">
        <w:rPr>
          <w:lang w:val="en-US"/>
        </w:rPr>
        <w:t xml:space="preserve"> at</w:t>
      </w:r>
      <w:r w:rsidR="005A65CE" w:rsidRPr="003171CD">
        <w:rPr>
          <w:lang w:val="en-US"/>
        </w:rPr>
        <w:t xml:space="preserve"> </w:t>
      </w:r>
      <w:r w:rsidRPr="003171CD">
        <w:rPr>
          <w:lang w:val="en-US"/>
        </w:rPr>
        <w:t xml:space="preserve">national </w:t>
      </w:r>
      <w:r w:rsidR="009966DD" w:rsidRPr="003171CD">
        <w:rPr>
          <w:lang w:val="en-US"/>
        </w:rPr>
        <w:t>elementary</w:t>
      </w:r>
      <w:r w:rsidR="005A65CE" w:rsidRPr="003171CD">
        <w:rPr>
          <w:lang w:val="en-US"/>
        </w:rPr>
        <w:t xml:space="preserve">, </w:t>
      </w:r>
      <w:r w:rsidRPr="003171CD">
        <w:rPr>
          <w:lang w:val="en-US"/>
        </w:rPr>
        <w:t>middle and higher level</w:t>
      </w:r>
      <w:r w:rsidR="009966DD" w:rsidRPr="003171CD">
        <w:rPr>
          <w:lang w:val="en-US"/>
        </w:rPr>
        <w:t xml:space="preserve"> education centers</w:t>
      </w:r>
      <w:r w:rsidRPr="003171CD">
        <w:rPr>
          <w:lang w:val="en-US"/>
        </w:rPr>
        <w:t xml:space="preserve">, </w:t>
      </w:r>
      <w:r w:rsidR="00466EBF" w:rsidRPr="003171CD">
        <w:rPr>
          <w:lang w:val="en-US"/>
        </w:rPr>
        <w:t xml:space="preserve">as </w:t>
      </w:r>
      <w:r w:rsidR="009966DD" w:rsidRPr="003171CD">
        <w:rPr>
          <w:lang w:val="en-US"/>
        </w:rPr>
        <w:t>appropriate</w:t>
      </w:r>
      <w:r w:rsidR="00466EBF" w:rsidRPr="003171CD">
        <w:rPr>
          <w:lang w:val="en-US"/>
        </w:rPr>
        <w:t>,”</w:t>
      </w:r>
      <w:r w:rsidR="005A65CE" w:rsidRPr="003171CD">
        <w:rPr>
          <w:lang w:val="en-US"/>
        </w:rPr>
        <w:t xml:space="preserve"> </w:t>
      </w:r>
      <w:r w:rsidR="00466EBF" w:rsidRPr="003171CD">
        <w:rPr>
          <w:lang w:val="en-US"/>
        </w:rPr>
        <w:t xml:space="preserve">for </w:t>
      </w:r>
      <w:r w:rsidR="005A65CE" w:rsidRPr="003171CD">
        <w:rPr>
          <w:lang w:val="en-US"/>
        </w:rPr>
        <w:t xml:space="preserve">Mr. Ruano Torres and </w:t>
      </w:r>
      <w:r w:rsidR="00466EBF" w:rsidRPr="003171CD">
        <w:rPr>
          <w:lang w:val="en-US"/>
        </w:rPr>
        <w:t xml:space="preserve">his </w:t>
      </w:r>
      <w:r w:rsidR="009B2656" w:rsidRPr="003171CD">
        <w:rPr>
          <w:lang w:val="en-US"/>
        </w:rPr>
        <w:t>next of kin</w:t>
      </w:r>
      <w:r w:rsidR="005A65CE" w:rsidRPr="003171CD">
        <w:rPr>
          <w:lang w:val="en-US"/>
        </w:rPr>
        <w:t>, “inclu</w:t>
      </w:r>
      <w:r w:rsidRPr="003171CD">
        <w:rPr>
          <w:lang w:val="en-US"/>
        </w:rPr>
        <w:t xml:space="preserve">ding </w:t>
      </w:r>
      <w:r w:rsidR="005A65CE" w:rsidRPr="003171CD">
        <w:rPr>
          <w:lang w:val="en-US"/>
        </w:rPr>
        <w:t xml:space="preserve">Pedro Torres Hércules [...] </w:t>
      </w:r>
      <w:r w:rsidR="00466EBF" w:rsidRPr="003171CD">
        <w:rPr>
          <w:lang w:val="en-US"/>
        </w:rPr>
        <w:t xml:space="preserve">if they </w:t>
      </w:r>
      <w:r w:rsidRPr="003171CD">
        <w:rPr>
          <w:lang w:val="en-US"/>
        </w:rPr>
        <w:t>wish to complete university</w:t>
      </w:r>
      <w:r w:rsidR="005A65CE" w:rsidRPr="003171CD">
        <w:rPr>
          <w:lang w:val="en-US"/>
        </w:rPr>
        <w:t xml:space="preserve"> </w:t>
      </w:r>
      <w:r w:rsidRPr="003171CD">
        <w:rPr>
          <w:lang w:val="en-US"/>
        </w:rPr>
        <w:t xml:space="preserve">studies </w:t>
      </w:r>
      <w:r w:rsidR="009966DD" w:rsidRPr="003171CD">
        <w:rPr>
          <w:lang w:val="en-US"/>
        </w:rPr>
        <w:t xml:space="preserve">or </w:t>
      </w:r>
      <w:r w:rsidRPr="003171CD">
        <w:rPr>
          <w:lang w:val="en-US"/>
        </w:rPr>
        <w:t xml:space="preserve">higher technical </w:t>
      </w:r>
      <w:r w:rsidR="009966DD" w:rsidRPr="003171CD">
        <w:rPr>
          <w:lang w:val="en-US"/>
        </w:rPr>
        <w:t>education</w:t>
      </w:r>
      <w:r w:rsidR="005A65CE" w:rsidRPr="003171CD">
        <w:rPr>
          <w:lang w:val="en-US"/>
        </w:rPr>
        <w:t xml:space="preserve">, </w:t>
      </w:r>
      <w:r w:rsidR="00466EBF" w:rsidRPr="003171CD">
        <w:rPr>
          <w:lang w:val="en-US"/>
        </w:rPr>
        <w:t xml:space="preserve">in order to be able to </w:t>
      </w:r>
      <w:r w:rsidR="005A65CE" w:rsidRPr="003171CD">
        <w:rPr>
          <w:lang w:val="en-US"/>
        </w:rPr>
        <w:t>re</w:t>
      </w:r>
      <w:r w:rsidR="001E54A4" w:rsidRPr="003171CD">
        <w:rPr>
          <w:lang w:val="en-US"/>
        </w:rPr>
        <w:t xml:space="preserve">sume </w:t>
      </w:r>
      <w:r w:rsidR="005A65CE" w:rsidRPr="003171CD">
        <w:rPr>
          <w:lang w:val="en-US"/>
        </w:rPr>
        <w:t>the</w:t>
      </w:r>
      <w:r w:rsidR="001E54A4" w:rsidRPr="003171CD">
        <w:rPr>
          <w:lang w:val="en-US"/>
        </w:rPr>
        <w:t>ir</w:t>
      </w:r>
      <w:r w:rsidR="005A65CE" w:rsidRPr="003171CD">
        <w:rPr>
          <w:lang w:val="en-US"/>
        </w:rPr>
        <w:t xml:space="preserve"> </w:t>
      </w:r>
      <w:r w:rsidR="001E54A4" w:rsidRPr="003171CD">
        <w:rPr>
          <w:lang w:val="en-US"/>
        </w:rPr>
        <w:t xml:space="preserve">truncated </w:t>
      </w:r>
      <w:r w:rsidRPr="003171CD">
        <w:rPr>
          <w:lang w:val="en-US"/>
        </w:rPr>
        <w:t>life project.”</w:t>
      </w:r>
      <w:r w:rsidR="005A65CE" w:rsidRPr="003171CD">
        <w:rPr>
          <w:lang w:val="en-US"/>
        </w:rPr>
        <w:t xml:space="preserve"> The </w:t>
      </w:r>
      <w:r w:rsidR="005A65CE" w:rsidRPr="003171CD">
        <w:rPr>
          <w:b/>
          <w:i/>
          <w:lang w:val="en-US"/>
        </w:rPr>
        <w:t>Commission</w:t>
      </w:r>
      <w:r w:rsidR="005A65CE" w:rsidRPr="003171CD">
        <w:rPr>
          <w:lang w:val="en-US"/>
        </w:rPr>
        <w:t xml:space="preserve"> </w:t>
      </w:r>
      <w:r w:rsidRPr="003171CD">
        <w:rPr>
          <w:lang w:val="en-US"/>
        </w:rPr>
        <w:t xml:space="preserve">did not comment on this </w:t>
      </w:r>
      <w:r w:rsidR="00466EBF" w:rsidRPr="003171CD">
        <w:rPr>
          <w:lang w:val="en-US"/>
        </w:rPr>
        <w:t>point</w:t>
      </w:r>
      <w:r w:rsidR="005A65CE" w:rsidRPr="003171CD">
        <w:rPr>
          <w:lang w:val="en-US"/>
        </w:rPr>
        <w:t>.</w:t>
      </w:r>
    </w:p>
    <w:p w14:paraId="54D58F63" w14:textId="77777777" w:rsidR="005A65CE" w:rsidRPr="003171CD" w:rsidRDefault="005A65CE" w:rsidP="005A65CE">
      <w:pPr>
        <w:jc w:val="both"/>
        <w:rPr>
          <w:lang w:val="en-US"/>
        </w:rPr>
      </w:pPr>
    </w:p>
    <w:p w14:paraId="1FEAA4D4" w14:textId="77777777" w:rsidR="005A65CE" w:rsidRPr="003171CD" w:rsidRDefault="005A65CE" w:rsidP="005A65CE">
      <w:pPr>
        <w:ind w:firstLine="720"/>
        <w:jc w:val="both"/>
        <w:rPr>
          <w:i/>
          <w:lang w:val="en-US"/>
        </w:rPr>
      </w:pPr>
      <w:r w:rsidRPr="003171CD">
        <w:rPr>
          <w:i/>
          <w:lang w:val="en-US"/>
        </w:rPr>
        <w:t>Considerations of the Court</w:t>
      </w:r>
    </w:p>
    <w:p w14:paraId="07C22705" w14:textId="77777777" w:rsidR="005A65CE" w:rsidRPr="003171CD" w:rsidRDefault="005A65CE" w:rsidP="005A65CE">
      <w:pPr>
        <w:jc w:val="both"/>
        <w:rPr>
          <w:i/>
          <w:lang w:val="en-US"/>
        </w:rPr>
      </w:pPr>
    </w:p>
    <w:p w14:paraId="3E5FA1AA" w14:textId="77777777" w:rsidR="005A65CE" w:rsidRPr="003171CD" w:rsidRDefault="00731F89" w:rsidP="005A65CE">
      <w:pPr>
        <w:numPr>
          <w:ilvl w:val="0"/>
          <w:numId w:val="1"/>
        </w:numPr>
        <w:autoSpaceDE/>
        <w:autoSpaceDN/>
        <w:adjustRightInd/>
        <w:contextualSpacing/>
        <w:jc w:val="both"/>
        <w:rPr>
          <w:i/>
          <w:lang w:val="en-US"/>
        </w:rPr>
      </w:pPr>
      <w:r w:rsidRPr="003171CD">
        <w:rPr>
          <w:lang w:val="en-US"/>
        </w:rPr>
        <w:lastRenderedPageBreak/>
        <w:t xml:space="preserve">In this </w:t>
      </w:r>
      <w:r w:rsidR="009A5A21" w:rsidRPr="003171CD">
        <w:rPr>
          <w:lang w:val="en-US"/>
        </w:rPr>
        <w:t>J</w:t>
      </w:r>
      <w:r w:rsidR="005A65CE" w:rsidRPr="003171CD">
        <w:rPr>
          <w:lang w:val="en-US"/>
        </w:rPr>
        <w:t>udgment th</w:t>
      </w:r>
      <w:r w:rsidRPr="003171CD">
        <w:rPr>
          <w:lang w:val="en-US"/>
        </w:rPr>
        <w:t>e Court has established th</w:t>
      </w:r>
      <w:r w:rsidR="005A65CE" w:rsidRPr="003171CD">
        <w:rPr>
          <w:lang w:val="en-US"/>
        </w:rPr>
        <w:t>at</w:t>
      </w:r>
      <w:r w:rsidR="004E53DD" w:rsidRPr="003171CD">
        <w:rPr>
          <w:lang w:val="en-US"/>
        </w:rPr>
        <w:t xml:space="preserve"> the facts of </w:t>
      </w:r>
      <w:r w:rsidR="005A65CE" w:rsidRPr="003171CD">
        <w:rPr>
          <w:lang w:val="en-US"/>
        </w:rPr>
        <w:t xml:space="preserve">the case </w:t>
      </w:r>
      <w:r w:rsidR="00AD5B50" w:rsidRPr="003171CD">
        <w:rPr>
          <w:lang w:val="en-US"/>
        </w:rPr>
        <w:t xml:space="preserve">caused harm to </w:t>
      </w:r>
      <w:r w:rsidR="005E01E8" w:rsidRPr="003171CD">
        <w:rPr>
          <w:lang w:val="en-US"/>
        </w:rPr>
        <w:t xml:space="preserve">Mr. Ruano Torres and </w:t>
      </w:r>
      <w:r w:rsidR="008624A1" w:rsidRPr="003171CD">
        <w:rPr>
          <w:lang w:val="en-US"/>
        </w:rPr>
        <w:t>his family</w:t>
      </w:r>
      <w:r w:rsidR="005E01E8" w:rsidRPr="003171CD">
        <w:rPr>
          <w:lang w:val="en-US"/>
        </w:rPr>
        <w:t xml:space="preserve"> because they</w:t>
      </w:r>
      <w:r w:rsidR="008624A1" w:rsidRPr="003171CD">
        <w:rPr>
          <w:lang w:val="en-US"/>
        </w:rPr>
        <w:t xml:space="preserve"> </w:t>
      </w:r>
      <w:r w:rsidR="00AD5B50" w:rsidRPr="003171CD">
        <w:rPr>
          <w:lang w:val="en-US"/>
        </w:rPr>
        <w:t xml:space="preserve">brought about </w:t>
      </w:r>
      <w:r w:rsidR="00522619" w:rsidRPr="003171CD">
        <w:rPr>
          <w:lang w:val="en-US"/>
        </w:rPr>
        <w:t xml:space="preserve">significant </w:t>
      </w:r>
      <w:r w:rsidR="005A65CE" w:rsidRPr="003171CD">
        <w:rPr>
          <w:lang w:val="en-US"/>
        </w:rPr>
        <w:t>changes</w:t>
      </w:r>
      <w:r w:rsidR="00522619" w:rsidRPr="003171CD">
        <w:rPr>
          <w:lang w:val="en-US"/>
        </w:rPr>
        <w:t>, both in their</w:t>
      </w:r>
      <w:r w:rsidR="005A65CE" w:rsidRPr="003171CD">
        <w:rPr>
          <w:lang w:val="en-US"/>
        </w:rPr>
        <w:t xml:space="preserve"> </w:t>
      </w:r>
      <w:r w:rsidR="004E53DD" w:rsidRPr="003171CD">
        <w:rPr>
          <w:lang w:val="en-US"/>
        </w:rPr>
        <w:t>lives and in their relationships</w:t>
      </w:r>
      <w:r w:rsidR="005A65CE" w:rsidRPr="003171CD">
        <w:rPr>
          <w:lang w:val="en-US"/>
        </w:rPr>
        <w:t xml:space="preserve">, </w:t>
      </w:r>
      <w:r w:rsidR="00522619" w:rsidRPr="003171CD">
        <w:rPr>
          <w:lang w:val="en-US"/>
        </w:rPr>
        <w:t xml:space="preserve">thereby affecting their </w:t>
      </w:r>
      <w:r w:rsidR="005A65CE" w:rsidRPr="003171CD">
        <w:rPr>
          <w:lang w:val="en-US"/>
        </w:rPr>
        <w:t xml:space="preserve">personal </w:t>
      </w:r>
      <w:r w:rsidR="00522619" w:rsidRPr="003171CD">
        <w:rPr>
          <w:lang w:val="en-US"/>
        </w:rPr>
        <w:t xml:space="preserve">development </w:t>
      </w:r>
      <w:r w:rsidR="005A65CE" w:rsidRPr="003171CD">
        <w:rPr>
          <w:lang w:val="en-US"/>
        </w:rPr>
        <w:t>(</w:t>
      </w:r>
      <w:r w:rsidR="005A65CE" w:rsidRPr="003171CD">
        <w:rPr>
          <w:i/>
          <w:lang w:val="en-US"/>
        </w:rPr>
        <w:t>supra</w:t>
      </w:r>
      <w:r w:rsidR="005A65CE" w:rsidRPr="003171CD">
        <w:rPr>
          <w:lang w:val="en-US"/>
        </w:rPr>
        <w:t xml:space="preserve"> Chapter VII-3). </w:t>
      </w:r>
      <w:r w:rsidR="008624A1" w:rsidRPr="003171CD">
        <w:rPr>
          <w:lang w:val="en-US"/>
        </w:rPr>
        <w:t>Having regard to the foregoing</w:t>
      </w:r>
      <w:r w:rsidR="005A65CE" w:rsidRPr="003171CD">
        <w:rPr>
          <w:lang w:val="en-US"/>
        </w:rPr>
        <w:t>, and t</w:t>
      </w:r>
      <w:r w:rsidR="008624A1" w:rsidRPr="003171CD">
        <w:rPr>
          <w:lang w:val="en-US"/>
        </w:rPr>
        <w:t xml:space="preserve">aking into account </w:t>
      </w:r>
      <w:r w:rsidR="005A65CE" w:rsidRPr="003171CD">
        <w:rPr>
          <w:lang w:val="en-US"/>
        </w:rPr>
        <w:t>the of</w:t>
      </w:r>
      <w:r w:rsidRPr="003171CD">
        <w:rPr>
          <w:lang w:val="en-US"/>
        </w:rPr>
        <w:t>fer made by</w:t>
      </w:r>
      <w:r w:rsidR="00A271F4" w:rsidRPr="003171CD">
        <w:rPr>
          <w:lang w:val="en-US"/>
        </w:rPr>
        <w:t xml:space="preserve"> </w:t>
      </w:r>
      <w:r w:rsidR="005A65CE" w:rsidRPr="003171CD">
        <w:rPr>
          <w:lang w:val="en-US"/>
        </w:rPr>
        <w:t xml:space="preserve">the State, </w:t>
      </w:r>
      <w:r w:rsidR="00466EBF" w:rsidRPr="003171CD">
        <w:rPr>
          <w:lang w:val="en-US"/>
        </w:rPr>
        <w:t xml:space="preserve">the Court, as it has done </w:t>
      </w:r>
      <w:r w:rsidR="005A65CE" w:rsidRPr="003171CD">
        <w:rPr>
          <w:lang w:val="en-US"/>
        </w:rPr>
        <w:t>in other cases</w:t>
      </w:r>
      <w:r w:rsidR="008624A1" w:rsidRPr="003171CD">
        <w:rPr>
          <w:lang w:val="en-US"/>
        </w:rPr>
        <w:t>,</w:t>
      </w:r>
      <w:r w:rsidR="005A65CE" w:rsidRPr="003171CD">
        <w:rPr>
          <w:vertAlign w:val="superscript"/>
          <w:lang w:val="en-US"/>
        </w:rPr>
        <w:footnoteReference w:id="291"/>
      </w:r>
      <w:r w:rsidR="00466EBF" w:rsidRPr="003171CD">
        <w:rPr>
          <w:lang w:val="en-US"/>
        </w:rPr>
        <w:t xml:space="preserve"> </w:t>
      </w:r>
      <w:r w:rsidR="008624A1" w:rsidRPr="003171CD">
        <w:rPr>
          <w:lang w:val="en-US"/>
        </w:rPr>
        <w:t xml:space="preserve">deems it appropriate to </w:t>
      </w:r>
      <w:r w:rsidR="005A65CE" w:rsidRPr="003171CD">
        <w:rPr>
          <w:lang w:val="en-US"/>
        </w:rPr>
        <w:t>orde</w:t>
      </w:r>
      <w:r w:rsidR="00BA042F" w:rsidRPr="003171CD">
        <w:rPr>
          <w:lang w:val="en-US"/>
        </w:rPr>
        <w:t>r</w:t>
      </w:r>
      <w:r w:rsidR="005A65CE" w:rsidRPr="003171CD">
        <w:rPr>
          <w:lang w:val="en-US"/>
        </w:rPr>
        <w:t xml:space="preserve">, </w:t>
      </w:r>
      <w:r w:rsidR="00BA042F" w:rsidRPr="003171CD">
        <w:rPr>
          <w:lang w:val="en-US"/>
        </w:rPr>
        <w:t xml:space="preserve">as a </w:t>
      </w:r>
      <w:r w:rsidR="005A65CE" w:rsidRPr="003171CD">
        <w:rPr>
          <w:lang w:val="en-US"/>
        </w:rPr>
        <w:t xml:space="preserve">measure of satisfaction, that the State </w:t>
      </w:r>
      <w:r w:rsidRPr="003171CD">
        <w:rPr>
          <w:lang w:val="en-US"/>
        </w:rPr>
        <w:t xml:space="preserve">award </w:t>
      </w:r>
      <w:r w:rsidR="005A65CE" w:rsidRPr="003171CD">
        <w:rPr>
          <w:lang w:val="en-US"/>
        </w:rPr>
        <w:t>scho</w:t>
      </w:r>
      <w:r w:rsidR="00BA042F" w:rsidRPr="003171CD">
        <w:rPr>
          <w:lang w:val="en-US"/>
        </w:rPr>
        <w:t xml:space="preserve">larships </w:t>
      </w:r>
      <w:r w:rsidR="00C953C1" w:rsidRPr="003171CD">
        <w:rPr>
          <w:lang w:val="en-US"/>
        </w:rPr>
        <w:t xml:space="preserve">in Salvadorian public institutions </w:t>
      </w:r>
      <w:r w:rsidRPr="003171CD">
        <w:rPr>
          <w:lang w:val="en-US"/>
        </w:rPr>
        <w:t xml:space="preserve">to </w:t>
      </w:r>
      <w:r w:rsidR="005A65CE" w:rsidRPr="003171CD">
        <w:rPr>
          <w:lang w:val="en-US"/>
        </w:rPr>
        <w:t xml:space="preserve">José Agapito Ruano Torres and </w:t>
      </w:r>
      <w:r w:rsidR="008213D6" w:rsidRPr="003171CD">
        <w:rPr>
          <w:lang w:val="en-US"/>
        </w:rPr>
        <w:t>his family</w:t>
      </w:r>
      <w:r w:rsidRPr="003171CD">
        <w:rPr>
          <w:lang w:val="en-US"/>
        </w:rPr>
        <w:t xml:space="preserve"> members</w:t>
      </w:r>
      <w:r w:rsidR="008213D6" w:rsidRPr="003171CD">
        <w:rPr>
          <w:lang w:val="en-US"/>
        </w:rPr>
        <w:t xml:space="preserve">, </w:t>
      </w:r>
      <w:r w:rsidR="005A65CE" w:rsidRPr="003171CD">
        <w:rPr>
          <w:lang w:val="en-US"/>
        </w:rPr>
        <w:t xml:space="preserve">María Maribel Guevara </w:t>
      </w:r>
      <w:r w:rsidRPr="003171CD">
        <w:rPr>
          <w:lang w:val="en-US"/>
        </w:rPr>
        <w:t xml:space="preserve">de </w:t>
      </w:r>
      <w:r w:rsidR="005A65CE" w:rsidRPr="003171CD">
        <w:rPr>
          <w:lang w:val="en-US"/>
        </w:rPr>
        <w:t>Ruano, Oscar Manuel Ruano Guevara, Keily Lisbeth Ruano Guevara and Pedro Torres Hérc</w:t>
      </w:r>
      <w:r w:rsidR="00AD5B50" w:rsidRPr="003171CD">
        <w:rPr>
          <w:lang w:val="en-US"/>
        </w:rPr>
        <w:t>ules. These scholarships should</w:t>
      </w:r>
      <w:r w:rsidR="004E53DD" w:rsidRPr="003171CD">
        <w:rPr>
          <w:lang w:val="en-US"/>
        </w:rPr>
        <w:t xml:space="preserve"> </w:t>
      </w:r>
      <w:r w:rsidR="00C953C1" w:rsidRPr="003171CD">
        <w:rPr>
          <w:lang w:val="en-US"/>
        </w:rPr>
        <w:t>cover all the costs of their education until the conclusion of their advanced studies</w:t>
      </w:r>
      <w:r w:rsidR="008624A1" w:rsidRPr="003171CD">
        <w:rPr>
          <w:lang w:val="en-US"/>
        </w:rPr>
        <w:t xml:space="preserve">, </w:t>
      </w:r>
      <w:r w:rsidR="00C953C1" w:rsidRPr="003171CD">
        <w:rPr>
          <w:lang w:val="en-US"/>
        </w:rPr>
        <w:t xml:space="preserve">whether these are of a </w:t>
      </w:r>
      <w:r w:rsidR="008624A1" w:rsidRPr="003171CD">
        <w:rPr>
          <w:lang w:val="en-US"/>
        </w:rPr>
        <w:t>technical or</w:t>
      </w:r>
      <w:r w:rsidR="005A65CE" w:rsidRPr="003171CD">
        <w:rPr>
          <w:lang w:val="en-US"/>
        </w:rPr>
        <w:t xml:space="preserve"> </w:t>
      </w:r>
      <w:r w:rsidR="00C953C1" w:rsidRPr="003171CD">
        <w:rPr>
          <w:lang w:val="en-US"/>
        </w:rPr>
        <w:t>academic nature</w:t>
      </w:r>
      <w:r w:rsidR="00522619" w:rsidRPr="003171CD">
        <w:rPr>
          <w:lang w:val="en-US"/>
        </w:rPr>
        <w:t xml:space="preserve">. </w:t>
      </w:r>
      <w:r w:rsidR="00C953C1" w:rsidRPr="003171CD">
        <w:rPr>
          <w:lang w:val="en-US"/>
        </w:rPr>
        <w:t>The State’s compliance with this obligation means that the beneficiaries must take certain steps in order to exercise their right to this measure of reparation</w:t>
      </w:r>
      <w:r w:rsidR="00966FF6" w:rsidRPr="003171CD">
        <w:rPr>
          <w:lang w:val="en-US"/>
        </w:rPr>
        <w:t>.</w:t>
      </w:r>
      <w:r w:rsidR="005A65CE" w:rsidRPr="003171CD">
        <w:rPr>
          <w:vertAlign w:val="superscript"/>
          <w:lang w:val="en-US"/>
        </w:rPr>
        <w:footnoteReference w:id="292"/>
      </w:r>
      <w:r w:rsidR="00966FF6" w:rsidRPr="003171CD">
        <w:rPr>
          <w:lang w:val="en-US"/>
        </w:rPr>
        <w:t xml:space="preserve"> </w:t>
      </w:r>
      <w:r w:rsidR="00C953C1" w:rsidRPr="003171CD">
        <w:rPr>
          <w:lang w:val="en-US"/>
        </w:rPr>
        <w:t>Therefore, those who request this measure of reparation, or their legal representatives, have six months as of notification of this Judgment to advise the State of their scholarship requirements</w:t>
      </w:r>
      <w:r w:rsidR="005A65CE" w:rsidRPr="003171CD">
        <w:rPr>
          <w:lang w:val="en-US"/>
        </w:rPr>
        <w:t>.</w:t>
      </w:r>
    </w:p>
    <w:p w14:paraId="75C9CF18" w14:textId="77777777" w:rsidR="005A65CE" w:rsidRPr="003171CD" w:rsidRDefault="005A65CE" w:rsidP="005A65CE">
      <w:pPr>
        <w:contextualSpacing/>
        <w:jc w:val="both"/>
        <w:rPr>
          <w:lang w:val="en-US"/>
        </w:rPr>
      </w:pPr>
    </w:p>
    <w:p w14:paraId="5A1AD1D7" w14:textId="77777777" w:rsidR="005A65CE" w:rsidRPr="003171CD" w:rsidRDefault="005A65CE" w:rsidP="005A65CE">
      <w:pPr>
        <w:ind w:left="1440"/>
        <w:contextualSpacing/>
        <w:jc w:val="both"/>
        <w:rPr>
          <w:b/>
          <w:i/>
          <w:lang w:val="en-US"/>
        </w:rPr>
      </w:pPr>
      <w:bookmarkStart w:id="81" w:name="_Toc406580705"/>
      <w:r w:rsidRPr="003171CD">
        <w:rPr>
          <w:b/>
          <w:i/>
          <w:lang w:val="en-US"/>
        </w:rPr>
        <w:t xml:space="preserve">C.3 </w:t>
      </w:r>
      <w:r w:rsidRPr="003171CD">
        <w:rPr>
          <w:b/>
          <w:i/>
          <w:lang w:val="en-US"/>
        </w:rPr>
        <w:tab/>
        <w:t>Satisfaction</w:t>
      </w:r>
      <w:bookmarkEnd w:id="79"/>
      <w:bookmarkEnd w:id="81"/>
    </w:p>
    <w:p w14:paraId="51F10457" w14:textId="77777777" w:rsidR="005A65CE" w:rsidRPr="003171CD" w:rsidRDefault="005A65CE" w:rsidP="005A65CE">
      <w:pPr>
        <w:tabs>
          <w:tab w:val="left" w:pos="567"/>
        </w:tabs>
        <w:contextualSpacing/>
        <w:jc w:val="both"/>
        <w:outlineLvl w:val="2"/>
        <w:rPr>
          <w:i/>
          <w:lang w:val="en-US"/>
        </w:rPr>
      </w:pPr>
    </w:p>
    <w:p w14:paraId="26405247" w14:textId="77777777" w:rsidR="005A65CE" w:rsidRPr="003171CD" w:rsidRDefault="00966FF6" w:rsidP="005A65CE">
      <w:pPr>
        <w:widowControl w:val="0"/>
        <w:ind w:left="1404" w:firstLine="720"/>
        <w:jc w:val="both"/>
        <w:textAlignment w:val="baseline"/>
        <w:rPr>
          <w:b/>
          <w:i/>
          <w:lang w:val="en-US"/>
        </w:rPr>
      </w:pPr>
      <w:bookmarkStart w:id="82" w:name="_Toc402799517"/>
      <w:r w:rsidRPr="003171CD">
        <w:rPr>
          <w:b/>
          <w:i/>
          <w:lang w:val="en-US"/>
        </w:rPr>
        <w:t xml:space="preserve">C.3.a </w:t>
      </w:r>
      <w:r w:rsidRPr="003171CD">
        <w:rPr>
          <w:b/>
          <w:i/>
          <w:lang w:val="en-US"/>
        </w:rPr>
        <w:tab/>
        <w:t>Publication of the J</w:t>
      </w:r>
      <w:r w:rsidR="005A65CE" w:rsidRPr="003171CD">
        <w:rPr>
          <w:b/>
          <w:i/>
          <w:lang w:val="en-US"/>
        </w:rPr>
        <w:t>udgment</w:t>
      </w:r>
      <w:bookmarkEnd w:id="82"/>
    </w:p>
    <w:p w14:paraId="0CA12B03" w14:textId="77777777" w:rsidR="005A65CE" w:rsidRPr="003171CD" w:rsidRDefault="005A65CE" w:rsidP="005A65CE">
      <w:pPr>
        <w:rPr>
          <w:b/>
          <w:i/>
          <w:lang w:val="en-US"/>
        </w:rPr>
      </w:pPr>
    </w:p>
    <w:p w14:paraId="1DFBD4EE" w14:textId="77777777" w:rsidR="005A65CE" w:rsidRPr="003171CD" w:rsidRDefault="005A65CE" w:rsidP="005A65CE">
      <w:pPr>
        <w:ind w:firstLine="720"/>
        <w:rPr>
          <w:i/>
          <w:lang w:val="en-US"/>
        </w:rPr>
      </w:pPr>
      <w:r w:rsidRPr="003171CD">
        <w:rPr>
          <w:i/>
          <w:lang w:val="en-US"/>
        </w:rPr>
        <w:t>Arguments of the part</w:t>
      </w:r>
      <w:r w:rsidR="00966FF6" w:rsidRPr="003171CD">
        <w:rPr>
          <w:i/>
          <w:lang w:val="en-US"/>
        </w:rPr>
        <w:t>i</w:t>
      </w:r>
      <w:r w:rsidRPr="003171CD">
        <w:rPr>
          <w:i/>
          <w:lang w:val="en-US"/>
        </w:rPr>
        <w:t>es</w:t>
      </w:r>
    </w:p>
    <w:p w14:paraId="612462D6" w14:textId="77777777" w:rsidR="005A65CE" w:rsidRPr="003171CD" w:rsidRDefault="005A65CE" w:rsidP="005A65CE">
      <w:pPr>
        <w:rPr>
          <w:b/>
          <w:i/>
          <w:lang w:val="en-US"/>
        </w:rPr>
      </w:pPr>
    </w:p>
    <w:p w14:paraId="4BF0844F" w14:textId="77777777" w:rsidR="005A65CE" w:rsidRPr="003171CD" w:rsidRDefault="00966FF6"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representatives</w:t>
      </w:r>
      <w:r w:rsidRPr="003171CD">
        <w:rPr>
          <w:lang w:val="en-US"/>
        </w:rPr>
        <w:t xml:space="preserve"> requested that</w:t>
      </w:r>
      <w:r w:rsidR="005A65CE" w:rsidRPr="003171CD">
        <w:rPr>
          <w:lang w:val="en-US"/>
        </w:rPr>
        <w:t xml:space="preserve"> the Court </w:t>
      </w:r>
      <w:r w:rsidRPr="003171CD">
        <w:rPr>
          <w:lang w:val="en-US"/>
        </w:rPr>
        <w:t xml:space="preserve">order </w:t>
      </w:r>
      <w:r w:rsidR="005A65CE" w:rsidRPr="003171CD">
        <w:rPr>
          <w:lang w:val="en-US"/>
        </w:rPr>
        <w:t>the State t</w:t>
      </w:r>
      <w:r w:rsidRPr="003171CD">
        <w:rPr>
          <w:lang w:val="en-US"/>
        </w:rPr>
        <w:t>o publish</w:t>
      </w:r>
      <w:r w:rsidR="005A65CE" w:rsidRPr="003171CD">
        <w:rPr>
          <w:lang w:val="en-US"/>
        </w:rPr>
        <w:t xml:space="preserve"> </w:t>
      </w:r>
      <w:r w:rsidRPr="003171CD">
        <w:rPr>
          <w:lang w:val="en-US"/>
        </w:rPr>
        <w:t xml:space="preserve">the Judgment </w:t>
      </w:r>
      <w:r w:rsidR="005A65CE" w:rsidRPr="003171CD">
        <w:rPr>
          <w:lang w:val="en-US"/>
        </w:rPr>
        <w:t xml:space="preserve">“at least </w:t>
      </w:r>
      <w:r w:rsidRPr="003171CD">
        <w:rPr>
          <w:lang w:val="en-US"/>
        </w:rPr>
        <w:t xml:space="preserve">once </w:t>
      </w:r>
      <w:r w:rsidR="005A65CE" w:rsidRPr="003171CD">
        <w:rPr>
          <w:lang w:val="en-US"/>
        </w:rPr>
        <w:t xml:space="preserve">in the </w:t>
      </w:r>
      <w:r w:rsidRPr="003171CD">
        <w:rPr>
          <w:lang w:val="en-US"/>
        </w:rPr>
        <w:t xml:space="preserve">Official Gazette </w:t>
      </w:r>
      <w:r w:rsidR="005A65CE" w:rsidRPr="003171CD">
        <w:rPr>
          <w:lang w:val="en-US"/>
        </w:rPr>
        <w:t xml:space="preserve">and in </w:t>
      </w:r>
      <w:r w:rsidRPr="003171CD">
        <w:rPr>
          <w:lang w:val="en-US"/>
        </w:rPr>
        <w:t>a</w:t>
      </w:r>
      <w:r w:rsidR="00C953C1" w:rsidRPr="003171CD">
        <w:rPr>
          <w:lang w:val="en-US"/>
        </w:rPr>
        <w:t>nother</w:t>
      </w:r>
      <w:r w:rsidRPr="003171CD">
        <w:rPr>
          <w:lang w:val="en-US"/>
        </w:rPr>
        <w:t xml:space="preserve"> newspaper with wide national </w:t>
      </w:r>
      <w:r w:rsidR="005A65CE" w:rsidRPr="003171CD">
        <w:rPr>
          <w:lang w:val="en-US"/>
        </w:rPr>
        <w:t>circulation</w:t>
      </w:r>
      <w:r w:rsidRPr="003171CD">
        <w:rPr>
          <w:lang w:val="en-US"/>
        </w:rPr>
        <w:t>.”</w:t>
      </w:r>
      <w:r w:rsidR="005A65CE" w:rsidRPr="003171CD">
        <w:rPr>
          <w:lang w:val="en-US"/>
        </w:rPr>
        <w:t xml:space="preserve"> The </w:t>
      </w:r>
      <w:r w:rsidR="005A65CE" w:rsidRPr="003171CD">
        <w:rPr>
          <w:b/>
          <w:i/>
          <w:lang w:val="en-US"/>
        </w:rPr>
        <w:t xml:space="preserve">Commission </w:t>
      </w:r>
      <w:r w:rsidRPr="003171CD">
        <w:rPr>
          <w:lang w:val="en-US"/>
        </w:rPr>
        <w:t xml:space="preserve">emphasized </w:t>
      </w:r>
      <w:r w:rsidR="005A65CE" w:rsidRPr="003171CD">
        <w:rPr>
          <w:lang w:val="en-US"/>
        </w:rPr>
        <w:t xml:space="preserve">the </w:t>
      </w:r>
      <w:r w:rsidRPr="003171CD">
        <w:rPr>
          <w:lang w:val="en-US"/>
        </w:rPr>
        <w:t>importance</w:t>
      </w:r>
      <w:r w:rsidR="005A65CE" w:rsidRPr="003171CD">
        <w:rPr>
          <w:lang w:val="en-US"/>
        </w:rPr>
        <w:t xml:space="preserve"> of </w:t>
      </w:r>
      <w:r w:rsidR="00C953C1" w:rsidRPr="003171CD">
        <w:rPr>
          <w:lang w:val="en-US"/>
        </w:rPr>
        <w:t xml:space="preserve">publishing </w:t>
      </w:r>
      <w:r w:rsidR="005A65CE" w:rsidRPr="003171CD">
        <w:rPr>
          <w:lang w:val="en-US"/>
        </w:rPr>
        <w:t xml:space="preserve">the </w:t>
      </w:r>
      <w:r w:rsidR="00C953C1" w:rsidRPr="003171CD">
        <w:rPr>
          <w:lang w:val="en-US"/>
        </w:rPr>
        <w:t>J</w:t>
      </w:r>
      <w:r w:rsidR="005A65CE" w:rsidRPr="003171CD">
        <w:rPr>
          <w:lang w:val="en-US"/>
        </w:rPr>
        <w:t>udgment.</w:t>
      </w:r>
    </w:p>
    <w:p w14:paraId="651098FF" w14:textId="77777777" w:rsidR="005A65CE" w:rsidRPr="003171CD" w:rsidRDefault="005A65CE" w:rsidP="005A65CE">
      <w:pPr>
        <w:contextualSpacing/>
        <w:jc w:val="both"/>
        <w:rPr>
          <w:lang w:val="en-US"/>
        </w:rPr>
      </w:pPr>
    </w:p>
    <w:p w14:paraId="48CA67B8"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b/>
          <w:lang w:val="en-US"/>
        </w:rPr>
        <w:t xml:space="preserve"> </w:t>
      </w:r>
      <w:r w:rsidRPr="003171CD">
        <w:rPr>
          <w:lang w:val="en-US"/>
        </w:rPr>
        <w:t>of</w:t>
      </w:r>
      <w:r w:rsidR="00966FF6" w:rsidRPr="003171CD">
        <w:rPr>
          <w:lang w:val="en-US"/>
        </w:rPr>
        <w:t xml:space="preserve">fered </w:t>
      </w:r>
      <w:r w:rsidR="009A5A21" w:rsidRPr="003171CD">
        <w:rPr>
          <w:lang w:val="en-US"/>
        </w:rPr>
        <w:t>“to</w:t>
      </w:r>
      <w:r w:rsidRPr="003171CD">
        <w:rPr>
          <w:lang w:val="en-US"/>
        </w:rPr>
        <w:t xml:space="preserve"> publi</w:t>
      </w:r>
      <w:r w:rsidR="009A5A21" w:rsidRPr="003171CD">
        <w:rPr>
          <w:lang w:val="en-US"/>
        </w:rPr>
        <w:t>sh</w:t>
      </w:r>
      <w:r w:rsidR="00AD5B50" w:rsidRPr="003171CD">
        <w:rPr>
          <w:lang w:val="en-US"/>
        </w:rPr>
        <w:t>,</w:t>
      </w:r>
      <w:r w:rsidR="009A5A21" w:rsidRPr="003171CD">
        <w:rPr>
          <w:lang w:val="en-US"/>
        </w:rPr>
        <w:t xml:space="preserve"> </w:t>
      </w:r>
      <w:r w:rsidR="008624A1" w:rsidRPr="003171CD">
        <w:rPr>
          <w:lang w:val="en-US"/>
        </w:rPr>
        <w:t>once</w:t>
      </w:r>
      <w:r w:rsidR="00AD5B50" w:rsidRPr="003171CD">
        <w:rPr>
          <w:lang w:val="en-US"/>
        </w:rPr>
        <w:t>,</w:t>
      </w:r>
      <w:r w:rsidRPr="003171CD">
        <w:rPr>
          <w:lang w:val="en-US"/>
        </w:rPr>
        <w:t xml:space="preserve"> </w:t>
      </w:r>
      <w:r w:rsidR="008624A1" w:rsidRPr="003171CD">
        <w:rPr>
          <w:lang w:val="en-US"/>
        </w:rPr>
        <w:t xml:space="preserve">the </w:t>
      </w:r>
      <w:r w:rsidR="00B033CC" w:rsidRPr="003171CD">
        <w:rPr>
          <w:lang w:val="en-US"/>
        </w:rPr>
        <w:t>official summary</w:t>
      </w:r>
      <w:r w:rsidRPr="003171CD">
        <w:rPr>
          <w:lang w:val="en-US"/>
        </w:rPr>
        <w:t xml:space="preserve"> </w:t>
      </w:r>
      <w:r w:rsidR="00C953C1" w:rsidRPr="003171CD">
        <w:rPr>
          <w:lang w:val="en-US"/>
        </w:rPr>
        <w:t>of the</w:t>
      </w:r>
      <w:r w:rsidR="008624A1" w:rsidRPr="003171CD">
        <w:rPr>
          <w:lang w:val="en-US"/>
        </w:rPr>
        <w:t xml:space="preserve"> Judgment prepared by the </w:t>
      </w:r>
      <w:r w:rsidRPr="003171CD">
        <w:rPr>
          <w:lang w:val="en-US"/>
        </w:rPr>
        <w:t xml:space="preserve">Court in the </w:t>
      </w:r>
      <w:r w:rsidR="00966FF6" w:rsidRPr="003171CD">
        <w:rPr>
          <w:lang w:val="en-US"/>
        </w:rPr>
        <w:t>Official Gazette</w:t>
      </w:r>
      <w:r w:rsidR="008624A1" w:rsidRPr="003171CD">
        <w:rPr>
          <w:lang w:val="en-US"/>
        </w:rPr>
        <w:t xml:space="preserve"> and o</w:t>
      </w:r>
      <w:r w:rsidRPr="003171CD">
        <w:rPr>
          <w:lang w:val="en-US"/>
        </w:rPr>
        <w:t>n a</w:t>
      </w:r>
      <w:r w:rsidR="008624A1" w:rsidRPr="003171CD">
        <w:rPr>
          <w:lang w:val="en-US"/>
        </w:rPr>
        <w:t>n</w:t>
      </w:r>
      <w:r w:rsidRPr="003171CD">
        <w:rPr>
          <w:lang w:val="en-US"/>
        </w:rPr>
        <w:t xml:space="preserve"> </w:t>
      </w:r>
      <w:r w:rsidR="00966FF6" w:rsidRPr="003171CD">
        <w:rPr>
          <w:lang w:val="en-US"/>
        </w:rPr>
        <w:t>official web site</w:t>
      </w:r>
      <w:r w:rsidRPr="003171CD">
        <w:rPr>
          <w:lang w:val="en-US"/>
        </w:rPr>
        <w:t xml:space="preserve"> </w:t>
      </w:r>
      <w:r w:rsidR="00966FF6" w:rsidRPr="003171CD">
        <w:rPr>
          <w:lang w:val="en-US"/>
        </w:rPr>
        <w:t>for one year.”</w:t>
      </w:r>
      <w:r w:rsidRPr="003171CD">
        <w:rPr>
          <w:lang w:val="en-US"/>
        </w:rPr>
        <w:t xml:space="preserve"> </w:t>
      </w:r>
    </w:p>
    <w:p w14:paraId="17F9EC11" w14:textId="77777777" w:rsidR="005A65CE" w:rsidRPr="003171CD" w:rsidRDefault="005A65CE" w:rsidP="005A65CE">
      <w:pPr>
        <w:contextualSpacing/>
        <w:jc w:val="both"/>
        <w:rPr>
          <w:lang w:val="en-US"/>
        </w:rPr>
      </w:pPr>
    </w:p>
    <w:p w14:paraId="69E20311" w14:textId="77777777" w:rsidR="005A65CE" w:rsidRPr="003171CD" w:rsidRDefault="005A65CE" w:rsidP="005A65CE">
      <w:pPr>
        <w:ind w:firstLine="720"/>
        <w:rPr>
          <w:i/>
          <w:lang w:val="en-US"/>
        </w:rPr>
      </w:pPr>
      <w:r w:rsidRPr="003171CD">
        <w:rPr>
          <w:i/>
          <w:lang w:val="en-US"/>
        </w:rPr>
        <w:t>Considerations of the Court</w:t>
      </w:r>
    </w:p>
    <w:p w14:paraId="1E9C9A8A" w14:textId="77777777" w:rsidR="005A65CE" w:rsidRPr="003171CD" w:rsidRDefault="005A65CE" w:rsidP="005A65CE">
      <w:pPr>
        <w:rPr>
          <w:i/>
          <w:lang w:val="en-US"/>
        </w:rPr>
      </w:pPr>
    </w:p>
    <w:p w14:paraId="78E1612B"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Court </w:t>
      </w:r>
      <w:r w:rsidR="00AD5B50" w:rsidRPr="003171CD">
        <w:rPr>
          <w:lang w:val="en-US"/>
        </w:rPr>
        <w:t xml:space="preserve">decides to order </w:t>
      </w:r>
      <w:r w:rsidRPr="003171CD">
        <w:rPr>
          <w:lang w:val="en-US"/>
        </w:rPr>
        <w:t xml:space="preserve">the State </w:t>
      </w:r>
      <w:r w:rsidR="00C953C1" w:rsidRPr="003171CD">
        <w:rPr>
          <w:lang w:val="en-US"/>
        </w:rPr>
        <w:t xml:space="preserve">to </w:t>
      </w:r>
      <w:r w:rsidRPr="003171CD">
        <w:rPr>
          <w:lang w:val="en-US"/>
        </w:rPr>
        <w:t>publi</w:t>
      </w:r>
      <w:r w:rsidR="00B033CC" w:rsidRPr="003171CD">
        <w:rPr>
          <w:lang w:val="en-US"/>
        </w:rPr>
        <w:t>sh</w:t>
      </w:r>
      <w:r w:rsidRPr="003171CD">
        <w:rPr>
          <w:lang w:val="en-US"/>
        </w:rPr>
        <w:t xml:space="preserve">, </w:t>
      </w:r>
      <w:r w:rsidR="00B033CC" w:rsidRPr="003171CD">
        <w:rPr>
          <w:lang w:val="en-US"/>
        </w:rPr>
        <w:t>with</w:t>
      </w:r>
      <w:r w:rsidRPr="003171CD">
        <w:rPr>
          <w:lang w:val="en-US"/>
        </w:rPr>
        <w:t xml:space="preserve">in </w:t>
      </w:r>
      <w:r w:rsidR="00B033CC" w:rsidRPr="003171CD">
        <w:rPr>
          <w:lang w:val="en-US"/>
        </w:rPr>
        <w:t xml:space="preserve">six months of </w:t>
      </w:r>
      <w:r w:rsidRPr="003171CD">
        <w:rPr>
          <w:lang w:val="en-US"/>
        </w:rPr>
        <w:t xml:space="preserve">notification of this Judgment: a) the </w:t>
      </w:r>
      <w:r w:rsidR="00B033CC" w:rsidRPr="003171CD">
        <w:rPr>
          <w:lang w:val="en-US"/>
        </w:rPr>
        <w:t>official summary</w:t>
      </w:r>
      <w:r w:rsidRPr="003171CD">
        <w:rPr>
          <w:lang w:val="en-US"/>
        </w:rPr>
        <w:t xml:space="preserve"> of this Judgment </w:t>
      </w:r>
      <w:r w:rsidR="00B033CC" w:rsidRPr="003171CD">
        <w:rPr>
          <w:lang w:val="en-US"/>
        </w:rPr>
        <w:t>prepared</w:t>
      </w:r>
      <w:r w:rsidRPr="003171CD">
        <w:rPr>
          <w:lang w:val="en-US"/>
        </w:rPr>
        <w:t xml:space="preserve"> by the Court, </w:t>
      </w:r>
      <w:r w:rsidR="00B033CC" w:rsidRPr="003171CD">
        <w:rPr>
          <w:lang w:val="en-US"/>
        </w:rPr>
        <w:t xml:space="preserve">once, </w:t>
      </w:r>
      <w:r w:rsidRPr="003171CD">
        <w:rPr>
          <w:lang w:val="en-US"/>
        </w:rPr>
        <w:t xml:space="preserve">in the </w:t>
      </w:r>
      <w:r w:rsidR="00B033CC" w:rsidRPr="003171CD">
        <w:rPr>
          <w:lang w:val="en-US"/>
        </w:rPr>
        <w:t>Official Gazette</w:t>
      </w:r>
      <w:r w:rsidRPr="003171CD">
        <w:rPr>
          <w:lang w:val="en-US"/>
        </w:rPr>
        <w:t xml:space="preserve">; b) the </w:t>
      </w:r>
      <w:r w:rsidR="00B033CC" w:rsidRPr="003171CD">
        <w:rPr>
          <w:lang w:val="en-US"/>
        </w:rPr>
        <w:t>official summary</w:t>
      </w:r>
      <w:r w:rsidRPr="003171CD">
        <w:rPr>
          <w:lang w:val="en-US"/>
        </w:rPr>
        <w:t xml:space="preserve"> of this Judgment </w:t>
      </w:r>
      <w:r w:rsidR="00B033CC" w:rsidRPr="003171CD">
        <w:rPr>
          <w:lang w:val="en-US"/>
        </w:rPr>
        <w:t>prepared</w:t>
      </w:r>
      <w:r w:rsidRPr="003171CD">
        <w:rPr>
          <w:lang w:val="en-US"/>
        </w:rPr>
        <w:t xml:space="preserve"> by the Court, </w:t>
      </w:r>
      <w:r w:rsidR="00966FF6" w:rsidRPr="003171CD">
        <w:rPr>
          <w:lang w:val="en-US"/>
        </w:rPr>
        <w:t>once</w:t>
      </w:r>
      <w:r w:rsidRPr="003171CD">
        <w:rPr>
          <w:lang w:val="en-US"/>
        </w:rPr>
        <w:t xml:space="preserve">, in a </w:t>
      </w:r>
      <w:r w:rsidR="00966FF6" w:rsidRPr="003171CD">
        <w:rPr>
          <w:lang w:val="en-US"/>
        </w:rPr>
        <w:t xml:space="preserve">newspaper with wide national </w:t>
      </w:r>
      <w:r w:rsidRPr="003171CD">
        <w:rPr>
          <w:lang w:val="en-US"/>
        </w:rPr>
        <w:t>circulation, and c) th</w:t>
      </w:r>
      <w:r w:rsidR="00966FF6" w:rsidRPr="003171CD">
        <w:rPr>
          <w:lang w:val="en-US"/>
        </w:rPr>
        <w:t xml:space="preserve">is </w:t>
      </w:r>
      <w:r w:rsidRPr="003171CD">
        <w:rPr>
          <w:lang w:val="en-US"/>
        </w:rPr>
        <w:t xml:space="preserve">Judgment </w:t>
      </w:r>
      <w:r w:rsidR="008624A1" w:rsidRPr="003171CD">
        <w:rPr>
          <w:lang w:val="en-US"/>
        </w:rPr>
        <w:t>in full</w:t>
      </w:r>
      <w:r w:rsidRPr="003171CD">
        <w:rPr>
          <w:lang w:val="en-US"/>
        </w:rPr>
        <w:t xml:space="preserve">, </w:t>
      </w:r>
      <w:r w:rsidR="00B033CC" w:rsidRPr="003171CD">
        <w:rPr>
          <w:lang w:val="en-US"/>
        </w:rPr>
        <w:t>available for one year, o</w:t>
      </w:r>
      <w:r w:rsidRPr="003171CD">
        <w:rPr>
          <w:lang w:val="en-US"/>
        </w:rPr>
        <w:t xml:space="preserve">n the </w:t>
      </w:r>
      <w:r w:rsidR="00B033CC" w:rsidRPr="003171CD">
        <w:rPr>
          <w:lang w:val="en-US"/>
        </w:rPr>
        <w:t xml:space="preserve">main page of an official </w:t>
      </w:r>
      <w:r w:rsidR="00C953C1" w:rsidRPr="003171CD">
        <w:rPr>
          <w:lang w:val="en-US"/>
        </w:rPr>
        <w:t xml:space="preserve">national </w:t>
      </w:r>
      <w:r w:rsidRPr="003171CD">
        <w:rPr>
          <w:lang w:val="en-US"/>
        </w:rPr>
        <w:t xml:space="preserve">web </w:t>
      </w:r>
      <w:r w:rsidR="00B033CC" w:rsidRPr="003171CD">
        <w:rPr>
          <w:lang w:val="en-US"/>
        </w:rPr>
        <w:t>site</w:t>
      </w:r>
      <w:r w:rsidRPr="003171CD">
        <w:rPr>
          <w:lang w:val="en-US"/>
        </w:rPr>
        <w:t xml:space="preserve">, </w:t>
      </w:r>
      <w:r w:rsidR="00966FF6" w:rsidRPr="003171CD">
        <w:rPr>
          <w:lang w:val="en-US"/>
        </w:rPr>
        <w:t xml:space="preserve">in a manner </w:t>
      </w:r>
      <w:r w:rsidR="00C953C1" w:rsidRPr="003171CD">
        <w:rPr>
          <w:lang w:val="en-US"/>
        </w:rPr>
        <w:t xml:space="preserve">that is </w:t>
      </w:r>
      <w:r w:rsidRPr="003171CD">
        <w:rPr>
          <w:lang w:val="en-US"/>
        </w:rPr>
        <w:t>acces</w:t>
      </w:r>
      <w:r w:rsidR="00966FF6" w:rsidRPr="003171CD">
        <w:rPr>
          <w:lang w:val="en-US"/>
        </w:rPr>
        <w:t>s</w:t>
      </w:r>
      <w:r w:rsidRPr="003171CD">
        <w:rPr>
          <w:lang w:val="en-US"/>
        </w:rPr>
        <w:t xml:space="preserve">ible </w:t>
      </w:r>
      <w:r w:rsidR="00966FF6" w:rsidRPr="003171CD">
        <w:rPr>
          <w:lang w:val="en-US"/>
        </w:rPr>
        <w:t xml:space="preserve">to the </w:t>
      </w:r>
      <w:r w:rsidRPr="003171CD">
        <w:rPr>
          <w:lang w:val="en-US"/>
        </w:rPr>
        <w:t>public.</w:t>
      </w:r>
      <w:bookmarkEnd w:id="80"/>
    </w:p>
    <w:p w14:paraId="7959A1EF" w14:textId="77777777" w:rsidR="005A65CE" w:rsidRPr="003171CD" w:rsidRDefault="005A65CE" w:rsidP="005A65CE">
      <w:pPr>
        <w:contextualSpacing/>
        <w:jc w:val="both"/>
        <w:rPr>
          <w:lang w:val="en-US"/>
        </w:rPr>
      </w:pPr>
    </w:p>
    <w:p w14:paraId="7EA63CA4" w14:textId="77777777" w:rsidR="005A65CE" w:rsidRPr="003171CD" w:rsidRDefault="005A65CE" w:rsidP="005A65CE">
      <w:pPr>
        <w:widowControl w:val="0"/>
        <w:ind w:left="1404" w:firstLine="720"/>
        <w:jc w:val="both"/>
        <w:textAlignment w:val="baseline"/>
        <w:rPr>
          <w:b/>
          <w:i/>
          <w:lang w:val="en-US"/>
        </w:rPr>
      </w:pPr>
      <w:r w:rsidRPr="003171CD">
        <w:rPr>
          <w:b/>
          <w:i/>
          <w:lang w:val="en-US"/>
        </w:rPr>
        <w:t xml:space="preserve">C.3.b </w:t>
      </w:r>
      <w:r w:rsidRPr="003171CD">
        <w:rPr>
          <w:b/>
          <w:i/>
          <w:lang w:val="en-US"/>
        </w:rPr>
        <w:tab/>
      </w:r>
      <w:r w:rsidR="00966FF6" w:rsidRPr="003171CD">
        <w:rPr>
          <w:b/>
          <w:i/>
          <w:lang w:val="en-US"/>
        </w:rPr>
        <w:t>Commemorative p</w:t>
      </w:r>
      <w:r w:rsidR="00A94B43" w:rsidRPr="003171CD">
        <w:rPr>
          <w:b/>
          <w:i/>
          <w:lang w:val="en-US"/>
        </w:rPr>
        <w:t>laque</w:t>
      </w:r>
      <w:r w:rsidRPr="003171CD">
        <w:rPr>
          <w:b/>
          <w:i/>
          <w:lang w:val="en-US"/>
        </w:rPr>
        <w:t xml:space="preserve"> </w:t>
      </w:r>
    </w:p>
    <w:p w14:paraId="4A71524B" w14:textId="77777777" w:rsidR="005A65CE" w:rsidRPr="003171CD" w:rsidRDefault="005A65CE" w:rsidP="005A65CE">
      <w:pPr>
        <w:contextualSpacing/>
        <w:jc w:val="both"/>
        <w:rPr>
          <w:b/>
          <w:i/>
          <w:lang w:val="en-US"/>
        </w:rPr>
      </w:pPr>
    </w:p>
    <w:p w14:paraId="786EE4AE" w14:textId="77777777" w:rsidR="005A65CE" w:rsidRPr="003171CD" w:rsidRDefault="005A65CE" w:rsidP="005A65CE">
      <w:pPr>
        <w:ind w:firstLine="720"/>
        <w:rPr>
          <w:i/>
          <w:lang w:val="en-US"/>
        </w:rPr>
      </w:pPr>
      <w:r w:rsidRPr="003171CD">
        <w:rPr>
          <w:i/>
          <w:lang w:val="en-US"/>
        </w:rPr>
        <w:t>Arguments of the part</w:t>
      </w:r>
      <w:r w:rsidR="00966FF6" w:rsidRPr="003171CD">
        <w:rPr>
          <w:i/>
          <w:lang w:val="en-US"/>
        </w:rPr>
        <w:t>i</w:t>
      </w:r>
      <w:r w:rsidRPr="003171CD">
        <w:rPr>
          <w:i/>
          <w:lang w:val="en-US"/>
        </w:rPr>
        <w:t>es</w:t>
      </w:r>
    </w:p>
    <w:p w14:paraId="5147D475" w14:textId="77777777" w:rsidR="005A65CE" w:rsidRPr="003171CD" w:rsidRDefault="005A65CE" w:rsidP="005A65CE">
      <w:pPr>
        <w:rPr>
          <w:b/>
          <w:i/>
          <w:lang w:val="en-US"/>
        </w:rPr>
      </w:pPr>
    </w:p>
    <w:p w14:paraId="4BAE600C" w14:textId="77777777" w:rsidR="005A65CE" w:rsidRPr="003171CD" w:rsidRDefault="00966FF6"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representatives</w:t>
      </w:r>
      <w:r w:rsidRPr="003171CD">
        <w:rPr>
          <w:lang w:val="en-US"/>
        </w:rPr>
        <w:t xml:space="preserve"> requested that</w:t>
      </w:r>
      <w:r w:rsidR="005A65CE" w:rsidRPr="003171CD">
        <w:rPr>
          <w:lang w:val="en-US"/>
        </w:rPr>
        <w:t xml:space="preserve"> the Court </w:t>
      </w:r>
      <w:r w:rsidRPr="003171CD">
        <w:rPr>
          <w:lang w:val="en-US"/>
        </w:rPr>
        <w:t xml:space="preserve">order </w:t>
      </w:r>
      <w:r w:rsidR="005A65CE" w:rsidRPr="003171CD">
        <w:rPr>
          <w:lang w:val="en-US"/>
        </w:rPr>
        <w:t>the State</w:t>
      </w:r>
      <w:r w:rsidR="009A5A21" w:rsidRPr="003171CD">
        <w:rPr>
          <w:lang w:val="en-US"/>
        </w:rPr>
        <w:t xml:space="preserve"> to</w:t>
      </w:r>
      <w:r w:rsidR="005A65CE" w:rsidRPr="003171CD">
        <w:rPr>
          <w:lang w:val="en-US"/>
        </w:rPr>
        <w:t xml:space="preserve"> “</w:t>
      </w:r>
      <w:r w:rsidR="00466EBF" w:rsidRPr="003171CD">
        <w:rPr>
          <w:lang w:val="en-US"/>
        </w:rPr>
        <w:t xml:space="preserve">display </w:t>
      </w:r>
      <w:r w:rsidR="005A65CE" w:rsidRPr="003171CD">
        <w:rPr>
          <w:lang w:val="en-US"/>
        </w:rPr>
        <w:t xml:space="preserve">a </w:t>
      </w:r>
      <w:r w:rsidR="00A94B43" w:rsidRPr="003171CD">
        <w:rPr>
          <w:lang w:val="en-US"/>
        </w:rPr>
        <w:t>plaque</w:t>
      </w:r>
      <w:r w:rsidR="008624A1" w:rsidRPr="003171CD">
        <w:rPr>
          <w:lang w:val="en-US"/>
        </w:rPr>
        <w:t xml:space="preserve"> at</w:t>
      </w:r>
      <w:r w:rsidR="005A65CE" w:rsidRPr="003171CD">
        <w:rPr>
          <w:lang w:val="en-US"/>
        </w:rPr>
        <w:t xml:space="preserve"> the </w:t>
      </w:r>
      <w:r w:rsidR="008624A1" w:rsidRPr="003171CD">
        <w:rPr>
          <w:lang w:val="en-US"/>
        </w:rPr>
        <w:t xml:space="preserve">headquarters </w:t>
      </w:r>
      <w:r w:rsidR="005A65CE" w:rsidRPr="003171CD">
        <w:rPr>
          <w:lang w:val="en-US"/>
        </w:rPr>
        <w:t xml:space="preserve">of the </w:t>
      </w:r>
      <w:r w:rsidR="00FB1691" w:rsidRPr="003171CD">
        <w:rPr>
          <w:lang w:val="en-US"/>
        </w:rPr>
        <w:t xml:space="preserve">Office of the Public Defender </w:t>
      </w:r>
      <w:r w:rsidR="008624A1" w:rsidRPr="003171CD">
        <w:rPr>
          <w:lang w:val="en-US"/>
        </w:rPr>
        <w:t xml:space="preserve">of El Salvador bearing the </w:t>
      </w:r>
      <w:r w:rsidR="005A65CE" w:rsidRPr="003171CD">
        <w:rPr>
          <w:lang w:val="en-US"/>
        </w:rPr>
        <w:t>name of [José Agapi</w:t>
      </w:r>
      <w:r w:rsidR="00B033CC" w:rsidRPr="003171CD">
        <w:rPr>
          <w:lang w:val="en-US"/>
        </w:rPr>
        <w:t xml:space="preserve">to Ruano Torres] </w:t>
      </w:r>
      <w:r w:rsidR="00FB1691" w:rsidRPr="003171CD">
        <w:rPr>
          <w:lang w:val="en-US"/>
        </w:rPr>
        <w:t xml:space="preserve">as a symbol to remind </w:t>
      </w:r>
      <w:r w:rsidR="00C953C1" w:rsidRPr="003171CD">
        <w:rPr>
          <w:lang w:val="en-US"/>
        </w:rPr>
        <w:t>p</w:t>
      </w:r>
      <w:r w:rsidR="005A65CE" w:rsidRPr="003171CD">
        <w:rPr>
          <w:lang w:val="en-US"/>
        </w:rPr>
        <w:t>ublic defenders of the</w:t>
      </w:r>
      <w:r w:rsidR="00FB1691" w:rsidRPr="003171CD">
        <w:rPr>
          <w:lang w:val="en-US"/>
        </w:rPr>
        <w:t>ir</w:t>
      </w:r>
      <w:r w:rsidR="005A65CE" w:rsidRPr="003171CD">
        <w:rPr>
          <w:lang w:val="en-US"/>
        </w:rPr>
        <w:t xml:space="preserve"> d</w:t>
      </w:r>
      <w:r w:rsidRPr="003171CD">
        <w:rPr>
          <w:lang w:val="en-US"/>
        </w:rPr>
        <w:t xml:space="preserve">uty to </w:t>
      </w:r>
      <w:r w:rsidR="00FB1691" w:rsidRPr="003171CD">
        <w:rPr>
          <w:lang w:val="en-US"/>
        </w:rPr>
        <w:t xml:space="preserve">safeguard their </w:t>
      </w:r>
      <w:r w:rsidR="00DA3CE6" w:rsidRPr="003171CD">
        <w:rPr>
          <w:lang w:val="en-US"/>
        </w:rPr>
        <w:t xml:space="preserve">honorable </w:t>
      </w:r>
      <w:r w:rsidR="005A65CE" w:rsidRPr="003171CD">
        <w:rPr>
          <w:lang w:val="en-US"/>
        </w:rPr>
        <w:t>profe</w:t>
      </w:r>
      <w:r w:rsidR="00B033CC" w:rsidRPr="003171CD">
        <w:rPr>
          <w:lang w:val="en-US"/>
        </w:rPr>
        <w:t>s</w:t>
      </w:r>
      <w:r w:rsidR="005A65CE" w:rsidRPr="003171CD">
        <w:rPr>
          <w:lang w:val="en-US"/>
        </w:rPr>
        <w:t>sion</w:t>
      </w:r>
      <w:r w:rsidRPr="003171CD">
        <w:rPr>
          <w:lang w:val="en-US"/>
        </w:rPr>
        <w:t>.”</w:t>
      </w:r>
      <w:r w:rsidR="005A65CE" w:rsidRPr="003171CD">
        <w:rPr>
          <w:lang w:val="en-US"/>
        </w:rPr>
        <w:t xml:space="preserve"> The </w:t>
      </w:r>
      <w:r w:rsidR="005A65CE" w:rsidRPr="003171CD">
        <w:rPr>
          <w:b/>
          <w:i/>
          <w:lang w:val="en-US"/>
        </w:rPr>
        <w:t xml:space="preserve">Commission </w:t>
      </w:r>
      <w:r w:rsidRPr="003171CD">
        <w:rPr>
          <w:lang w:val="en-US"/>
        </w:rPr>
        <w:t xml:space="preserve">did not comment on this </w:t>
      </w:r>
      <w:r w:rsidR="009A5A21" w:rsidRPr="003171CD">
        <w:rPr>
          <w:lang w:val="en-US"/>
        </w:rPr>
        <w:t>measure</w:t>
      </w:r>
      <w:r w:rsidR="005A65CE" w:rsidRPr="003171CD">
        <w:rPr>
          <w:lang w:val="en-US"/>
        </w:rPr>
        <w:t>.</w:t>
      </w:r>
    </w:p>
    <w:p w14:paraId="7BA79A80" w14:textId="77777777" w:rsidR="005A65CE" w:rsidRPr="003171CD" w:rsidRDefault="005A65CE" w:rsidP="005A65CE">
      <w:pPr>
        <w:contextualSpacing/>
        <w:jc w:val="both"/>
        <w:rPr>
          <w:lang w:val="en-US"/>
        </w:rPr>
      </w:pPr>
    </w:p>
    <w:p w14:paraId="67DF2126"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b/>
          <w:lang w:val="en-US"/>
        </w:rPr>
        <w:t xml:space="preserve"> </w:t>
      </w:r>
      <w:r w:rsidRPr="003171CD">
        <w:rPr>
          <w:lang w:val="en-US"/>
        </w:rPr>
        <w:t>of</w:t>
      </w:r>
      <w:r w:rsidR="00966FF6" w:rsidRPr="003171CD">
        <w:rPr>
          <w:lang w:val="en-US"/>
        </w:rPr>
        <w:t xml:space="preserve">fered to display </w:t>
      </w:r>
      <w:r w:rsidRPr="003171CD">
        <w:rPr>
          <w:lang w:val="en-US"/>
        </w:rPr>
        <w:t xml:space="preserve">a </w:t>
      </w:r>
      <w:r w:rsidR="00A94B43" w:rsidRPr="003171CD">
        <w:rPr>
          <w:lang w:val="en-US"/>
        </w:rPr>
        <w:t>plaque</w:t>
      </w:r>
      <w:r w:rsidRPr="003171CD">
        <w:rPr>
          <w:lang w:val="en-US"/>
        </w:rPr>
        <w:t xml:space="preserve"> </w:t>
      </w:r>
      <w:r w:rsidR="00C02205" w:rsidRPr="003171CD">
        <w:rPr>
          <w:lang w:val="en-US"/>
        </w:rPr>
        <w:t xml:space="preserve">in </w:t>
      </w:r>
      <w:r w:rsidRPr="003171CD">
        <w:rPr>
          <w:lang w:val="en-US"/>
        </w:rPr>
        <w:t xml:space="preserve">acknowledgment of </w:t>
      </w:r>
      <w:r w:rsidR="00C02205" w:rsidRPr="003171CD">
        <w:rPr>
          <w:lang w:val="en-US"/>
        </w:rPr>
        <w:t>its responsibility at</w:t>
      </w:r>
      <w:r w:rsidRPr="003171CD">
        <w:rPr>
          <w:lang w:val="en-US"/>
        </w:rPr>
        <w:t xml:space="preserve"> the </w:t>
      </w:r>
      <w:r w:rsidR="00FB1691" w:rsidRPr="003171CD">
        <w:rPr>
          <w:lang w:val="en-US"/>
        </w:rPr>
        <w:t>Office of the Public Defender</w:t>
      </w:r>
      <w:r w:rsidRPr="003171CD">
        <w:rPr>
          <w:lang w:val="en-US"/>
        </w:rPr>
        <w:t xml:space="preserve"> </w:t>
      </w:r>
      <w:r w:rsidR="00966FF6" w:rsidRPr="003171CD">
        <w:rPr>
          <w:lang w:val="en-US"/>
        </w:rPr>
        <w:t>for a period of two years</w:t>
      </w:r>
      <w:r w:rsidRPr="003171CD">
        <w:rPr>
          <w:lang w:val="en-US"/>
        </w:rPr>
        <w:t xml:space="preserve">. </w:t>
      </w:r>
    </w:p>
    <w:p w14:paraId="7607AA5C" w14:textId="77777777" w:rsidR="005A65CE" w:rsidRPr="003171CD" w:rsidRDefault="005A65CE" w:rsidP="005A65CE">
      <w:pPr>
        <w:contextualSpacing/>
        <w:jc w:val="both"/>
        <w:rPr>
          <w:lang w:val="en-US"/>
        </w:rPr>
      </w:pPr>
    </w:p>
    <w:p w14:paraId="1F1F796B" w14:textId="77777777" w:rsidR="005A65CE" w:rsidRPr="003171CD" w:rsidRDefault="005A65CE" w:rsidP="005A65CE">
      <w:pPr>
        <w:ind w:firstLine="720"/>
        <w:rPr>
          <w:i/>
          <w:lang w:val="en-US"/>
        </w:rPr>
      </w:pPr>
      <w:r w:rsidRPr="003171CD">
        <w:rPr>
          <w:i/>
          <w:lang w:val="en-US"/>
        </w:rPr>
        <w:t>Considerations of the Court</w:t>
      </w:r>
    </w:p>
    <w:p w14:paraId="1581CA3A" w14:textId="77777777" w:rsidR="005A65CE" w:rsidRPr="003171CD" w:rsidRDefault="005A65CE" w:rsidP="005A65CE">
      <w:pPr>
        <w:rPr>
          <w:i/>
          <w:lang w:val="en-US"/>
        </w:rPr>
      </w:pPr>
    </w:p>
    <w:p w14:paraId="2F37CA12"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T</w:t>
      </w:r>
      <w:r w:rsidR="008624A1" w:rsidRPr="003171CD">
        <w:rPr>
          <w:lang w:val="en-US"/>
        </w:rPr>
        <w:t xml:space="preserve">aking into account </w:t>
      </w:r>
      <w:r w:rsidRPr="003171CD">
        <w:rPr>
          <w:lang w:val="en-US"/>
        </w:rPr>
        <w:t xml:space="preserve">the </w:t>
      </w:r>
      <w:r w:rsidR="009A5A21" w:rsidRPr="003171CD">
        <w:rPr>
          <w:lang w:val="en-US"/>
        </w:rPr>
        <w:t xml:space="preserve">State’s </w:t>
      </w:r>
      <w:r w:rsidR="008624A1" w:rsidRPr="003171CD">
        <w:rPr>
          <w:lang w:val="en-US"/>
        </w:rPr>
        <w:t xml:space="preserve">acquiescence </w:t>
      </w:r>
      <w:r w:rsidRPr="003171CD">
        <w:rPr>
          <w:lang w:val="en-US"/>
        </w:rPr>
        <w:t xml:space="preserve">and the facts </w:t>
      </w:r>
      <w:r w:rsidR="00A94B43" w:rsidRPr="003171CD">
        <w:rPr>
          <w:lang w:val="en-US"/>
        </w:rPr>
        <w:t>of th</w:t>
      </w:r>
      <w:r w:rsidR="009A5A21" w:rsidRPr="003171CD">
        <w:rPr>
          <w:lang w:val="en-US"/>
        </w:rPr>
        <w:t xml:space="preserve">is </w:t>
      </w:r>
      <w:r w:rsidRPr="003171CD">
        <w:rPr>
          <w:lang w:val="en-US"/>
        </w:rPr>
        <w:t xml:space="preserve">case, the Court </w:t>
      </w:r>
      <w:r w:rsidR="00A94B43" w:rsidRPr="003171CD">
        <w:rPr>
          <w:lang w:val="en-US"/>
        </w:rPr>
        <w:t xml:space="preserve">orders </w:t>
      </w:r>
      <w:r w:rsidRPr="003171CD">
        <w:rPr>
          <w:lang w:val="en-US"/>
        </w:rPr>
        <w:t xml:space="preserve">the State </w:t>
      </w:r>
      <w:r w:rsidR="00A94B43" w:rsidRPr="003171CD">
        <w:rPr>
          <w:lang w:val="en-US"/>
        </w:rPr>
        <w:t xml:space="preserve">to display </w:t>
      </w:r>
      <w:r w:rsidRPr="003171CD">
        <w:rPr>
          <w:lang w:val="en-US"/>
        </w:rPr>
        <w:t xml:space="preserve">a </w:t>
      </w:r>
      <w:r w:rsidR="00A94B43" w:rsidRPr="003171CD">
        <w:rPr>
          <w:lang w:val="en-US"/>
        </w:rPr>
        <w:t>plaque</w:t>
      </w:r>
      <w:r w:rsidR="00753210" w:rsidRPr="003171CD">
        <w:rPr>
          <w:lang w:val="en-US"/>
        </w:rPr>
        <w:t>,</w:t>
      </w:r>
      <w:r w:rsidRPr="003171CD">
        <w:rPr>
          <w:lang w:val="en-US"/>
        </w:rPr>
        <w:t xml:space="preserve"> in </w:t>
      </w:r>
      <w:r w:rsidR="00A94B43" w:rsidRPr="003171CD">
        <w:rPr>
          <w:lang w:val="en-US"/>
        </w:rPr>
        <w:t xml:space="preserve">a </w:t>
      </w:r>
      <w:r w:rsidRPr="003171CD">
        <w:rPr>
          <w:lang w:val="en-US"/>
        </w:rPr>
        <w:t xml:space="preserve">visible </w:t>
      </w:r>
      <w:r w:rsidR="00A94B43" w:rsidRPr="003171CD">
        <w:rPr>
          <w:lang w:val="en-US"/>
        </w:rPr>
        <w:t>place</w:t>
      </w:r>
      <w:r w:rsidR="00753210" w:rsidRPr="003171CD">
        <w:rPr>
          <w:lang w:val="en-US"/>
        </w:rPr>
        <w:t>,</w:t>
      </w:r>
      <w:r w:rsidR="00A94B43" w:rsidRPr="003171CD">
        <w:rPr>
          <w:lang w:val="en-US"/>
        </w:rPr>
        <w:t xml:space="preserve"> at </w:t>
      </w:r>
      <w:r w:rsidRPr="003171CD">
        <w:rPr>
          <w:lang w:val="en-US"/>
        </w:rPr>
        <w:t xml:space="preserve">the </w:t>
      </w:r>
      <w:r w:rsidR="00A94B43" w:rsidRPr="003171CD">
        <w:rPr>
          <w:lang w:val="en-US"/>
        </w:rPr>
        <w:t xml:space="preserve">headquarters </w:t>
      </w:r>
      <w:r w:rsidRPr="003171CD">
        <w:rPr>
          <w:lang w:val="en-US"/>
        </w:rPr>
        <w:t xml:space="preserve">of the </w:t>
      </w:r>
      <w:r w:rsidR="00FB1691" w:rsidRPr="003171CD">
        <w:rPr>
          <w:rFonts w:eastAsiaTheme="minorHAnsi" w:cs="Arial"/>
          <w:lang w:val="en-US"/>
        </w:rPr>
        <w:t>Office of the Public Defender</w:t>
      </w:r>
      <w:r w:rsidR="00A94B43" w:rsidRPr="003171CD">
        <w:rPr>
          <w:lang w:val="en-US"/>
        </w:rPr>
        <w:t xml:space="preserve"> for the purpose of </w:t>
      </w:r>
      <w:r w:rsidR="00753210" w:rsidRPr="003171CD">
        <w:rPr>
          <w:lang w:val="en-US"/>
        </w:rPr>
        <w:t xml:space="preserve">raising </w:t>
      </w:r>
      <w:r w:rsidRPr="003171CD">
        <w:rPr>
          <w:color w:val="000000"/>
          <w:lang w:val="en-US"/>
        </w:rPr>
        <w:t xml:space="preserve">institutional </w:t>
      </w:r>
      <w:r w:rsidR="00A94B43" w:rsidRPr="003171CD">
        <w:rPr>
          <w:color w:val="000000"/>
          <w:lang w:val="en-US"/>
        </w:rPr>
        <w:t xml:space="preserve">awareness </w:t>
      </w:r>
      <w:r w:rsidR="009A5A21" w:rsidRPr="003171CD">
        <w:rPr>
          <w:color w:val="000000"/>
          <w:lang w:val="en-US"/>
        </w:rPr>
        <w:t xml:space="preserve">and preventing </w:t>
      </w:r>
      <w:r w:rsidR="00A94B43" w:rsidRPr="003171CD">
        <w:rPr>
          <w:color w:val="000000"/>
          <w:lang w:val="en-US"/>
        </w:rPr>
        <w:t xml:space="preserve">a </w:t>
      </w:r>
      <w:r w:rsidRPr="003171CD">
        <w:rPr>
          <w:color w:val="000000"/>
          <w:lang w:val="en-US"/>
        </w:rPr>
        <w:t xml:space="preserve">repetition of </w:t>
      </w:r>
      <w:r w:rsidR="009A5A21" w:rsidRPr="003171CD">
        <w:rPr>
          <w:color w:val="000000"/>
          <w:lang w:val="en-US"/>
        </w:rPr>
        <w:t xml:space="preserve">events </w:t>
      </w:r>
      <w:r w:rsidR="00A94B43" w:rsidRPr="003171CD">
        <w:rPr>
          <w:color w:val="000000"/>
          <w:lang w:val="en-US"/>
        </w:rPr>
        <w:t xml:space="preserve">such as those that occurred in this </w:t>
      </w:r>
      <w:r w:rsidRPr="003171CD">
        <w:rPr>
          <w:color w:val="000000"/>
          <w:lang w:val="en-US"/>
        </w:rPr>
        <w:t>case</w:t>
      </w:r>
      <w:r w:rsidR="00A94B43" w:rsidRPr="003171CD">
        <w:rPr>
          <w:lang w:val="en-US"/>
        </w:rPr>
        <w:t>. T</w:t>
      </w:r>
      <w:r w:rsidRPr="003171CD">
        <w:rPr>
          <w:lang w:val="en-US"/>
        </w:rPr>
        <w:t xml:space="preserve">he </w:t>
      </w:r>
      <w:r w:rsidR="00A94B43" w:rsidRPr="003171CD">
        <w:rPr>
          <w:lang w:val="en-US"/>
        </w:rPr>
        <w:t>plaque</w:t>
      </w:r>
      <w:r w:rsidRPr="003171CD">
        <w:rPr>
          <w:lang w:val="en-US"/>
        </w:rPr>
        <w:t xml:space="preserve"> </w:t>
      </w:r>
      <w:r w:rsidR="00B033CC" w:rsidRPr="003171CD">
        <w:rPr>
          <w:lang w:val="en-US"/>
        </w:rPr>
        <w:t xml:space="preserve">must be </w:t>
      </w:r>
      <w:r w:rsidRPr="003171CD">
        <w:rPr>
          <w:lang w:val="en-US"/>
        </w:rPr>
        <w:t>instal</w:t>
      </w:r>
      <w:r w:rsidR="00A94B43" w:rsidRPr="003171CD">
        <w:rPr>
          <w:lang w:val="en-US"/>
        </w:rPr>
        <w:t>led within one year of notification of this Judgment. T</w:t>
      </w:r>
      <w:r w:rsidR="009A5A21" w:rsidRPr="003171CD">
        <w:rPr>
          <w:lang w:val="en-US"/>
        </w:rPr>
        <w:t>he wording on the</w:t>
      </w:r>
      <w:r w:rsidR="00A94B43" w:rsidRPr="003171CD">
        <w:rPr>
          <w:lang w:val="en-US"/>
        </w:rPr>
        <w:t xml:space="preserve"> plaque</w:t>
      </w:r>
      <w:r w:rsidRPr="003171CD">
        <w:rPr>
          <w:lang w:val="en-US"/>
        </w:rPr>
        <w:t xml:space="preserve"> </w:t>
      </w:r>
      <w:r w:rsidR="00B033CC" w:rsidRPr="003171CD">
        <w:rPr>
          <w:lang w:val="en-US"/>
        </w:rPr>
        <w:t xml:space="preserve">must be </w:t>
      </w:r>
      <w:r w:rsidRPr="003171CD">
        <w:rPr>
          <w:lang w:val="en-US"/>
        </w:rPr>
        <w:t>a</w:t>
      </w:r>
      <w:r w:rsidR="00A94B43" w:rsidRPr="003171CD">
        <w:rPr>
          <w:lang w:val="en-US"/>
        </w:rPr>
        <w:t xml:space="preserve">greed between </w:t>
      </w:r>
      <w:r w:rsidRPr="003171CD">
        <w:rPr>
          <w:lang w:val="en-US"/>
        </w:rPr>
        <w:t xml:space="preserve">the victims or </w:t>
      </w:r>
      <w:r w:rsidR="00A94B43" w:rsidRPr="003171CD">
        <w:rPr>
          <w:lang w:val="en-US"/>
        </w:rPr>
        <w:t xml:space="preserve">their </w:t>
      </w:r>
      <w:r w:rsidRPr="003171CD">
        <w:rPr>
          <w:lang w:val="en-US"/>
        </w:rPr>
        <w:t>representatives and the State.</w:t>
      </w:r>
    </w:p>
    <w:p w14:paraId="0A4FD475" w14:textId="77777777" w:rsidR="005A65CE" w:rsidRPr="003171CD" w:rsidRDefault="005A65CE" w:rsidP="005A65CE">
      <w:pPr>
        <w:contextualSpacing/>
        <w:jc w:val="both"/>
        <w:rPr>
          <w:lang w:val="en-US"/>
        </w:rPr>
      </w:pPr>
    </w:p>
    <w:p w14:paraId="33963DA8" w14:textId="77777777" w:rsidR="005A65CE" w:rsidRPr="003171CD" w:rsidRDefault="005A65CE" w:rsidP="005A65CE">
      <w:pPr>
        <w:ind w:left="1440"/>
        <w:contextualSpacing/>
        <w:jc w:val="both"/>
        <w:rPr>
          <w:b/>
          <w:i/>
          <w:lang w:val="en-US"/>
        </w:rPr>
      </w:pPr>
      <w:bookmarkStart w:id="83" w:name="_Toc406580706"/>
      <w:r w:rsidRPr="003171CD">
        <w:rPr>
          <w:b/>
          <w:i/>
          <w:lang w:val="en-US"/>
        </w:rPr>
        <w:t xml:space="preserve">C.4 </w:t>
      </w:r>
      <w:r w:rsidRPr="003171CD">
        <w:rPr>
          <w:b/>
          <w:i/>
          <w:lang w:val="en-US"/>
        </w:rPr>
        <w:tab/>
        <w:t>Guarantees of no</w:t>
      </w:r>
      <w:r w:rsidR="00B033CC" w:rsidRPr="003171CD">
        <w:rPr>
          <w:b/>
          <w:i/>
          <w:lang w:val="en-US"/>
        </w:rPr>
        <w:t>n-</w:t>
      </w:r>
      <w:r w:rsidRPr="003171CD">
        <w:rPr>
          <w:b/>
          <w:i/>
          <w:lang w:val="en-US"/>
        </w:rPr>
        <w:t>repetition</w:t>
      </w:r>
      <w:bookmarkEnd w:id="83"/>
    </w:p>
    <w:p w14:paraId="25C835DE" w14:textId="77777777" w:rsidR="005A65CE" w:rsidRPr="003171CD" w:rsidRDefault="005A65CE" w:rsidP="005A65CE">
      <w:pPr>
        <w:pStyle w:val="Ttulo3"/>
        <w:spacing w:before="0"/>
        <w:rPr>
          <w:rFonts w:ascii="Verdana" w:hAnsi="Verdana"/>
          <w:i/>
          <w:color w:val="auto"/>
          <w:lang w:val="en-US"/>
        </w:rPr>
      </w:pPr>
      <w:bookmarkStart w:id="84" w:name="_Toc402799519"/>
    </w:p>
    <w:p w14:paraId="0CC74557" w14:textId="77777777" w:rsidR="005A65CE" w:rsidRPr="003171CD" w:rsidRDefault="005A65CE" w:rsidP="005A65CE">
      <w:pPr>
        <w:widowControl w:val="0"/>
        <w:ind w:left="1404" w:firstLine="720"/>
        <w:jc w:val="both"/>
        <w:textAlignment w:val="baseline"/>
        <w:rPr>
          <w:b/>
          <w:i/>
          <w:lang w:val="en-US"/>
        </w:rPr>
      </w:pPr>
      <w:bookmarkStart w:id="85" w:name="_Toc402799520"/>
      <w:bookmarkEnd w:id="84"/>
      <w:r w:rsidRPr="003171CD">
        <w:rPr>
          <w:b/>
          <w:i/>
          <w:lang w:val="en-US"/>
        </w:rPr>
        <w:t xml:space="preserve">C.4.a </w:t>
      </w:r>
      <w:r w:rsidRPr="003171CD">
        <w:rPr>
          <w:b/>
          <w:i/>
          <w:lang w:val="en-US"/>
        </w:rPr>
        <w:tab/>
      </w:r>
      <w:r w:rsidR="007360D2" w:rsidRPr="003171CD">
        <w:rPr>
          <w:b/>
          <w:i/>
          <w:lang w:val="en-US"/>
        </w:rPr>
        <w:t>Education and t</w:t>
      </w:r>
      <w:r w:rsidR="0097297B" w:rsidRPr="003171CD">
        <w:rPr>
          <w:b/>
          <w:i/>
          <w:lang w:val="en-US"/>
        </w:rPr>
        <w:t>raining programs</w:t>
      </w:r>
      <w:r w:rsidRPr="003171CD">
        <w:rPr>
          <w:b/>
          <w:i/>
          <w:lang w:val="en-US"/>
        </w:rPr>
        <w:t xml:space="preserve"> </w:t>
      </w:r>
      <w:bookmarkEnd w:id="85"/>
    </w:p>
    <w:p w14:paraId="53BBDD37" w14:textId="77777777" w:rsidR="005A65CE" w:rsidRPr="003171CD" w:rsidRDefault="005A65CE" w:rsidP="005A65CE">
      <w:pPr>
        <w:rPr>
          <w:b/>
          <w:i/>
          <w:lang w:val="en-US"/>
        </w:rPr>
      </w:pPr>
    </w:p>
    <w:p w14:paraId="6922732D" w14:textId="77777777" w:rsidR="005A65CE" w:rsidRPr="003171CD" w:rsidRDefault="005A65CE" w:rsidP="005A65CE">
      <w:pPr>
        <w:ind w:firstLine="720"/>
        <w:rPr>
          <w:bCs/>
          <w:i/>
          <w:iCs/>
          <w:color w:val="000000"/>
          <w:lang w:val="en-US"/>
        </w:rPr>
      </w:pPr>
      <w:r w:rsidRPr="003171CD">
        <w:rPr>
          <w:bCs/>
          <w:i/>
          <w:iCs/>
          <w:color w:val="000000"/>
          <w:lang w:val="en-US"/>
        </w:rPr>
        <w:t>Arguments of the parties and of the Commission</w:t>
      </w:r>
    </w:p>
    <w:p w14:paraId="69A96A46" w14:textId="77777777" w:rsidR="005A65CE" w:rsidRPr="003171CD" w:rsidRDefault="005A65CE" w:rsidP="005A65CE">
      <w:pPr>
        <w:rPr>
          <w:i/>
          <w:iCs/>
          <w:lang w:val="en-US"/>
        </w:rPr>
      </w:pPr>
    </w:p>
    <w:p w14:paraId="235EF2F9" w14:textId="77777777" w:rsidR="005A65CE" w:rsidRPr="003171CD" w:rsidRDefault="005A65CE" w:rsidP="005A65CE">
      <w:pPr>
        <w:numPr>
          <w:ilvl w:val="0"/>
          <w:numId w:val="1"/>
        </w:numPr>
        <w:autoSpaceDE/>
        <w:autoSpaceDN/>
        <w:adjustRightInd/>
        <w:contextualSpacing/>
        <w:jc w:val="both"/>
        <w:rPr>
          <w:iCs/>
          <w:lang w:val="en-US"/>
        </w:rPr>
      </w:pPr>
      <w:r w:rsidRPr="003171CD">
        <w:rPr>
          <w:iCs/>
          <w:lang w:val="en-US"/>
        </w:rPr>
        <w:t xml:space="preserve">The </w:t>
      </w:r>
      <w:r w:rsidRPr="003171CD">
        <w:rPr>
          <w:b/>
          <w:i/>
          <w:iCs/>
          <w:lang w:val="en-US"/>
        </w:rPr>
        <w:t>Commission</w:t>
      </w:r>
      <w:r w:rsidRPr="003171CD">
        <w:rPr>
          <w:iCs/>
          <w:lang w:val="en-US"/>
        </w:rPr>
        <w:t xml:space="preserve"> </w:t>
      </w:r>
      <w:r w:rsidR="00A94B43" w:rsidRPr="003171CD">
        <w:rPr>
          <w:iCs/>
          <w:lang w:val="en-US"/>
        </w:rPr>
        <w:t xml:space="preserve">emphasized the </w:t>
      </w:r>
      <w:r w:rsidR="006A7E74" w:rsidRPr="003171CD">
        <w:rPr>
          <w:iCs/>
          <w:lang w:val="en-US"/>
        </w:rPr>
        <w:t xml:space="preserve">importance that </w:t>
      </w:r>
      <w:r w:rsidRPr="003171CD">
        <w:rPr>
          <w:iCs/>
          <w:lang w:val="en-US"/>
        </w:rPr>
        <w:t xml:space="preserve">the State </w:t>
      </w:r>
      <w:r w:rsidR="006A7E74" w:rsidRPr="003171CD">
        <w:rPr>
          <w:iCs/>
          <w:lang w:val="en-US"/>
        </w:rPr>
        <w:t xml:space="preserve">take the </w:t>
      </w:r>
      <w:r w:rsidRPr="003171CD">
        <w:rPr>
          <w:iCs/>
          <w:lang w:val="en-US"/>
        </w:rPr>
        <w:t>necessar</w:t>
      </w:r>
      <w:r w:rsidR="00A94B43" w:rsidRPr="003171CD">
        <w:rPr>
          <w:iCs/>
          <w:lang w:val="en-US"/>
        </w:rPr>
        <w:t xml:space="preserve">y </w:t>
      </w:r>
      <w:r w:rsidR="006A7E74" w:rsidRPr="003171CD">
        <w:rPr>
          <w:iCs/>
          <w:lang w:val="en-US"/>
        </w:rPr>
        <w:t xml:space="preserve">steps </w:t>
      </w:r>
      <w:r w:rsidR="00A73104" w:rsidRPr="003171CD">
        <w:rPr>
          <w:iCs/>
          <w:lang w:val="en-US"/>
        </w:rPr>
        <w:t>to prevent the</w:t>
      </w:r>
      <w:r w:rsidR="00A94B43" w:rsidRPr="003171CD">
        <w:rPr>
          <w:iCs/>
          <w:lang w:val="en-US"/>
        </w:rPr>
        <w:t xml:space="preserve"> repetit</w:t>
      </w:r>
      <w:r w:rsidR="00A73104" w:rsidRPr="003171CD">
        <w:rPr>
          <w:iCs/>
          <w:lang w:val="en-US"/>
        </w:rPr>
        <w:t xml:space="preserve">ion of facts similar to those in this case </w:t>
      </w:r>
      <w:r w:rsidR="00A94B43" w:rsidRPr="003171CD">
        <w:rPr>
          <w:iCs/>
          <w:lang w:val="en-US"/>
        </w:rPr>
        <w:t>in the future. I</w:t>
      </w:r>
      <w:r w:rsidRPr="003171CD">
        <w:rPr>
          <w:iCs/>
          <w:lang w:val="en-US"/>
        </w:rPr>
        <w:t xml:space="preserve">n particular, the Commission </w:t>
      </w:r>
      <w:r w:rsidR="00A73104" w:rsidRPr="003171CD">
        <w:rPr>
          <w:iCs/>
          <w:lang w:val="en-US"/>
        </w:rPr>
        <w:t xml:space="preserve">asked </w:t>
      </w:r>
      <w:r w:rsidR="00A94B43" w:rsidRPr="003171CD">
        <w:rPr>
          <w:iCs/>
          <w:lang w:val="en-US"/>
        </w:rPr>
        <w:t xml:space="preserve">the </w:t>
      </w:r>
      <w:r w:rsidR="00B24832" w:rsidRPr="003171CD">
        <w:rPr>
          <w:iCs/>
          <w:lang w:val="en-US"/>
        </w:rPr>
        <w:t xml:space="preserve">Court </w:t>
      </w:r>
      <w:r w:rsidR="00A73104" w:rsidRPr="003171CD">
        <w:rPr>
          <w:iCs/>
          <w:lang w:val="en-US"/>
        </w:rPr>
        <w:t xml:space="preserve">to </w:t>
      </w:r>
      <w:r w:rsidR="00A94B43" w:rsidRPr="003171CD">
        <w:rPr>
          <w:iCs/>
          <w:lang w:val="en-US"/>
        </w:rPr>
        <w:t xml:space="preserve">order </w:t>
      </w:r>
      <w:r w:rsidRPr="003171CD">
        <w:rPr>
          <w:iCs/>
          <w:lang w:val="en-US"/>
        </w:rPr>
        <w:t>the State t</w:t>
      </w:r>
      <w:r w:rsidR="00A94B43" w:rsidRPr="003171CD">
        <w:rPr>
          <w:iCs/>
          <w:lang w:val="en-US"/>
        </w:rPr>
        <w:t>o implement</w:t>
      </w:r>
      <w:r w:rsidRPr="003171CD">
        <w:rPr>
          <w:iCs/>
          <w:lang w:val="en-US"/>
        </w:rPr>
        <w:t xml:space="preserve"> “</w:t>
      </w:r>
      <w:r w:rsidR="0097297B" w:rsidRPr="003171CD">
        <w:rPr>
          <w:iCs/>
          <w:lang w:val="en-US"/>
        </w:rPr>
        <w:t>training programs</w:t>
      </w:r>
      <w:r w:rsidRPr="003171CD">
        <w:rPr>
          <w:rFonts w:eastAsiaTheme="minorHAnsi" w:cs="Calibri"/>
          <w:lang w:val="en-US"/>
        </w:rPr>
        <w:t xml:space="preserve"> </w:t>
      </w:r>
      <w:r w:rsidR="00A94B43" w:rsidRPr="003171CD">
        <w:rPr>
          <w:rFonts w:eastAsiaTheme="minorHAnsi" w:cs="Calibri"/>
          <w:lang w:val="en-US"/>
        </w:rPr>
        <w:t xml:space="preserve">for State </w:t>
      </w:r>
      <w:r w:rsidR="00E96948" w:rsidRPr="003171CD">
        <w:rPr>
          <w:rFonts w:eastAsiaTheme="minorHAnsi" w:cs="Calibri"/>
          <w:lang w:val="en-US"/>
        </w:rPr>
        <w:t>officials</w:t>
      </w:r>
      <w:r w:rsidRPr="003171CD">
        <w:rPr>
          <w:rFonts w:eastAsiaTheme="minorHAnsi" w:cs="Calibri"/>
          <w:lang w:val="en-US"/>
        </w:rPr>
        <w:t xml:space="preserve"> </w:t>
      </w:r>
      <w:r w:rsidR="00B24832" w:rsidRPr="003171CD">
        <w:rPr>
          <w:rFonts w:eastAsiaTheme="minorHAnsi" w:cs="Calibri"/>
          <w:lang w:val="en-US"/>
        </w:rPr>
        <w:t xml:space="preserve">based on </w:t>
      </w:r>
      <w:r w:rsidR="00B033CC" w:rsidRPr="003171CD">
        <w:rPr>
          <w:rFonts w:eastAsiaTheme="minorHAnsi" w:cs="Calibri"/>
          <w:lang w:val="en-US"/>
        </w:rPr>
        <w:t xml:space="preserve">the </w:t>
      </w:r>
      <w:r w:rsidRPr="003171CD">
        <w:rPr>
          <w:rFonts w:eastAsiaTheme="minorHAnsi" w:cs="Calibri"/>
          <w:lang w:val="en-US"/>
        </w:rPr>
        <w:t xml:space="preserve">international </w:t>
      </w:r>
      <w:r w:rsidR="00A94B43" w:rsidRPr="003171CD">
        <w:rPr>
          <w:rFonts w:eastAsiaTheme="minorHAnsi" w:cs="Calibri"/>
          <w:lang w:val="en-US"/>
        </w:rPr>
        <w:t xml:space="preserve">standards </w:t>
      </w:r>
      <w:r w:rsidR="00A73104" w:rsidRPr="003171CD">
        <w:rPr>
          <w:rFonts w:eastAsiaTheme="minorHAnsi" w:cs="Calibri"/>
          <w:lang w:val="en-US"/>
        </w:rPr>
        <w:t xml:space="preserve">and principles </w:t>
      </w:r>
      <w:r w:rsidR="00B24832" w:rsidRPr="003171CD">
        <w:rPr>
          <w:rFonts w:eastAsiaTheme="minorHAnsi" w:cs="Calibri"/>
          <w:lang w:val="en-US"/>
        </w:rPr>
        <w:t xml:space="preserve">established </w:t>
      </w:r>
      <w:r w:rsidR="00A73104" w:rsidRPr="003171CD">
        <w:rPr>
          <w:rFonts w:eastAsiaTheme="minorHAnsi" w:cs="Calibri"/>
          <w:lang w:val="en-US"/>
        </w:rPr>
        <w:t xml:space="preserve">for </w:t>
      </w:r>
      <w:r w:rsidRPr="003171CD">
        <w:rPr>
          <w:rFonts w:eastAsiaTheme="minorHAnsi" w:cs="Calibri"/>
          <w:lang w:val="en-US"/>
        </w:rPr>
        <w:t xml:space="preserve">the </w:t>
      </w:r>
      <w:r w:rsidR="00DE1264" w:rsidRPr="003171CD">
        <w:rPr>
          <w:rFonts w:eastAsiaTheme="minorHAnsi" w:cs="Calibri"/>
          <w:lang w:val="en-US"/>
        </w:rPr>
        <w:t xml:space="preserve">effective </w:t>
      </w:r>
      <w:r w:rsidRPr="003171CD">
        <w:rPr>
          <w:rFonts w:eastAsiaTheme="minorHAnsi" w:cs="Calibri"/>
          <w:lang w:val="en-US"/>
        </w:rPr>
        <w:t xml:space="preserve">investigation and documentation of </w:t>
      </w:r>
      <w:r w:rsidR="00DE1264" w:rsidRPr="003171CD">
        <w:rPr>
          <w:rFonts w:eastAsiaTheme="minorHAnsi" w:cs="Calibri"/>
          <w:lang w:val="en-US"/>
        </w:rPr>
        <w:t xml:space="preserve">torture </w:t>
      </w:r>
      <w:r w:rsidR="00DE1264" w:rsidRPr="003171CD">
        <w:rPr>
          <w:lang w:val="en-US"/>
        </w:rPr>
        <w:t>and other cruel, inhuman or degrading treatment or punishment</w:t>
      </w:r>
      <w:r w:rsidR="00DE1264" w:rsidRPr="003171CD">
        <w:rPr>
          <w:rFonts w:eastAsiaTheme="minorHAnsi" w:cs="Calibri"/>
          <w:lang w:val="en-US"/>
        </w:rPr>
        <w:t xml:space="preserve"> </w:t>
      </w:r>
      <w:r w:rsidRPr="003171CD">
        <w:rPr>
          <w:rFonts w:eastAsiaTheme="minorHAnsi" w:cs="Calibri"/>
          <w:lang w:val="en-US"/>
        </w:rPr>
        <w:t xml:space="preserve">and the </w:t>
      </w:r>
      <w:r w:rsidR="00DE1264" w:rsidRPr="003171CD">
        <w:rPr>
          <w:rFonts w:eastAsiaTheme="minorHAnsi" w:cs="Calibri"/>
          <w:lang w:val="en-US"/>
        </w:rPr>
        <w:t xml:space="preserve">Istanbul </w:t>
      </w:r>
      <w:r w:rsidRPr="003171CD">
        <w:rPr>
          <w:rFonts w:eastAsiaTheme="minorHAnsi" w:cs="Calibri"/>
          <w:lang w:val="en-US"/>
        </w:rPr>
        <w:t>Protocol</w:t>
      </w:r>
      <w:r w:rsidR="00DE1264" w:rsidRPr="003171CD">
        <w:rPr>
          <w:rFonts w:eastAsiaTheme="minorHAnsi" w:cs="Calibri"/>
          <w:lang w:val="en-US"/>
        </w:rPr>
        <w:t>.”</w:t>
      </w:r>
      <w:r w:rsidRPr="003171CD">
        <w:rPr>
          <w:rFonts w:eastAsiaTheme="minorHAnsi" w:cs="Calibri"/>
          <w:lang w:val="en-US"/>
        </w:rPr>
        <w:t xml:space="preserve"> </w:t>
      </w:r>
      <w:r w:rsidR="00DE1264" w:rsidRPr="003171CD">
        <w:rPr>
          <w:rFonts w:eastAsiaTheme="minorHAnsi" w:cs="Calibri"/>
          <w:lang w:val="en-US"/>
        </w:rPr>
        <w:t xml:space="preserve">These </w:t>
      </w:r>
      <w:r w:rsidRPr="003171CD">
        <w:rPr>
          <w:rFonts w:eastAsiaTheme="minorHAnsi" w:cs="Calibri"/>
          <w:lang w:val="en-US"/>
        </w:rPr>
        <w:t>pro</w:t>
      </w:r>
      <w:r w:rsidR="00DE1264" w:rsidRPr="003171CD">
        <w:rPr>
          <w:rFonts w:eastAsiaTheme="minorHAnsi" w:cs="Calibri"/>
          <w:lang w:val="en-US"/>
        </w:rPr>
        <w:t>gram</w:t>
      </w:r>
      <w:r w:rsidRPr="003171CD">
        <w:rPr>
          <w:rFonts w:eastAsiaTheme="minorHAnsi" w:cs="Calibri"/>
          <w:lang w:val="en-US"/>
        </w:rPr>
        <w:t xml:space="preserve">s </w:t>
      </w:r>
      <w:r w:rsidR="00B24832" w:rsidRPr="003171CD">
        <w:rPr>
          <w:rFonts w:eastAsiaTheme="minorHAnsi" w:cs="Calibri"/>
          <w:lang w:val="en-US"/>
        </w:rPr>
        <w:t xml:space="preserve">should comply with </w:t>
      </w:r>
      <w:r w:rsidRPr="003171CD">
        <w:rPr>
          <w:rFonts w:eastAsiaTheme="minorHAnsi" w:cs="Calibri"/>
          <w:lang w:val="en-US"/>
        </w:rPr>
        <w:t>“</w:t>
      </w:r>
      <w:r w:rsidR="00FB1691" w:rsidRPr="003171CD">
        <w:rPr>
          <w:rFonts w:eastAsiaTheme="minorHAnsi" w:cs="Calibri"/>
          <w:lang w:val="en-US"/>
        </w:rPr>
        <w:t xml:space="preserve">the duty </w:t>
      </w:r>
      <w:r w:rsidR="00B24832" w:rsidRPr="003171CD">
        <w:rPr>
          <w:rFonts w:eastAsiaTheme="minorHAnsi" w:cs="Calibri"/>
          <w:lang w:val="en-US"/>
        </w:rPr>
        <w:t xml:space="preserve">to protect and guarantee </w:t>
      </w:r>
      <w:r w:rsidRPr="003171CD">
        <w:rPr>
          <w:rFonts w:eastAsiaTheme="minorHAnsi" w:cs="Calibri"/>
          <w:lang w:val="en-US"/>
        </w:rPr>
        <w:t>the fundamental rights recognized in the American Convention</w:t>
      </w:r>
      <w:r w:rsidR="00A94B43" w:rsidRPr="003171CD">
        <w:rPr>
          <w:rFonts w:eastAsiaTheme="minorHAnsi" w:cs="Calibri"/>
          <w:lang w:val="en-US"/>
        </w:rPr>
        <w:t>.”</w:t>
      </w:r>
      <w:r w:rsidRPr="003171CD">
        <w:rPr>
          <w:rFonts w:eastAsiaTheme="minorHAnsi" w:cs="Calibri"/>
          <w:lang w:val="en-US"/>
        </w:rPr>
        <w:t xml:space="preserve"> </w:t>
      </w:r>
    </w:p>
    <w:p w14:paraId="0C9BF162" w14:textId="77777777" w:rsidR="005A65CE" w:rsidRPr="003171CD" w:rsidRDefault="005A65CE" w:rsidP="005A65CE">
      <w:pPr>
        <w:tabs>
          <w:tab w:val="left" w:pos="720"/>
          <w:tab w:val="num" w:pos="5057"/>
        </w:tabs>
        <w:ind w:right="-90"/>
        <w:contextualSpacing/>
        <w:jc w:val="both"/>
        <w:rPr>
          <w:iCs/>
          <w:lang w:val="en-US"/>
        </w:rPr>
      </w:pPr>
    </w:p>
    <w:p w14:paraId="5587F58C" w14:textId="77777777" w:rsidR="005A65CE" w:rsidRPr="003171CD" w:rsidRDefault="005A65CE" w:rsidP="005A65CE">
      <w:pPr>
        <w:numPr>
          <w:ilvl w:val="0"/>
          <w:numId w:val="1"/>
        </w:numPr>
        <w:autoSpaceDE/>
        <w:autoSpaceDN/>
        <w:adjustRightInd/>
        <w:contextualSpacing/>
        <w:jc w:val="both"/>
        <w:rPr>
          <w:iCs/>
          <w:color w:val="000000" w:themeColor="text1"/>
          <w:lang w:val="en-US"/>
        </w:rPr>
      </w:pPr>
      <w:r w:rsidRPr="003171CD">
        <w:rPr>
          <w:rFonts w:eastAsiaTheme="minorHAnsi" w:cs="Arial"/>
          <w:color w:val="000000" w:themeColor="text1"/>
          <w:lang w:val="en-US"/>
        </w:rPr>
        <w:t xml:space="preserve">The </w:t>
      </w:r>
      <w:r w:rsidRPr="003171CD">
        <w:rPr>
          <w:rFonts w:eastAsiaTheme="minorHAnsi" w:cs="Arial"/>
          <w:b/>
          <w:i/>
          <w:color w:val="000000" w:themeColor="text1"/>
          <w:lang w:val="en-US"/>
        </w:rPr>
        <w:t>representatives</w:t>
      </w:r>
      <w:r w:rsidRPr="003171CD">
        <w:rPr>
          <w:rFonts w:eastAsiaTheme="minorHAnsi" w:cs="Arial"/>
          <w:i/>
          <w:color w:val="000000" w:themeColor="text1"/>
          <w:lang w:val="en-US"/>
        </w:rPr>
        <w:t xml:space="preserve"> </w:t>
      </w:r>
      <w:r w:rsidR="00B24832" w:rsidRPr="003171CD">
        <w:rPr>
          <w:rFonts w:eastAsiaTheme="minorHAnsi" w:cs="Arial"/>
          <w:color w:val="000000" w:themeColor="text1"/>
          <w:lang w:val="en-US"/>
        </w:rPr>
        <w:t xml:space="preserve">requested that </w:t>
      </w:r>
      <w:r w:rsidR="001E6EE0" w:rsidRPr="003171CD">
        <w:rPr>
          <w:rFonts w:eastAsiaTheme="minorHAnsi" w:cs="Arial"/>
          <w:color w:val="000000" w:themeColor="text1"/>
          <w:lang w:val="en-US"/>
        </w:rPr>
        <w:t xml:space="preserve">the </w:t>
      </w:r>
      <w:r w:rsidR="00B24832" w:rsidRPr="003171CD">
        <w:rPr>
          <w:rFonts w:eastAsiaTheme="minorHAnsi" w:cs="Arial"/>
          <w:color w:val="000000" w:themeColor="text1"/>
          <w:lang w:val="en-US"/>
        </w:rPr>
        <w:t xml:space="preserve">Court </w:t>
      </w:r>
      <w:r w:rsidR="001E6EE0" w:rsidRPr="003171CD">
        <w:rPr>
          <w:rFonts w:eastAsiaTheme="minorHAnsi" w:cs="Arial"/>
          <w:color w:val="000000" w:themeColor="text1"/>
          <w:lang w:val="en-US"/>
        </w:rPr>
        <w:t xml:space="preserve">order </w:t>
      </w:r>
      <w:r w:rsidRPr="003171CD">
        <w:rPr>
          <w:rFonts w:eastAsiaTheme="minorHAnsi" w:cs="Arial"/>
          <w:color w:val="000000" w:themeColor="text1"/>
          <w:lang w:val="en-US"/>
        </w:rPr>
        <w:t xml:space="preserve">the State </w:t>
      </w:r>
      <w:r w:rsidR="00A94B43" w:rsidRPr="003171CD">
        <w:rPr>
          <w:rFonts w:eastAsiaTheme="minorHAnsi" w:cs="Arial"/>
          <w:color w:val="000000" w:themeColor="text1"/>
          <w:lang w:val="en-US"/>
        </w:rPr>
        <w:t xml:space="preserve">to implement </w:t>
      </w:r>
      <w:r w:rsidRPr="003171CD">
        <w:rPr>
          <w:lang w:val="en-US"/>
        </w:rPr>
        <w:t>“</w:t>
      </w:r>
      <w:r w:rsidR="0097297B" w:rsidRPr="003171CD">
        <w:rPr>
          <w:lang w:val="en-US"/>
        </w:rPr>
        <w:t>training programs</w:t>
      </w:r>
      <w:r w:rsidRPr="003171CD">
        <w:rPr>
          <w:lang w:val="en-US"/>
        </w:rPr>
        <w:t xml:space="preserve"> </w:t>
      </w:r>
      <w:r w:rsidR="001E6EE0" w:rsidRPr="003171CD">
        <w:rPr>
          <w:lang w:val="en-US"/>
        </w:rPr>
        <w:t xml:space="preserve">for State </w:t>
      </w:r>
      <w:r w:rsidR="00E96948" w:rsidRPr="003171CD">
        <w:rPr>
          <w:lang w:val="en-US"/>
        </w:rPr>
        <w:t>officials</w:t>
      </w:r>
      <w:r w:rsidRPr="003171CD">
        <w:rPr>
          <w:lang w:val="en-US"/>
        </w:rPr>
        <w:t xml:space="preserve"> </w:t>
      </w:r>
      <w:r w:rsidR="00A94B43" w:rsidRPr="003171CD">
        <w:rPr>
          <w:lang w:val="en-US"/>
        </w:rPr>
        <w:t xml:space="preserve">based on </w:t>
      </w:r>
      <w:r w:rsidR="00B24832" w:rsidRPr="003171CD">
        <w:rPr>
          <w:lang w:val="en-US"/>
        </w:rPr>
        <w:t xml:space="preserve">the </w:t>
      </w:r>
      <w:r w:rsidRPr="003171CD">
        <w:rPr>
          <w:lang w:val="en-US"/>
        </w:rPr>
        <w:t xml:space="preserve">international </w:t>
      </w:r>
      <w:r w:rsidR="001E6EE0" w:rsidRPr="003171CD">
        <w:rPr>
          <w:lang w:val="en-US"/>
        </w:rPr>
        <w:t xml:space="preserve">standards </w:t>
      </w:r>
      <w:r w:rsidR="00A73104" w:rsidRPr="003171CD">
        <w:rPr>
          <w:lang w:val="en-US"/>
        </w:rPr>
        <w:t xml:space="preserve">and principles </w:t>
      </w:r>
      <w:r w:rsidRPr="003171CD">
        <w:rPr>
          <w:lang w:val="en-US"/>
        </w:rPr>
        <w:t xml:space="preserve">established </w:t>
      </w:r>
      <w:r w:rsidR="00B24832" w:rsidRPr="003171CD">
        <w:rPr>
          <w:lang w:val="en-US"/>
        </w:rPr>
        <w:t xml:space="preserve">for </w:t>
      </w:r>
      <w:r w:rsidR="001E6EE0" w:rsidRPr="003171CD">
        <w:rPr>
          <w:lang w:val="en-US"/>
        </w:rPr>
        <w:t xml:space="preserve">the effective </w:t>
      </w:r>
      <w:r w:rsidRPr="003171CD">
        <w:rPr>
          <w:lang w:val="en-US"/>
        </w:rPr>
        <w:t xml:space="preserve">investigation and documentation </w:t>
      </w:r>
      <w:r w:rsidR="001E6EE0" w:rsidRPr="003171CD">
        <w:rPr>
          <w:lang w:val="en-US"/>
        </w:rPr>
        <w:t xml:space="preserve">of </w:t>
      </w:r>
      <w:r w:rsidRPr="003171CD">
        <w:rPr>
          <w:lang w:val="en-US"/>
        </w:rPr>
        <w:t xml:space="preserve">torture and other </w:t>
      </w:r>
      <w:r w:rsidR="00B24832" w:rsidRPr="003171CD">
        <w:rPr>
          <w:lang w:val="en-US"/>
        </w:rPr>
        <w:t>cruel, inhuman</w:t>
      </w:r>
      <w:r w:rsidRPr="003171CD">
        <w:rPr>
          <w:lang w:val="en-US"/>
        </w:rPr>
        <w:t xml:space="preserve"> or degrading </w:t>
      </w:r>
      <w:r w:rsidR="001E6EE0" w:rsidRPr="003171CD">
        <w:rPr>
          <w:lang w:val="en-US"/>
        </w:rPr>
        <w:t xml:space="preserve">treatment or punishment </w:t>
      </w:r>
      <w:r w:rsidRPr="003171CD">
        <w:rPr>
          <w:lang w:val="en-US"/>
        </w:rPr>
        <w:t xml:space="preserve">and the </w:t>
      </w:r>
      <w:r w:rsidR="001E6EE0" w:rsidRPr="003171CD">
        <w:rPr>
          <w:lang w:val="en-US"/>
        </w:rPr>
        <w:t xml:space="preserve">Istanbul </w:t>
      </w:r>
      <w:r w:rsidRPr="003171CD">
        <w:rPr>
          <w:lang w:val="en-US"/>
        </w:rPr>
        <w:t>Protocol</w:t>
      </w:r>
      <w:r w:rsidR="001E6EE0" w:rsidRPr="003171CD">
        <w:rPr>
          <w:lang w:val="en-US"/>
        </w:rPr>
        <w:t>.”</w:t>
      </w:r>
    </w:p>
    <w:p w14:paraId="5BE3D77F" w14:textId="77777777" w:rsidR="005A65CE" w:rsidRPr="003171CD" w:rsidRDefault="005A65CE" w:rsidP="005A65CE">
      <w:pPr>
        <w:rPr>
          <w:i/>
          <w:iCs/>
          <w:lang w:val="en-US"/>
        </w:rPr>
      </w:pPr>
    </w:p>
    <w:p w14:paraId="4ECF0298" w14:textId="77777777" w:rsidR="005A65CE" w:rsidRPr="003171CD" w:rsidRDefault="0097297B" w:rsidP="005A65CE">
      <w:pPr>
        <w:numPr>
          <w:ilvl w:val="0"/>
          <w:numId w:val="1"/>
        </w:numPr>
        <w:autoSpaceDE/>
        <w:autoSpaceDN/>
        <w:adjustRightInd/>
        <w:contextualSpacing/>
        <w:jc w:val="both"/>
        <w:rPr>
          <w:rFonts w:eastAsiaTheme="minorHAnsi" w:cs="Arial"/>
          <w:lang w:val="en-US"/>
        </w:rPr>
      </w:pPr>
      <w:r w:rsidRPr="003171CD">
        <w:rPr>
          <w:rFonts w:eastAsiaTheme="minorHAnsi" w:cs="Arial"/>
          <w:lang w:val="en-US"/>
        </w:rPr>
        <w:t>For its part</w:t>
      </w:r>
      <w:r w:rsidR="005A65CE" w:rsidRPr="003171CD">
        <w:rPr>
          <w:rFonts w:eastAsiaTheme="minorHAnsi" w:cs="Arial"/>
          <w:lang w:val="en-US"/>
        </w:rPr>
        <w:t xml:space="preserve">, the </w:t>
      </w:r>
      <w:r w:rsidR="005A65CE" w:rsidRPr="003171CD">
        <w:rPr>
          <w:rFonts w:eastAsiaTheme="minorHAnsi" w:cs="Arial"/>
          <w:b/>
          <w:i/>
          <w:lang w:val="en-US"/>
        </w:rPr>
        <w:t>State</w:t>
      </w:r>
      <w:r w:rsidR="005A65CE" w:rsidRPr="003171CD">
        <w:rPr>
          <w:rFonts w:eastAsiaTheme="minorHAnsi" w:cs="Arial"/>
          <w:lang w:val="en-US"/>
        </w:rPr>
        <w:t xml:space="preserve"> </w:t>
      </w:r>
      <w:r w:rsidR="00FB1691" w:rsidRPr="003171CD">
        <w:rPr>
          <w:rFonts w:eastAsiaTheme="minorHAnsi" w:cs="Arial"/>
          <w:lang w:val="en-US"/>
        </w:rPr>
        <w:t xml:space="preserve">pointed out </w:t>
      </w:r>
      <w:r w:rsidR="001E6EE0" w:rsidRPr="003171CD">
        <w:rPr>
          <w:rFonts w:eastAsiaTheme="minorHAnsi" w:cs="Arial"/>
          <w:lang w:val="en-US"/>
        </w:rPr>
        <w:t>that</w:t>
      </w:r>
      <w:r w:rsidR="00B24832" w:rsidRPr="003171CD">
        <w:rPr>
          <w:rFonts w:eastAsiaTheme="minorHAnsi" w:cs="Arial"/>
          <w:lang w:val="en-US"/>
        </w:rPr>
        <w:t>,</w:t>
      </w:r>
      <w:r w:rsidR="005A65CE" w:rsidRPr="003171CD">
        <w:rPr>
          <w:rFonts w:eastAsiaTheme="minorHAnsi" w:cs="Arial"/>
          <w:lang w:val="en-US"/>
        </w:rPr>
        <w:t xml:space="preserve"> </w:t>
      </w:r>
      <w:r w:rsidR="00FB1691" w:rsidRPr="003171CD">
        <w:rPr>
          <w:rFonts w:eastAsiaTheme="minorHAnsi" w:cs="Arial"/>
          <w:lang w:val="en-US"/>
        </w:rPr>
        <w:t xml:space="preserve">since </w:t>
      </w:r>
      <w:r w:rsidR="00FB1691" w:rsidRPr="003171CD">
        <w:rPr>
          <w:lang w:val="en-US"/>
        </w:rPr>
        <w:t>2009</w:t>
      </w:r>
      <w:r w:rsidR="00B24832" w:rsidRPr="003171CD">
        <w:rPr>
          <w:lang w:val="en-US"/>
        </w:rPr>
        <w:t>,</w:t>
      </w:r>
      <w:r w:rsidR="00FB1691" w:rsidRPr="003171CD">
        <w:rPr>
          <w:lang w:val="en-US"/>
        </w:rPr>
        <w:t xml:space="preserve"> </w:t>
      </w:r>
      <w:r w:rsidR="001E6EE0" w:rsidRPr="003171CD">
        <w:rPr>
          <w:lang w:val="en-US"/>
        </w:rPr>
        <w:t xml:space="preserve">it </w:t>
      </w:r>
      <w:r w:rsidR="005A65CE" w:rsidRPr="003171CD">
        <w:rPr>
          <w:lang w:val="en-US"/>
        </w:rPr>
        <w:t>ha</w:t>
      </w:r>
      <w:r w:rsidR="001E6EE0" w:rsidRPr="003171CD">
        <w:rPr>
          <w:lang w:val="en-US"/>
        </w:rPr>
        <w:t>s</w:t>
      </w:r>
      <w:r w:rsidR="005A65CE" w:rsidRPr="003171CD">
        <w:rPr>
          <w:lang w:val="en-US"/>
        </w:rPr>
        <w:t xml:space="preserve"> implement</w:t>
      </w:r>
      <w:r w:rsidR="001E6EE0" w:rsidRPr="003171CD">
        <w:rPr>
          <w:lang w:val="en-US"/>
        </w:rPr>
        <w:t xml:space="preserve">ed various </w:t>
      </w:r>
      <w:r w:rsidR="005A65CE" w:rsidRPr="003171CD">
        <w:rPr>
          <w:lang w:val="en-US"/>
        </w:rPr>
        <w:t xml:space="preserve">human rights </w:t>
      </w:r>
      <w:r w:rsidR="00FB1691" w:rsidRPr="003171CD">
        <w:rPr>
          <w:lang w:val="en-US"/>
        </w:rPr>
        <w:t>training programs at the following institutions:</w:t>
      </w:r>
      <w:r w:rsidR="005A65CE" w:rsidRPr="003171CD">
        <w:rPr>
          <w:lang w:val="en-US"/>
        </w:rPr>
        <w:t xml:space="preserve"> the National </w:t>
      </w:r>
      <w:r w:rsidRPr="003171CD">
        <w:rPr>
          <w:lang w:val="en-US"/>
        </w:rPr>
        <w:t xml:space="preserve">Academy </w:t>
      </w:r>
      <w:r w:rsidR="005A65CE" w:rsidRPr="003171CD">
        <w:rPr>
          <w:lang w:val="en-US"/>
        </w:rPr>
        <w:t xml:space="preserve">of </w:t>
      </w:r>
      <w:r w:rsidR="001E6EE0" w:rsidRPr="003171CD">
        <w:rPr>
          <w:lang w:val="en-US"/>
        </w:rPr>
        <w:t>Public Security</w:t>
      </w:r>
      <w:r w:rsidR="005A65CE" w:rsidRPr="003171CD">
        <w:rPr>
          <w:lang w:val="en-US"/>
        </w:rPr>
        <w:t xml:space="preserve">, </w:t>
      </w:r>
      <w:r w:rsidR="00FB1691" w:rsidRPr="003171CD">
        <w:rPr>
          <w:lang w:val="en-US"/>
        </w:rPr>
        <w:t xml:space="preserve">responsible for </w:t>
      </w:r>
      <w:r w:rsidR="005A65CE" w:rsidRPr="003171CD">
        <w:rPr>
          <w:lang w:val="en-US"/>
        </w:rPr>
        <w:t xml:space="preserve">the </w:t>
      </w:r>
      <w:r w:rsidR="00B24832" w:rsidRPr="003171CD">
        <w:rPr>
          <w:lang w:val="en-US"/>
        </w:rPr>
        <w:t xml:space="preserve">basic </w:t>
      </w:r>
      <w:r w:rsidRPr="003171CD">
        <w:rPr>
          <w:lang w:val="en-US"/>
        </w:rPr>
        <w:t xml:space="preserve">training of </w:t>
      </w:r>
      <w:r w:rsidR="005A65CE" w:rsidRPr="003171CD">
        <w:rPr>
          <w:lang w:val="en-US"/>
        </w:rPr>
        <w:t xml:space="preserve">police </w:t>
      </w:r>
      <w:r w:rsidRPr="003171CD">
        <w:rPr>
          <w:lang w:val="en-US"/>
        </w:rPr>
        <w:t>officers</w:t>
      </w:r>
      <w:r w:rsidR="005A65CE" w:rsidRPr="003171CD">
        <w:rPr>
          <w:lang w:val="en-US"/>
        </w:rPr>
        <w:t xml:space="preserve">; the </w:t>
      </w:r>
      <w:r w:rsidR="00940256" w:rsidRPr="003171CD">
        <w:rPr>
          <w:lang w:val="en-US"/>
        </w:rPr>
        <w:t>Prosecutor</w:t>
      </w:r>
      <w:r w:rsidR="00FB1691" w:rsidRPr="003171CD">
        <w:rPr>
          <w:lang w:val="en-US"/>
        </w:rPr>
        <w:t>s’ Training School</w:t>
      </w:r>
      <w:r w:rsidR="005A65CE" w:rsidRPr="003171CD">
        <w:rPr>
          <w:lang w:val="en-US"/>
        </w:rPr>
        <w:t xml:space="preserve"> of the Office of the </w:t>
      </w:r>
      <w:r w:rsidR="00B24832" w:rsidRPr="003171CD">
        <w:rPr>
          <w:lang w:val="en-US"/>
        </w:rPr>
        <w:t xml:space="preserve">Prosecutor </w:t>
      </w:r>
      <w:r w:rsidR="005A65CE" w:rsidRPr="003171CD">
        <w:rPr>
          <w:lang w:val="en-US"/>
        </w:rPr>
        <w:t xml:space="preserve">General of the Republic; the </w:t>
      </w:r>
      <w:r w:rsidR="00FB1691" w:rsidRPr="003171CD">
        <w:rPr>
          <w:lang w:val="en-US"/>
        </w:rPr>
        <w:t xml:space="preserve">Office of the </w:t>
      </w:r>
      <w:r w:rsidR="006C674C" w:rsidRPr="003171CD">
        <w:rPr>
          <w:lang w:val="en-US"/>
        </w:rPr>
        <w:t>Attorney General</w:t>
      </w:r>
      <w:r w:rsidR="005A65CE" w:rsidRPr="003171CD">
        <w:rPr>
          <w:lang w:val="en-US"/>
        </w:rPr>
        <w:t xml:space="preserve"> of the Republic; and </w:t>
      </w:r>
      <w:r w:rsidR="00FB1691" w:rsidRPr="003171CD">
        <w:rPr>
          <w:lang w:val="en-US"/>
        </w:rPr>
        <w:t xml:space="preserve">at </w:t>
      </w:r>
      <w:r w:rsidR="005A65CE" w:rsidRPr="003171CD">
        <w:rPr>
          <w:lang w:val="en-US"/>
        </w:rPr>
        <w:t xml:space="preserve">the Judicial </w:t>
      </w:r>
      <w:r w:rsidR="001E6EE0" w:rsidRPr="003171CD">
        <w:rPr>
          <w:lang w:val="en-US"/>
        </w:rPr>
        <w:t xml:space="preserve">Training </w:t>
      </w:r>
      <w:r w:rsidR="00761B6C" w:rsidRPr="003171CD">
        <w:rPr>
          <w:lang w:val="en-US"/>
        </w:rPr>
        <w:t xml:space="preserve">Academy </w:t>
      </w:r>
      <w:r w:rsidR="001E6EE0" w:rsidRPr="003171CD">
        <w:rPr>
          <w:lang w:val="en-US"/>
        </w:rPr>
        <w:t>of the</w:t>
      </w:r>
      <w:r w:rsidR="005A65CE" w:rsidRPr="003171CD">
        <w:rPr>
          <w:lang w:val="en-US"/>
        </w:rPr>
        <w:t xml:space="preserve"> </w:t>
      </w:r>
      <w:r w:rsidR="00265913" w:rsidRPr="003171CD">
        <w:rPr>
          <w:lang w:val="en-US"/>
        </w:rPr>
        <w:t xml:space="preserve">National </w:t>
      </w:r>
      <w:r w:rsidRPr="003171CD">
        <w:rPr>
          <w:lang w:val="en-US"/>
        </w:rPr>
        <w:t xml:space="preserve">Council </w:t>
      </w:r>
      <w:r w:rsidR="00265913" w:rsidRPr="003171CD">
        <w:rPr>
          <w:lang w:val="en-US"/>
        </w:rPr>
        <w:t>of the Judic</w:t>
      </w:r>
      <w:r w:rsidRPr="003171CD">
        <w:rPr>
          <w:lang w:val="en-US"/>
        </w:rPr>
        <w:t>i</w:t>
      </w:r>
      <w:r w:rsidR="00265913" w:rsidRPr="003171CD">
        <w:rPr>
          <w:lang w:val="en-US"/>
        </w:rPr>
        <w:t>a</w:t>
      </w:r>
      <w:r w:rsidRPr="003171CD">
        <w:rPr>
          <w:lang w:val="en-US"/>
        </w:rPr>
        <w:t>ry</w:t>
      </w:r>
      <w:r w:rsidR="00265913" w:rsidRPr="003171CD">
        <w:rPr>
          <w:lang w:val="en-US"/>
        </w:rPr>
        <w:t>. I</w:t>
      </w:r>
      <w:r w:rsidR="005A65CE" w:rsidRPr="003171CD">
        <w:rPr>
          <w:lang w:val="en-US"/>
        </w:rPr>
        <w:t xml:space="preserve">n particular, </w:t>
      </w:r>
      <w:r w:rsidR="001E6EE0" w:rsidRPr="003171CD">
        <w:rPr>
          <w:lang w:val="en-US"/>
        </w:rPr>
        <w:t xml:space="preserve">it stated </w:t>
      </w:r>
      <w:r w:rsidR="005A65CE" w:rsidRPr="003171CD">
        <w:rPr>
          <w:lang w:val="en-US"/>
        </w:rPr>
        <w:t xml:space="preserve">that the National </w:t>
      </w:r>
      <w:r w:rsidR="001E6EE0" w:rsidRPr="003171CD">
        <w:rPr>
          <w:lang w:val="en-US"/>
        </w:rPr>
        <w:t xml:space="preserve">Academy </w:t>
      </w:r>
      <w:r w:rsidR="005A65CE" w:rsidRPr="003171CD">
        <w:rPr>
          <w:lang w:val="en-US"/>
        </w:rPr>
        <w:t xml:space="preserve">of </w:t>
      </w:r>
      <w:r w:rsidR="001E6EE0" w:rsidRPr="003171CD">
        <w:rPr>
          <w:lang w:val="en-US"/>
        </w:rPr>
        <w:t>Public Security</w:t>
      </w:r>
      <w:r w:rsidR="005A65CE" w:rsidRPr="003171CD">
        <w:rPr>
          <w:lang w:val="en-US"/>
        </w:rPr>
        <w:t xml:space="preserve"> “</w:t>
      </w:r>
      <w:r w:rsidR="00FB1691" w:rsidRPr="003171CD">
        <w:rPr>
          <w:lang w:val="en-US"/>
        </w:rPr>
        <w:t xml:space="preserve">has </w:t>
      </w:r>
      <w:r w:rsidR="005A65CE" w:rsidRPr="003171CD">
        <w:rPr>
          <w:lang w:val="en-US"/>
        </w:rPr>
        <w:t>re</w:t>
      </w:r>
      <w:r w:rsidR="001E6EE0" w:rsidRPr="003171CD">
        <w:rPr>
          <w:lang w:val="en-US"/>
        </w:rPr>
        <w:t xml:space="preserve">inforced </w:t>
      </w:r>
      <w:r w:rsidR="00FB1691" w:rsidRPr="003171CD">
        <w:rPr>
          <w:lang w:val="en-US"/>
        </w:rPr>
        <w:t xml:space="preserve">its </w:t>
      </w:r>
      <w:r w:rsidRPr="003171CD">
        <w:rPr>
          <w:lang w:val="en-US"/>
        </w:rPr>
        <w:t>training programs</w:t>
      </w:r>
      <w:r w:rsidR="005A65CE" w:rsidRPr="003171CD">
        <w:rPr>
          <w:lang w:val="en-US"/>
        </w:rPr>
        <w:t xml:space="preserve"> and </w:t>
      </w:r>
      <w:r w:rsidR="00B24832" w:rsidRPr="003171CD">
        <w:rPr>
          <w:lang w:val="en-US"/>
        </w:rPr>
        <w:t>the study</w:t>
      </w:r>
      <w:r w:rsidR="00FB1691" w:rsidRPr="003171CD">
        <w:rPr>
          <w:lang w:val="en-US"/>
        </w:rPr>
        <w:t xml:space="preserve"> </w:t>
      </w:r>
      <w:r w:rsidR="005A65CE" w:rsidRPr="003171CD">
        <w:rPr>
          <w:lang w:val="en-US"/>
        </w:rPr>
        <w:t>of in</w:t>
      </w:r>
      <w:r w:rsidRPr="003171CD">
        <w:rPr>
          <w:lang w:val="en-US"/>
        </w:rPr>
        <w:t xml:space="preserve">struments </w:t>
      </w:r>
      <w:r w:rsidR="001E6EE0" w:rsidRPr="003171CD">
        <w:rPr>
          <w:lang w:val="en-US"/>
        </w:rPr>
        <w:t xml:space="preserve">such as </w:t>
      </w:r>
      <w:r w:rsidRPr="003171CD">
        <w:rPr>
          <w:lang w:val="en-US"/>
        </w:rPr>
        <w:t xml:space="preserve">the </w:t>
      </w:r>
      <w:r w:rsidR="001E6EE0" w:rsidRPr="003171CD">
        <w:rPr>
          <w:lang w:val="en-US"/>
        </w:rPr>
        <w:t>Istanbul Protocol</w:t>
      </w:r>
      <w:r w:rsidR="005A65CE" w:rsidRPr="003171CD">
        <w:rPr>
          <w:lang w:val="en-US"/>
        </w:rPr>
        <w:t xml:space="preserve">, the </w:t>
      </w:r>
      <w:r w:rsidRPr="003171CD">
        <w:rPr>
          <w:lang w:val="en-US"/>
        </w:rPr>
        <w:t xml:space="preserve">Inter-American </w:t>
      </w:r>
      <w:r w:rsidR="001E6EE0" w:rsidRPr="003171CD">
        <w:rPr>
          <w:lang w:val="en-US"/>
        </w:rPr>
        <w:t xml:space="preserve">Convention </w:t>
      </w:r>
      <w:r w:rsidRPr="003171CD">
        <w:rPr>
          <w:lang w:val="en-US"/>
        </w:rPr>
        <w:t>to Prevent</w:t>
      </w:r>
      <w:r w:rsidR="005A65CE" w:rsidRPr="003171CD">
        <w:rPr>
          <w:lang w:val="en-US"/>
        </w:rPr>
        <w:t xml:space="preserve"> and </w:t>
      </w:r>
      <w:r w:rsidR="00FB1691" w:rsidRPr="003171CD">
        <w:rPr>
          <w:lang w:val="en-US"/>
        </w:rPr>
        <w:t xml:space="preserve">Punish </w:t>
      </w:r>
      <w:r w:rsidR="005A65CE" w:rsidRPr="003171CD">
        <w:rPr>
          <w:lang w:val="en-US"/>
        </w:rPr>
        <w:t xml:space="preserve">Torture, and the </w:t>
      </w:r>
      <w:r w:rsidR="00265913" w:rsidRPr="003171CD">
        <w:rPr>
          <w:lang w:val="en-US"/>
        </w:rPr>
        <w:t xml:space="preserve">United Nations </w:t>
      </w:r>
      <w:r w:rsidR="005A65CE" w:rsidRPr="003171CD">
        <w:rPr>
          <w:lang w:val="en-US"/>
        </w:rPr>
        <w:t xml:space="preserve">Convention </w:t>
      </w:r>
      <w:r w:rsidR="00265913" w:rsidRPr="003171CD">
        <w:rPr>
          <w:lang w:val="en-US"/>
        </w:rPr>
        <w:t xml:space="preserve">Against </w:t>
      </w:r>
      <w:r w:rsidR="005A65CE" w:rsidRPr="003171CD">
        <w:rPr>
          <w:lang w:val="en-US"/>
        </w:rPr>
        <w:t xml:space="preserve">Torture and </w:t>
      </w:r>
      <w:r w:rsidR="001E6EE0" w:rsidRPr="003171CD">
        <w:rPr>
          <w:lang w:val="en-US"/>
        </w:rPr>
        <w:t>Other Cruel, Inhuman or Degrading Treatment or Punishment</w:t>
      </w:r>
      <w:r w:rsidR="00B24832" w:rsidRPr="003171CD">
        <w:rPr>
          <w:lang w:val="en-US"/>
        </w:rPr>
        <w:t xml:space="preserve">. </w:t>
      </w:r>
      <w:r w:rsidR="00761B6C" w:rsidRPr="003171CD">
        <w:rPr>
          <w:lang w:val="en-US"/>
        </w:rPr>
        <w:t xml:space="preserve">The State </w:t>
      </w:r>
      <w:r w:rsidR="00B24832" w:rsidRPr="003171CD">
        <w:rPr>
          <w:lang w:val="en-US"/>
        </w:rPr>
        <w:t>added</w:t>
      </w:r>
      <w:r w:rsidR="001E6EE0" w:rsidRPr="003171CD">
        <w:rPr>
          <w:lang w:val="en-US"/>
        </w:rPr>
        <w:t xml:space="preserve"> that </w:t>
      </w:r>
      <w:r w:rsidRPr="003171CD">
        <w:rPr>
          <w:lang w:val="en-US"/>
        </w:rPr>
        <w:t xml:space="preserve">once </w:t>
      </w:r>
      <w:r w:rsidR="00B24832" w:rsidRPr="003171CD">
        <w:rPr>
          <w:lang w:val="en-US"/>
        </w:rPr>
        <w:t>this Court has issued its ruling in th</w:t>
      </w:r>
      <w:r w:rsidR="00761B6C" w:rsidRPr="003171CD">
        <w:rPr>
          <w:lang w:val="en-US"/>
        </w:rPr>
        <w:t xml:space="preserve">is </w:t>
      </w:r>
      <w:r w:rsidR="005A65CE" w:rsidRPr="003171CD">
        <w:rPr>
          <w:lang w:val="en-US"/>
        </w:rPr>
        <w:t xml:space="preserve">case, </w:t>
      </w:r>
      <w:r w:rsidR="00761B6C" w:rsidRPr="003171CD">
        <w:rPr>
          <w:lang w:val="en-US"/>
        </w:rPr>
        <w:t xml:space="preserve">it </w:t>
      </w:r>
      <w:r w:rsidR="008624A1" w:rsidRPr="003171CD">
        <w:rPr>
          <w:lang w:val="en-US"/>
        </w:rPr>
        <w:t xml:space="preserve">will be </w:t>
      </w:r>
      <w:r w:rsidR="005A65CE" w:rsidRPr="003171CD">
        <w:rPr>
          <w:lang w:val="en-US"/>
        </w:rPr>
        <w:t>u</w:t>
      </w:r>
      <w:r w:rsidRPr="003171CD">
        <w:rPr>
          <w:lang w:val="en-US"/>
        </w:rPr>
        <w:t>sed [</w:t>
      </w:r>
      <w:r w:rsidR="005A65CE" w:rsidRPr="003171CD">
        <w:rPr>
          <w:lang w:val="en-US"/>
        </w:rPr>
        <w:t xml:space="preserve"> …] </w:t>
      </w:r>
      <w:r w:rsidRPr="003171CD">
        <w:rPr>
          <w:lang w:val="en-US"/>
        </w:rPr>
        <w:t xml:space="preserve">as a </w:t>
      </w:r>
      <w:r w:rsidR="005A65CE" w:rsidRPr="003171CD">
        <w:rPr>
          <w:lang w:val="en-US"/>
        </w:rPr>
        <w:t xml:space="preserve">case </w:t>
      </w:r>
      <w:r w:rsidR="00265913" w:rsidRPr="003171CD">
        <w:rPr>
          <w:lang w:val="en-US"/>
        </w:rPr>
        <w:t xml:space="preserve">study </w:t>
      </w:r>
      <w:r w:rsidR="00507970" w:rsidRPr="003171CD">
        <w:rPr>
          <w:lang w:val="en-US"/>
        </w:rPr>
        <w:t xml:space="preserve">for training </w:t>
      </w:r>
      <w:r w:rsidR="00265913" w:rsidRPr="003171CD">
        <w:rPr>
          <w:lang w:val="en-US"/>
        </w:rPr>
        <w:t xml:space="preserve">the teaching staff </w:t>
      </w:r>
      <w:r w:rsidR="005A65CE" w:rsidRPr="003171CD">
        <w:rPr>
          <w:lang w:val="en-US"/>
        </w:rPr>
        <w:t xml:space="preserve">of </w:t>
      </w:r>
      <w:r w:rsidR="00265913" w:rsidRPr="003171CD">
        <w:rPr>
          <w:lang w:val="en-US"/>
        </w:rPr>
        <w:t xml:space="preserve">that </w:t>
      </w:r>
      <w:r w:rsidR="00507970" w:rsidRPr="003171CD">
        <w:rPr>
          <w:lang w:val="en-US"/>
        </w:rPr>
        <w:t>institution</w:t>
      </w:r>
      <w:r w:rsidR="00761B6C" w:rsidRPr="003171CD">
        <w:rPr>
          <w:lang w:val="en-US"/>
        </w:rPr>
        <w:t>;”</w:t>
      </w:r>
      <w:r w:rsidR="00507970" w:rsidRPr="003171CD">
        <w:rPr>
          <w:lang w:val="en-US"/>
        </w:rPr>
        <w:t xml:space="preserve"> that “the</w:t>
      </w:r>
      <w:r w:rsidR="005A65CE" w:rsidRPr="003171CD">
        <w:rPr>
          <w:lang w:val="en-US"/>
        </w:rPr>
        <w:t xml:space="preserve"> </w:t>
      </w:r>
      <w:r w:rsidR="006C674C" w:rsidRPr="003171CD">
        <w:rPr>
          <w:lang w:val="en-US"/>
        </w:rPr>
        <w:t>Attorney General</w:t>
      </w:r>
      <w:r w:rsidR="005A65CE" w:rsidRPr="003171CD">
        <w:rPr>
          <w:lang w:val="en-US"/>
        </w:rPr>
        <w:t xml:space="preserve"> of t</w:t>
      </w:r>
      <w:r w:rsidR="00265913" w:rsidRPr="003171CD">
        <w:rPr>
          <w:lang w:val="en-US"/>
        </w:rPr>
        <w:t xml:space="preserve">he Republic has </w:t>
      </w:r>
      <w:r w:rsidR="00761B6C" w:rsidRPr="003171CD">
        <w:rPr>
          <w:lang w:val="en-US"/>
        </w:rPr>
        <w:t xml:space="preserve">developed </w:t>
      </w:r>
      <w:r w:rsidR="005A65CE" w:rsidRPr="003171CD">
        <w:rPr>
          <w:lang w:val="en-US"/>
        </w:rPr>
        <w:t xml:space="preserve">a </w:t>
      </w:r>
      <w:r w:rsidR="00265913" w:rsidRPr="003171CD">
        <w:rPr>
          <w:lang w:val="en-US"/>
        </w:rPr>
        <w:t>training module</w:t>
      </w:r>
      <w:r w:rsidR="005A65CE" w:rsidRPr="003171CD">
        <w:rPr>
          <w:lang w:val="en-US"/>
        </w:rPr>
        <w:t xml:space="preserve"> in international human rights</w:t>
      </w:r>
      <w:r w:rsidR="00761B6C" w:rsidRPr="003171CD">
        <w:rPr>
          <w:lang w:val="en-US"/>
        </w:rPr>
        <w:t xml:space="preserve"> law</w:t>
      </w:r>
      <w:r w:rsidR="005A65CE" w:rsidRPr="003171CD">
        <w:rPr>
          <w:lang w:val="en-US"/>
        </w:rPr>
        <w:t>, and ha</w:t>
      </w:r>
      <w:r w:rsidR="001E6EE0" w:rsidRPr="003171CD">
        <w:rPr>
          <w:lang w:val="en-US"/>
        </w:rPr>
        <w:t>s offered</w:t>
      </w:r>
      <w:r w:rsidR="005A65CE" w:rsidRPr="003171CD">
        <w:rPr>
          <w:lang w:val="en-US"/>
        </w:rPr>
        <w:t xml:space="preserve"> </w:t>
      </w:r>
      <w:r w:rsidR="001E6EE0" w:rsidRPr="003171CD">
        <w:rPr>
          <w:lang w:val="en-US"/>
        </w:rPr>
        <w:t xml:space="preserve">to reinforce training at </w:t>
      </w:r>
      <w:r w:rsidR="005A65CE" w:rsidRPr="003171CD">
        <w:rPr>
          <w:lang w:val="en-US"/>
        </w:rPr>
        <w:t xml:space="preserve">national </w:t>
      </w:r>
      <w:r w:rsidR="001E6EE0" w:rsidRPr="003171CD">
        <w:rPr>
          <w:lang w:val="en-US"/>
        </w:rPr>
        <w:t xml:space="preserve">level </w:t>
      </w:r>
      <w:r w:rsidR="005A65CE" w:rsidRPr="003171CD">
        <w:rPr>
          <w:lang w:val="en-US"/>
        </w:rPr>
        <w:t>in t</w:t>
      </w:r>
      <w:r w:rsidR="00265913" w:rsidRPr="003171CD">
        <w:rPr>
          <w:lang w:val="en-US"/>
        </w:rPr>
        <w:t xml:space="preserve">opics such as </w:t>
      </w:r>
      <w:r w:rsidR="005A65CE" w:rsidRPr="003171CD">
        <w:rPr>
          <w:i/>
          <w:lang w:val="en-US"/>
        </w:rPr>
        <w:t>habeas corpus</w:t>
      </w:r>
      <w:r w:rsidR="00761B6C" w:rsidRPr="003171CD">
        <w:rPr>
          <w:i/>
          <w:lang w:val="en-US"/>
        </w:rPr>
        <w:t>;</w:t>
      </w:r>
      <w:r w:rsidR="00761B6C" w:rsidRPr="003171CD">
        <w:rPr>
          <w:lang w:val="en-US"/>
        </w:rPr>
        <w:t>”</w:t>
      </w:r>
      <w:r w:rsidR="005A65CE" w:rsidRPr="003171CD">
        <w:rPr>
          <w:lang w:val="en-US"/>
        </w:rPr>
        <w:t xml:space="preserve"> and that the Judicial </w:t>
      </w:r>
      <w:r w:rsidR="008624A1" w:rsidRPr="003171CD">
        <w:rPr>
          <w:lang w:val="en-US"/>
        </w:rPr>
        <w:t xml:space="preserve">Training  </w:t>
      </w:r>
      <w:r w:rsidR="00761B6C" w:rsidRPr="003171CD">
        <w:rPr>
          <w:lang w:val="en-US"/>
        </w:rPr>
        <w:t xml:space="preserve">Academy </w:t>
      </w:r>
      <w:r w:rsidR="005A65CE" w:rsidRPr="003171CD">
        <w:rPr>
          <w:lang w:val="en-US"/>
        </w:rPr>
        <w:t>“impart</w:t>
      </w:r>
      <w:r w:rsidRPr="003171CD">
        <w:rPr>
          <w:lang w:val="en-US"/>
        </w:rPr>
        <w:t>s</w:t>
      </w:r>
      <w:r w:rsidR="005A65CE" w:rsidRPr="003171CD">
        <w:rPr>
          <w:lang w:val="en-US"/>
        </w:rPr>
        <w:t xml:space="preserve"> c</w:t>
      </w:r>
      <w:r w:rsidRPr="003171CD">
        <w:rPr>
          <w:lang w:val="en-US"/>
        </w:rPr>
        <w:t>ourses on the</w:t>
      </w:r>
      <w:r w:rsidR="005A65CE" w:rsidRPr="003171CD">
        <w:rPr>
          <w:lang w:val="en-US"/>
        </w:rPr>
        <w:t xml:space="preserve"> international </w:t>
      </w:r>
      <w:r w:rsidRPr="003171CD">
        <w:rPr>
          <w:lang w:val="en-US"/>
        </w:rPr>
        <w:t xml:space="preserve">instruments for the protection </w:t>
      </w:r>
      <w:r w:rsidR="005A65CE" w:rsidRPr="003171CD">
        <w:rPr>
          <w:lang w:val="en-US"/>
        </w:rPr>
        <w:t xml:space="preserve">of human rights and the </w:t>
      </w:r>
      <w:r w:rsidRPr="003171CD">
        <w:rPr>
          <w:lang w:val="en-US"/>
        </w:rPr>
        <w:t>Inter-American Human R</w:t>
      </w:r>
      <w:r w:rsidR="005A65CE" w:rsidRPr="003171CD">
        <w:rPr>
          <w:lang w:val="en-US"/>
        </w:rPr>
        <w:t>ights</w:t>
      </w:r>
      <w:r w:rsidRPr="003171CD">
        <w:rPr>
          <w:lang w:val="en-US"/>
        </w:rPr>
        <w:t xml:space="preserve"> System.”</w:t>
      </w:r>
      <w:r w:rsidR="005A65CE" w:rsidRPr="003171CD">
        <w:rPr>
          <w:lang w:val="en-US"/>
        </w:rPr>
        <w:t xml:space="preserve"> </w:t>
      </w:r>
      <w:r w:rsidR="00761B6C" w:rsidRPr="003171CD">
        <w:rPr>
          <w:lang w:val="en-US"/>
        </w:rPr>
        <w:t xml:space="preserve">Furthermore, it pointed out </w:t>
      </w:r>
      <w:r w:rsidR="001E6EE0" w:rsidRPr="003171CD">
        <w:rPr>
          <w:lang w:val="en-US"/>
        </w:rPr>
        <w:t xml:space="preserve">that </w:t>
      </w:r>
      <w:r w:rsidR="005A65CE" w:rsidRPr="003171CD">
        <w:rPr>
          <w:lang w:val="en-US"/>
        </w:rPr>
        <w:t xml:space="preserve">the </w:t>
      </w:r>
      <w:r w:rsidR="005A65CE" w:rsidRPr="003171CD">
        <w:rPr>
          <w:rFonts w:eastAsiaTheme="minorHAnsi"/>
          <w:lang w:val="en-US"/>
        </w:rPr>
        <w:t xml:space="preserve">Office of the Attorney General </w:t>
      </w:r>
      <w:r w:rsidRPr="003171CD">
        <w:rPr>
          <w:rFonts w:eastAsiaTheme="minorHAnsi"/>
          <w:lang w:val="en-US"/>
        </w:rPr>
        <w:t xml:space="preserve">has already </w:t>
      </w:r>
      <w:r w:rsidR="005A65CE" w:rsidRPr="003171CD">
        <w:rPr>
          <w:rFonts w:eastAsiaTheme="minorHAnsi"/>
          <w:lang w:val="en-US"/>
        </w:rPr>
        <w:t>implement</w:t>
      </w:r>
      <w:r w:rsidRPr="003171CD">
        <w:rPr>
          <w:rFonts w:eastAsiaTheme="minorHAnsi"/>
          <w:lang w:val="en-US"/>
        </w:rPr>
        <w:t xml:space="preserve">ed </w:t>
      </w:r>
      <w:r w:rsidR="005A65CE" w:rsidRPr="003171CD">
        <w:rPr>
          <w:rFonts w:eastAsiaTheme="minorHAnsi"/>
          <w:lang w:val="en-US"/>
        </w:rPr>
        <w:t xml:space="preserve">a </w:t>
      </w:r>
      <w:r w:rsidR="008624A1" w:rsidRPr="003171CD">
        <w:rPr>
          <w:rFonts w:eastAsiaTheme="minorHAnsi"/>
          <w:lang w:val="en-US"/>
        </w:rPr>
        <w:t xml:space="preserve">Criminal Prosecution Policy </w:t>
      </w:r>
      <w:r w:rsidR="005A65CE" w:rsidRPr="003171CD">
        <w:rPr>
          <w:rFonts w:eastAsiaTheme="minorHAnsi"/>
          <w:lang w:val="en-US"/>
        </w:rPr>
        <w:t>that requi</w:t>
      </w:r>
      <w:r w:rsidR="00254706" w:rsidRPr="003171CD">
        <w:rPr>
          <w:rFonts w:eastAsiaTheme="minorHAnsi"/>
          <w:lang w:val="en-US"/>
        </w:rPr>
        <w:t xml:space="preserve">res </w:t>
      </w:r>
      <w:r w:rsidR="00507970" w:rsidRPr="003171CD">
        <w:rPr>
          <w:rFonts w:eastAsiaTheme="minorHAnsi"/>
          <w:lang w:val="en-US"/>
        </w:rPr>
        <w:t xml:space="preserve">all prosecutors to respect the fundamental rights of </w:t>
      </w:r>
      <w:r w:rsidR="00761B6C" w:rsidRPr="003171CD">
        <w:rPr>
          <w:rFonts w:eastAsiaTheme="minorHAnsi"/>
          <w:lang w:val="en-US"/>
        </w:rPr>
        <w:t xml:space="preserve">defendants </w:t>
      </w:r>
      <w:r w:rsidR="00507970" w:rsidRPr="003171CD">
        <w:rPr>
          <w:rFonts w:eastAsiaTheme="minorHAnsi"/>
          <w:lang w:val="en-US"/>
        </w:rPr>
        <w:t xml:space="preserve">in </w:t>
      </w:r>
      <w:r w:rsidR="005A65CE" w:rsidRPr="003171CD">
        <w:rPr>
          <w:rFonts w:eastAsiaTheme="minorHAnsi"/>
          <w:lang w:val="en-US"/>
        </w:rPr>
        <w:t xml:space="preserve">the exercise of </w:t>
      </w:r>
      <w:r w:rsidR="00507970" w:rsidRPr="003171CD">
        <w:rPr>
          <w:rFonts w:eastAsiaTheme="minorHAnsi"/>
          <w:lang w:val="en-US"/>
        </w:rPr>
        <w:t xml:space="preserve">their </w:t>
      </w:r>
      <w:r w:rsidRPr="003171CD">
        <w:rPr>
          <w:rFonts w:eastAsiaTheme="minorHAnsi"/>
          <w:lang w:val="en-US"/>
        </w:rPr>
        <w:t xml:space="preserve">functions </w:t>
      </w:r>
      <w:r w:rsidR="005A65CE" w:rsidRPr="003171CD">
        <w:rPr>
          <w:rFonts w:eastAsiaTheme="minorHAnsi"/>
          <w:lang w:val="en-US"/>
        </w:rPr>
        <w:t xml:space="preserve">and </w:t>
      </w:r>
      <w:r w:rsidR="00507970" w:rsidRPr="003171CD">
        <w:rPr>
          <w:rFonts w:eastAsiaTheme="minorHAnsi"/>
          <w:lang w:val="en-US"/>
        </w:rPr>
        <w:t>to ensure th</w:t>
      </w:r>
      <w:r w:rsidR="00761B6C" w:rsidRPr="003171CD">
        <w:rPr>
          <w:rFonts w:eastAsiaTheme="minorHAnsi"/>
          <w:lang w:val="en-US"/>
        </w:rPr>
        <w:t>at th</w:t>
      </w:r>
      <w:r w:rsidR="00507970" w:rsidRPr="003171CD">
        <w:rPr>
          <w:rFonts w:eastAsiaTheme="minorHAnsi"/>
          <w:lang w:val="en-US"/>
        </w:rPr>
        <w:t xml:space="preserve">ese are </w:t>
      </w:r>
      <w:r w:rsidR="00761B6C" w:rsidRPr="003171CD">
        <w:rPr>
          <w:rFonts w:eastAsiaTheme="minorHAnsi"/>
          <w:lang w:val="en-US"/>
        </w:rPr>
        <w:t xml:space="preserve">also </w:t>
      </w:r>
      <w:r w:rsidR="00507970" w:rsidRPr="003171CD">
        <w:rPr>
          <w:rFonts w:eastAsiaTheme="minorHAnsi"/>
          <w:lang w:val="en-US"/>
        </w:rPr>
        <w:t>respected by judges</w:t>
      </w:r>
      <w:r w:rsidR="00761B6C" w:rsidRPr="003171CD">
        <w:rPr>
          <w:rFonts w:eastAsiaTheme="minorHAnsi"/>
          <w:lang w:val="en-US"/>
        </w:rPr>
        <w:t xml:space="preserve">, </w:t>
      </w:r>
      <w:r w:rsidR="00265913" w:rsidRPr="003171CD">
        <w:rPr>
          <w:rFonts w:eastAsiaTheme="minorHAnsi"/>
          <w:lang w:val="en-US"/>
        </w:rPr>
        <w:t>officials, agent</w:t>
      </w:r>
      <w:r w:rsidR="005A65CE" w:rsidRPr="003171CD">
        <w:rPr>
          <w:rFonts w:eastAsiaTheme="minorHAnsi"/>
          <w:lang w:val="en-US"/>
        </w:rPr>
        <w:t>s and auxiliar</w:t>
      </w:r>
      <w:r w:rsidR="00265913" w:rsidRPr="003171CD">
        <w:rPr>
          <w:rFonts w:eastAsiaTheme="minorHAnsi"/>
          <w:lang w:val="en-US"/>
        </w:rPr>
        <w:t>i</w:t>
      </w:r>
      <w:r w:rsidR="005A65CE" w:rsidRPr="003171CD">
        <w:rPr>
          <w:rFonts w:eastAsiaTheme="minorHAnsi"/>
          <w:lang w:val="en-US"/>
        </w:rPr>
        <w:t xml:space="preserve">es of the National Civil Police in </w:t>
      </w:r>
      <w:r w:rsidR="00507970" w:rsidRPr="003171CD">
        <w:rPr>
          <w:rFonts w:eastAsiaTheme="minorHAnsi"/>
          <w:lang w:val="en-US"/>
        </w:rPr>
        <w:t xml:space="preserve">their </w:t>
      </w:r>
      <w:r w:rsidR="00265913" w:rsidRPr="003171CD">
        <w:rPr>
          <w:rFonts w:eastAsiaTheme="minorHAnsi"/>
          <w:lang w:val="en-US"/>
        </w:rPr>
        <w:t>actions</w:t>
      </w:r>
      <w:r w:rsidR="005A65CE" w:rsidRPr="003171CD">
        <w:rPr>
          <w:rFonts w:eastAsiaTheme="minorHAnsi"/>
          <w:lang w:val="en-US"/>
        </w:rPr>
        <w:t xml:space="preserve">. </w:t>
      </w:r>
      <w:r w:rsidR="00761B6C" w:rsidRPr="003171CD">
        <w:rPr>
          <w:rFonts w:eastAsiaTheme="minorHAnsi"/>
          <w:lang w:val="en-US"/>
        </w:rPr>
        <w:t>Finally, t</w:t>
      </w:r>
      <w:r w:rsidR="005A65CE" w:rsidRPr="003171CD">
        <w:rPr>
          <w:lang w:val="en-US"/>
        </w:rPr>
        <w:t>he State prop</w:t>
      </w:r>
      <w:r w:rsidR="00265913" w:rsidRPr="003171CD">
        <w:rPr>
          <w:lang w:val="en-US"/>
        </w:rPr>
        <w:t xml:space="preserve">osed </w:t>
      </w:r>
      <w:r w:rsidR="005A65CE" w:rsidRPr="003171CD">
        <w:rPr>
          <w:lang w:val="en-US"/>
        </w:rPr>
        <w:t>that Mr. Pedro Torres Hér</w:t>
      </w:r>
      <w:r w:rsidR="00265913" w:rsidRPr="003171CD">
        <w:rPr>
          <w:lang w:val="en-US"/>
        </w:rPr>
        <w:t>cules share his experience</w:t>
      </w:r>
      <w:r w:rsidR="00761B6C" w:rsidRPr="003171CD">
        <w:rPr>
          <w:lang w:val="en-US"/>
        </w:rPr>
        <w:t>s</w:t>
      </w:r>
      <w:r w:rsidR="005A65CE" w:rsidRPr="003171CD">
        <w:rPr>
          <w:lang w:val="en-US"/>
        </w:rPr>
        <w:t xml:space="preserve"> </w:t>
      </w:r>
      <w:r w:rsidR="00265913" w:rsidRPr="003171CD">
        <w:rPr>
          <w:lang w:val="en-US"/>
        </w:rPr>
        <w:t xml:space="preserve">with the </w:t>
      </w:r>
      <w:r w:rsidR="005A65CE" w:rsidRPr="003171CD">
        <w:rPr>
          <w:lang w:val="en-US"/>
        </w:rPr>
        <w:t xml:space="preserve">inter-American system </w:t>
      </w:r>
      <w:r w:rsidR="00761B6C" w:rsidRPr="003171CD">
        <w:rPr>
          <w:lang w:val="en-US"/>
        </w:rPr>
        <w:t xml:space="preserve">through </w:t>
      </w:r>
      <w:r w:rsidR="00265913" w:rsidRPr="003171CD">
        <w:rPr>
          <w:lang w:val="en-US"/>
        </w:rPr>
        <w:t>training courses</w:t>
      </w:r>
      <w:r w:rsidR="005A65CE" w:rsidRPr="003171CD">
        <w:rPr>
          <w:lang w:val="en-US"/>
        </w:rPr>
        <w:t xml:space="preserve"> impart</w:t>
      </w:r>
      <w:r w:rsidR="00265913" w:rsidRPr="003171CD">
        <w:rPr>
          <w:lang w:val="en-US"/>
        </w:rPr>
        <w:t xml:space="preserve">ed at </w:t>
      </w:r>
      <w:r w:rsidR="005A65CE" w:rsidRPr="003171CD">
        <w:rPr>
          <w:lang w:val="en-US"/>
        </w:rPr>
        <w:t xml:space="preserve">the </w:t>
      </w:r>
      <w:r w:rsidR="00265913" w:rsidRPr="003171CD">
        <w:rPr>
          <w:lang w:val="en-US"/>
        </w:rPr>
        <w:t>Human R</w:t>
      </w:r>
      <w:r w:rsidR="005A65CE" w:rsidRPr="003171CD">
        <w:rPr>
          <w:lang w:val="en-US"/>
        </w:rPr>
        <w:t xml:space="preserve">ights </w:t>
      </w:r>
      <w:r w:rsidR="00646BF4" w:rsidRPr="003171CD">
        <w:rPr>
          <w:lang w:val="en-US"/>
        </w:rPr>
        <w:t xml:space="preserve">Academy </w:t>
      </w:r>
      <w:r w:rsidR="005A65CE" w:rsidRPr="003171CD">
        <w:rPr>
          <w:lang w:val="en-US"/>
        </w:rPr>
        <w:t>of the Office of the Human Rights Ombudsman of El Salvador.</w:t>
      </w:r>
    </w:p>
    <w:p w14:paraId="76A36ACA" w14:textId="77777777" w:rsidR="005A65CE" w:rsidRPr="003171CD" w:rsidRDefault="005A65CE" w:rsidP="005A65CE">
      <w:pPr>
        <w:rPr>
          <w:rFonts w:eastAsiaTheme="minorHAnsi"/>
          <w:lang w:val="en-US"/>
        </w:rPr>
      </w:pPr>
    </w:p>
    <w:p w14:paraId="7644C4F6" w14:textId="77777777" w:rsidR="005A65CE" w:rsidRPr="003171CD" w:rsidRDefault="005A65CE" w:rsidP="005A65CE">
      <w:pPr>
        <w:ind w:firstLine="720"/>
        <w:rPr>
          <w:rFonts w:eastAsia="MS Mincho"/>
          <w:bCs/>
          <w:i/>
          <w:lang w:val="en-US"/>
        </w:rPr>
      </w:pPr>
      <w:r w:rsidRPr="003171CD">
        <w:rPr>
          <w:rFonts w:eastAsia="MS Mincho"/>
          <w:bCs/>
          <w:i/>
          <w:lang w:val="en-US"/>
        </w:rPr>
        <w:t>Considerations of the Court</w:t>
      </w:r>
    </w:p>
    <w:p w14:paraId="4744FBB1" w14:textId="77777777" w:rsidR="005A65CE" w:rsidRPr="003171CD" w:rsidRDefault="005A65CE" w:rsidP="005A65CE">
      <w:pPr>
        <w:tabs>
          <w:tab w:val="left" w:pos="720"/>
        </w:tabs>
        <w:ind w:right="-90"/>
        <w:jc w:val="both"/>
        <w:rPr>
          <w:lang w:val="en-US"/>
        </w:rPr>
      </w:pPr>
    </w:p>
    <w:p w14:paraId="3C78858D"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lastRenderedPageBreak/>
        <w:t>This Court ha</w:t>
      </w:r>
      <w:r w:rsidR="00265913" w:rsidRPr="003171CD">
        <w:rPr>
          <w:lang w:val="en-US"/>
        </w:rPr>
        <w:t>s</w:t>
      </w:r>
      <w:r w:rsidR="00761B6C" w:rsidRPr="003171CD">
        <w:rPr>
          <w:lang w:val="en-US"/>
        </w:rPr>
        <w:t xml:space="preserve"> established that </w:t>
      </w:r>
      <w:r w:rsidR="00A73104" w:rsidRPr="003171CD">
        <w:rPr>
          <w:lang w:val="en-US"/>
        </w:rPr>
        <w:t xml:space="preserve">the </w:t>
      </w:r>
      <w:r w:rsidRPr="003171CD">
        <w:rPr>
          <w:lang w:val="en-US"/>
        </w:rPr>
        <w:t xml:space="preserve">training </w:t>
      </w:r>
      <w:r w:rsidR="00A73104" w:rsidRPr="003171CD">
        <w:rPr>
          <w:lang w:val="en-US"/>
        </w:rPr>
        <w:t xml:space="preserve">of </w:t>
      </w:r>
      <w:r w:rsidRPr="003171CD">
        <w:rPr>
          <w:lang w:val="en-US"/>
        </w:rPr>
        <w:t xml:space="preserve">public </w:t>
      </w:r>
      <w:r w:rsidR="00265913" w:rsidRPr="003171CD">
        <w:rPr>
          <w:lang w:val="en-US"/>
        </w:rPr>
        <w:t xml:space="preserve">officials </w:t>
      </w:r>
      <w:r w:rsidRPr="003171CD">
        <w:rPr>
          <w:lang w:val="en-US"/>
        </w:rPr>
        <w:t>is a</w:t>
      </w:r>
      <w:r w:rsidR="00265913" w:rsidRPr="003171CD">
        <w:rPr>
          <w:lang w:val="en-US"/>
        </w:rPr>
        <w:t>n important</w:t>
      </w:r>
      <w:r w:rsidRPr="003171CD">
        <w:rPr>
          <w:lang w:val="en-US"/>
        </w:rPr>
        <w:t xml:space="preserve"> measure </w:t>
      </w:r>
      <w:r w:rsidR="00265913" w:rsidRPr="003171CD">
        <w:rPr>
          <w:lang w:val="en-US"/>
        </w:rPr>
        <w:t xml:space="preserve">to ensure the </w:t>
      </w:r>
      <w:r w:rsidRPr="003171CD">
        <w:rPr>
          <w:lang w:val="en-US"/>
        </w:rPr>
        <w:t>no</w:t>
      </w:r>
      <w:r w:rsidR="00265913" w:rsidRPr="003171CD">
        <w:rPr>
          <w:lang w:val="en-US"/>
        </w:rPr>
        <w:t>n-</w:t>
      </w:r>
      <w:r w:rsidRPr="003171CD">
        <w:rPr>
          <w:lang w:val="en-US"/>
        </w:rPr>
        <w:t>repetition of the facts that genera</w:t>
      </w:r>
      <w:r w:rsidR="00265913" w:rsidRPr="003171CD">
        <w:rPr>
          <w:lang w:val="en-US"/>
        </w:rPr>
        <w:t xml:space="preserve">ted </w:t>
      </w:r>
      <w:r w:rsidRPr="003171CD">
        <w:rPr>
          <w:lang w:val="en-US"/>
        </w:rPr>
        <w:t>the violations</w:t>
      </w:r>
      <w:r w:rsidR="00A73104" w:rsidRPr="003171CD">
        <w:rPr>
          <w:lang w:val="en-US"/>
        </w:rPr>
        <w:t xml:space="preserve"> in this case</w:t>
      </w:r>
      <w:r w:rsidRPr="003171CD">
        <w:rPr>
          <w:lang w:val="en-US"/>
        </w:rPr>
        <w:t>, and ha</w:t>
      </w:r>
      <w:r w:rsidR="00265913" w:rsidRPr="003171CD">
        <w:rPr>
          <w:lang w:val="en-US"/>
        </w:rPr>
        <w:t>s</w:t>
      </w:r>
      <w:r w:rsidRPr="003171CD">
        <w:rPr>
          <w:lang w:val="en-US"/>
        </w:rPr>
        <w:t xml:space="preserve"> o</w:t>
      </w:r>
      <w:r w:rsidR="00265913" w:rsidRPr="003171CD">
        <w:rPr>
          <w:lang w:val="en-US"/>
        </w:rPr>
        <w:t>rdered the training of police officers</w:t>
      </w:r>
      <w:r w:rsidRPr="003171CD">
        <w:rPr>
          <w:lang w:val="en-US"/>
        </w:rPr>
        <w:t xml:space="preserve">, prosecutors, and judges in </w:t>
      </w:r>
      <w:r w:rsidR="00265913" w:rsidRPr="003171CD">
        <w:rPr>
          <w:lang w:val="en-US"/>
        </w:rPr>
        <w:t xml:space="preserve">the </w:t>
      </w:r>
      <w:r w:rsidRPr="003171CD">
        <w:rPr>
          <w:lang w:val="en-US"/>
        </w:rPr>
        <w:t xml:space="preserve">prevention, investigation and </w:t>
      </w:r>
      <w:r w:rsidR="00265913" w:rsidRPr="003171CD">
        <w:rPr>
          <w:lang w:val="en-US"/>
        </w:rPr>
        <w:t xml:space="preserve">punishment of </w:t>
      </w:r>
      <w:r w:rsidRPr="003171CD">
        <w:rPr>
          <w:lang w:val="en-US"/>
        </w:rPr>
        <w:t>torture in vario</w:t>
      </w:r>
      <w:r w:rsidR="00265913" w:rsidRPr="003171CD">
        <w:rPr>
          <w:lang w:val="en-US"/>
        </w:rPr>
        <w:t>u</w:t>
      </w:r>
      <w:r w:rsidRPr="003171CD">
        <w:rPr>
          <w:lang w:val="en-US"/>
        </w:rPr>
        <w:t>s cases</w:t>
      </w:r>
      <w:r w:rsidR="00265913" w:rsidRPr="003171CD">
        <w:rPr>
          <w:lang w:val="en-US"/>
        </w:rPr>
        <w:t>.</w:t>
      </w:r>
      <w:r w:rsidRPr="003171CD">
        <w:rPr>
          <w:rStyle w:val="Refdenotaalpie"/>
          <w:lang w:val="en-US"/>
        </w:rPr>
        <w:footnoteReference w:id="293"/>
      </w:r>
      <w:r w:rsidR="00265913" w:rsidRPr="003171CD">
        <w:rPr>
          <w:lang w:val="en-US"/>
        </w:rPr>
        <w:t xml:space="preserve"> I</w:t>
      </w:r>
      <w:r w:rsidRPr="003171CD">
        <w:rPr>
          <w:lang w:val="en-US"/>
        </w:rPr>
        <w:t xml:space="preserve">n the case </w:t>
      </w:r>
      <w:r w:rsidR="00265913" w:rsidRPr="003171CD">
        <w:rPr>
          <w:lang w:val="en-US"/>
        </w:rPr>
        <w:t xml:space="preserve">of the </w:t>
      </w:r>
      <w:r w:rsidRPr="003171CD">
        <w:rPr>
          <w:i/>
          <w:lang w:val="en-US"/>
        </w:rPr>
        <w:t>Mas</w:t>
      </w:r>
      <w:r w:rsidR="00265913" w:rsidRPr="003171CD">
        <w:rPr>
          <w:i/>
          <w:lang w:val="en-US"/>
        </w:rPr>
        <w:t>s</w:t>
      </w:r>
      <w:r w:rsidRPr="003171CD">
        <w:rPr>
          <w:i/>
          <w:lang w:val="en-US"/>
        </w:rPr>
        <w:t xml:space="preserve">acres of </w:t>
      </w:r>
      <w:r w:rsidR="00265913" w:rsidRPr="003171CD">
        <w:rPr>
          <w:i/>
          <w:lang w:val="en-US"/>
        </w:rPr>
        <w:t>El Mozote and</w:t>
      </w:r>
      <w:r w:rsidR="00AE4010" w:rsidRPr="003171CD">
        <w:rPr>
          <w:i/>
          <w:lang w:val="en-US"/>
        </w:rPr>
        <w:t xml:space="preserve"> nearby places</w:t>
      </w:r>
      <w:r w:rsidR="00265913" w:rsidRPr="003171CD">
        <w:rPr>
          <w:i/>
          <w:lang w:val="en-US"/>
        </w:rPr>
        <w:t xml:space="preserve"> v</w:t>
      </w:r>
      <w:r w:rsidRPr="003171CD">
        <w:rPr>
          <w:i/>
          <w:lang w:val="en-US"/>
        </w:rPr>
        <w:t>. El Salvador</w:t>
      </w:r>
      <w:r w:rsidRPr="003171CD">
        <w:rPr>
          <w:lang w:val="en-US"/>
        </w:rPr>
        <w:t>, this Court orde</w:t>
      </w:r>
      <w:r w:rsidR="00265913" w:rsidRPr="003171CD">
        <w:rPr>
          <w:lang w:val="en-US"/>
        </w:rPr>
        <w:t xml:space="preserve">red </w:t>
      </w:r>
      <w:r w:rsidRPr="003171CD">
        <w:rPr>
          <w:lang w:val="en-US"/>
        </w:rPr>
        <w:t xml:space="preserve">the </w:t>
      </w:r>
      <w:r w:rsidR="00B76F87" w:rsidRPr="003171CD">
        <w:rPr>
          <w:lang w:val="en-US"/>
        </w:rPr>
        <w:t xml:space="preserve">State to implement a permanent and compulsory program or course on human rights, with a children- and gender-based perspective </w:t>
      </w:r>
      <w:r w:rsidR="0097297B" w:rsidRPr="003171CD">
        <w:rPr>
          <w:lang w:val="en-US"/>
        </w:rPr>
        <w:t xml:space="preserve">for </w:t>
      </w:r>
      <w:r w:rsidRPr="003171CD">
        <w:rPr>
          <w:lang w:val="en-US"/>
        </w:rPr>
        <w:t>the Armed Forces of El Salvador</w:t>
      </w:r>
      <w:r w:rsidR="00265913" w:rsidRPr="003171CD">
        <w:rPr>
          <w:lang w:val="en-US"/>
        </w:rPr>
        <w:t>.</w:t>
      </w:r>
      <w:r w:rsidRPr="003171CD">
        <w:rPr>
          <w:rStyle w:val="Refdenotaalpie"/>
          <w:lang w:val="en-US"/>
        </w:rPr>
        <w:footnoteReference w:id="294"/>
      </w:r>
      <w:r w:rsidR="00265913" w:rsidRPr="003171CD">
        <w:rPr>
          <w:lang w:val="en-US"/>
        </w:rPr>
        <w:t xml:space="preserve"> I</w:t>
      </w:r>
      <w:r w:rsidRPr="003171CD">
        <w:rPr>
          <w:lang w:val="en-US"/>
        </w:rPr>
        <w:t xml:space="preserve">n the case of </w:t>
      </w:r>
      <w:r w:rsidRPr="003171CD">
        <w:rPr>
          <w:i/>
          <w:lang w:val="en-US"/>
        </w:rPr>
        <w:t>Rochac Hernández et al. v. El Salvador</w:t>
      </w:r>
      <w:r w:rsidR="00761B6C" w:rsidRPr="003171CD">
        <w:rPr>
          <w:i/>
          <w:lang w:val="en-US"/>
        </w:rPr>
        <w:t>,</w:t>
      </w:r>
      <w:r w:rsidRPr="003171CD">
        <w:rPr>
          <w:lang w:val="en-US"/>
        </w:rPr>
        <w:t xml:space="preserve"> </w:t>
      </w:r>
      <w:r w:rsidR="0097297B" w:rsidRPr="003171CD">
        <w:rPr>
          <w:lang w:val="en-US"/>
        </w:rPr>
        <w:t xml:space="preserve">it </w:t>
      </w:r>
      <w:r w:rsidRPr="003171CD">
        <w:rPr>
          <w:lang w:val="en-US"/>
        </w:rPr>
        <w:t xml:space="preserve">ordered the </w:t>
      </w:r>
      <w:r w:rsidR="00B76F87" w:rsidRPr="003171CD">
        <w:rPr>
          <w:lang w:val="en-US"/>
        </w:rPr>
        <w:t xml:space="preserve">State to </w:t>
      </w:r>
      <w:r w:rsidRPr="003171CD">
        <w:rPr>
          <w:lang w:val="en-US"/>
        </w:rPr>
        <w:t xml:space="preserve">implement permanent human rights programs directed at </w:t>
      </w:r>
      <w:r w:rsidR="00B76F87" w:rsidRPr="003171CD">
        <w:rPr>
          <w:lang w:val="en-US"/>
        </w:rPr>
        <w:t xml:space="preserve">the </w:t>
      </w:r>
      <w:r w:rsidRPr="003171CD">
        <w:rPr>
          <w:lang w:val="en-US"/>
        </w:rPr>
        <w:t xml:space="preserve">police, prosecutors, judges and the military, </w:t>
      </w:r>
      <w:r w:rsidR="00A73104" w:rsidRPr="003171CD">
        <w:rPr>
          <w:lang w:val="en-US"/>
        </w:rPr>
        <w:t xml:space="preserve">as well as </w:t>
      </w:r>
      <w:r w:rsidR="00761B6C" w:rsidRPr="003171CD">
        <w:rPr>
          <w:lang w:val="en-US"/>
        </w:rPr>
        <w:t xml:space="preserve">the </w:t>
      </w:r>
      <w:r w:rsidR="00E96948" w:rsidRPr="003171CD">
        <w:rPr>
          <w:lang w:val="en-US"/>
        </w:rPr>
        <w:t>officials</w:t>
      </w:r>
      <w:r w:rsidRPr="003171CD">
        <w:rPr>
          <w:lang w:val="en-US"/>
        </w:rPr>
        <w:t xml:space="preserve"> </w:t>
      </w:r>
      <w:r w:rsidR="00A56342" w:rsidRPr="003171CD">
        <w:rPr>
          <w:lang w:val="en-US"/>
        </w:rPr>
        <w:t xml:space="preserve">responsible for </w:t>
      </w:r>
      <w:r w:rsidR="00B76F87" w:rsidRPr="003171CD">
        <w:rPr>
          <w:lang w:val="en-US"/>
        </w:rPr>
        <w:t xml:space="preserve">providing assistance to </w:t>
      </w:r>
      <w:r w:rsidRPr="003171CD">
        <w:rPr>
          <w:lang w:val="en-US"/>
        </w:rPr>
        <w:t>fami</w:t>
      </w:r>
      <w:r w:rsidR="00B76F87" w:rsidRPr="003171CD">
        <w:rPr>
          <w:lang w:val="en-US"/>
        </w:rPr>
        <w:t xml:space="preserve">lies </w:t>
      </w:r>
      <w:r w:rsidRPr="003171CD">
        <w:rPr>
          <w:lang w:val="en-US"/>
        </w:rPr>
        <w:t xml:space="preserve">and victims of </w:t>
      </w:r>
      <w:r w:rsidR="00265913" w:rsidRPr="003171CD">
        <w:rPr>
          <w:lang w:val="en-US"/>
        </w:rPr>
        <w:t>forced disappearance</w:t>
      </w:r>
      <w:r w:rsidRPr="003171CD">
        <w:rPr>
          <w:lang w:val="en-US"/>
        </w:rPr>
        <w:t xml:space="preserve">, </w:t>
      </w:r>
      <w:r w:rsidR="00B76F87" w:rsidRPr="003171CD">
        <w:rPr>
          <w:lang w:val="en-US"/>
        </w:rPr>
        <w:t>including topics such as the human rights of children who disappeared during the internal armed conflict, the inter-American system for the protection of human rights, and the doctrine of conventionality control.</w:t>
      </w:r>
      <w:r w:rsidRPr="003171CD">
        <w:rPr>
          <w:rStyle w:val="Refdenotaalpie"/>
          <w:lang w:val="en-US"/>
        </w:rPr>
        <w:footnoteReference w:id="295"/>
      </w:r>
      <w:r w:rsidRPr="003171CD">
        <w:rPr>
          <w:lang w:val="en-US"/>
        </w:rPr>
        <w:t xml:space="preserve"> To date, the Court has not ordered any training program </w:t>
      </w:r>
      <w:r w:rsidR="00B76F87" w:rsidRPr="003171CD">
        <w:rPr>
          <w:lang w:val="en-US"/>
        </w:rPr>
        <w:t>for t</w:t>
      </w:r>
      <w:r w:rsidRPr="003171CD">
        <w:rPr>
          <w:lang w:val="en-US"/>
        </w:rPr>
        <w:t>he effective investigation and documentation of torture, dir</w:t>
      </w:r>
      <w:r w:rsidR="00B815DC" w:rsidRPr="003171CD">
        <w:rPr>
          <w:lang w:val="en-US"/>
        </w:rPr>
        <w:t xml:space="preserve">ected at </w:t>
      </w:r>
      <w:r w:rsidRPr="003171CD">
        <w:rPr>
          <w:lang w:val="en-US"/>
        </w:rPr>
        <w:t xml:space="preserve">the National Civil Police and/or </w:t>
      </w:r>
      <w:r w:rsidR="00265913" w:rsidRPr="003171CD">
        <w:rPr>
          <w:lang w:val="en-US"/>
        </w:rPr>
        <w:t xml:space="preserve">institutions </w:t>
      </w:r>
      <w:r w:rsidR="00B76F87" w:rsidRPr="003171CD">
        <w:rPr>
          <w:lang w:val="en-US"/>
        </w:rPr>
        <w:t xml:space="preserve">involved in </w:t>
      </w:r>
      <w:r w:rsidRPr="003171CD">
        <w:rPr>
          <w:lang w:val="en-US"/>
        </w:rPr>
        <w:t>the system</w:t>
      </w:r>
      <w:r w:rsidR="00B76F87" w:rsidRPr="003171CD">
        <w:rPr>
          <w:lang w:val="en-US"/>
        </w:rPr>
        <w:t xml:space="preserve"> of administration of justice of</w:t>
      </w:r>
      <w:r w:rsidRPr="003171CD">
        <w:rPr>
          <w:lang w:val="en-US"/>
        </w:rPr>
        <w:t xml:space="preserve"> El Salvador.</w:t>
      </w:r>
    </w:p>
    <w:p w14:paraId="76A83A4D" w14:textId="77777777" w:rsidR="005A65CE" w:rsidRPr="003171CD" w:rsidRDefault="005A65CE" w:rsidP="005A65CE">
      <w:pPr>
        <w:tabs>
          <w:tab w:val="left" w:pos="720"/>
        </w:tabs>
        <w:ind w:right="-90"/>
        <w:jc w:val="both"/>
        <w:rPr>
          <w:lang w:val="en-US"/>
        </w:rPr>
      </w:pPr>
    </w:p>
    <w:p w14:paraId="2ED19223"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Court </w:t>
      </w:r>
      <w:r w:rsidR="00B815DC" w:rsidRPr="003171CD">
        <w:rPr>
          <w:lang w:val="en-US"/>
        </w:rPr>
        <w:t xml:space="preserve">positively assesses </w:t>
      </w:r>
      <w:r w:rsidRPr="003171CD">
        <w:rPr>
          <w:lang w:val="en-US"/>
        </w:rPr>
        <w:t>the State</w:t>
      </w:r>
      <w:r w:rsidR="00C61CE5" w:rsidRPr="003171CD">
        <w:rPr>
          <w:lang w:val="en-US"/>
        </w:rPr>
        <w:t>’s expressed willingness</w:t>
      </w:r>
      <w:r w:rsidRPr="003171CD">
        <w:rPr>
          <w:lang w:val="en-US"/>
        </w:rPr>
        <w:t xml:space="preserve"> </w:t>
      </w:r>
      <w:r w:rsidR="00B815DC" w:rsidRPr="003171CD">
        <w:rPr>
          <w:lang w:val="en-US"/>
        </w:rPr>
        <w:t xml:space="preserve">to improve the training of </w:t>
      </w:r>
      <w:r w:rsidRPr="003171CD">
        <w:rPr>
          <w:lang w:val="en-US"/>
        </w:rPr>
        <w:t>person</w:t>
      </w:r>
      <w:r w:rsidR="00B815DC" w:rsidRPr="003171CD">
        <w:rPr>
          <w:lang w:val="en-US"/>
        </w:rPr>
        <w:t xml:space="preserve">nel </w:t>
      </w:r>
      <w:r w:rsidRPr="003171CD">
        <w:rPr>
          <w:lang w:val="en-US"/>
        </w:rPr>
        <w:t xml:space="preserve">of the National Civil Police, the Office of the Attorney General, the </w:t>
      </w:r>
      <w:r w:rsidR="00346412" w:rsidRPr="003171CD">
        <w:rPr>
          <w:lang w:val="en-US"/>
        </w:rPr>
        <w:t xml:space="preserve">Procurator </w:t>
      </w:r>
      <w:r w:rsidR="006C674C" w:rsidRPr="003171CD">
        <w:rPr>
          <w:lang w:val="en-US"/>
        </w:rPr>
        <w:t>General</w:t>
      </w:r>
      <w:r w:rsidRPr="003171CD">
        <w:rPr>
          <w:lang w:val="en-US"/>
        </w:rPr>
        <w:t xml:space="preserve"> and the Judicia</w:t>
      </w:r>
      <w:r w:rsidR="00B815DC" w:rsidRPr="003171CD">
        <w:rPr>
          <w:lang w:val="en-US"/>
        </w:rPr>
        <w:t xml:space="preserve">ry </w:t>
      </w:r>
      <w:r w:rsidRPr="003171CD">
        <w:rPr>
          <w:lang w:val="en-US"/>
        </w:rPr>
        <w:t>in mat</w:t>
      </w:r>
      <w:r w:rsidR="00B815DC" w:rsidRPr="003171CD">
        <w:rPr>
          <w:lang w:val="en-US"/>
        </w:rPr>
        <w:t xml:space="preserve">ters related to </w:t>
      </w:r>
      <w:r w:rsidRPr="003171CD">
        <w:rPr>
          <w:lang w:val="en-US"/>
        </w:rPr>
        <w:t xml:space="preserve">the protection of human rights. However, the State has not submitted to the Court any specific evidence of the existence and operation of </w:t>
      </w:r>
      <w:r w:rsidR="00346412" w:rsidRPr="003171CD">
        <w:rPr>
          <w:lang w:val="en-US"/>
        </w:rPr>
        <w:t xml:space="preserve">such </w:t>
      </w:r>
      <w:r w:rsidRPr="003171CD">
        <w:rPr>
          <w:lang w:val="en-US"/>
        </w:rPr>
        <w:t xml:space="preserve">training programs. </w:t>
      </w:r>
    </w:p>
    <w:p w14:paraId="38E00D6D" w14:textId="77777777" w:rsidR="005A65CE" w:rsidRPr="003171CD" w:rsidRDefault="005A65CE" w:rsidP="005A65CE">
      <w:pPr>
        <w:tabs>
          <w:tab w:val="left" w:pos="720"/>
        </w:tabs>
        <w:ind w:right="-90"/>
        <w:jc w:val="both"/>
        <w:rPr>
          <w:lang w:val="en-US"/>
        </w:rPr>
      </w:pPr>
    </w:p>
    <w:p w14:paraId="066FD7BB" w14:textId="77777777" w:rsidR="005A65CE" w:rsidRPr="003171CD" w:rsidRDefault="00285E5F" w:rsidP="005A65CE">
      <w:pPr>
        <w:numPr>
          <w:ilvl w:val="0"/>
          <w:numId w:val="1"/>
        </w:numPr>
        <w:autoSpaceDE/>
        <w:autoSpaceDN/>
        <w:adjustRightInd/>
        <w:contextualSpacing/>
        <w:jc w:val="both"/>
        <w:rPr>
          <w:lang w:val="en-US"/>
        </w:rPr>
      </w:pPr>
      <w:r w:rsidRPr="003171CD">
        <w:rPr>
          <w:lang w:val="en-US"/>
        </w:rPr>
        <w:t>I</w:t>
      </w:r>
      <w:r w:rsidR="00B815DC" w:rsidRPr="003171CD">
        <w:rPr>
          <w:lang w:val="en-US"/>
        </w:rPr>
        <w:t xml:space="preserve">n light of the facts of </w:t>
      </w:r>
      <w:r w:rsidRPr="003171CD">
        <w:rPr>
          <w:lang w:val="en-US"/>
        </w:rPr>
        <w:t>this</w:t>
      </w:r>
      <w:r w:rsidR="005A65CE" w:rsidRPr="003171CD">
        <w:rPr>
          <w:lang w:val="en-US"/>
        </w:rPr>
        <w:t xml:space="preserve"> case, </w:t>
      </w:r>
      <w:r w:rsidRPr="003171CD">
        <w:rPr>
          <w:lang w:val="en-US"/>
        </w:rPr>
        <w:t xml:space="preserve">the Court considers it </w:t>
      </w:r>
      <w:r w:rsidR="005A65CE" w:rsidRPr="003171CD">
        <w:rPr>
          <w:lang w:val="en-US"/>
        </w:rPr>
        <w:t xml:space="preserve">important to strengthen the institutional capacity of the personnel of the National Civil Police and of the Office of the Attorney General as guarantees of non-repetition. </w:t>
      </w:r>
      <w:r w:rsidRPr="003171CD">
        <w:rPr>
          <w:lang w:val="en-US"/>
        </w:rPr>
        <w:t xml:space="preserve">Accordingly, </w:t>
      </w:r>
      <w:r w:rsidR="005A65CE" w:rsidRPr="003171CD">
        <w:rPr>
          <w:lang w:val="en-US"/>
        </w:rPr>
        <w:t>the Court orders the State to implement, within a reasonable time a</w:t>
      </w:r>
      <w:r w:rsidRPr="003171CD">
        <w:rPr>
          <w:lang w:val="en-US"/>
        </w:rPr>
        <w:t>nd with the respective budgetary</w:t>
      </w:r>
      <w:r w:rsidR="005A65CE" w:rsidRPr="003171CD">
        <w:rPr>
          <w:lang w:val="en-US"/>
        </w:rPr>
        <w:t xml:space="preserve"> </w:t>
      </w:r>
      <w:r w:rsidRPr="003171CD">
        <w:rPr>
          <w:lang w:val="en-US"/>
        </w:rPr>
        <w:t>allocation</w:t>
      </w:r>
      <w:r w:rsidR="005A65CE" w:rsidRPr="003171CD">
        <w:rPr>
          <w:lang w:val="en-US"/>
        </w:rPr>
        <w:t xml:space="preserve">, </w:t>
      </w:r>
      <w:r w:rsidRPr="003171CD">
        <w:rPr>
          <w:lang w:val="en-US"/>
        </w:rPr>
        <w:t xml:space="preserve">compulsory </w:t>
      </w:r>
      <w:r w:rsidR="00B815DC" w:rsidRPr="003171CD">
        <w:rPr>
          <w:lang w:val="en-US"/>
        </w:rPr>
        <w:t xml:space="preserve">and permanent </w:t>
      </w:r>
      <w:r w:rsidR="005A65CE" w:rsidRPr="003171CD">
        <w:rPr>
          <w:lang w:val="en-US"/>
        </w:rPr>
        <w:t>programs or c</w:t>
      </w:r>
      <w:r w:rsidR="00B815DC" w:rsidRPr="003171CD">
        <w:rPr>
          <w:lang w:val="en-US"/>
        </w:rPr>
        <w:t>ourse</w:t>
      </w:r>
      <w:r w:rsidRPr="003171CD">
        <w:rPr>
          <w:lang w:val="en-US"/>
        </w:rPr>
        <w:t xml:space="preserve">s on the </w:t>
      </w:r>
      <w:r w:rsidR="005A65CE" w:rsidRPr="003171CD">
        <w:rPr>
          <w:lang w:val="en-US"/>
        </w:rPr>
        <w:t xml:space="preserve">principles and </w:t>
      </w:r>
      <w:r w:rsidRPr="003171CD">
        <w:rPr>
          <w:lang w:val="en-US"/>
        </w:rPr>
        <w:t xml:space="preserve">standards for </w:t>
      </w:r>
      <w:r w:rsidR="00AC6190" w:rsidRPr="003171CD">
        <w:rPr>
          <w:lang w:val="en-US"/>
        </w:rPr>
        <w:t>the protection of human rights,</w:t>
      </w:r>
      <w:r w:rsidR="005A65CE" w:rsidRPr="003171CD">
        <w:rPr>
          <w:lang w:val="en-US"/>
        </w:rPr>
        <w:t xml:space="preserve"> </w:t>
      </w:r>
      <w:r w:rsidRPr="003171CD">
        <w:rPr>
          <w:lang w:val="en-US"/>
        </w:rPr>
        <w:t xml:space="preserve">and </w:t>
      </w:r>
      <w:r w:rsidR="005A65CE" w:rsidRPr="003171CD">
        <w:rPr>
          <w:lang w:val="en-US"/>
        </w:rPr>
        <w:t>particular</w:t>
      </w:r>
      <w:r w:rsidRPr="003171CD">
        <w:rPr>
          <w:lang w:val="en-US"/>
        </w:rPr>
        <w:t>ly of</w:t>
      </w:r>
      <w:r w:rsidR="005A65CE" w:rsidRPr="003171CD">
        <w:rPr>
          <w:lang w:val="en-US"/>
        </w:rPr>
        <w:t xml:space="preserve"> </w:t>
      </w:r>
      <w:r w:rsidRPr="003171CD">
        <w:rPr>
          <w:lang w:val="en-US"/>
        </w:rPr>
        <w:t xml:space="preserve">the </w:t>
      </w:r>
      <w:r w:rsidR="005A65CE" w:rsidRPr="003171CD">
        <w:rPr>
          <w:lang w:val="en-US"/>
        </w:rPr>
        <w:t>international</w:t>
      </w:r>
      <w:r w:rsidRPr="003171CD">
        <w:rPr>
          <w:lang w:val="en-US"/>
        </w:rPr>
        <w:t xml:space="preserve"> norms</w:t>
      </w:r>
      <w:r w:rsidR="005A65CE" w:rsidRPr="003171CD">
        <w:rPr>
          <w:lang w:val="en-US"/>
        </w:rPr>
        <w:t xml:space="preserve"> established </w:t>
      </w:r>
      <w:r w:rsidRPr="003171CD">
        <w:rPr>
          <w:lang w:val="en-US"/>
        </w:rPr>
        <w:t xml:space="preserve">for </w:t>
      </w:r>
      <w:r w:rsidR="005A65CE" w:rsidRPr="003171CD">
        <w:rPr>
          <w:lang w:val="en-US"/>
        </w:rPr>
        <w:t xml:space="preserve">the </w:t>
      </w:r>
      <w:r w:rsidR="00B815DC" w:rsidRPr="003171CD">
        <w:rPr>
          <w:lang w:val="en-US"/>
        </w:rPr>
        <w:t xml:space="preserve">effective </w:t>
      </w:r>
      <w:r w:rsidR="005A65CE" w:rsidRPr="003171CD">
        <w:rPr>
          <w:lang w:val="en-US"/>
        </w:rPr>
        <w:t xml:space="preserve">investigation and documentation </w:t>
      </w:r>
      <w:r w:rsidR="00B815DC" w:rsidRPr="003171CD">
        <w:rPr>
          <w:lang w:val="en-US"/>
        </w:rPr>
        <w:t xml:space="preserve">of </w:t>
      </w:r>
      <w:r w:rsidR="005A65CE" w:rsidRPr="003171CD">
        <w:rPr>
          <w:lang w:val="en-US"/>
        </w:rPr>
        <w:t>t</w:t>
      </w:r>
      <w:r w:rsidRPr="003171CD">
        <w:rPr>
          <w:lang w:val="en-US"/>
        </w:rPr>
        <w:t>orture and other cruel, inhuman</w:t>
      </w:r>
      <w:r w:rsidR="005A65CE" w:rsidRPr="003171CD">
        <w:rPr>
          <w:lang w:val="en-US"/>
        </w:rPr>
        <w:t>, or degrading treatment</w:t>
      </w:r>
      <w:r w:rsidRPr="003171CD">
        <w:rPr>
          <w:lang w:val="en-US"/>
        </w:rPr>
        <w:t xml:space="preserve"> or punishment</w:t>
      </w:r>
      <w:r w:rsidR="005A65CE" w:rsidRPr="003171CD">
        <w:rPr>
          <w:lang w:val="en-US"/>
        </w:rPr>
        <w:t xml:space="preserve">, as part of the general </w:t>
      </w:r>
      <w:r w:rsidR="00B815DC" w:rsidRPr="003171CD">
        <w:rPr>
          <w:lang w:val="en-US"/>
        </w:rPr>
        <w:t xml:space="preserve">and continuous training </w:t>
      </w:r>
      <w:r w:rsidRPr="003171CD">
        <w:rPr>
          <w:lang w:val="en-US"/>
        </w:rPr>
        <w:t xml:space="preserve">provided to </w:t>
      </w:r>
      <w:r w:rsidR="00B815DC" w:rsidRPr="003171CD">
        <w:rPr>
          <w:lang w:val="en-US"/>
        </w:rPr>
        <w:t xml:space="preserve">State </w:t>
      </w:r>
      <w:r w:rsidR="00E96948" w:rsidRPr="003171CD">
        <w:rPr>
          <w:lang w:val="en-US"/>
        </w:rPr>
        <w:t>officials</w:t>
      </w:r>
      <w:r w:rsidRPr="003171CD">
        <w:rPr>
          <w:lang w:val="en-US"/>
        </w:rPr>
        <w:t>. T</w:t>
      </w:r>
      <w:r w:rsidR="005A65CE" w:rsidRPr="003171CD">
        <w:rPr>
          <w:lang w:val="en-US"/>
        </w:rPr>
        <w:t>hese programs or courses s</w:t>
      </w:r>
      <w:r w:rsidRPr="003171CD">
        <w:rPr>
          <w:lang w:val="en-US"/>
        </w:rPr>
        <w:t xml:space="preserve">hould include </w:t>
      </w:r>
      <w:r w:rsidR="00745872" w:rsidRPr="003171CD">
        <w:rPr>
          <w:lang w:val="en-US"/>
        </w:rPr>
        <w:t xml:space="preserve">the </w:t>
      </w:r>
      <w:r w:rsidRPr="003171CD">
        <w:rPr>
          <w:lang w:val="en-US"/>
        </w:rPr>
        <w:t xml:space="preserve">study of </w:t>
      </w:r>
      <w:r w:rsidR="005A65CE" w:rsidRPr="003171CD">
        <w:rPr>
          <w:lang w:val="en-US"/>
        </w:rPr>
        <w:t>this Judgment, the case law of the Inter-American Court on personal integrity and the prohibition of torture, a</w:t>
      </w:r>
      <w:r w:rsidRPr="003171CD">
        <w:rPr>
          <w:lang w:val="en-US"/>
        </w:rPr>
        <w:t xml:space="preserve">nd the </w:t>
      </w:r>
      <w:r w:rsidR="005A65CE" w:rsidRPr="003171CD">
        <w:rPr>
          <w:lang w:val="en-US"/>
        </w:rPr>
        <w:t xml:space="preserve">international human rights obligations </w:t>
      </w:r>
      <w:r w:rsidRPr="003171CD">
        <w:rPr>
          <w:lang w:val="en-US"/>
        </w:rPr>
        <w:t xml:space="preserve">stemming </w:t>
      </w:r>
      <w:r w:rsidR="005A65CE" w:rsidRPr="003171CD">
        <w:rPr>
          <w:lang w:val="en-US"/>
        </w:rPr>
        <w:t>from the tre</w:t>
      </w:r>
      <w:r w:rsidR="00AC6190" w:rsidRPr="003171CD">
        <w:rPr>
          <w:lang w:val="en-US"/>
        </w:rPr>
        <w:t xml:space="preserve">aties to which El Salvador is </w:t>
      </w:r>
      <w:r w:rsidR="00A73104" w:rsidRPr="003171CD">
        <w:rPr>
          <w:lang w:val="en-US"/>
        </w:rPr>
        <w:t>a P</w:t>
      </w:r>
      <w:r w:rsidR="005A65CE" w:rsidRPr="003171CD">
        <w:rPr>
          <w:lang w:val="en-US"/>
        </w:rPr>
        <w:t>arty.</w:t>
      </w:r>
    </w:p>
    <w:p w14:paraId="0BB3DF34" w14:textId="77777777" w:rsidR="005A65CE" w:rsidRPr="003171CD" w:rsidRDefault="005A65CE" w:rsidP="005A65CE">
      <w:pPr>
        <w:tabs>
          <w:tab w:val="left" w:pos="720"/>
        </w:tabs>
        <w:ind w:right="-90"/>
        <w:jc w:val="both"/>
        <w:rPr>
          <w:lang w:val="en-US"/>
        </w:rPr>
      </w:pPr>
    </w:p>
    <w:p w14:paraId="0E867F32"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In their final written arguments, the representatives also asked </w:t>
      </w:r>
      <w:r w:rsidRPr="003171CD">
        <w:rPr>
          <w:rFonts w:eastAsiaTheme="minorHAnsi" w:cs="Arial"/>
          <w:color w:val="000000" w:themeColor="text1"/>
          <w:lang w:val="en-US"/>
        </w:rPr>
        <w:t>the Court</w:t>
      </w:r>
      <w:r w:rsidRPr="003171CD">
        <w:rPr>
          <w:lang w:val="en-US"/>
        </w:rPr>
        <w:t xml:space="preserve"> to</w:t>
      </w:r>
      <w:r w:rsidR="00AC6190" w:rsidRPr="003171CD">
        <w:rPr>
          <w:lang w:val="en-US"/>
        </w:rPr>
        <w:t xml:space="preserve"> order the State to “extend the </w:t>
      </w:r>
      <w:r w:rsidRPr="003171CD">
        <w:rPr>
          <w:lang w:val="en-US"/>
        </w:rPr>
        <w:t>[human rights</w:t>
      </w:r>
      <w:r w:rsidR="00AC6190" w:rsidRPr="003171CD">
        <w:rPr>
          <w:lang w:val="en-US"/>
        </w:rPr>
        <w:t>]</w:t>
      </w:r>
      <w:r w:rsidR="00745872" w:rsidRPr="003171CD">
        <w:rPr>
          <w:lang w:val="en-US"/>
        </w:rPr>
        <w:t xml:space="preserve"> training</w:t>
      </w:r>
      <w:r w:rsidRPr="003171CD">
        <w:rPr>
          <w:lang w:val="en-US"/>
        </w:rPr>
        <w:t xml:space="preserve"> to society in general, and </w:t>
      </w:r>
      <w:r w:rsidR="00AC6190" w:rsidRPr="003171CD">
        <w:rPr>
          <w:lang w:val="en-US"/>
        </w:rPr>
        <w:t xml:space="preserve">to </w:t>
      </w:r>
      <w:r w:rsidRPr="003171CD">
        <w:rPr>
          <w:lang w:val="en-US"/>
        </w:rPr>
        <w:t xml:space="preserve">include it as a mandatory course or subject at the level of middle </w:t>
      </w:r>
      <w:r w:rsidR="008769F8" w:rsidRPr="003171CD">
        <w:rPr>
          <w:lang w:val="en-US"/>
        </w:rPr>
        <w:t xml:space="preserve">school </w:t>
      </w:r>
      <w:r w:rsidRPr="003171CD">
        <w:rPr>
          <w:lang w:val="en-US"/>
        </w:rPr>
        <w:t>education, a</w:t>
      </w:r>
      <w:r w:rsidR="008769F8" w:rsidRPr="003171CD">
        <w:rPr>
          <w:lang w:val="en-US"/>
        </w:rPr>
        <w:t xml:space="preserve">s well as </w:t>
      </w:r>
      <w:r w:rsidRPr="003171CD">
        <w:rPr>
          <w:lang w:val="en-US"/>
        </w:rPr>
        <w:t xml:space="preserve">through </w:t>
      </w:r>
      <w:r w:rsidR="00AC6190" w:rsidRPr="003171CD">
        <w:rPr>
          <w:lang w:val="en-US"/>
        </w:rPr>
        <w:t>information “</w:t>
      </w:r>
      <w:r w:rsidRPr="003171CD">
        <w:rPr>
          <w:lang w:val="en-US"/>
        </w:rPr>
        <w:t>capsules</w:t>
      </w:r>
      <w:r w:rsidR="00AC6190" w:rsidRPr="003171CD">
        <w:rPr>
          <w:lang w:val="en-US"/>
        </w:rPr>
        <w:t>”</w:t>
      </w:r>
      <w:r w:rsidRPr="003171CD">
        <w:rPr>
          <w:lang w:val="en-US"/>
        </w:rPr>
        <w:t xml:space="preserve"> in the mass media.” </w:t>
      </w:r>
      <w:r w:rsidR="00745872" w:rsidRPr="003171CD">
        <w:rPr>
          <w:lang w:val="en-US"/>
        </w:rPr>
        <w:t xml:space="preserve">With regard to </w:t>
      </w:r>
      <w:r w:rsidRPr="003171CD">
        <w:rPr>
          <w:lang w:val="en-US"/>
        </w:rPr>
        <w:t>that request, the Court ob</w:t>
      </w:r>
      <w:r w:rsidR="00745872" w:rsidRPr="003171CD">
        <w:rPr>
          <w:lang w:val="en-US"/>
        </w:rPr>
        <w:t xml:space="preserve">serves that </w:t>
      </w:r>
      <w:r w:rsidR="00AC6190" w:rsidRPr="003171CD">
        <w:rPr>
          <w:lang w:val="en-US"/>
        </w:rPr>
        <w:t xml:space="preserve">it </w:t>
      </w:r>
      <w:r w:rsidR="00745872" w:rsidRPr="003171CD">
        <w:rPr>
          <w:lang w:val="en-US"/>
        </w:rPr>
        <w:t xml:space="preserve">was not </w:t>
      </w:r>
      <w:r w:rsidR="00AC6190" w:rsidRPr="003171CD">
        <w:rPr>
          <w:lang w:val="en-US"/>
        </w:rPr>
        <w:t xml:space="preserve">presented </w:t>
      </w:r>
      <w:r w:rsidR="00745872" w:rsidRPr="003171CD">
        <w:rPr>
          <w:lang w:val="en-US"/>
        </w:rPr>
        <w:t>at</w:t>
      </w:r>
      <w:r w:rsidRPr="003171CD">
        <w:rPr>
          <w:lang w:val="en-US"/>
        </w:rPr>
        <w:t xml:space="preserve"> the </w:t>
      </w:r>
      <w:r w:rsidR="00B815DC" w:rsidRPr="003171CD">
        <w:rPr>
          <w:lang w:val="en-US"/>
        </w:rPr>
        <w:t xml:space="preserve">proper </w:t>
      </w:r>
      <w:r w:rsidRPr="003171CD">
        <w:rPr>
          <w:lang w:val="en-US"/>
        </w:rPr>
        <w:t xml:space="preserve">procedural </w:t>
      </w:r>
      <w:r w:rsidR="00B815DC" w:rsidRPr="003171CD">
        <w:rPr>
          <w:lang w:val="en-US"/>
        </w:rPr>
        <w:t xml:space="preserve">moment, that is, </w:t>
      </w:r>
      <w:r w:rsidR="00745872" w:rsidRPr="003171CD">
        <w:rPr>
          <w:lang w:val="en-US"/>
        </w:rPr>
        <w:t xml:space="preserve">in the </w:t>
      </w:r>
      <w:r w:rsidRPr="003171CD">
        <w:rPr>
          <w:lang w:val="en-US"/>
        </w:rPr>
        <w:t xml:space="preserve">pleadings, motions and evidence </w:t>
      </w:r>
      <w:r w:rsidR="00745872" w:rsidRPr="003171CD">
        <w:rPr>
          <w:lang w:val="en-US"/>
        </w:rPr>
        <w:t>brief submitted to this Court;</w:t>
      </w:r>
      <w:r w:rsidRPr="003171CD">
        <w:rPr>
          <w:lang w:val="en-US"/>
        </w:rPr>
        <w:t xml:space="preserve"> </w:t>
      </w:r>
      <w:r w:rsidR="00745872" w:rsidRPr="003171CD">
        <w:rPr>
          <w:lang w:val="en-US"/>
        </w:rPr>
        <w:t xml:space="preserve">therefore, it </w:t>
      </w:r>
      <w:r w:rsidRPr="003171CD">
        <w:rPr>
          <w:lang w:val="en-US"/>
        </w:rPr>
        <w:t>is time-barred and will not be considered.</w:t>
      </w:r>
    </w:p>
    <w:p w14:paraId="58CA6892" w14:textId="77777777" w:rsidR="005A65CE" w:rsidRPr="003171CD" w:rsidRDefault="005A65CE" w:rsidP="005A65CE">
      <w:pPr>
        <w:tabs>
          <w:tab w:val="left" w:pos="720"/>
          <w:tab w:val="num" w:pos="15467"/>
        </w:tabs>
        <w:contextualSpacing/>
        <w:jc w:val="both"/>
        <w:rPr>
          <w:rFonts w:eastAsia="MS Mincho"/>
          <w:lang w:val="en-US"/>
        </w:rPr>
      </w:pPr>
    </w:p>
    <w:p w14:paraId="681A86D9" w14:textId="77777777" w:rsidR="005A65CE" w:rsidRPr="003171CD" w:rsidRDefault="005A65CE" w:rsidP="005A65CE">
      <w:pPr>
        <w:widowControl w:val="0"/>
        <w:ind w:left="2124"/>
        <w:jc w:val="both"/>
        <w:textAlignment w:val="baseline"/>
        <w:rPr>
          <w:b/>
          <w:i/>
          <w:lang w:val="en-US"/>
        </w:rPr>
      </w:pPr>
      <w:r w:rsidRPr="003171CD">
        <w:rPr>
          <w:b/>
          <w:i/>
          <w:lang w:val="en-US"/>
        </w:rPr>
        <w:t xml:space="preserve">C.4.b </w:t>
      </w:r>
      <w:r w:rsidRPr="003171CD">
        <w:rPr>
          <w:b/>
          <w:i/>
          <w:lang w:val="en-US"/>
        </w:rPr>
        <w:tab/>
        <w:t>Strengthen</w:t>
      </w:r>
      <w:r w:rsidR="008769F8" w:rsidRPr="003171CD">
        <w:rPr>
          <w:b/>
          <w:i/>
          <w:lang w:val="en-US"/>
        </w:rPr>
        <w:t>ing the institutional capacity</w:t>
      </w:r>
      <w:r w:rsidRPr="003171CD">
        <w:rPr>
          <w:b/>
          <w:i/>
          <w:lang w:val="en-US"/>
        </w:rPr>
        <w:t xml:space="preserve"> of the </w:t>
      </w:r>
      <w:r w:rsidR="007360D2" w:rsidRPr="003171CD">
        <w:rPr>
          <w:b/>
          <w:i/>
          <w:lang w:val="en-US"/>
        </w:rPr>
        <w:t xml:space="preserve">Office of the </w:t>
      </w:r>
      <w:r w:rsidRPr="003171CD">
        <w:rPr>
          <w:b/>
          <w:i/>
          <w:lang w:val="en-US"/>
        </w:rPr>
        <w:t>Public Defe</w:t>
      </w:r>
      <w:r w:rsidR="007360D2" w:rsidRPr="003171CD">
        <w:rPr>
          <w:b/>
          <w:i/>
          <w:lang w:val="en-US"/>
        </w:rPr>
        <w:t xml:space="preserve">nder of </w:t>
      </w:r>
      <w:r w:rsidRPr="003171CD">
        <w:rPr>
          <w:b/>
          <w:i/>
          <w:lang w:val="en-US"/>
        </w:rPr>
        <w:t>El Salvador</w:t>
      </w:r>
    </w:p>
    <w:p w14:paraId="5CB41C8E" w14:textId="77777777" w:rsidR="005A65CE" w:rsidRPr="003171CD" w:rsidRDefault="005A65CE" w:rsidP="005A65CE">
      <w:pPr>
        <w:tabs>
          <w:tab w:val="left" w:pos="720"/>
          <w:tab w:val="num" w:pos="15467"/>
        </w:tabs>
        <w:contextualSpacing/>
        <w:jc w:val="both"/>
        <w:rPr>
          <w:rFonts w:eastAsia="MS Mincho"/>
          <w:lang w:val="en-US"/>
        </w:rPr>
      </w:pPr>
    </w:p>
    <w:p w14:paraId="04B858BE" w14:textId="77777777" w:rsidR="005A65CE" w:rsidRPr="003171CD" w:rsidRDefault="005A65CE" w:rsidP="005A65CE">
      <w:pPr>
        <w:ind w:firstLine="720"/>
        <w:jc w:val="both"/>
        <w:rPr>
          <w:i/>
          <w:lang w:val="en-US"/>
        </w:rPr>
      </w:pPr>
      <w:r w:rsidRPr="003171CD">
        <w:rPr>
          <w:i/>
          <w:lang w:val="en-US"/>
        </w:rPr>
        <w:t>Arguments of the parties</w:t>
      </w:r>
    </w:p>
    <w:p w14:paraId="2F312CBE" w14:textId="77777777" w:rsidR="005A65CE" w:rsidRPr="003171CD" w:rsidRDefault="005A65CE" w:rsidP="005A65CE">
      <w:pPr>
        <w:tabs>
          <w:tab w:val="left" w:pos="720"/>
          <w:tab w:val="num" w:pos="15467"/>
        </w:tabs>
        <w:contextualSpacing/>
        <w:jc w:val="both"/>
        <w:rPr>
          <w:rFonts w:eastAsia="MS Mincho"/>
          <w:lang w:val="en-US"/>
        </w:rPr>
      </w:pPr>
    </w:p>
    <w:p w14:paraId="0C8E45F3"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lastRenderedPageBreak/>
        <w:t xml:space="preserve">The </w:t>
      </w:r>
      <w:r w:rsidRPr="003171CD">
        <w:rPr>
          <w:b/>
          <w:i/>
          <w:lang w:val="en-US"/>
        </w:rPr>
        <w:t>representatives</w:t>
      </w:r>
      <w:r w:rsidRPr="003171CD">
        <w:rPr>
          <w:lang w:val="en-US"/>
        </w:rPr>
        <w:t xml:space="preserve"> asked the Court to </w:t>
      </w:r>
      <w:r w:rsidR="00AC6190" w:rsidRPr="003171CD">
        <w:rPr>
          <w:lang w:val="en-US"/>
        </w:rPr>
        <w:t xml:space="preserve">require </w:t>
      </w:r>
      <w:r w:rsidRPr="003171CD">
        <w:rPr>
          <w:lang w:val="en-US"/>
        </w:rPr>
        <w:t xml:space="preserve">the State to “review the actions of the public criminal defense system of El Salvador and </w:t>
      </w:r>
      <w:r w:rsidR="00AC6190" w:rsidRPr="003171CD">
        <w:rPr>
          <w:lang w:val="en-US"/>
        </w:rPr>
        <w:t xml:space="preserve">to </w:t>
      </w:r>
      <w:r w:rsidRPr="003171CD">
        <w:rPr>
          <w:lang w:val="en-US"/>
        </w:rPr>
        <w:t>order the n</w:t>
      </w:r>
      <w:r w:rsidR="007360D2" w:rsidRPr="003171CD">
        <w:rPr>
          <w:lang w:val="en-US"/>
        </w:rPr>
        <w:t xml:space="preserve">ecessary </w:t>
      </w:r>
      <w:r w:rsidR="00AC6190" w:rsidRPr="003171CD">
        <w:rPr>
          <w:lang w:val="en-US"/>
        </w:rPr>
        <w:t xml:space="preserve">measures </w:t>
      </w:r>
      <w:r w:rsidR="007360D2" w:rsidRPr="003171CD">
        <w:rPr>
          <w:lang w:val="en-US"/>
        </w:rPr>
        <w:t>to avoid repetition.” Neither t</w:t>
      </w:r>
      <w:r w:rsidRPr="003171CD">
        <w:rPr>
          <w:lang w:val="en-US"/>
        </w:rPr>
        <w:t xml:space="preserve">he </w:t>
      </w:r>
      <w:r w:rsidRPr="003171CD">
        <w:rPr>
          <w:b/>
          <w:i/>
          <w:lang w:val="en-US"/>
        </w:rPr>
        <w:t>Commission</w:t>
      </w:r>
      <w:r w:rsidR="007360D2" w:rsidRPr="003171CD">
        <w:rPr>
          <w:lang w:val="en-US"/>
        </w:rPr>
        <w:t xml:space="preserve"> nor</w:t>
      </w:r>
      <w:r w:rsidRPr="003171CD">
        <w:rPr>
          <w:lang w:val="en-US"/>
        </w:rPr>
        <w:t xml:space="preserve"> the </w:t>
      </w:r>
      <w:r w:rsidRPr="003171CD">
        <w:rPr>
          <w:b/>
          <w:i/>
          <w:lang w:val="en-US"/>
        </w:rPr>
        <w:t>State</w:t>
      </w:r>
      <w:r w:rsidRPr="003171CD">
        <w:rPr>
          <w:lang w:val="en-US"/>
        </w:rPr>
        <w:t xml:space="preserve"> comment</w:t>
      </w:r>
      <w:r w:rsidR="007360D2" w:rsidRPr="003171CD">
        <w:rPr>
          <w:lang w:val="en-US"/>
        </w:rPr>
        <w:t>ed</w:t>
      </w:r>
      <w:r w:rsidRPr="003171CD">
        <w:rPr>
          <w:lang w:val="en-US"/>
        </w:rPr>
        <w:t xml:space="preserve"> on this point. </w:t>
      </w:r>
    </w:p>
    <w:p w14:paraId="491E3559" w14:textId="77777777" w:rsidR="005A65CE" w:rsidRPr="003171CD" w:rsidRDefault="005A65CE" w:rsidP="005A65CE">
      <w:pPr>
        <w:tabs>
          <w:tab w:val="left" w:pos="720"/>
          <w:tab w:val="num" w:pos="15467"/>
        </w:tabs>
        <w:contextualSpacing/>
        <w:jc w:val="both"/>
        <w:rPr>
          <w:rFonts w:eastAsia="MS Mincho"/>
          <w:lang w:val="en-US"/>
        </w:rPr>
      </w:pPr>
    </w:p>
    <w:p w14:paraId="26F16868" w14:textId="77777777" w:rsidR="005A65CE" w:rsidRPr="003171CD" w:rsidRDefault="005A65CE" w:rsidP="005A65CE">
      <w:pPr>
        <w:ind w:firstLine="720"/>
        <w:rPr>
          <w:rFonts w:eastAsia="MS Mincho"/>
          <w:bCs/>
          <w:i/>
          <w:lang w:val="en-US"/>
        </w:rPr>
      </w:pPr>
      <w:r w:rsidRPr="003171CD">
        <w:rPr>
          <w:rFonts w:eastAsia="MS Mincho"/>
          <w:bCs/>
          <w:i/>
          <w:lang w:val="en-US"/>
        </w:rPr>
        <w:t>Considerations of the Court</w:t>
      </w:r>
    </w:p>
    <w:p w14:paraId="163F25CA" w14:textId="77777777" w:rsidR="005A65CE" w:rsidRPr="003171CD" w:rsidRDefault="005A65CE" w:rsidP="005A65CE">
      <w:pPr>
        <w:autoSpaceDE/>
        <w:autoSpaceDN/>
        <w:adjustRightInd/>
        <w:contextualSpacing/>
        <w:jc w:val="both"/>
        <w:rPr>
          <w:rFonts w:eastAsia="MS Mincho"/>
          <w:lang w:val="en-US"/>
        </w:rPr>
      </w:pPr>
    </w:p>
    <w:p w14:paraId="0F997F37" w14:textId="77777777" w:rsidR="005A65CE" w:rsidRPr="003171CD" w:rsidRDefault="005A65CE" w:rsidP="005A65CE">
      <w:pPr>
        <w:numPr>
          <w:ilvl w:val="0"/>
          <w:numId w:val="1"/>
        </w:numPr>
        <w:autoSpaceDE/>
        <w:autoSpaceDN/>
        <w:adjustRightInd/>
        <w:contextualSpacing/>
        <w:jc w:val="both"/>
        <w:rPr>
          <w:rFonts w:eastAsia="MS Mincho"/>
          <w:lang w:val="en-US"/>
        </w:rPr>
      </w:pPr>
      <w:r w:rsidRPr="003171CD">
        <w:rPr>
          <w:rFonts w:eastAsia="MS Mincho"/>
          <w:lang w:val="en-US"/>
        </w:rPr>
        <w:t>In consideration of the violations established in this case and the need for public de</w:t>
      </w:r>
      <w:r w:rsidR="00AC6190" w:rsidRPr="003171CD">
        <w:rPr>
          <w:rFonts w:eastAsia="MS Mincho"/>
          <w:lang w:val="en-US"/>
        </w:rPr>
        <w:t xml:space="preserve">fenders to be able to provide a </w:t>
      </w:r>
      <w:r w:rsidR="008769F8" w:rsidRPr="003171CD">
        <w:rPr>
          <w:rFonts w:eastAsia="MS Mincho"/>
          <w:lang w:val="en-US"/>
        </w:rPr>
        <w:t>high-</w:t>
      </w:r>
      <w:r w:rsidRPr="003171CD">
        <w:rPr>
          <w:rFonts w:eastAsia="MS Mincho"/>
          <w:lang w:val="en-US"/>
        </w:rPr>
        <w:t xml:space="preserve">quality legal assistance service </w:t>
      </w:r>
      <w:r w:rsidR="00AC6190" w:rsidRPr="003171CD">
        <w:rPr>
          <w:rFonts w:eastAsia="MS Mincho"/>
          <w:lang w:val="en-US"/>
        </w:rPr>
        <w:t xml:space="preserve">in order </w:t>
      </w:r>
      <w:r w:rsidRPr="003171CD">
        <w:rPr>
          <w:rFonts w:eastAsia="MS Mincho"/>
          <w:lang w:val="en-US"/>
        </w:rPr>
        <w:t xml:space="preserve">to avoid </w:t>
      </w:r>
      <w:r w:rsidR="008769F8" w:rsidRPr="003171CD">
        <w:rPr>
          <w:rFonts w:eastAsia="MS Mincho"/>
          <w:lang w:val="en-US"/>
        </w:rPr>
        <w:t xml:space="preserve">a </w:t>
      </w:r>
      <w:r w:rsidRPr="003171CD">
        <w:rPr>
          <w:rFonts w:eastAsia="MS Mincho"/>
          <w:lang w:val="en-US"/>
        </w:rPr>
        <w:t xml:space="preserve">repetition of </w:t>
      </w:r>
      <w:r w:rsidR="00AC6190" w:rsidRPr="003171CD">
        <w:rPr>
          <w:rFonts w:eastAsia="MS Mincho"/>
          <w:lang w:val="en-US"/>
        </w:rPr>
        <w:t xml:space="preserve">the </w:t>
      </w:r>
      <w:r w:rsidRPr="003171CD">
        <w:rPr>
          <w:rFonts w:eastAsia="MS Mincho"/>
          <w:lang w:val="en-US"/>
        </w:rPr>
        <w:t>facts</w:t>
      </w:r>
      <w:r w:rsidR="000A776C" w:rsidRPr="003171CD">
        <w:rPr>
          <w:rFonts w:eastAsia="MS Mincho"/>
          <w:lang w:val="en-US"/>
        </w:rPr>
        <w:t xml:space="preserve"> </w:t>
      </w:r>
      <w:r w:rsidR="008769F8" w:rsidRPr="003171CD">
        <w:rPr>
          <w:rFonts w:eastAsia="MS Mincho"/>
          <w:lang w:val="en-US"/>
        </w:rPr>
        <w:t>of</w:t>
      </w:r>
      <w:r w:rsidR="00AC6190" w:rsidRPr="003171CD">
        <w:rPr>
          <w:rFonts w:eastAsia="MS Mincho"/>
          <w:lang w:val="en-US"/>
        </w:rPr>
        <w:t xml:space="preserve"> this </w:t>
      </w:r>
      <w:r w:rsidRPr="003171CD">
        <w:rPr>
          <w:rFonts w:eastAsia="MS Mincho"/>
          <w:lang w:val="en-US"/>
        </w:rPr>
        <w:t xml:space="preserve">case, the Court considers it pertinent to require the State to reinforce, within a reasonable time, its systems for the selection of public defenders to ensure the appointment of persons who </w:t>
      </w:r>
      <w:r w:rsidR="008769F8" w:rsidRPr="003171CD">
        <w:rPr>
          <w:rFonts w:eastAsia="MS Mincho"/>
          <w:lang w:val="en-US"/>
        </w:rPr>
        <w:t xml:space="preserve">meet </w:t>
      </w:r>
      <w:r w:rsidRPr="003171CD">
        <w:rPr>
          <w:rFonts w:eastAsia="MS Mincho"/>
          <w:lang w:val="en-US"/>
        </w:rPr>
        <w:t xml:space="preserve">the requirements of suitability and proven technical capacity, and to implement controls through protocols </w:t>
      </w:r>
      <w:r w:rsidR="00B815DC" w:rsidRPr="003171CD">
        <w:rPr>
          <w:rFonts w:eastAsia="MS Mincho"/>
          <w:lang w:val="en-US"/>
        </w:rPr>
        <w:t xml:space="preserve">to ensure </w:t>
      </w:r>
      <w:r w:rsidRPr="003171CD">
        <w:rPr>
          <w:rFonts w:eastAsia="MS Mincho"/>
          <w:lang w:val="en-US"/>
        </w:rPr>
        <w:t xml:space="preserve">efficacy </w:t>
      </w:r>
      <w:r w:rsidR="00B815DC" w:rsidRPr="003171CD">
        <w:rPr>
          <w:rFonts w:eastAsia="MS Mincho"/>
          <w:lang w:val="en-US"/>
        </w:rPr>
        <w:t xml:space="preserve">in </w:t>
      </w:r>
      <w:r w:rsidRPr="003171CD">
        <w:rPr>
          <w:rFonts w:eastAsia="MS Mincho"/>
          <w:lang w:val="en-US"/>
        </w:rPr>
        <w:t xml:space="preserve">the </w:t>
      </w:r>
      <w:r w:rsidR="00B815DC" w:rsidRPr="003171CD">
        <w:rPr>
          <w:rFonts w:eastAsia="MS Mincho"/>
          <w:lang w:val="en-US"/>
        </w:rPr>
        <w:t xml:space="preserve">administration </w:t>
      </w:r>
      <w:r w:rsidRPr="003171CD">
        <w:rPr>
          <w:rFonts w:eastAsia="MS Mincho"/>
          <w:lang w:val="en-US"/>
        </w:rPr>
        <w:t xml:space="preserve">of the public defense in </w:t>
      </w:r>
      <w:r w:rsidR="00B815DC" w:rsidRPr="003171CD">
        <w:rPr>
          <w:rFonts w:eastAsia="MS Mincho"/>
          <w:lang w:val="en-US"/>
        </w:rPr>
        <w:t>criminal matters</w:t>
      </w:r>
      <w:r w:rsidRPr="003171CD">
        <w:rPr>
          <w:rFonts w:eastAsia="MS Mincho"/>
          <w:lang w:val="en-US"/>
        </w:rPr>
        <w:t xml:space="preserve">. </w:t>
      </w:r>
    </w:p>
    <w:p w14:paraId="0EB229BD" w14:textId="77777777" w:rsidR="005A65CE" w:rsidRPr="003171CD" w:rsidRDefault="005A65CE" w:rsidP="005A65CE">
      <w:pPr>
        <w:autoSpaceDE/>
        <w:autoSpaceDN/>
        <w:adjustRightInd/>
        <w:contextualSpacing/>
        <w:jc w:val="both"/>
        <w:rPr>
          <w:rFonts w:eastAsia="MS Mincho"/>
          <w:lang w:val="en-US"/>
        </w:rPr>
      </w:pPr>
    </w:p>
    <w:p w14:paraId="63F7F972" w14:textId="77777777" w:rsidR="005A65CE" w:rsidRPr="003171CD" w:rsidRDefault="002F6D21" w:rsidP="005A65CE">
      <w:pPr>
        <w:numPr>
          <w:ilvl w:val="0"/>
          <w:numId w:val="1"/>
        </w:numPr>
        <w:autoSpaceDE/>
        <w:autoSpaceDN/>
        <w:adjustRightInd/>
        <w:contextualSpacing/>
        <w:jc w:val="both"/>
        <w:rPr>
          <w:rFonts w:eastAsia="MS Mincho"/>
          <w:lang w:val="en-US"/>
        </w:rPr>
      </w:pPr>
      <w:r w:rsidRPr="003171CD">
        <w:rPr>
          <w:rFonts w:eastAsia="MS Mincho"/>
          <w:lang w:val="en-US"/>
        </w:rPr>
        <w:t>In addition</w:t>
      </w:r>
      <w:r w:rsidR="005A65CE" w:rsidRPr="003171CD">
        <w:rPr>
          <w:rFonts w:eastAsia="MS Mincho"/>
          <w:lang w:val="en-US"/>
        </w:rPr>
        <w:t xml:space="preserve">, the Court considers it important to strengthen the </w:t>
      </w:r>
      <w:r w:rsidR="008769F8" w:rsidRPr="003171CD">
        <w:rPr>
          <w:rFonts w:eastAsia="MS Mincho"/>
          <w:lang w:val="en-US"/>
        </w:rPr>
        <w:t>State’s institutional capacity</w:t>
      </w:r>
      <w:r w:rsidR="005A65CE" w:rsidRPr="003171CD">
        <w:rPr>
          <w:rFonts w:eastAsia="MS Mincho"/>
          <w:lang w:val="en-US"/>
        </w:rPr>
        <w:t xml:space="preserve"> through the training of public defenders, in orde</w:t>
      </w:r>
      <w:r w:rsidR="00B815DC" w:rsidRPr="003171CD">
        <w:rPr>
          <w:rFonts w:eastAsia="MS Mincho"/>
          <w:lang w:val="en-US"/>
        </w:rPr>
        <w:t>r</w:t>
      </w:r>
      <w:r w:rsidR="005A65CE" w:rsidRPr="003171CD">
        <w:rPr>
          <w:rFonts w:eastAsia="MS Mincho"/>
          <w:lang w:val="en-US"/>
        </w:rPr>
        <w:t xml:space="preserve"> to prevent the repetition of facts such as those analyzed in this Judgment. Therefore, the Court orders the State to implement, within a reasonable time, </w:t>
      </w:r>
      <w:r w:rsidR="00CD7E32" w:rsidRPr="003171CD">
        <w:rPr>
          <w:rFonts w:eastAsia="MS Mincho"/>
          <w:lang w:val="en-US"/>
        </w:rPr>
        <w:t>training programs</w:t>
      </w:r>
      <w:r w:rsidR="00CB0B45" w:rsidRPr="003171CD">
        <w:rPr>
          <w:rFonts w:eastAsia="MS Mincho"/>
          <w:lang w:val="en-US"/>
        </w:rPr>
        <w:t>,</w:t>
      </w:r>
      <w:r w:rsidR="003C71ED" w:rsidRPr="003171CD">
        <w:rPr>
          <w:rFonts w:eastAsia="MS Mincho"/>
          <w:lang w:val="en-US"/>
        </w:rPr>
        <w:t xml:space="preserve"> </w:t>
      </w:r>
      <w:r w:rsidR="00745872" w:rsidRPr="003171CD">
        <w:rPr>
          <w:rFonts w:eastAsia="MS Mincho"/>
          <w:lang w:val="en-US"/>
        </w:rPr>
        <w:t xml:space="preserve">if these do not </w:t>
      </w:r>
      <w:r w:rsidR="001B5DB0" w:rsidRPr="003171CD">
        <w:rPr>
          <w:rFonts w:eastAsia="MS Mincho"/>
          <w:lang w:val="en-US"/>
        </w:rPr>
        <w:t xml:space="preserve">exist </w:t>
      </w:r>
      <w:r w:rsidR="003C71ED" w:rsidRPr="003171CD">
        <w:rPr>
          <w:rFonts w:eastAsia="MS Mincho"/>
          <w:lang w:val="en-US"/>
        </w:rPr>
        <w:t>already</w:t>
      </w:r>
      <w:r w:rsidR="00CD7E32" w:rsidRPr="003171CD">
        <w:rPr>
          <w:rFonts w:eastAsia="MS Mincho"/>
          <w:lang w:val="en-US"/>
        </w:rPr>
        <w:t>,</w:t>
      </w:r>
      <w:r w:rsidR="00745872" w:rsidRPr="003171CD">
        <w:rPr>
          <w:rFonts w:eastAsia="MS Mincho"/>
          <w:lang w:val="en-US"/>
        </w:rPr>
        <w:t xml:space="preserve"> </w:t>
      </w:r>
      <w:r w:rsidR="00CD7E32" w:rsidRPr="003171CD">
        <w:rPr>
          <w:rFonts w:eastAsia="MS Mincho"/>
          <w:lang w:val="en-US"/>
        </w:rPr>
        <w:t>or</w:t>
      </w:r>
      <w:r w:rsidR="005A65CE" w:rsidRPr="003171CD">
        <w:rPr>
          <w:rFonts w:eastAsia="MS Mincho"/>
          <w:lang w:val="en-US"/>
        </w:rPr>
        <w:t xml:space="preserve"> </w:t>
      </w:r>
      <w:r w:rsidR="00EA5E06" w:rsidRPr="003171CD">
        <w:rPr>
          <w:rFonts w:eastAsia="MS Mincho"/>
          <w:lang w:val="en-US"/>
        </w:rPr>
        <w:t xml:space="preserve">to </w:t>
      </w:r>
      <w:r w:rsidR="005A65CE" w:rsidRPr="003171CD">
        <w:rPr>
          <w:rFonts w:eastAsia="MS Mincho"/>
          <w:lang w:val="en-US"/>
        </w:rPr>
        <w:t xml:space="preserve">strengthen </w:t>
      </w:r>
      <w:r w:rsidR="00F82C24" w:rsidRPr="003171CD">
        <w:rPr>
          <w:rFonts w:eastAsia="MS Mincho"/>
          <w:lang w:val="en-US"/>
        </w:rPr>
        <w:t>existing programs</w:t>
      </w:r>
      <w:r w:rsidR="00CB0B45" w:rsidRPr="003171CD">
        <w:rPr>
          <w:rFonts w:eastAsia="MS Mincho"/>
          <w:lang w:val="en-US"/>
        </w:rPr>
        <w:t>,</w:t>
      </w:r>
      <w:r w:rsidR="00CD7E32" w:rsidRPr="003171CD">
        <w:rPr>
          <w:rFonts w:eastAsia="MS Mincho"/>
          <w:lang w:val="en-US"/>
        </w:rPr>
        <w:t xml:space="preserve"> in order to establish a continuous training system</w:t>
      </w:r>
      <w:r w:rsidR="005A65CE" w:rsidRPr="003171CD">
        <w:rPr>
          <w:rFonts w:eastAsia="MS Mincho"/>
          <w:lang w:val="en-US"/>
        </w:rPr>
        <w:t xml:space="preserve"> </w:t>
      </w:r>
      <w:r w:rsidR="00CB0B45" w:rsidRPr="003171CD">
        <w:rPr>
          <w:rFonts w:eastAsia="MS Mincho"/>
          <w:lang w:val="en-US"/>
        </w:rPr>
        <w:t xml:space="preserve">for </w:t>
      </w:r>
      <w:r w:rsidR="005A65CE" w:rsidRPr="003171CD">
        <w:rPr>
          <w:rFonts w:eastAsia="MS Mincho"/>
          <w:lang w:val="en-US"/>
        </w:rPr>
        <w:t xml:space="preserve">public defenders. These </w:t>
      </w:r>
      <w:r w:rsidR="00CB0B45" w:rsidRPr="003171CD">
        <w:rPr>
          <w:rFonts w:eastAsia="MS Mincho"/>
          <w:lang w:val="en-US"/>
        </w:rPr>
        <w:t xml:space="preserve">programs </w:t>
      </w:r>
      <w:r w:rsidR="005A65CE" w:rsidRPr="003171CD">
        <w:rPr>
          <w:rFonts w:eastAsia="MS Mincho"/>
          <w:lang w:val="en-US"/>
        </w:rPr>
        <w:t xml:space="preserve">should include, among other aspects, courses or modules on international human rights standards, </w:t>
      </w:r>
      <w:r w:rsidR="00CB0B45" w:rsidRPr="003171CD">
        <w:rPr>
          <w:rFonts w:eastAsia="MS Mincho"/>
          <w:lang w:val="en-US"/>
        </w:rPr>
        <w:t xml:space="preserve">focusing </w:t>
      </w:r>
      <w:r w:rsidR="005A65CE" w:rsidRPr="003171CD">
        <w:rPr>
          <w:rFonts w:eastAsia="MS Mincho"/>
          <w:lang w:val="en-US"/>
        </w:rPr>
        <w:t xml:space="preserve">particularly </w:t>
      </w:r>
      <w:r w:rsidR="00CB0B45" w:rsidRPr="003171CD">
        <w:rPr>
          <w:rFonts w:eastAsia="MS Mincho"/>
          <w:lang w:val="en-US"/>
        </w:rPr>
        <w:t xml:space="preserve">on guarantees of due process and the right of </w:t>
      </w:r>
      <w:r w:rsidR="005A65CE" w:rsidRPr="003171CD">
        <w:rPr>
          <w:rFonts w:eastAsia="MS Mincho"/>
          <w:lang w:val="en-US"/>
        </w:rPr>
        <w:t xml:space="preserve">defense and including the </w:t>
      </w:r>
      <w:r w:rsidR="00932224" w:rsidRPr="003171CD">
        <w:rPr>
          <w:rFonts w:eastAsia="MS Mincho"/>
          <w:lang w:val="en-US"/>
        </w:rPr>
        <w:t xml:space="preserve">case law </w:t>
      </w:r>
      <w:r w:rsidR="00CB0B45" w:rsidRPr="003171CD">
        <w:rPr>
          <w:rFonts w:eastAsia="MS Mincho"/>
          <w:lang w:val="en-US"/>
        </w:rPr>
        <w:t>of the Inter-American Court. These programs</w:t>
      </w:r>
      <w:r w:rsidR="005A65CE" w:rsidRPr="003171CD">
        <w:rPr>
          <w:lang w:val="en-US"/>
        </w:rPr>
        <w:t xml:space="preserve"> </w:t>
      </w:r>
      <w:r w:rsidR="00932224" w:rsidRPr="003171CD">
        <w:rPr>
          <w:rFonts w:eastAsia="MS Mincho"/>
          <w:lang w:val="en-US"/>
        </w:rPr>
        <w:t xml:space="preserve">must be </w:t>
      </w:r>
      <w:r w:rsidR="005A65CE" w:rsidRPr="003171CD">
        <w:rPr>
          <w:rFonts w:eastAsia="MS Mincho"/>
          <w:lang w:val="en-US"/>
        </w:rPr>
        <w:t>support</w:t>
      </w:r>
      <w:r w:rsidR="00932224" w:rsidRPr="003171CD">
        <w:rPr>
          <w:rFonts w:eastAsia="MS Mincho"/>
          <w:lang w:val="en-US"/>
        </w:rPr>
        <w:t>ed</w:t>
      </w:r>
      <w:r w:rsidR="005A65CE" w:rsidRPr="003171CD">
        <w:rPr>
          <w:rFonts w:eastAsia="MS Mincho"/>
          <w:lang w:val="en-US"/>
        </w:rPr>
        <w:t xml:space="preserve"> with adequate budget a</w:t>
      </w:r>
      <w:r w:rsidR="008B7E22" w:rsidRPr="003171CD">
        <w:rPr>
          <w:rFonts w:eastAsia="MS Mincho"/>
          <w:lang w:val="en-US"/>
        </w:rPr>
        <w:t>llocations</w:t>
      </w:r>
      <w:r w:rsidR="005A65CE" w:rsidRPr="003171CD">
        <w:rPr>
          <w:rFonts w:eastAsia="MS Mincho"/>
          <w:lang w:val="en-US"/>
        </w:rPr>
        <w:t>.</w:t>
      </w:r>
    </w:p>
    <w:p w14:paraId="3B2976B0" w14:textId="77777777" w:rsidR="005A65CE" w:rsidRPr="003171CD" w:rsidRDefault="005A65CE" w:rsidP="005A65CE">
      <w:pPr>
        <w:tabs>
          <w:tab w:val="left" w:pos="720"/>
          <w:tab w:val="num" w:pos="15467"/>
        </w:tabs>
        <w:contextualSpacing/>
        <w:jc w:val="both"/>
        <w:rPr>
          <w:rFonts w:eastAsia="MS Mincho"/>
          <w:lang w:val="en-US"/>
        </w:rPr>
      </w:pPr>
    </w:p>
    <w:p w14:paraId="40BB0379" w14:textId="77777777" w:rsidR="005A65CE" w:rsidRPr="003171CD" w:rsidRDefault="005A65CE" w:rsidP="005A65CE">
      <w:pPr>
        <w:widowControl w:val="0"/>
        <w:ind w:left="2124"/>
        <w:jc w:val="both"/>
        <w:textAlignment w:val="baseline"/>
        <w:rPr>
          <w:b/>
          <w:i/>
          <w:lang w:val="en-US"/>
        </w:rPr>
      </w:pPr>
      <w:r w:rsidRPr="003171CD">
        <w:rPr>
          <w:b/>
          <w:i/>
          <w:lang w:val="en-US"/>
        </w:rPr>
        <w:t xml:space="preserve">C.4.c </w:t>
      </w:r>
      <w:r w:rsidRPr="003171CD">
        <w:rPr>
          <w:b/>
          <w:i/>
          <w:lang w:val="en-US"/>
        </w:rPr>
        <w:tab/>
        <w:t>Other measures requested</w:t>
      </w:r>
    </w:p>
    <w:p w14:paraId="61810203" w14:textId="77777777" w:rsidR="005A65CE" w:rsidRPr="003171CD" w:rsidRDefault="005A65CE" w:rsidP="005A65CE">
      <w:pPr>
        <w:jc w:val="both"/>
        <w:rPr>
          <w:lang w:val="en-US"/>
        </w:rPr>
      </w:pPr>
    </w:p>
    <w:p w14:paraId="2D370AC0" w14:textId="77777777" w:rsidR="005A65CE" w:rsidRPr="003171CD" w:rsidRDefault="005A65CE" w:rsidP="005A65CE">
      <w:pPr>
        <w:ind w:firstLine="720"/>
        <w:jc w:val="both"/>
        <w:rPr>
          <w:i/>
          <w:lang w:val="en-US"/>
        </w:rPr>
      </w:pPr>
      <w:r w:rsidRPr="003171CD">
        <w:rPr>
          <w:i/>
          <w:lang w:val="en-US"/>
        </w:rPr>
        <w:t>Arguments of the parties</w:t>
      </w:r>
    </w:p>
    <w:p w14:paraId="33A4438A" w14:textId="77777777" w:rsidR="005A65CE" w:rsidRPr="003171CD" w:rsidRDefault="005A65CE" w:rsidP="005A65CE">
      <w:pPr>
        <w:jc w:val="both"/>
        <w:rPr>
          <w:lang w:val="en-US"/>
        </w:rPr>
      </w:pPr>
    </w:p>
    <w:p w14:paraId="3FBFCC2A"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representatives</w:t>
      </w:r>
      <w:r w:rsidRPr="003171CD">
        <w:rPr>
          <w:lang w:val="en-US"/>
        </w:rPr>
        <w:t xml:space="preserve"> asked the Court to order the State to carry out “a public act of acknowledgment of responsibility and </w:t>
      </w:r>
      <w:r w:rsidR="00745872" w:rsidRPr="003171CD">
        <w:rPr>
          <w:lang w:val="en-US"/>
        </w:rPr>
        <w:t xml:space="preserve">redress for </w:t>
      </w:r>
      <w:r w:rsidRPr="003171CD">
        <w:rPr>
          <w:lang w:val="en-US"/>
        </w:rPr>
        <w:t>the victims</w:t>
      </w:r>
      <w:r w:rsidR="001B5DB0" w:rsidRPr="003171CD">
        <w:rPr>
          <w:lang w:val="en-US"/>
        </w:rPr>
        <w:t>.”</w:t>
      </w:r>
      <w:r w:rsidRPr="003171CD">
        <w:rPr>
          <w:lang w:val="en-US"/>
        </w:rPr>
        <w:t xml:space="preserve"> Neither the </w:t>
      </w:r>
      <w:r w:rsidRPr="003171CD">
        <w:rPr>
          <w:b/>
          <w:i/>
          <w:lang w:val="en-US"/>
        </w:rPr>
        <w:t xml:space="preserve">Commission </w:t>
      </w:r>
      <w:r w:rsidRPr="003171CD">
        <w:rPr>
          <w:lang w:val="en-US"/>
        </w:rPr>
        <w:t xml:space="preserve">nor the </w:t>
      </w:r>
      <w:r w:rsidRPr="003171CD">
        <w:rPr>
          <w:b/>
          <w:i/>
          <w:lang w:val="en-US"/>
        </w:rPr>
        <w:t>State</w:t>
      </w:r>
      <w:r w:rsidRPr="003171CD">
        <w:rPr>
          <w:lang w:val="en-US"/>
        </w:rPr>
        <w:t xml:space="preserve"> commented on this </w:t>
      </w:r>
      <w:r w:rsidR="00745872" w:rsidRPr="003171CD">
        <w:rPr>
          <w:lang w:val="en-US"/>
        </w:rPr>
        <w:t>point</w:t>
      </w:r>
      <w:r w:rsidRPr="003171CD">
        <w:rPr>
          <w:lang w:val="en-US"/>
        </w:rPr>
        <w:t>.</w:t>
      </w:r>
    </w:p>
    <w:p w14:paraId="3C084897" w14:textId="77777777" w:rsidR="005A65CE" w:rsidRPr="003171CD" w:rsidRDefault="005A65CE" w:rsidP="005A65CE">
      <w:pPr>
        <w:jc w:val="both"/>
        <w:rPr>
          <w:lang w:val="en-US"/>
        </w:rPr>
      </w:pPr>
    </w:p>
    <w:p w14:paraId="24D5A0D3" w14:textId="77777777" w:rsidR="005A65CE" w:rsidRPr="003171CD" w:rsidRDefault="005A65CE" w:rsidP="005A65CE">
      <w:pPr>
        <w:ind w:firstLine="720"/>
        <w:jc w:val="both"/>
        <w:rPr>
          <w:i/>
          <w:lang w:val="en-US"/>
        </w:rPr>
      </w:pPr>
      <w:r w:rsidRPr="003171CD">
        <w:rPr>
          <w:i/>
          <w:lang w:val="en-US"/>
        </w:rPr>
        <w:t xml:space="preserve">Considerations of the Court </w:t>
      </w:r>
    </w:p>
    <w:p w14:paraId="32877B92" w14:textId="77777777" w:rsidR="005A65CE" w:rsidRPr="003171CD" w:rsidRDefault="005A65CE" w:rsidP="005A65CE">
      <w:pPr>
        <w:jc w:val="both"/>
        <w:rPr>
          <w:i/>
          <w:lang w:val="en-US"/>
        </w:rPr>
      </w:pPr>
    </w:p>
    <w:p w14:paraId="129C5D5E" w14:textId="77777777" w:rsidR="005A65CE" w:rsidRPr="003171CD" w:rsidRDefault="005A65CE" w:rsidP="005A65CE">
      <w:pPr>
        <w:numPr>
          <w:ilvl w:val="0"/>
          <w:numId w:val="1"/>
        </w:numPr>
        <w:autoSpaceDE/>
        <w:autoSpaceDN/>
        <w:adjustRightInd/>
        <w:contextualSpacing/>
        <w:jc w:val="both"/>
        <w:rPr>
          <w:lang w:val="en-US"/>
        </w:rPr>
      </w:pPr>
      <w:r w:rsidRPr="003171CD">
        <w:rPr>
          <w:color w:val="000000"/>
          <w:lang w:val="en-US"/>
        </w:rPr>
        <w:t xml:space="preserve">The Court considers that this Judgment and the reparations ordered </w:t>
      </w:r>
      <w:r w:rsidR="00745872" w:rsidRPr="003171CD">
        <w:rPr>
          <w:color w:val="000000"/>
          <w:lang w:val="en-US"/>
        </w:rPr>
        <w:t xml:space="preserve">therein </w:t>
      </w:r>
      <w:r w:rsidRPr="003171CD">
        <w:rPr>
          <w:color w:val="000000"/>
          <w:lang w:val="en-US"/>
        </w:rPr>
        <w:t xml:space="preserve">are sufficient and adequate to </w:t>
      </w:r>
      <w:r w:rsidR="00745872" w:rsidRPr="003171CD">
        <w:rPr>
          <w:color w:val="000000"/>
          <w:lang w:val="en-US"/>
        </w:rPr>
        <w:t xml:space="preserve">provide reparation </w:t>
      </w:r>
      <w:r w:rsidRPr="003171CD">
        <w:rPr>
          <w:color w:val="000000"/>
          <w:lang w:val="en-US"/>
        </w:rPr>
        <w:t xml:space="preserve">for the violations suffered by the </w:t>
      </w:r>
      <w:r w:rsidR="00745872" w:rsidRPr="003171CD">
        <w:rPr>
          <w:color w:val="000000"/>
          <w:lang w:val="en-US"/>
        </w:rPr>
        <w:t>victims in this case;</w:t>
      </w:r>
      <w:r w:rsidRPr="003171CD">
        <w:rPr>
          <w:color w:val="000000"/>
          <w:vertAlign w:val="superscript"/>
          <w:lang w:val="en-US"/>
        </w:rPr>
        <w:footnoteReference w:id="296"/>
      </w:r>
      <w:r w:rsidRPr="003171CD">
        <w:rPr>
          <w:color w:val="000000"/>
          <w:lang w:val="en-US"/>
        </w:rPr>
        <w:t xml:space="preserve"> therefore </w:t>
      </w:r>
      <w:r w:rsidR="00745872" w:rsidRPr="003171CD">
        <w:rPr>
          <w:color w:val="000000"/>
          <w:lang w:val="en-US"/>
        </w:rPr>
        <w:t xml:space="preserve">it </w:t>
      </w:r>
      <w:r w:rsidRPr="003171CD">
        <w:rPr>
          <w:color w:val="000000"/>
          <w:lang w:val="en-US"/>
        </w:rPr>
        <w:t>does not deem it necessary to order the aforesaid measure requested by the representatives.</w:t>
      </w:r>
    </w:p>
    <w:p w14:paraId="13B6A403" w14:textId="77777777" w:rsidR="005A65CE" w:rsidRPr="003171CD" w:rsidRDefault="005A65CE" w:rsidP="005A65CE">
      <w:pPr>
        <w:tabs>
          <w:tab w:val="left" w:pos="720"/>
          <w:tab w:val="num" w:pos="15467"/>
        </w:tabs>
        <w:contextualSpacing/>
        <w:jc w:val="both"/>
        <w:rPr>
          <w:rFonts w:eastAsia="MS Mincho"/>
          <w:lang w:val="en-US"/>
        </w:rPr>
      </w:pPr>
    </w:p>
    <w:p w14:paraId="60BEB7CB" w14:textId="77777777" w:rsidR="005A65CE" w:rsidRPr="003171CD" w:rsidRDefault="005A65CE" w:rsidP="005A65CE">
      <w:pPr>
        <w:pStyle w:val="Prrafodelista"/>
        <w:keepNext/>
        <w:keepLines/>
        <w:numPr>
          <w:ilvl w:val="0"/>
          <w:numId w:val="19"/>
        </w:numPr>
        <w:ind w:left="1418" w:hanging="709"/>
        <w:jc w:val="both"/>
        <w:outlineLvl w:val="1"/>
        <w:rPr>
          <w:rFonts w:cs="Arial"/>
          <w:b/>
          <w:i/>
          <w:lang w:val="en-US"/>
        </w:rPr>
      </w:pPr>
      <w:bookmarkStart w:id="86" w:name="_Toc375560984"/>
      <w:bookmarkStart w:id="87" w:name="_Toc392536835"/>
      <w:bookmarkStart w:id="88" w:name="_Toc406580708"/>
      <w:bookmarkStart w:id="89" w:name="_Toc45186720"/>
      <w:r w:rsidRPr="003171CD">
        <w:rPr>
          <w:rFonts w:cs="Arial"/>
          <w:b/>
          <w:i/>
          <w:lang w:val="en-US"/>
        </w:rPr>
        <w:t>Compensation</w:t>
      </w:r>
      <w:bookmarkEnd w:id="86"/>
      <w:bookmarkEnd w:id="87"/>
      <w:bookmarkEnd w:id="88"/>
      <w:bookmarkEnd w:id="89"/>
    </w:p>
    <w:p w14:paraId="0F9DC323" w14:textId="77777777" w:rsidR="005A65CE" w:rsidRPr="003171CD" w:rsidRDefault="005A65CE" w:rsidP="005A65CE">
      <w:pPr>
        <w:widowControl w:val="0"/>
        <w:jc w:val="both"/>
        <w:textAlignment w:val="baseline"/>
        <w:rPr>
          <w:lang w:val="en-US"/>
        </w:rPr>
      </w:pPr>
    </w:p>
    <w:p w14:paraId="3253C7C5" w14:textId="77777777" w:rsidR="005A65CE" w:rsidRPr="003171CD" w:rsidRDefault="005A65CE" w:rsidP="005A65CE">
      <w:pPr>
        <w:ind w:left="1440"/>
        <w:contextualSpacing/>
        <w:jc w:val="both"/>
        <w:rPr>
          <w:b/>
          <w:i/>
          <w:lang w:val="en-US"/>
        </w:rPr>
      </w:pPr>
      <w:r w:rsidRPr="003171CD">
        <w:rPr>
          <w:b/>
          <w:i/>
          <w:lang w:val="en-US"/>
        </w:rPr>
        <w:t xml:space="preserve">D.1 </w:t>
      </w:r>
      <w:r w:rsidRPr="003171CD">
        <w:rPr>
          <w:b/>
          <w:i/>
          <w:lang w:val="en-US"/>
        </w:rPr>
        <w:tab/>
        <w:t xml:space="preserve">Pecuniary damage </w:t>
      </w:r>
    </w:p>
    <w:p w14:paraId="532390EE" w14:textId="77777777" w:rsidR="005A65CE" w:rsidRPr="003171CD" w:rsidRDefault="005A65CE" w:rsidP="005A65CE">
      <w:pPr>
        <w:widowControl w:val="0"/>
        <w:ind w:left="1077"/>
        <w:jc w:val="both"/>
        <w:textAlignment w:val="baseline"/>
        <w:rPr>
          <w:lang w:val="en-US"/>
        </w:rPr>
      </w:pPr>
    </w:p>
    <w:p w14:paraId="167BD56D" w14:textId="77777777" w:rsidR="005A65CE" w:rsidRPr="003171CD" w:rsidRDefault="005A65CE" w:rsidP="005A65CE">
      <w:pPr>
        <w:widowControl w:val="0"/>
        <w:ind w:firstLine="717"/>
        <w:jc w:val="both"/>
        <w:textAlignment w:val="baseline"/>
        <w:rPr>
          <w:i/>
          <w:lang w:val="en-US"/>
        </w:rPr>
      </w:pPr>
      <w:r w:rsidRPr="003171CD">
        <w:rPr>
          <w:i/>
          <w:lang w:val="en-US"/>
        </w:rPr>
        <w:t>Arguments of the parties and of the Commission</w:t>
      </w:r>
    </w:p>
    <w:p w14:paraId="27B77DB5" w14:textId="77777777" w:rsidR="005A65CE" w:rsidRPr="003171CD" w:rsidRDefault="005A65CE" w:rsidP="005A65CE">
      <w:pPr>
        <w:widowControl w:val="0"/>
        <w:jc w:val="both"/>
        <w:textAlignment w:val="baseline"/>
        <w:rPr>
          <w:i/>
          <w:lang w:val="en-US"/>
        </w:rPr>
      </w:pPr>
    </w:p>
    <w:p w14:paraId="455E4AB1"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 xml:space="preserve">Commission </w:t>
      </w:r>
      <w:r w:rsidRPr="003171CD">
        <w:rPr>
          <w:lang w:val="en-US"/>
        </w:rPr>
        <w:t>asked the Court to order the State</w:t>
      </w:r>
      <w:r w:rsidR="007A186B" w:rsidRPr="003171CD">
        <w:rPr>
          <w:lang w:val="en-US"/>
        </w:rPr>
        <w:t xml:space="preserve"> to</w:t>
      </w:r>
      <w:r w:rsidRPr="003171CD">
        <w:rPr>
          <w:lang w:val="en-US"/>
        </w:rPr>
        <w:t xml:space="preserve"> “[</w:t>
      </w:r>
      <w:r w:rsidR="00745872" w:rsidRPr="003171CD">
        <w:rPr>
          <w:lang w:val="en-US"/>
        </w:rPr>
        <w:t>p</w:t>
      </w:r>
      <w:r w:rsidRPr="003171CD">
        <w:rPr>
          <w:lang w:val="en-US"/>
        </w:rPr>
        <w:t>]</w:t>
      </w:r>
      <w:r w:rsidR="00745872" w:rsidRPr="003171CD">
        <w:rPr>
          <w:lang w:val="en-US"/>
        </w:rPr>
        <w:t xml:space="preserve">rovide </w:t>
      </w:r>
      <w:r w:rsidRPr="003171CD">
        <w:rPr>
          <w:lang w:val="en-US"/>
        </w:rPr>
        <w:t xml:space="preserve">the victims </w:t>
      </w:r>
      <w:r w:rsidR="007A186B" w:rsidRPr="003171CD">
        <w:rPr>
          <w:lang w:val="en-US"/>
        </w:rPr>
        <w:t>in this case with integral reparation, including both</w:t>
      </w:r>
      <w:r w:rsidRPr="003171CD">
        <w:rPr>
          <w:lang w:val="en-US"/>
        </w:rPr>
        <w:t xml:space="preserve"> </w:t>
      </w:r>
      <w:r w:rsidR="007A186B" w:rsidRPr="003171CD">
        <w:rPr>
          <w:lang w:val="en-US"/>
        </w:rPr>
        <w:t xml:space="preserve">the material and non-material </w:t>
      </w:r>
      <w:r w:rsidRPr="003171CD">
        <w:rPr>
          <w:lang w:val="en-US"/>
        </w:rPr>
        <w:t xml:space="preserve">aspects.” </w:t>
      </w:r>
    </w:p>
    <w:p w14:paraId="4D643C25" w14:textId="77777777" w:rsidR="005A65CE" w:rsidRPr="003171CD" w:rsidRDefault="005A65CE" w:rsidP="005A65CE">
      <w:pPr>
        <w:widowControl w:val="0"/>
        <w:jc w:val="both"/>
        <w:textAlignment w:val="baseline"/>
        <w:rPr>
          <w:lang w:val="en-US"/>
        </w:rPr>
      </w:pPr>
    </w:p>
    <w:p w14:paraId="19643B19" w14:textId="77777777" w:rsidR="005A65CE" w:rsidRPr="003171CD" w:rsidRDefault="003D5C49" w:rsidP="005A65CE">
      <w:pPr>
        <w:numPr>
          <w:ilvl w:val="0"/>
          <w:numId w:val="1"/>
        </w:numPr>
        <w:autoSpaceDE/>
        <w:autoSpaceDN/>
        <w:adjustRightInd/>
        <w:contextualSpacing/>
        <w:jc w:val="both"/>
        <w:rPr>
          <w:lang w:val="en-US"/>
        </w:rPr>
      </w:pPr>
      <w:r w:rsidRPr="003171CD">
        <w:rPr>
          <w:lang w:val="en-US"/>
        </w:rPr>
        <w:t xml:space="preserve">With regard to </w:t>
      </w:r>
      <w:r w:rsidR="005A65CE" w:rsidRPr="003171CD">
        <w:rPr>
          <w:lang w:val="en-US"/>
        </w:rPr>
        <w:t>consequential damages</w:t>
      </w:r>
      <w:r w:rsidRPr="003171CD">
        <w:rPr>
          <w:lang w:val="en-US"/>
        </w:rPr>
        <w:t xml:space="preserve"> the </w:t>
      </w:r>
      <w:r w:rsidRPr="003171CD">
        <w:rPr>
          <w:b/>
          <w:i/>
          <w:lang w:val="en-US"/>
        </w:rPr>
        <w:t>representative</w:t>
      </w:r>
      <w:r w:rsidRPr="003171CD">
        <w:rPr>
          <w:lang w:val="en-US"/>
        </w:rPr>
        <w:t>s requested</w:t>
      </w:r>
      <w:r w:rsidR="00704FFD" w:rsidRPr="003171CD">
        <w:rPr>
          <w:lang w:val="en-US"/>
        </w:rPr>
        <w:t xml:space="preserve"> the following</w:t>
      </w:r>
      <w:r w:rsidR="005A65CE" w:rsidRPr="003171CD">
        <w:rPr>
          <w:lang w:val="en-US"/>
        </w:rPr>
        <w:t xml:space="preserve">: a) the </w:t>
      </w:r>
      <w:r w:rsidRPr="003171CD">
        <w:rPr>
          <w:lang w:val="en-US"/>
        </w:rPr>
        <w:t xml:space="preserve">costs and </w:t>
      </w:r>
      <w:r w:rsidR="005A65CE" w:rsidRPr="003171CD">
        <w:rPr>
          <w:lang w:val="en-US"/>
        </w:rPr>
        <w:t xml:space="preserve">expenses </w:t>
      </w:r>
      <w:r w:rsidR="00932224" w:rsidRPr="003171CD">
        <w:rPr>
          <w:lang w:val="en-US"/>
        </w:rPr>
        <w:t xml:space="preserve">incurred </w:t>
      </w:r>
      <w:r w:rsidR="00050AC9" w:rsidRPr="003171CD">
        <w:rPr>
          <w:lang w:val="en-US"/>
        </w:rPr>
        <w:t xml:space="preserve">owing to the </w:t>
      </w:r>
      <w:r w:rsidR="00C2265B" w:rsidRPr="003171CD">
        <w:rPr>
          <w:lang w:val="en-US"/>
        </w:rPr>
        <w:t xml:space="preserve">wrongful </w:t>
      </w:r>
      <w:r w:rsidR="00932224" w:rsidRPr="003171CD">
        <w:rPr>
          <w:lang w:val="en-US"/>
        </w:rPr>
        <w:t>de</w:t>
      </w:r>
      <w:r w:rsidR="005A65CE" w:rsidRPr="003171CD">
        <w:rPr>
          <w:lang w:val="en-US"/>
        </w:rPr>
        <w:t xml:space="preserve">privation of </w:t>
      </w:r>
      <w:r w:rsidR="00E755FC" w:rsidRPr="003171CD">
        <w:rPr>
          <w:lang w:val="en-US"/>
        </w:rPr>
        <w:t>liberty</w:t>
      </w:r>
      <w:r w:rsidR="005A65CE" w:rsidRPr="003171CD">
        <w:rPr>
          <w:lang w:val="en-US"/>
        </w:rPr>
        <w:t xml:space="preserve">, and b) expenses </w:t>
      </w:r>
      <w:r w:rsidR="00050AC9" w:rsidRPr="003171CD">
        <w:rPr>
          <w:lang w:val="en-US"/>
        </w:rPr>
        <w:t xml:space="preserve">incurred in </w:t>
      </w:r>
      <w:r w:rsidR="005A65CE" w:rsidRPr="003171CD">
        <w:rPr>
          <w:lang w:val="en-US"/>
        </w:rPr>
        <w:t xml:space="preserve">processing the case in the domestic courts and the proceeding before the Commission. </w:t>
      </w:r>
      <w:r w:rsidR="00050AC9" w:rsidRPr="003171CD">
        <w:rPr>
          <w:lang w:val="en-US"/>
        </w:rPr>
        <w:t xml:space="preserve">As to </w:t>
      </w:r>
      <w:r w:rsidR="005A65CE" w:rsidRPr="003171CD">
        <w:rPr>
          <w:lang w:val="en-US"/>
        </w:rPr>
        <w:t xml:space="preserve">“miscellaneous expenses, </w:t>
      </w:r>
      <w:r w:rsidR="003F6829" w:rsidRPr="003171CD">
        <w:rPr>
          <w:lang w:val="en-US"/>
        </w:rPr>
        <w:t xml:space="preserve">including </w:t>
      </w:r>
      <w:r w:rsidR="005A65CE" w:rsidRPr="003171CD">
        <w:rPr>
          <w:lang w:val="en-US"/>
        </w:rPr>
        <w:t xml:space="preserve">visits, </w:t>
      </w:r>
      <w:r w:rsidR="00932224" w:rsidRPr="003171CD">
        <w:rPr>
          <w:lang w:val="en-US"/>
        </w:rPr>
        <w:t>per diems</w:t>
      </w:r>
      <w:r w:rsidR="005A65CE" w:rsidRPr="003171CD">
        <w:rPr>
          <w:lang w:val="en-US"/>
        </w:rPr>
        <w:t>, materia</w:t>
      </w:r>
      <w:r w:rsidR="00C2265B" w:rsidRPr="003171CD">
        <w:rPr>
          <w:lang w:val="en-US"/>
        </w:rPr>
        <w:t>ls</w:t>
      </w:r>
      <w:r w:rsidR="005A65CE" w:rsidRPr="003171CD">
        <w:rPr>
          <w:lang w:val="en-US"/>
        </w:rPr>
        <w:t xml:space="preserve">, </w:t>
      </w:r>
      <w:r w:rsidR="00932224" w:rsidRPr="003171CD">
        <w:rPr>
          <w:lang w:val="en-US"/>
        </w:rPr>
        <w:t xml:space="preserve">travel fares </w:t>
      </w:r>
      <w:r w:rsidR="005A65CE" w:rsidRPr="003171CD">
        <w:rPr>
          <w:lang w:val="en-US"/>
        </w:rPr>
        <w:t xml:space="preserve">and </w:t>
      </w:r>
      <w:r w:rsidR="00932224" w:rsidRPr="003171CD">
        <w:rPr>
          <w:lang w:val="en-US"/>
        </w:rPr>
        <w:t>accommodation</w:t>
      </w:r>
      <w:r w:rsidR="005A65CE" w:rsidRPr="003171CD">
        <w:rPr>
          <w:lang w:val="en-US"/>
        </w:rPr>
        <w:t xml:space="preserve">” </w:t>
      </w:r>
      <w:r w:rsidR="00704FFD" w:rsidRPr="003171CD">
        <w:rPr>
          <w:lang w:val="en-US"/>
        </w:rPr>
        <w:t>this wa</w:t>
      </w:r>
      <w:r w:rsidR="00B77074" w:rsidRPr="003171CD">
        <w:rPr>
          <w:lang w:val="en-US"/>
        </w:rPr>
        <w:t xml:space="preserve">s </w:t>
      </w:r>
      <w:r w:rsidR="005A65CE" w:rsidRPr="003171CD">
        <w:rPr>
          <w:lang w:val="en-US"/>
        </w:rPr>
        <w:t xml:space="preserve">calculated </w:t>
      </w:r>
      <w:r w:rsidR="00932224" w:rsidRPr="003171CD">
        <w:rPr>
          <w:lang w:val="en-US"/>
        </w:rPr>
        <w:t xml:space="preserve">at </w:t>
      </w:r>
      <w:r w:rsidR="00B77074" w:rsidRPr="003171CD">
        <w:rPr>
          <w:lang w:val="en-US"/>
        </w:rPr>
        <w:t>US$ 1,</w:t>
      </w:r>
      <w:r w:rsidR="005A65CE" w:rsidRPr="003171CD">
        <w:rPr>
          <w:lang w:val="en-US"/>
        </w:rPr>
        <w:t xml:space="preserve">920 </w:t>
      </w:r>
      <w:r w:rsidR="00932224" w:rsidRPr="003171CD">
        <w:rPr>
          <w:lang w:val="en-US"/>
        </w:rPr>
        <w:t>annual</w:t>
      </w:r>
      <w:r w:rsidR="00C2265B" w:rsidRPr="003171CD">
        <w:rPr>
          <w:lang w:val="en-US"/>
        </w:rPr>
        <w:t>ly, based on</w:t>
      </w:r>
      <w:r w:rsidR="005A65CE" w:rsidRPr="003171CD">
        <w:rPr>
          <w:lang w:val="en-US"/>
        </w:rPr>
        <w:t xml:space="preserve"> 48 visits per</w:t>
      </w:r>
      <w:r w:rsidR="00B77074" w:rsidRPr="003171CD">
        <w:rPr>
          <w:lang w:val="en-US"/>
        </w:rPr>
        <w:t xml:space="preserve"> year, making a total of US$ 17,</w:t>
      </w:r>
      <w:r w:rsidR="005A65CE" w:rsidRPr="003171CD">
        <w:rPr>
          <w:lang w:val="en-US"/>
        </w:rPr>
        <w:t xml:space="preserve">280 </w:t>
      </w:r>
      <w:r w:rsidR="00704FFD" w:rsidRPr="003171CD">
        <w:rPr>
          <w:lang w:val="en-US"/>
        </w:rPr>
        <w:lastRenderedPageBreak/>
        <w:t xml:space="preserve">as </w:t>
      </w:r>
      <w:r w:rsidR="00B77074" w:rsidRPr="003171CD">
        <w:rPr>
          <w:lang w:val="en-US"/>
        </w:rPr>
        <w:t>it covers a period of nine years. The representatives</w:t>
      </w:r>
      <w:r w:rsidR="005A65CE" w:rsidRPr="003171CD">
        <w:rPr>
          <w:lang w:val="en-US"/>
        </w:rPr>
        <w:t xml:space="preserve"> </w:t>
      </w:r>
      <w:r w:rsidR="00B77074" w:rsidRPr="003171CD">
        <w:rPr>
          <w:lang w:val="en-US"/>
        </w:rPr>
        <w:t xml:space="preserve">also </w:t>
      </w:r>
      <w:r w:rsidR="005A65CE" w:rsidRPr="003171CD">
        <w:rPr>
          <w:lang w:val="en-US"/>
        </w:rPr>
        <w:t>specified the payment of three colo</w:t>
      </w:r>
      <w:r w:rsidR="001F2E7A" w:rsidRPr="003171CD">
        <w:rPr>
          <w:lang w:val="en-US"/>
        </w:rPr>
        <w:t xml:space="preserve">nes for each Sunday, </w:t>
      </w:r>
      <w:r w:rsidR="003F6829" w:rsidRPr="003171CD">
        <w:rPr>
          <w:lang w:val="en-US"/>
        </w:rPr>
        <w:t xml:space="preserve">which is </w:t>
      </w:r>
      <w:r w:rsidR="001F2E7A" w:rsidRPr="003171CD">
        <w:rPr>
          <w:lang w:val="en-US"/>
        </w:rPr>
        <w:t>mandatory</w:t>
      </w:r>
      <w:r w:rsidR="005A65CE" w:rsidRPr="003171CD">
        <w:rPr>
          <w:lang w:val="en-US"/>
        </w:rPr>
        <w:t xml:space="preserve"> </w:t>
      </w:r>
      <w:r w:rsidR="008624A1" w:rsidRPr="003171CD">
        <w:rPr>
          <w:lang w:val="en-US"/>
        </w:rPr>
        <w:t xml:space="preserve">to attend </w:t>
      </w:r>
      <w:r w:rsidR="005A65CE" w:rsidRPr="003171CD">
        <w:rPr>
          <w:lang w:val="en-US"/>
        </w:rPr>
        <w:t xml:space="preserve">fiestas </w:t>
      </w:r>
      <w:r w:rsidR="00932224" w:rsidRPr="003171CD">
        <w:rPr>
          <w:lang w:val="en-US"/>
        </w:rPr>
        <w:t xml:space="preserve">authorized </w:t>
      </w:r>
      <w:r w:rsidR="005A65CE" w:rsidRPr="003171CD">
        <w:rPr>
          <w:lang w:val="en-US"/>
        </w:rPr>
        <w:t xml:space="preserve">by the </w:t>
      </w:r>
      <w:r w:rsidR="00B77074" w:rsidRPr="003171CD">
        <w:rPr>
          <w:lang w:val="en-US"/>
        </w:rPr>
        <w:t>Prison Administration</w:t>
      </w:r>
      <w:r w:rsidR="005A65CE" w:rsidRPr="003171CD">
        <w:rPr>
          <w:lang w:val="en-US"/>
        </w:rPr>
        <w:t xml:space="preserve">; expenses </w:t>
      </w:r>
      <w:r w:rsidR="00551841" w:rsidRPr="003171CD">
        <w:rPr>
          <w:lang w:val="en-US"/>
        </w:rPr>
        <w:t xml:space="preserve">for outings </w:t>
      </w:r>
      <w:r w:rsidR="003F6829" w:rsidRPr="003171CD">
        <w:rPr>
          <w:lang w:val="en-US"/>
        </w:rPr>
        <w:t xml:space="preserve">from prison </w:t>
      </w:r>
      <w:r w:rsidR="00551841" w:rsidRPr="003171CD">
        <w:rPr>
          <w:lang w:val="en-US"/>
        </w:rPr>
        <w:t xml:space="preserve">during the </w:t>
      </w:r>
      <w:r w:rsidR="003F6829" w:rsidRPr="003171CD">
        <w:rPr>
          <w:lang w:val="en-US"/>
        </w:rPr>
        <w:t>“trust” phase</w:t>
      </w:r>
      <w:r w:rsidR="005A65CE" w:rsidRPr="003171CD">
        <w:rPr>
          <w:lang w:val="en-US"/>
        </w:rPr>
        <w:t xml:space="preserve">; expenses </w:t>
      </w:r>
      <w:r w:rsidR="003F6829" w:rsidRPr="003171CD">
        <w:rPr>
          <w:lang w:val="en-US"/>
        </w:rPr>
        <w:t>for</w:t>
      </w:r>
      <w:r w:rsidR="005A65CE" w:rsidRPr="003171CD">
        <w:rPr>
          <w:lang w:val="en-US"/>
        </w:rPr>
        <w:t xml:space="preserve"> visits </w:t>
      </w:r>
      <w:r w:rsidR="003F6829" w:rsidRPr="003171CD">
        <w:rPr>
          <w:lang w:val="en-US"/>
        </w:rPr>
        <w:t>by</w:t>
      </w:r>
      <w:r w:rsidR="008624A1" w:rsidRPr="003171CD">
        <w:rPr>
          <w:lang w:val="en-US"/>
        </w:rPr>
        <w:t xml:space="preserve"> the father </w:t>
      </w:r>
      <w:r w:rsidR="00E755FC" w:rsidRPr="003171CD">
        <w:rPr>
          <w:lang w:val="en-US"/>
        </w:rPr>
        <w:t>of Mr</w:t>
      </w:r>
      <w:r w:rsidR="005A65CE" w:rsidRPr="003171CD">
        <w:rPr>
          <w:lang w:val="en-US"/>
        </w:rPr>
        <w:t xml:space="preserve">. Ruano Torres; monthly visits of his wife and children. In </w:t>
      </w:r>
      <w:r w:rsidR="008624A1" w:rsidRPr="003171CD">
        <w:rPr>
          <w:lang w:val="en-US"/>
        </w:rPr>
        <w:t xml:space="preserve">relation to </w:t>
      </w:r>
      <w:r w:rsidR="005A65CE" w:rsidRPr="003171CD">
        <w:rPr>
          <w:lang w:val="en-US"/>
        </w:rPr>
        <w:t xml:space="preserve">“future medical and psychological treatment” the representatives </w:t>
      </w:r>
      <w:r w:rsidR="005371D7" w:rsidRPr="003171CD">
        <w:rPr>
          <w:lang w:val="en-US"/>
        </w:rPr>
        <w:t xml:space="preserve">specified </w:t>
      </w:r>
      <w:r w:rsidR="005A65CE" w:rsidRPr="003171CD">
        <w:rPr>
          <w:lang w:val="en-US"/>
        </w:rPr>
        <w:t xml:space="preserve">the following amounts: </w:t>
      </w:r>
      <w:r w:rsidR="008624A1" w:rsidRPr="003171CD">
        <w:rPr>
          <w:lang w:val="en-US"/>
        </w:rPr>
        <w:t>for basic “me</w:t>
      </w:r>
      <w:r w:rsidR="005A65CE" w:rsidRPr="003171CD">
        <w:rPr>
          <w:lang w:val="en-US"/>
        </w:rPr>
        <w:t>dica</w:t>
      </w:r>
      <w:r w:rsidR="008624A1" w:rsidRPr="003171CD">
        <w:rPr>
          <w:lang w:val="en-US"/>
        </w:rPr>
        <w:t>l</w:t>
      </w:r>
      <w:r w:rsidR="005A65CE" w:rsidRPr="003171CD">
        <w:rPr>
          <w:lang w:val="en-US"/>
        </w:rPr>
        <w:t xml:space="preserve"> </w:t>
      </w:r>
      <w:r w:rsidR="005371D7" w:rsidRPr="003171CD">
        <w:rPr>
          <w:lang w:val="en-US"/>
        </w:rPr>
        <w:t>care</w:t>
      </w:r>
      <w:r w:rsidR="005A65CE" w:rsidRPr="003171CD">
        <w:rPr>
          <w:lang w:val="en-US"/>
        </w:rPr>
        <w:t xml:space="preserve">” </w:t>
      </w:r>
      <w:r w:rsidR="005371D7" w:rsidRPr="003171CD">
        <w:rPr>
          <w:lang w:val="en-US"/>
        </w:rPr>
        <w:t xml:space="preserve">for the </w:t>
      </w:r>
      <w:r w:rsidR="005A65CE" w:rsidRPr="003171CD">
        <w:rPr>
          <w:lang w:val="en-US"/>
        </w:rPr>
        <w:t xml:space="preserve">family </w:t>
      </w:r>
      <w:r w:rsidR="005371D7" w:rsidRPr="003171CD">
        <w:rPr>
          <w:lang w:val="en-US"/>
        </w:rPr>
        <w:t xml:space="preserve">members </w:t>
      </w:r>
      <w:r w:rsidR="00704FFD" w:rsidRPr="003171CD">
        <w:rPr>
          <w:lang w:val="en-US"/>
        </w:rPr>
        <w:t>the sum of US$ 23,</w:t>
      </w:r>
      <w:r w:rsidR="005A65CE" w:rsidRPr="003171CD">
        <w:rPr>
          <w:lang w:val="en-US"/>
        </w:rPr>
        <w:t xml:space="preserve">040 for three years for four people, and for “extensive treatments” </w:t>
      </w:r>
      <w:r w:rsidR="001F2E7A" w:rsidRPr="003171CD">
        <w:rPr>
          <w:lang w:val="en-US"/>
        </w:rPr>
        <w:t>totaling US$ 23,</w:t>
      </w:r>
      <w:r w:rsidR="005A65CE" w:rsidRPr="003171CD">
        <w:rPr>
          <w:lang w:val="en-US"/>
        </w:rPr>
        <w:t xml:space="preserve">000. </w:t>
      </w:r>
      <w:r w:rsidR="001F2E7A" w:rsidRPr="003171CD">
        <w:rPr>
          <w:lang w:val="en-US"/>
        </w:rPr>
        <w:t>T</w:t>
      </w:r>
      <w:r w:rsidR="005A65CE" w:rsidRPr="003171CD">
        <w:rPr>
          <w:lang w:val="en-US"/>
        </w:rPr>
        <w:t xml:space="preserve">hey </w:t>
      </w:r>
      <w:r w:rsidR="001F2E7A" w:rsidRPr="003171CD">
        <w:rPr>
          <w:lang w:val="en-US"/>
        </w:rPr>
        <w:t xml:space="preserve">also </w:t>
      </w:r>
      <w:r w:rsidR="005A65CE" w:rsidRPr="003171CD">
        <w:rPr>
          <w:lang w:val="en-US"/>
        </w:rPr>
        <w:t xml:space="preserve">presented </w:t>
      </w:r>
      <w:r w:rsidR="001F2E7A" w:rsidRPr="003171CD">
        <w:rPr>
          <w:lang w:val="en-US"/>
        </w:rPr>
        <w:t xml:space="preserve">a calculation of the </w:t>
      </w:r>
      <w:r w:rsidR="005A65CE" w:rsidRPr="003171CD">
        <w:rPr>
          <w:lang w:val="en-US"/>
        </w:rPr>
        <w:t>salaries that Pedro Torres Hércules did not receive over a</w:t>
      </w:r>
      <w:r w:rsidR="003F6829" w:rsidRPr="003171CD">
        <w:rPr>
          <w:lang w:val="en-US"/>
        </w:rPr>
        <w:t xml:space="preserve"> period of 13 years, “during the</w:t>
      </w:r>
      <w:r w:rsidR="005A65CE" w:rsidRPr="003171CD">
        <w:rPr>
          <w:lang w:val="en-US"/>
        </w:rPr>
        <w:t xml:space="preserve"> </w:t>
      </w:r>
      <w:r w:rsidR="003F6829" w:rsidRPr="003171CD">
        <w:rPr>
          <w:lang w:val="en-US"/>
        </w:rPr>
        <w:t xml:space="preserve">time he followed up on the </w:t>
      </w:r>
      <w:r w:rsidR="00D14216" w:rsidRPr="003171CD">
        <w:rPr>
          <w:lang w:val="en-US"/>
        </w:rPr>
        <w:t xml:space="preserve">procedures </w:t>
      </w:r>
      <w:r w:rsidR="003F6829" w:rsidRPr="003171CD">
        <w:rPr>
          <w:lang w:val="en-US"/>
        </w:rPr>
        <w:t xml:space="preserve">related to </w:t>
      </w:r>
      <w:r w:rsidR="005A65CE" w:rsidRPr="003171CD">
        <w:rPr>
          <w:lang w:val="en-US"/>
        </w:rPr>
        <w:t xml:space="preserve">the legal proceedings” </w:t>
      </w:r>
      <w:r w:rsidR="003F6829" w:rsidRPr="003171CD">
        <w:rPr>
          <w:lang w:val="en-US"/>
        </w:rPr>
        <w:t>against</w:t>
      </w:r>
      <w:r w:rsidR="00E755FC" w:rsidRPr="003171CD">
        <w:rPr>
          <w:lang w:val="en-US"/>
        </w:rPr>
        <w:t xml:space="preserve"> Mr</w:t>
      </w:r>
      <w:r w:rsidR="005A65CE" w:rsidRPr="003171CD">
        <w:rPr>
          <w:lang w:val="en-US"/>
        </w:rPr>
        <w:t>. José Agapito Ruano</w:t>
      </w:r>
      <w:r w:rsidR="001F2E7A" w:rsidRPr="003171CD">
        <w:rPr>
          <w:lang w:val="en-US"/>
        </w:rPr>
        <w:t xml:space="preserve"> Torres, for a total of US$ 107,</w:t>
      </w:r>
      <w:r w:rsidR="003F6829" w:rsidRPr="003171CD">
        <w:rPr>
          <w:lang w:val="en-US"/>
        </w:rPr>
        <w:t>634.</w:t>
      </w:r>
      <w:r w:rsidR="005A65CE" w:rsidRPr="003171CD">
        <w:rPr>
          <w:lang w:val="en-US"/>
        </w:rPr>
        <w:t xml:space="preserve">48. In relation to loss of income, </w:t>
      </w:r>
      <w:r w:rsidR="003F6829" w:rsidRPr="003171CD">
        <w:rPr>
          <w:lang w:val="en-US"/>
        </w:rPr>
        <w:t>the representatives</w:t>
      </w:r>
      <w:r w:rsidR="0048176F" w:rsidRPr="003171CD">
        <w:rPr>
          <w:lang w:val="en-US"/>
        </w:rPr>
        <w:t xml:space="preserve"> provided a calculation </w:t>
      </w:r>
      <w:r w:rsidR="005A65CE" w:rsidRPr="003171CD">
        <w:rPr>
          <w:lang w:val="en-US"/>
        </w:rPr>
        <w:t>of</w:t>
      </w:r>
      <w:r w:rsidR="007E648B" w:rsidRPr="003171CD">
        <w:rPr>
          <w:lang w:val="en-US"/>
        </w:rPr>
        <w:t xml:space="preserve"> the wages</w:t>
      </w:r>
      <w:r w:rsidR="005A65CE" w:rsidRPr="003171CD">
        <w:rPr>
          <w:lang w:val="en-US"/>
        </w:rPr>
        <w:t xml:space="preserve"> </w:t>
      </w:r>
      <w:r w:rsidR="005371D7" w:rsidRPr="003171CD">
        <w:rPr>
          <w:lang w:val="en-US"/>
        </w:rPr>
        <w:t xml:space="preserve">that José Agapito Ruano Torres did not receive </w:t>
      </w:r>
      <w:r w:rsidR="005A65CE" w:rsidRPr="003171CD">
        <w:rPr>
          <w:lang w:val="en-US"/>
        </w:rPr>
        <w:t>between 2000</w:t>
      </w:r>
      <w:r w:rsidR="0081207F" w:rsidRPr="003171CD">
        <w:rPr>
          <w:lang w:val="en-US"/>
        </w:rPr>
        <w:t xml:space="preserve"> and 2013 for a total of US$ 36,615.</w:t>
      </w:r>
      <w:r w:rsidR="005A65CE" w:rsidRPr="003171CD">
        <w:rPr>
          <w:lang w:val="en-US"/>
        </w:rPr>
        <w:t xml:space="preserve">99. Finally, </w:t>
      </w:r>
      <w:r w:rsidR="0081207F" w:rsidRPr="003171CD">
        <w:rPr>
          <w:lang w:val="en-US"/>
        </w:rPr>
        <w:t xml:space="preserve">they </w:t>
      </w:r>
      <w:r w:rsidR="005A65CE" w:rsidRPr="003171CD">
        <w:rPr>
          <w:lang w:val="en-US"/>
        </w:rPr>
        <w:t xml:space="preserve">indicated the amounts </w:t>
      </w:r>
      <w:r w:rsidR="001F2E7A" w:rsidRPr="003171CD">
        <w:rPr>
          <w:lang w:val="en-US"/>
        </w:rPr>
        <w:t xml:space="preserve">of the expenses for processing </w:t>
      </w:r>
      <w:r w:rsidR="005A65CE" w:rsidRPr="003171CD">
        <w:rPr>
          <w:lang w:val="en-US"/>
        </w:rPr>
        <w:t>the case in the domestic courts and the proceeding before the Commission,</w:t>
      </w:r>
      <w:r w:rsidR="00E01F2D" w:rsidRPr="003171CD">
        <w:rPr>
          <w:lang w:val="en-US"/>
        </w:rPr>
        <w:t xml:space="preserve"> </w:t>
      </w:r>
      <w:r w:rsidR="003F6829" w:rsidRPr="003171CD">
        <w:rPr>
          <w:lang w:val="en-US"/>
        </w:rPr>
        <w:t>as follows</w:t>
      </w:r>
      <w:r w:rsidR="00E01F2D" w:rsidRPr="003171CD">
        <w:rPr>
          <w:lang w:val="en-US"/>
        </w:rPr>
        <w:t>: US$ 3,</w:t>
      </w:r>
      <w:r w:rsidR="005A65CE" w:rsidRPr="003171CD">
        <w:rPr>
          <w:lang w:val="en-US"/>
        </w:rPr>
        <w:t>847 an</w:t>
      </w:r>
      <w:r w:rsidR="001F2E7A" w:rsidRPr="003171CD">
        <w:rPr>
          <w:lang w:val="en-US"/>
        </w:rPr>
        <w:t>n</w:t>
      </w:r>
      <w:r w:rsidR="005A65CE" w:rsidRPr="003171CD">
        <w:rPr>
          <w:lang w:val="en-US"/>
        </w:rPr>
        <w:t>ual</w:t>
      </w:r>
      <w:r w:rsidR="001F2E7A" w:rsidRPr="003171CD">
        <w:rPr>
          <w:lang w:val="en-US"/>
        </w:rPr>
        <w:t>ly</w:t>
      </w:r>
      <w:r w:rsidR="005A65CE" w:rsidRPr="003171CD">
        <w:rPr>
          <w:lang w:val="en-US"/>
        </w:rPr>
        <w:t>; US$ 45</w:t>
      </w:r>
      <w:r w:rsidR="007B123F" w:rsidRPr="003171CD">
        <w:rPr>
          <w:lang w:val="en-US"/>
        </w:rPr>
        <w:t>7.1</w:t>
      </w:r>
      <w:r w:rsidR="005A65CE" w:rsidRPr="003171CD">
        <w:rPr>
          <w:lang w:val="en-US"/>
        </w:rPr>
        <w:t xml:space="preserve">4 for legal </w:t>
      </w:r>
      <w:r w:rsidR="007B123F" w:rsidRPr="003171CD">
        <w:rPr>
          <w:lang w:val="en-US"/>
        </w:rPr>
        <w:t xml:space="preserve">fees paid to a private attorney at </w:t>
      </w:r>
      <w:r w:rsidR="005A65CE" w:rsidRPr="003171CD">
        <w:rPr>
          <w:lang w:val="en-US"/>
        </w:rPr>
        <w:t>the public heari</w:t>
      </w:r>
      <w:r w:rsidR="004021CD" w:rsidRPr="003171CD">
        <w:rPr>
          <w:lang w:val="en-US"/>
        </w:rPr>
        <w:t>ng; US$ 3,</w:t>
      </w:r>
      <w:r w:rsidR="005A65CE" w:rsidRPr="003171CD">
        <w:rPr>
          <w:lang w:val="en-US"/>
        </w:rPr>
        <w:t xml:space="preserve">500 </w:t>
      </w:r>
      <w:r w:rsidR="0081207F" w:rsidRPr="003171CD">
        <w:rPr>
          <w:lang w:val="en-US"/>
        </w:rPr>
        <w:t>for filing the motion to</w:t>
      </w:r>
      <w:r w:rsidR="001011A8" w:rsidRPr="003171CD">
        <w:rPr>
          <w:lang w:val="en-US"/>
        </w:rPr>
        <w:t xml:space="preserve"> review</w:t>
      </w:r>
      <w:r w:rsidR="005A65CE" w:rsidRPr="003171CD">
        <w:rPr>
          <w:lang w:val="en-US"/>
        </w:rPr>
        <w:t xml:space="preserve">; US$ 600 </w:t>
      </w:r>
      <w:r w:rsidR="0081207F" w:rsidRPr="003171CD">
        <w:rPr>
          <w:lang w:val="en-US"/>
        </w:rPr>
        <w:t xml:space="preserve">for the </w:t>
      </w:r>
      <w:r w:rsidR="00E01F2D" w:rsidRPr="003171CD">
        <w:rPr>
          <w:lang w:val="en-US"/>
        </w:rPr>
        <w:t>court hearing</w:t>
      </w:r>
      <w:r w:rsidR="007B123F" w:rsidRPr="003171CD">
        <w:rPr>
          <w:lang w:val="en-US"/>
        </w:rPr>
        <w:t xml:space="preserve"> on application for parole</w:t>
      </w:r>
      <w:r w:rsidR="005A65CE" w:rsidRPr="003171CD">
        <w:rPr>
          <w:lang w:val="en-US"/>
        </w:rPr>
        <w:t xml:space="preserve">; US$ 572 </w:t>
      </w:r>
      <w:r w:rsidR="001F2E7A" w:rsidRPr="003171CD">
        <w:rPr>
          <w:lang w:val="en-US"/>
        </w:rPr>
        <w:t xml:space="preserve">for </w:t>
      </w:r>
      <w:r w:rsidR="007B123F" w:rsidRPr="003171CD">
        <w:rPr>
          <w:lang w:val="en-US"/>
        </w:rPr>
        <w:t xml:space="preserve">the fine paid for </w:t>
      </w:r>
      <w:r w:rsidR="005A65CE" w:rsidRPr="003171CD">
        <w:rPr>
          <w:lang w:val="en-US"/>
        </w:rPr>
        <w:t xml:space="preserve">civil </w:t>
      </w:r>
      <w:r w:rsidR="001F2E7A" w:rsidRPr="003171CD">
        <w:rPr>
          <w:lang w:val="en-US"/>
        </w:rPr>
        <w:t>liability</w:t>
      </w:r>
      <w:r w:rsidR="007B123F" w:rsidRPr="003171CD">
        <w:rPr>
          <w:lang w:val="en-US"/>
        </w:rPr>
        <w:t>; and US$ 25,</w:t>
      </w:r>
      <w:r w:rsidR="005A65CE" w:rsidRPr="003171CD">
        <w:rPr>
          <w:lang w:val="en-US"/>
        </w:rPr>
        <w:t xml:space="preserve">000 </w:t>
      </w:r>
      <w:r w:rsidR="004021CD" w:rsidRPr="003171CD">
        <w:rPr>
          <w:lang w:val="en-US"/>
        </w:rPr>
        <w:t>for</w:t>
      </w:r>
      <w:r w:rsidR="005A65CE" w:rsidRPr="003171CD">
        <w:rPr>
          <w:lang w:val="en-US"/>
        </w:rPr>
        <w:t xml:space="preserve"> expenses </w:t>
      </w:r>
      <w:r w:rsidR="001F2E7A" w:rsidRPr="003171CD">
        <w:rPr>
          <w:lang w:val="en-US"/>
        </w:rPr>
        <w:t xml:space="preserve">incurred in </w:t>
      </w:r>
      <w:r w:rsidR="00E01F2D" w:rsidRPr="003171CD">
        <w:rPr>
          <w:lang w:val="en-US"/>
        </w:rPr>
        <w:t xml:space="preserve">formal </w:t>
      </w:r>
      <w:r w:rsidR="001F2E7A" w:rsidRPr="003171CD">
        <w:rPr>
          <w:lang w:val="en-US"/>
        </w:rPr>
        <w:t>procedures</w:t>
      </w:r>
      <w:r w:rsidR="005A65CE" w:rsidRPr="003171CD">
        <w:rPr>
          <w:lang w:val="en-US"/>
        </w:rPr>
        <w:t xml:space="preserve">. </w:t>
      </w:r>
    </w:p>
    <w:p w14:paraId="353BF7E3" w14:textId="77777777" w:rsidR="005A65CE" w:rsidRPr="003171CD" w:rsidRDefault="005A65CE" w:rsidP="005A65CE">
      <w:pPr>
        <w:tabs>
          <w:tab w:val="left" w:pos="284"/>
        </w:tabs>
        <w:jc w:val="both"/>
        <w:rPr>
          <w:bCs/>
          <w:lang w:val="en-US"/>
        </w:rPr>
      </w:pPr>
    </w:p>
    <w:p w14:paraId="58A19615"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lang w:val="en-US"/>
        </w:rPr>
        <w:t xml:space="preserve"> </w:t>
      </w:r>
      <w:r w:rsidR="006D3F5E" w:rsidRPr="003171CD">
        <w:rPr>
          <w:lang w:val="en-US"/>
        </w:rPr>
        <w:t xml:space="preserve">pointed out </w:t>
      </w:r>
      <w:r w:rsidRPr="003171CD">
        <w:rPr>
          <w:lang w:val="en-US"/>
        </w:rPr>
        <w:t xml:space="preserve">that Mr. Ruano Torres </w:t>
      </w:r>
      <w:r w:rsidR="006D3F5E" w:rsidRPr="003171CD">
        <w:rPr>
          <w:lang w:val="en-US"/>
        </w:rPr>
        <w:t xml:space="preserve">had engaged in </w:t>
      </w:r>
      <w:r w:rsidRPr="003171CD">
        <w:rPr>
          <w:lang w:val="en-US"/>
        </w:rPr>
        <w:t>remunera</w:t>
      </w:r>
      <w:r w:rsidR="001F2E7A" w:rsidRPr="003171CD">
        <w:rPr>
          <w:lang w:val="en-US"/>
        </w:rPr>
        <w:t xml:space="preserve">ted </w:t>
      </w:r>
      <w:r w:rsidR="007B123F" w:rsidRPr="003171CD">
        <w:rPr>
          <w:lang w:val="en-US"/>
        </w:rPr>
        <w:t xml:space="preserve">construction </w:t>
      </w:r>
      <w:r w:rsidR="001F2E7A" w:rsidRPr="003171CD">
        <w:rPr>
          <w:lang w:val="en-US"/>
        </w:rPr>
        <w:t xml:space="preserve">work </w:t>
      </w:r>
      <w:r w:rsidRPr="003171CD">
        <w:rPr>
          <w:lang w:val="en-US"/>
        </w:rPr>
        <w:t>sinc</w:t>
      </w:r>
      <w:r w:rsidR="0081207F" w:rsidRPr="003171CD">
        <w:rPr>
          <w:lang w:val="en-US"/>
        </w:rPr>
        <w:t xml:space="preserve">e 2010 during the phases of </w:t>
      </w:r>
      <w:r w:rsidR="007B123F" w:rsidRPr="003171CD">
        <w:rPr>
          <w:lang w:val="en-US"/>
        </w:rPr>
        <w:t>“</w:t>
      </w:r>
      <w:r w:rsidR="0081207F" w:rsidRPr="003171CD">
        <w:rPr>
          <w:lang w:val="en-US"/>
        </w:rPr>
        <w:t>trust</w:t>
      </w:r>
      <w:r w:rsidR="007B123F" w:rsidRPr="003171CD">
        <w:rPr>
          <w:lang w:val="en-US"/>
        </w:rPr>
        <w:t>”</w:t>
      </w:r>
      <w:r w:rsidR="0081207F" w:rsidRPr="003171CD">
        <w:rPr>
          <w:lang w:val="en-US"/>
        </w:rPr>
        <w:t xml:space="preserve"> and </w:t>
      </w:r>
      <w:r w:rsidR="00704FFD" w:rsidRPr="003171CD">
        <w:rPr>
          <w:lang w:val="en-US"/>
        </w:rPr>
        <w:t>“</w:t>
      </w:r>
      <w:r w:rsidR="0081207F" w:rsidRPr="003171CD">
        <w:rPr>
          <w:lang w:val="en-US"/>
        </w:rPr>
        <w:t>day release</w:t>
      </w:r>
      <w:r w:rsidR="00704FFD" w:rsidRPr="003171CD">
        <w:rPr>
          <w:lang w:val="en-US"/>
        </w:rPr>
        <w:t>”</w:t>
      </w:r>
      <w:r w:rsidR="0081207F" w:rsidRPr="003171CD">
        <w:rPr>
          <w:lang w:val="en-US"/>
        </w:rPr>
        <w:t xml:space="preserve"> from prison</w:t>
      </w:r>
      <w:r w:rsidRPr="003171CD">
        <w:rPr>
          <w:lang w:val="en-US"/>
        </w:rPr>
        <w:t xml:space="preserve">. </w:t>
      </w:r>
      <w:r w:rsidR="001F2E7A" w:rsidRPr="003171CD">
        <w:rPr>
          <w:lang w:val="en-US"/>
        </w:rPr>
        <w:t>It a</w:t>
      </w:r>
      <w:r w:rsidR="007B123F" w:rsidRPr="003171CD">
        <w:rPr>
          <w:lang w:val="en-US"/>
        </w:rPr>
        <w:t xml:space="preserve">dded </w:t>
      </w:r>
      <w:r w:rsidRPr="003171CD">
        <w:rPr>
          <w:lang w:val="en-US"/>
        </w:rPr>
        <w:t>that</w:t>
      </w:r>
      <w:r w:rsidR="007B123F" w:rsidRPr="003171CD">
        <w:rPr>
          <w:lang w:val="en-US"/>
        </w:rPr>
        <w:t>,</w:t>
      </w:r>
      <w:r w:rsidRPr="003171CD">
        <w:rPr>
          <w:lang w:val="en-US"/>
        </w:rPr>
        <w:t xml:space="preserve"> in El Salvador</w:t>
      </w:r>
      <w:r w:rsidR="007B123F" w:rsidRPr="003171CD">
        <w:rPr>
          <w:lang w:val="en-US"/>
        </w:rPr>
        <w:t>,</w:t>
      </w:r>
      <w:r w:rsidRPr="003171CD">
        <w:rPr>
          <w:lang w:val="en-US"/>
        </w:rPr>
        <w:t xml:space="preserve"> the minimum wage in the construction industry is regulated by a collective work </w:t>
      </w:r>
      <w:r w:rsidR="001F2E7A" w:rsidRPr="003171CD">
        <w:rPr>
          <w:lang w:val="en-US"/>
        </w:rPr>
        <w:t xml:space="preserve">contract </w:t>
      </w:r>
      <w:r w:rsidRPr="003171CD">
        <w:rPr>
          <w:lang w:val="en-US"/>
        </w:rPr>
        <w:t>and</w:t>
      </w:r>
      <w:r w:rsidR="006D3F5E" w:rsidRPr="003171CD">
        <w:rPr>
          <w:lang w:val="en-US"/>
        </w:rPr>
        <w:t xml:space="preserve"> provided information on</w:t>
      </w:r>
      <w:r w:rsidR="001F2E7A" w:rsidRPr="003171CD">
        <w:rPr>
          <w:lang w:val="en-US"/>
        </w:rPr>
        <w:t xml:space="preserve"> </w:t>
      </w:r>
      <w:r w:rsidRPr="003171CD">
        <w:rPr>
          <w:lang w:val="en-US"/>
        </w:rPr>
        <w:t xml:space="preserve">the salaries of </w:t>
      </w:r>
      <w:r w:rsidR="00FC440B" w:rsidRPr="003171CD">
        <w:rPr>
          <w:lang w:val="en-US"/>
        </w:rPr>
        <w:t xml:space="preserve">skilled workers </w:t>
      </w:r>
      <w:r w:rsidRPr="003171CD">
        <w:rPr>
          <w:lang w:val="en-US"/>
        </w:rPr>
        <w:t>and a</w:t>
      </w:r>
      <w:r w:rsidR="00935C4F" w:rsidRPr="003171CD">
        <w:rPr>
          <w:lang w:val="en-US"/>
        </w:rPr>
        <w:t xml:space="preserve">ssistants </w:t>
      </w:r>
      <w:r w:rsidRPr="003171CD">
        <w:rPr>
          <w:lang w:val="en-US"/>
        </w:rPr>
        <w:t xml:space="preserve">between 2011 and 2013. </w:t>
      </w:r>
      <w:r w:rsidR="006D3F5E" w:rsidRPr="003171CD">
        <w:rPr>
          <w:lang w:val="en-US"/>
        </w:rPr>
        <w:t xml:space="preserve">It also </w:t>
      </w:r>
      <w:r w:rsidR="007B123F" w:rsidRPr="003171CD">
        <w:rPr>
          <w:lang w:val="en-US"/>
        </w:rPr>
        <w:t xml:space="preserve">stressed </w:t>
      </w:r>
      <w:r w:rsidR="006D3F5E" w:rsidRPr="003171CD">
        <w:rPr>
          <w:lang w:val="en-US"/>
        </w:rPr>
        <w:t xml:space="preserve">that </w:t>
      </w:r>
      <w:r w:rsidRPr="003171CD">
        <w:rPr>
          <w:lang w:val="en-US"/>
        </w:rPr>
        <w:t>construction work is not a job of a permanent nature.</w:t>
      </w:r>
    </w:p>
    <w:p w14:paraId="4A077C92" w14:textId="77777777" w:rsidR="005A65CE" w:rsidRPr="003171CD" w:rsidRDefault="005A65CE" w:rsidP="005A65CE">
      <w:pPr>
        <w:widowControl w:val="0"/>
        <w:jc w:val="both"/>
        <w:textAlignment w:val="baseline"/>
        <w:rPr>
          <w:b/>
          <w:lang w:val="en-US"/>
        </w:rPr>
      </w:pPr>
    </w:p>
    <w:p w14:paraId="1C42B7D2" w14:textId="77777777" w:rsidR="005A65CE" w:rsidRPr="003171CD" w:rsidRDefault="005A65CE" w:rsidP="005A65CE">
      <w:pPr>
        <w:widowControl w:val="0"/>
        <w:ind w:firstLine="720"/>
        <w:jc w:val="both"/>
        <w:textAlignment w:val="baseline"/>
        <w:rPr>
          <w:i/>
          <w:lang w:val="en-US"/>
        </w:rPr>
      </w:pPr>
      <w:r w:rsidRPr="003171CD">
        <w:rPr>
          <w:i/>
          <w:lang w:val="en-US"/>
        </w:rPr>
        <w:t>Considerations of the Court</w:t>
      </w:r>
    </w:p>
    <w:p w14:paraId="4692B168" w14:textId="77777777" w:rsidR="005A65CE" w:rsidRPr="003171CD" w:rsidRDefault="005A65CE" w:rsidP="005A65CE">
      <w:pPr>
        <w:widowControl w:val="0"/>
        <w:jc w:val="both"/>
        <w:textAlignment w:val="baseline"/>
        <w:rPr>
          <w:i/>
          <w:lang w:val="en-US"/>
        </w:rPr>
      </w:pPr>
    </w:p>
    <w:p w14:paraId="04ACAC84" w14:textId="77777777" w:rsidR="005A65CE" w:rsidRPr="003171CD" w:rsidRDefault="00DE0FB0" w:rsidP="005A65CE">
      <w:pPr>
        <w:numPr>
          <w:ilvl w:val="0"/>
          <w:numId w:val="1"/>
        </w:numPr>
        <w:autoSpaceDE/>
        <w:autoSpaceDN/>
        <w:adjustRightInd/>
        <w:contextualSpacing/>
        <w:jc w:val="both"/>
        <w:rPr>
          <w:lang w:val="en-US"/>
        </w:rPr>
      </w:pPr>
      <w:r w:rsidRPr="003171CD">
        <w:rPr>
          <w:lang w:val="en-US"/>
        </w:rPr>
        <w:t>I</w:t>
      </w:r>
      <w:r w:rsidR="005A65CE" w:rsidRPr="003171CD">
        <w:rPr>
          <w:lang w:val="en-US"/>
        </w:rPr>
        <w:t xml:space="preserve">n </w:t>
      </w:r>
      <w:r w:rsidR="00367B8F" w:rsidRPr="003171CD">
        <w:rPr>
          <w:lang w:val="en-US"/>
        </w:rPr>
        <w:t>its case law</w:t>
      </w:r>
      <w:r w:rsidR="003A348D" w:rsidRPr="003171CD">
        <w:rPr>
          <w:lang w:val="en-US"/>
        </w:rPr>
        <w:t>,</w:t>
      </w:r>
      <w:r w:rsidR="00367B8F" w:rsidRPr="003171CD">
        <w:rPr>
          <w:lang w:val="en-US"/>
        </w:rPr>
        <w:t xml:space="preserve"> </w:t>
      </w:r>
      <w:r w:rsidRPr="003171CD">
        <w:rPr>
          <w:lang w:val="en-US"/>
        </w:rPr>
        <w:t xml:space="preserve">the Court has developed </w:t>
      </w:r>
      <w:r w:rsidR="005A65CE" w:rsidRPr="003171CD">
        <w:rPr>
          <w:lang w:val="en-US"/>
        </w:rPr>
        <w:t xml:space="preserve">the concept of pecuniary damage and </w:t>
      </w:r>
      <w:r w:rsidR="003A348D" w:rsidRPr="003171CD">
        <w:rPr>
          <w:lang w:val="en-US"/>
        </w:rPr>
        <w:t xml:space="preserve">has established </w:t>
      </w:r>
      <w:r w:rsidR="005A65CE" w:rsidRPr="003171CD">
        <w:rPr>
          <w:lang w:val="en-US"/>
        </w:rPr>
        <w:t>the s</w:t>
      </w:r>
      <w:r w:rsidR="003A348D" w:rsidRPr="003171CD">
        <w:rPr>
          <w:lang w:val="en-US"/>
        </w:rPr>
        <w:t xml:space="preserve">ituations </w:t>
      </w:r>
      <w:r w:rsidR="005A65CE" w:rsidRPr="003171CD">
        <w:rPr>
          <w:lang w:val="en-US"/>
        </w:rPr>
        <w:t xml:space="preserve">in </w:t>
      </w:r>
      <w:r w:rsidRPr="003171CD">
        <w:rPr>
          <w:lang w:val="en-US"/>
        </w:rPr>
        <w:t>which compensation must be provided</w:t>
      </w:r>
      <w:r w:rsidR="005A65CE" w:rsidRPr="003171CD">
        <w:rPr>
          <w:lang w:val="en-US"/>
        </w:rPr>
        <w:t xml:space="preserve">. </w:t>
      </w:r>
      <w:r w:rsidR="005A65CE" w:rsidRPr="003171CD">
        <w:rPr>
          <w:bCs/>
          <w:lang w:val="en-US"/>
        </w:rPr>
        <w:t>The Court ha</w:t>
      </w:r>
      <w:r w:rsidR="00367B8F" w:rsidRPr="003171CD">
        <w:rPr>
          <w:bCs/>
          <w:lang w:val="en-US"/>
        </w:rPr>
        <w:t>s</w:t>
      </w:r>
      <w:r w:rsidR="005A65CE" w:rsidRPr="003171CD">
        <w:rPr>
          <w:bCs/>
          <w:lang w:val="en-US"/>
        </w:rPr>
        <w:t xml:space="preserve"> </w:t>
      </w:r>
      <w:r w:rsidR="008903BD" w:rsidRPr="003171CD">
        <w:rPr>
          <w:bCs/>
          <w:lang w:val="en-US"/>
        </w:rPr>
        <w:t xml:space="preserve">determined </w:t>
      </w:r>
      <w:r w:rsidR="005A65CE" w:rsidRPr="003171CD">
        <w:rPr>
          <w:bCs/>
          <w:lang w:val="en-US"/>
        </w:rPr>
        <w:t xml:space="preserve">that </w:t>
      </w:r>
      <w:r w:rsidR="00932224" w:rsidRPr="003171CD">
        <w:rPr>
          <w:bCs/>
          <w:lang w:val="en-US"/>
        </w:rPr>
        <w:t xml:space="preserve">pecuniary damage </w:t>
      </w:r>
      <w:r w:rsidRPr="003171CD">
        <w:rPr>
          <w:bCs/>
          <w:lang w:val="en-US"/>
        </w:rPr>
        <w:t xml:space="preserve">involves </w:t>
      </w:r>
      <w:r w:rsidR="005A65CE" w:rsidRPr="003171CD">
        <w:rPr>
          <w:bCs/>
          <w:lang w:val="en-US"/>
        </w:rPr>
        <w:t>“</w:t>
      </w:r>
      <w:r w:rsidRPr="003171CD">
        <w:rPr>
          <w:bCs/>
          <w:lang w:val="en-US"/>
        </w:rPr>
        <w:t xml:space="preserve">the </w:t>
      </w:r>
      <w:r w:rsidR="00367B8F" w:rsidRPr="003171CD">
        <w:rPr>
          <w:bCs/>
          <w:lang w:val="en-US"/>
        </w:rPr>
        <w:t>loss of or detriment to</w:t>
      </w:r>
      <w:r w:rsidR="005A65CE" w:rsidRPr="003171CD">
        <w:rPr>
          <w:bCs/>
          <w:lang w:val="en-US"/>
        </w:rPr>
        <w:t xml:space="preserve"> the </w:t>
      </w:r>
      <w:r w:rsidR="00367B8F" w:rsidRPr="003171CD">
        <w:rPr>
          <w:bCs/>
          <w:lang w:val="en-US"/>
        </w:rPr>
        <w:t>victims’ income</w:t>
      </w:r>
      <w:r w:rsidR="005A65CE" w:rsidRPr="003171CD">
        <w:rPr>
          <w:bCs/>
          <w:lang w:val="en-US"/>
        </w:rPr>
        <w:t xml:space="preserve">, the expenses </w:t>
      </w:r>
      <w:r w:rsidR="00932224" w:rsidRPr="003171CD">
        <w:rPr>
          <w:bCs/>
          <w:lang w:val="en-US"/>
        </w:rPr>
        <w:t xml:space="preserve">incurred </w:t>
      </w:r>
      <w:r w:rsidR="003A348D" w:rsidRPr="003171CD">
        <w:rPr>
          <w:bCs/>
          <w:lang w:val="en-US"/>
        </w:rPr>
        <w:t xml:space="preserve">as a result of the </w:t>
      </w:r>
      <w:r w:rsidR="005A65CE" w:rsidRPr="003171CD">
        <w:rPr>
          <w:bCs/>
          <w:lang w:val="en-US"/>
        </w:rPr>
        <w:t xml:space="preserve">facts </w:t>
      </w:r>
      <w:r w:rsidR="003A348D" w:rsidRPr="003171CD">
        <w:rPr>
          <w:lang w:val="en-US"/>
        </w:rPr>
        <w:t>and the consequences of a pecuniary nature that have</w:t>
      </w:r>
      <w:r w:rsidR="003A348D" w:rsidRPr="003171CD">
        <w:rPr>
          <w:bCs/>
          <w:lang w:val="en-US"/>
        </w:rPr>
        <w:t xml:space="preserve"> </w:t>
      </w:r>
      <w:r w:rsidR="005A65CE" w:rsidRPr="003171CD">
        <w:rPr>
          <w:bCs/>
          <w:lang w:val="en-US"/>
        </w:rPr>
        <w:t>a casual nexus with the facts of the case.”</w:t>
      </w:r>
      <w:r w:rsidR="005A65CE" w:rsidRPr="003171CD">
        <w:rPr>
          <w:vertAlign w:val="superscript"/>
          <w:lang w:val="en-US"/>
        </w:rPr>
        <w:footnoteReference w:id="297"/>
      </w:r>
    </w:p>
    <w:p w14:paraId="6F62ED3C" w14:textId="77777777" w:rsidR="005A65CE" w:rsidRPr="003171CD" w:rsidRDefault="005A65CE" w:rsidP="005A65CE">
      <w:pPr>
        <w:widowControl w:val="0"/>
        <w:jc w:val="both"/>
        <w:rPr>
          <w:lang w:val="en-US"/>
        </w:rPr>
      </w:pPr>
    </w:p>
    <w:p w14:paraId="41341A39" w14:textId="77777777" w:rsidR="005A65CE" w:rsidRPr="003171CD" w:rsidRDefault="00367B8F" w:rsidP="005A65CE">
      <w:pPr>
        <w:numPr>
          <w:ilvl w:val="0"/>
          <w:numId w:val="1"/>
        </w:numPr>
        <w:autoSpaceDE/>
        <w:autoSpaceDN/>
        <w:adjustRightInd/>
        <w:contextualSpacing/>
        <w:jc w:val="both"/>
        <w:rPr>
          <w:lang w:val="en-US"/>
        </w:rPr>
      </w:pPr>
      <w:r w:rsidRPr="003171CD">
        <w:rPr>
          <w:lang w:val="en-US"/>
        </w:rPr>
        <w:t xml:space="preserve">With regard to this aspect, </w:t>
      </w:r>
      <w:r w:rsidR="005A65CE" w:rsidRPr="003171CD">
        <w:rPr>
          <w:lang w:val="en-US"/>
        </w:rPr>
        <w:t>the Court note</w:t>
      </w:r>
      <w:r w:rsidRPr="003171CD">
        <w:rPr>
          <w:lang w:val="en-US"/>
        </w:rPr>
        <w:t>s</w:t>
      </w:r>
      <w:r w:rsidR="005A65CE" w:rsidRPr="003171CD">
        <w:rPr>
          <w:lang w:val="en-US"/>
        </w:rPr>
        <w:t xml:space="preserve"> that the </w:t>
      </w:r>
      <w:r w:rsidRPr="003171CD">
        <w:rPr>
          <w:lang w:val="en-US"/>
        </w:rPr>
        <w:t xml:space="preserve">damages specified </w:t>
      </w:r>
      <w:r w:rsidR="005A65CE" w:rsidRPr="003171CD">
        <w:rPr>
          <w:lang w:val="en-US"/>
        </w:rPr>
        <w:t xml:space="preserve">by the representatives </w:t>
      </w:r>
      <w:r w:rsidR="00704FFD" w:rsidRPr="003171CD">
        <w:rPr>
          <w:lang w:val="en-US"/>
        </w:rPr>
        <w:t xml:space="preserve">included </w:t>
      </w:r>
      <w:r w:rsidR="005A65CE" w:rsidRPr="003171CD">
        <w:rPr>
          <w:lang w:val="en-US"/>
        </w:rPr>
        <w:t>the loss of income of José Agapito Ruano Torres, the loss of income of Pedro Torres Hércu</w:t>
      </w:r>
      <w:r w:rsidRPr="003171CD">
        <w:rPr>
          <w:lang w:val="en-US"/>
        </w:rPr>
        <w:t>les, expenses for medical and psychological treatment</w:t>
      </w:r>
      <w:r w:rsidR="005A65CE" w:rsidRPr="003171CD">
        <w:rPr>
          <w:lang w:val="en-US"/>
        </w:rPr>
        <w:t xml:space="preserve"> u</w:t>
      </w:r>
      <w:r w:rsidRPr="003171CD">
        <w:rPr>
          <w:lang w:val="en-US"/>
        </w:rPr>
        <w:t>p to the present date</w:t>
      </w:r>
      <w:r w:rsidR="005A65CE" w:rsidRPr="003171CD">
        <w:rPr>
          <w:lang w:val="en-US"/>
        </w:rPr>
        <w:t xml:space="preserve">, expenses </w:t>
      </w:r>
      <w:r w:rsidRPr="003171CD">
        <w:rPr>
          <w:lang w:val="en-US"/>
        </w:rPr>
        <w:t xml:space="preserve">associated </w:t>
      </w:r>
      <w:r w:rsidR="005A65CE" w:rsidRPr="003171CD">
        <w:rPr>
          <w:lang w:val="en-US"/>
        </w:rPr>
        <w:t xml:space="preserve">with </w:t>
      </w:r>
      <w:r w:rsidR="003A348D" w:rsidRPr="003171CD">
        <w:rPr>
          <w:lang w:val="en-US"/>
        </w:rPr>
        <w:t>per diem allowances</w:t>
      </w:r>
      <w:r w:rsidR="005A65CE" w:rsidRPr="003171CD">
        <w:rPr>
          <w:lang w:val="en-US"/>
        </w:rPr>
        <w:t xml:space="preserve">, </w:t>
      </w:r>
      <w:r w:rsidR="003A348D" w:rsidRPr="003171CD">
        <w:rPr>
          <w:lang w:val="en-US"/>
        </w:rPr>
        <w:t xml:space="preserve">travel and accommodation expenses </w:t>
      </w:r>
      <w:r w:rsidR="005A65CE" w:rsidRPr="003171CD">
        <w:rPr>
          <w:lang w:val="en-US"/>
        </w:rPr>
        <w:t>to visit Mr. Ru</w:t>
      </w:r>
      <w:r w:rsidRPr="003171CD">
        <w:rPr>
          <w:lang w:val="en-US"/>
        </w:rPr>
        <w:t>ano Torres while he was in</w:t>
      </w:r>
      <w:r w:rsidR="00704FFD" w:rsidRPr="003171CD">
        <w:rPr>
          <w:lang w:val="en-US"/>
        </w:rPr>
        <w:t xml:space="preserve"> prison </w:t>
      </w:r>
      <w:r w:rsidR="005A65CE" w:rsidRPr="003171CD">
        <w:rPr>
          <w:lang w:val="en-US"/>
        </w:rPr>
        <w:t>and the expenses in</w:t>
      </w:r>
      <w:r w:rsidR="003A348D" w:rsidRPr="003171CD">
        <w:rPr>
          <w:lang w:val="en-US"/>
        </w:rPr>
        <w:t>curred in the domestic proceedings</w:t>
      </w:r>
      <w:r w:rsidR="005A65CE" w:rsidRPr="003171CD">
        <w:rPr>
          <w:lang w:val="en-US"/>
        </w:rPr>
        <w:t xml:space="preserve"> and </w:t>
      </w:r>
      <w:r w:rsidR="003A348D" w:rsidRPr="003171CD">
        <w:rPr>
          <w:lang w:val="en-US"/>
        </w:rPr>
        <w:t>before the Inter-American Commission. However, t</w:t>
      </w:r>
      <w:r w:rsidR="005A65CE" w:rsidRPr="003171CD">
        <w:rPr>
          <w:lang w:val="en-US"/>
        </w:rPr>
        <w:t xml:space="preserve">he Court </w:t>
      </w:r>
      <w:r w:rsidR="003A348D" w:rsidRPr="003171CD">
        <w:rPr>
          <w:lang w:val="en-US"/>
        </w:rPr>
        <w:t xml:space="preserve">does not have sufficient evidence to determine, precisely, the extent of the pecuniary damage caused in the </w:t>
      </w:r>
      <w:r w:rsidR="005A65CE" w:rsidRPr="003171CD">
        <w:rPr>
          <w:lang w:val="en-US"/>
        </w:rPr>
        <w:t>instant case.</w:t>
      </w:r>
    </w:p>
    <w:p w14:paraId="06DEC744" w14:textId="77777777" w:rsidR="005A65CE" w:rsidRPr="003171CD" w:rsidRDefault="005A65CE" w:rsidP="005A65CE">
      <w:pPr>
        <w:rPr>
          <w:lang w:val="en-US"/>
        </w:rPr>
      </w:pPr>
    </w:p>
    <w:p w14:paraId="2B8F24EA"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Court confirms that, prior to the facts of the case, José Agapito Ruano Torres worked as a bricklayer or </w:t>
      </w:r>
      <w:r w:rsidR="008903BD" w:rsidRPr="003171CD">
        <w:rPr>
          <w:lang w:val="en-US"/>
        </w:rPr>
        <w:t xml:space="preserve">construction worker </w:t>
      </w:r>
      <w:r w:rsidRPr="003171CD">
        <w:rPr>
          <w:lang w:val="en-US"/>
        </w:rPr>
        <w:t>(</w:t>
      </w:r>
      <w:r w:rsidRPr="003171CD">
        <w:rPr>
          <w:i/>
          <w:lang w:val="en-US"/>
        </w:rPr>
        <w:t xml:space="preserve">supra </w:t>
      </w:r>
      <w:r w:rsidRPr="003171CD">
        <w:rPr>
          <w:lang w:val="en-US"/>
        </w:rPr>
        <w:t xml:space="preserve">para. 57). </w:t>
      </w:r>
      <w:r w:rsidR="008903BD" w:rsidRPr="003171CD">
        <w:rPr>
          <w:lang w:val="en-US"/>
        </w:rPr>
        <w:t xml:space="preserve">In this case, </w:t>
      </w:r>
      <w:r w:rsidR="00704FFD" w:rsidRPr="003171CD">
        <w:rPr>
          <w:lang w:val="en-US"/>
        </w:rPr>
        <w:t xml:space="preserve">in order </w:t>
      </w:r>
      <w:r w:rsidR="008903BD" w:rsidRPr="003171CD">
        <w:rPr>
          <w:lang w:val="en-US"/>
        </w:rPr>
        <w:t xml:space="preserve">to determine </w:t>
      </w:r>
      <w:r w:rsidRPr="003171CD">
        <w:rPr>
          <w:lang w:val="en-US"/>
        </w:rPr>
        <w:t xml:space="preserve">the compensation </w:t>
      </w:r>
      <w:r w:rsidR="008903BD" w:rsidRPr="003171CD">
        <w:rPr>
          <w:lang w:val="en-US"/>
        </w:rPr>
        <w:t xml:space="preserve">due for </w:t>
      </w:r>
      <w:r w:rsidRPr="003171CD">
        <w:rPr>
          <w:lang w:val="en-US"/>
        </w:rPr>
        <w:t>loss of income</w:t>
      </w:r>
      <w:r w:rsidR="008903BD" w:rsidRPr="003171CD">
        <w:rPr>
          <w:lang w:val="en-US"/>
        </w:rPr>
        <w:t xml:space="preserve">, it is necessary to calculate the amount </w:t>
      </w:r>
      <w:r w:rsidRPr="003171CD">
        <w:rPr>
          <w:lang w:val="en-US"/>
        </w:rPr>
        <w:t xml:space="preserve">based on the period of time that the victim </w:t>
      </w:r>
      <w:r w:rsidR="005371D7" w:rsidRPr="003171CD">
        <w:rPr>
          <w:lang w:val="en-US"/>
        </w:rPr>
        <w:t xml:space="preserve">did not work because he was deprived of his </w:t>
      </w:r>
      <w:r w:rsidR="00E755FC" w:rsidRPr="003171CD">
        <w:rPr>
          <w:lang w:val="en-US"/>
        </w:rPr>
        <w:t>liberty</w:t>
      </w:r>
      <w:r w:rsidR="008903BD" w:rsidRPr="003171CD">
        <w:rPr>
          <w:lang w:val="en-US"/>
        </w:rPr>
        <w:t>,</w:t>
      </w:r>
      <w:r w:rsidRPr="003171CD">
        <w:rPr>
          <w:lang w:val="en-US"/>
        </w:rPr>
        <w:t xml:space="preserve"> and </w:t>
      </w:r>
      <w:r w:rsidR="00C66FB4" w:rsidRPr="003171CD">
        <w:rPr>
          <w:lang w:val="en-US"/>
        </w:rPr>
        <w:t>on the amount of</w:t>
      </w:r>
      <w:r w:rsidR="00367B8F" w:rsidRPr="003171CD">
        <w:rPr>
          <w:lang w:val="en-US"/>
        </w:rPr>
        <w:t xml:space="preserve"> the minimum wage </w:t>
      </w:r>
      <w:r w:rsidRPr="003171CD">
        <w:rPr>
          <w:lang w:val="en-US"/>
        </w:rPr>
        <w:t xml:space="preserve">indicated by the State </w:t>
      </w:r>
      <w:r w:rsidR="00C66FB4" w:rsidRPr="003171CD">
        <w:rPr>
          <w:lang w:val="en-US"/>
        </w:rPr>
        <w:t xml:space="preserve">for </w:t>
      </w:r>
      <w:r w:rsidR="00367B8F" w:rsidRPr="003171CD">
        <w:rPr>
          <w:lang w:val="en-US"/>
        </w:rPr>
        <w:t xml:space="preserve">the </w:t>
      </w:r>
      <w:r w:rsidR="005371D7" w:rsidRPr="003171CD">
        <w:rPr>
          <w:lang w:val="en-US"/>
        </w:rPr>
        <w:t xml:space="preserve">activities in which he was engaged at the time </w:t>
      </w:r>
      <w:r w:rsidR="00C66FB4" w:rsidRPr="003171CD">
        <w:rPr>
          <w:lang w:val="en-US"/>
        </w:rPr>
        <w:t>of the facts.</w:t>
      </w:r>
      <w:r w:rsidRPr="003171CD">
        <w:rPr>
          <w:lang w:val="en-US"/>
        </w:rPr>
        <w:t xml:space="preserve"> </w:t>
      </w:r>
      <w:r w:rsidR="00C66FB4" w:rsidRPr="003171CD">
        <w:rPr>
          <w:lang w:val="en-US"/>
        </w:rPr>
        <w:t xml:space="preserve">It is also necessary to take into account </w:t>
      </w:r>
      <w:r w:rsidRPr="003171CD">
        <w:rPr>
          <w:lang w:val="en-US"/>
        </w:rPr>
        <w:t xml:space="preserve">the observations presented, since </w:t>
      </w:r>
      <w:r w:rsidR="000303D6" w:rsidRPr="003171CD">
        <w:rPr>
          <w:lang w:val="en-US"/>
        </w:rPr>
        <w:t xml:space="preserve">the </w:t>
      </w:r>
      <w:r w:rsidR="00704FFD" w:rsidRPr="003171CD">
        <w:rPr>
          <w:lang w:val="en-US"/>
        </w:rPr>
        <w:t xml:space="preserve">case </w:t>
      </w:r>
      <w:r w:rsidR="000303D6" w:rsidRPr="003171CD">
        <w:rPr>
          <w:lang w:val="en-US"/>
        </w:rPr>
        <w:t xml:space="preserve">file does not contain </w:t>
      </w:r>
      <w:r w:rsidRPr="003171CD">
        <w:rPr>
          <w:lang w:val="en-US"/>
        </w:rPr>
        <w:t xml:space="preserve">sufficient </w:t>
      </w:r>
      <w:r w:rsidR="000303D6" w:rsidRPr="003171CD">
        <w:rPr>
          <w:lang w:val="en-US"/>
        </w:rPr>
        <w:t xml:space="preserve">evidentiary </w:t>
      </w:r>
      <w:r w:rsidRPr="003171CD">
        <w:rPr>
          <w:lang w:val="en-US"/>
        </w:rPr>
        <w:t>elements to calculate exactly the amount of his monthly income. Accordingly</w:t>
      </w:r>
      <w:bookmarkStart w:id="90" w:name="_Ref375132311"/>
      <w:r w:rsidRPr="003171CD">
        <w:rPr>
          <w:lang w:val="en-US"/>
        </w:rPr>
        <w:t xml:space="preserve">, the Court </w:t>
      </w:r>
      <w:r w:rsidR="000303D6" w:rsidRPr="003171CD">
        <w:rPr>
          <w:lang w:val="en-US"/>
        </w:rPr>
        <w:t>de</w:t>
      </w:r>
      <w:r w:rsidR="00C66FB4" w:rsidRPr="003171CD">
        <w:rPr>
          <w:lang w:val="en-US"/>
        </w:rPr>
        <w:t xml:space="preserve">cides to </w:t>
      </w:r>
      <w:r w:rsidRPr="003171CD">
        <w:rPr>
          <w:lang w:val="en-US"/>
        </w:rPr>
        <w:t>establish</w:t>
      </w:r>
      <w:r w:rsidR="00C66FB4" w:rsidRPr="003171CD">
        <w:rPr>
          <w:lang w:val="en-US"/>
        </w:rPr>
        <w:t>,</w:t>
      </w:r>
      <w:r w:rsidRPr="003171CD">
        <w:rPr>
          <w:lang w:val="en-US"/>
        </w:rPr>
        <w:t xml:space="preserve"> in equity</w:t>
      </w:r>
      <w:bookmarkEnd w:id="90"/>
      <w:r w:rsidR="00C66FB4" w:rsidRPr="003171CD">
        <w:rPr>
          <w:lang w:val="en-US"/>
        </w:rPr>
        <w:t>,</w:t>
      </w:r>
      <w:r w:rsidRPr="003171CD">
        <w:rPr>
          <w:lang w:val="en-US"/>
        </w:rPr>
        <w:t xml:space="preserve"> the sum of US$ 40,000.00 (forty thousand United States dollars) in favor of Mr. Agapito Ruano Torres, as compensation for the in</w:t>
      </w:r>
      <w:r w:rsidR="000303D6" w:rsidRPr="003171CD">
        <w:rPr>
          <w:lang w:val="en-US"/>
        </w:rPr>
        <w:t xml:space="preserve">come that he did not receive </w:t>
      </w:r>
      <w:r w:rsidRPr="003171CD">
        <w:rPr>
          <w:lang w:val="en-US"/>
        </w:rPr>
        <w:t>during the time he was deprived of his liberty in violation of Articles 7 and 8(2) of the American Convention.</w:t>
      </w:r>
    </w:p>
    <w:p w14:paraId="2D87FB1A" w14:textId="77777777" w:rsidR="005A65CE" w:rsidRPr="003171CD" w:rsidRDefault="005A65CE" w:rsidP="005A65CE">
      <w:pPr>
        <w:rPr>
          <w:lang w:val="en-US"/>
        </w:rPr>
      </w:pPr>
    </w:p>
    <w:p w14:paraId="54B8E2F8"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Furthermore</w:t>
      </w:r>
      <w:r w:rsidRPr="003171CD">
        <w:rPr>
          <w:rFonts w:eastAsia="Batang"/>
          <w:color w:val="000000"/>
          <w:szCs w:val="24"/>
          <w:lang w:val="en-US"/>
        </w:rPr>
        <w:t xml:space="preserve">, this Court considers that the disbursements </w:t>
      </w:r>
      <w:r w:rsidR="00246627" w:rsidRPr="003171CD">
        <w:rPr>
          <w:rFonts w:eastAsia="Batang"/>
          <w:color w:val="000000"/>
          <w:szCs w:val="24"/>
          <w:lang w:val="en-US"/>
        </w:rPr>
        <w:t>r</w:t>
      </w:r>
      <w:r w:rsidRPr="003171CD">
        <w:rPr>
          <w:rFonts w:eastAsia="Batang"/>
          <w:color w:val="000000"/>
          <w:szCs w:val="24"/>
          <w:lang w:val="en-US"/>
        </w:rPr>
        <w:t xml:space="preserve">elated to the financial efforts made by </w:t>
      </w:r>
      <w:r w:rsidRPr="003171CD">
        <w:rPr>
          <w:rFonts w:eastAsia="Batang"/>
          <w:szCs w:val="24"/>
          <w:lang w:val="en-US"/>
        </w:rPr>
        <w:t xml:space="preserve">Mr. Ruano Torres, his wife María Maribel Guevara de Ruano and his cousin Pedro Hércules Torres </w:t>
      </w:r>
      <w:r w:rsidR="00C66FB4" w:rsidRPr="003171CD">
        <w:rPr>
          <w:rFonts w:eastAsia="Batang"/>
          <w:szCs w:val="24"/>
          <w:lang w:val="en-US"/>
        </w:rPr>
        <w:t xml:space="preserve">as a result of the </w:t>
      </w:r>
      <w:r w:rsidR="00246627" w:rsidRPr="003171CD">
        <w:rPr>
          <w:rFonts w:eastAsia="Batang"/>
          <w:szCs w:val="24"/>
          <w:lang w:val="en-US"/>
        </w:rPr>
        <w:t>de</w:t>
      </w:r>
      <w:r w:rsidRPr="003171CD">
        <w:rPr>
          <w:rFonts w:eastAsia="Batang"/>
          <w:szCs w:val="24"/>
          <w:lang w:val="en-US"/>
        </w:rPr>
        <w:t xml:space="preserve">privation of the </w:t>
      </w:r>
      <w:r w:rsidR="00E755FC" w:rsidRPr="003171CD">
        <w:rPr>
          <w:rFonts w:eastAsia="Batang"/>
          <w:szCs w:val="24"/>
          <w:lang w:val="en-US"/>
        </w:rPr>
        <w:t>liberty</w:t>
      </w:r>
      <w:r w:rsidRPr="003171CD">
        <w:rPr>
          <w:rFonts w:eastAsia="Batang"/>
          <w:szCs w:val="24"/>
          <w:lang w:val="en-US"/>
        </w:rPr>
        <w:t xml:space="preserve"> and </w:t>
      </w:r>
      <w:r w:rsidR="00C66FB4" w:rsidRPr="003171CD">
        <w:rPr>
          <w:rFonts w:eastAsia="Batang"/>
          <w:szCs w:val="24"/>
          <w:lang w:val="en-US"/>
        </w:rPr>
        <w:t xml:space="preserve">the need to </w:t>
      </w:r>
      <w:r w:rsidRPr="003171CD">
        <w:rPr>
          <w:rFonts w:eastAsia="Batang"/>
          <w:szCs w:val="24"/>
          <w:lang w:val="en-US"/>
        </w:rPr>
        <w:t>obtain justice</w:t>
      </w:r>
      <w:r w:rsidRPr="003171CD">
        <w:rPr>
          <w:rFonts w:eastAsia="Batang"/>
          <w:color w:val="000000"/>
          <w:szCs w:val="24"/>
          <w:lang w:val="en-US"/>
        </w:rPr>
        <w:t xml:space="preserve"> must be compensated as part of consequential damages. Therefore, </w:t>
      </w:r>
      <w:r w:rsidR="00C66FB4" w:rsidRPr="003171CD">
        <w:rPr>
          <w:rFonts w:eastAsia="Batang"/>
          <w:color w:val="000000"/>
          <w:szCs w:val="24"/>
          <w:lang w:val="en-US"/>
        </w:rPr>
        <w:t xml:space="preserve">as part of </w:t>
      </w:r>
      <w:r w:rsidRPr="003171CD">
        <w:rPr>
          <w:rFonts w:eastAsia="Batang"/>
          <w:color w:val="000000"/>
          <w:szCs w:val="24"/>
          <w:lang w:val="en-US"/>
        </w:rPr>
        <w:t xml:space="preserve">this </w:t>
      </w:r>
      <w:r w:rsidR="00246627" w:rsidRPr="003171CD">
        <w:rPr>
          <w:rFonts w:eastAsia="Batang"/>
          <w:color w:val="000000"/>
          <w:szCs w:val="24"/>
          <w:lang w:val="en-US"/>
        </w:rPr>
        <w:t xml:space="preserve">item, the Court will </w:t>
      </w:r>
      <w:r w:rsidR="00C66FB4" w:rsidRPr="003171CD">
        <w:rPr>
          <w:rFonts w:eastAsia="Batang"/>
          <w:color w:val="000000"/>
          <w:szCs w:val="24"/>
          <w:lang w:val="en-US"/>
        </w:rPr>
        <w:t xml:space="preserve">take into account the </w:t>
      </w:r>
      <w:r w:rsidRPr="003171CD">
        <w:rPr>
          <w:rFonts w:eastAsia="Batang"/>
          <w:color w:val="000000"/>
          <w:szCs w:val="24"/>
          <w:lang w:val="en-US"/>
        </w:rPr>
        <w:t xml:space="preserve">arguments related to the </w:t>
      </w:r>
      <w:r w:rsidRPr="003171CD">
        <w:rPr>
          <w:lang w:val="en-US"/>
        </w:rPr>
        <w:t>loss of income of Pedro Torres Hércules</w:t>
      </w:r>
      <w:r w:rsidRPr="003171CD">
        <w:rPr>
          <w:rFonts w:eastAsia="Batang"/>
          <w:szCs w:val="24"/>
          <w:lang w:val="en-US"/>
        </w:rPr>
        <w:t>.</w:t>
      </w:r>
      <w:r w:rsidRPr="003171CD">
        <w:rPr>
          <w:lang w:val="en-US"/>
        </w:rPr>
        <w:t xml:space="preserve"> </w:t>
      </w:r>
    </w:p>
    <w:p w14:paraId="53E82BB8" w14:textId="77777777" w:rsidR="005A65CE" w:rsidRPr="003171CD" w:rsidRDefault="005A65CE" w:rsidP="005A65CE">
      <w:pPr>
        <w:pStyle w:val="Prrafodelista"/>
        <w:rPr>
          <w:lang w:val="en-US"/>
        </w:rPr>
      </w:pPr>
    </w:p>
    <w:p w14:paraId="0CE213B4"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In view of this, and bearing in mind the time elapsed, the Court </w:t>
      </w:r>
      <w:r w:rsidR="000303D6" w:rsidRPr="003171CD">
        <w:rPr>
          <w:lang w:val="en-US"/>
        </w:rPr>
        <w:t xml:space="preserve">sets </w:t>
      </w:r>
      <w:r w:rsidR="00367B8F" w:rsidRPr="003171CD">
        <w:rPr>
          <w:lang w:val="en-US"/>
        </w:rPr>
        <w:t>in equity the following amounts</w:t>
      </w:r>
      <w:r w:rsidRPr="003171CD">
        <w:rPr>
          <w:lang w:val="en-US"/>
        </w:rPr>
        <w:t xml:space="preserve"> for consequential damages: a) US$ 10,000.00 (ten thousand United States dollars) in favor of José Agapito Ruano Torres; b) US$ 10,000.00 (ten thousand United States dollars) in favor of María Maribel Guevara de Ruano, and c) US$ 20,000.00 (twenty thousand United States dollars) in favor of Pedro Torres Hércules.</w:t>
      </w:r>
    </w:p>
    <w:p w14:paraId="581A9C68" w14:textId="77777777" w:rsidR="005A65CE" w:rsidRPr="003171CD" w:rsidRDefault="005A65CE" w:rsidP="005A65CE">
      <w:pPr>
        <w:autoSpaceDE/>
        <w:autoSpaceDN/>
        <w:adjustRightInd/>
        <w:contextualSpacing/>
        <w:jc w:val="both"/>
        <w:rPr>
          <w:lang w:val="en-US"/>
        </w:rPr>
      </w:pPr>
    </w:p>
    <w:p w14:paraId="0FEF2E95" w14:textId="77777777" w:rsidR="005A65CE" w:rsidRPr="003171CD" w:rsidRDefault="005A65CE" w:rsidP="005A65CE">
      <w:pPr>
        <w:ind w:left="1440"/>
        <w:contextualSpacing/>
        <w:jc w:val="both"/>
        <w:rPr>
          <w:b/>
          <w:i/>
          <w:lang w:val="en-US"/>
        </w:rPr>
      </w:pPr>
      <w:r w:rsidRPr="003171CD">
        <w:rPr>
          <w:b/>
          <w:i/>
          <w:lang w:val="en-US"/>
        </w:rPr>
        <w:t xml:space="preserve">D.2 </w:t>
      </w:r>
      <w:r w:rsidRPr="003171CD">
        <w:rPr>
          <w:b/>
          <w:i/>
          <w:lang w:val="en-US"/>
        </w:rPr>
        <w:tab/>
        <w:t>Non-pecuniary damage</w:t>
      </w:r>
    </w:p>
    <w:p w14:paraId="65DAB3B6" w14:textId="77777777" w:rsidR="005A65CE" w:rsidRPr="003171CD" w:rsidRDefault="005A65CE" w:rsidP="005A65CE">
      <w:pPr>
        <w:widowControl w:val="0"/>
        <w:ind w:left="1077"/>
        <w:jc w:val="both"/>
        <w:textAlignment w:val="baseline"/>
        <w:rPr>
          <w:b/>
          <w:i/>
          <w:lang w:val="en-US"/>
        </w:rPr>
      </w:pPr>
    </w:p>
    <w:p w14:paraId="122D460E" w14:textId="77777777" w:rsidR="005A65CE" w:rsidRPr="003171CD" w:rsidRDefault="005A65CE" w:rsidP="005A65CE">
      <w:pPr>
        <w:widowControl w:val="0"/>
        <w:ind w:firstLine="717"/>
        <w:jc w:val="both"/>
        <w:textAlignment w:val="baseline"/>
        <w:rPr>
          <w:i/>
          <w:lang w:val="en-US"/>
        </w:rPr>
      </w:pPr>
      <w:r w:rsidRPr="003171CD">
        <w:rPr>
          <w:i/>
          <w:lang w:val="en-US"/>
        </w:rPr>
        <w:t>Arguments of the parties and of the Commission</w:t>
      </w:r>
    </w:p>
    <w:p w14:paraId="6DE54101" w14:textId="77777777" w:rsidR="005A65CE" w:rsidRPr="003171CD" w:rsidRDefault="005A65CE" w:rsidP="005A65CE">
      <w:pPr>
        <w:widowControl w:val="0"/>
        <w:jc w:val="both"/>
        <w:textAlignment w:val="baseline"/>
        <w:rPr>
          <w:i/>
          <w:lang w:val="en-US"/>
        </w:rPr>
      </w:pPr>
    </w:p>
    <w:p w14:paraId="0EFBACDE"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 xml:space="preserve">Commission </w:t>
      </w:r>
      <w:r w:rsidRPr="003171CD">
        <w:rPr>
          <w:lang w:val="en-US"/>
        </w:rPr>
        <w:t>asked the</w:t>
      </w:r>
      <w:r w:rsidR="00246627" w:rsidRPr="003171CD">
        <w:rPr>
          <w:lang w:val="en-US"/>
        </w:rPr>
        <w:t xml:space="preserve"> Court to order the State to “[p</w:t>
      </w:r>
      <w:r w:rsidRPr="003171CD">
        <w:rPr>
          <w:lang w:val="en-US"/>
        </w:rPr>
        <w:t>]</w:t>
      </w:r>
      <w:r w:rsidR="00246627" w:rsidRPr="003171CD">
        <w:rPr>
          <w:lang w:val="en-US"/>
        </w:rPr>
        <w:t>rovide comprehensive reparation to the victims in</w:t>
      </w:r>
      <w:r w:rsidRPr="003171CD">
        <w:rPr>
          <w:lang w:val="en-US"/>
        </w:rPr>
        <w:t xml:space="preserve"> this case</w:t>
      </w:r>
      <w:r w:rsidR="00246627" w:rsidRPr="003171CD">
        <w:rPr>
          <w:lang w:val="en-US"/>
        </w:rPr>
        <w:t>,</w:t>
      </w:r>
      <w:r w:rsidRPr="003171CD">
        <w:rPr>
          <w:lang w:val="en-US"/>
        </w:rPr>
        <w:t xml:space="preserve"> </w:t>
      </w:r>
      <w:r w:rsidR="00C66FB4" w:rsidRPr="003171CD">
        <w:rPr>
          <w:lang w:val="en-US"/>
        </w:rPr>
        <w:t xml:space="preserve">including </w:t>
      </w:r>
      <w:r w:rsidRPr="003171CD">
        <w:rPr>
          <w:lang w:val="en-US"/>
        </w:rPr>
        <w:t xml:space="preserve">the pecuniary and non-pecuniary aspects”. </w:t>
      </w:r>
    </w:p>
    <w:p w14:paraId="68236A88" w14:textId="77777777" w:rsidR="005A65CE" w:rsidRPr="003171CD" w:rsidRDefault="005A65CE" w:rsidP="005A65CE">
      <w:pPr>
        <w:widowControl w:val="0"/>
        <w:jc w:val="both"/>
        <w:textAlignment w:val="baseline"/>
        <w:rPr>
          <w:lang w:val="en-US"/>
        </w:rPr>
      </w:pPr>
    </w:p>
    <w:p w14:paraId="31BAD1DA" w14:textId="77777777" w:rsidR="005A65CE" w:rsidRPr="003171CD" w:rsidRDefault="005A65CE" w:rsidP="005A65CE">
      <w:pPr>
        <w:numPr>
          <w:ilvl w:val="0"/>
          <w:numId w:val="1"/>
        </w:numPr>
        <w:autoSpaceDE/>
        <w:autoSpaceDN/>
        <w:adjustRightInd/>
        <w:contextualSpacing/>
        <w:jc w:val="both"/>
        <w:rPr>
          <w:bCs/>
          <w:lang w:val="en-US"/>
        </w:rPr>
      </w:pPr>
      <w:r w:rsidRPr="003171CD">
        <w:rPr>
          <w:lang w:val="en-US"/>
        </w:rPr>
        <w:t xml:space="preserve">The </w:t>
      </w:r>
      <w:r w:rsidRPr="003171CD">
        <w:rPr>
          <w:b/>
          <w:i/>
          <w:lang w:val="en-US"/>
        </w:rPr>
        <w:t>representatives</w:t>
      </w:r>
      <w:r w:rsidRPr="003171CD">
        <w:rPr>
          <w:lang w:val="en-US"/>
        </w:rPr>
        <w:t xml:space="preserve"> indicated that </w:t>
      </w:r>
      <w:r w:rsidR="00246627" w:rsidRPr="003171CD">
        <w:rPr>
          <w:bCs/>
          <w:lang w:val="en-US"/>
        </w:rPr>
        <w:t>“</w:t>
      </w:r>
      <w:r w:rsidRPr="003171CD">
        <w:rPr>
          <w:bCs/>
          <w:lang w:val="en-US"/>
        </w:rPr>
        <w:t xml:space="preserve">the Inter-American Court </w:t>
      </w:r>
      <w:r w:rsidR="00246627" w:rsidRPr="003171CD">
        <w:rPr>
          <w:bCs/>
          <w:lang w:val="en-US"/>
        </w:rPr>
        <w:t xml:space="preserve">should assess </w:t>
      </w:r>
      <w:r w:rsidRPr="003171CD">
        <w:rPr>
          <w:bCs/>
          <w:lang w:val="en-US"/>
        </w:rPr>
        <w:t xml:space="preserve">not only the </w:t>
      </w:r>
      <w:r w:rsidR="00C66FB4" w:rsidRPr="003171CD">
        <w:rPr>
          <w:bCs/>
          <w:lang w:val="en-US"/>
        </w:rPr>
        <w:t xml:space="preserve">harm caused to </w:t>
      </w:r>
      <w:r w:rsidRPr="003171CD">
        <w:rPr>
          <w:bCs/>
          <w:lang w:val="en-US"/>
        </w:rPr>
        <w:t>the mental and moral integrity of each of [the beneficiaries], but also the impact this had on their social relationships, their civic and w</w:t>
      </w:r>
      <w:r w:rsidR="000303D6" w:rsidRPr="003171CD">
        <w:rPr>
          <w:bCs/>
          <w:lang w:val="en-US"/>
        </w:rPr>
        <w:t xml:space="preserve">ork life and the disruption it </w:t>
      </w:r>
      <w:r w:rsidRPr="003171CD">
        <w:rPr>
          <w:bCs/>
          <w:lang w:val="en-US"/>
        </w:rPr>
        <w:t>caused to the dynamics of the family group, which was never able to return to the living conditions existing prior to the facts</w:t>
      </w:r>
      <w:r w:rsidR="000303D6" w:rsidRPr="003171CD">
        <w:rPr>
          <w:bCs/>
          <w:lang w:val="en-US"/>
        </w:rPr>
        <w:t>.”</w:t>
      </w:r>
      <w:r w:rsidRPr="003171CD">
        <w:rPr>
          <w:bCs/>
          <w:lang w:val="en-US"/>
        </w:rPr>
        <w:t xml:space="preserve"> As to the reparation corresponding to personal integrity</w:t>
      </w:r>
      <w:r w:rsidR="00C66FB4" w:rsidRPr="003171CD">
        <w:rPr>
          <w:bCs/>
          <w:lang w:val="en-US"/>
        </w:rPr>
        <w:t>,</w:t>
      </w:r>
      <w:r w:rsidRPr="003171CD">
        <w:rPr>
          <w:bCs/>
          <w:lang w:val="en-US"/>
        </w:rPr>
        <w:t xml:space="preserve"> the representative</w:t>
      </w:r>
      <w:r w:rsidR="000303D6" w:rsidRPr="003171CD">
        <w:rPr>
          <w:bCs/>
          <w:lang w:val="en-US"/>
        </w:rPr>
        <w:t>s</w:t>
      </w:r>
      <w:r w:rsidRPr="003171CD">
        <w:rPr>
          <w:bCs/>
          <w:lang w:val="en-US"/>
        </w:rPr>
        <w:t xml:space="preserve"> calculated </w:t>
      </w:r>
      <w:r w:rsidR="000303D6" w:rsidRPr="003171CD">
        <w:rPr>
          <w:bCs/>
          <w:lang w:val="en-US"/>
        </w:rPr>
        <w:t>the sum of US$ 100,000 per year</w:t>
      </w:r>
      <w:r w:rsidR="000303D6" w:rsidRPr="003171CD">
        <w:rPr>
          <w:bCs/>
          <w:lang w:val="en-GB"/>
        </w:rPr>
        <w:t>;</w:t>
      </w:r>
      <w:r w:rsidRPr="003171CD">
        <w:rPr>
          <w:bCs/>
          <w:lang w:val="en-US"/>
        </w:rPr>
        <w:t xml:space="preserve"> </w:t>
      </w:r>
      <w:r w:rsidR="000303D6" w:rsidRPr="003171CD">
        <w:rPr>
          <w:bCs/>
          <w:lang w:val="en-US"/>
        </w:rPr>
        <w:t xml:space="preserve">thus, considering that the victim served </w:t>
      </w:r>
      <w:r w:rsidRPr="003171CD">
        <w:rPr>
          <w:bCs/>
          <w:lang w:val="en-US"/>
        </w:rPr>
        <w:t>twelve years, s</w:t>
      </w:r>
      <w:r w:rsidR="000303D6" w:rsidRPr="003171CD">
        <w:rPr>
          <w:bCs/>
          <w:lang w:val="en-US"/>
        </w:rPr>
        <w:t>ix months and twenty-two days in</w:t>
      </w:r>
      <w:r w:rsidRPr="003171CD">
        <w:rPr>
          <w:bCs/>
          <w:lang w:val="en-US"/>
        </w:rPr>
        <w:t xml:space="preserve"> prison, </w:t>
      </w:r>
      <w:r w:rsidR="000303D6" w:rsidRPr="003171CD">
        <w:rPr>
          <w:bCs/>
          <w:lang w:val="en-US"/>
        </w:rPr>
        <w:t xml:space="preserve">the total for this item was </w:t>
      </w:r>
      <w:r w:rsidRPr="003171CD">
        <w:rPr>
          <w:bCs/>
          <w:lang w:val="en-US"/>
        </w:rPr>
        <w:t>estima</w:t>
      </w:r>
      <w:r w:rsidR="000303D6" w:rsidRPr="003171CD">
        <w:rPr>
          <w:bCs/>
          <w:lang w:val="en-US"/>
        </w:rPr>
        <w:t>ted at US$ 1,250,</w:t>
      </w:r>
      <w:r w:rsidRPr="003171CD">
        <w:rPr>
          <w:bCs/>
          <w:lang w:val="en-US"/>
        </w:rPr>
        <w:t xml:space="preserve">000. </w:t>
      </w:r>
      <w:r w:rsidR="000303D6" w:rsidRPr="003171CD">
        <w:rPr>
          <w:bCs/>
          <w:lang w:val="en-US"/>
        </w:rPr>
        <w:t>With regard to mo</w:t>
      </w:r>
      <w:r w:rsidRPr="003171CD">
        <w:rPr>
          <w:bCs/>
          <w:lang w:val="en-US"/>
        </w:rPr>
        <w:t xml:space="preserve">ral reparations, they </w:t>
      </w:r>
      <w:r w:rsidR="000303D6" w:rsidRPr="003171CD">
        <w:rPr>
          <w:bCs/>
          <w:lang w:val="en-US"/>
        </w:rPr>
        <w:t xml:space="preserve">calculated US$ 100,000 per year, also amounting to </w:t>
      </w:r>
      <w:r w:rsidR="007D5BEF" w:rsidRPr="003171CD">
        <w:rPr>
          <w:bCs/>
          <w:lang w:val="en-US"/>
        </w:rPr>
        <w:t>a total of US$ 1,250,</w:t>
      </w:r>
      <w:r w:rsidRPr="003171CD">
        <w:rPr>
          <w:bCs/>
          <w:lang w:val="en-US"/>
        </w:rPr>
        <w:t xml:space="preserve">000 </w:t>
      </w:r>
      <w:r w:rsidR="000303D6" w:rsidRPr="003171CD">
        <w:rPr>
          <w:bCs/>
          <w:lang w:val="en-US"/>
        </w:rPr>
        <w:t>for this item</w:t>
      </w:r>
      <w:r w:rsidRPr="003171CD">
        <w:rPr>
          <w:bCs/>
          <w:lang w:val="en-US"/>
        </w:rPr>
        <w:t xml:space="preserve">. </w:t>
      </w:r>
      <w:r w:rsidR="000303D6" w:rsidRPr="003171CD">
        <w:rPr>
          <w:bCs/>
          <w:lang w:val="en-US"/>
        </w:rPr>
        <w:t xml:space="preserve">Furthermore, the representatives </w:t>
      </w:r>
      <w:r w:rsidRPr="003171CD">
        <w:rPr>
          <w:bCs/>
          <w:lang w:val="en-US"/>
        </w:rPr>
        <w:t>requested a</w:t>
      </w:r>
      <w:r w:rsidR="000303D6" w:rsidRPr="003171CD">
        <w:rPr>
          <w:bCs/>
          <w:lang w:val="en-US"/>
        </w:rPr>
        <w:t>n</w:t>
      </w:r>
      <w:r w:rsidRPr="003171CD">
        <w:rPr>
          <w:bCs/>
          <w:lang w:val="en-US"/>
        </w:rPr>
        <w:t xml:space="preserve"> amount </w:t>
      </w:r>
      <w:r w:rsidR="000303D6" w:rsidRPr="003171CD">
        <w:rPr>
          <w:bCs/>
          <w:lang w:val="en-US"/>
        </w:rPr>
        <w:t xml:space="preserve">for damage to the </w:t>
      </w:r>
      <w:r w:rsidRPr="003171CD">
        <w:rPr>
          <w:bCs/>
          <w:lang w:val="en-US"/>
        </w:rPr>
        <w:t xml:space="preserve">life project and the right to </w:t>
      </w:r>
      <w:r w:rsidR="00151D15" w:rsidRPr="003171CD">
        <w:rPr>
          <w:bCs/>
          <w:lang w:val="en-US"/>
        </w:rPr>
        <w:t>leisure</w:t>
      </w:r>
      <w:r w:rsidR="005E161D" w:rsidRPr="003171CD">
        <w:rPr>
          <w:bCs/>
          <w:lang w:val="en-US"/>
        </w:rPr>
        <w:t>, which</w:t>
      </w:r>
      <w:r w:rsidR="00151D15" w:rsidRPr="003171CD">
        <w:rPr>
          <w:bCs/>
          <w:lang w:val="en-US"/>
        </w:rPr>
        <w:t xml:space="preserve"> </w:t>
      </w:r>
      <w:r w:rsidR="000303D6" w:rsidRPr="003171CD">
        <w:rPr>
          <w:bCs/>
          <w:lang w:val="en-US"/>
        </w:rPr>
        <w:t>they</w:t>
      </w:r>
      <w:r w:rsidRPr="003171CD">
        <w:rPr>
          <w:bCs/>
          <w:lang w:val="en-US"/>
        </w:rPr>
        <w:t xml:space="preserve"> calcula</w:t>
      </w:r>
      <w:r w:rsidR="000303D6" w:rsidRPr="003171CD">
        <w:rPr>
          <w:bCs/>
          <w:lang w:val="en-US"/>
        </w:rPr>
        <w:t xml:space="preserve">ted at </w:t>
      </w:r>
      <w:r w:rsidRPr="003171CD">
        <w:rPr>
          <w:bCs/>
          <w:lang w:val="en-US"/>
        </w:rPr>
        <w:t xml:space="preserve">US$ 20,000 per year, the total </w:t>
      </w:r>
      <w:r w:rsidR="000303D6" w:rsidRPr="003171CD">
        <w:rPr>
          <w:bCs/>
          <w:lang w:val="en-US"/>
        </w:rPr>
        <w:t>for twelve years being US$ 240,</w:t>
      </w:r>
      <w:r w:rsidRPr="003171CD">
        <w:rPr>
          <w:bCs/>
          <w:lang w:val="en-US"/>
        </w:rPr>
        <w:t>000.</w:t>
      </w:r>
    </w:p>
    <w:p w14:paraId="671167FE" w14:textId="77777777" w:rsidR="005A65CE" w:rsidRPr="003171CD" w:rsidRDefault="005A65CE" w:rsidP="005A65CE">
      <w:pPr>
        <w:jc w:val="both"/>
        <w:rPr>
          <w:lang w:val="en-US"/>
        </w:rPr>
      </w:pPr>
    </w:p>
    <w:p w14:paraId="21CF6646" w14:textId="77777777" w:rsidR="005A65CE" w:rsidRPr="003171CD" w:rsidRDefault="005A65CE" w:rsidP="005A65CE">
      <w:pPr>
        <w:jc w:val="both"/>
        <w:rPr>
          <w:lang w:val="en-US"/>
        </w:rPr>
      </w:pPr>
    </w:p>
    <w:p w14:paraId="2C934D98"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 xml:space="preserve">State </w:t>
      </w:r>
      <w:r w:rsidR="007D5BEF" w:rsidRPr="003171CD">
        <w:rPr>
          <w:lang w:val="en-US"/>
        </w:rPr>
        <w:t>did not comment o</w:t>
      </w:r>
      <w:r w:rsidRPr="003171CD">
        <w:rPr>
          <w:lang w:val="en-US"/>
        </w:rPr>
        <w:t xml:space="preserve">n this </w:t>
      </w:r>
      <w:r w:rsidR="007D5BEF" w:rsidRPr="003171CD">
        <w:rPr>
          <w:lang w:val="en-US"/>
        </w:rPr>
        <w:t>matter</w:t>
      </w:r>
      <w:r w:rsidRPr="003171CD">
        <w:rPr>
          <w:lang w:val="en-US"/>
        </w:rPr>
        <w:t>.</w:t>
      </w:r>
    </w:p>
    <w:p w14:paraId="2A14829B" w14:textId="77777777" w:rsidR="005A65CE" w:rsidRPr="003171CD" w:rsidRDefault="005A65CE" w:rsidP="005A65CE">
      <w:pPr>
        <w:jc w:val="both"/>
        <w:rPr>
          <w:lang w:val="en-US"/>
        </w:rPr>
      </w:pPr>
    </w:p>
    <w:p w14:paraId="6FE34B99" w14:textId="77777777" w:rsidR="005A65CE" w:rsidRPr="003171CD" w:rsidRDefault="005A65CE" w:rsidP="005A65CE">
      <w:pPr>
        <w:widowControl w:val="0"/>
        <w:ind w:firstLine="717"/>
        <w:jc w:val="both"/>
        <w:textAlignment w:val="baseline"/>
        <w:rPr>
          <w:i/>
          <w:lang w:val="en-US"/>
        </w:rPr>
      </w:pPr>
      <w:r w:rsidRPr="003171CD">
        <w:rPr>
          <w:i/>
          <w:lang w:val="en-US"/>
        </w:rPr>
        <w:t xml:space="preserve">Considerations of the Court </w:t>
      </w:r>
    </w:p>
    <w:p w14:paraId="7DD81DDF" w14:textId="77777777" w:rsidR="005A65CE" w:rsidRPr="003171CD" w:rsidRDefault="005A65CE" w:rsidP="005A65CE">
      <w:pPr>
        <w:jc w:val="both"/>
        <w:rPr>
          <w:lang w:val="en-US"/>
        </w:rPr>
      </w:pPr>
    </w:p>
    <w:p w14:paraId="66FEE66D" w14:textId="77777777" w:rsidR="005A65CE" w:rsidRPr="003171CD" w:rsidRDefault="005A65CE" w:rsidP="005A65CE">
      <w:pPr>
        <w:numPr>
          <w:ilvl w:val="0"/>
          <w:numId w:val="1"/>
        </w:numPr>
        <w:autoSpaceDE/>
        <w:autoSpaceDN/>
        <w:adjustRightInd/>
        <w:contextualSpacing/>
        <w:jc w:val="both"/>
        <w:rPr>
          <w:lang w:val="en-US" w:bidi="en-US"/>
        </w:rPr>
      </w:pPr>
      <w:r w:rsidRPr="003171CD">
        <w:rPr>
          <w:lang w:val="en-US" w:bidi="en-US"/>
        </w:rPr>
        <w:t xml:space="preserve">International case law has repeatedly established that the </w:t>
      </w:r>
      <w:r w:rsidR="006D3F5E" w:rsidRPr="003171CD">
        <w:rPr>
          <w:lang w:val="en-US" w:bidi="en-US"/>
        </w:rPr>
        <w:t>J</w:t>
      </w:r>
      <w:r w:rsidRPr="003171CD">
        <w:rPr>
          <w:lang w:val="en-US" w:bidi="en-US"/>
        </w:rPr>
        <w:t xml:space="preserve">udgment </w:t>
      </w:r>
      <w:r w:rsidR="006D3F5E" w:rsidRPr="003171CD">
        <w:rPr>
          <w:lang w:val="en-US"/>
        </w:rPr>
        <w:t xml:space="preserve">constitutes </w:t>
      </w:r>
      <w:r w:rsidR="006D3F5E" w:rsidRPr="003171CD">
        <w:rPr>
          <w:i/>
          <w:lang w:val="en-US"/>
        </w:rPr>
        <w:t>per se</w:t>
      </w:r>
      <w:r w:rsidR="006D3F5E" w:rsidRPr="003171CD">
        <w:rPr>
          <w:lang w:val="en-US"/>
        </w:rPr>
        <w:t xml:space="preserve"> a form of reparation</w:t>
      </w:r>
      <w:r w:rsidRPr="003171CD">
        <w:rPr>
          <w:lang w:val="en-US" w:bidi="en-US"/>
        </w:rPr>
        <w:t>.</w:t>
      </w:r>
      <w:r w:rsidRPr="003171CD">
        <w:rPr>
          <w:vertAlign w:val="superscript"/>
          <w:lang w:val="en-US" w:bidi="en-US"/>
        </w:rPr>
        <w:footnoteReference w:id="298"/>
      </w:r>
      <w:r w:rsidRPr="003171CD">
        <w:rPr>
          <w:lang w:val="en-US" w:bidi="en-US"/>
        </w:rPr>
        <w:t xml:space="preserve"> However, in </w:t>
      </w:r>
      <w:r w:rsidRPr="003171CD">
        <w:rPr>
          <w:lang w:val="en-US"/>
        </w:rPr>
        <w:t>its case law, the Court</w:t>
      </w:r>
      <w:r w:rsidRPr="003171CD">
        <w:rPr>
          <w:b/>
          <w:lang w:val="en-US"/>
        </w:rPr>
        <w:t xml:space="preserve"> </w:t>
      </w:r>
      <w:r w:rsidRPr="003171CD">
        <w:rPr>
          <w:lang w:val="en-US"/>
        </w:rPr>
        <w:t xml:space="preserve">has </w:t>
      </w:r>
      <w:r w:rsidRPr="003171CD">
        <w:rPr>
          <w:lang w:val="en-US" w:bidi="en-US"/>
        </w:rPr>
        <w:t xml:space="preserve">developed the concept of non-pecuniary damage and </w:t>
      </w:r>
      <w:r w:rsidRPr="003171CD">
        <w:rPr>
          <w:lang w:val="en-US"/>
        </w:rPr>
        <w:t>has established that this “may include both the suffering and distress caused to the direct victim and his next of kin, the impairment of values that are highly significant to them, as well as suffering of a non-pecuniary nature that affects the living conditions of the victim or his family.”</w:t>
      </w:r>
      <w:r w:rsidRPr="003171CD">
        <w:rPr>
          <w:rStyle w:val="Refdenotaalpie"/>
          <w:lang w:val="en-US"/>
        </w:rPr>
        <w:footnoteReference w:id="299"/>
      </w:r>
      <w:r w:rsidRPr="003171CD">
        <w:rPr>
          <w:lang w:val="en-US" w:bidi="en-US"/>
        </w:rPr>
        <w:t xml:space="preserve"> Considering the circumstances of the case </w:t>
      </w:r>
      <w:r w:rsidRPr="003171CD">
        <w:rPr>
          <w:i/>
          <w:iCs/>
          <w:lang w:val="en-US" w:bidi="en-US"/>
        </w:rPr>
        <w:t>sub judice</w:t>
      </w:r>
      <w:r w:rsidRPr="003171CD">
        <w:rPr>
          <w:lang w:val="en-US" w:bidi="en-US"/>
        </w:rPr>
        <w:t>, the Court deems it pertinent to set an amount, in equity, as compensation for non-pecuniary damage.</w:t>
      </w:r>
    </w:p>
    <w:p w14:paraId="5BDACB86" w14:textId="77777777" w:rsidR="005A65CE" w:rsidRPr="003171CD" w:rsidRDefault="005A65CE" w:rsidP="005A65CE">
      <w:pPr>
        <w:contextualSpacing/>
        <w:jc w:val="both"/>
        <w:rPr>
          <w:lang w:val="en-US" w:bidi="en-US"/>
        </w:rPr>
      </w:pPr>
    </w:p>
    <w:p w14:paraId="73BEAB0B" w14:textId="77777777" w:rsidR="005A65CE" w:rsidRPr="003171CD" w:rsidRDefault="00246627" w:rsidP="005A65CE">
      <w:pPr>
        <w:pStyle w:val="Prrafodelista"/>
        <w:numPr>
          <w:ilvl w:val="0"/>
          <w:numId w:val="1"/>
        </w:numPr>
        <w:contextualSpacing/>
        <w:jc w:val="both"/>
        <w:rPr>
          <w:lang w:val="en-US"/>
        </w:rPr>
      </w:pPr>
      <w:r w:rsidRPr="003171CD">
        <w:rPr>
          <w:lang w:val="en-US"/>
        </w:rPr>
        <w:t xml:space="preserve">In order to assess </w:t>
      </w:r>
      <w:r w:rsidR="005A65CE" w:rsidRPr="003171CD">
        <w:rPr>
          <w:lang w:val="en-US"/>
        </w:rPr>
        <w:t xml:space="preserve">the </w:t>
      </w:r>
      <w:r w:rsidRPr="003171CD">
        <w:rPr>
          <w:lang w:val="en-US"/>
        </w:rPr>
        <w:t xml:space="preserve">reparations for </w:t>
      </w:r>
      <w:r w:rsidR="005A65CE" w:rsidRPr="003171CD">
        <w:rPr>
          <w:lang w:val="en-US"/>
        </w:rPr>
        <w:t>non-pecuniary damage in th</w:t>
      </w:r>
      <w:r w:rsidR="00001EFE" w:rsidRPr="003171CD">
        <w:rPr>
          <w:lang w:val="en-US"/>
        </w:rPr>
        <w:t xml:space="preserve">is </w:t>
      </w:r>
      <w:r w:rsidR="005A65CE" w:rsidRPr="003171CD">
        <w:rPr>
          <w:lang w:val="en-US"/>
        </w:rPr>
        <w:t>case, the Court has taken into consideration the di</w:t>
      </w:r>
      <w:r w:rsidRPr="003171CD">
        <w:rPr>
          <w:lang w:val="en-US"/>
        </w:rPr>
        <w:t xml:space="preserve">fferent </w:t>
      </w:r>
      <w:r w:rsidR="005A65CE" w:rsidRPr="003171CD">
        <w:rPr>
          <w:lang w:val="en-US"/>
        </w:rPr>
        <w:t xml:space="preserve">types of non-pecuniary damage mentioned by the representatives, including damage to </w:t>
      </w:r>
      <w:r w:rsidR="00887DF1" w:rsidRPr="003171CD">
        <w:rPr>
          <w:lang w:val="en-US"/>
        </w:rPr>
        <w:t xml:space="preserve">the </w:t>
      </w:r>
      <w:r w:rsidR="005A65CE" w:rsidRPr="003171CD">
        <w:rPr>
          <w:lang w:val="en-US"/>
        </w:rPr>
        <w:t xml:space="preserve">life project. In setting </w:t>
      </w:r>
      <w:r w:rsidR="005A65CE" w:rsidRPr="003171CD">
        <w:rPr>
          <w:lang w:val="en-US" w:bidi="en-US"/>
        </w:rPr>
        <w:t>compensation for non-pecuniary damage</w:t>
      </w:r>
      <w:r w:rsidR="007B6AF8" w:rsidRPr="003171CD">
        <w:rPr>
          <w:lang w:val="en-US" w:bidi="en-US"/>
        </w:rPr>
        <w:t>,</w:t>
      </w:r>
      <w:r w:rsidR="005A65CE" w:rsidRPr="003171CD">
        <w:rPr>
          <w:lang w:val="en-US" w:bidi="en-US"/>
        </w:rPr>
        <w:t xml:space="preserve"> </w:t>
      </w:r>
      <w:r w:rsidRPr="003171CD">
        <w:rPr>
          <w:lang w:val="en-US" w:bidi="en-US"/>
        </w:rPr>
        <w:t xml:space="preserve">it </w:t>
      </w:r>
      <w:r w:rsidR="005A65CE" w:rsidRPr="003171CD">
        <w:rPr>
          <w:lang w:val="en-US" w:bidi="en-US"/>
        </w:rPr>
        <w:t>consider</w:t>
      </w:r>
      <w:r w:rsidRPr="003171CD">
        <w:rPr>
          <w:lang w:val="en-US" w:bidi="en-US"/>
        </w:rPr>
        <w:t>s</w:t>
      </w:r>
      <w:r w:rsidR="005A65CE" w:rsidRPr="003171CD">
        <w:rPr>
          <w:lang w:val="en-US" w:bidi="en-US"/>
        </w:rPr>
        <w:t xml:space="preserve"> </w:t>
      </w:r>
      <w:r w:rsidR="005A65CE" w:rsidRPr="003171CD">
        <w:rPr>
          <w:lang w:val="en-US" w:bidi="en-US"/>
        </w:rPr>
        <w:lastRenderedPageBreak/>
        <w:t xml:space="preserve">that the actions </w:t>
      </w:r>
      <w:r w:rsidRPr="003171CD">
        <w:rPr>
          <w:lang w:val="en-US" w:bidi="en-US"/>
        </w:rPr>
        <w:t xml:space="preserve">taken </w:t>
      </w:r>
      <w:r w:rsidR="005A65CE" w:rsidRPr="003171CD">
        <w:rPr>
          <w:lang w:val="en-US" w:bidi="en-US"/>
        </w:rPr>
        <w:t xml:space="preserve">against Mr. Ruano Torres did not </w:t>
      </w:r>
      <w:r w:rsidRPr="003171CD">
        <w:rPr>
          <w:lang w:val="en-US" w:bidi="en-US"/>
        </w:rPr>
        <w:t>meet the requirements of due process,</w:t>
      </w:r>
      <w:r w:rsidR="005A65CE" w:rsidRPr="003171CD">
        <w:rPr>
          <w:lang w:val="en-US" w:bidi="en-US"/>
        </w:rPr>
        <w:t xml:space="preserve"> </w:t>
      </w:r>
      <w:r w:rsidR="00887DF1" w:rsidRPr="003171CD">
        <w:rPr>
          <w:lang w:val="en-US" w:bidi="en-US"/>
        </w:rPr>
        <w:t xml:space="preserve">and </w:t>
      </w:r>
      <w:r w:rsidR="005A65CE" w:rsidRPr="003171CD">
        <w:rPr>
          <w:lang w:val="en-US" w:bidi="en-US"/>
        </w:rPr>
        <w:t xml:space="preserve">that the lack of judicial guarantees </w:t>
      </w:r>
      <w:r w:rsidR="00887DF1" w:rsidRPr="003171CD">
        <w:rPr>
          <w:lang w:val="en-US" w:bidi="en-US"/>
        </w:rPr>
        <w:t xml:space="preserve">resulted in </w:t>
      </w:r>
      <w:r w:rsidR="005A65CE" w:rsidRPr="003171CD">
        <w:rPr>
          <w:lang w:val="en-US" w:bidi="en-US"/>
        </w:rPr>
        <w:t xml:space="preserve">an arbitrary deprivation of </w:t>
      </w:r>
      <w:r w:rsidR="00C06A0D" w:rsidRPr="003171CD">
        <w:rPr>
          <w:lang w:val="en-US" w:bidi="en-US"/>
        </w:rPr>
        <w:t>liberty (</w:t>
      </w:r>
      <w:r w:rsidR="005A65CE" w:rsidRPr="003171CD">
        <w:rPr>
          <w:i/>
          <w:lang w:val="en-US" w:bidi="en-US"/>
        </w:rPr>
        <w:t xml:space="preserve">supra </w:t>
      </w:r>
      <w:r w:rsidR="005A65CE" w:rsidRPr="003171CD">
        <w:rPr>
          <w:lang w:val="en-US" w:bidi="en-US"/>
        </w:rPr>
        <w:t>p</w:t>
      </w:r>
      <w:r w:rsidR="00887DF1" w:rsidRPr="003171CD">
        <w:rPr>
          <w:lang w:val="en-US" w:bidi="en-US"/>
        </w:rPr>
        <w:t xml:space="preserve">ara. 142). Mr. Ruano Torres received </w:t>
      </w:r>
      <w:r w:rsidR="00151D15" w:rsidRPr="003171CD">
        <w:rPr>
          <w:lang w:val="en-US" w:bidi="en-US"/>
        </w:rPr>
        <w:t>a custodial sentence</w:t>
      </w:r>
      <w:r w:rsidR="005A65CE" w:rsidRPr="003171CD">
        <w:rPr>
          <w:lang w:val="en-US"/>
        </w:rPr>
        <w:t xml:space="preserve">, </w:t>
      </w:r>
      <w:r w:rsidR="00151D15" w:rsidRPr="003171CD">
        <w:rPr>
          <w:lang w:val="en-US"/>
        </w:rPr>
        <w:t xml:space="preserve">and remained </w:t>
      </w:r>
      <w:r w:rsidR="005A65CE" w:rsidRPr="003171CD">
        <w:rPr>
          <w:lang w:val="en-US"/>
        </w:rPr>
        <w:t>in prison separated from his family for 12 years, 6 months and 22 days.</w:t>
      </w:r>
      <w:r w:rsidR="005A65CE" w:rsidRPr="003171CD">
        <w:rPr>
          <w:lang w:val="en-US" w:bidi="en-US"/>
        </w:rPr>
        <w:t xml:space="preserve"> Naturally, a person subjected to arbitrary detention experiences profound suffering,</w:t>
      </w:r>
      <w:r w:rsidR="005A65CE" w:rsidRPr="003171CD">
        <w:rPr>
          <w:vertAlign w:val="superscript"/>
          <w:lang w:val="en-US" w:bidi="en-US"/>
        </w:rPr>
        <w:footnoteReference w:id="300"/>
      </w:r>
      <w:r w:rsidR="005A65CE" w:rsidRPr="003171CD">
        <w:rPr>
          <w:lang w:val="en-US" w:bidi="en-US"/>
        </w:rPr>
        <w:t xml:space="preserve"> which is further aggravated </w:t>
      </w:r>
      <w:r w:rsidR="00887DF1" w:rsidRPr="003171CD">
        <w:rPr>
          <w:lang w:val="en-US" w:bidi="en-US"/>
        </w:rPr>
        <w:t xml:space="preserve">by the failure to investigate the </w:t>
      </w:r>
      <w:r w:rsidR="005A65CE" w:rsidRPr="003171CD">
        <w:rPr>
          <w:lang w:val="en-US" w:bidi="en-US"/>
        </w:rPr>
        <w:t xml:space="preserve">acts of torture denounced. </w:t>
      </w:r>
      <w:r w:rsidR="00887DF1" w:rsidRPr="003171CD">
        <w:rPr>
          <w:lang w:val="en-US" w:bidi="en-US"/>
        </w:rPr>
        <w:t>Consequently</w:t>
      </w:r>
      <w:r w:rsidR="005A65CE" w:rsidRPr="003171CD">
        <w:rPr>
          <w:lang w:val="en-US" w:bidi="en-US"/>
        </w:rPr>
        <w:t xml:space="preserve">, this Court </w:t>
      </w:r>
      <w:r w:rsidR="00316271" w:rsidRPr="003171CD">
        <w:rPr>
          <w:lang w:val="en-US" w:bidi="en-US"/>
        </w:rPr>
        <w:t xml:space="preserve">presumes </w:t>
      </w:r>
      <w:r w:rsidR="005A65CE" w:rsidRPr="003171CD">
        <w:rPr>
          <w:lang w:val="en-US" w:bidi="en-US"/>
        </w:rPr>
        <w:t xml:space="preserve">that </w:t>
      </w:r>
      <w:r w:rsidR="00887DF1" w:rsidRPr="003171CD">
        <w:rPr>
          <w:lang w:val="en-US" w:bidi="en-US"/>
        </w:rPr>
        <w:t xml:space="preserve">such </w:t>
      </w:r>
      <w:r w:rsidR="005A65CE" w:rsidRPr="003171CD">
        <w:rPr>
          <w:lang w:val="en-US" w:bidi="en-US"/>
        </w:rPr>
        <w:t xml:space="preserve">violations cause non-pecuniary damage </w:t>
      </w:r>
      <w:r w:rsidR="00151D15" w:rsidRPr="003171CD">
        <w:rPr>
          <w:lang w:val="en-US" w:bidi="en-US"/>
        </w:rPr>
        <w:t>to the person who suffers them</w:t>
      </w:r>
      <w:r w:rsidR="005A65CE" w:rsidRPr="003171CD">
        <w:rPr>
          <w:lang w:val="en-US" w:bidi="en-US"/>
        </w:rPr>
        <w:t>.</w:t>
      </w:r>
      <w:r w:rsidR="005A65CE" w:rsidRPr="003171CD">
        <w:rPr>
          <w:vertAlign w:val="superscript"/>
          <w:lang w:val="en-US" w:bidi="en-US"/>
        </w:rPr>
        <w:footnoteReference w:id="301"/>
      </w:r>
      <w:r w:rsidR="005A65CE" w:rsidRPr="003171CD">
        <w:rPr>
          <w:lang w:val="en-US" w:bidi="en-US"/>
        </w:rPr>
        <w:t xml:space="preserve"> </w:t>
      </w:r>
      <w:r w:rsidR="00316271" w:rsidRPr="003171CD">
        <w:rPr>
          <w:lang w:val="en-US" w:bidi="en-US"/>
        </w:rPr>
        <w:t xml:space="preserve">In addition, </w:t>
      </w:r>
      <w:r w:rsidR="005A65CE" w:rsidRPr="003171CD">
        <w:rPr>
          <w:spacing w:val="-2"/>
          <w:szCs w:val="20"/>
          <w:lang w:val="en-US"/>
        </w:rPr>
        <w:t xml:space="preserve">the Court </w:t>
      </w:r>
      <w:r w:rsidR="00316271" w:rsidRPr="003171CD">
        <w:rPr>
          <w:spacing w:val="-2"/>
          <w:szCs w:val="20"/>
          <w:lang w:val="en-US"/>
        </w:rPr>
        <w:t xml:space="preserve">has </w:t>
      </w:r>
      <w:r w:rsidR="005A65CE" w:rsidRPr="003171CD">
        <w:rPr>
          <w:spacing w:val="-2"/>
          <w:szCs w:val="20"/>
          <w:lang w:val="en-US"/>
        </w:rPr>
        <w:t xml:space="preserve">confirmed the pain and suffering endured by the </w:t>
      </w:r>
      <w:r w:rsidR="005A65CE" w:rsidRPr="003171CD">
        <w:rPr>
          <w:spacing w:val="-2"/>
          <w:lang w:val="en-US"/>
        </w:rPr>
        <w:t xml:space="preserve">family members as a result of </w:t>
      </w:r>
      <w:r w:rsidR="005A65CE" w:rsidRPr="003171CD">
        <w:rPr>
          <w:spacing w:val="-2"/>
          <w:szCs w:val="20"/>
          <w:lang w:val="en-US"/>
        </w:rPr>
        <w:t xml:space="preserve">the facts of this case, together with the impact on their financial situation and the </w:t>
      </w:r>
      <w:r w:rsidR="00316271" w:rsidRPr="003171CD">
        <w:rPr>
          <w:spacing w:val="-2"/>
          <w:szCs w:val="20"/>
          <w:lang w:val="en-US"/>
        </w:rPr>
        <w:t xml:space="preserve">disruption of their </w:t>
      </w:r>
      <w:r w:rsidR="005A65CE" w:rsidRPr="003171CD">
        <w:rPr>
          <w:spacing w:val="-2"/>
          <w:szCs w:val="20"/>
          <w:lang w:val="en-US"/>
        </w:rPr>
        <w:t xml:space="preserve">family </w:t>
      </w:r>
      <w:r w:rsidR="00316271" w:rsidRPr="003171CD">
        <w:rPr>
          <w:spacing w:val="-2"/>
          <w:szCs w:val="20"/>
          <w:lang w:val="en-US"/>
        </w:rPr>
        <w:t xml:space="preserve">life </w:t>
      </w:r>
      <w:r w:rsidR="005A65CE" w:rsidRPr="003171CD">
        <w:rPr>
          <w:spacing w:val="-2"/>
          <w:lang w:val="en-US"/>
        </w:rPr>
        <w:t>(</w:t>
      </w:r>
      <w:r w:rsidR="005A65CE" w:rsidRPr="003171CD">
        <w:rPr>
          <w:i/>
          <w:spacing w:val="-2"/>
          <w:lang w:val="en-US"/>
        </w:rPr>
        <w:t xml:space="preserve">supra </w:t>
      </w:r>
      <w:r w:rsidR="005A65CE" w:rsidRPr="003171CD">
        <w:rPr>
          <w:spacing w:val="-2"/>
          <w:lang w:val="en-US"/>
        </w:rPr>
        <w:t>Chapter VII-3)</w:t>
      </w:r>
      <w:r w:rsidR="005A65CE" w:rsidRPr="003171CD">
        <w:rPr>
          <w:spacing w:val="-2"/>
          <w:szCs w:val="20"/>
          <w:lang w:val="en-US"/>
        </w:rPr>
        <w:t>.</w:t>
      </w:r>
    </w:p>
    <w:p w14:paraId="74B4BD41" w14:textId="77777777" w:rsidR="005A65CE" w:rsidRPr="003171CD" w:rsidRDefault="005A65CE" w:rsidP="005A65CE">
      <w:pPr>
        <w:contextualSpacing/>
        <w:jc w:val="both"/>
        <w:rPr>
          <w:lang w:val="en-US"/>
        </w:rPr>
      </w:pPr>
    </w:p>
    <w:p w14:paraId="54CD54FB"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Based on the criteria developed by the Court on the concept of non-pecuniary damage</w:t>
      </w:r>
      <w:r w:rsidRPr="003171CD">
        <w:rPr>
          <w:vertAlign w:val="superscript"/>
          <w:lang w:val="en-US"/>
        </w:rPr>
        <w:footnoteReference w:id="302"/>
      </w:r>
      <w:r w:rsidRPr="003171CD">
        <w:rPr>
          <w:lang w:val="en-US"/>
        </w:rPr>
        <w:t xml:space="preserve"> and having regard to the </w:t>
      </w:r>
      <w:r w:rsidRPr="003171CD">
        <w:rPr>
          <w:lang w:val="en-US" w:bidi="en-US"/>
        </w:rPr>
        <w:t>circumstances of th</w:t>
      </w:r>
      <w:r w:rsidR="001A38F6" w:rsidRPr="003171CD">
        <w:rPr>
          <w:lang w:val="en-US" w:bidi="en-US"/>
        </w:rPr>
        <w:t xml:space="preserve">is </w:t>
      </w:r>
      <w:r w:rsidRPr="003171CD">
        <w:rPr>
          <w:lang w:val="en-US" w:bidi="en-US"/>
        </w:rPr>
        <w:t>case, the nature and gravity of the violations committed, as well as the physical, moral and psychological suffering caused to the victims,</w:t>
      </w:r>
      <w:r w:rsidRPr="003171CD">
        <w:rPr>
          <w:lang w:val="en-US"/>
        </w:rPr>
        <w:t xml:space="preserve"> the Court </w:t>
      </w:r>
      <w:r w:rsidR="007B6AF8" w:rsidRPr="003171CD">
        <w:rPr>
          <w:lang w:val="en-US"/>
        </w:rPr>
        <w:t xml:space="preserve">establishes </w:t>
      </w:r>
      <w:r w:rsidRPr="003171CD">
        <w:rPr>
          <w:lang w:val="en-US"/>
        </w:rPr>
        <w:t>in equity the following amounts in compensation: a) US$ 130,000.00 (one hundred and thirty thousand</w:t>
      </w:r>
      <w:r w:rsidR="001A38F6" w:rsidRPr="003171CD">
        <w:rPr>
          <w:lang w:val="en-US"/>
        </w:rPr>
        <w:t xml:space="preserve"> United States dollars) for the </w:t>
      </w:r>
      <w:r w:rsidRPr="003171CD">
        <w:rPr>
          <w:lang w:val="en-US"/>
        </w:rPr>
        <w:t>non-pecuniary damage suffered by José Agapito Ruano Torres; b) US$ 35,000.00 (thirty-five thousand United States dollars) for the non-pecuniary damage suff</w:t>
      </w:r>
      <w:r w:rsidR="001A38F6" w:rsidRPr="003171CD">
        <w:rPr>
          <w:lang w:val="en-US"/>
        </w:rPr>
        <w:t>ered by María Maribel Guevara de</w:t>
      </w:r>
      <w:r w:rsidRPr="003171CD">
        <w:rPr>
          <w:lang w:val="en-US"/>
        </w:rPr>
        <w:t xml:space="preserve"> Ruano; c) US$ 20,000.00 (twenty thousand United States dollars) for the non-pecuniary damage suffered by Oscar Manuel Ruano Guevara; d) US$ 20,000.00 (twenty thousand United States dollars) for the non-pecuniary damage suffered by Keily Lisbe</w:t>
      </w:r>
      <w:r w:rsidR="001A38F6" w:rsidRPr="003171CD">
        <w:rPr>
          <w:lang w:val="en-US"/>
        </w:rPr>
        <w:t>th Ruano Guevara, and e) US$ 10,000.</w:t>
      </w:r>
      <w:r w:rsidRPr="003171CD">
        <w:rPr>
          <w:lang w:val="en-US"/>
        </w:rPr>
        <w:t>00 (ten thousand United States dollars) for the non-pecuniary damage suffered by Pedro Torres Hércules.</w:t>
      </w:r>
    </w:p>
    <w:p w14:paraId="64421073" w14:textId="77777777" w:rsidR="005A65CE" w:rsidRPr="003171CD" w:rsidRDefault="005A65CE" w:rsidP="005A65CE">
      <w:pPr>
        <w:jc w:val="both"/>
        <w:rPr>
          <w:lang w:val="en-US"/>
        </w:rPr>
      </w:pPr>
    </w:p>
    <w:p w14:paraId="557E01DD" w14:textId="77777777" w:rsidR="005A65CE" w:rsidRPr="003171CD" w:rsidRDefault="005A65CE" w:rsidP="005A65CE">
      <w:pPr>
        <w:pStyle w:val="Prrafodelista"/>
        <w:keepNext/>
        <w:keepLines/>
        <w:numPr>
          <w:ilvl w:val="0"/>
          <w:numId w:val="19"/>
        </w:numPr>
        <w:ind w:left="1418" w:hanging="709"/>
        <w:jc w:val="both"/>
        <w:outlineLvl w:val="1"/>
        <w:rPr>
          <w:rFonts w:cs="Arial"/>
          <w:b/>
          <w:i/>
          <w:lang w:val="en-US"/>
        </w:rPr>
      </w:pPr>
      <w:bookmarkStart w:id="91" w:name="_Toc406580709"/>
      <w:bookmarkStart w:id="92" w:name="_Toc45186721"/>
      <w:r w:rsidRPr="003171CD">
        <w:rPr>
          <w:rFonts w:cs="Arial"/>
          <w:b/>
          <w:i/>
          <w:lang w:val="en-US"/>
        </w:rPr>
        <w:t>Costs and expenses</w:t>
      </w:r>
      <w:bookmarkEnd w:id="91"/>
      <w:bookmarkEnd w:id="92"/>
    </w:p>
    <w:p w14:paraId="5E1A5F50" w14:textId="77777777" w:rsidR="005A65CE" w:rsidRPr="003171CD" w:rsidRDefault="005A65CE" w:rsidP="005A65CE">
      <w:pPr>
        <w:jc w:val="both"/>
        <w:rPr>
          <w:lang w:val="en-US"/>
        </w:rPr>
      </w:pPr>
    </w:p>
    <w:p w14:paraId="34C76CB6" w14:textId="77777777" w:rsidR="005A65CE" w:rsidRPr="003171CD" w:rsidRDefault="005A65CE" w:rsidP="005A65CE">
      <w:pPr>
        <w:ind w:firstLine="717"/>
        <w:jc w:val="both"/>
        <w:rPr>
          <w:i/>
          <w:lang w:val="en-US"/>
        </w:rPr>
      </w:pPr>
      <w:r w:rsidRPr="003171CD">
        <w:rPr>
          <w:i/>
          <w:lang w:val="en-US"/>
        </w:rPr>
        <w:t xml:space="preserve">Arguments of the parties </w:t>
      </w:r>
    </w:p>
    <w:p w14:paraId="61A24421" w14:textId="77777777" w:rsidR="005A65CE" w:rsidRPr="003171CD" w:rsidRDefault="005A65CE" w:rsidP="005A65CE">
      <w:pPr>
        <w:jc w:val="both"/>
        <w:rPr>
          <w:i/>
          <w:lang w:val="en-US"/>
        </w:rPr>
      </w:pPr>
    </w:p>
    <w:p w14:paraId="291C80CE"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representatives</w:t>
      </w:r>
      <w:r w:rsidRPr="003171CD">
        <w:rPr>
          <w:lang w:val="en-US"/>
        </w:rPr>
        <w:t xml:space="preserve"> requested an amount for procedural costs incurred </w:t>
      </w:r>
      <w:r w:rsidR="00694428" w:rsidRPr="003171CD">
        <w:rPr>
          <w:lang w:val="en-US"/>
        </w:rPr>
        <w:t xml:space="preserve">at </w:t>
      </w:r>
      <w:r w:rsidRPr="003171CD">
        <w:rPr>
          <w:lang w:val="en-US"/>
        </w:rPr>
        <w:t xml:space="preserve">the domestic level and for processing the case before the Inter-American Commission. The </w:t>
      </w:r>
      <w:r w:rsidRPr="003171CD">
        <w:rPr>
          <w:b/>
          <w:i/>
          <w:lang w:val="en-US"/>
        </w:rPr>
        <w:t>Commission</w:t>
      </w:r>
      <w:r w:rsidRPr="003171CD">
        <w:rPr>
          <w:b/>
          <w:lang w:val="en-US"/>
        </w:rPr>
        <w:t xml:space="preserve"> </w:t>
      </w:r>
      <w:r w:rsidRPr="003171CD">
        <w:rPr>
          <w:lang w:val="en-US"/>
        </w:rPr>
        <w:t>did not comment on this matter.</w:t>
      </w:r>
    </w:p>
    <w:p w14:paraId="45861802" w14:textId="77777777" w:rsidR="005A65CE" w:rsidRPr="003171CD" w:rsidRDefault="005A65CE" w:rsidP="005A65CE">
      <w:pPr>
        <w:jc w:val="both"/>
        <w:rPr>
          <w:u w:val="single"/>
          <w:lang w:val="en-US"/>
        </w:rPr>
      </w:pPr>
    </w:p>
    <w:p w14:paraId="4453CEE8"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w:t>
      </w:r>
      <w:r w:rsidRPr="003171CD">
        <w:rPr>
          <w:b/>
          <w:i/>
          <w:lang w:val="en-US"/>
        </w:rPr>
        <w:t>State</w:t>
      </w:r>
      <w:r w:rsidRPr="003171CD">
        <w:rPr>
          <w:lang w:val="en-US"/>
        </w:rPr>
        <w:t xml:space="preserve"> recognized its obligation to pay the victim’s costs and expenses “</w:t>
      </w:r>
      <w:r w:rsidR="00151D15" w:rsidRPr="003171CD">
        <w:rPr>
          <w:lang w:val="en-US"/>
        </w:rPr>
        <w:t xml:space="preserve">having </w:t>
      </w:r>
      <w:r w:rsidRPr="003171CD">
        <w:rPr>
          <w:lang w:val="en-US"/>
        </w:rPr>
        <w:t>[…</w:t>
      </w:r>
      <w:r w:rsidR="00D14216" w:rsidRPr="003171CD">
        <w:rPr>
          <w:lang w:val="en-US"/>
        </w:rPr>
        <w:t>] declared</w:t>
      </w:r>
      <w:r w:rsidRPr="003171CD">
        <w:rPr>
          <w:lang w:val="en-US"/>
        </w:rPr>
        <w:t xml:space="preserve"> </w:t>
      </w:r>
      <w:r w:rsidR="00151D15" w:rsidRPr="003171CD">
        <w:rPr>
          <w:lang w:val="en-US"/>
        </w:rPr>
        <w:t xml:space="preserve">its </w:t>
      </w:r>
      <w:r w:rsidRPr="003171CD">
        <w:rPr>
          <w:lang w:val="en-US"/>
        </w:rPr>
        <w:t>international responsibility</w:t>
      </w:r>
      <w:r w:rsidR="00151D15" w:rsidRPr="003171CD">
        <w:rPr>
          <w:lang w:val="en-US"/>
        </w:rPr>
        <w:t>,”</w:t>
      </w:r>
      <w:r w:rsidRPr="003171CD">
        <w:rPr>
          <w:lang w:val="en-US"/>
        </w:rPr>
        <w:t xml:space="preserve"> and asked the Court to confirm that </w:t>
      </w:r>
      <w:r w:rsidR="00151D15" w:rsidRPr="003171CD">
        <w:rPr>
          <w:lang w:val="en-US"/>
        </w:rPr>
        <w:t xml:space="preserve">such expenses </w:t>
      </w:r>
      <w:r w:rsidR="007B6AF8" w:rsidRPr="003171CD">
        <w:rPr>
          <w:lang w:val="en-US"/>
        </w:rPr>
        <w:t>we</w:t>
      </w:r>
      <w:r w:rsidRPr="003171CD">
        <w:rPr>
          <w:lang w:val="en-US"/>
        </w:rPr>
        <w:t xml:space="preserve">re “properly </w:t>
      </w:r>
      <w:r w:rsidR="00694428" w:rsidRPr="003171CD">
        <w:rPr>
          <w:lang w:val="en-US"/>
        </w:rPr>
        <w:t xml:space="preserve">and sufficiently </w:t>
      </w:r>
      <w:r w:rsidRPr="003171CD">
        <w:rPr>
          <w:lang w:val="en-US"/>
        </w:rPr>
        <w:t>justified and proven.”</w:t>
      </w:r>
    </w:p>
    <w:p w14:paraId="5E356D60" w14:textId="77777777" w:rsidR="005A65CE" w:rsidRPr="003171CD" w:rsidRDefault="005A65CE" w:rsidP="005A65CE">
      <w:pPr>
        <w:tabs>
          <w:tab w:val="left" w:pos="567"/>
          <w:tab w:val="num" w:pos="15467"/>
        </w:tabs>
        <w:contextualSpacing/>
        <w:jc w:val="both"/>
        <w:rPr>
          <w:lang w:val="en-US"/>
        </w:rPr>
      </w:pPr>
    </w:p>
    <w:p w14:paraId="42B1E693" w14:textId="77777777" w:rsidR="005A65CE" w:rsidRPr="003171CD" w:rsidRDefault="005A65CE" w:rsidP="005A65CE">
      <w:pPr>
        <w:ind w:firstLine="717"/>
        <w:jc w:val="both"/>
        <w:rPr>
          <w:i/>
          <w:lang w:val="en-US"/>
        </w:rPr>
      </w:pPr>
      <w:r w:rsidRPr="003171CD">
        <w:rPr>
          <w:i/>
          <w:lang w:val="en-US"/>
        </w:rPr>
        <w:t xml:space="preserve">Considerations of the Court </w:t>
      </w:r>
    </w:p>
    <w:p w14:paraId="3DE7620E" w14:textId="77777777" w:rsidR="005A65CE" w:rsidRPr="003171CD" w:rsidRDefault="005A65CE" w:rsidP="005A65CE">
      <w:pPr>
        <w:tabs>
          <w:tab w:val="left" w:pos="567"/>
          <w:tab w:val="num" w:pos="15467"/>
        </w:tabs>
        <w:contextualSpacing/>
        <w:jc w:val="both"/>
        <w:rPr>
          <w:i/>
          <w:lang w:val="en-US"/>
        </w:rPr>
      </w:pPr>
    </w:p>
    <w:p w14:paraId="70A985F4"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Court will not order payment of costs and expenses in favor of the victims </w:t>
      </w:r>
      <w:r w:rsidR="00DB34D2" w:rsidRPr="003171CD">
        <w:rPr>
          <w:lang w:val="en-US"/>
        </w:rPr>
        <w:t xml:space="preserve">since </w:t>
      </w:r>
      <w:r w:rsidRPr="003171CD">
        <w:rPr>
          <w:lang w:val="en-US"/>
        </w:rPr>
        <w:t>the expenses for processing the case at the domestic level and before the Inter-American Commission were considered under the heading of consequential damages (</w:t>
      </w:r>
      <w:r w:rsidRPr="003171CD">
        <w:rPr>
          <w:i/>
          <w:lang w:val="en-US"/>
        </w:rPr>
        <w:t>supra</w:t>
      </w:r>
      <w:r w:rsidRPr="003171CD">
        <w:rPr>
          <w:lang w:val="en-US"/>
        </w:rPr>
        <w:t xml:space="preserve"> paras. 244 and 245).</w:t>
      </w:r>
    </w:p>
    <w:p w14:paraId="3284DDCC" w14:textId="77777777" w:rsidR="005A65CE" w:rsidRPr="003171CD" w:rsidRDefault="005A65CE" w:rsidP="005A65CE">
      <w:pPr>
        <w:contextualSpacing/>
        <w:jc w:val="both"/>
        <w:rPr>
          <w:lang w:val="en-US"/>
        </w:rPr>
      </w:pPr>
    </w:p>
    <w:p w14:paraId="2E3DB433"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As it has done in other cases,</w:t>
      </w:r>
      <w:r w:rsidRPr="003171CD">
        <w:rPr>
          <w:vertAlign w:val="superscript"/>
          <w:lang w:val="en-US"/>
        </w:rPr>
        <w:footnoteReference w:id="303"/>
      </w:r>
      <w:r w:rsidRPr="003171CD">
        <w:rPr>
          <w:lang w:val="en-US"/>
        </w:rPr>
        <w:t xml:space="preserve"> in the stage of monitoring compliance with this Judgment, the Court may order the State to reimburse the victims or their representatives for subsequent expenses, provided these are reasonable and duly proven. </w:t>
      </w:r>
    </w:p>
    <w:p w14:paraId="1036E13F" w14:textId="77777777" w:rsidR="005A65CE" w:rsidRPr="003171CD" w:rsidRDefault="005A65CE" w:rsidP="005A65CE">
      <w:pPr>
        <w:jc w:val="both"/>
        <w:rPr>
          <w:lang w:val="en-US"/>
        </w:rPr>
      </w:pPr>
    </w:p>
    <w:p w14:paraId="246BE3C3" w14:textId="77777777" w:rsidR="005A65CE" w:rsidRPr="003171CD" w:rsidRDefault="005A65CE" w:rsidP="005A65CE">
      <w:pPr>
        <w:pStyle w:val="Prrafodelista"/>
        <w:keepNext/>
        <w:keepLines/>
        <w:numPr>
          <w:ilvl w:val="0"/>
          <w:numId w:val="19"/>
        </w:numPr>
        <w:ind w:left="1418" w:hanging="709"/>
        <w:jc w:val="both"/>
        <w:outlineLvl w:val="1"/>
        <w:rPr>
          <w:rFonts w:cs="Arial"/>
          <w:b/>
          <w:i/>
          <w:lang w:val="en-US"/>
        </w:rPr>
      </w:pPr>
      <w:bookmarkStart w:id="93" w:name="_Toc45186722"/>
      <w:bookmarkStart w:id="94" w:name="_Toc375560987"/>
      <w:bookmarkStart w:id="95" w:name="_Toc392536837"/>
      <w:bookmarkStart w:id="96" w:name="_Toc406580711"/>
      <w:r w:rsidRPr="003171CD">
        <w:rPr>
          <w:rFonts w:cs="Arial"/>
          <w:b/>
          <w:i/>
          <w:lang w:val="en-US"/>
        </w:rPr>
        <w:t>Victims’ Legal Assistance Fund</w:t>
      </w:r>
      <w:bookmarkEnd w:id="93"/>
    </w:p>
    <w:p w14:paraId="5A0D7A51" w14:textId="77777777" w:rsidR="005A65CE" w:rsidRPr="003171CD" w:rsidRDefault="005A65CE" w:rsidP="005A65CE">
      <w:pPr>
        <w:widowControl w:val="0"/>
        <w:jc w:val="both"/>
        <w:textAlignment w:val="baseline"/>
        <w:rPr>
          <w:lang w:val="en-US"/>
        </w:rPr>
      </w:pPr>
    </w:p>
    <w:p w14:paraId="521A6465" w14:textId="77777777" w:rsidR="005A65CE" w:rsidRPr="003171CD" w:rsidRDefault="005A65CE" w:rsidP="005A65CE">
      <w:pPr>
        <w:numPr>
          <w:ilvl w:val="0"/>
          <w:numId w:val="1"/>
        </w:numPr>
        <w:autoSpaceDE/>
        <w:autoSpaceDN/>
        <w:adjustRightInd/>
        <w:contextualSpacing/>
        <w:jc w:val="both"/>
        <w:rPr>
          <w:rFonts w:eastAsia="MS Mincho"/>
          <w:lang w:val="en-US"/>
        </w:rPr>
      </w:pPr>
      <w:r w:rsidRPr="003171CD">
        <w:rPr>
          <w:lang w:val="en-US"/>
        </w:rPr>
        <w:t>In 2008</w:t>
      </w:r>
      <w:r w:rsidR="00694428" w:rsidRPr="003171CD">
        <w:rPr>
          <w:lang w:val="en-US"/>
        </w:rPr>
        <w:t>,</w:t>
      </w:r>
      <w:r w:rsidRPr="003171CD">
        <w:rPr>
          <w:lang w:val="en-US"/>
        </w:rPr>
        <w:t xml:space="preserve"> the General Assembly of the Organization of American States created the Legal </w:t>
      </w:r>
      <w:r w:rsidR="00E96948" w:rsidRPr="003171CD">
        <w:rPr>
          <w:lang w:val="en-US"/>
        </w:rPr>
        <w:t xml:space="preserve">Assistance Fund of the </w:t>
      </w:r>
      <w:r w:rsidRPr="003171CD">
        <w:rPr>
          <w:lang w:val="en-US"/>
        </w:rPr>
        <w:t xml:space="preserve">Inter-American Human Rights System, </w:t>
      </w:r>
      <w:r w:rsidR="00E96948" w:rsidRPr="003171CD">
        <w:rPr>
          <w:lang w:val="en-US"/>
        </w:rPr>
        <w:t>in order to “facilitate access to the inter-American human rights system by persons who currently lack the resources needed to bring their cases before the system</w:t>
      </w:r>
      <w:r w:rsidRPr="003171CD">
        <w:rPr>
          <w:lang w:val="en-US"/>
        </w:rPr>
        <w:t>.”</w:t>
      </w:r>
      <w:r w:rsidRPr="003171CD">
        <w:rPr>
          <w:rStyle w:val="Refdenotaalpie"/>
          <w:lang w:val="en-US"/>
        </w:rPr>
        <w:footnoteReference w:id="304"/>
      </w:r>
      <w:r w:rsidRPr="003171CD">
        <w:rPr>
          <w:lang w:val="en-US"/>
        </w:rPr>
        <w:t xml:space="preserve"> In the </w:t>
      </w:r>
      <w:r w:rsidR="00E96948" w:rsidRPr="003171CD">
        <w:rPr>
          <w:lang w:val="en-US"/>
        </w:rPr>
        <w:t xml:space="preserve">instant </w:t>
      </w:r>
      <w:r w:rsidRPr="003171CD">
        <w:rPr>
          <w:rFonts w:eastAsia="MS Mincho"/>
          <w:lang w:val="en-US"/>
        </w:rPr>
        <w:t xml:space="preserve">case </w:t>
      </w:r>
      <w:r w:rsidR="00246627" w:rsidRPr="003171CD">
        <w:rPr>
          <w:rFonts w:eastAsia="MS Mincho"/>
          <w:lang w:val="en-US"/>
        </w:rPr>
        <w:t xml:space="preserve">the Court granted </w:t>
      </w:r>
      <w:r w:rsidRPr="003171CD">
        <w:rPr>
          <w:rFonts w:eastAsia="MS Mincho"/>
          <w:lang w:val="en-US"/>
        </w:rPr>
        <w:t xml:space="preserve">the necessary financial assistance </w:t>
      </w:r>
      <w:r w:rsidR="00246627" w:rsidRPr="003171CD">
        <w:rPr>
          <w:rFonts w:eastAsia="MS Mincho"/>
          <w:lang w:val="en-US"/>
        </w:rPr>
        <w:t xml:space="preserve">from the Fund </w:t>
      </w:r>
      <w:r w:rsidRPr="003171CD">
        <w:rPr>
          <w:rFonts w:eastAsia="MS Mincho"/>
          <w:lang w:val="en-US"/>
        </w:rPr>
        <w:t>to cover the costs of</w:t>
      </w:r>
      <w:r w:rsidRPr="003171CD">
        <w:rPr>
          <w:lang w:val="en-US"/>
        </w:rPr>
        <w:t xml:space="preserve">: i) travel to El Salvador by the inter-American Defender to interview the alleged victims, </w:t>
      </w:r>
      <w:r w:rsidR="00694428" w:rsidRPr="003171CD">
        <w:rPr>
          <w:lang w:val="en-US"/>
        </w:rPr>
        <w:t xml:space="preserve">as </w:t>
      </w:r>
      <w:r w:rsidRPr="003171CD">
        <w:rPr>
          <w:lang w:val="en-US"/>
        </w:rPr>
        <w:t>appropriate</w:t>
      </w:r>
      <w:r w:rsidR="00151D15" w:rsidRPr="003171CD">
        <w:rPr>
          <w:lang w:val="en-US"/>
        </w:rPr>
        <w:t>,</w:t>
      </w:r>
      <w:r w:rsidRPr="003171CD">
        <w:rPr>
          <w:lang w:val="en-US"/>
        </w:rPr>
        <w:t xml:space="preserve"> and </w:t>
      </w:r>
      <w:r w:rsidR="00151D15" w:rsidRPr="003171CD">
        <w:rPr>
          <w:lang w:val="en-US"/>
        </w:rPr>
        <w:t xml:space="preserve">provided that these </w:t>
      </w:r>
      <w:r w:rsidR="00694428" w:rsidRPr="003171CD">
        <w:rPr>
          <w:lang w:val="en-US"/>
        </w:rPr>
        <w:t xml:space="preserve">costs </w:t>
      </w:r>
      <w:r w:rsidR="00151D15" w:rsidRPr="003171CD">
        <w:rPr>
          <w:lang w:val="en-US"/>
        </w:rPr>
        <w:t xml:space="preserve">have been </w:t>
      </w:r>
      <w:r w:rsidRPr="003171CD">
        <w:rPr>
          <w:lang w:val="en-US"/>
        </w:rPr>
        <w:t>d</w:t>
      </w:r>
      <w:r w:rsidR="00E96948" w:rsidRPr="003171CD">
        <w:rPr>
          <w:lang w:val="en-US"/>
        </w:rPr>
        <w:t xml:space="preserve">uly </w:t>
      </w:r>
      <w:r w:rsidR="00D14216" w:rsidRPr="003171CD">
        <w:rPr>
          <w:lang w:val="en-US"/>
        </w:rPr>
        <w:t>proven</w:t>
      </w:r>
      <w:r w:rsidRPr="003171CD">
        <w:rPr>
          <w:lang w:val="en-US"/>
        </w:rPr>
        <w:t>; ii) travel and accommodation necess</w:t>
      </w:r>
      <w:r w:rsidR="00694428" w:rsidRPr="003171CD">
        <w:rPr>
          <w:lang w:val="en-US"/>
        </w:rPr>
        <w:t>ary for the two inter-American D</w:t>
      </w:r>
      <w:r w:rsidRPr="003171CD">
        <w:rPr>
          <w:lang w:val="en-US"/>
        </w:rPr>
        <w:t xml:space="preserve">efenders to attend the public hearing and represent the alleged victims; iii) travel and accommodation necessary for José Agapito Ruano Torres to appear at the hearing to give a statement; iv) formalization and sending of the affidavits of Pedro Torres Hércules and María Maribel Guevara de Ruano, as well as </w:t>
      </w:r>
      <w:r w:rsidR="00694428" w:rsidRPr="003171CD">
        <w:rPr>
          <w:lang w:val="en-US"/>
        </w:rPr>
        <w:t xml:space="preserve">the affidavit </w:t>
      </w:r>
      <w:r w:rsidRPr="003171CD">
        <w:rPr>
          <w:lang w:val="en-US"/>
        </w:rPr>
        <w:t>of the expert witness Diana Lourdes Miranda Guerrero, and v) other reasonable and necessary expenses incurred, or that may be i</w:t>
      </w:r>
      <w:r w:rsidR="00694428" w:rsidRPr="003171CD">
        <w:rPr>
          <w:lang w:val="en-US"/>
        </w:rPr>
        <w:t>ncurred, by the inter-American D</w:t>
      </w:r>
      <w:r w:rsidRPr="003171CD">
        <w:rPr>
          <w:lang w:val="en-US"/>
        </w:rPr>
        <w:t>efenders, for which they must forward to the Court both the justification of such expenses and the relevant receipts</w:t>
      </w:r>
      <w:r w:rsidR="00694428" w:rsidRPr="003171CD">
        <w:rPr>
          <w:lang w:val="en-US"/>
        </w:rPr>
        <w:t>,</w:t>
      </w:r>
      <w:r w:rsidRPr="003171CD">
        <w:rPr>
          <w:lang w:val="en-US"/>
        </w:rPr>
        <w:t xml:space="preserve"> at the latest with the presentation of the final written arguments, this being the last procedural opportunity to do so, unless the President or the Court grants another procedural opportunity</w:t>
      </w:r>
      <w:r w:rsidRPr="003171CD">
        <w:rPr>
          <w:rFonts w:eastAsia="MS Mincho"/>
          <w:lang w:val="en-US"/>
        </w:rPr>
        <w:t>.</w:t>
      </w:r>
    </w:p>
    <w:p w14:paraId="598A50E7" w14:textId="77777777" w:rsidR="005A65CE" w:rsidRPr="003171CD" w:rsidRDefault="005A65CE" w:rsidP="005A65CE">
      <w:pPr>
        <w:tabs>
          <w:tab w:val="left" w:pos="720"/>
        </w:tabs>
        <w:jc w:val="both"/>
        <w:rPr>
          <w:lang w:val="en-US"/>
        </w:rPr>
      </w:pPr>
    </w:p>
    <w:p w14:paraId="2A4EA26F" w14:textId="77777777" w:rsidR="005A65CE" w:rsidRPr="003171CD" w:rsidRDefault="005A65CE" w:rsidP="005A65CE">
      <w:pPr>
        <w:numPr>
          <w:ilvl w:val="0"/>
          <w:numId w:val="1"/>
        </w:numPr>
        <w:autoSpaceDE/>
        <w:autoSpaceDN/>
        <w:adjustRightInd/>
        <w:contextualSpacing/>
        <w:jc w:val="both"/>
        <w:rPr>
          <w:rFonts w:eastAsia="MS Mincho"/>
          <w:lang w:val="en-US"/>
        </w:rPr>
      </w:pPr>
      <w:r w:rsidRPr="003171CD">
        <w:rPr>
          <w:rFonts w:eastAsia="MS Mincho"/>
          <w:lang w:val="en-US"/>
        </w:rPr>
        <w:t xml:space="preserve">The State was granted an opportunity to present its observations on the disbursements made in the instant case, which totaled </w:t>
      </w:r>
      <w:r w:rsidR="00AC0CC5" w:rsidRPr="003171CD">
        <w:rPr>
          <w:lang w:val="en-US"/>
        </w:rPr>
        <w:t>US$ 4,555.</w:t>
      </w:r>
      <w:r w:rsidRPr="003171CD">
        <w:rPr>
          <w:lang w:val="en-US"/>
        </w:rPr>
        <w:t>62 (four thousand, five hundred and fifty-five United States dollars and sixty-two cents)</w:t>
      </w:r>
      <w:r w:rsidRPr="003171CD">
        <w:rPr>
          <w:rFonts w:eastAsia="MS Mincho"/>
          <w:lang w:val="en-US"/>
        </w:rPr>
        <w:t xml:space="preserve">. However, El Salvador did not present observations </w:t>
      </w:r>
      <w:r w:rsidR="009F3EA8" w:rsidRPr="003171CD">
        <w:rPr>
          <w:rFonts w:eastAsia="MS Mincho"/>
          <w:lang w:val="en-US"/>
        </w:rPr>
        <w:t xml:space="preserve">within the time </w:t>
      </w:r>
      <w:r w:rsidRPr="003171CD">
        <w:rPr>
          <w:rFonts w:eastAsia="MS Mincho"/>
          <w:lang w:val="en-US"/>
        </w:rPr>
        <w:t>granted for that purpose (</w:t>
      </w:r>
      <w:r w:rsidRPr="003171CD">
        <w:rPr>
          <w:rFonts w:eastAsia="MS Mincho"/>
          <w:i/>
          <w:lang w:val="en-US"/>
        </w:rPr>
        <w:t>supra</w:t>
      </w:r>
      <w:r w:rsidRPr="003171CD">
        <w:rPr>
          <w:rFonts w:eastAsia="MS Mincho"/>
          <w:lang w:val="en-US"/>
        </w:rPr>
        <w:t xml:space="preserve"> para. 12).</w:t>
      </w:r>
    </w:p>
    <w:p w14:paraId="25BA411C" w14:textId="77777777" w:rsidR="005A65CE" w:rsidRPr="003171CD" w:rsidRDefault="005A65CE" w:rsidP="005A65CE">
      <w:pPr>
        <w:tabs>
          <w:tab w:val="left" w:pos="720"/>
          <w:tab w:val="num" w:pos="5057"/>
        </w:tabs>
        <w:ind w:right="-90"/>
        <w:contextualSpacing/>
        <w:jc w:val="both"/>
        <w:rPr>
          <w:rFonts w:eastAsia="MS Mincho"/>
          <w:lang w:val="en-US"/>
        </w:rPr>
      </w:pPr>
    </w:p>
    <w:p w14:paraId="75609F44" w14:textId="77777777" w:rsidR="005A65CE" w:rsidRPr="003171CD" w:rsidRDefault="005A65CE" w:rsidP="005A65CE">
      <w:pPr>
        <w:tabs>
          <w:tab w:val="left" w:pos="720"/>
          <w:tab w:val="num" w:pos="5057"/>
        </w:tabs>
        <w:ind w:right="-90"/>
        <w:contextualSpacing/>
        <w:jc w:val="both"/>
        <w:rPr>
          <w:i/>
          <w:lang w:val="en-US"/>
        </w:rPr>
      </w:pPr>
      <w:r w:rsidRPr="003171CD">
        <w:rPr>
          <w:i/>
          <w:lang w:val="en-US"/>
        </w:rPr>
        <w:tab/>
        <w:t>Considerations of the Court</w:t>
      </w:r>
    </w:p>
    <w:p w14:paraId="16CAFA94" w14:textId="77777777" w:rsidR="005A65CE" w:rsidRPr="003171CD" w:rsidRDefault="005A65CE" w:rsidP="005A65CE">
      <w:pPr>
        <w:tabs>
          <w:tab w:val="left" w:pos="720"/>
          <w:tab w:val="num" w:pos="5057"/>
        </w:tabs>
        <w:ind w:right="-90"/>
        <w:contextualSpacing/>
        <w:jc w:val="both"/>
        <w:rPr>
          <w:rFonts w:eastAsia="MS Mincho"/>
          <w:lang w:val="en-US"/>
        </w:rPr>
      </w:pPr>
    </w:p>
    <w:p w14:paraId="03FBB172"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In application of Article 5 of the Rules of the Fund, the Court will now consider </w:t>
      </w:r>
      <w:r w:rsidR="00AC0CC5" w:rsidRPr="003171CD">
        <w:rPr>
          <w:lang w:val="en-US"/>
        </w:rPr>
        <w:t xml:space="preserve">whether it is appropriate to order </w:t>
      </w:r>
      <w:r w:rsidRPr="003171CD">
        <w:rPr>
          <w:lang w:val="en-US"/>
        </w:rPr>
        <w:t>the respondent State to reimburse the Victims’ Legal Assistance Fund of the Inter-American Court for the disbursements made in this case.</w:t>
      </w:r>
    </w:p>
    <w:p w14:paraId="69D3264C" w14:textId="77777777" w:rsidR="005A65CE" w:rsidRPr="003171CD" w:rsidRDefault="005A65CE" w:rsidP="005A65CE">
      <w:pPr>
        <w:tabs>
          <w:tab w:val="left" w:pos="720"/>
          <w:tab w:val="num" w:pos="5057"/>
        </w:tabs>
        <w:ind w:right="-90"/>
        <w:contextualSpacing/>
        <w:jc w:val="both"/>
        <w:rPr>
          <w:rFonts w:eastAsia="MS Mincho"/>
          <w:lang w:val="en-US"/>
        </w:rPr>
      </w:pPr>
    </w:p>
    <w:p w14:paraId="6471212D" w14:textId="77777777" w:rsidR="005A65CE" w:rsidRPr="003171CD" w:rsidRDefault="005A65CE" w:rsidP="005A65CE">
      <w:pPr>
        <w:numPr>
          <w:ilvl w:val="0"/>
          <w:numId w:val="1"/>
        </w:numPr>
        <w:autoSpaceDE/>
        <w:autoSpaceDN/>
        <w:adjustRightInd/>
        <w:contextualSpacing/>
        <w:jc w:val="both"/>
        <w:rPr>
          <w:rFonts w:eastAsia="MS Mincho"/>
          <w:lang w:val="en-US"/>
        </w:rPr>
      </w:pPr>
      <w:r w:rsidRPr="003171CD">
        <w:rPr>
          <w:rFonts w:eastAsia="MS Mincho"/>
          <w:lang w:val="en-US"/>
        </w:rPr>
        <w:t xml:space="preserve">By virtue of the violations declared in this Judgment and </w:t>
      </w:r>
      <w:r w:rsidR="00DB34D2" w:rsidRPr="003171CD">
        <w:rPr>
          <w:rFonts w:eastAsia="MS Mincho"/>
          <w:lang w:val="en-US"/>
        </w:rPr>
        <w:t xml:space="preserve">given that </w:t>
      </w:r>
      <w:r w:rsidRPr="003171CD">
        <w:rPr>
          <w:rFonts w:eastAsia="MS Mincho"/>
          <w:lang w:val="en-US"/>
        </w:rPr>
        <w:t xml:space="preserve">the requirements </w:t>
      </w:r>
      <w:r w:rsidR="00E96948" w:rsidRPr="003171CD">
        <w:rPr>
          <w:rFonts w:eastAsia="MS Mincho"/>
          <w:lang w:val="en-US"/>
        </w:rPr>
        <w:t xml:space="preserve">to access the </w:t>
      </w:r>
      <w:r w:rsidRPr="003171CD">
        <w:rPr>
          <w:rFonts w:eastAsia="MS Mincho"/>
          <w:lang w:val="en-US"/>
        </w:rPr>
        <w:t>Fund</w:t>
      </w:r>
      <w:r w:rsidR="00DB34D2" w:rsidRPr="003171CD">
        <w:rPr>
          <w:rFonts w:eastAsia="MS Mincho"/>
          <w:lang w:val="en-US"/>
        </w:rPr>
        <w:t xml:space="preserve"> have been met</w:t>
      </w:r>
      <w:r w:rsidRPr="003171CD">
        <w:rPr>
          <w:rFonts w:eastAsia="MS Mincho"/>
          <w:lang w:val="en-US"/>
        </w:rPr>
        <w:t xml:space="preserve">, the Court orders the State to reimburse the Fund in the amount of </w:t>
      </w:r>
      <w:r w:rsidRPr="003171CD">
        <w:rPr>
          <w:lang w:val="en-US"/>
        </w:rPr>
        <w:t>US$ 4,555.62 (four thousand five hundred and fifty-five United States dollars and sixty-two cents)</w:t>
      </w:r>
      <w:r w:rsidRPr="003171CD">
        <w:rPr>
          <w:rFonts w:eastAsia="MS Mincho"/>
          <w:lang w:val="en-US"/>
        </w:rPr>
        <w:t xml:space="preserve"> for the necessary expenses incurred to facilitate the appearance of the depon</w:t>
      </w:r>
      <w:r w:rsidR="001109CE" w:rsidRPr="003171CD">
        <w:rPr>
          <w:rFonts w:eastAsia="MS Mincho"/>
          <w:lang w:val="en-US"/>
        </w:rPr>
        <w:t>ents and of the inter-American D</w:t>
      </w:r>
      <w:r w:rsidRPr="003171CD">
        <w:rPr>
          <w:rFonts w:eastAsia="MS Mincho"/>
          <w:lang w:val="en-US"/>
        </w:rPr>
        <w:t>efenders at the public hearing in this case, as well as for the formalization and sending of the affidavits. Said amount must be reimbursed within ninety days from notification of this Judgment.</w:t>
      </w:r>
    </w:p>
    <w:p w14:paraId="6312A6F1" w14:textId="77777777" w:rsidR="005A65CE" w:rsidRPr="003171CD" w:rsidRDefault="005A65CE" w:rsidP="005A65CE">
      <w:pPr>
        <w:contextualSpacing/>
        <w:jc w:val="both"/>
        <w:rPr>
          <w:lang w:val="en-US"/>
        </w:rPr>
      </w:pPr>
    </w:p>
    <w:p w14:paraId="5D9B6575" w14:textId="77777777" w:rsidR="005A65CE" w:rsidRPr="003171CD" w:rsidRDefault="005A65CE" w:rsidP="005A65CE">
      <w:pPr>
        <w:pStyle w:val="Prrafodelista"/>
        <w:keepNext/>
        <w:keepLines/>
        <w:numPr>
          <w:ilvl w:val="0"/>
          <w:numId w:val="19"/>
        </w:numPr>
        <w:ind w:left="1418" w:hanging="709"/>
        <w:jc w:val="both"/>
        <w:outlineLvl w:val="1"/>
        <w:rPr>
          <w:rFonts w:cs="Arial"/>
          <w:b/>
          <w:i/>
          <w:lang w:val="en-US"/>
        </w:rPr>
      </w:pPr>
      <w:bookmarkStart w:id="99" w:name="_Toc45186723"/>
      <w:r w:rsidRPr="003171CD">
        <w:rPr>
          <w:rFonts w:cs="Arial"/>
          <w:b/>
          <w:i/>
          <w:lang w:val="en-US"/>
        </w:rPr>
        <w:t>Method of compliance with the payments ordered</w:t>
      </w:r>
      <w:bookmarkEnd w:id="99"/>
      <w:r w:rsidRPr="003171CD">
        <w:rPr>
          <w:rFonts w:cs="Arial"/>
          <w:b/>
          <w:i/>
          <w:lang w:val="en-US"/>
        </w:rPr>
        <w:t xml:space="preserve"> </w:t>
      </w:r>
      <w:bookmarkEnd w:id="94"/>
      <w:bookmarkEnd w:id="95"/>
      <w:bookmarkEnd w:id="96"/>
    </w:p>
    <w:p w14:paraId="2D9027A6" w14:textId="77777777" w:rsidR="005A65CE" w:rsidRPr="003171CD" w:rsidRDefault="005A65CE" w:rsidP="005A65CE">
      <w:pPr>
        <w:widowControl w:val="0"/>
        <w:contextualSpacing/>
        <w:jc w:val="both"/>
        <w:textAlignment w:val="baseline"/>
        <w:rPr>
          <w:lang w:val="en-US"/>
        </w:rPr>
      </w:pPr>
    </w:p>
    <w:p w14:paraId="0E4DE599" w14:textId="77777777" w:rsidR="005A65CE" w:rsidRPr="003171CD" w:rsidRDefault="005A65CE" w:rsidP="005A65CE">
      <w:pPr>
        <w:numPr>
          <w:ilvl w:val="0"/>
          <w:numId w:val="1"/>
        </w:numPr>
        <w:autoSpaceDE/>
        <w:autoSpaceDN/>
        <w:adjustRightInd/>
        <w:contextualSpacing/>
        <w:jc w:val="both"/>
        <w:rPr>
          <w:lang w:val="en-US"/>
        </w:rPr>
      </w:pPr>
      <w:bookmarkStart w:id="100" w:name="_Ref374964336"/>
      <w:r w:rsidRPr="003171CD">
        <w:rPr>
          <w:lang w:val="en-US"/>
        </w:rPr>
        <w:t xml:space="preserve">The State must pay compensation for pecuniary and non-pecuniary damage as established in this Judgment directly to </w:t>
      </w:r>
      <w:bookmarkEnd w:id="100"/>
      <w:r w:rsidRPr="003171CD">
        <w:rPr>
          <w:lang w:val="en-US"/>
        </w:rPr>
        <w:t>the individuals indicated therein, within one year of notification</w:t>
      </w:r>
      <w:r w:rsidR="007B6AF8" w:rsidRPr="003171CD">
        <w:rPr>
          <w:lang w:val="en-US"/>
        </w:rPr>
        <w:t xml:space="preserve"> of this Judgment</w:t>
      </w:r>
      <w:r w:rsidRPr="003171CD">
        <w:rPr>
          <w:lang w:val="en-US"/>
        </w:rPr>
        <w:t xml:space="preserve">, in the terms specified in the corresponding paragraphs. </w:t>
      </w:r>
    </w:p>
    <w:p w14:paraId="5D6DCD56" w14:textId="77777777" w:rsidR="005A65CE" w:rsidRPr="003171CD" w:rsidRDefault="005A65CE" w:rsidP="005A65CE">
      <w:pPr>
        <w:tabs>
          <w:tab w:val="left" w:pos="567"/>
        </w:tabs>
        <w:jc w:val="both"/>
        <w:rPr>
          <w:lang w:val="en-US"/>
        </w:rPr>
      </w:pPr>
    </w:p>
    <w:p w14:paraId="586B4344" w14:textId="77777777" w:rsidR="005A65CE" w:rsidRPr="003171CD" w:rsidRDefault="005A65CE" w:rsidP="005A65CE">
      <w:pPr>
        <w:numPr>
          <w:ilvl w:val="0"/>
          <w:numId w:val="1"/>
        </w:numPr>
        <w:autoSpaceDE/>
        <w:autoSpaceDN/>
        <w:adjustRightInd/>
        <w:contextualSpacing/>
        <w:jc w:val="both"/>
        <w:rPr>
          <w:lang w:val="en-US"/>
        </w:rPr>
      </w:pPr>
      <w:r w:rsidRPr="003171CD">
        <w:rPr>
          <w:rFonts w:eastAsia="MS Mincho"/>
          <w:lang w:val="en-US" w:bidi="en-US"/>
        </w:rPr>
        <w:t xml:space="preserve">In the event that the </w:t>
      </w:r>
      <w:r w:rsidRPr="003171CD">
        <w:rPr>
          <w:lang w:val="en-US"/>
        </w:rPr>
        <w:t xml:space="preserve">beneficiaries die before the respective compensation has been received, payment </w:t>
      </w:r>
      <w:r w:rsidR="00FE7E09" w:rsidRPr="003171CD">
        <w:rPr>
          <w:lang w:val="en-US"/>
        </w:rPr>
        <w:t xml:space="preserve">must </w:t>
      </w:r>
      <w:r w:rsidRPr="003171CD">
        <w:rPr>
          <w:lang w:val="en-US"/>
        </w:rPr>
        <w:t xml:space="preserve">be made directly to </w:t>
      </w:r>
      <w:r w:rsidR="006D5865" w:rsidRPr="003171CD">
        <w:rPr>
          <w:rFonts w:eastAsia="MS Mincho"/>
          <w:lang w:val="en-US" w:bidi="en-US"/>
        </w:rPr>
        <w:t>their</w:t>
      </w:r>
      <w:r w:rsidRPr="003171CD">
        <w:rPr>
          <w:rFonts w:eastAsia="MS Mincho"/>
          <w:lang w:val="en-US" w:bidi="en-US"/>
        </w:rPr>
        <w:t xml:space="preserve"> heirs, in accordance with applicable domestic law</w:t>
      </w:r>
      <w:r w:rsidRPr="003171CD">
        <w:rPr>
          <w:lang w:val="en-US"/>
        </w:rPr>
        <w:t>.</w:t>
      </w:r>
    </w:p>
    <w:p w14:paraId="26007E8B" w14:textId="77777777" w:rsidR="005A65CE" w:rsidRPr="003171CD" w:rsidRDefault="005A65CE" w:rsidP="005A65CE">
      <w:pPr>
        <w:widowControl w:val="0"/>
        <w:tabs>
          <w:tab w:val="left" w:pos="567"/>
        </w:tabs>
        <w:jc w:val="both"/>
        <w:textAlignment w:val="baseline"/>
        <w:rPr>
          <w:lang w:val="en-US"/>
        </w:rPr>
      </w:pPr>
    </w:p>
    <w:p w14:paraId="7C03511E" w14:textId="77777777" w:rsidR="005A65CE" w:rsidRPr="003171CD" w:rsidRDefault="005A65CE" w:rsidP="005A65CE">
      <w:pPr>
        <w:numPr>
          <w:ilvl w:val="0"/>
          <w:numId w:val="1"/>
        </w:numPr>
        <w:autoSpaceDE/>
        <w:autoSpaceDN/>
        <w:adjustRightInd/>
        <w:contextualSpacing/>
        <w:jc w:val="both"/>
        <w:rPr>
          <w:strike/>
          <w:lang w:val="en-US"/>
        </w:rPr>
      </w:pPr>
      <w:r w:rsidRPr="003171CD">
        <w:rPr>
          <w:lang w:val="en-US"/>
        </w:rPr>
        <w:lastRenderedPageBreak/>
        <w:t xml:space="preserve">The State </w:t>
      </w:r>
      <w:r w:rsidRPr="003171CD">
        <w:rPr>
          <w:bCs/>
          <w:iCs/>
          <w:lang w:val="en-US"/>
        </w:rPr>
        <w:t>must comply with its pecuniary obligations through payment</w:t>
      </w:r>
      <w:r w:rsidRPr="003171CD">
        <w:rPr>
          <w:lang w:val="en-US"/>
        </w:rPr>
        <w:t xml:space="preserve"> in United States dollars.</w:t>
      </w:r>
    </w:p>
    <w:p w14:paraId="264BD5B3" w14:textId="77777777" w:rsidR="005A65CE" w:rsidRPr="003171CD" w:rsidRDefault="005A65CE" w:rsidP="005A65CE">
      <w:pPr>
        <w:widowControl w:val="0"/>
        <w:tabs>
          <w:tab w:val="left" w:pos="567"/>
        </w:tabs>
        <w:jc w:val="both"/>
        <w:textAlignment w:val="baseline"/>
        <w:rPr>
          <w:lang w:val="en-US"/>
        </w:rPr>
      </w:pPr>
    </w:p>
    <w:p w14:paraId="4651F9C9" w14:textId="77777777" w:rsidR="005A65CE" w:rsidRPr="003171CD" w:rsidRDefault="005A65CE" w:rsidP="005A65CE">
      <w:pPr>
        <w:numPr>
          <w:ilvl w:val="0"/>
          <w:numId w:val="1"/>
        </w:numPr>
        <w:autoSpaceDE/>
        <w:autoSpaceDN/>
        <w:adjustRightInd/>
        <w:contextualSpacing/>
        <w:jc w:val="both"/>
        <w:rPr>
          <w:lang w:val="en-US"/>
        </w:rPr>
      </w:pPr>
      <w:r w:rsidRPr="003171CD">
        <w:rPr>
          <w:rFonts w:eastAsia="MS Mincho"/>
          <w:lang w:val="en-US" w:bidi="en-US"/>
        </w:rPr>
        <w:t xml:space="preserve">If, </w:t>
      </w:r>
      <w:r w:rsidRPr="003171CD">
        <w:rPr>
          <w:lang w:val="en-US"/>
        </w:rPr>
        <w:t xml:space="preserve">for reasons that can be attributed to the beneficiaries of the compensation, it is not possible to pay the amounts established within the </w:t>
      </w:r>
      <w:r w:rsidRPr="003171CD">
        <w:rPr>
          <w:rFonts w:eastAsia="MS Mincho"/>
          <w:lang w:val="en-US" w:bidi="en-US"/>
        </w:rPr>
        <w:t xml:space="preserve">term indicated, the State </w:t>
      </w:r>
      <w:r w:rsidR="00FE7E09" w:rsidRPr="003171CD">
        <w:rPr>
          <w:rFonts w:eastAsia="MS Mincho"/>
          <w:lang w:val="en-US" w:bidi="en-US"/>
        </w:rPr>
        <w:t xml:space="preserve">must </w:t>
      </w:r>
      <w:r w:rsidRPr="003171CD">
        <w:rPr>
          <w:lang w:val="en-US"/>
        </w:rPr>
        <w:t>deposit said amounts in an account or certificate of d</w:t>
      </w:r>
      <w:r w:rsidR="00DB34D2" w:rsidRPr="003171CD">
        <w:rPr>
          <w:lang w:val="en-US"/>
        </w:rPr>
        <w:t>eposit in a solvent Salvadori</w:t>
      </w:r>
      <w:r w:rsidRPr="003171CD">
        <w:rPr>
          <w:lang w:val="en-US"/>
        </w:rPr>
        <w:t xml:space="preserve">an financial institution, in United States dollars, and on the most favorable financial terms permitted by law and banking practice of the State. If, after ten years, the amount assigned has not been claimed, the amounts </w:t>
      </w:r>
      <w:r w:rsidR="00FE7E09" w:rsidRPr="003171CD">
        <w:rPr>
          <w:lang w:val="en-US"/>
        </w:rPr>
        <w:t xml:space="preserve">will </w:t>
      </w:r>
      <w:r w:rsidRPr="003171CD">
        <w:rPr>
          <w:lang w:val="en-US"/>
        </w:rPr>
        <w:t>be returned to the State with the accrued interest.</w:t>
      </w:r>
    </w:p>
    <w:p w14:paraId="51E871FB" w14:textId="77777777" w:rsidR="005A65CE" w:rsidRPr="003171CD" w:rsidRDefault="005A65CE" w:rsidP="005A65CE">
      <w:pPr>
        <w:widowControl w:val="0"/>
        <w:tabs>
          <w:tab w:val="left" w:pos="567"/>
        </w:tabs>
        <w:jc w:val="both"/>
        <w:textAlignment w:val="baseline"/>
        <w:rPr>
          <w:lang w:val="en-US"/>
        </w:rPr>
      </w:pPr>
    </w:p>
    <w:p w14:paraId="5D697B7B"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 amounts allocated in this Judgment as compensation must be paid in full to the persons indicated, as established in this Judgment, </w:t>
      </w:r>
      <w:r w:rsidRPr="003171CD">
        <w:rPr>
          <w:rFonts w:eastAsia="MS Mincho"/>
          <w:lang w:val="en-US" w:bidi="en-US"/>
        </w:rPr>
        <w:t>without any deductions derived from possible taxes or charges</w:t>
      </w:r>
      <w:r w:rsidRPr="003171CD">
        <w:rPr>
          <w:lang w:val="en-US"/>
        </w:rPr>
        <w:t>.</w:t>
      </w:r>
    </w:p>
    <w:p w14:paraId="32B2FA99" w14:textId="77777777" w:rsidR="005A65CE" w:rsidRPr="003171CD" w:rsidRDefault="005A65CE" w:rsidP="005A65CE">
      <w:pPr>
        <w:widowControl w:val="0"/>
        <w:tabs>
          <w:tab w:val="left" w:pos="0"/>
        </w:tabs>
        <w:jc w:val="both"/>
        <w:textAlignment w:val="baseline"/>
        <w:rPr>
          <w:lang w:val="en-US"/>
        </w:rPr>
      </w:pPr>
    </w:p>
    <w:p w14:paraId="17447C0D" w14:textId="77777777" w:rsidR="005A65CE" w:rsidRPr="003171CD" w:rsidRDefault="005A65CE" w:rsidP="005A65CE">
      <w:pPr>
        <w:numPr>
          <w:ilvl w:val="0"/>
          <w:numId w:val="1"/>
        </w:numPr>
        <w:autoSpaceDE/>
        <w:autoSpaceDN/>
        <w:adjustRightInd/>
        <w:contextualSpacing/>
        <w:jc w:val="both"/>
        <w:rPr>
          <w:lang w:val="en-US"/>
        </w:rPr>
      </w:pPr>
      <w:r w:rsidRPr="003171CD">
        <w:rPr>
          <w:rFonts w:eastAsia="MS Mincho"/>
          <w:lang w:val="en-US" w:bidi="en-US"/>
        </w:rPr>
        <w:t xml:space="preserve">If the State should fall into arrears, including with the reimbursement of expenses to the Victims’ Legal Assistance Fund, it must pay interest on the amount owed, corresponding to bank </w:t>
      </w:r>
      <w:r w:rsidRPr="003171CD">
        <w:rPr>
          <w:lang w:val="en-US"/>
        </w:rPr>
        <w:t>interest on arrears in the Republic of El Salvador.</w:t>
      </w:r>
    </w:p>
    <w:p w14:paraId="3957C89A" w14:textId="77777777" w:rsidR="005A65CE" w:rsidRPr="003171CD" w:rsidRDefault="005A65CE" w:rsidP="005A65CE">
      <w:pPr>
        <w:tabs>
          <w:tab w:val="num" w:pos="630"/>
          <w:tab w:val="left" w:pos="720"/>
        </w:tabs>
        <w:jc w:val="both"/>
        <w:rPr>
          <w:b/>
          <w:color w:val="000000" w:themeColor="text1"/>
          <w:lang w:val="en-US"/>
        </w:rPr>
      </w:pPr>
    </w:p>
    <w:p w14:paraId="77B79987" w14:textId="77777777" w:rsidR="005A65CE" w:rsidRPr="003171CD" w:rsidRDefault="005A65CE" w:rsidP="005A65CE">
      <w:pPr>
        <w:pStyle w:val="Default"/>
        <w:jc w:val="center"/>
        <w:outlineLvl w:val="0"/>
        <w:rPr>
          <w:rFonts w:ascii="Verdana" w:hAnsi="Verdana"/>
          <w:sz w:val="20"/>
          <w:szCs w:val="20"/>
          <w:lang w:val="en-US"/>
        </w:rPr>
      </w:pPr>
      <w:bookmarkStart w:id="101" w:name="_Toc45186724"/>
      <w:bookmarkStart w:id="102" w:name="_Toc406580712"/>
      <w:r w:rsidRPr="003171CD">
        <w:rPr>
          <w:rFonts w:ascii="Verdana" w:hAnsi="Verdana"/>
          <w:b/>
          <w:sz w:val="20"/>
          <w:szCs w:val="20"/>
          <w:lang w:val="en-US"/>
        </w:rPr>
        <w:t>IX</w:t>
      </w:r>
      <w:r w:rsidRPr="003171CD">
        <w:rPr>
          <w:rFonts w:ascii="Verdana" w:hAnsi="Verdana"/>
          <w:b/>
          <w:bCs/>
          <w:sz w:val="20"/>
          <w:szCs w:val="20"/>
          <w:lang w:val="en-US"/>
        </w:rPr>
        <w:br/>
        <w:t>OPERATIVE PARAGRAPHS</w:t>
      </w:r>
      <w:bookmarkEnd w:id="101"/>
      <w:r w:rsidRPr="003171CD">
        <w:rPr>
          <w:rFonts w:ascii="Verdana" w:hAnsi="Verdana"/>
          <w:b/>
          <w:bCs/>
          <w:sz w:val="20"/>
          <w:szCs w:val="20"/>
          <w:lang w:val="en-US"/>
        </w:rPr>
        <w:t xml:space="preserve"> </w:t>
      </w:r>
      <w:bookmarkEnd w:id="102"/>
    </w:p>
    <w:p w14:paraId="5989CB39" w14:textId="77777777" w:rsidR="005A65CE" w:rsidRPr="003171CD" w:rsidRDefault="005A65CE" w:rsidP="005A65CE">
      <w:pPr>
        <w:pStyle w:val="Default"/>
        <w:jc w:val="both"/>
        <w:rPr>
          <w:rFonts w:ascii="Verdana" w:hAnsi="Verdana"/>
          <w:sz w:val="20"/>
          <w:szCs w:val="20"/>
          <w:lang w:val="en-US"/>
        </w:rPr>
      </w:pPr>
    </w:p>
    <w:p w14:paraId="16463B3A" w14:textId="77777777" w:rsidR="005A65CE" w:rsidRPr="003171CD" w:rsidRDefault="005A65CE" w:rsidP="005A65CE">
      <w:pPr>
        <w:numPr>
          <w:ilvl w:val="0"/>
          <w:numId w:val="1"/>
        </w:numPr>
        <w:autoSpaceDE/>
        <w:autoSpaceDN/>
        <w:adjustRightInd/>
        <w:contextualSpacing/>
        <w:jc w:val="both"/>
        <w:rPr>
          <w:lang w:val="en-US"/>
        </w:rPr>
      </w:pPr>
      <w:r w:rsidRPr="003171CD">
        <w:rPr>
          <w:lang w:val="en-US"/>
        </w:rPr>
        <w:t xml:space="preserve">Therefore, </w:t>
      </w:r>
    </w:p>
    <w:p w14:paraId="1F5ADAAB" w14:textId="77777777" w:rsidR="005A65CE" w:rsidRPr="003171CD" w:rsidRDefault="005A65CE" w:rsidP="005A65CE">
      <w:pPr>
        <w:pStyle w:val="Default"/>
        <w:jc w:val="both"/>
        <w:rPr>
          <w:rFonts w:ascii="Verdana" w:hAnsi="Verdana"/>
          <w:sz w:val="20"/>
          <w:szCs w:val="20"/>
          <w:lang w:val="en-US"/>
        </w:rPr>
      </w:pPr>
    </w:p>
    <w:p w14:paraId="7B83873E" w14:textId="77777777" w:rsidR="005A65CE" w:rsidRPr="003171CD" w:rsidRDefault="005A65CE" w:rsidP="005A65CE">
      <w:pPr>
        <w:pStyle w:val="Default"/>
        <w:jc w:val="both"/>
        <w:rPr>
          <w:rFonts w:ascii="Verdana" w:hAnsi="Verdana"/>
          <w:sz w:val="20"/>
          <w:szCs w:val="20"/>
          <w:lang w:val="en-US"/>
        </w:rPr>
      </w:pPr>
      <w:r w:rsidRPr="003171CD">
        <w:rPr>
          <w:rFonts w:ascii="Verdana" w:hAnsi="Verdana"/>
          <w:b/>
          <w:bCs/>
          <w:sz w:val="20"/>
          <w:szCs w:val="20"/>
          <w:lang w:val="en-US"/>
        </w:rPr>
        <w:t xml:space="preserve">THE COURT </w:t>
      </w:r>
    </w:p>
    <w:p w14:paraId="7FE84D68" w14:textId="77777777" w:rsidR="005A65CE" w:rsidRPr="003171CD" w:rsidRDefault="005A65CE" w:rsidP="005A65CE">
      <w:pPr>
        <w:pStyle w:val="Default"/>
        <w:jc w:val="both"/>
        <w:rPr>
          <w:rFonts w:ascii="Verdana" w:hAnsi="Verdana"/>
          <w:b/>
          <w:bCs/>
          <w:sz w:val="20"/>
          <w:szCs w:val="20"/>
          <w:lang w:val="en-US"/>
        </w:rPr>
      </w:pPr>
    </w:p>
    <w:p w14:paraId="0DEE809A" w14:textId="77777777" w:rsidR="005A65CE" w:rsidRPr="003171CD" w:rsidRDefault="005A65CE" w:rsidP="005A65CE">
      <w:pPr>
        <w:pStyle w:val="Default"/>
        <w:jc w:val="both"/>
        <w:rPr>
          <w:rFonts w:ascii="Verdana" w:hAnsi="Verdana"/>
          <w:sz w:val="20"/>
          <w:szCs w:val="20"/>
          <w:lang w:val="en-US"/>
        </w:rPr>
      </w:pPr>
      <w:r w:rsidRPr="003171CD">
        <w:rPr>
          <w:rFonts w:ascii="Verdana" w:hAnsi="Verdana"/>
          <w:b/>
          <w:bCs/>
          <w:sz w:val="20"/>
          <w:szCs w:val="20"/>
          <w:lang w:val="en-US"/>
        </w:rPr>
        <w:t xml:space="preserve">DECIDES, </w:t>
      </w:r>
    </w:p>
    <w:p w14:paraId="11C84421" w14:textId="77777777" w:rsidR="005A65CE" w:rsidRPr="003171CD" w:rsidRDefault="005A65CE" w:rsidP="005A65CE">
      <w:pPr>
        <w:pStyle w:val="Default"/>
        <w:jc w:val="both"/>
        <w:rPr>
          <w:rFonts w:ascii="Verdana" w:hAnsi="Verdana"/>
          <w:sz w:val="20"/>
          <w:szCs w:val="20"/>
          <w:lang w:val="en-US"/>
        </w:rPr>
      </w:pPr>
    </w:p>
    <w:p w14:paraId="4AEA5199" w14:textId="77777777" w:rsidR="005A65CE" w:rsidRPr="003171CD" w:rsidRDefault="005A65CE" w:rsidP="005A65CE">
      <w:pPr>
        <w:pStyle w:val="Default"/>
        <w:jc w:val="both"/>
        <w:rPr>
          <w:rFonts w:ascii="Verdana" w:hAnsi="Verdana"/>
          <w:sz w:val="20"/>
          <w:szCs w:val="20"/>
          <w:lang w:val="en-US"/>
        </w:rPr>
      </w:pPr>
      <w:r w:rsidRPr="003171CD">
        <w:rPr>
          <w:rFonts w:ascii="Verdana" w:hAnsi="Verdana"/>
          <w:sz w:val="20"/>
          <w:szCs w:val="20"/>
          <w:lang w:val="en-US"/>
        </w:rPr>
        <w:t xml:space="preserve">Unanimously, </w:t>
      </w:r>
    </w:p>
    <w:p w14:paraId="1A49297C" w14:textId="77777777" w:rsidR="005A65CE" w:rsidRPr="003171CD" w:rsidRDefault="005A65CE" w:rsidP="005A65CE">
      <w:pPr>
        <w:pStyle w:val="Default"/>
        <w:jc w:val="both"/>
        <w:rPr>
          <w:rFonts w:ascii="Verdana" w:hAnsi="Verdana"/>
          <w:sz w:val="20"/>
          <w:szCs w:val="20"/>
          <w:lang w:val="en-US"/>
        </w:rPr>
      </w:pPr>
    </w:p>
    <w:p w14:paraId="03C937CB" w14:textId="77777777" w:rsidR="005A65CE" w:rsidRPr="003171CD" w:rsidRDefault="005A65CE" w:rsidP="005A65CE">
      <w:pPr>
        <w:pStyle w:val="Prrafodelista"/>
        <w:numPr>
          <w:ilvl w:val="0"/>
          <w:numId w:val="14"/>
        </w:numPr>
        <w:autoSpaceDE/>
        <w:autoSpaceDN/>
        <w:adjustRightInd/>
        <w:ind w:left="0" w:firstLine="0"/>
        <w:contextualSpacing/>
        <w:jc w:val="both"/>
        <w:rPr>
          <w:rFonts w:cs="Verdana"/>
          <w:color w:val="000000"/>
          <w:lang w:val="en-US"/>
        </w:rPr>
      </w:pPr>
      <w:r w:rsidRPr="003171CD">
        <w:rPr>
          <w:rFonts w:cs="Verdana"/>
          <w:color w:val="000000"/>
          <w:lang w:val="en-US"/>
        </w:rPr>
        <w:t xml:space="preserve">To accept the acknowledgment of responsibility made by the State, in </w:t>
      </w:r>
      <w:r w:rsidR="000524BD" w:rsidRPr="003171CD">
        <w:rPr>
          <w:rFonts w:cs="Verdana"/>
          <w:color w:val="000000"/>
          <w:lang w:val="en-US"/>
        </w:rPr>
        <w:t xml:space="preserve">the terms of </w:t>
      </w:r>
      <w:r w:rsidRPr="003171CD">
        <w:rPr>
          <w:rFonts w:cs="Verdana"/>
          <w:color w:val="000000"/>
          <w:lang w:val="en-US"/>
        </w:rPr>
        <w:t>paragraphs 15 to 37 of this Judgment.</w:t>
      </w:r>
    </w:p>
    <w:p w14:paraId="596E0DA2" w14:textId="77777777" w:rsidR="005A65CE" w:rsidRPr="003171CD" w:rsidRDefault="005A65CE" w:rsidP="005A65CE">
      <w:pPr>
        <w:tabs>
          <w:tab w:val="num" w:pos="630"/>
          <w:tab w:val="left" w:pos="720"/>
        </w:tabs>
        <w:jc w:val="both"/>
        <w:rPr>
          <w:b/>
          <w:color w:val="000000" w:themeColor="text1"/>
          <w:lang w:val="en-US"/>
        </w:rPr>
      </w:pPr>
    </w:p>
    <w:p w14:paraId="6E0DE41A" w14:textId="77777777" w:rsidR="005A65CE" w:rsidRPr="003171CD" w:rsidRDefault="005A65CE" w:rsidP="005A65CE">
      <w:pPr>
        <w:tabs>
          <w:tab w:val="num" w:pos="630"/>
          <w:tab w:val="left" w:pos="720"/>
        </w:tabs>
        <w:jc w:val="both"/>
        <w:rPr>
          <w:b/>
          <w:color w:val="000000" w:themeColor="text1"/>
          <w:lang w:val="en-US"/>
        </w:rPr>
      </w:pPr>
      <w:r w:rsidRPr="003171CD">
        <w:rPr>
          <w:b/>
          <w:color w:val="000000" w:themeColor="text1"/>
          <w:lang w:val="en-US"/>
        </w:rPr>
        <w:t>DECLARES,</w:t>
      </w:r>
    </w:p>
    <w:p w14:paraId="25F4BB00" w14:textId="77777777" w:rsidR="005A65CE" w:rsidRPr="003171CD" w:rsidRDefault="005A65CE" w:rsidP="005A65CE">
      <w:pPr>
        <w:tabs>
          <w:tab w:val="num" w:pos="630"/>
          <w:tab w:val="left" w:pos="720"/>
        </w:tabs>
        <w:jc w:val="both"/>
        <w:rPr>
          <w:b/>
          <w:color w:val="000000" w:themeColor="text1"/>
          <w:lang w:val="en-US"/>
        </w:rPr>
      </w:pPr>
    </w:p>
    <w:p w14:paraId="38B6A4B9" w14:textId="77777777" w:rsidR="005A65CE" w:rsidRPr="003171CD" w:rsidRDefault="00FE7E09" w:rsidP="005A65CE">
      <w:pPr>
        <w:pStyle w:val="Prrafodelista2"/>
        <w:tabs>
          <w:tab w:val="left" w:pos="720"/>
        </w:tabs>
        <w:ind w:left="0" w:right="-90"/>
        <w:contextualSpacing/>
        <w:rPr>
          <w:lang w:val="en-US"/>
        </w:rPr>
      </w:pPr>
      <w:r w:rsidRPr="003171CD">
        <w:rPr>
          <w:lang w:val="en-US"/>
        </w:rPr>
        <w:t>U</w:t>
      </w:r>
      <w:r w:rsidR="005A65CE" w:rsidRPr="003171CD">
        <w:rPr>
          <w:lang w:val="en-US"/>
        </w:rPr>
        <w:t>nanimously, that:</w:t>
      </w:r>
    </w:p>
    <w:p w14:paraId="51DA301D" w14:textId="77777777" w:rsidR="005A65CE" w:rsidRPr="003171CD" w:rsidRDefault="005A65CE" w:rsidP="005A65CE">
      <w:pPr>
        <w:tabs>
          <w:tab w:val="left" w:pos="567"/>
        </w:tabs>
        <w:jc w:val="both"/>
        <w:rPr>
          <w:rFonts w:eastAsia="Batang" w:cs="Times"/>
          <w:color w:val="000000" w:themeColor="text1"/>
          <w:lang w:val="en-US"/>
        </w:rPr>
      </w:pPr>
    </w:p>
    <w:p w14:paraId="3A749962" w14:textId="77777777" w:rsidR="005A65CE" w:rsidRPr="003171CD" w:rsidRDefault="005A65CE" w:rsidP="005A65CE">
      <w:pPr>
        <w:pStyle w:val="Prrafodelista"/>
        <w:numPr>
          <w:ilvl w:val="0"/>
          <w:numId w:val="14"/>
        </w:numPr>
        <w:autoSpaceDE/>
        <w:autoSpaceDN/>
        <w:adjustRightInd/>
        <w:ind w:left="0" w:firstLine="0"/>
        <w:contextualSpacing/>
        <w:jc w:val="both"/>
        <w:rPr>
          <w:rFonts w:cs="Times"/>
          <w:color w:val="000000" w:themeColor="text1"/>
          <w:lang w:val="en-US"/>
        </w:rPr>
      </w:pPr>
      <w:r w:rsidRPr="003171CD">
        <w:rPr>
          <w:rFonts w:cs="Times"/>
          <w:color w:val="000000" w:themeColor="text1"/>
          <w:lang w:val="en-US"/>
        </w:rPr>
        <w:t xml:space="preserve">The State is responsible for the violation of the right to personal integrity and the prohibition of torture, recognized in Article 5(1) and 5(2) of the American Convention on Human Rights, in </w:t>
      </w:r>
      <w:r w:rsidRPr="003171CD">
        <w:rPr>
          <w:rFonts w:eastAsiaTheme="minorHAnsi" w:cs="Arial"/>
          <w:bCs/>
          <w:szCs w:val="20"/>
          <w:lang w:val="en-US"/>
        </w:rPr>
        <w:t>relation to Article 1(1) thereof</w:t>
      </w:r>
      <w:r w:rsidRPr="003171CD">
        <w:rPr>
          <w:rFonts w:eastAsiaTheme="minorHAnsi" w:cs="Arial"/>
          <w:bCs/>
          <w:lang w:val="en-US"/>
        </w:rPr>
        <w:t>,</w:t>
      </w:r>
      <w:r w:rsidRPr="003171CD">
        <w:rPr>
          <w:rFonts w:cs="Times"/>
          <w:color w:val="000000" w:themeColor="text1"/>
          <w:lang w:val="en-US"/>
        </w:rPr>
        <w:t xml:space="preserve"> to the detriment of José Agapito Ruano Torres, </w:t>
      </w:r>
      <w:r w:rsidR="00972645" w:rsidRPr="003171CD">
        <w:rPr>
          <w:rFonts w:cs="Times"/>
          <w:color w:val="000000" w:themeColor="text1"/>
          <w:lang w:val="en-US"/>
        </w:rPr>
        <w:t xml:space="preserve">pursuant to </w:t>
      </w:r>
      <w:r w:rsidRPr="003171CD">
        <w:rPr>
          <w:rFonts w:cs="Times"/>
          <w:color w:val="000000" w:themeColor="text1"/>
          <w:lang w:val="en-US"/>
        </w:rPr>
        <w:t>paragraphs 118 to 123 of this Judgment.</w:t>
      </w:r>
    </w:p>
    <w:p w14:paraId="262D1E11" w14:textId="77777777" w:rsidR="005A65CE" w:rsidRPr="003171CD" w:rsidRDefault="005A65CE" w:rsidP="005A65CE">
      <w:pPr>
        <w:tabs>
          <w:tab w:val="left" w:pos="567"/>
        </w:tabs>
        <w:jc w:val="both"/>
        <w:rPr>
          <w:rFonts w:eastAsia="Batang" w:cs="Times"/>
          <w:color w:val="000000" w:themeColor="text1"/>
          <w:lang w:val="en-US"/>
        </w:rPr>
      </w:pPr>
    </w:p>
    <w:p w14:paraId="2BE7475F" w14:textId="77777777" w:rsidR="005A65CE" w:rsidRPr="003171CD" w:rsidRDefault="005A65CE" w:rsidP="005A65CE">
      <w:pPr>
        <w:pStyle w:val="Prrafodelista"/>
        <w:numPr>
          <w:ilvl w:val="0"/>
          <w:numId w:val="14"/>
        </w:numPr>
        <w:autoSpaceDE/>
        <w:autoSpaceDN/>
        <w:adjustRightInd/>
        <w:ind w:left="0" w:firstLine="0"/>
        <w:contextualSpacing/>
        <w:jc w:val="both"/>
        <w:rPr>
          <w:lang w:val="en-US"/>
        </w:rPr>
      </w:pPr>
      <w:r w:rsidRPr="003171CD">
        <w:rPr>
          <w:szCs w:val="20"/>
          <w:lang w:val="en-US"/>
        </w:rPr>
        <w:t xml:space="preserve">The State is responsible for the failure to </w:t>
      </w:r>
      <w:r w:rsidR="00C06A0D" w:rsidRPr="003171CD">
        <w:rPr>
          <w:szCs w:val="20"/>
          <w:lang w:val="en-US"/>
        </w:rPr>
        <w:t xml:space="preserve">guarantee </w:t>
      </w:r>
      <w:r w:rsidRPr="003171CD">
        <w:rPr>
          <w:szCs w:val="20"/>
          <w:lang w:val="en-US"/>
        </w:rPr>
        <w:t>the right to personal integrity recognized in Article 5(1) and 5(2), in relation to Article 1(1) of the American Convention</w:t>
      </w:r>
      <w:r w:rsidR="00410B2D" w:rsidRPr="003171CD">
        <w:rPr>
          <w:szCs w:val="20"/>
          <w:lang w:val="en-US"/>
        </w:rPr>
        <w:t xml:space="preserve"> </w:t>
      </w:r>
      <w:r w:rsidR="00410B2D" w:rsidRPr="003171CD">
        <w:rPr>
          <w:rFonts w:cs="Times"/>
          <w:color w:val="000000" w:themeColor="text1"/>
          <w:lang w:val="en-US"/>
        </w:rPr>
        <w:t>on Human Rights</w:t>
      </w:r>
      <w:r w:rsidRPr="003171CD">
        <w:rPr>
          <w:szCs w:val="20"/>
          <w:lang w:val="en-US"/>
        </w:rPr>
        <w:t xml:space="preserve">, </w:t>
      </w:r>
      <w:r w:rsidR="00C06A0D" w:rsidRPr="003171CD">
        <w:rPr>
          <w:szCs w:val="20"/>
          <w:lang w:val="en-US"/>
        </w:rPr>
        <w:t>with regard to the obligation to</w:t>
      </w:r>
      <w:r w:rsidRPr="003171CD">
        <w:rPr>
          <w:szCs w:val="20"/>
          <w:lang w:val="en-US"/>
        </w:rPr>
        <w:t xml:space="preserve"> investigate acts of torture, to the detriment of </w:t>
      </w:r>
      <w:r w:rsidRPr="003171CD">
        <w:rPr>
          <w:rFonts w:cs="Times"/>
          <w:color w:val="000000" w:themeColor="text1"/>
          <w:lang w:val="en-US"/>
        </w:rPr>
        <w:t>José Agapito Ruano Torres</w:t>
      </w:r>
      <w:r w:rsidRPr="003171CD">
        <w:rPr>
          <w:szCs w:val="20"/>
          <w:lang w:val="en-US"/>
        </w:rPr>
        <w:t xml:space="preserve">, </w:t>
      </w:r>
      <w:r w:rsidR="00C06A0D" w:rsidRPr="003171CD">
        <w:rPr>
          <w:szCs w:val="20"/>
          <w:lang w:val="en-US"/>
        </w:rPr>
        <w:t xml:space="preserve">pursuant to </w:t>
      </w:r>
      <w:r w:rsidRPr="003171CD">
        <w:rPr>
          <w:rFonts w:cs="Times"/>
          <w:color w:val="000000" w:themeColor="text1"/>
          <w:lang w:val="en-US"/>
        </w:rPr>
        <w:t>paragraphs 124 to 125 of this Judgment</w:t>
      </w:r>
      <w:r w:rsidRPr="003171CD">
        <w:rPr>
          <w:szCs w:val="20"/>
          <w:lang w:val="en-US"/>
        </w:rPr>
        <w:t>.</w:t>
      </w:r>
    </w:p>
    <w:p w14:paraId="62A9CF24" w14:textId="77777777" w:rsidR="005A65CE" w:rsidRPr="003171CD" w:rsidRDefault="005A65CE" w:rsidP="005A65CE">
      <w:pPr>
        <w:pStyle w:val="Prrafodelista"/>
        <w:autoSpaceDE/>
        <w:autoSpaceDN/>
        <w:adjustRightInd/>
        <w:ind w:left="0"/>
        <w:contextualSpacing/>
        <w:jc w:val="both"/>
        <w:rPr>
          <w:rFonts w:cs="Times"/>
          <w:color w:val="000000" w:themeColor="text1"/>
          <w:lang w:val="en-US"/>
        </w:rPr>
      </w:pPr>
    </w:p>
    <w:p w14:paraId="277C8ACC" w14:textId="77777777" w:rsidR="005A65CE" w:rsidRPr="003171CD" w:rsidRDefault="005A65CE" w:rsidP="005A65CE">
      <w:pPr>
        <w:pStyle w:val="Prrafodelista"/>
        <w:numPr>
          <w:ilvl w:val="0"/>
          <w:numId w:val="14"/>
        </w:numPr>
        <w:autoSpaceDE/>
        <w:autoSpaceDN/>
        <w:adjustRightInd/>
        <w:ind w:left="0" w:firstLine="0"/>
        <w:contextualSpacing/>
        <w:jc w:val="both"/>
        <w:rPr>
          <w:rFonts w:cs="Times"/>
          <w:color w:val="000000" w:themeColor="text1"/>
          <w:lang w:val="en-US"/>
        </w:rPr>
      </w:pPr>
      <w:r w:rsidRPr="003171CD">
        <w:rPr>
          <w:rFonts w:cs="Times"/>
          <w:color w:val="000000" w:themeColor="text1"/>
          <w:lang w:val="en-US"/>
        </w:rPr>
        <w:t xml:space="preserve">The State is responsible for the violation of the right to </w:t>
      </w:r>
      <w:r w:rsidR="000524BD" w:rsidRPr="003171CD">
        <w:rPr>
          <w:rFonts w:cs="Times"/>
          <w:color w:val="000000" w:themeColor="text1"/>
          <w:lang w:val="en-US"/>
        </w:rPr>
        <w:t xml:space="preserve">the </w:t>
      </w:r>
      <w:r w:rsidRPr="003171CD">
        <w:rPr>
          <w:rFonts w:cs="Times"/>
          <w:color w:val="000000" w:themeColor="text1"/>
          <w:lang w:val="en-US"/>
        </w:rPr>
        <w:t>presumption of innocence, recognized in Article 8(2) of the American Convention on Human Rights, in relation to</w:t>
      </w:r>
      <w:r w:rsidRPr="003171CD">
        <w:rPr>
          <w:rFonts w:eastAsiaTheme="minorHAnsi" w:cs="Arial"/>
          <w:bCs/>
          <w:szCs w:val="20"/>
          <w:lang w:val="en-US"/>
        </w:rPr>
        <w:t xml:space="preserve"> Article 1(1) thereof</w:t>
      </w:r>
      <w:r w:rsidRPr="003171CD">
        <w:rPr>
          <w:rFonts w:eastAsiaTheme="minorHAnsi" w:cs="Arial"/>
          <w:bCs/>
          <w:lang w:val="en-US"/>
        </w:rPr>
        <w:t>,</w:t>
      </w:r>
      <w:r w:rsidRPr="003171CD">
        <w:rPr>
          <w:rFonts w:cs="Times"/>
          <w:color w:val="000000" w:themeColor="text1"/>
          <w:lang w:val="en-US"/>
        </w:rPr>
        <w:t xml:space="preserve"> to the detriment of José Agapito Ruano Torres, pursuant to paragraphs 126 to 135 of this Judgment.</w:t>
      </w:r>
    </w:p>
    <w:p w14:paraId="6FE56B1B" w14:textId="77777777" w:rsidR="005A65CE" w:rsidRPr="003171CD" w:rsidRDefault="005A65CE" w:rsidP="005A65CE">
      <w:pPr>
        <w:tabs>
          <w:tab w:val="left" w:pos="567"/>
        </w:tabs>
        <w:jc w:val="both"/>
        <w:rPr>
          <w:rFonts w:eastAsia="Batang" w:cs="Times"/>
          <w:color w:val="000000" w:themeColor="text1"/>
          <w:lang w:val="en-US"/>
        </w:rPr>
      </w:pPr>
    </w:p>
    <w:p w14:paraId="4F4AD116" w14:textId="77777777" w:rsidR="005A65CE" w:rsidRPr="003171CD" w:rsidRDefault="005A65CE" w:rsidP="005A65CE">
      <w:pPr>
        <w:pStyle w:val="Prrafodelista"/>
        <w:numPr>
          <w:ilvl w:val="0"/>
          <w:numId w:val="14"/>
        </w:numPr>
        <w:autoSpaceDE/>
        <w:autoSpaceDN/>
        <w:adjustRightInd/>
        <w:ind w:left="0" w:firstLine="0"/>
        <w:contextualSpacing/>
        <w:jc w:val="both"/>
        <w:rPr>
          <w:rFonts w:cs="Times"/>
          <w:color w:val="000000" w:themeColor="text1"/>
          <w:lang w:val="en-US"/>
        </w:rPr>
      </w:pPr>
      <w:r w:rsidRPr="003171CD">
        <w:rPr>
          <w:rFonts w:cs="Times"/>
          <w:color w:val="000000" w:themeColor="text1"/>
          <w:lang w:val="en-US"/>
        </w:rPr>
        <w:lastRenderedPageBreak/>
        <w:t>The State is responsible for the violation of the right to judicial protection, recognized in Article 25(1) of th</w:t>
      </w:r>
      <w:r w:rsidR="00410B2D" w:rsidRPr="003171CD">
        <w:rPr>
          <w:rFonts w:cs="Times"/>
          <w:color w:val="000000" w:themeColor="text1"/>
          <w:lang w:val="en-US"/>
        </w:rPr>
        <w:t>e American Convention on Human R</w:t>
      </w:r>
      <w:r w:rsidRPr="003171CD">
        <w:rPr>
          <w:rFonts w:cs="Times"/>
          <w:color w:val="000000" w:themeColor="text1"/>
          <w:lang w:val="en-US"/>
        </w:rPr>
        <w:t>ights, in relation to</w:t>
      </w:r>
      <w:r w:rsidRPr="003171CD">
        <w:rPr>
          <w:rFonts w:eastAsiaTheme="minorHAnsi" w:cs="Arial"/>
          <w:bCs/>
          <w:szCs w:val="20"/>
          <w:lang w:val="en-US"/>
        </w:rPr>
        <w:t xml:space="preserve"> Article 1(1) thereof,</w:t>
      </w:r>
      <w:r w:rsidRPr="003171CD">
        <w:rPr>
          <w:rFonts w:cs="Times"/>
          <w:color w:val="000000" w:themeColor="text1"/>
          <w:lang w:val="en-US"/>
        </w:rPr>
        <w:t xml:space="preserve"> to the detriment of José Agapito Ruano Torres, pursuant to paragraphs 136 to 139 of this Judgment.</w:t>
      </w:r>
    </w:p>
    <w:p w14:paraId="04441096" w14:textId="77777777" w:rsidR="005A65CE" w:rsidRPr="003171CD" w:rsidRDefault="005A65CE" w:rsidP="005A65CE">
      <w:pPr>
        <w:pStyle w:val="Prrafodelista"/>
        <w:autoSpaceDE/>
        <w:autoSpaceDN/>
        <w:adjustRightInd/>
        <w:ind w:left="0"/>
        <w:contextualSpacing/>
        <w:jc w:val="both"/>
        <w:rPr>
          <w:rFonts w:cs="Times"/>
          <w:color w:val="000000" w:themeColor="text1"/>
          <w:lang w:val="en-US"/>
        </w:rPr>
      </w:pPr>
    </w:p>
    <w:p w14:paraId="423D0AEE" w14:textId="77777777" w:rsidR="005A65CE" w:rsidRPr="003171CD" w:rsidRDefault="005A65CE" w:rsidP="005A65CE">
      <w:pPr>
        <w:pStyle w:val="Prrafodelista"/>
        <w:numPr>
          <w:ilvl w:val="0"/>
          <w:numId w:val="14"/>
        </w:numPr>
        <w:autoSpaceDE/>
        <w:autoSpaceDN/>
        <w:adjustRightInd/>
        <w:ind w:left="0" w:firstLine="0"/>
        <w:contextualSpacing/>
        <w:jc w:val="both"/>
        <w:rPr>
          <w:rFonts w:cs="Times"/>
          <w:color w:val="000000" w:themeColor="text1"/>
          <w:lang w:val="en-US"/>
        </w:rPr>
      </w:pPr>
      <w:r w:rsidRPr="003171CD">
        <w:rPr>
          <w:rFonts w:cs="Times"/>
          <w:color w:val="000000" w:themeColor="text1"/>
          <w:lang w:val="en-US"/>
        </w:rPr>
        <w:t xml:space="preserve">The State is responsible for the violation of the right to personal </w:t>
      </w:r>
      <w:r w:rsidR="00410B2D" w:rsidRPr="003171CD">
        <w:rPr>
          <w:rFonts w:cs="Times"/>
          <w:color w:val="000000" w:themeColor="text1"/>
          <w:lang w:val="en-US"/>
        </w:rPr>
        <w:t>liberty</w:t>
      </w:r>
      <w:r w:rsidRPr="003171CD">
        <w:rPr>
          <w:rFonts w:cs="Times"/>
          <w:color w:val="000000" w:themeColor="text1"/>
          <w:lang w:val="en-US"/>
        </w:rPr>
        <w:t>, recognized in Article 7(1), 7(3) and 7(6) of the American Convention on Human Rights, in relation to</w:t>
      </w:r>
      <w:r w:rsidRPr="003171CD">
        <w:rPr>
          <w:rFonts w:eastAsiaTheme="minorHAnsi" w:cs="Arial"/>
          <w:bCs/>
          <w:szCs w:val="20"/>
          <w:lang w:val="en-US"/>
        </w:rPr>
        <w:t xml:space="preserve"> Article 1(1) thereof</w:t>
      </w:r>
      <w:r w:rsidRPr="003171CD">
        <w:rPr>
          <w:rFonts w:cs="Times"/>
          <w:color w:val="000000" w:themeColor="text1"/>
          <w:lang w:val="en-US"/>
        </w:rPr>
        <w:t>, to the detriment of José Agapito Ruano Torres, pursuant to paragraphs 140 to 146 of this Judgment.</w:t>
      </w:r>
    </w:p>
    <w:p w14:paraId="3AD92E65" w14:textId="77777777" w:rsidR="005A65CE" w:rsidRPr="003171CD" w:rsidRDefault="005A65CE" w:rsidP="005A65CE">
      <w:pPr>
        <w:pStyle w:val="Prrafodelista"/>
        <w:autoSpaceDE/>
        <w:autoSpaceDN/>
        <w:adjustRightInd/>
        <w:ind w:left="0"/>
        <w:contextualSpacing/>
        <w:jc w:val="both"/>
        <w:rPr>
          <w:rFonts w:cs="Times"/>
          <w:color w:val="000000" w:themeColor="text1"/>
          <w:lang w:val="en-US"/>
        </w:rPr>
      </w:pPr>
    </w:p>
    <w:p w14:paraId="38D59BAE" w14:textId="77777777" w:rsidR="005A65CE" w:rsidRPr="003171CD" w:rsidRDefault="005A65CE" w:rsidP="005A65CE">
      <w:pPr>
        <w:pStyle w:val="Prrafodelista"/>
        <w:numPr>
          <w:ilvl w:val="0"/>
          <w:numId w:val="14"/>
        </w:numPr>
        <w:autoSpaceDE/>
        <w:autoSpaceDN/>
        <w:adjustRightInd/>
        <w:ind w:left="0" w:firstLine="0"/>
        <w:contextualSpacing/>
        <w:jc w:val="both"/>
        <w:rPr>
          <w:rFonts w:cs="Times"/>
          <w:color w:val="000000" w:themeColor="text1"/>
          <w:lang w:val="en-US"/>
        </w:rPr>
      </w:pPr>
      <w:r w:rsidRPr="003171CD">
        <w:rPr>
          <w:rFonts w:cs="Times"/>
          <w:color w:val="000000" w:themeColor="text1"/>
          <w:lang w:val="en-US"/>
        </w:rPr>
        <w:t xml:space="preserve">The State is responsible for the violation of the right </w:t>
      </w:r>
      <w:r w:rsidR="0084484B" w:rsidRPr="003171CD">
        <w:rPr>
          <w:rFonts w:cs="Times"/>
          <w:color w:val="000000" w:themeColor="text1"/>
          <w:lang w:val="en-US"/>
        </w:rPr>
        <w:t>to</w:t>
      </w:r>
      <w:r w:rsidR="00410B2D" w:rsidRPr="003171CD">
        <w:rPr>
          <w:rFonts w:cs="Times"/>
          <w:color w:val="000000" w:themeColor="text1"/>
          <w:lang w:val="en-US"/>
        </w:rPr>
        <w:t xml:space="preserve"> </w:t>
      </w:r>
      <w:r w:rsidRPr="003171CD">
        <w:rPr>
          <w:rFonts w:cs="Times"/>
          <w:color w:val="000000" w:themeColor="text1"/>
          <w:lang w:val="en-US"/>
        </w:rPr>
        <w:t xml:space="preserve">defense and </w:t>
      </w:r>
      <w:r w:rsidR="0084484B" w:rsidRPr="003171CD">
        <w:rPr>
          <w:rFonts w:cs="Times"/>
          <w:color w:val="000000" w:themeColor="text1"/>
          <w:lang w:val="en-US"/>
        </w:rPr>
        <w:t>a hearing</w:t>
      </w:r>
      <w:r w:rsidR="00410B2D" w:rsidRPr="003171CD">
        <w:rPr>
          <w:rFonts w:cs="Times"/>
          <w:color w:val="000000" w:themeColor="text1"/>
          <w:lang w:val="en-US"/>
        </w:rPr>
        <w:t xml:space="preserve"> </w:t>
      </w:r>
      <w:r w:rsidRPr="003171CD">
        <w:rPr>
          <w:rFonts w:cs="Times"/>
          <w:color w:val="000000" w:themeColor="text1"/>
          <w:lang w:val="en-US"/>
        </w:rPr>
        <w:t>with guarantees</w:t>
      </w:r>
      <w:r w:rsidR="0084484B" w:rsidRPr="003171CD">
        <w:rPr>
          <w:rFonts w:cs="Times"/>
          <w:color w:val="000000" w:themeColor="text1"/>
          <w:lang w:val="en-US"/>
        </w:rPr>
        <w:t xml:space="preserve"> of due process</w:t>
      </w:r>
      <w:r w:rsidRPr="003171CD">
        <w:rPr>
          <w:rFonts w:cs="Times"/>
          <w:color w:val="000000" w:themeColor="text1"/>
          <w:lang w:val="en-US"/>
        </w:rPr>
        <w:t>, recognized in Articles 8(1), 8(2)(d) and 8(2)(e) of th</w:t>
      </w:r>
      <w:r w:rsidR="00410B2D" w:rsidRPr="003171CD">
        <w:rPr>
          <w:rFonts w:cs="Times"/>
          <w:color w:val="000000" w:themeColor="text1"/>
          <w:lang w:val="en-US"/>
        </w:rPr>
        <w:t>e American Convention on Human R</w:t>
      </w:r>
      <w:r w:rsidRPr="003171CD">
        <w:rPr>
          <w:rFonts w:cs="Times"/>
          <w:color w:val="000000" w:themeColor="text1"/>
          <w:lang w:val="en-US"/>
        </w:rPr>
        <w:t xml:space="preserve">ights, in </w:t>
      </w:r>
      <w:r w:rsidRPr="003171CD">
        <w:rPr>
          <w:rFonts w:eastAsiaTheme="minorHAnsi" w:cs="Arial"/>
          <w:bCs/>
          <w:szCs w:val="20"/>
          <w:lang w:val="en-US"/>
        </w:rPr>
        <w:t>relation to Article 1(1) thereof</w:t>
      </w:r>
      <w:r w:rsidRPr="003171CD">
        <w:rPr>
          <w:rFonts w:eastAsiaTheme="minorHAnsi" w:cs="Arial"/>
          <w:bCs/>
          <w:lang w:val="en-US"/>
        </w:rPr>
        <w:t>,</w:t>
      </w:r>
      <w:r w:rsidRPr="003171CD">
        <w:rPr>
          <w:rFonts w:cs="Times"/>
          <w:color w:val="000000" w:themeColor="text1"/>
          <w:lang w:val="en-US"/>
        </w:rPr>
        <w:t xml:space="preserve"> to the detriment of José Agapito Ruano Torres, </w:t>
      </w:r>
      <w:r w:rsidR="00410B2D" w:rsidRPr="003171CD">
        <w:rPr>
          <w:rFonts w:cs="Times"/>
          <w:color w:val="000000" w:themeColor="text1"/>
          <w:lang w:val="en-US"/>
        </w:rPr>
        <w:t xml:space="preserve">pursuant to </w:t>
      </w:r>
      <w:r w:rsidRPr="003171CD">
        <w:rPr>
          <w:rFonts w:cs="Times"/>
          <w:color w:val="000000" w:themeColor="text1"/>
          <w:lang w:val="en-US"/>
        </w:rPr>
        <w:t>paragraphs 150 to 175 of this Judgment.</w:t>
      </w:r>
    </w:p>
    <w:p w14:paraId="75C22485" w14:textId="77777777" w:rsidR="005A65CE" w:rsidRPr="003171CD" w:rsidRDefault="005A65CE" w:rsidP="005A65CE">
      <w:pPr>
        <w:tabs>
          <w:tab w:val="left" w:pos="567"/>
        </w:tabs>
        <w:jc w:val="both"/>
        <w:rPr>
          <w:rFonts w:eastAsia="Batang" w:cs="Times"/>
          <w:color w:val="000000" w:themeColor="text1"/>
          <w:lang w:val="en-US"/>
        </w:rPr>
      </w:pPr>
    </w:p>
    <w:p w14:paraId="33FFF901" w14:textId="77777777" w:rsidR="005A65CE" w:rsidRPr="003171CD" w:rsidRDefault="005A65CE" w:rsidP="005A65CE">
      <w:pPr>
        <w:pStyle w:val="Prrafodelista"/>
        <w:numPr>
          <w:ilvl w:val="0"/>
          <w:numId w:val="14"/>
        </w:numPr>
        <w:autoSpaceDE/>
        <w:autoSpaceDN/>
        <w:adjustRightInd/>
        <w:ind w:left="0" w:firstLine="0"/>
        <w:contextualSpacing/>
        <w:jc w:val="both"/>
        <w:rPr>
          <w:rFonts w:cs="Times"/>
          <w:color w:val="000000" w:themeColor="text1"/>
          <w:lang w:val="en-US"/>
        </w:rPr>
      </w:pPr>
      <w:r w:rsidRPr="003171CD">
        <w:rPr>
          <w:rFonts w:cs="Times"/>
          <w:color w:val="000000" w:themeColor="text1"/>
          <w:lang w:val="en-US"/>
        </w:rPr>
        <w:t>The State is responsible for the violation of the right to personal integrity, recognized in Article 5(1) of the American Convention on Human Rights, in relation to</w:t>
      </w:r>
      <w:r w:rsidRPr="003171CD">
        <w:rPr>
          <w:rFonts w:eastAsiaTheme="minorHAnsi" w:cs="Arial"/>
          <w:bCs/>
          <w:szCs w:val="20"/>
          <w:lang w:val="en-US"/>
        </w:rPr>
        <w:t xml:space="preserve"> Article 1(1) thereof</w:t>
      </w:r>
      <w:r w:rsidRPr="003171CD">
        <w:rPr>
          <w:rFonts w:eastAsiaTheme="minorHAnsi" w:cs="Arial"/>
          <w:bCs/>
          <w:lang w:val="en-US"/>
        </w:rPr>
        <w:t>,</w:t>
      </w:r>
      <w:r w:rsidRPr="003171CD">
        <w:rPr>
          <w:rFonts w:cs="Times"/>
          <w:color w:val="000000" w:themeColor="text1"/>
          <w:lang w:val="en-US"/>
        </w:rPr>
        <w:t xml:space="preserve"> to the detriment of </w:t>
      </w:r>
      <w:r w:rsidR="00D2478A" w:rsidRPr="003171CD">
        <w:rPr>
          <w:rFonts w:cs="Times"/>
          <w:lang w:val="en-US"/>
        </w:rPr>
        <w:t>María Maribel Guevara de</w:t>
      </w:r>
      <w:r w:rsidRPr="003171CD">
        <w:rPr>
          <w:rFonts w:cs="Times"/>
          <w:lang w:val="en-US"/>
        </w:rPr>
        <w:t xml:space="preserve"> Ruano, Oscar Manuel Ruano Guevara, Keily Lisbeth Ruano Guevara and Pedro Torres Hércules</w:t>
      </w:r>
      <w:r w:rsidRPr="003171CD">
        <w:rPr>
          <w:rFonts w:cs="Times"/>
          <w:color w:val="000000" w:themeColor="text1"/>
          <w:lang w:val="en-US"/>
        </w:rPr>
        <w:t>, pursuant to paragraphs 176 to 188 of this Judgment.</w:t>
      </w:r>
    </w:p>
    <w:p w14:paraId="7E006A69" w14:textId="77777777" w:rsidR="005A65CE" w:rsidRPr="003171CD" w:rsidRDefault="005A65CE" w:rsidP="005A65CE">
      <w:pPr>
        <w:tabs>
          <w:tab w:val="left" w:pos="567"/>
        </w:tabs>
        <w:jc w:val="both"/>
        <w:rPr>
          <w:rFonts w:eastAsia="Batang" w:cs="Times"/>
          <w:color w:val="000000" w:themeColor="text1"/>
          <w:lang w:val="en-US"/>
        </w:rPr>
      </w:pPr>
    </w:p>
    <w:p w14:paraId="70FF302F" w14:textId="77777777" w:rsidR="005A65CE" w:rsidRPr="003171CD" w:rsidRDefault="005A65CE" w:rsidP="005A65CE">
      <w:pPr>
        <w:jc w:val="both"/>
        <w:rPr>
          <w:rFonts w:eastAsia="Times"/>
          <w:b/>
          <w:lang w:val="en-US"/>
        </w:rPr>
      </w:pPr>
      <w:r w:rsidRPr="003171CD">
        <w:rPr>
          <w:rFonts w:eastAsia="Times"/>
          <w:b/>
          <w:lang w:val="en-US"/>
        </w:rPr>
        <w:t>AND ORDERS</w:t>
      </w:r>
    </w:p>
    <w:p w14:paraId="08E8669A" w14:textId="77777777" w:rsidR="005A65CE" w:rsidRPr="003171CD" w:rsidRDefault="005A65CE" w:rsidP="005A65CE">
      <w:pPr>
        <w:tabs>
          <w:tab w:val="left" w:pos="1979"/>
        </w:tabs>
        <w:jc w:val="both"/>
        <w:rPr>
          <w:rFonts w:eastAsia="Times"/>
          <w:b/>
          <w:lang w:val="en-US"/>
        </w:rPr>
      </w:pPr>
    </w:p>
    <w:p w14:paraId="56B4C83C" w14:textId="77777777" w:rsidR="005A65CE" w:rsidRPr="003171CD" w:rsidRDefault="00F62680" w:rsidP="005A65CE">
      <w:pPr>
        <w:pStyle w:val="Prrafodelista2"/>
        <w:tabs>
          <w:tab w:val="left" w:pos="720"/>
        </w:tabs>
        <w:ind w:left="0" w:right="-90"/>
        <w:contextualSpacing/>
        <w:rPr>
          <w:lang w:val="en-US"/>
        </w:rPr>
      </w:pPr>
      <w:r w:rsidRPr="003171CD">
        <w:rPr>
          <w:lang w:val="en-US"/>
        </w:rPr>
        <w:t>U</w:t>
      </w:r>
      <w:r w:rsidR="005A65CE" w:rsidRPr="003171CD">
        <w:rPr>
          <w:lang w:val="en-US"/>
        </w:rPr>
        <w:t>nanimously, that:</w:t>
      </w:r>
    </w:p>
    <w:p w14:paraId="707278AA" w14:textId="77777777" w:rsidR="005A65CE" w:rsidRPr="003171CD" w:rsidRDefault="005A65CE" w:rsidP="005A65CE">
      <w:pPr>
        <w:jc w:val="both"/>
        <w:rPr>
          <w:rFonts w:eastAsia="Times"/>
          <w:lang w:val="en-US"/>
        </w:rPr>
      </w:pPr>
    </w:p>
    <w:p w14:paraId="728C0DE9" w14:textId="77777777" w:rsidR="005A65CE" w:rsidRPr="003171CD" w:rsidRDefault="00D2478A" w:rsidP="005A65CE">
      <w:pPr>
        <w:pStyle w:val="Prrafodelista"/>
        <w:numPr>
          <w:ilvl w:val="0"/>
          <w:numId w:val="14"/>
        </w:numPr>
        <w:autoSpaceDE/>
        <w:autoSpaceDN/>
        <w:adjustRightInd/>
        <w:ind w:left="0" w:firstLine="0"/>
        <w:contextualSpacing/>
        <w:jc w:val="both"/>
        <w:rPr>
          <w:rFonts w:eastAsia="Times"/>
          <w:lang w:val="en-US"/>
        </w:rPr>
      </w:pPr>
      <w:r w:rsidRPr="003171CD">
        <w:rPr>
          <w:rFonts w:eastAsia="Times"/>
          <w:lang w:val="en-US"/>
        </w:rPr>
        <w:t>This Judgment i</w:t>
      </w:r>
      <w:r w:rsidR="005A65CE" w:rsidRPr="003171CD">
        <w:rPr>
          <w:rFonts w:eastAsia="Times"/>
          <w:lang w:val="en-US"/>
        </w:rPr>
        <w:t>s</w:t>
      </w:r>
      <w:r w:rsidRPr="003171CD">
        <w:rPr>
          <w:rFonts w:eastAsia="Times"/>
          <w:lang w:val="en-US"/>
        </w:rPr>
        <w:t>,</w:t>
      </w:r>
      <w:r w:rsidR="005A65CE" w:rsidRPr="003171CD">
        <w:rPr>
          <w:rFonts w:eastAsia="Times"/>
          <w:lang w:val="en-US"/>
        </w:rPr>
        <w:t xml:space="preserve"> </w:t>
      </w:r>
      <w:r w:rsidR="005A65CE" w:rsidRPr="003171CD">
        <w:rPr>
          <w:rFonts w:eastAsia="Times"/>
          <w:i/>
          <w:lang w:val="en-US"/>
        </w:rPr>
        <w:t>per se</w:t>
      </w:r>
      <w:r w:rsidRPr="003171CD">
        <w:rPr>
          <w:rFonts w:eastAsia="Times"/>
          <w:i/>
          <w:lang w:val="en-US"/>
        </w:rPr>
        <w:t>,</w:t>
      </w:r>
      <w:r w:rsidR="005A65CE" w:rsidRPr="003171CD">
        <w:rPr>
          <w:rFonts w:eastAsia="Times"/>
          <w:lang w:val="en-US"/>
        </w:rPr>
        <w:t xml:space="preserve"> a form of reparation.</w:t>
      </w:r>
    </w:p>
    <w:p w14:paraId="01FEA31A" w14:textId="77777777" w:rsidR="005A65CE" w:rsidRPr="003171CD" w:rsidRDefault="005A65CE" w:rsidP="005A65CE">
      <w:pPr>
        <w:pStyle w:val="Prrafodelista"/>
        <w:autoSpaceDE/>
        <w:autoSpaceDN/>
        <w:adjustRightInd/>
        <w:ind w:left="0"/>
        <w:contextualSpacing/>
        <w:jc w:val="both"/>
        <w:rPr>
          <w:rFonts w:eastAsia="Times"/>
          <w:lang w:val="en-US"/>
        </w:rPr>
      </w:pPr>
    </w:p>
    <w:p w14:paraId="20C3CEE0"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rFonts w:eastAsia="MS Mincho"/>
          <w:lang w:val="en-US"/>
        </w:rPr>
        <w:t xml:space="preserve">The State </w:t>
      </w:r>
      <w:r w:rsidR="00D2478A" w:rsidRPr="003171CD">
        <w:rPr>
          <w:rFonts w:eastAsia="MS Mincho"/>
          <w:lang w:val="en-US"/>
        </w:rPr>
        <w:t xml:space="preserve">must </w:t>
      </w:r>
      <w:r w:rsidR="00787C8B" w:rsidRPr="003171CD">
        <w:rPr>
          <w:rFonts w:eastAsia="MS Mincho"/>
          <w:lang w:val="en-US"/>
        </w:rPr>
        <w:t xml:space="preserve">initiate </w:t>
      </w:r>
      <w:r w:rsidRPr="003171CD">
        <w:rPr>
          <w:rFonts w:eastAsia="MS Mincho"/>
          <w:lang w:val="en-US"/>
        </w:rPr>
        <w:t xml:space="preserve">and </w:t>
      </w:r>
      <w:r w:rsidR="00787C8B" w:rsidRPr="003171CD">
        <w:rPr>
          <w:rFonts w:eastAsia="MS Mincho"/>
          <w:lang w:val="en-US"/>
        </w:rPr>
        <w:t>conduct</w:t>
      </w:r>
      <w:r w:rsidRPr="003171CD">
        <w:rPr>
          <w:rFonts w:eastAsia="MS Mincho"/>
          <w:lang w:val="en-US"/>
        </w:rPr>
        <w:t xml:space="preserve">, within a reasonable </w:t>
      </w:r>
      <w:r w:rsidR="00D2478A" w:rsidRPr="003171CD">
        <w:rPr>
          <w:rFonts w:eastAsia="MS Mincho"/>
          <w:lang w:val="en-US"/>
        </w:rPr>
        <w:t>time</w:t>
      </w:r>
      <w:r w:rsidRPr="003171CD">
        <w:rPr>
          <w:rFonts w:eastAsia="MS Mincho"/>
          <w:lang w:val="en-US"/>
        </w:rPr>
        <w:t xml:space="preserve">, </w:t>
      </w:r>
      <w:r w:rsidR="00787C8B" w:rsidRPr="003171CD">
        <w:rPr>
          <w:rFonts w:eastAsia="MS Mincho"/>
          <w:lang w:val="en-US"/>
        </w:rPr>
        <w:t>an</w:t>
      </w:r>
      <w:r w:rsidR="00D2478A" w:rsidRPr="003171CD">
        <w:rPr>
          <w:rFonts w:eastAsia="MS Mincho"/>
          <w:lang w:val="en-US"/>
        </w:rPr>
        <w:t xml:space="preserve"> effective </w:t>
      </w:r>
      <w:r w:rsidRPr="003171CD">
        <w:rPr>
          <w:rFonts w:eastAsia="MS Mincho"/>
          <w:lang w:val="en-US"/>
        </w:rPr>
        <w:t xml:space="preserve">investigation and </w:t>
      </w:r>
      <w:r w:rsidR="000047CB" w:rsidRPr="003171CD">
        <w:rPr>
          <w:rFonts w:eastAsia="MS Mincho"/>
          <w:lang w:val="en-US"/>
        </w:rPr>
        <w:t xml:space="preserve">prosecution </w:t>
      </w:r>
      <w:r w:rsidRPr="003171CD">
        <w:rPr>
          <w:rFonts w:eastAsia="MS Mincho"/>
          <w:lang w:val="en-US"/>
        </w:rPr>
        <w:t xml:space="preserve">of the acts </w:t>
      </w:r>
      <w:r w:rsidR="000047CB" w:rsidRPr="003171CD">
        <w:rPr>
          <w:rFonts w:eastAsia="MS Mincho"/>
          <w:lang w:val="en-US"/>
        </w:rPr>
        <w:t xml:space="preserve">committed in violation of </w:t>
      </w:r>
      <w:r w:rsidRPr="003171CD">
        <w:rPr>
          <w:rFonts w:eastAsia="MS Mincho"/>
          <w:lang w:val="en-US"/>
        </w:rPr>
        <w:t xml:space="preserve">Article 5(2) of the Convention against Mr. José Agapito Ruano Torres, to determine the </w:t>
      </w:r>
      <w:r w:rsidR="00AC0CC5" w:rsidRPr="003171CD">
        <w:rPr>
          <w:rFonts w:eastAsia="MS Mincho"/>
          <w:lang w:val="en-US"/>
        </w:rPr>
        <w:t xml:space="preserve">possible </w:t>
      </w:r>
      <w:r w:rsidRPr="003171CD">
        <w:rPr>
          <w:rFonts w:eastAsia="MS Mincho"/>
          <w:lang w:val="en-US"/>
        </w:rPr>
        <w:t xml:space="preserve">criminal </w:t>
      </w:r>
      <w:r w:rsidR="003454B5" w:rsidRPr="003171CD">
        <w:rPr>
          <w:rFonts w:eastAsia="MS Mincho"/>
          <w:lang w:val="en-US"/>
        </w:rPr>
        <w:t>responsibilities</w:t>
      </w:r>
      <w:r w:rsidRPr="003171CD">
        <w:rPr>
          <w:rFonts w:eastAsia="MS Mincho"/>
          <w:lang w:val="en-US"/>
        </w:rPr>
        <w:t xml:space="preserve"> and, where appropriate, apply the sanctions and consequences </w:t>
      </w:r>
      <w:r w:rsidR="00D2478A" w:rsidRPr="003171CD">
        <w:rPr>
          <w:rFonts w:eastAsia="MS Mincho"/>
          <w:lang w:val="en-US"/>
        </w:rPr>
        <w:t xml:space="preserve">established </w:t>
      </w:r>
      <w:r w:rsidRPr="003171CD">
        <w:rPr>
          <w:rFonts w:eastAsia="MS Mincho"/>
          <w:lang w:val="en-US"/>
        </w:rPr>
        <w:t xml:space="preserve">by law, </w:t>
      </w:r>
      <w:r w:rsidR="00D2478A" w:rsidRPr="003171CD">
        <w:rPr>
          <w:rFonts w:eastAsia="MS Mincho"/>
          <w:lang w:val="en-US"/>
        </w:rPr>
        <w:t xml:space="preserve">pursuant to </w:t>
      </w:r>
      <w:r w:rsidRPr="003171CD">
        <w:rPr>
          <w:rFonts w:eastAsia="MS Mincho"/>
          <w:lang w:val="en-US"/>
        </w:rPr>
        <w:t>paragraphs 197 to 199 of this Judgment.</w:t>
      </w:r>
    </w:p>
    <w:p w14:paraId="12E42439" w14:textId="77777777" w:rsidR="005A65CE" w:rsidRPr="003171CD" w:rsidRDefault="005A65CE" w:rsidP="005A65CE">
      <w:pPr>
        <w:pStyle w:val="Prrafodelista"/>
        <w:rPr>
          <w:rFonts w:eastAsia="Times"/>
          <w:lang w:val="en-US"/>
        </w:rPr>
      </w:pPr>
    </w:p>
    <w:p w14:paraId="554E55B4"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lang w:val="en-US"/>
        </w:rPr>
        <w:t xml:space="preserve">The State </w:t>
      </w:r>
      <w:r w:rsidR="0003311F" w:rsidRPr="003171CD">
        <w:rPr>
          <w:lang w:val="en-US"/>
        </w:rPr>
        <w:t xml:space="preserve">must </w:t>
      </w:r>
      <w:r w:rsidR="000047CB" w:rsidRPr="003171CD">
        <w:rPr>
          <w:lang w:val="en-US"/>
        </w:rPr>
        <w:t xml:space="preserve">take steps to </w:t>
      </w:r>
      <w:r w:rsidRPr="003171CD">
        <w:rPr>
          <w:lang w:val="en-US"/>
        </w:rPr>
        <w:t>determine, within a reasonable time, through the competent public insti</w:t>
      </w:r>
      <w:r w:rsidR="00E96948" w:rsidRPr="003171CD">
        <w:rPr>
          <w:lang w:val="en-US"/>
        </w:rPr>
        <w:t xml:space="preserve">tutions, the </w:t>
      </w:r>
      <w:r w:rsidR="00E3070B" w:rsidRPr="003171CD">
        <w:rPr>
          <w:lang w:val="en-US"/>
        </w:rPr>
        <w:t xml:space="preserve">possible </w:t>
      </w:r>
      <w:r w:rsidR="00C72ADC" w:rsidRPr="003171CD">
        <w:rPr>
          <w:lang w:val="en-US"/>
        </w:rPr>
        <w:t>responsi</w:t>
      </w:r>
      <w:r w:rsidR="00E3070B" w:rsidRPr="003171CD">
        <w:rPr>
          <w:lang w:val="en-US"/>
        </w:rPr>
        <w:t>bility</w:t>
      </w:r>
      <w:r w:rsidRPr="003171CD">
        <w:rPr>
          <w:lang w:val="en-US"/>
        </w:rPr>
        <w:t xml:space="preserve"> of the </w:t>
      </w:r>
      <w:r w:rsidR="00E96948" w:rsidRPr="003171CD">
        <w:rPr>
          <w:lang w:val="en-US"/>
        </w:rPr>
        <w:t>officials</w:t>
      </w:r>
      <w:r w:rsidRPr="003171CD">
        <w:rPr>
          <w:lang w:val="en-US"/>
        </w:rPr>
        <w:t xml:space="preserve"> of the </w:t>
      </w:r>
      <w:r w:rsidR="00E3070B" w:rsidRPr="003171CD">
        <w:rPr>
          <w:lang w:val="en-US"/>
        </w:rPr>
        <w:t>Office of the Public D</w:t>
      </w:r>
      <w:r w:rsidRPr="003171CD">
        <w:rPr>
          <w:lang w:val="en-US"/>
        </w:rPr>
        <w:t>efen</w:t>
      </w:r>
      <w:r w:rsidR="00E3070B" w:rsidRPr="003171CD">
        <w:rPr>
          <w:lang w:val="en-US"/>
        </w:rPr>
        <w:t xml:space="preserve">der </w:t>
      </w:r>
      <w:r w:rsidRPr="003171CD">
        <w:rPr>
          <w:lang w:val="en-US"/>
        </w:rPr>
        <w:t xml:space="preserve">whose actions contributed to the violation of the rights of José Agapito Ruano Torres and, </w:t>
      </w:r>
      <w:r w:rsidR="00787C8B" w:rsidRPr="003171CD">
        <w:rPr>
          <w:lang w:val="en-US"/>
        </w:rPr>
        <w:t>where</w:t>
      </w:r>
      <w:r w:rsidR="0003311F" w:rsidRPr="003171CD">
        <w:rPr>
          <w:lang w:val="en-US"/>
        </w:rPr>
        <w:t xml:space="preserve"> </w:t>
      </w:r>
      <w:r w:rsidRPr="003171CD">
        <w:rPr>
          <w:lang w:val="en-US"/>
        </w:rPr>
        <w:t xml:space="preserve">appropriate, </w:t>
      </w:r>
      <w:r w:rsidR="00FF0300" w:rsidRPr="003171CD">
        <w:rPr>
          <w:lang w:val="en-US"/>
        </w:rPr>
        <w:t>appl</w:t>
      </w:r>
      <w:r w:rsidR="00E96948" w:rsidRPr="003171CD">
        <w:rPr>
          <w:lang w:val="en-US"/>
        </w:rPr>
        <w:t xml:space="preserve">y </w:t>
      </w:r>
      <w:r w:rsidRPr="003171CD">
        <w:rPr>
          <w:lang w:val="en-US"/>
        </w:rPr>
        <w:t xml:space="preserve">the </w:t>
      </w:r>
      <w:r w:rsidR="000047CB" w:rsidRPr="003171CD">
        <w:rPr>
          <w:lang w:val="en-US"/>
        </w:rPr>
        <w:t xml:space="preserve">penalties </w:t>
      </w:r>
      <w:r w:rsidRPr="003171CD">
        <w:rPr>
          <w:lang w:val="en-US"/>
        </w:rPr>
        <w:t xml:space="preserve">contemplated by law, </w:t>
      </w:r>
      <w:r w:rsidR="0003311F" w:rsidRPr="003171CD">
        <w:rPr>
          <w:lang w:val="en-US"/>
        </w:rPr>
        <w:t xml:space="preserve">pursuant to </w:t>
      </w:r>
      <w:r w:rsidRPr="003171CD">
        <w:rPr>
          <w:rFonts w:eastAsia="MS Mincho"/>
          <w:lang w:val="en-US"/>
        </w:rPr>
        <w:t>paragraphs 203 to 205 of this Judgment.</w:t>
      </w:r>
    </w:p>
    <w:p w14:paraId="393AC0AB" w14:textId="77777777" w:rsidR="005A65CE" w:rsidRPr="003171CD" w:rsidRDefault="005A65CE" w:rsidP="005A65CE">
      <w:pPr>
        <w:pStyle w:val="Prrafodelista"/>
        <w:rPr>
          <w:rFonts w:eastAsia="Times"/>
          <w:lang w:val="en-US"/>
        </w:rPr>
      </w:pPr>
    </w:p>
    <w:p w14:paraId="1DFE37A4"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lang w:val="en-US"/>
        </w:rPr>
        <w:t xml:space="preserve">The State </w:t>
      </w:r>
      <w:r w:rsidR="009D3AE8" w:rsidRPr="003171CD">
        <w:rPr>
          <w:lang w:val="en-US"/>
        </w:rPr>
        <w:t xml:space="preserve">must </w:t>
      </w:r>
      <w:r w:rsidR="00F82C24" w:rsidRPr="003171CD">
        <w:rPr>
          <w:lang w:val="en-US"/>
        </w:rPr>
        <w:t xml:space="preserve">take </w:t>
      </w:r>
      <w:r w:rsidRPr="003171CD">
        <w:rPr>
          <w:lang w:val="en-US"/>
        </w:rPr>
        <w:t xml:space="preserve">all the necessary </w:t>
      </w:r>
      <w:r w:rsidR="00F82C24" w:rsidRPr="003171CD">
        <w:rPr>
          <w:lang w:val="en-US"/>
        </w:rPr>
        <w:t xml:space="preserve">steps </w:t>
      </w:r>
      <w:r w:rsidRPr="003171CD">
        <w:rPr>
          <w:lang w:val="en-US"/>
        </w:rPr>
        <w:t xml:space="preserve">to </w:t>
      </w:r>
      <w:r w:rsidR="00027490" w:rsidRPr="003171CD">
        <w:rPr>
          <w:lang w:val="en-US"/>
        </w:rPr>
        <w:t xml:space="preserve">implement the </w:t>
      </w:r>
      <w:r w:rsidR="00F82C24" w:rsidRPr="003171CD">
        <w:rPr>
          <w:lang w:val="en-US"/>
        </w:rPr>
        <w:t xml:space="preserve">measures established </w:t>
      </w:r>
      <w:r w:rsidRPr="003171CD">
        <w:rPr>
          <w:lang w:val="en-US"/>
        </w:rPr>
        <w:t xml:space="preserve">in paragraph 211 of this Judgment and, therefore, </w:t>
      </w:r>
      <w:r w:rsidR="009D3AE8" w:rsidRPr="003171CD">
        <w:rPr>
          <w:lang w:val="en-US"/>
        </w:rPr>
        <w:t xml:space="preserve">must </w:t>
      </w:r>
      <w:r w:rsidR="00027490" w:rsidRPr="003171CD">
        <w:rPr>
          <w:lang w:val="en-US"/>
        </w:rPr>
        <w:t xml:space="preserve">proceed to </w:t>
      </w:r>
      <w:r w:rsidR="00496F83" w:rsidRPr="003171CD">
        <w:rPr>
          <w:lang w:val="en-US"/>
        </w:rPr>
        <w:t xml:space="preserve">annul </w:t>
      </w:r>
      <w:r w:rsidRPr="003171CD">
        <w:rPr>
          <w:lang w:val="en-US"/>
        </w:rPr>
        <w:t xml:space="preserve">all the consequences derived from the conviction </w:t>
      </w:r>
      <w:r w:rsidR="00027490" w:rsidRPr="003171CD">
        <w:rPr>
          <w:lang w:val="en-US"/>
        </w:rPr>
        <w:t xml:space="preserve">handed down in </w:t>
      </w:r>
      <w:r w:rsidR="00854620" w:rsidRPr="003171CD">
        <w:rPr>
          <w:lang w:val="en-US"/>
        </w:rPr>
        <w:t xml:space="preserve">criminal trial </w:t>
      </w:r>
      <w:r w:rsidRPr="003171CD">
        <w:rPr>
          <w:lang w:val="en-US"/>
        </w:rPr>
        <w:t>No. 77-2001-2 against José Agapito Ruano Torres,</w:t>
      </w:r>
      <w:r w:rsidR="00DB34D2" w:rsidRPr="003171CD">
        <w:rPr>
          <w:rFonts w:eastAsiaTheme="minorHAnsi" w:cs="Arial"/>
          <w:lang w:val="en-US"/>
        </w:rPr>
        <w:t xml:space="preserve"> </w:t>
      </w:r>
      <w:r w:rsidR="00027490" w:rsidRPr="003171CD">
        <w:rPr>
          <w:rFonts w:eastAsiaTheme="minorHAnsi" w:cs="Arial"/>
          <w:lang w:val="en-US"/>
        </w:rPr>
        <w:t xml:space="preserve">together with any </w:t>
      </w:r>
      <w:r w:rsidRPr="003171CD">
        <w:rPr>
          <w:rFonts w:eastAsiaTheme="minorHAnsi" w:cs="Arial"/>
          <w:lang w:val="en-US"/>
        </w:rPr>
        <w:t xml:space="preserve">judicial, administrative, criminal or police records </w:t>
      </w:r>
      <w:r w:rsidR="00027490" w:rsidRPr="003171CD">
        <w:rPr>
          <w:rFonts w:eastAsiaTheme="minorHAnsi" w:cs="Arial"/>
          <w:lang w:val="en-US"/>
        </w:rPr>
        <w:t xml:space="preserve">related to </w:t>
      </w:r>
      <w:r w:rsidRPr="003171CD">
        <w:rPr>
          <w:rFonts w:eastAsiaTheme="minorHAnsi" w:cs="Arial"/>
          <w:lang w:val="en-US"/>
        </w:rPr>
        <w:t>that proce</w:t>
      </w:r>
      <w:r w:rsidR="00E3070B" w:rsidRPr="003171CD">
        <w:rPr>
          <w:rFonts w:eastAsiaTheme="minorHAnsi" w:cs="Arial"/>
          <w:lang w:val="en-US"/>
        </w:rPr>
        <w:t>eding</w:t>
      </w:r>
      <w:r w:rsidRPr="003171CD">
        <w:rPr>
          <w:lang w:val="en-US"/>
        </w:rPr>
        <w:t xml:space="preserve">, </w:t>
      </w:r>
      <w:r w:rsidR="009D3AE8" w:rsidRPr="003171CD">
        <w:rPr>
          <w:lang w:val="en-US"/>
        </w:rPr>
        <w:t xml:space="preserve">in accordance with </w:t>
      </w:r>
      <w:r w:rsidRPr="003171CD">
        <w:rPr>
          <w:rFonts w:eastAsia="MS Mincho"/>
          <w:lang w:val="en-US"/>
        </w:rPr>
        <w:t>paragraphs 209 to 212 of this Judgment.</w:t>
      </w:r>
    </w:p>
    <w:p w14:paraId="3CA9480C" w14:textId="77777777" w:rsidR="005A65CE" w:rsidRPr="003171CD" w:rsidRDefault="005A65CE" w:rsidP="005A65CE">
      <w:pPr>
        <w:pStyle w:val="Prrafodelista"/>
        <w:rPr>
          <w:rFonts w:eastAsia="Times"/>
          <w:lang w:val="en-US"/>
        </w:rPr>
      </w:pPr>
    </w:p>
    <w:p w14:paraId="453DDA69"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lang w:val="en-US"/>
        </w:rPr>
        <w:t xml:space="preserve">The State </w:t>
      </w:r>
      <w:r w:rsidR="00152F01" w:rsidRPr="003171CD">
        <w:rPr>
          <w:lang w:val="en-US"/>
        </w:rPr>
        <w:t xml:space="preserve">must </w:t>
      </w:r>
      <w:r w:rsidRPr="003171CD">
        <w:rPr>
          <w:lang w:val="en-US"/>
        </w:rPr>
        <w:t xml:space="preserve">provide immediately and free of charge, through its specialized health </w:t>
      </w:r>
      <w:r w:rsidR="00787C8B" w:rsidRPr="003171CD">
        <w:rPr>
          <w:lang w:val="en-US"/>
        </w:rPr>
        <w:t xml:space="preserve">care </w:t>
      </w:r>
      <w:r w:rsidRPr="003171CD">
        <w:rPr>
          <w:lang w:val="en-US"/>
        </w:rPr>
        <w:t>institutions, adequate and effective psychological and/or psychiatric treatment</w:t>
      </w:r>
      <w:r w:rsidR="000047CB" w:rsidRPr="003171CD">
        <w:rPr>
          <w:lang w:val="en-US"/>
        </w:rPr>
        <w:t>,</w:t>
      </w:r>
      <w:r w:rsidRPr="003171CD">
        <w:rPr>
          <w:lang w:val="en-US"/>
        </w:rPr>
        <w:t xml:space="preserve"> if requested, </w:t>
      </w:r>
      <w:r w:rsidR="00F979D5" w:rsidRPr="003171CD">
        <w:rPr>
          <w:lang w:val="en-US"/>
        </w:rPr>
        <w:t xml:space="preserve">with prior </w:t>
      </w:r>
      <w:r w:rsidRPr="003171CD">
        <w:rPr>
          <w:lang w:val="en-US"/>
        </w:rPr>
        <w:t xml:space="preserve">informed consent, including the free supply of any medications that may eventually be required, </w:t>
      </w:r>
      <w:r w:rsidR="00152F01" w:rsidRPr="003171CD">
        <w:rPr>
          <w:lang w:val="en-US"/>
        </w:rPr>
        <w:t xml:space="preserve">pursuant to </w:t>
      </w:r>
      <w:r w:rsidRPr="003171CD">
        <w:rPr>
          <w:rFonts w:eastAsia="MS Mincho"/>
          <w:lang w:val="en-US"/>
        </w:rPr>
        <w:t>paragraphs 215 to 216 of this Judgment.</w:t>
      </w:r>
    </w:p>
    <w:p w14:paraId="70F0D71E" w14:textId="77777777" w:rsidR="005A65CE" w:rsidRPr="003171CD" w:rsidRDefault="005A65CE" w:rsidP="005A65CE">
      <w:pPr>
        <w:pStyle w:val="Prrafodelista"/>
        <w:rPr>
          <w:rFonts w:eastAsia="Times"/>
          <w:lang w:val="en-US"/>
        </w:rPr>
      </w:pPr>
    </w:p>
    <w:p w14:paraId="62798618"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lang w:val="en-US"/>
        </w:rPr>
        <w:t xml:space="preserve">The State </w:t>
      </w:r>
      <w:r w:rsidR="000F7983" w:rsidRPr="003171CD">
        <w:rPr>
          <w:lang w:val="en-US"/>
        </w:rPr>
        <w:t xml:space="preserve">must award </w:t>
      </w:r>
      <w:r w:rsidRPr="003171CD">
        <w:rPr>
          <w:lang w:val="en-US"/>
        </w:rPr>
        <w:t>scholarsh</w:t>
      </w:r>
      <w:r w:rsidR="00F979D5" w:rsidRPr="003171CD">
        <w:rPr>
          <w:lang w:val="en-US"/>
        </w:rPr>
        <w:t xml:space="preserve">ips </w:t>
      </w:r>
      <w:r w:rsidR="000F7983" w:rsidRPr="003171CD">
        <w:rPr>
          <w:lang w:val="en-US"/>
        </w:rPr>
        <w:t xml:space="preserve">to </w:t>
      </w:r>
      <w:r w:rsidRPr="003171CD">
        <w:rPr>
          <w:lang w:val="en-US"/>
        </w:rPr>
        <w:t xml:space="preserve">José Agapito Ruano Torres and his </w:t>
      </w:r>
      <w:r w:rsidR="001D07DD" w:rsidRPr="003171CD">
        <w:rPr>
          <w:lang w:val="en-US"/>
        </w:rPr>
        <w:t>family members</w:t>
      </w:r>
      <w:r w:rsidRPr="003171CD">
        <w:rPr>
          <w:lang w:val="en-US"/>
        </w:rPr>
        <w:t xml:space="preserve">, namely, María Maribel Guevara de Ruano, Oscar Manuel Ruano Guevara, Keily Lisbeth Ruano Guevara and Pedro Torres Hércules, </w:t>
      </w:r>
      <w:r w:rsidR="000F7983" w:rsidRPr="003171CD">
        <w:rPr>
          <w:lang w:val="en-US"/>
        </w:rPr>
        <w:t xml:space="preserve">to attend Salvadorian public institutions. The </w:t>
      </w:r>
      <w:r w:rsidR="00434C86" w:rsidRPr="003171CD">
        <w:rPr>
          <w:lang w:val="en-US"/>
        </w:rPr>
        <w:t xml:space="preserve">scholarships </w:t>
      </w:r>
      <w:r w:rsidR="000F7983" w:rsidRPr="003171CD">
        <w:rPr>
          <w:lang w:val="en-US"/>
        </w:rPr>
        <w:t>must cover</w:t>
      </w:r>
      <w:r w:rsidRPr="003171CD">
        <w:rPr>
          <w:lang w:val="en-US"/>
        </w:rPr>
        <w:t xml:space="preserve"> all their educational costs </w:t>
      </w:r>
      <w:r w:rsidR="00A17E81" w:rsidRPr="003171CD">
        <w:rPr>
          <w:lang w:val="en-US"/>
        </w:rPr>
        <w:t>until the conclusion of their advanced studies, whether these are of a technical or academic nature</w:t>
      </w:r>
      <w:r w:rsidRPr="003171CD">
        <w:rPr>
          <w:lang w:val="en-US"/>
        </w:rPr>
        <w:t>,</w:t>
      </w:r>
      <w:r w:rsidRPr="003171CD">
        <w:rPr>
          <w:rFonts w:eastAsia="MS Mincho"/>
          <w:lang w:val="en-US"/>
        </w:rPr>
        <w:t xml:space="preserve"> pursuant to paragraph 219 of this Judgment.</w:t>
      </w:r>
    </w:p>
    <w:p w14:paraId="6B1A2BA5" w14:textId="77777777" w:rsidR="005A65CE" w:rsidRPr="003171CD" w:rsidRDefault="005A65CE" w:rsidP="005A65CE">
      <w:pPr>
        <w:pStyle w:val="Prrafodelista"/>
        <w:rPr>
          <w:rFonts w:eastAsia="Times"/>
          <w:lang w:val="en-US"/>
        </w:rPr>
      </w:pPr>
    </w:p>
    <w:p w14:paraId="66094C7B"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rFonts w:eastAsia="Times"/>
          <w:lang w:val="en-US"/>
        </w:rPr>
        <w:t xml:space="preserve">The State </w:t>
      </w:r>
      <w:r w:rsidR="000F7983" w:rsidRPr="003171CD">
        <w:rPr>
          <w:rFonts w:eastAsia="Times"/>
          <w:lang w:val="en-US"/>
        </w:rPr>
        <w:t xml:space="preserve">must </w:t>
      </w:r>
      <w:r w:rsidR="00D94146" w:rsidRPr="003171CD">
        <w:rPr>
          <w:rFonts w:eastAsia="Times"/>
          <w:lang w:val="en-US"/>
        </w:rPr>
        <w:t xml:space="preserve">issue </w:t>
      </w:r>
      <w:r w:rsidRPr="003171CD">
        <w:rPr>
          <w:rFonts w:eastAsia="Times"/>
          <w:lang w:val="en-US"/>
        </w:rPr>
        <w:t>the publications indicated in paragraph 222 of this Judgment.</w:t>
      </w:r>
    </w:p>
    <w:p w14:paraId="0DC7E81F" w14:textId="77777777" w:rsidR="005A65CE" w:rsidRPr="003171CD" w:rsidRDefault="005A65CE" w:rsidP="005A65CE">
      <w:pPr>
        <w:pStyle w:val="Prrafodelista"/>
        <w:rPr>
          <w:rFonts w:eastAsia="Times"/>
          <w:lang w:val="en-US"/>
        </w:rPr>
      </w:pPr>
    </w:p>
    <w:p w14:paraId="4920B425"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rFonts w:eastAsia="Times"/>
          <w:lang w:val="en-US"/>
        </w:rPr>
        <w:t>The State</w:t>
      </w:r>
      <w:r w:rsidRPr="003171CD">
        <w:rPr>
          <w:lang w:val="en-US"/>
        </w:rPr>
        <w:t xml:space="preserve"> </w:t>
      </w:r>
      <w:r w:rsidR="000F7983" w:rsidRPr="003171CD">
        <w:rPr>
          <w:lang w:val="en-US"/>
        </w:rPr>
        <w:t xml:space="preserve">must </w:t>
      </w:r>
      <w:r w:rsidRPr="003171CD">
        <w:rPr>
          <w:lang w:val="en-US"/>
        </w:rPr>
        <w:t xml:space="preserve">display a plaque in a visible place at the </w:t>
      </w:r>
      <w:r w:rsidR="00FB1691" w:rsidRPr="003171CD">
        <w:rPr>
          <w:rFonts w:eastAsiaTheme="minorHAnsi" w:cs="Arial"/>
          <w:lang w:val="en-US"/>
        </w:rPr>
        <w:t>Office of the Public Defender</w:t>
      </w:r>
      <w:r w:rsidRPr="003171CD">
        <w:rPr>
          <w:lang w:val="en-US"/>
        </w:rPr>
        <w:t xml:space="preserve"> in order to raise </w:t>
      </w:r>
      <w:r w:rsidRPr="003171CD">
        <w:rPr>
          <w:color w:val="000000"/>
          <w:lang w:val="en-US"/>
        </w:rPr>
        <w:t>institutional awareness and prevent the repetition of facts such as those that occurred in th</w:t>
      </w:r>
      <w:r w:rsidR="001D07DD" w:rsidRPr="003171CD">
        <w:rPr>
          <w:color w:val="000000"/>
          <w:lang w:val="en-US"/>
        </w:rPr>
        <w:t xml:space="preserve">is </w:t>
      </w:r>
      <w:r w:rsidRPr="003171CD">
        <w:rPr>
          <w:color w:val="000000"/>
          <w:lang w:val="en-US"/>
        </w:rPr>
        <w:t>case,</w:t>
      </w:r>
      <w:r w:rsidRPr="003171CD">
        <w:rPr>
          <w:rFonts w:eastAsia="MS Mincho"/>
          <w:lang w:val="en-US"/>
        </w:rPr>
        <w:t xml:space="preserve"> </w:t>
      </w:r>
      <w:r w:rsidR="001D07DD" w:rsidRPr="003171CD">
        <w:rPr>
          <w:rFonts w:eastAsia="MS Mincho"/>
          <w:lang w:val="en-US"/>
        </w:rPr>
        <w:t xml:space="preserve">pursuant to </w:t>
      </w:r>
      <w:r w:rsidRPr="003171CD">
        <w:rPr>
          <w:rFonts w:eastAsia="MS Mincho"/>
          <w:lang w:val="en-US"/>
        </w:rPr>
        <w:t>paragraph 225 of this Judgment.</w:t>
      </w:r>
    </w:p>
    <w:p w14:paraId="06ABC2D7" w14:textId="77777777" w:rsidR="005A65CE" w:rsidRPr="003171CD" w:rsidRDefault="005A65CE" w:rsidP="005A65CE">
      <w:pPr>
        <w:pStyle w:val="Prrafodelista"/>
        <w:rPr>
          <w:rFonts w:eastAsia="Times"/>
          <w:lang w:val="en-US"/>
        </w:rPr>
      </w:pPr>
    </w:p>
    <w:p w14:paraId="065E6BF4"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lang w:val="en-US"/>
        </w:rPr>
        <w:t xml:space="preserve">The State </w:t>
      </w:r>
      <w:r w:rsidR="000F7983" w:rsidRPr="003171CD">
        <w:rPr>
          <w:lang w:val="en-US"/>
        </w:rPr>
        <w:t xml:space="preserve">must </w:t>
      </w:r>
      <w:r w:rsidRPr="003171CD">
        <w:rPr>
          <w:lang w:val="en-US"/>
        </w:rPr>
        <w:t>implement, within a reasona</w:t>
      </w:r>
      <w:r w:rsidR="00C72ADC" w:rsidRPr="003171CD">
        <w:rPr>
          <w:lang w:val="en-US"/>
        </w:rPr>
        <w:t>ble time and with the respective</w:t>
      </w:r>
      <w:r w:rsidRPr="003171CD">
        <w:rPr>
          <w:lang w:val="en-US"/>
        </w:rPr>
        <w:t xml:space="preserve"> </w:t>
      </w:r>
      <w:r w:rsidR="004F0577" w:rsidRPr="003171CD">
        <w:rPr>
          <w:lang w:val="en-US"/>
        </w:rPr>
        <w:t>budget</w:t>
      </w:r>
      <w:r w:rsidR="00496F83" w:rsidRPr="003171CD">
        <w:rPr>
          <w:lang w:val="en-US"/>
        </w:rPr>
        <w:t xml:space="preserve"> allocation, </w:t>
      </w:r>
      <w:r w:rsidR="00D94146" w:rsidRPr="003171CD">
        <w:rPr>
          <w:lang w:val="en-US"/>
        </w:rPr>
        <w:t xml:space="preserve">compulsory </w:t>
      </w:r>
      <w:r w:rsidRPr="003171CD">
        <w:rPr>
          <w:lang w:val="en-US"/>
        </w:rPr>
        <w:t xml:space="preserve">and permanent programs or courses on </w:t>
      </w:r>
      <w:r w:rsidR="004F0577" w:rsidRPr="003171CD">
        <w:rPr>
          <w:lang w:val="en-US"/>
        </w:rPr>
        <w:t xml:space="preserve">the </w:t>
      </w:r>
      <w:r w:rsidRPr="003171CD">
        <w:rPr>
          <w:lang w:val="en-US"/>
        </w:rPr>
        <w:t xml:space="preserve">principles and standards for the protection of human rights, </w:t>
      </w:r>
      <w:r w:rsidR="00D94146" w:rsidRPr="003171CD">
        <w:rPr>
          <w:lang w:val="en-US"/>
        </w:rPr>
        <w:t xml:space="preserve">and </w:t>
      </w:r>
      <w:r w:rsidRPr="003171CD">
        <w:rPr>
          <w:lang w:val="en-US"/>
        </w:rPr>
        <w:t>particularly the international norms established re</w:t>
      </w:r>
      <w:r w:rsidR="00F800FB" w:rsidRPr="003171CD">
        <w:rPr>
          <w:lang w:val="en-US"/>
        </w:rPr>
        <w:t xml:space="preserve">garding </w:t>
      </w:r>
      <w:r w:rsidRPr="003171CD">
        <w:rPr>
          <w:lang w:val="en-US"/>
        </w:rPr>
        <w:t xml:space="preserve">the </w:t>
      </w:r>
      <w:r w:rsidR="00496F83" w:rsidRPr="003171CD">
        <w:rPr>
          <w:lang w:val="en-US"/>
        </w:rPr>
        <w:t xml:space="preserve">effective </w:t>
      </w:r>
      <w:r w:rsidRPr="003171CD">
        <w:rPr>
          <w:lang w:val="en-US"/>
        </w:rPr>
        <w:t>investiga</w:t>
      </w:r>
      <w:r w:rsidR="00496F83" w:rsidRPr="003171CD">
        <w:rPr>
          <w:lang w:val="en-US"/>
        </w:rPr>
        <w:t xml:space="preserve">tion and documentation </w:t>
      </w:r>
      <w:r w:rsidR="00F800FB" w:rsidRPr="003171CD">
        <w:rPr>
          <w:lang w:val="en-US"/>
        </w:rPr>
        <w:t xml:space="preserve">of </w:t>
      </w:r>
      <w:r w:rsidRPr="003171CD">
        <w:rPr>
          <w:lang w:val="en-US"/>
        </w:rPr>
        <w:t>torture and other cruel, inhuman, or degrading treatment</w:t>
      </w:r>
      <w:r w:rsidR="00D94146" w:rsidRPr="003171CD">
        <w:rPr>
          <w:lang w:val="en-US"/>
        </w:rPr>
        <w:t>,</w:t>
      </w:r>
      <w:r w:rsidRPr="003171CD">
        <w:rPr>
          <w:lang w:val="en-US"/>
        </w:rPr>
        <w:t xml:space="preserve"> dir</w:t>
      </w:r>
      <w:r w:rsidR="00F800FB" w:rsidRPr="003171CD">
        <w:rPr>
          <w:lang w:val="en-US"/>
        </w:rPr>
        <w:t xml:space="preserve">ected at </w:t>
      </w:r>
      <w:r w:rsidRPr="003171CD">
        <w:rPr>
          <w:lang w:val="en-US"/>
        </w:rPr>
        <w:t xml:space="preserve">personnel of the National Civil Police and of the Office of the Attorney General of the Republic, </w:t>
      </w:r>
      <w:r w:rsidR="00496F83" w:rsidRPr="003171CD">
        <w:rPr>
          <w:rFonts w:eastAsia="MS Mincho"/>
          <w:lang w:val="en-US"/>
        </w:rPr>
        <w:t xml:space="preserve">pursuant to </w:t>
      </w:r>
      <w:r w:rsidRPr="003171CD">
        <w:rPr>
          <w:rFonts w:eastAsia="MS Mincho"/>
          <w:lang w:val="en-US"/>
        </w:rPr>
        <w:t>paragraphs 229 to 231 of this Judgment.</w:t>
      </w:r>
    </w:p>
    <w:p w14:paraId="6F602BCE" w14:textId="77777777" w:rsidR="005A65CE" w:rsidRPr="003171CD" w:rsidRDefault="005A65CE" w:rsidP="005A65CE">
      <w:pPr>
        <w:pStyle w:val="Prrafodelista"/>
        <w:rPr>
          <w:rFonts w:eastAsia="Times"/>
          <w:lang w:val="en-US"/>
        </w:rPr>
      </w:pPr>
    </w:p>
    <w:p w14:paraId="577D7891" w14:textId="77777777" w:rsidR="005A65CE" w:rsidRPr="003171CD" w:rsidRDefault="005A65CE" w:rsidP="005A65CE">
      <w:pPr>
        <w:pStyle w:val="Prrafodelista"/>
        <w:numPr>
          <w:ilvl w:val="0"/>
          <w:numId w:val="14"/>
        </w:numPr>
        <w:autoSpaceDE/>
        <w:autoSpaceDN/>
        <w:adjustRightInd/>
        <w:ind w:left="0" w:firstLine="0"/>
        <w:contextualSpacing/>
        <w:jc w:val="both"/>
        <w:rPr>
          <w:rFonts w:eastAsia="MS Mincho"/>
          <w:lang w:val="en-US"/>
        </w:rPr>
      </w:pPr>
      <w:r w:rsidRPr="003171CD">
        <w:rPr>
          <w:rFonts w:eastAsia="MS Mincho"/>
          <w:lang w:val="en-US"/>
        </w:rPr>
        <w:t xml:space="preserve">The State </w:t>
      </w:r>
      <w:r w:rsidR="000F7983" w:rsidRPr="003171CD">
        <w:rPr>
          <w:rFonts w:eastAsia="MS Mincho"/>
          <w:lang w:val="en-US"/>
        </w:rPr>
        <w:t xml:space="preserve">must </w:t>
      </w:r>
      <w:r w:rsidR="00D94146" w:rsidRPr="003171CD">
        <w:rPr>
          <w:rFonts w:eastAsia="MS Mincho"/>
          <w:lang w:val="en-US"/>
        </w:rPr>
        <w:t xml:space="preserve">take steps to </w:t>
      </w:r>
      <w:r w:rsidRPr="003171CD">
        <w:rPr>
          <w:rFonts w:eastAsia="MS Mincho"/>
          <w:lang w:val="en-US"/>
        </w:rPr>
        <w:t xml:space="preserve">reinforce, within a reasonable time, systems for the selection of public defenders to ensure the appointment of persons who meet the requirements of suitability and proven technical capacity, and to </w:t>
      </w:r>
      <w:r w:rsidR="00504342" w:rsidRPr="003171CD">
        <w:rPr>
          <w:rFonts w:eastAsia="MS Mincho"/>
          <w:lang w:val="en-US"/>
        </w:rPr>
        <w:t>implement controls through protocols to ensure efficacy in the administration of the public defense in criminal matters, pursuant to</w:t>
      </w:r>
      <w:r w:rsidRPr="003171CD">
        <w:rPr>
          <w:rFonts w:eastAsia="MS Mincho"/>
          <w:lang w:val="en-US"/>
        </w:rPr>
        <w:t xml:space="preserve"> paragraph 234 of this Judgment. </w:t>
      </w:r>
    </w:p>
    <w:p w14:paraId="038740E6" w14:textId="77777777" w:rsidR="005A65CE" w:rsidRPr="003171CD" w:rsidRDefault="005A65CE" w:rsidP="005A65CE">
      <w:pPr>
        <w:pStyle w:val="Prrafodelista"/>
        <w:rPr>
          <w:rFonts w:eastAsia="MS Mincho"/>
          <w:lang w:val="en-US"/>
        </w:rPr>
      </w:pPr>
    </w:p>
    <w:p w14:paraId="76D17272" w14:textId="77777777" w:rsidR="005A65CE" w:rsidRPr="003171CD" w:rsidRDefault="005A65CE" w:rsidP="005A65CE">
      <w:pPr>
        <w:pStyle w:val="Prrafodelista"/>
        <w:numPr>
          <w:ilvl w:val="0"/>
          <w:numId w:val="14"/>
        </w:numPr>
        <w:autoSpaceDE/>
        <w:autoSpaceDN/>
        <w:adjustRightInd/>
        <w:ind w:left="0" w:firstLine="0"/>
        <w:contextualSpacing/>
        <w:jc w:val="both"/>
        <w:rPr>
          <w:rFonts w:eastAsia="MS Mincho"/>
          <w:lang w:val="en-US"/>
        </w:rPr>
      </w:pPr>
      <w:r w:rsidRPr="003171CD">
        <w:rPr>
          <w:rFonts w:eastAsia="MS Mincho"/>
          <w:lang w:val="en-US"/>
        </w:rPr>
        <w:t xml:space="preserve">The State must implement, within a reasonable time, </w:t>
      </w:r>
      <w:r w:rsidR="00F82C24" w:rsidRPr="003171CD">
        <w:rPr>
          <w:rFonts w:eastAsia="MS Mincho"/>
          <w:lang w:val="en-US"/>
        </w:rPr>
        <w:t>training programs, if th</w:t>
      </w:r>
      <w:r w:rsidR="00EA5E06" w:rsidRPr="003171CD">
        <w:rPr>
          <w:rFonts w:eastAsia="MS Mincho"/>
          <w:lang w:val="en-US"/>
        </w:rPr>
        <w:t xml:space="preserve">ese do not already exist, or </w:t>
      </w:r>
      <w:r w:rsidR="00F82C24" w:rsidRPr="003171CD">
        <w:rPr>
          <w:rFonts w:eastAsia="MS Mincho"/>
          <w:lang w:val="en-US"/>
        </w:rPr>
        <w:t>strengthen existing programs, in order to establish a continuous training system for public defenders</w:t>
      </w:r>
      <w:r w:rsidRPr="003171CD">
        <w:rPr>
          <w:rFonts w:eastAsia="MS Mincho"/>
          <w:lang w:val="en-US"/>
        </w:rPr>
        <w:t>,</w:t>
      </w:r>
      <w:r w:rsidRPr="003171CD">
        <w:rPr>
          <w:lang w:val="en-US"/>
        </w:rPr>
        <w:t xml:space="preserve"> </w:t>
      </w:r>
      <w:r w:rsidR="00AC4B2D" w:rsidRPr="003171CD">
        <w:rPr>
          <w:rFonts w:eastAsia="MS Mincho"/>
          <w:lang w:val="en-US"/>
        </w:rPr>
        <w:t>supported with the adequate budget allocations</w:t>
      </w:r>
      <w:r w:rsidRPr="003171CD">
        <w:rPr>
          <w:rFonts w:eastAsia="MS Mincho"/>
          <w:lang w:val="en-US"/>
        </w:rPr>
        <w:t>, pursuant to paragraph 235 of this Judgment.</w:t>
      </w:r>
    </w:p>
    <w:p w14:paraId="5C2076C6" w14:textId="77777777" w:rsidR="005A65CE" w:rsidRPr="003171CD" w:rsidRDefault="005A65CE" w:rsidP="005A65CE">
      <w:pPr>
        <w:pStyle w:val="Prrafodelista"/>
        <w:rPr>
          <w:rFonts w:eastAsia="Times"/>
          <w:lang w:val="en-US"/>
        </w:rPr>
      </w:pPr>
    </w:p>
    <w:p w14:paraId="64797167" w14:textId="77777777" w:rsidR="005A65CE" w:rsidRPr="003171CD" w:rsidRDefault="005A65CE" w:rsidP="005A65CE">
      <w:pPr>
        <w:pStyle w:val="Prrafodelista"/>
        <w:numPr>
          <w:ilvl w:val="0"/>
          <w:numId w:val="14"/>
        </w:numPr>
        <w:autoSpaceDE/>
        <w:autoSpaceDN/>
        <w:adjustRightInd/>
        <w:ind w:left="0" w:firstLine="0"/>
        <w:contextualSpacing/>
        <w:jc w:val="both"/>
        <w:rPr>
          <w:rFonts w:eastAsia="Times"/>
          <w:lang w:val="en-US"/>
        </w:rPr>
      </w:pPr>
      <w:r w:rsidRPr="003171CD">
        <w:rPr>
          <w:rFonts w:eastAsia="Times"/>
          <w:lang w:val="en-US"/>
        </w:rPr>
        <w:t xml:space="preserve">The State must pay the amounts stipulated in paragraphs 243, 245 and 251 of this Judgment, as compensation for pecuniary and non-pecuniary damage, </w:t>
      </w:r>
      <w:r w:rsidR="000F7983" w:rsidRPr="003171CD">
        <w:rPr>
          <w:rFonts w:eastAsia="Times"/>
          <w:lang w:val="en-US"/>
        </w:rPr>
        <w:t>pursuant to p</w:t>
      </w:r>
      <w:r w:rsidRPr="003171CD">
        <w:rPr>
          <w:rFonts w:eastAsia="Times"/>
          <w:lang w:val="en-US"/>
        </w:rPr>
        <w:t xml:space="preserve">aragraphs 260 to 265 </w:t>
      </w:r>
      <w:r w:rsidR="000F7983" w:rsidRPr="003171CD">
        <w:rPr>
          <w:color w:val="000000" w:themeColor="text1"/>
          <w:lang w:val="en-US" w:eastAsia="es-CR"/>
        </w:rPr>
        <w:t>of this Judgment</w:t>
      </w:r>
      <w:r w:rsidRPr="003171CD">
        <w:rPr>
          <w:rFonts w:eastAsia="Times"/>
          <w:lang w:val="en-US"/>
        </w:rPr>
        <w:t>.</w:t>
      </w:r>
    </w:p>
    <w:p w14:paraId="220076B4" w14:textId="77777777" w:rsidR="005A65CE" w:rsidRPr="003171CD" w:rsidRDefault="005A65CE" w:rsidP="005A65CE">
      <w:pPr>
        <w:pStyle w:val="Default"/>
        <w:jc w:val="both"/>
        <w:rPr>
          <w:rFonts w:ascii="Verdana" w:hAnsi="Verdana"/>
          <w:color w:val="000000" w:themeColor="text1"/>
          <w:sz w:val="20"/>
          <w:szCs w:val="20"/>
          <w:lang w:val="en-US" w:eastAsia="es-CR"/>
        </w:rPr>
      </w:pPr>
    </w:p>
    <w:p w14:paraId="06D69BA7" w14:textId="77777777" w:rsidR="005A65CE" w:rsidRPr="003171CD" w:rsidRDefault="005A65CE" w:rsidP="005A65CE">
      <w:pPr>
        <w:pStyle w:val="Prrafodelista"/>
        <w:numPr>
          <w:ilvl w:val="0"/>
          <w:numId w:val="14"/>
        </w:numPr>
        <w:autoSpaceDE/>
        <w:autoSpaceDN/>
        <w:adjustRightInd/>
        <w:ind w:left="0" w:firstLine="0"/>
        <w:contextualSpacing/>
        <w:jc w:val="both"/>
        <w:rPr>
          <w:color w:val="000000" w:themeColor="text1"/>
          <w:lang w:val="en-US" w:eastAsia="es-CR"/>
        </w:rPr>
      </w:pPr>
      <w:r w:rsidRPr="003171CD">
        <w:rPr>
          <w:color w:val="000000" w:themeColor="text1"/>
          <w:lang w:val="en-US" w:eastAsia="es-CR"/>
        </w:rPr>
        <w:t xml:space="preserve">The State must reimburse the Victims’ Legal Assistance Fund of the Inter-American Court of Human Rights </w:t>
      </w:r>
      <w:r w:rsidR="00EA5E06" w:rsidRPr="003171CD">
        <w:rPr>
          <w:color w:val="000000" w:themeColor="text1"/>
          <w:lang w:val="en-US" w:eastAsia="es-CR"/>
        </w:rPr>
        <w:t xml:space="preserve">for </w:t>
      </w:r>
      <w:r w:rsidRPr="003171CD">
        <w:rPr>
          <w:color w:val="000000" w:themeColor="text1"/>
          <w:lang w:val="en-US" w:eastAsia="es-CR"/>
        </w:rPr>
        <w:t xml:space="preserve">the </w:t>
      </w:r>
      <w:r w:rsidR="00496F83" w:rsidRPr="003171CD">
        <w:rPr>
          <w:color w:val="000000" w:themeColor="text1"/>
          <w:lang w:val="en-US" w:eastAsia="es-CR"/>
        </w:rPr>
        <w:t xml:space="preserve">amount disbursed </w:t>
      </w:r>
      <w:r w:rsidRPr="003171CD">
        <w:rPr>
          <w:color w:val="000000" w:themeColor="text1"/>
          <w:lang w:val="en-US" w:eastAsia="es-CR"/>
        </w:rPr>
        <w:t xml:space="preserve">during the </w:t>
      </w:r>
      <w:r w:rsidR="00496F83" w:rsidRPr="003171CD">
        <w:rPr>
          <w:color w:val="000000" w:themeColor="text1"/>
          <w:lang w:val="en-US" w:eastAsia="es-CR"/>
        </w:rPr>
        <w:t xml:space="preserve">processing </w:t>
      </w:r>
      <w:r w:rsidRPr="003171CD">
        <w:rPr>
          <w:color w:val="000000" w:themeColor="text1"/>
          <w:lang w:val="en-US" w:eastAsia="es-CR"/>
        </w:rPr>
        <w:t xml:space="preserve">of this case, in </w:t>
      </w:r>
      <w:r w:rsidR="007A3AFC" w:rsidRPr="003171CD">
        <w:rPr>
          <w:color w:val="000000" w:themeColor="text1"/>
          <w:lang w:val="en-US" w:eastAsia="es-CR"/>
        </w:rPr>
        <w:t xml:space="preserve">accordance with </w:t>
      </w:r>
      <w:r w:rsidRPr="003171CD">
        <w:rPr>
          <w:color w:val="000000" w:themeColor="text1"/>
          <w:lang w:val="en-US" w:eastAsia="es-CR"/>
        </w:rPr>
        <w:t>paragraph 259 of this Judgment.</w:t>
      </w:r>
    </w:p>
    <w:p w14:paraId="721E1B59" w14:textId="77777777" w:rsidR="005A65CE" w:rsidRPr="003171CD" w:rsidRDefault="005A65CE" w:rsidP="005A65CE">
      <w:pPr>
        <w:tabs>
          <w:tab w:val="left" w:pos="567"/>
        </w:tabs>
        <w:jc w:val="both"/>
        <w:rPr>
          <w:color w:val="000000" w:themeColor="text1"/>
          <w:lang w:val="en-US" w:eastAsia="es-CR"/>
        </w:rPr>
      </w:pPr>
    </w:p>
    <w:p w14:paraId="080C22B1" w14:textId="77777777" w:rsidR="005A65CE" w:rsidRPr="003171CD" w:rsidRDefault="005A65CE" w:rsidP="005A65CE">
      <w:pPr>
        <w:pStyle w:val="Prrafodelista"/>
        <w:numPr>
          <w:ilvl w:val="0"/>
          <w:numId w:val="14"/>
        </w:numPr>
        <w:autoSpaceDE/>
        <w:autoSpaceDN/>
        <w:adjustRightInd/>
        <w:ind w:left="0" w:firstLine="0"/>
        <w:contextualSpacing/>
        <w:jc w:val="both"/>
        <w:rPr>
          <w:color w:val="000000" w:themeColor="text1"/>
          <w:lang w:val="en-US" w:eastAsia="es-CR"/>
        </w:rPr>
      </w:pPr>
      <w:r w:rsidRPr="003171CD">
        <w:rPr>
          <w:color w:val="000000" w:themeColor="text1"/>
          <w:lang w:val="en-US" w:eastAsia="es-CR"/>
        </w:rPr>
        <w:t xml:space="preserve">The State must submit to the Court, within one year </w:t>
      </w:r>
      <w:r w:rsidR="007A3AFC" w:rsidRPr="003171CD">
        <w:rPr>
          <w:color w:val="000000" w:themeColor="text1"/>
          <w:lang w:val="en-US" w:eastAsia="es-CR"/>
        </w:rPr>
        <w:t xml:space="preserve">of </w:t>
      </w:r>
      <w:r w:rsidRPr="003171CD">
        <w:rPr>
          <w:color w:val="000000" w:themeColor="text1"/>
          <w:lang w:val="en-US"/>
        </w:rPr>
        <w:t>notification</w:t>
      </w:r>
      <w:r w:rsidRPr="003171CD">
        <w:rPr>
          <w:color w:val="000000" w:themeColor="text1"/>
          <w:lang w:val="en-US" w:eastAsia="es-CR"/>
        </w:rPr>
        <w:t xml:space="preserve"> of this Judgment, </w:t>
      </w:r>
      <w:r w:rsidR="007A3AFC" w:rsidRPr="003171CD">
        <w:rPr>
          <w:color w:val="000000" w:themeColor="text1"/>
          <w:lang w:val="en-US" w:eastAsia="es-CR"/>
        </w:rPr>
        <w:t xml:space="preserve">a report </w:t>
      </w:r>
      <w:r w:rsidRPr="003171CD">
        <w:rPr>
          <w:color w:val="000000" w:themeColor="text1"/>
          <w:lang w:val="en-US" w:eastAsia="es-CR"/>
        </w:rPr>
        <w:t>on t</w:t>
      </w:r>
      <w:r w:rsidR="007A3AFC" w:rsidRPr="003171CD">
        <w:rPr>
          <w:color w:val="000000" w:themeColor="text1"/>
          <w:lang w:val="en-US" w:eastAsia="es-CR"/>
        </w:rPr>
        <w:t>he steps taken to comply with this Judgment</w:t>
      </w:r>
      <w:r w:rsidRPr="003171CD">
        <w:rPr>
          <w:color w:val="000000" w:themeColor="text1"/>
          <w:lang w:val="en-US" w:eastAsia="es-CR"/>
        </w:rPr>
        <w:t xml:space="preserve">. </w:t>
      </w:r>
    </w:p>
    <w:p w14:paraId="549B8F6E" w14:textId="77777777" w:rsidR="005A65CE" w:rsidRPr="003171CD" w:rsidRDefault="005A65CE" w:rsidP="005A65CE">
      <w:pPr>
        <w:tabs>
          <w:tab w:val="left" w:pos="567"/>
        </w:tabs>
        <w:jc w:val="both"/>
        <w:rPr>
          <w:color w:val="000000" w:themeColor="text1"/>
          <w:lang w:val="en-US" w:eastAsia="es-CR"/>
        </w:rPr>
      </w:pPr>
    </w:p>
    <w:p w14:paraId="6EDA5277" w14:textId="77777777" w:rsidR="005A65CE" w:rsidRPr="003171CD" w:rsidRDefault="005A65CE" w:rsidP="005A65CE">
      <w:pPr>
        <w:pStyle w:val="Prrafodelista"/>
        <w:numPr>
          <w:ilvl w:val="0"/>
          <w:numId w:val="14"/>
        </w:numPr>
        <w:autoSpaceDE/>
        <w:autoSpaceDN/>
        <w:adjustRightInd/>
        <w:ind w:left="0" w:firstLine="0"/>
        <w:contextualSpacing/>
        <w:jc w:val="both"/>
        <w:rPr>
          <w:color w:val="000000" w:themeColor="text1"/>
          <w:lang w:val="en-US" w:eastAsia="es-CR"/>
        </w:rPr>
      </w:pPr>
      <w:r w:rsidRPr="003171CD">
        <w:rPr>
          <w:color w:val="000000" w:themeColor="text1"/>
          <w:lang w:val="en-US" w:eastAsia="es-CR"/>
        </w:rPr>
        <w:t>The Court will monitor full compliance</w:t>
      </w:r>
      <w:r w:rsidR="001D07DD" w:rsidRPr="003171CD">
        <w:rPr>
          <w:color w:val="000000" w:themeColor="text1"/>
          <w:lang w:val="en-US" w:eastAsia="es-CR"/>
        </w:rPr>
        <w:t xml:space="preserve"> with this Judgment</w:t>
      </w:r>
      <w:r w:rsidRPr="003171CD">
        <w:rPr>
          <w:color w:val="000000" w:themeColor="text1"/>
          <w:lang w:val="en-US" w:eastAsia="es-CR"/>
        </w:rPr>
        <w:t xml:space="preserve"> in exercise of its </w:t>
      </w:r>
      <w:r w:rsidR="007A3AFC" w:rsidRPr="003171CD">
        <w:rPr>
          <w:color w:val="000000" w:themeColor="text1"/>
          <w:lang w:val="en-US" w:eastAsia="es-CR"/>
        </w:rPr>
        <w:t>authority a</w:t>
      </w:r>
      <w:r w:rsidRPr="003171CD">
        <w:rPr>
          <w:color w:val="000000" w:themeColor="text1"/>
          <w:lang w:val="en-US" w:eastAsia="es-CR"/>
        </w:rPr>
        <w:t xml:space="preserve">nd in compliance with its obligations under the American Convention on Human Rights, and </w:t>
      </w:r>
      <w:r w:rsidR="00C72ADC" w:rsidRPr="003171CD">
        <w:rPr>
          <w:color w:val="000000" w:themeColor="text1"/>
          <w:lang w:val="en-US" w:eastAsia="es-CR"/>
        </w:rPr>
        <w:t xml:space="preserve">will consider </w:t>
      </w:r>
      <w:r w:rsidRPr="003171CD">
        <w:rPr>
          <w:color w:val="000000" w:themeColor="text1"/>
          <w:lang w:val="en-US" w:eastAsia="es-CR"/>
        </w:rPr>
        <w:t xml:space="preserve">the case </w:t>
      </w:r>
      <w:r w:rsidR="00C72ADC" w:rsidRPr="003171CD">
        <w:rPr>
          <w:color w:val="000000" w:themeColor="text1"/>
          <w:lang w:val="en-US" w:eastAsia="es-CR"/>
        </w:rPr>
        <w:t xml:space="preserve">closed </w:t>
      </w:r>
      <w:r w:rsidR="007A3AFC" w:rsidRPr="003171CD">
        <w:rPr>
          <w:color w:val="000000" w:themeColor="text1"/>
          <w:lang w:val="en-US" w:eastAsia="es-CR"/>
        </w:rPr>
        <w:t xml:space="preserve">when </w:t>
      </w:r>
      <w:r w:rsidRPr="003171CD">
        <w:rPr>
          <w:color w:val="000000" w:themeColor="text1"/>
          <w:lang w:val="en-US" w:eastAsia="es-CR"/>
        </w:rPr>
        <w:t xml:space="preserve">the State has </w:t>
      </w:r>
      <w:r w:rsidR="007A3AFC" w:rsidRPr="003171CD">
        <w:rPr>
          <w:color w:val="000000" w:themeColor="text1"/>
          <w:lang w:val="en-US" w:eastAsia="es-CR"/>
        </w:rPr>
        <w:t xml:space="preserve">fully </w:t>
      </w:r>
      <w:r w:rsidRPr="003171CD">
        <w:rPr>
          <w:color w:val="000000" w:themeColor="text1"/>
          <w:lang w:val="en-US" w:eastAsia="es-CR"/>
        </w:rPr>
        <w:t xml:space="preserve">complied with </w:t>
      </w:r>
      <w:r w:rsidR="00C72ADC" w:rsidRPr="003171CD">
        <w:rPr>
          <w:color w:val="000000" w:themeColor="text1"/>
          <w:lang w:val="en-US" w:eastAsia="es-CR"/>
        </w:rPr>
        <w:t>its provisions</w:t>
      </w:r>
      <w:r w:rsidRPr="003171CD">
        <w:rPr>
          <w:color w:val="000000" w:themeColor="text1"/>
          <w:lang w:val="en-US" w:eastAsia="es-CR"/>
        </w:rPr>
        <w:t xml:space="preserve">. </w:t>
      </w:r>
    </w:p>
    <w:p w14:paraId="489A8176" w14:textId="77777777" w:rsidR="005A65CE" w:rsidRPr="003171CD" w:rsidRDefault="005A65CE" w:rsidP="005A65CE">
      <w:pPr>
        <w:widowControl w:val="0"/>
        <w:jc w:val="both"/>
        <w:textAlignment w:val="baseline"/>
        <w:rPr>
          <w:color w:val="000000" w:themeColor="text1"/>
          <w:lang w:val="en-US" w:eastAsia="es-CR"/>
        </w:rPr>
      </w:pPr>
    </w:p>
    <w:p w14:paraId="6A656ACD" w14:textId="77777777" w:rsidR="005A65CE" w:rsidRPr="003171CD" w:rsidRDefault="005A65CE" w:rsidP="005A65CE">
      <w:pPr>
        <w:jc w:val="both"/>
        <w:rPr>
          <w:lang w:val="en-US"/>
        </w:rPr>
      </w:pPr>
      <w:r w:rsidRPr="003171CD">
        <w:rPr>
          <w:spacing w:val="-2"/>
          <w:lang w:val="en-US" w:eastAsia="es-CR"/>
        </w:rPr>
        <w:t>Judge Humberto Antonio Sierra Porto advised the Court of his concurring opinion, which accompanies this Judgment. Judge Eduardo Ferrer Mac-Gregor Po</w:t>
      </w:r>
      <w:r w:rsidR="00496F83" w:rsidRPr="003171CD">
        <w:rPr>
          <w:spacing w:val="-2"/>
          <w:lang w:val="en-US" w:eastAsia="es-CR"/>
        </w:rPr>
        <w:t xml:space="preserve">isot </w:t>
      </w:r>
      <w:r w:rsidR="003A7CF6" w:rsidRPr="003171CD">
        <w:rPr>
          <w:spacing w:val="-2"/>
          <w:lang w:val="en-US" w:eastAsia="es-CR"/>
        </w:rPr>
        <w:t xml:space="preserve">adhered to </w:t>
      </w:r>
      <w:r w:rsidR="00C6290E" w:rsidRPr="003171CD">
        <w:rPr>
          <w:spacing w:val="-2"/>
          <w:lang w:val="en-US" w:eastAsia="es-CR"/>
        </w:rPr>
        <w:t>t</w:t>
      </w:r>
      <w:r w:rsidR="00F800FB" w:rsidRPr="003171CD">
        <w:rPr>
          <w:spacing w:val="-2"/>
          <w:lang w:val="en-US" w:eastAsia="es-CR"/>
        </w:rPr>
        <w:t xml:space="preserve">his </w:t>
      </w:r>
      <w:r w:rsidRPr="003171CD">
        <w:rPr>
          <w:spacing w:val="-2"/>
          <w:lang w:val="en-US" w:eastAsia="es-CR"/>
        </w:rPr>
        <w:t>concurring opinion.</w:t>
      </w:r>
    </w:p>
    <w:p w14:paraId="4FBF19A2" w14:textId="77777777" w:rsidR="005A65CE" w:rsidRPr="003171CD" w:rsidRDefault="005A65CE" w:rsidP="005A65CE">
      <w:pPr>
        <w:rPr>
          <w:lang w:val="en-US"/>
        </w:rPr>
      </w:pPr>
    </w:p>
    <w:p w14:paraId="7147298D" w14:textId="77777777" w:rsidR="005A65CE" w:rsidRPr="003171CD" w:rsidRDefault="005A65CE" w:rsidP="005A65CE">
      <w:pPr>
        <w:jc w:val="both"/>
        <w:rPr>
          <w:rFonts w:eastAsia="Times"/>
          <w:lang w:val="en-US"/>
        </w:rPr>
      </w:pPr>
      <w:r w:rsidRPr="003171CD">
        <w:rPr>
          <w:rFonts w:eastAsia="Times"/>
          <w:lang w:val="en-US"/>
        </w:rPr>
        <w:t>Done in Spanish at San José, Costa Rica, on October 5, 2015.</w:t>
      </w:r>
    </w:p>
    <w:p w14:paraId="5211EDEC" w14:textId="77777777" w:rsidR="005A65CE" w:rsidRPr="003171CD" w:rsidRDefault="005A65CE" w:rsidP="005A65CE">
      <w:pPr>
        <w:rPr>
          <w:b/>
          <w:lang w:val="en-US"/>
        </w:rPr>
      </w:pPr>
    </w:p>
    <w:p w14:paraId="14E15F90" w14:textId="77777777" w:rsidR="005A65CE" w:rsidRPr="003171CD" w:rsidRDefault="005A65CE" w:rsidP="005A65CE">
      <w:pPr>
        <w:rPr>
          <w:b/>
          <w:lang w:val="en-US"/>
        </w:rPr>
      </w:pPr>
    </w:p>
    <w:p w14:paraId="251BCF36" w14:textId="77777777" w:rsidR="005A65CE" w:rsidRPr="003171CD" w:rsidRDefault="005A65CE" w:rsidP="005A65CE">
      <w:pPr>
        <w:rPr>
          <w:b/>
          <w:lang w:val="en-US"/>
        </w:rPr>
      </w:pPr>
    </w:p>
    <w:p w14:paraId="36E9116D" w14:textId="77777777" w:rsidR="005A65CE" w:rsidRPr="003171CD" w:rsidRDefault="005A65CE" w:rsidP="005A65CE">
      <w:pPr>
        <w:rPr>
          <w:b/>
          <w:lang w:val="en-US"/>
        </w:rPr>
      </w:pPr>
    </w:p>
    <w:p w14:paraId="264E4F07" w14:textId="77777777" w:rsidR="005A65CE" w:rsidRPr="003171CD" w:rsidRDefault="005A65CE" w:rsidP="005A65CE">
      <w:pPr>
        <w:rPr>
          <w:b/>
          <w:lang w:val="en-US"/>
        </w:rPr>
      </w:pPr>
    </w:p>
    <w:p w14:paraId="253A7D83" w14:textId="77777777" w:rsidR="005A65CE" w:rsidRPr="003171CD" w:rsidRDefault="005A65CE" w:rsidP="005A65CE">
      <w:pPr>
        <w:jc w:val="both"/>
        <w:rPr>
          <w:rFonts w:eastAsia="Times"/>
          <w:lang w:val="en-US"/>
        </w:rPr>
      </w:pPr>
      <w:r w:rsidRPr="003171CD">
        <w:rPr>
          <w:rFonts w:eastAsia="Times"/>
          <w:lang w:val="en-US"/>
        </w:rPr>
        <w:t xml:space="preserve">Judgment of the Inter-American Court of Human rights, Case </w:t>
      </w:r>
      <w:r w:rsidR="000F7983" w:rsidRPr="003171CD">
        <w:rPr>
          <w:rFonts w:eastAsia="Times"/>
          <w:lang w:val="en-US"/>
        </w:rPr>
        <w:t xml:space="preserve">of </w:t>
      </w:r>
      <w:r w:rsidRPr="003171CD">
        <w:rPr>
          <w:rFonts w:eastAsia="Times"/>
          <w:lang w:val="en-US"/>
        </w:rPr>
        <w:t>Ruano Torres et al. v. El Salvador, Merits, Reparations and Costs.</w:t>
      </w:r>
    </w:p>
    <w:p w14:paraId="4FEDC662" w14:textId="77777777" w:rsidR="005A65CE" w:rsidRPr="003171CD" w:rsidRDefault="005A65CE" w:rsidP="005A65CE">
      <w:pPr>
        <w:jc w:val="both"/>
        <w:rPr>
          <w:rFonts w:eastAsia="Times"/>
          <w:lang w:val="en-US"/>
        </w:rPr>
      </w:pPr>
    </w:p>
    <w:p w14:paraId="6FE0757D" w14:textId="77777777" w:rsidR="005A65CE" w:rsidRPr="003171CD" w:rsidRDefault="005A65CE" w:rsidP="005A65CE">
      <w:pPr>
        <w:jc w:val="both"/>
        <w:rPr>
          <w:rFonts w:eastAsia="Times"/>
          <w:lang w:val="en-US"/>
        </w:rPr>
      </w:pPr>
    </w:p>
    <w:p w14:paraId="11083F17" w14:textId="77777777" w:rsidR="001D07DD" w:rsidRPr="003171CD" w:rsidRDefault="001D07DD" w:rsidP="005A65CE">
      <w:pPr>
        <w:jc w:val="both"/>
        <w:rPr>
          <w:rFonts w:eastAsia="Times"/>
          <w:lang w:val="en-US"/>
        </w:rPr>
      </w:pPr>
    </w:p>
    <w:p w14:paraId="04690071" w14:textId="77777777" w:rsidR="005A65CE" w:rsidRPr="003171CD" w:rsidRDefault="005A65CE" w:rsidP="005A65CE">
      <w:pPr>
        <w:jc w:val="both"/>
        <w:rPr>
          <w:rFonts w:eastAsia="Times"/>
          <w:lang w:val="en-US"/>
        </w:rPr>
      </w:pPr>
    </w:p>
    <w:p w14:paraId="4B42B389" w14:textId="77777777" w:rsidR="005A65CE" w:rsidRPr="003171CD" w:rsidRDefault="005A65CE" w:rsidP="005A65CE">
      <w:pPr>
        <w:jc w:val="both"/>
        <w:rPr>
          <w:rFonts w:eastAsia="Times"/>
          <w:lang w:val="en-US"/>
        </w:rPr>
      </w:pPr>
    </w:p>
    <w:p w14:paraId="58EE695B" w14:textId="77777777" w:rsidR="005A65CE" w:rsidRPr="003171CD" w:rsidRDefault="005A65CE" w:rsidP="005A65CE">
      <w:pPr>
        <w:jc w:val="center"/>
        <w:rPr>
          <w:rFonts w:eastAsia="Times"/>
          <w:lang w:val="en-US"/>
        </w:rPr>
      </w:pPr>
      <w:r w:rsidRPr="003171CD">
        <w:rPr>
          <w:rFonts w:eastAsia="Times"/>
          <w:lang w:val="en-US"/>
        </w:rPr>
        <w:lastRenderedPageBreak/>
        <w:t>Humberto Antonio Sierra Porto</w:t>
      </w:r>
    </w:p>
    <w:p w14:paraId="4D4CB90D" w14:textId="77777777" w:rsidR="005A65CE" w:rsidRPr="003171CD" w:rsidRDefault="005A65CE" w:rsidP="005A65CE">
      <w:pPr>
        <w:jc w:val="center"/>
        <w:rPr>
          <w:rFonts w:eastAsia="Times"/>
          <w:lang w:val="en-US"/>
        </w:rPr>
      </w:pPr>
      <w:r w:rsidRPr="003171CD">
        <w:rPr>
          <w:rFonts w:eastAsia="Times"/>
          <w:lang w:val="en-US"/>
        </w:rPr>
        <w:t>President</w:t>
      </w:r>
    </w:p>
    <w:p w14:paraId="1363FE45" w14:textId="77777777" w:rsidR="005A65CE" w:rsidRPr="003171CD" w:rsidRDefault="005A65CE" w:rsidP="005A65CE">
      <w:pPr>
        <w:rPr>
          <w:rFonts w:eastAsia="Times"/>
          <w:lang w:val="en-US"/>
        </w:rPr>
      </w:pPr>
    </w:p>
    <w:p w14:paraId="7E1E48AC" w14:textId="77777777" w:rsidR="005A65CE" w:rsidRPr="003171CD" w:rsidRDefault="005A65CE" w:rsidP="005A65CE">
      <w:pPr>
        <w:rPr>
          <w:rFonts w:eastAsia="Times"/>
          <w:lang w:val="en-US"/>
        </w:rPr>
      </w:pPr>
    </w:p>
    <w:p w14:paraId="6AD6E3BF" w14:textId="77777777" w:rsidR="005A65CE" w:rsidRPr="003171CD" w:rsidRDefault="005A65CE" w:rsidP="005A65CE">
      <w:pPr>
        <w:rPr>
          <w:rFonts w:eastAsia="Times"/>
          <w:lang w:val="en-US"/>
        </w:rPr>
      </w:pPr>
    </w:p>
    <w:p w14:paraId="50EBFA91" w14:textId="77777777" w:rsidR="005A65CE" w:rsidRPr="003171CD" w:rsidRDefault="005A65CE" w:rsidP="005A65CE">
      <w:pPr>
        <w:rPr>
          <w:rFonts w:eastAsia="Times"/>
          <w:lang w:val="en-US"/>
        </w:rPr>
      </w:pPr>
    </w:p>
    <w:p w14:paraId="07F860F9" w14:textId="77777777" w:rsidR="005A65CE" w:rsidRPr="003171CD" w:rsidRDefault="005A65CE" w:rsidP="005A65CE">
      <w:pPr>
        <w:rPr>
          <w:rFonts w:eastAsia="Times"/>
          <w:lang w:val="en-US"/>
        </w:rPr>
      </w:pPr>
    </w:p>
    <w:p w14:paraId="5EACF132" w14:textId="77777777" w:rsidR="005A65CE" w:rsidRPr="003171CD" w:rsidRDefault="005A65CE" w:rsidP="005A65CE">
      <w:pPr>
        <w:rPr>
          <w:rFonts w:eastAsia="Times"/>
          <w:lang w:val="en-US"/>
        </w:rPr>
      </w:pPr>
      <w:r w:rsidRPr="003171CD">
        <w:rPr>
          <w:rFonts w:eastAsia="Times"/>
          <w:lang w:val="en-US"/>
        </w:rPr>
        <w:t xml:space="preserve">Roberto F. Caldas </w:t>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t xml:space="preserve">    Manuel E. Ventura Robles</w:t>
      </w:r>
    </w:p>
    <w:p w14:paraId="2BADE29B" w14:textId="77777777" w:rsidR="005A65CE" w:rsidRPr="003171CD" w:rsidRDefault="005A65CE" w:rsidP="005A65CE">
      <w:pPr>
        <w:rPr>
          <w:rFonts w:eastAsia="Times"/>
          <w:lang w:val="en-US"/>
        </w:rPr>
      </w:pPr>
    </w:p>
    <w:p w14:paraId="48DB2D2C" w14:textId="77777777" w:rsidR="005A65CE" w:rsidRPr="003171CD" w:rsidRDefault="005A65CE" w:rsidP="005A65CE">
      <w:pPr>
        <w:rPr>
          <w:rFonts w:eastAsia="Times"/>
          <w:lang w:val="en-US"/>
        </w:rPr>
      </w:pPr>
    </w:p>
    <w:p w14:paraId="1B60DB29" w14:textId="77777777" w:rsidR="005A65CE" w:rsidRPr="003171CD" w:rsidRDefault="005A65CE" w:rsidP="005A65CE">
      <w:pPr>
        <w:rPr>
          <w:rFonts w:eastAsia="Times"/>
          <w:lang w:val="en-US"/>
        </w:rPr>
      </w:pPr>
    </w:p>
    <w:p w14:paraId="6DC47621" w14:textId="77777777" w:rsidR="005A65CE" w:rsidRPr="003171CD" w:rsidRDefault="005A65CE" w:rsidP="005A65CE">
      <w:pPr>
        <w:rPr>
          <w:rFonts w:eastAsia="Times"/>
          <w:lang w:val="en-US"/>
        </w:rPr>
      </w:pPr>
    </w:p>
    <w:p w14:paraId="24F4BFB5" w14:textId="77777777" w:rsidR="005A65CE" w:rsidRPr="003171CD" w:rsidRDefault="005A65CE" w:rsidP="005A65CE">
      <w:pPr>
        <w:rPr>
          <w:rFonts w:eastAsia="Times"/>
          <w:lang w:val="en-US"/>
        </w:rPr>
      </w:pPr>
    </w:p>
    <w:p w14:paraId="5C6B55FF" w14:textId="77777777" w:rsidR="005A65CE" w:rsidRPr="003171CD" w:rsidRDefault="005A65CE" w:rsidP="005A65CE">
      <w:pPr>
        <w:rPr>
          <w:rFonts w:eastAsia="Times"/>
          <w:lang w:val="en-US"/>
        </w:rPr>
      </w:pPr>
    </w:p>
    <w:p w14:paraId="1CCF1046" w14:textId="77777777" w:rsidR="005A65CE" w:rsidRPr="003171CD" w:rsidRDefault="005A65CE" w:rsidP="005A65CE">
      <w:pPr>
        <w:rPr>
          <w:rFonts w:eastAsia="Times"/>
          <w:lang w:val="en-US"/>
        </w:rPr>
      </w:pPr>
      <w:r w:rsidRPr="003171CD">
        <w:rPr>
          <w:rFonts w:eastAsia="Times"/>
          <w:lang w:val="en-US"/>
        </w:rPr>
        <w:t>Diego García-Sayán</w:t>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t xml:space="preserve">  Alberto Pérez</w:t>
      </w:r>
      <w:r w:rsidR="0086002B">
        <w:rPr>
          <w:rFonts w:eastAsia="Times"/>
          <w:lang w:val="en-US"/>
        </w:rPr>
        <w:t xml:space="preserve"> </w:t>
      </w:r>
      <w:r w:rsidR="0086002B" w:rsidRPr="003171CD">
        <w:rPr>
          <w:rFonts w:eastAsia="Times"/>
          <w:lang w:val="en-US"/>
        </w:rPr>
        <w:t>Pérez</w:t>
      </w:r>
      <w:r w:rsidRPr="003171CD">
        <w:rPr>
          <w:rFonts w:eastAsia="Times"/>
          <w:lang w:val="en-US"/>
        </w:rPr>
        <w:tab/>
      </w:r>
    </w:p>
    <w:p w14:paraId="4EB011D7" w14:textId="77777777" w:rsidR="005A65CE" w:rsidRPr="003171CD" w:rsidRDefault="005A65CE" w:rsidP="005A65CE">
      <w:pPr>
        <w:rPr>
          <w:rFonts w:eastAsia="Times"/>
          <w:lang w:val="en-US"/>
        </w:rPr>
      </w:pPr>
    </w:p>
    <w:p w14:paraId="53A938B9" w14:textId="77777777" w:rsidR="005A65CE" w:rsidRPr="003171CD" w:rsidRDefault="005A65CE" w:rsidP="005A65CE">
      <w:pPr>
        <w:rPr>
          <w:rFonts w:eastAsia="Times"/>
          <w:lang w:val="en-US"/>
        </w:rPr>
      </w:pPr>
    </w:p>
    <w:p w14:paraId="1DF20653" w14:textId="77777777" w:rsidR="005A65CE" w:rsidRPr="003171CD" w:rsidRDefault="005A65CE" w:rsidP="005A65CE">
      <w:pPr>
        <w:rPr>
          <w:rFonts w:eastAsia="Times"/>
          <w:lang w:val="en-US"/>
        </w:rPr>
      </w:pPr>
    </w:p>
    <w:p w14:paraId="68E94DF4" w14:textId="77777777" w:rsidR="005A65CE" w:rsidRPr="003171CD" w:rsidRDefault="005A65CE" w:rsidP="005A65CE">
      <w:pPr>
        <w:rPr>
          <w:rFonts w:eastAsia="Times"/>
          <w:lang w:val="en-US"/>
        </w:rPr>
      </w:pPr>
    </w:p>
    <w:p w14:paraId="5960857F" w14:textId="77777777" w:rsidR="005A65CE" w:rsidRPr="003171CD" w:rsidRDefault="005A65CE" w:rsidP="005A65CE">
      <w:pPr>
        <w:rPr>
          <w:rFonts w:eastAsia="Times"/>
          <w:lang w:val="en-US"/>
        </w:rPr>
      </w:pPr>
    </w:p>
    <w:p w14:paraId="66EE3CA4" w14:textId="77777777" w:rsidR="005A65CE" w:rsidRPr="003171CD" w:rsidRDefault="005A65CE" w:rsidP="005A65CE">
      <w:pPr>
        <w:rPr>
          <w:rFonts w:eastAsia="Times"/>
          <w:lang w:val="en-US"/>
        </w:rPr>
      </w:pPr>
      <w:r w:rsidRPr="003171CD">
        <w:rPr>
          <w:rFonts w:eastAsia="Times"/>
          <w:lang w:val="en-US"/>
        </w:rPr>
        <w:t>Eduardo Vio Grossi</w:t>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r>
      <w:r w:rsidRPr="003171CD">
        <w:rPr>
          <w:rFonts w:eastAsia="Times"/>
          <w:lang w:val="en-US"/>
        </w:rPr>
        <w:tab/>
        <w:t xml:space="preserve">    Eduardo Ferrer Mac-Gregor P</w:t>
      </w:r>
      <w:r w:rsidR="00F800FB" w:rsidRPr="003171CD">
        <w:rPr>
          <w:rFonts w:eastAsia="Times"/>
          <w:lang w:val="en-US"/>
        </w:rPr>
        <w:t>o</w:t>
      </w:r>
      <w:r w:rsidRPr="003171CD">
        <w:rPr>
          <w:rFonts w:eastAsia="Times"/>
          <w:lang w:val="en-US"/>
        </w:rPr>
        <w:t>isot</w:t>
      </w:r>
    </w:p>
    <w:p w14:paraId="5C9941CF" w14:textId="77777777" w:rsidR="005A65CE" w:rsidRPr="003171CD" w:rsidRDefault="005A65CE" w:rsidP="005A65CE">
      <w:pPr>
        <w:jc w:val="center"/>
        <w:rPr>
          <w:rFonts w:eastAsia="Times"/>
          <w:lang w:val="en-US"/>
        </w:rPr>
      </w:pPr>
    </w:p>
    <w:p w14:paraId="7E7E810E" w14:textId="77777777" w:rsidR="005A65CE" w:rsidRPr="003171CD" w:rsidRDefault="005A65CE" w:rsidP="005A65CE">
      <w:pPr>
        <w:jc w:val="center"/>
        <w:rPr>
          <w:rFonts w:eastAsia="Times"/>
          <w:lang w:val="en-US"/>
        </w:rPr>
      </w:pPr>
    </w:p>
    <w:p w14:paraId="5629F4A4" w14:textId="77777777" w:rsidR="005A65CE" w:rsidRPr="003171CD" w:rsidRDefault="005A65CE" w:rsidP="005A65CE">
      <w:pPr>
        <w:jc w:val="center"/>
        <w:rPr>
          <w:rFonts w:eastAsia="Times"/>
          <w:lang w:val="en-US"/>
        </w:rPr>
      </w:pPr>
    </w:p>
    <w:p w14:paraId="229B097A" w14:textId="77777777" w:rsidR="005A65CE" w:rsidRPr="003171CD" w:rsidRDefault="005A65CE" w:rsidP="005A65CE">
      <w:pPr>
        <w:rPr>
          <w:rFonts w:eastAsia="Times"/>
          <w:lang w:val="en-US"/>
        </w:rPr>
      </w:pPr>
    </w:p>
    <w:p w14:paraId="30C75541" w14:textId="77777777" w:rsidR="005A65CE" w:rsidRPr="003171CD" w:rsidRDefault="005A65CE" w:rsidP="005A65CE">
      <w:pPr>
        <w:rPr>
          <w:rFonts w:eastAsia="Times"/>
          <w:lang w:val="en-US"/>
        </w:rPr>
      </w:pPr>
    </w:p>
    <w:p w14:paraId="6A1E6079" w14:textId="77777777" w:rsidR="005A65CE" w:rsidRPr="003171CD" w:rsidRDefault="005A65CE" w:rsidP="005A65CE">
      <w:pPr>
        <w:rPr>
          <w:rFonts w:eastAsia="Times"/>
          <w:lang w:val="en-US"/>
        </w:rPr>
      </w:pPr>
    </w:p>
    <w:p w14:paraId="2A67F533" w14:textId="77777777" w:rsidR="005A65CE" w:rsidRPr="003171CD" w:rsidRDefault="005A65CE" w:rsidP="005A65CE">
      <w:pPr>
        <w:rPr>
          <w:rFonts w:eastAsia="Times"/>
          <w:lang w:val="en-US"/>
        </w:rPr>
      </w:pPr>
    </w:p>
    <w:p w14:paraId="713666F0" w14:textId="77777777" w:rsidR="005A65CE" w:rsidRPr="003171CD" w:rsidRDefault="005A65CE" w:rsidP="005A65CE">
      <w:pPr>
        <w:jc w:val="center"/>
        <w:rPr>
          <w:rFonts w:eastAsia="Times"/>
          <w:lang w:val="en-US"/>
        </w:rPr>
      </w:pPr>
      <w:r w:rsidRPr="003171CD">
        <w:rPr>
          <w:rFonts w:eastAsia="Times"/>
          <w:lang w:val="en-US"/>
        </w:rPr>
        <w:t>Pablo Saavedra Alessandri</w:t>
      </w:r>
    </w:p>
    <w:p w14:paraId="4F17F4FB" w14:textId="77777777" w:rsidR="005A65CE" w:rsidRPr="003171CD" w:rsidRDefault="005A65CE" w:rsidP="005A65CE">
      <w:pPr>
        <w:jc w:val="center"/>
        <w:rPr>
          <w:rFonts w:eastAsia="Times"/>
          <w:lang w:val="en-US"/>
        </w:rPr>
      </w:pPr>
      <w:r w:rsidRPr="003171CD">
        <w:rPr>
          <w:rFonts w:eastAsia="Times"/>
          <w:lang w:val="en-US"/>
        </w:rPr>
        <w:t>Secretary</w:t>
      </w:r>
    </w:p>
    <w:p w14:paraId="651E1B52" w14:textId="77777777" w:rsidR="005A65CE" w:rsidRPr="003171CD" w:rsidRDefault="005A65CE" w:rsidP="005A65CE">
      <w:pPr>
        <w:jc w:val="center"/>
        <w:rPr>
          <w:rFonts w:eastAsia="Times"/>
          <w:lang w:val="en-US"/>
        </w:rPr>
      </w:pPr>
    </w:p>
    <w:p w14:paraId="4F0B0655" w14:textId="77777777" w:rsidR="005A65CE" w:rsidRPr="003171CD" w:rsidRDefault="005A65CE" w:rsidP="005A65CE">
      <w:pPr>
        <w:rPr>
          <w:rFonts w:eastAsia="Times"/>
          <w:lang w:val="en-US"/>
        </w:rPr>
      </w:pPr>
    </w:p>
    <w:p w14:paraId="74FEDA25" w14:textId="77777777" w:rsidR="005A65CE" w:rsidRPr="003171CD" w:rsidRDefault="005A65CE" w:rsidP="005A65CE">
      <w:pPr>
        <w:rPr>
          <w:rFonts w:eastAsia="Times"/>
          <w:lang w:val="en-US"/>
        </w:rPr>
      </w:pPr>
    </w:p>
    <w:p w14:paraId="7003B387" w14:textId="77777777" w:rsidR="005A65CE" w:rsidRPr="003171CD" w:rsidRDefault="005A65CE" w:rsidP="005A65CE">
      <w:pPr>
        <w:rPr>
          <w:rFonts w:eastAsia="Times"/>
          <w:lang w:val="en-US"/>
        </w:rPr>
      </w:pPr>
      <w:r w:rsidRPr="003171CD">
        <w:rPr>
          <w:rFonts w:eastAsia="Times"/>
          <w:lang w:val="en-US"/>
        </w:rPr>
        <w:t>So ordered,</w:t>
      </w:r>
    </w:p>
    <w:p w14:paraId="590B2612" w14:textId="77777777" w:rsidR="005A65CE" w:rsidRPr="003171CD" w:rsidRDefault="005A65CE" w:rsidP="005A65CE">
      <w:pPr>
        <w:rPr>
          <w:rFonts w:eastAsia="Times"/>
          <w:lang w:val="en-US"/>
        </w:rPr>
      </w:pPr>
    </w:p>
    <w:p w14:paraId="1BC06D43" w14:textId="77777777" w:rsidR="005A65CE" w:rsidRPr="003171CD" w:rsidRDefault="005A65CE" w:rsidP="005A65CE">
      <w:pPr>
        <w:rPr>
          <w:rFonts w:eastAsia="Times"/>
          <w:lang w:val="en-US"/>
        </w:rPr>
      </w:pPr>
    </w:p>
    <w:p w14:paraId="402C6C52" w14:textId="77777777" w:rsidR="005A65CE" w:rsidRPr="003171CD" w:rsidRDefault="005A65CE" w:rsidP="005A65CE">
      <w:pPr>
        <w:rPr>
          <w:rFonts w:eastAsia="Times"/>
          <w:lang w:val="en-US"/>
        </w:rPr>
      </w:pPr>
    </w:p>
    <w:p w14:paraId="03445C7C" w14:textId="77777777" w:rsidR="005A65CE" w:rsidRPr="003171CD" w:rsidRDefault="005A65CE" w:rsidP="005A65CE">
      <w:pPr>
        <w:rPr>
          <w:rFonts w:eastAsia="Times"/>
          <w:lang w:val="en-US"/>
        </w:rPr>
      </w:pPr>
    </w:p>
    <w:p w14:paraId="709CBA97" w14:textId="77777777" w:rsidR="005A65CE" w:rsidRPr="003171CD" w:rsidRDefault="005A65CE" w:rsidP="005A65CE">
      <w:pPr>
        <w:ind w:left="6372" w:firstLine="708"/>
        <w:rPr>
          <w:rFonts w:eastAsia="Times"/>
          <w:lang w:val="en-US"/>
        </w:rPr>
      </w:pPr>
      <w:r w:rsidRPr="003171CD">
        <w:rPr>
          <w:rFonts w:eastAsia="Times"/>
          <w:lang w:val="en-US"/>
        </w:rPr>
        <w:t>Humberto Sierra Porto</w:t>
      </w:r>
    </w:p>
    <w:p w14:paraId="47AF1FE1" w14:textId="77777777" w:rsidR="005A65CE" w:rsidRPr="003171CD" w:rsidRDefault="005A65CE" w:rsidP="005A65CE">
      <w:pPr>
        <w:ind w:left="7080" w:firstLine="708"/>
        <w:rPr>
          <w:rFonts w:eastAsia="Times"/>
          <w:lang w:val="en-US"/>
        </w:rPr>
      </w:pPr>
      <w:r w:rsidRPr="003171CD">
        <w:rPr>
          <w:rFonts w:eastAsia="Times"/>
          <w:lang w:val="en-US"/>
        </w:rPr>
        <w:t>President</w:t>
      </w:r>
    </w:p>
    <w:p w14:paraId="2466D03C" w14:textId="77777777" w:rsidR="005A65CE" w:rsidRPr="003171CD" w:rsidRDefault="005A65CE" w:rsidP="005A65CE">
      <w:pPr>
        <w:rPr>
          <w:rFonts w:eastAsia="Times"/>
          <w:lang w:val="en-US"/>
        </w:rPr>
      </w:pPr>
    </w:p>
    <w:p w14:paraId="174F4AF1" w14:textId="77777777" w:rsidR="005A65CE" w:rsidRPr="003171CD" w:rsidRDefault="005A65CE" w:rsidP="005A65CE">
      <w:pPr>
        <w:rPr>
          <w:rFonts w:eastAsia="Times"/>
          <w:lang w:val="en-US"/>
        </w:rPr>
      </w:pPr>
      <w:r w:rsidRPr="003171CD">
        <w:rPr>
          <w:rFonts w:eastAsia="Times"/>
          <w:lang w:val="en-US"/>
        </w:rPr>
        <w:t xml:space="preserve"> </w:t>
      </w:r>
    </w:p>
    <w:p w14:paraId="57FABB6B" w14:textId="77777777" w:rsidR="005A65CE" w:rsidRPr="003171CD" w:rsidRDefault="005A65CE" w:rsidP="005A65CE">
      <w:pPr>
        <w:rPr>
          <w:rFonts w:eastAsia="Times"/>
          <w:lang w:val="en-US"/>
        </w:rPr>
      </w:pPr>
    </w:p>
    <w:p w14:paraId="48F4D6BB" w14:textId="77777777" w:rsidR="005A65CE" w:rsidRPr="003171CD" w:rsidRDefault="005A65CE" w:rsidP="005A65CE">
      <w:pPr>
        <w:rPr>
          <w:rFonts w:eastAsia="Times"/>
          <w:lang w:val="en-US"/>
        </w:rPr>
      </w:pPr>
      <w:r w:rsidRPr="003171CD">
        <w:rPr>
          <w:rFonts w:eastAsia="Times"/>
          <w:lang w:val="en-US"/>
        </w:rPr>
        <w:t>Pablo Saavedra Alessandri</w:t>
      </w:r>
    </w:p>
    <w:p w14:paraId="73DE9C1F" w14:textId="77777777" w:rsidR="005A65CE" w:rsidRPr="003171CD" w:rsidRDefault="005A65CE" w:rsidP="005A65CE">
      <w:pPr>
        <w:rPr>
          <w:rFonts w:eastAsia="Times"/>
          <w:lang w:val="en-US"/>
        </w:rPr>
      </w:pPr>
      <w:r w:rsidRPr="003171CD">
        <w:rPr>
          <w:rFonts w:eastAsia="Times"/>
          <w:lang w:val="en-US"/>
        </w:rPr>
        <w:t xml:space="preserve">        Secretary </w:t>
      </w:r>
    </w:p>
    <w:p w14:paraId="3E184972" w14:textId="77777777" w:rsidR="005A65CE" w:rsidRPr="003171CD" w:rsidRDefault="005A65CE" w:rsidP="005A65CE">
      <w:pPr>
        <w:tabs>
          <w:tab w:val="left" w:pos="709"/>
        </w:tabs>
        <w:jc w:val="center"/>
        <w:rPr>
          <w:b/>
          <w:lang w:val="en-US"/>
        </w:rPr>
      </w:pPr>
    </w:p>
    <w:p w14:paraId="44C681BD" w14:textId="21E425B7" w:rsidR="005B3B83" w:rsidRDefault="005B3B83">
      <w:pPr>
        <w:autoSpaceDE/>
        <w:autoSpaceDN/>
        <w:adjustRightInd/>
        <w:spacing w:after="160" w:line="259" w:lineRule="auto"/>
        <w:rPr>
          <w:b/>
          <w:lang w:val="en-US"/>
        </w:rPr>
      </w:pPr>
      <w:r>
        <w:rPr>
          <w:b/>
          <w:lang w:val="en-US"/>
        </w:rPr>
        <w:br w:type="page"/>
      </w:r>
    </w:p>
    <w:p w14:paraId="135A1FA8" w14:textId="037D3964" w:rsidR="005B3B83" w:rsidRDefault="005B3B83">
      <w:pPr>
        <w:autoSpaceDE/>
        <w:autoSpaceDN/>
        <w:adjustRightInd/>
        <w:spacing w:after="160" w:line="259" w:lineRule="auto"/>
        <w:rPr>
          <w:b/>
          <w:lang w:val="en-US"/>
        </w:rPr>
        <w:sectPr w:rsidR="005B3B83" w:rsidSect="005B3B83">
          <w:headerReference w:type="default" r:id="rId8"/>
          <w:footnotePr>
            <w:numRestart w:val="eachSect"/>
          </w:footnotePr>
          <w:pgSz w:w="12240" w:h="15840"/>
          <w:pgMar w:top="1440" w:right="1080" w:bottom="1440" w:left="1080" w:header="708" w:footer="708" w:gutter="0"/>
          <w:pgNumType w:start="1"/>
          <w:cols w:space="708"/>
          <w:titlePg/>
          <w:docGrid w:linePitch="360"/>
        </w:sectPr>
      </w:pPr>
    </w:p>
    <w:p w14:paraId="65041DCB" w14:textId="7166E488" w:rsidR="005B3B83" w:rsidRDefault="005B3B83">
      <w:pPr>
        <w:autoSpaceDE/>
        <w:autoSpaceDN/>
        <w:adjustRightInd/>
        <w:spacing w:after="160" w:line="259" w:lineRule="auto"/>
        <w:rPr>
          <w:b/>
          <w:lang w:val="en-US"/>
        </w:rPr>
      </w:pPr>
    </w:p>
    <w:p w14:paraId="18AA41B3" w14:textId="77777777" w:rsidR="005A65CE" w:rsidRPr="003171CD" w:rsidRDefault="005A65CE" w:rsidP="005A65CE">
      <w:pPr>
        <w:tabs>
          <w:tab w:val="left" w:pos="709"/>
        </w:tabs>
        <w:jc w:val="center"/>
        <w:rPr>
          <w:b/>
          <w:lang w:val="en-US"/>
        </w:rPr>
      </w:pPr>
    </w:p>
    <w:p w14:paraId="0E6C1C03" w14:textId="77777777" w:rsidR="005A65CE" w:rsidRPr="003171CD" w:rsidRDefault="005A65CE" w:rsidP="005A65CE">
      <w:pPr>
        <w:tabs>
          <w:tab w:val="left" w:pos="709"/>
        </w:tabs>
        <w:jc w:val="center"/>
        <w:rPr>
          <w:b/>
          <w:lang w:val="en-US"/>
        </w:rPr>
      </w:pPr>
    </w:p>
    <w:p w14:paraId="2C6CB0EB" w14:textId="77777777" w:rsidR="005B3B83" w:rsidRPr="003171CD" w:rsidRDefault="005B3B83" w:rsidP="005B3B83">
      <w:pPr>
        <w:tabs>
          <w:tab w:val="left" w:pos="709"/>
        </w:tabs>
        <w:jc w:val="center"/>
        <w:rPr>
          <w:b/>
          <w:lang w:val="en-US"/>
        </w:rPr>
      </w:pPr>
      <w:r w:rsidRPr="003171CD">
        <w:rPr>
          <w:b/>
          <w:lang w:val="en-US"/>
        </w:rPr>
        <w:t>CONCURRING OPINION OF JUDGE HUMBERTO ANTONIO SIERRA PORTO</w:t>
      </w:r>
    </w:p>
    <w:p w14:paraId="60CBE09D" w14:textId="77777777" w:rsidR="005B3B83" w:rsidRPr="003171CD" w:rsidRDefault="005B3B83" w:rsidP="005B3B83">
      <w:pPr>
        <w:tabs>
          <w:tab w:val="left" w:pos="709"/>
        </w:tabs>
        <w:jc w:val="center"/>
        <w:rPr>
          <w:b/>
          <w:lang w:val="en-US"/>
        </w:rPr>
      </w:pPr>
    </w:p>
    <w:p w14:paraId="0874DE8D" w14:textId="77777777" w:rsidR="005B3B83" w:rsidRPr="003171CD" w:rsidRDefault="005B3B83" w:rsidP="005B3B83">
      <w:pPr>
        <w:tabs>
          <w:tab w:val="left" w:pos="709"/>
        </w:tabs>
        <w:jc w:val="center"/>
        <w:rPr>
          <w:b/>
          <w:lang w:val="en-US"/>
        </w:rPr>
      </w:pPr>
      <w:r w:rsidRPr="003171CD">
        <w:rPr>
          <w:b/>
          <w:lang w:val="en-US"/>
        </w:rPr>
        <w:t>JUDGMENT OF OCTOBER 5, 2015</w:t>
      </w:r>
    </w:p>
    <w:p w14:paraId="068A6FD6" w14:textId="77777777" w:rsidR="005B3B83" w:rsidRPr="003171CD" w:rsidRDefault="005B3B83" w:rsidP="005B3B83">
      <w:pPr>
        <w:tabs>
          <w:tab w:val="left" w:pos="709"/>
        </w:tabs>
        <w:jc w:val="center"/>
        <w:rPr>
          <w:b/>
          <w:lang w:val="en-US"/>
        </w:rPr>
      </w:pPr>
      <w:r w:rsidRPr="003171CD">
        <w:rPr>
          <w:b/>
          <w:lang w:val="en-US"/>
        </w:rPr>
        <w:t>INTER-AMERICAN COURT OF HUMAN RIGHTS</w:t>
      </w:r>
    </w:p>
    <w:p w14:paraId="07F12975" w14:textId="77777777" w:rsidR="005B3B83" w:rsidRPr="003171CD" w:rsidRDefault="005B3B83" w:rsidP="005B3B83">
      <w:pPr>
        <w:tabs>
          <w:tab w:val="left" w:pos="709"/>
        </w:tabs>
        <w:jc w:val="center"/>
        <w:rPr>
          <w:b/>
          <w:lang w:val="en-US"/>
        </w:rPr>
      </w:pPr>
    </w:p>
    <w:p w14:paraId="49D01045" w14:textId="77777777" w:rsidR="005B3B83" w:rsidRPr="003171CD" w:rsidRDefault="005B3B83" w:rsidP="005B3B83">
      <w:pPr>
        <w:tabs>
          <w:tab w:val="left" w:pos="709"/>
        </w:tabs>
        <w:jc w:val="center"/>
        <w:rPr>
          <w:b/>
          <w:lang w:val="en-US"/>
        </w:rPr>
      </w:pPr>
      <w:r w:rsidRPr="003171CD">
        <w:rPr>
          <w:b/>
          <w:lang w:val="en-US"/>
        </w:rPr>
        <w:t>IN THE CASE OF RUANO TORRES ET AL. V</w:t>
      </w:r>
      <w:r w:rsidRPr="003171CD">
        <w:rPr>
          <w:b/>
          <w:i/>
          <w:lang w:val="en-US"/>
        </w:rPr>
        <w:t>.</w:t>
      </w:r>
      <w:r w:rsidRPr="003171CD">
        <w:rPr>
          <w:b/>
          <w:lang w:val="en-US"/>
        </w:rPr>
        <w:t xml:space="preserve"> El Salvador</w:t>
      </w:r>
    </w:p>
    <w:p w14:paraId="4E0D0BB2" w14:textId="77777777" w:rsidR="005B3B83" w:rsidRPr="003171CD" w:rsidRDefault="005B3B83" w:rsidP="005B3B83">
      <w:pPr>
        <w:tabs>
          <w:tab w:val="left" w:pos="709"/>
        </w:tabs>
        <w:jc w:val="center"/>
        <w:rPr>
          <w:b/>
          <w:lang w:val="en-US"/>
        </w:rPr>
      </w:pPr>
    </w:p>
    <w:p w14:paraId="65868354" w14:textId="77777777" w:rsidR="005B3B83" w:rsidRPr="003171CD" w:rsidRDefault="005B3B83" w:rsidP="005B3B83">
      <w:pPr>
        <w:pStyle w:val="Prrafodelista"/>
        <w:tabs>
          <w:tab w:val="left" w:pos="709"/>
        </w:tabs>
        <w:rPr>
          <w:b/>
          <w:szCs w:val="20"/>
          <w:lang w:val="en-US"/>
        </w:rPr>
      </w:pPr>
    </w:p>
    <w:p w14:paraId="74691B48"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sidRPr="003171CD">
        <w:rPr>
          <w:szCs w:val="20"/>
          <w:lang w:val="en-US"/>
        </w:rPr>
        <w:t>I concur with the legal arguments on which the Court has based its decision in this Judgment, and which accepts the State’s partial acknowledgement of international responsibility and determines that it is responsible for the violation,</w:t>
      </w:r>
      <w:r w:rsidRPr="003171CD">
        <w:rPr>
          <w:rFonts w:eastAsia="Times"/>
          <w:szCs w:val="20"/>
          <w:lang w:val="en-US"/>
        </w:rPr>
        <w:t xml:space="preserve"> to the detriment of  José </w:t>
      </w:r>
      <w:proofErr w:type="spellStart"/>
      <w:r w:rsidRPr="003171CD">
        <w:rPr>
          <w:rFonts w:eastAsia="Times"/>
          <w:szCs w:val="20"/>
          <w:lang w:val="en-US"/>
        </w:rPr>
        <w:t>Agapito</w:t>
      </w:r>
      <w:proofErr w:type="spellEnd"/>
      <w:r w:rsidRPr="003171CD">
        <w:rPr>
          <w:rFonts w:eastAsia="Times"/>
          <w:szCs w:val="20"/>
          <w:lang w:val="en-US"/>
        </w:rPr>
        <w:t xml:space="preserve"> </w:t>
      </w:r>
      <w:proofErr w:type="spellStart"/>
      <w:r w:rsidRPr="003171CD">
        <w:rPr>
          <w:rFonts w:eastAsia="Times"/>
          <w:szCs w:val="20"/>
          <w:lang w:val="en-US"/>
        </w:rPr>
        <w:t>Ruano</w:t>
      </w:r>
      <w:proofErr w:type="spellEnd"/>
      <w:r w:rsidRPr="003171CD">
        <w:rPr>
          <w:rFonts w:eastAsia="Times"/>
          <w:szCs w:val="20"/>
          <w:lang w:val="en-US"/>
        </w:rPr>
        <w:t xml:space="preserve"> Torres, of the right to  personal integrity and the prohibition of torture, to personal liberty and the presumption of  innocence, the right to defense and to a hearing with due guarantees, and the right to judicial protection, as well as the failure to ensure the right to personal integrity in relation to the obligation to investigate the acts of torture, recognized in Articles 5(1), 5(2), 7(1), 7(3), 7(6), 8(1), 8(2), 8(2)(d), 8(2)(e) and 25(1) of the American Convention on Human Rights </w:t>
      </w:r>
      <w:r w:rsidRPr="003171CD">
        <w:rPr>
          <w:rFonts w:eastAsia="Times New Roman"/>
          <w:szCs w:val="20"/>
          <w:lang w:val="en-US"/>
        </w:rPr>
        <w:t>(hereinafter also “the American Convention” or “the Convention”)</w:t>
      </w:r>
      <w:r w:rsidRPr="003171CD">
        <w:rPr>
          <w:rFonts w:eastAsia="Times"/>
          <w:szCs w:val="20"/>
          <w:lang w:val="en-US"/>
        </w:rPr>
        <w:t xml:space="preserve"> in relation to Article 1(1) thereof</w:t>
      </w:r>
      <w:r w:rsidRPr="003171CD">
        <w:rPr>
          <w:szCs w:val="20"/>
          <w:lang w:val="en-US"/>
        </w:rPr>
        <w:t xml:space="preserve">. </w:t>
      </w:r>
    </w:p>
    <w:p w14:paraId="7F489D54" w14:textId="77777777" w:rsidR="005B3B83" w:rsidRPr="003171CD" w:rsidRDefault="005B3B83" w:rsidP="005B3B83">
      <w:pPr>
        <w:pStyle w:val="Prrafodelista"/>
        <w:tabs>
          <w:tab w:val="left" w:pos="567"/>
          <w:tab w:val="left" w:pos="709"/>
        </w:tabs>
        <w:ind w:left="0"/>
        <w:jc w:val="both"/>
        <w:rPr>
          <w:szCs w:val="20"/>
          <w:lang w:val="en-US"/>
        </w:rPr>
      </w:pPr>
    </w:p>
    <w:p w14:paraId="1FC8893E"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sidRPr="003171CD">
        <w:rPr>
          <w:szCs w:val="20"/>
          <w:lang w:val="en-US"/>
        </w:rPr>
        <w:t xml:space="preserve">However, I consider it appropriate to offer some additional thoughts regarding the Inter-American Court’s decision to admit the acknowledgment of international responsibility by the State of El Salvador in this case. In this opinion, I wish to pose some questions: Can the Inter-American Court decline to accept the State’s acknowledgment of responsibility based on certain legal claims? Even if the State has acknowledged that it violated a specific right, can the Inter-American Court decide that such violation was not configured? Can the State, through an acknowledgment of responsibility that contradicts a judicial ruling, </w:t>
      </w:r>
      <w:r>
        <w:rPr>
          <w:szCs w:val="20"/>
          <w:lang w:val="en-US"/>
        </w:rPr>
        <w:t xml:space="preserve">persuade </w:t>
      </w:r>
      <w:r w:rsidRPr="003171CD">
        <w:rPr>
          <w:szCs w:val="20"/>
          <w:lang w:val="en-US"/>
        </w:rPr>
        <w:t xml:space="preserve">the Inter-American Court to revoke decisions taken without any type of evident or proven irregularity by the country’s highest court? In order to clarify and reinforce my position on these questions, I offer this concurring opinion regarding the scope, the assessment and </w:t>
      </w:r>
      <w:r>
        <w:rPr>
          <w:szCs w:val="20"/>
          <w:lang w:val="en-US"/>
        </w:rPr>
        <w:t xml:space="preserve">the </w:t>
      </w:r>
      <w:r w:rsidRPr="003171CD">
        <w:rPr>
          <w:szCs w:val="20"/>
          <w:lang w:val="en-US"/>
        </w:rPr>
        <w:t>legal effects that the State’s acknowledgment of responsibility could have in this specific case.</w:t>
      </w:r>
    </w:p>
    <w:p w14:paraId="6B45CE63" w14:textId="77777777" w:rsidR="005B3B83" w:rsidRPr="003171CD" w:rsidRDefault="005B3B83" w:rsidP="005B3B83">
      <w:pPr>
        <w:pStyle w:val="Prrafodelista"/>
        <w:tabs>
          <w:tab w:val="left" w:pos="567"/>
          <w:tab w:val="left" w:pos="709"/>
        </w:tabs>
        <w:ind w:left="0"/>
        <w:jc w:val="both"/>
        <w:rPr>
          <w:szCs w:val="20"/>
          <w:lang w:val="en-US"/>
        </w:rPr>
      </w:pPr>
    </w:p>
    <w:p w14:paraId="700B9503"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Pr>
          <w:szCs w:val="20"/>
          <w:lang w:val="en-US"/>
        </w:rPr>
        <w:t>In the instant</w:t>
      </w:r>
      <w:r w:rsidRPr="003171CD">
        <w:rPr>
          <w:szCs w:val="20"/>
          <w:lang w:val="en-US"/>
        </w:rPr>
        <w:t xml:space="preserve"> case, the State’s acquiescence was formulated in broad and general terms. </w:t>
      </w:r>
      <w:r>
        <w:rPr>
          <w:szCs w:val="20"/>
          <w:lang w:val="en-US"/>
        </w:rPr>
        <w:t>In relation to</w:t>
      </w:r>
      <w:r w:rsidRPr="003171CD">
        <w:rPr>
          <w:szCs w:val="20"/>
          <w:lang w:val="en-US"/>
        </w:rPr>
        <w:t xml:space="preserve"> the factual aspects, the State accepted all the facts included in the Merits Report of the Commission. </w:t>
      </w:r>
      <w:r>
        <w:rPr>
          <w:szCs w:val="20"/>
          <w:lang w:val="en-US"/>
        </w:rPr>
        <w:t xml:space="preserve">As to </w:t>
      </w:r>
      <w:r w:rsidRPr="003171CD">
        <w:rPr>
          <w:szCs w:val="20"/>
          <w:lang w:val="en-US"/>
        </w:rPr>
        <w:t xml:space="preserve">the legal claims, the State specified that it </w:t>
      </w:r>
      <w:r>
        <w:rPr>
          <w:szCs w:val="20"/>
          <w:lang w:val="en-US"/>
        </w:rPr>
        <w:t xml:space="preserve">also </w:t>
      </w:r>
      <w:r w:rsidRPr="003171CD">
        <w:rPr>
          <w:szCs w:val="20"/>
          <w:lang w:val="en-US"/>
        </w:rPr>
        <w:t>accepted the conclusions reached in the Merits Report.</w:t>
      </w:r>
    </w:p>
    <w:p w14:paraId="07608769" w14:textId="77777777" w:rsidR="005B3B83" w:rsidRPr="003171CD" w:rsidRDefault="005B3B83" w:rsidP="005B3B83">
      <w:pPr>
        <w:pStyle w:val="Prrafodelista"/>
        <w:tabs>
          <w:tab w:val="left" w:pos="567"/>
          <w:tab w:val="left" w:pos="709"/>
        </w:tabs>
        <w:ind w:left="0"/>
        <w:jc w:val="both"/>
        <w:rPr>
          <w:szCs w:val="20"/>
          <w:lang w:val="en-US"/>
        </w:rPr>
      </w:pPr>
    </w:p>
    <w:p w14:paraId="1D37693D"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sidRPr="003171CD">
        <w:rPr>
          <w:szCs w:val="20"/>
          <w:lang w:val="en-US"/>
        </w:rPr>
        <w:t>The regulatory provisions that govern acquiescence indicate that “[</w:t>
      </w:r>
      <w:proofErr w:type="spellStart"/>
      <w:r w:rsidRPr="003171CD">
        <w:rPr>
          <w:szCs w:val="20"/>
          <w:lang w:val="en-US"/>
        </w:rPr>
        <w:t>i</w:t>
      </w:r>
      <w:proofErr w:type="spellEnd"/>
      <w:r w:rsidRPr="003171CD">
        <w:rPr>
          <w:szCs w:val="20"/>
          <w:lang w:val="en-US"/>
        </w:rPr>
        <w:t>]</w:t>
      </w:r>
      <w:r w:rsidRPr="003171CD">
        <w:rPr>
          <w:lang w:val="en-US"/>
        </w:rPr>
        <w:t>f the respondent informs the Court of its acceptance of the facts or its total or partial acquiescence to the claims stated in the presentation of the case or 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w:t>
      </w:r>
      <w:r w:rsidRPr="003171CD">
        <w:rPr>
          <w:szCs w:val="20"/>
          <w:lang w:val="en-US"/>
        </w:rPr>
        <w:t>.”</w:t>
      </w:r>
      <w:r w:rsidRPr="003171CD">
        <w:rPr>
          <w:rStyle w:val="Refdenotaalpie"/>
          <w:lang w:val="en-US"/>
        </w:rPr>
        <w:footnoteReference w:id="305"/>
      </w:r>
      <w:r w:rsidRPr="003171CD">
        <w:rPr>
          <w:szCs w:val="20"/>
          <w:lang w:val="en-US"/>
        </w:rPr>
        <w:t xml:space="preserve"> Therefore, the actual wording of the provision indicates that the Court must decide both on the appropriateness of a State’s </w:t>
      </w:r>
      <w:r w:rsidRPr="003171CD">
        <w:rPr>
          <w:lang w:val="en-US"/>
        </w:rPr>
        <w:t>acquiescence</w:t>
      </w:r>
      <w:r w:rsidRPr="003171CD">
        <w:rPr>
          <w:szCs w:val="20"/>
          <w:lang w:val="en-US"/>
        </w:rPr>
        <w:t xml:space="preserve"> and on its juridical effects, “bearing in mind its responsibility to protect human rights.”</w:t>
      </w:r>
      <w:r w:rsidRPr="003171CD">
        <w:rPr>
          <w:rStyle w:val="Refdenotaalpie"/>
          <w:lang w:val="en-US"/>
        </w:rPr>
        <w:footnoteReference w:id="306"/>
      </w:r>
      <w:r w:rsidRPr="003171CD">
        <w:rPr>
          <w:szCs w:val="20"/>
          <w:lang w:val="en-US"/>
        </w:rPr>
        <w:t xml:space="preserve"> Accordingly, it is possible to affirm that the Court is not constrained to accept an acknowledgment of responsibility, but must analyze the terms under which </w:t>
      </w:r>
      <w:r w:rsidRPr="003171CD">
        <w:rPr>
          <w:szCs w:val="20"/>
          <w:lang w:val="en-US"/>
        </w:rPr>
        <w:lastRenderedPageBreak/>
        <w:t>it was offered from the perspective of the object and purpose of the treaty, which is “the protection of the fundamental rights of human beings”</w:t>
      </w:r>
      <w:r w:rsidRPr="003171CD">
        <w:rPr>
          <w:rStyle w:val="Refdenotaalpie"/>
          <w:lang w:val="en-US"/>
        </w:rPr>
        <w:footnoteReference w:id="307"/>
      </w:r>
      <w:r w:rsidRPr="003171CD">
        <w:rPr>
          <w:szCs w:val="20"/>
          <w:lang w:val="en-US"/>
        </w:rPr>
        <w:t xml:space="preserve"> and fully assess its scope and juridical effects.</w:t>
      </w:r>
    </w:p>
    <w:p w14:paraId="71CD156F" w14:textId="77777777" w:rsidR="005B3B83" w:rsidRPr="003171CD" w:rsidRDefault="005B3B83" w:rsidP="005B3B83">
      <w:pPr>
        <w:pStyle w:val="Prrafodelista"/>
        <w:tabs>
          <w:tab w:val="left" w:pos="567"/>
          <w:tab w:val="left" w:pos="709"/>
        </w:tabs>
        <w:ind w:left="0"/>
        <w:jc w:val="both"/>
        <w:rPr>
          <w:szCs w:val="20"/>
          <w:lang w:val="en-US"/>
        </w:rPr>
      </w:pPr>
    </w:p>
    <w:p w14:paraId="63BC4014"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sidRPr="003171CD">
        <w:rPr>
          <w:szCs w:val="20"/>
          <w:lang w:val="en-US"/>
        </w:rPr>
        <w:t xml:space="preserve">Indeed, the Court has emphasized that it is incumbent upon </w:t>
      </w:r>
      <w:r>
        <w:rPr>
          <w:szCs w:val="20"/>
          <w:lang w:val="en-US"/>
        </w:rPr>
        <w:t xml:space="preserve">this Court </w:t>
      </w:r>
      <w:r w:rsidRPr="003171CD">
        <w:rPr>
          <w:szCs w:val="20"/>
          <w:lang w:val="en-US"/>
        </w:rPr>
        <w:t xml:space="preserve">to ensure that acts acquiescence </w:t>
      </w:r>
      <w:proofErr w:type="gramStart"/>
      <w:r w:rsidRPr="003171CD">
        <w:rPr>
          <w:szCs w:val="20"/>
          <w:lang w:val="en-US"/>
        </w:rPr>
        <w:t>are</w:t>
      </w:r>
      <w:proofErr w:type="gramEnd"/>
      <w:r w:rsidRPr="003171CD">
        <w:rPr>
          <w:szCs w:val="20"/>
          <w:lang w:val="en-US"/>
        </w:rPr>
        <w:t xml:space="preserve"> acceptable for the purposes of the inter-American system, so that:</w:t>
      </w:r>
    </w:p>
    <w:p w14:paraId="47F329BD" w14:textId="77777777" w:rsidR="005B3B83" w:rsidRPr="003171CD" w:rsidRDefault="005B3B83" w:rsidP="005B3B83">
      <w:pPr>
        <w:pStyle w:val="Prrafodelista"/>
        <w:tabs>
          <w:tab w:val="left" w:pos="567"/>
          <w:tab w:val="left" w:pos="709"/>
        </w:tabs>
        <w:ind w:left="0"/>
        <w:jc w:val="both"/>
        <w:rPr>
          <w:szCs w:val="20"/>
          <w:lang w:val="en-US"/>
        </w:rPr>
      </w:pPr>
    </w:p>
    <w:p w14:paraId="569515C5" w14:textId="77777777" w:rsidR="005B3B83" w:rsidRPr="003171CD" w:rsidRDefault="005B3B83" w:rsidP="005B3B83">
      <w:pPr>
        <w:pStyle w:val="Prrafodelista"/>
        <w:tabs>
          <w:tab w:val="left" w:pos="567"/>
          <w:tab w:val="left" w:pos="709"/>
        </w:tabs>
        <w:ind w:left="567" w:right="582"/>
        <w:jc w:val="both"/>
        <w:rPr>
          <w:sz w:val="16"/>
          <w:szCs w:val="16"/>
          <w:lang w:val="en-US"/>
        </w:rPr>
      </w:pPr>
      <w:r w:rsidRPr="003171CD">
        <w:rPr>
          <w:sz w:val="16"/>
          <w:szCs w:val="16"/>
          <w:lang w:val="en-US"/>
        </w:rPr>
        <w:t>In this task, it is not restricted to merely confirming, recording or taking note of the State’s acquiescence, or to verifying the formal conditions of the said acts, but it must relate them to the nature and severity of the violations that have been alleged, the demands and interests of justice, the particular circumstances of the specific case, and the attitude and position of the parties, in order to clarify, to the extent possible and in the exercise of its jurisdiction, the truth of what happened.</w:t>
      </w:r>
      <w:r w:rsidRPr="003171CD">
        <w:rPr>
          <w:rStyle w:val="Refdenotaalpie"/>
          <w:sz w:val="16"/>
          <w:szCs w:val="16"/>
          <w:lang w:val="en-US"/>
        </w:rPr>
        <w:footnoteReference w:id="308"/>
      </w:r>
    </w:p>
    <w:p w14:paraId="307105CD" w14:textId="77777777" w:rsidR="005B3B83" w:rsidRPr="003171CD" w:rsidRDefault="005B3B83" w:rsidP="005B3B83">
      <w:pPr>
        <w:pStyle w:val="Prrafodelista"/>
        <w:tabs>
          <w:tab w:val="left" w:pos="567"/>
          <w:tab w:val="left" w:pos="709"/>
        </w:tabs>
        <w:ind w:left="0"/>
        <w:jc w:val="both"/>
        <w:rPr>
          <w:szCs w:val="20"/>
          <w:lang w:val="en-US"/>
        </w:rPr>
      </w:pPr>
    </w:p>
    <w:p w14:paraId="7AF85E23"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Pr>
          <w:szCs w:val="20"/>
          <w:lang w:val="en-US"/>
        </w:rPr>
        <w:t xml:space="preserve">Therefore, </w:t>
      </w:r>
      <w:r w:rsidRPr="003171CD">
        <w:rPr>
          <w:szCs w:val="20"/>
          <w:lang w:val="en-US"/>
        </w:rPr>
        <w:t xml:space="preserve">it is clear that the </w:t>
      </w:r>
      <w:r>
        <w:rPr>
          <w:szCs w:val="20"/>
          <w:lang w:val="en-US"/>
        </w:rPr>
        <w:t xml:space="preserve">basis </w:t>
      </w:r>
      <w:r w:rsidRPr="003171CD">
        <w:rPr>
          <w:szCs w:val="20"/>
          <w:lang w:val="en-US"/>
        </w:rPr>
        <w:t>for a judgment against a State that has made an ack</w:t>
      </w:r>
      <w:r>
        <w:rPr>
          <w:szCs w:val="20"/>
          <w:lang w:val="en-US"/>
        </w:rPr>
        <w:t>nowledgment of responsibility must be</w:t>
      </w:r>
      <w:r w:rsidRPr="003171CD">
        <w:rPr>
          <w:szCs w:val="20"/>
          <w:lang w:val="en-US"/>
        </w:rPr>
        <w:t xml:space="preserve"> the veracity of the facts upon which it is based; in other words, the Court must verify the facts of the specific case.</w:t>
      </w:r>
    </w:p>
    <w:p w14:paraId="25406EA9" w14:textId="77777777" w:rsidR="005B3B83" w:rsidRPr="003171CD" w:rsidRDefault="005B3B83" w:rsidP="005B3B83">
      <w:pPr>
        <w:pStyle w:val="Prrafodelista"/>
        <w:tabs>
          <w:tab w:val="left" w:pos="567"/>
          <w:tab w:val="left" w:pos="709"/>
        </w:tabs>
        <w:ind w:left="0"/>
        <w:jc w:val="both"/>
        <w:rPr>
          <w:szCs w:val="20"/>
          <w:lang w:val="en-US"/>
        </w:rPr>
      </w:pPr>
    </w:p>
    <w:p w14:paraId="33E20C4E"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sidRPr="003171CD">
        <w:rPr>
          <w:szCs w:val="20"/>
          <w:lang w:val="en-US"/>
        </w:rPr>
        <w:t xml:space="preserve">In this regard, I wish to clarify that I start from the premise that when a State makes an acknowledgement of international responsibility it is acting in good faith. However, based on the situation raised in the case </w:t>
      </w:r>
      <w:r w:rsidRPr="003171CD">
        <w:rPr>
          <w:i/>
          <w:szCs w:val="20"/>
          <w:lang w:val="en-US"/>
        </w:rPr>
        <w:t>sub judice,</w:t>
      </w:r>
      <w:r w:rsidRPr="003171CD">
        <w:rPr>
          <w:szCs w:val="20"/>
          <w:lang w:val="en-US"/>
        </w:rPr>
        <w:t xml:space="preserve"> I consider it important to offer some guidelines that should guide the decisions of the Court regarding the appropriateness of a State’s acknowledgment of responsibility and its effects on the specific case, when such a position</w:t>
      </w:r>
      <w:r>
        <w:rPr>
          <w:szCs w:val="20"/>
          <w:lang w:val="en-US"/>
        </w:rPr>
        <w:t xml:space="preserve"> implies</w:t>
      </w:r>
      <w:r w:rsidRPr="003171CD">
        <w:rPr>
          <w:szCs w:val="20"/>
          <w:lang w:val="en-US"/>
        </w:rPr>
        <w:t xml:space="preserve">, in practice, contradicting or opposing a judicial ruling issued by the domestic courts and could result in a decision by the Inter-American Court that would </w:t>
      </w:r>
      <w:r>
        <w:rPr>
          <w:szCs w:val="20"/>
          <w:lang w:val="en-US"/>
        </w:rPr>
        <w:t xml:space="preserve">annul </w:t>
      </w:r>
      <w:r w:rsidRPr="003171CD">
        <w:rPr>
          <w:szCs w:val="20"/>
          <w:lang w:val="en-US"/>
        </w:rPr>
        <w:t>those taken at the domestic level:</w:t>
      </w:r>
    </w:p>
    <w:p w14:paraId="01FEEE0C" w14:textId="77777777" w:rsidR="005B3B83" w:rsidRPr="003171CD" w:rsidRDefault="005B3B83" w:rsidP="005B3B83">
      <w:pPr>
        <w:pStyle w:val="Prrafodelista"/>
        <w:tabs>
          <w:tab w:val="left" w:pos="567"/>
          <w:tab w:val="left" w:pos="709"/>
        </w:tabs>
        <w:jc w:val="both"/>
        <w:rPr>
          <w:szCs w:val="20"/>
          <w:lang w:val="en-US"/>
        </w:rPr>
      </w:pPr>
    </w:p>
    <w:p w14:paraId="2BFEF071" w14:textId="77777777" w:rsidR="005B3B83" w:rsidRPr="003171CD" w:rsidRDefault="005B3B83" w:rsidP="005B3B83">
      <w:pPr>
        <w:pStyle w:val="Prrafodelista"/>
        <w:numPr>
          <w:ilvl w:val="0"/>
          <w:numId w:val="21"/>
        </w:numPr>
        <w:tabs>
          <w:tab w:val="left" w:pos="567"/>
          <w:tab w:val="left" w:pos="1418"/>
        </w:tabs>
        <w:autoSpaceDE/>
        <w:autoSpaceDN/>
        <w:adjustRightInd/>
        <w:ind w:firstLine="0"/>
        <w:contextualSpacing/>
        <w:jc w:val="both"/>
        <w:rPr>
          <w:szCs w:val="20"/>
          <w:lang w:val="en-US"/>
        </w:rPr>
      </w:pPr>
      <w:r w:rsidRPr="003171CD">
        <w:rPr>
          <w:szCs w:val="20"/>
          <w:lang w:val="en-US"/>
        </w:rPr>
        <w:t xml:space="preserve">The State’s acquiescence in the instant case is reasonable because, in principle, there is no evidence of any political connotation or intention other than to do justice in the case of a specific person who performed a function or activity that did not </w:t>
      </w:r>
      <w:r>
        <w:rPr>
          <w:szCs w:val="20"/>
          <w:lang w:val="en-US"/>
        </w:rPr>
        <w:t xml:space="preserve">provoke any </w:t>
      </w:r>
      <w:r w:rsidRPr="003171CD">
        <w:rPr>
          <w:szCs w:val="20"/>
          <w:lang w:val="en-US"/>
        </w:rPr>
        <w:t>concern.</w:t>
      </w:r>
    </w:p>
    <w:p w14:paraId="6E5AEDBA" w14:textId="77777777" w:rsidR="005B3B83" w:rsidRPr="003171CD" w:rsidRDefault="005B3B83" w:rsidP="005B3B83">
      <w:pPr>
        <w:pStyle w:val="Prrafodelista"/>
        <w:tabs>
          <w:tab w:val="left" w:pos="567"/>
          <w:tab w:val="left" w:pos="1418"/>
        </w:tabs>
        <w:ind w:left="426"/>
        <w:jc w:val="both"/>
        <w:rPr>
          <w:szCs w:val="20"/>
          <w:lang w:val="en-US"/>
        </w:rPr>
      </w:pPr>
    </w:p>
    <w:p w14:paraId="315EDEC6" w14:textId="77777777" w:rsidR="005B3B83" w:rsidRPr="003171CD" w:rsidRDefault="005B3B83" w:rsidP="005B3B83">
      <w:pPr>
        <w:pStyle w:val="Prrafodelista"/>
        <w:numPr>
          <w:ilvl w:val="0"/>
          <w:numId w:val="21"/>
        </w:numPr>
        <w:tabs>
          <w:tab w:val="left" w:pos="567"/>
          <w:tab w:val="left" w:pos="1418"/>
        </w:tabs>
        <w:autoSpaceDE/>
        <w:autoSpaceDN/>
        <w:adjustRightInd/>
        <w:ind w:firstLine="0"/>
        <w:contextualSpacing/>
        <w:jc w:val="both"/>
        <w:rPr>
          <w:szCs w:val="20"/>
          <w:lang w:val="en-US"/>
        </w:rPr>
      </w:pPr>
      <w:r w:rsidRPr="003171CD">
        <w:rPr>
          <w:szCs w:val="20"/>
          <w:lang w:val="en-US"/>
        </w:rPr>
        <w:t>In the second place, there is no evidence of elements of a “covert pardon.”</w:t>
      </w:r>
    </w:p>
    <w:p w14:paraId="1F95227B" w14:textId="77777777" w:rsidR="005B3B83" w:rsidRPr="003171CD" w:rsidRDefault="005B3B83" w:rsidP="005B3B83">
      <w:pPr>
        <w:pStyle w:val="Prrafodelista"/>
        <w:tabs>
          <w:tab w:val="left" w:pos="567"/>
          <w:tab w:val="left" w:pos="1418"/>
        </w:tabs>
        <w:ind w:left="426"/>
        <w:jc w:val="both"/>
        <w:rPr>
          <w:szCs w:val="20"/>
          <w:lang w:val="en-US"/>
        </w:rPr>
      </w:pPr>
    </w:p>
    <w:p w14:paraId="37588647" w14:textId="77777777" w:rsidR="005B3B83" w:rsidRPr="003171CD" w:rsidRDefault="005B3B83" w:rsidP="005B3B83">
      <w:pPr>
        <w:pStyle w:val="Prrafodelista"/>
        <w:numPr>
          <w:ilvl w:val="0"/>
          <w:numId w:val="21"/>
        </w:numPr>
        <w:tabs>
          <w:tab w:val="left" w:pos="567"/>
          <w:tab w:val="left" w:pos="1418"/>
        </w:tabs>
        <w:autoSpaceDE/>
        <w:autoSpaceDN/>
        <w:adjustRightInd/>
        <w:ind w:firstLine="0"/>
        <w:contextualSpacing/>
        <w:jc w:val="both"/>
        <w:rPr>
          <w:szCs w:val="20"/>
          <w:lang w:val="en-US"/>
        </w:rPr>
      </w:pPr>
      <w:r w:rsidRPr="003171CD">
        <w:rPr>
          <w:szCs w:val="20"/>
          <w:lang w:val="en-US"/>
        </w:rPr>
        <w:t>The irregularities mentioned in this case do not generate concern in terms of veracity, given the specific connotations of the case.</w:t>
      </w:r>
    </w:p>
    <w:p w14:paraId="5A24111B" w14:textId="77777777" w:rsidR="005B3B83" w:rsidRPr="003171CD" w:rsidRDefault="005B3B83" w:rsidP="005B3B83">
      <w:pPr>
        <w:pStyle w:val="Prrafodelista"/>
        <w:tabs>
          <w:tab w:val="left" w:pos="567"/>
          <w:tab w:val="left" w:pos="1418"/>
        </w:tabs>
        <w:ind w:left="426"/>
        <w:jc w:val="both"/>
        <w:rPr>
          <w:szCs w:val="20"/>
          <w:lang w:val="en-US"/>
        </w:rPr>
      </w:pPr>
    </w:p>
    <w:p w14:paraId="34B1254E" w14:textId="77777777" w:rsidR="005B3B83" w:rsidRPr="003171CD" w:rsidRDefault="005B3B83" w:rsidP="005B3B83">
      <w:pPr>
        <w:pStyle w:val="Prrafodelista"/>
        <w:numPr>
          <w:ilvl w:val="0"/>
          <w:numId w:val="21"/>
        </w:numPr>
        <w:tabs>
          <w:tab w:val="left" w:pos="567"/>
          <w:tab w:val="left" w:pos="1418"/>
        </w:tabs>
        <w:autoSpaceDE/>
        <w:autoSpaceDN/>
        <w:adjustRightInd/>
        <w:ind w:firstLine="0"/>
        <w:contextualSpacing/>
        <w:jc w:val="both"/>
        <w:rPr>
          <w:szCs w:val="20"/>
          <w:lang w:val="en-US"/>
        </w:rPr>
      </w:pPr>
      <w:r w:rsidRPr="003171CD">
        <w:rPr>
          <w:szCs w:val="20"/>
          <w:lang w:val="en-US"/>
        </w:rPr>
        <w:t>It is not the task of the Court to overturn the decisions of the domestic courts, based solely and exclusively on the State’s acquiescence, since whenever there is an acknowledgement of responsibility it is essential that the Court analyze the facts on which the State’s action is based.</w:t>
      </w:r>
    </w:p>
    <w:p w14:paraId="0AF0FBC7" w14:textId="77777777" w:rsidR="005B3B83" w:rsidRPr="003171CD" w:rsidRDefault="005B3B83" w:rsidP="005B3B83">
      <w:pPr>
        <w:pStyle w:val="Prrafodelista"/>
        <w:tabs>
          <w:tab w:val="left" w:pos="567"/>
          <w:tab w:val="left" w:pos="1418"/>
        </w:tabs>
        <w:ind w:left="1065"/>
        <w:jc w:val="both"/>
        <w:rPr>
          <w:szCs w:val="20"/>
          <w:lang w:val="en-US"/>
        </w:rPr>
      </w:pPr>
    </w:p>
    <w:p w14:paraId="59F7BDFC" w14:textId="77777777" w:rsidR="005B3B83" w:rsidRPr="003171CD" w:rsidRDefault="005B3B83" w:rsidP="005B3B83">
      <w:pPr>
        <w:pStyle w:val="Prrafodelista"/>
        <w:numPr>
          <w:ilvl w:val="0"/>
          <w:numId w:val="21"/>
        </w:numPr>
        <w:tabs>
          <w:tab w:val="left" w:pos="567"/>
          <w:tab w:val="left" w:pos="1418"/>
        </w:tabs>
        <w:autoSpaceDE/>
        <w:autoSpaceDN/>
        <w:adjustRightInd/>
        <w:ind w:firstLine="0"/>
        <w:contextualSpacing/>
        <w:jc w:val="both"/>
        <w:rPr>
          <w:szCs w:val="20"/>
          <w:lang w:val="en-US"/>
        </w:rPr>
      </w:pPr>
      <w:r w:rsidRPr="003171CD">
        <w:rPr>
          <w:szCs w:val="20"/>
          <w:lang w:val="en-US"/>
        </w:rPr>
        <w:t>A judgment delivered at the domestic level may only be revoked or annulled when there are elements of conviction or certainty regarding the factual elements that determine the will of the State.</w:t>
      </w:r>
    </w:p>
    <w:p w14:paraId="10404B56" w14:textId="77777777" w:rsidR="005B3B83" w:rsidRPr="003171CD" w:rsidRDefault="005B3B83" w:rsidP="005B3B83">
      <w:pPr>
        <w:pStyle w:val="Prrafodelista"/>
        <w:tabs>
          <w:tab w:val="left" w:pos="567"/>
          <w:tab w:val="left" w:pos="709"/>
        </w:tabs>
        <w:ind w:left="426"/>
        <w:jc w:val="both"/>
        <w:rPr>
          <w:szCs w:val="20"/>
          <w:lang w:val="en-US"/>
        </w:rPr>
      </w:pPr>
    </w:p>
    <w:p w14:paraId="0D96CD1B" w14:textId="77777777" w:rsidR="005B3B83" w:rsidRPr="003171CD" w:rsidRDefault="005B3B83" w:rsidP="005B3B83">
      <w:pPr>
        <w:pStyle w:val="Prrafodelista"/>
        <w:numPr>
          <w:ilvl w:val="0"/>
          <w:numId w:val="20"/>
        </w:numPr>
        <w:tabs>
          <w:tab w:val="left" w:pos="567"/>
          <w:tab w:val="left" w:pos="709"/>
        </w:tabs>
        <w:autoSpaceDE/>
        <w:autoSpaceDN/>
        <w:adjustRightInd/>
        <w:ind w:left="0" w:firstLine="0"/>
        <w:contextualSpacing/>
        <w:jc w:val="both"/>
        <w:rPr>
          <w:szCs w:val="20"/>
          <w:lang w:val="en-US"/>
        </w:rPr>
      </w:pPr>
      <w:r w:rsidRPr="003171CD">
        <w:rPr>
          <w:szCs w:val="20"/>
          <w:lang w:val="en-US"/>
        </w:rPr>
        <w:t>Based on the aforementioned considerations I express my agreement with the decision adopted by the Court in the instant case, inasmuch as it was appropriate to accept the acknowledgment of responsibility made by the State of El Salvador.</w:t>
      </w:r>
    </w:p>
    <w:p w14:paraId="6D473463" w14:textId="77777777" w:rsidR="005B3B83" w:rsidRPr="003171CD" w:rsidRDefault="005B3B83" w:rsidP="005B3B83">
      <w:pPr>
        <w:pStyle w:val="Prrafodelista"/>
        <w:tabs>
          <w:tab w:val="left" w:pos="426"/>
          <w:tab w:val="left" w:pos="709"/>
        </w:tabs>
        <w:ind w:left="0"/>
        <w:jc w:val="both"/>
        <w:rPr>
          <w:szCs w:val="20"/>
          <w:lang w:val="en-US"/>
        </w:rPr>
      </w:pPr>
    </w:p>
    <w:p w14:paraId="5FB1A0EA" w14:textId="77777777" w:rsidR="005B3B83" w:rsidRPr="003171CD" w:rsidRDefault="005B3B83" w:rsidP="005B3B83">
      <w:pPr>
        <w:pStyle w:val="Prrafodelista"/>
        <w:tabs>
          <w:tab w:val="left" w:pos="426"/>
          <w:tab w:val="left" w:pos="709"/>
        </w:tabs>
        <w:ind w:left="0"/>
        <w:jc w:val="both"/>
        <w:rPr>
          <w:szCs w:val="20"/>
          <w:lang w:val="en-US"/>
        </w:rPr>
      </w:pPr>
    </w:p>
    <w:p w14:paraId="3C772107" w14:textId="77777777" w:rsidR="005B3B83" w:rsidRPr="003171CD" w:rsidRDefault="005B3B83" w:rsidP="005B3B83">
      <w:pPr>
        <w:pStyle w:val="Prrafodelista"/>
        <w:tabs>
          <w:tab w:val="left" w:pos="426"/>
          <w:tab w:val="left" w:pos="709"/>
        </w:tabs>
        <w:ind w:left="0"/>
        <w:jc w:val="both"/>
        <w:rPr>
          <w:szCs w:val="20"/>
          <w:lang w:val="en-US"/>
        </w:rPr>
      </w:pPr>
    </w:p>
    <w:p w14:paraId="413AD239" w14:textId="77777777" w:rsidR="005B3B83" w:rsidRPr="003171CD" w:rsidRDefault="005B3B83" w:rsidP="005B3B83">
      <w:pPr>
        <w:pStyle w:val="Prrafodelista"/>
        <w:tabs>
          <w:tab w:val="left" w:pos="426"/>
          <w:tab w:val="left" w:pos="709"/>
        </w:tabs>
        <w:ind w:left="0"/>
        <w:jc w:val="both"/>
        <w:rPr>
          <w:szCs w:val="20"/>
          <w:lang w:val="en-US"/>
        </w:rPr>
      </w:pPr>
    </w:p>
    <w:p w14:paraId="089FB5E5" w14:textId="77777777" w:rsidR="005B3B83" w:rsidRPr="003171CD" w:rsidRDefault="005B3B83" w:rsidP="005B3B83">
      <w:pPr>
        <w:pStyle w:val="Prrafodelista"/>
        <w:tabs>
          <w:tab w:val="left" w:pos="426"/>
          <w:tab w:val="left" w:pos="709"/>
        </w:tabs>
        <w:ind w:left="0"/>
        <w:jc w:val="both"/>
        <w:rPr>
          <w:szCs w:val="20"/>
          <w:lang w:val="en-US"/>
        </w:rPr>
      </w:pPr>
    </w:p>
    <w:p w14:paraId="7211B5DB" w14:textId="77777777" w:rsidR="005B3B83" w:rsidRPr="003171CD" w:rsidRDefault="005B3B83" w:rsidP="005B3B83">
      <w:pPr>
        <w:pStyle w:val="Prrafodelista"/>
        <w:spacing w:after="240"/>
        <w:ind w:left="0" w:right="96"/>
        <w:rPr>
          <w:lang w:val="en-US"/>
        </w:rPr>
      </w:pPr>
    </w:p>
    <w:p w14:paraId="2C7A7E15" w14:textId="77777777" w:rsidR="005B3B83" w:rsidRPr="003171CD" w:rsidRDefault="005B3B83" w:rsidP="005B3B83">
      <w:pPr>
        <w:pStyle w:val="NormalWeb"/>
        <w:ind w:left="3600" w:right="96" w:firstLine="720"/>
        <w:rPr>
          <w:rFonts w:ascii="Verdana" w:eastAsia="Calibri" w:hAnsi="Verdana"/>
          <w:sz w:val="20"/>
          <w:szCs w:val="20"/>
          <w:lang w:val="en-US"/>
        </w:rPr>
      </w:pPr>
    </w:p>
    <w:p w14:paraId="7243B847" w14:textId="77777777" w:rsidR="005B3B83" w:rsidRPr="003171CD" w:rsidRDefault="005B3B83" w:rsidP="005B3B83">
      <w:pPr>
        <w:pStyle w:val="NormalWeb"/>
        <w:ind w:left="3600" w:right="96" w:firstLine="720"/>
        <w:jc w:val="center"/>
        <w:rPr>
          <w:rFonts w:ascii="Verdana" w:eastAsia="Calibri" w:hAnsi="Verdana"/>
          <w:sz w:val="20"/>
          <w:szCs w:val="20"/>
          <w:lang w:val="en-US"/>
        </w:rPr>
      </w:pPr>
      <w:r w:rsidRPr="003171CD">
        <w:rPr>
          <w:rFonts w:ascii="Verdana" w:eastAsia="Calibri" w:hAnsi="Verdana"/>
          <w:sz w:val="20"/>
          <w:szCs w:val="20"/>
          <w:lang w:val="en-US"/>
        </w:rPr>
        <w:t>Humberto Antonio Sierra Porto</w:t>
      </w:r>
    </w:p>
    <w:p w14:paraId="2B017507" w14:textId="77777777" w:rsidR="005B3B83" w:rsidRPr="003171CD" w:rsidRDefault="005B3B83" w:rsidP="005B3B83">
      <w:pPr>
        <w:pStyle w:val="NormalWeb"/>
        <w:ind w:left="3960" w:right="96" w:firstLine="360"/>
        <w:jc w:val="center"/>
        <w:rPr>
          <w:rFonts w:ascii="Verdana" w:eastAsia="Calibri" w:hAnsi="Verdana"/>
          <w:sz w:val="20"/>
          <w:szCs w:val="20"/>
          <w:lang w:val="en-US"/>
        </w:rPr>
      </w:pPr>
      <w:r w:rsidRPr="003171CD">
        <w:rPr>
          <w:rFonts w:ascii="Verdana" w:eastAsia="Calibri" w:hAnsi="Verdana"/>
          <w:sz w:val="20"/>
          <w:szCs w:val="20"/>
          <w:lang w:val="en-US"/>
        </w:rPr>
        <w:t>Judge</w:t>
      </w:r>
    </w:p>
    <w:p w14:paraId="71F3637C" w14:textId="77777777" w:rsidR="005B3B83" w:rsidRPr="003171CD" w:rsidRDefault="005B3B83" w:rsidP="005B3B83">
      <w:pPr>
        <w:rPr>
          <w:lang w:val="en-US"/>
        </w:rPr>
      </w:pPr>
    </w:p>
    <w:p w14:paraId="213C7300" w14:textId="77777777" w:rsidR="005B3B83" w:rsidRPr="003171CD" w:rsidRDefault="005B3B83" w:rsidP="005B3B83">
      <w:pPr>
        <w:rPr>
          <w:lang w:val="en-US"/>
        </w:rPr>
      </w:pPr>
    </w:p>
    <w:p w14:paraId="271490A8" w14:textId="77777777" w:rsidR="005B3B83" w:rsidRPr="003171CD" w:rsidRDefault="005B3B83" w:rsidP="005B3B83">
      <w:pPr>
        <w:rPr>
          <w:lang w:val="en-US"/>
        </w:rPr>
      </w:pPr>
    </w:p>
    <w:p w14:paraId="5AFE45B6" w14:textId="77777777" w:rsidR="005B3B83" w:rsidRPr="003171CD" w:rsidRDefault="005B3B83" w:rsidP="005B3B83">
      <w:pPr>
        <w:rPr>
          <w:lang w:val="en-US"/>
        </w:rPr>
      </w:pPr>
    </w:p>
    <w:p w14:paraId="67C5384C" w14:textId="77777777" w:rsidR="005B3B83" w:rsidRPr="003171CD" w:rsidRDefault="005B3B83" w:rsidP="005B3B83">
      <w:pPr>
        <w:rPr>
          <w:lang w:val="en-US"/>
        </w:rPr>
      </w:pPr>
    </w:p>
    <w:p w14:paraId="140DAC01" w14:textId="77777777" w:rsidR="005B3B83" w:rsidRPr="003171CD" w:rsidRDefault="005B3B83" w:rsidP="005B3B83">
      <w:pPr>
        <w:rPr>
          <w:lang w:val="en-US"/>
        </w:rPr>
      </w:pPr>
      <w:r w:rsidRPr="003171CD">
        <w:rPr>
          <w:lang w:val="en-US"/>
        </w:rPr>
        <w:t xml:space="preserve">    Pablo Saavedra </w:t>
      </w:r>
      <w:proofErr w:type="spellStart"/>
      <w:r w:rsidRPr="003171CD">
        <w:rPr>
          <w:lang w:val="en-US"/>
        </w:rPr>
        <w:t>Alessandri</w:t>
      </w:r>
      <w:proofErr w:type="spellEnd"/>
    </w:p>
    <w:p w14:paraId="6B8C6785" w14:textId="77777777" w:rsidR="005B3B83" w:rsidRPr="003171CD" w:rsidRDefault="005B3B83" w:rsidP="005B3B83">
      <w:pPr>
        <w:rPr>
          <w:lang w:val="en-US"/>
        </w:rPr>
      </w:pPr>
      <w:r w:rsidRPr="003171CD">
        <w:rPr>
          <w:lang w:val="en-US"/>
        </w:rPr>
        <w:tab/>
        <w:t xml:space="preserve">    Secretary</w:t>
      </w:r>
    </w:p>
    <w:p w14:paraId="046C4C43" w14:textId="77777777" w:rsidR="005B3B83" w:rsidRPr="003171CD" w:rsidRDefault="005B3B83" w:rsidP="005B3B83">
      <w:pPr>
        <w:pStyle w:val="Prrafodelista"/>
        <w:tabs>
          <w:tab w:val="left" w:pos="426"/>
          <w:tab w:val="left" w:pos="709"/>
        </w:tabs>
        <w:ind w:left="0"/>
        <w:jc w:val="both"/>
        <w:rPr>
          <w:szCs w:val="20"/>
          <w:lang w:val="en-US"/>
        </w:rPr>
      </w:pPr>
    </w:p>
    <w:p w14:paraId="49B64C07" w14:textId="77777777" w:rsidR="005B3B83" w:rsidRPr="003171CD" w:rsidRDefault="005B3B83" w:rsidP="005B3B83">
      <w:pPr>
        <w:pStyle w:val="Prrafodelista"/>
        <w:tabs>
          <w:tab w:val="left" w:pos="426"/>
          <w:tab w:val="left" w:pos="709"/>
        </w:tabs>
        <w:jc w:val="both"/>
        <w:rPr>
          <w:szCs w:val="20"/>
          <w:lang w:val="en-US"/>
        </w:rPr>
      </w:pPr>
    </w:p>
    <w:p w14:paraId="718F9064" w14:textId="77777777" w:rsidR="005B3B83" w:rsidRPr="003171CD" w:rsidRDefault="005B3B83" w:rsidP="005B3B83">
      <w:pPr>
        <w:tabs>
          <w:tab w:val="left" w:pos="426"/>
          <w:tab w:val="left" w:pos="709"/>
        </w:tabs>
        <w:jc w:val="both"/>
        <w:rPr>
          <w:lang w:val="en-US"/>
        </w:rPr>
      </w:pPr>
      <w:r w:rsidRPr="003171CD">
        <w:rPr>
          <w:lang w:val="en-US"/>
        </w:rPr>
        <w:t xml:space="preserve">Judge Eduardo Ferrer Mac-Gregor </w:t>
      </w:r>
      <w:proofErr w:type="spellStart"/>
      <w:r w:rsidRPr="003171CD">
        <w:rPr>
          <w:lang w:val="en-US"/>
        </w:rPr>
        <w:t>Poisot</w:t>
      </w:r>
      <w:proofErr w:type="spellEnd"/>
      <w:r w:rsidRPr="003171CD">
        <w:rPr>
          <w:lang w:val="en-US"/>
        </w:rPr>
        <w:t xml:space="preserve"> adhered to the Opinion of Judge Humberto Antonio Sierra Porto.</w:t>
      </w:r>
    </w:p>
    <w:p w14:paraId="2BA34317" w14:textId="77777777" w:rsidR="005B3B83" w:rsidRPr="003171CD" w:rsidRDefault="005B3B83" w:rsidP="005B3B83">
      <w:pPr>
        <w:pStyle w:val="Prrafodelista"/>
        <w:tabs>
          <w:tab w:val="left" w:pos="426"/>
          <w:tab w:val="left" w:pos="709"/>
        </w:tabs>
        <w:ind w:left="0"/>
        <w:jc w:val="both"/>
        <w:rPr>
          <w:szCs w:val="20"/>
          <w:lang w:val="en-US"/>
        </w:rPr>
      </w:pPr>
    </w:p>
    <w:p w14:paraId="31519F73" w14:textId="77777777" w:rsidR="005B3B83" w:rsidRPr="003171CD" w:rsidRDefault="005B3B83" w:rsidP="005B3B83">
      <w:pPr>
        <w:pStyle w:val="Prrafodelista"/>
        <w:tabs>
          <w:tab w:val="left" w:pos="426"/>
          <w:tab w:val="left" w:pos="709"/>
        </w:tabs>
        <w:ind w:left="0"/>
        <w:jc w:val="both"/>
        <w:rPr>
          <w:szCs w:val="20"/>
          <w:lang w:val="en-US"/>
        </w:rPr>
      </w:pPr>
    </w:p>
    <w:p w14:paraId="235ECD4E" w14:textId="77777777" w:rsidR="005B3B83" w:rsidRPr="003171CD" w:rsidRDefault="005B3B83" w:rsidP="005B3B83">
      <w:pPr>
        <w:pStyle w:val="Prrafodelista"/>
        <w:tabs>
          <w:tab w:val="left" w:pos="426"/>
          <w:tab w:val="left" w:pos="709"/>
        </w:tabs>
        <w:ind w:left="0"/>
        <w:jc w:val="both"/>
        <w:rPr>
          <w:szCs w:val="20"/>
          <w:lang w:val="en-US"/>
        </w:rPr>
      </w:pPr>
    </w:p>
    <w:p w14:paraId="06F6EA9A" w14:textId="77777777" w:rsidR="005B3B83" w:rsidRPr="003171CD" w:rsidRDefault="005B3B83" w:rsidP="005B3B83">
      <w:pPr>
        <w:pStyle w:val="Prrafodelista"/>
        <w:tabs>
          <w:tab w:val="left" w:pos="426"/>
          <w:tab w:val="left" w:pos="709"/>
        </w:tabs>
        <w:ind w:left="0"/>
        <w:jc w:val="both"/>
        <w:rPr>
          <w:szCs w:val="20"/>
          <w:lang w:val="en-US"/>
        </w:rPr>
      </w:pPr>
    </w:p>
    <w:p w14:paraId="4992D170" w14:textId="77777777" w:rsidR="005B3B83" w:rsidRPr="003171CD" w:rsidRDefault="005B3B83" w:rsidP="005B3B83">
      <w:pPr>
        <w:pStyle w:val="Prrafodelista"/>
        <w:tabs>
          <w:tab w:val="left" w:pos="426"/>
          <w:tab w:val="left" w:pos="709"/>
        </w:tabs>
        <w:ind w:left="0"/>
        <w:jc w:val="both"/>
        <w:rPr>
          <w:szCs w:val="20"/>
          <w:lang w:val="en-US"/>
        </w:rPr>
      </w:pPr>
    </w:p>
    <w:p w14:paraId="20799812" w14:textId="77777777" w:rsidR="005B3B83" w:rsidRPr="003171CD" w:rsidRDefault="005B3B83" w:rsidP="005B3B83">
      <w:pPr>
        <w:pStyle w:val="Prrafodelista"/>
        <w:tabs>
          <w:tab w:val="left" w:pos="426"/>
          <w:tab w:val="left" w:pos="709"/>
        </w:tabs>
        <w:ind w:left="0"/>
        <w:jc w:val="both"/>
        <w:rPr>
          <w:szCs w:val="20"/>
          <w:lang w:val="en-US"/>
        </w:rPr>
      </w:pPr>
    </w:p>
    <w:p w14:paraId="73CBB0F8" w14:textId="77777777" w:rsidR="005B3B83" w:rsidRPr="003171CD" w:rsidRDefault="005B3B83" w:rsidP="005B3B83">
      <w:pPr>
        <w:pStyle w:val="Prrafodelista"/>
        <w:tabs>
          <w:tab w:val="left" w:pos="426"/>
          <w:tab w:val="left" w:pos="709"/>
        </w:tabs>
        <w:ind w:left="0"/>
        <w:jc w:val="both"/>
        <w:rPr>
          <w:szCs w:val="20"/>
          <w:lang w:val="en-US"/>
        </w:rPr>
      </w:pPr>
    </w:p>
    <w:p w14:paraId="68511067" w14:textId="77777777" w:rsidR="005B3B83" w:rsidRPr="003171CD" w:rsidRDefault="005B3B83" w:rsidP="005B3B83">
      <w:pPr>
        <w:pStyle w:val="Prrafodelista"/>
        <w:tabs>
          <w:tab w:val="left" w:pos="426"/>
          <w:tab w:val="left" w:pos="709"/>
        </w:tabs>
        <w:ind w:left="0"/>
        <w:jc w:val="both"/>
        <w:rPr>
          <w:szCs w:val="20"/>
          <w:lang w:val="en-US"/>
        </w:rPr>
      </w:pPr>
    </w:p>
    <w:p w14:paraId="08EF386E" w14:textId="77777777" w:rsidR="005B3B83" w:rsidRPr="003171CD" w:rsidRDefault="005B3B83" w:rsidP="005B3B83">
      <w:pPr>
        <w:pStyle w:val="Prrafodelista"/>
        <w:tabs>
          <w:tab w:val="left" w:pos="426"/>
          <w:tab w:val="left" w:pos="709"/>
        </w:tabs>
        <w:ind w:left="0"/>
        <w:jc w:val="both"/>
        <w:rPr>
          <w:szCs w:val="20"/>
          <w:lang w:val="en-US"/>
        </w:rPr>
      </w:pPr>
    </w:p>
    <w:p w14:paraId="5C5494D9" w14:textId="77777777" w:rsidR="005B3B83" w:rsidRPr="003171CD" w:rsidRDefault="005B3B83" w:rsidP="005B3B83">
      <w:pPr>
        <w:pStyle w:val="NormalWeb"/>
        <w:tabs>
          <w:tab w:val="left" w:pos="8789"/>
        </w:tabs>
        <w:ind w:left="3969" w:right="96"/>
        <w:jc w:val="center"/>
        <w:rPr>
          <w:rFonts w:ascii="Verdana" w:hAnsi="Verdana" w:cs="Tahoma"/>
          <w:sz w:val="20"/>
          <w:szCs w:val="20"/>
          <w:lang w:val="en-US"/>
        </w:rPr>
      </w:pPr>
      <w:r w:rsidRPr="003171CD">
        <w:rPr>
          <w:rFonts w:ascii="Verdana" w:hAnsi="Verdana" w:cs="Tahoma"/>
          <w:sz w:val="20"/>
          <w:szCs w:val="20"/>
          <w:lang w:val="en-US"/>
        </w:rPr>
        <w:t xml:space="preserve">Eduardo Ferrer Mac-Gregor </w:t>
      </w:r>
      <w:proofErr w:type="spellStart"/>
      <w:r w:rsidRPr="003171CD">
        <w:rPr>
          <w:rFonts w:ascii="Verdana" w:hAnsi="Verdana" w:cs="Tahoma"/>
          <w:sz w:val="20"/>
          <w:szCs w:val="20"/>
          <w:lang w:val="en-US"/>
        </w:rPr>
        <w:t>Poisot</w:t>
      </w:r>
      <w:proofErr w:type="spellEnd"/>
    </w:p>
    <w:p w14:paraId="33DF2E36" w14:textId="77777777" w:rsidR="005B3B83" w:rsidRPr="003171CD" w:rsidRDefault="005B3B83" w:rsidP="005B3B83">
      <w:pPr>
        <w:pStyle w:val="NormalWeb"/>
        <w:tabs>
          <w:tab w:val="left" w:pos="8789"/>
        </w:tabs>
        <w:ind w:left="3969" w:right="96"/>
        <w:jc w:val="center"/>
        <w:rPr>
          <w:rFonts w:ascii="Verdana" w:hAnsi="Verdana" w:cs="Tahoma"/>
          <w:sz w:val="20"/>
          <w:szCs w:val="20"/>
          <w:lang w:val="en-US"/>
        </w:rPr>
      </w:pPr>
      <w:r w:rsidRPr="003171CD">
        <w:rPr>
          <w:rFonts w:ascii="Verdana" w:hAnsi="Verdana" w:cs="Tahoma"/>
          <w:sz w:val="20"/>
          <w:szCs w:val="20"/>
          <w:lang w:val="en-US"/>
        </w:rPr>
        <w:t>Judge</w:t>
      </w:r>
    </w:p>
    <w:p w14:paraId="13FC9E3E" w14:textId="77777777" w:rsidR="005B3B83" w:rsidRPr="003171CD" w:rsidRDefault="005B3B83" w:rsidP="005B3B83">
      <w:pPr>
        <w:tabs>
          <w:tab w:val="left" w:pos="709"/>
          <w:tab w:val="left" w:pos="8789"/>
          <w:tab w:val="left" w:pos="9356"/>
        </w:tabs>
        <w:ind w:right="5058"/>
        <w:outlineLvl w:val="0"/>
        <w:rPr>
          <w:lang w:val="en-US"/>
        </w:rPr>
      </w:pPr>
    </w:p>
    <w:p w14:paraId="5D4F7515" w14:textId="77777777" w:rsidR="005B3B83" w:rsidRPr="003171CD" w:rsidRDefault="005B3B83" w:rsidP="005B3B83">
      <w:pPr>
        <w:tabs>
          <w:tab w:val="left" w:pos="709"/>
          <w:tab w:val="left" w:pos="8789"/>
          <w:tab w:val="left" w:pos="9356"/>
        </w:tabs>
        <w:ind w:right="5058"/>
        <w:outlineLvl w:val="0"/>
        <w:rPr>
          <w:lang w:val="en-US"/>
        </w:rPr>
      </w:pPr>
    </w:p>
    <w:p w14:paraId="4C4B882F" w14:textId="77777777" w:rsidR="005B3B83" w:rsidRPr="003171CD" w:rsidRDefault="005B3B83" w:rsidP="005B3B83">
      <w:pPr>
        <w:tabs>
          <w:tab w:val="left" w:pos="709"/>
          <w:tab w:val="left" w:pos="8789"/>
          <w:tab w:val="left" w:pos="9356"/>
        </w:tabs>
        <w:ind w:right="5058"/>
        <w:outlineLvl w:val="0"/>
        <w:rPr>
          <w:lang w:val="en-US"/>
        </w:rPr>
      </w:pPr>
    </w:p>
    <w:p w14:paraId="08B45FF3" w14:textId="77777777" w:rsidR="005B3B83" w:rsidRPr="003171CD" w:rsidRDefault="005B3B83" w:rsidP="005B3B83">
      <w:pPr>
        <w:tabs>
          <w:tab w:val="left" w:pos="709"/>
          <w:tab w:val="left" w:pos="8789"/>
          <w:tab w:val="left" w:pos="9356"/>
        </w:tabs>
        <w:ind w:right="5058"/>
        <w:outlineLvl w:val="0"/>
        <w:rPr>
          <w:lang w:val="en-US"/>
        </w:rPr>
      </w:pPr>
    </w:p>
    <w:p w14:paraId="0AD19DD6" w14:textId="77777777" w:rsidR="005B3B83" w:rsidRPr="003171CD" w:rsidRDefault="005B3B83" w:rsidP="005B3B83">
      <w:pPr>
        <w:tabs>
          <w:tab w:val="left" w:pos="709"/>
          <w:tab w:val="left" w:pos="8789"/>
          <w:tab w:val="left" w:pos="9356"/>
        </w:tabs>
        <w:ind w:right="5058"/>
        <w:outlineLvl w:val="0"/>
        <w:rPr>
          <w:lang w:val="en-US"/>
        </w:rPr>
      </w:pPr>
      <w:r w:rsidRPr="003171CD">
        <w:rPr>
          <w:lang w:val="en-US"/>
        </w:rPr>
        <w:t xml:space="preserve">     </w:t>
      </w:r>
      <w:bookmarkStart w:id="103" w:name="_Toc45186725"/>
      <w:r w:rsidRPr="003171CD">
        <w:rPr>
          <w:lang w:val="en-US"/>
        </w:rPr>
        <w:t xml:space="preserve">Pablo Saavedra </w:t>
      </w:r>
      <w:proofErr w:type="spellStart"/>
      <w:r w:rsidRPr="003171CD">
        <w:rPr>
          <w:lang w:val="en-US"/>
        </w:rPr>
        <w:t>Alessandri</w:t>
      </w:r>
      <w:bookmarkEnd w:id="103"/>
      <w:proofErr w:type="spellEnd"/>
    </w:p>
    <w:p w14:paraId="26A0C2D5" w14:textId="77777777" w:rsidR="005B3B83" w:rsidRPr="00771C5F" w:rsidRDefault="005B3B83" w:rsidP="005B3B83">
      <w:pPr>
        <w:tabs>
          <w:tab w:val="left" w:pos="709"/>
          <w:tab w:val="left" w:pos="8789"/>
          <w:tab w:val="left" w:pos="9356"/>
        </w:tabs>
        <w:ind w:right="5058"/>
        <w:outlineLvl w:val="0"/>
        <w:rPr>
          <w:lang w:val="en-US"/>
        </w:rPr>
      </w:pPr>
      <w:r w:rsidRPr="003171CD">
        <w:rPr>
          <w:lang w:val="en-US"/>
        </w:rPr>
        <w:t xml:space="preserve">              </w:t>
      </w:r>
      <w:bookmarkStart w:id="104" w:name="_Toc44667065"/>
      <w:bookmarkStart w:id="105" w:name="_Toc45186726"/>
      <w:r w:rsidRPr="003171CD">
        <w:rPr>
          <w:lang w:val="en-US"/>
        </w:rPr>
        <w:t>Secretary</w:t>
      </w:r>
      <w:bookmarkEnd w:id="104"/>
      <w:bookmarkEnd w:id="105"/>
    </w:p>
    <w:p w14:paraId="005F1FAD" w14:textId="77777777" w:rsidR="005B3B83" w:rsidRPr="00771C5F" w:rsidRDefault="005B3B83" w:rsidP="005B3B83">
      <w:pPr>
        <w:pStyle w:val="Prrafodelista"/>
        <w:tabs>
          <w:tab w:val="left" w:pos="8789"/>
        </w:tabs>
        <w:ind w:right="5058"/>
        <w:jc w:val="center"/>
        <w:rPr>
          <w:rFonts w:cs="Verdana"/>
          <w:szCs w:val="20"/>
          <w:lang w:val="en-US"/>
        </w:rPr>
      </w:pPr>
    </w:p>
    <w:p w14:paraId="5C4EEF76" w14:textId="77777777" w:rsidR="005B3B83" w:rsidRDefault="005B3B83" w:rsidP="005B3B83"/>
    <w:p w14:paraId="5E054E65" w14:textId="1A9049D2" w:rsidR="005A65CE" w:rsidRPr="00A619F3" w:rsidRDefault="005A65CE" w:rsidP="00A619F3">
      <w:pPr>
        <w:autoSpaceDE/>
        <w:autoSpaceDN/>
        <w:adjustRightInd/>
        <w:spacing w:after="160" w:line="259" w:lineRule="auto"/>
        <w:rPr>
          <w:b/>
          <w:lang w:val="en-US"/>
        </w:rPr>
      </w:pPr>
    </w:p>
    <w:sectPr w:rsidR="005A65CE" w:rsidRPr="00A619F3" w:rsidSect="005B3B83">
      <w:footnotePr>
        <w:numRestart w:val="eachSect"/>
      </w:footnotePr>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F29F4" w14:textId="77777777" w:rsidR="00096DCF" w:rsidRDefault="00096DCF" w:rsidP="005A65CE">
      <w:r>
        <w:separator/>
      </w:r>
    </w:p>
  </w:endnote>
  <w:endnote w:type="continuationSeparator" w:id="0">
    <w:p w14:paraId="2C8295F6" w14:textId="77777777" w:rsidR="00096DCF" w:rsidRDefault="00096DCF" w:rsidP="005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Italic">
    <w:altName w:val="Verdana"/>
    <w:panose1 w:val="00000000000000000000"/>
    <w:charset w:val="4D"/>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Arial,Bold">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_New_Roman--Identity-H">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5742C" w14:textId="77777777" w:rsidR="00096DCF" w:rsidRDefault="00096DCF" w:rsidP="005A65CE">
      <w:r>
        <w:separator/>
      </w:r>
    </w:p>
  </w:footnote>
  <w:footnote w:type="continuationSeparator" w:id="0">
    <w:p w14:paraId="5DDBC02E" w14:textId="77777777" w:rsidR="00096DCF" w:rsidRDefault="00096DCF" w:rsidP="005A65CE">
      <w:r>
        <w:continuationSeparator/>
      </w:r>
    </w:p>
  </w:footnote>
  <w:footnote w:id="1">
    <w:p w14:paraId="172387FF"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The Merits Report No. 82/13 included the following family members as alleged victims: </w:t>
      </w:r>
      <w:r w:rsidRPr="003171CD">
        <w:rPr>
          <w:rFonts w:cs="Times"/>
          <w:szCs w:val="16"/>
          <w:lang w:val="en-US"/>
        </w:rPr>
        <w:t>María Maribel Guevara de Ruano (wife), Oscar Manuel Ruano Guevara (son), Keily Lisbeth Ruano Guevara (daughter), and Pedro Torres Hércules (cousin).</w:t>
      </w:r>
    </w:p>
  </w:footnote>
  <w:footnote w:id="2">
    <w:p w14:paraId="49250AB1"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The Commission decided to declare admissible the petition in relation to Articles 5, 7, 8 and 25 of the American Convention, pursuant to Article 1(1) thereof, to the detriment of José Agapito Ruano Torres.</w:t>
      </w:r>
    </w:p>
  </w:footnote>
  <w:footnote w:id="3">
    <w:p w14:paraId="2D1805F6"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Although as an alleged victim, the representation would be duly accredited under Article 35(1)(b) of the Court’s Rules of Procedure to Mr. Pedro Torres Hércules, upon the instructions of the President of the Court the alleged victims were informed that Article 37 of the Rules of the Court establishes the mechanism of the Inter-American Defender, under which, “[i]n cases where alleged victims are acting without duly accredited legal representation, the Court may, on its own motion, appoint an Inter-American Defender to represent them during the processing of the case.”</w:t>
      </w:r>
    </w:p>
  </w:footnote>
  <w:footnote w:id="4">
    <w:p w14:paraId="0DA98A28"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In a communication dated May 6, 2014, and </w:t>
      </w:r>
      <w:r w:rsidRPr="003171CD">
        <w:rPr>
          <w:lang w:val="en-US"/>
        </w:rPr>
        <w:t>pursuant to Article 2 of the Agreement of Understanding between the AIDEF and the Court, and following the instructions of the President of the Court, the General Coordinator of AIDEF was asked to appoint, within 10 days, the defender who would act as legal representative in this case and to provide details of an address for the notification of pertinent communications</w:t>
      </w:r>
      <w:r w:rsidRPr="003171CD">
        <w:rPr>
          <w:szCs w:val="16"/>
          <w:lang w:val="en-US"/>
        </w:rPr>
        <w:t xml:space="preserve">. </w:t>
      </w:r>
    </w:p>
  </w:footnote>
  <w:footnote w:id="5">
    <w:p w14:paraId="3C25E790"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Fonts w:cs="Century Gothic"/>
          <w:szCs w:val="16"/>
          <w:lang w:val="en-US"/>
        </w:rPr>
        <w:t>In application of Article 37 (Inter-American Defender) of the Rules of the Court</w:t>
      </w:r>
      <w:r w:rsidRPr="003171CD">
        <w:rPr>
          <w:szCs w:val="16"/>
          <w:lang w:val="en-US"/>
        </w:rPr>
        <w:t>, which establishes that “[i]n cases where alleged victims are acting without duly accredited legal representation, the Court may, on its own motion, appoint an Inter-American Defender to represent them during the processing of the case.” As established in the explanatory statement of the Court’s Rules of Procedure, the implementation of the mechanism of the Inter-American Defender aims “to g</w:t>
      </w:r>
      <w:r w:rsidRPr="003171CD">
        <w:rPr>
          <w:rFonts w:cs="Arial"/>
          <w:color w:val="222222"/>
          <w:szCs w:val="16"/>
          <w:shd w:val="clear" w:color="auto" w:fill="FFFFFF"/>
          <w:lang w:val="en-US"/>
        </w:rPr>
        <w:t>uarantee access to inter-American justice by granting free legal aid to presumed victims who do not have the financial resources or lack legal representation before the Court</w:t>
      </w:r>
      <w:r w:rsidRPr="003171CD">
        <w:rPr>
          <w:szCs w:val="16"/>
          <w:lang w:val="en-US"/>
        </w:rPr>
        <w:t>.”</w:t>
      </w:r>
    </w:p>
  </w:footnote>
  <w:footnote w:id="6">
    <w:p w14:paraId="153160A6"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Ruano Torres et al. v. El Salvador.</w:t>
      </w:r>
      <w:r w:rsidRPr="003171CD">
        <w:rPr>
          <w:szCs w:val="16"/>
          <w:lang w:val="en-US"/>
        </w:rPr>
        <w:t xml:space="preserve"> Order of the President of the Inter-American Court of March 11, 2015. Available at: http://www.corteidh.or.cr/docs/asuntos/ruano_11_03_15.pdf</w:t>
      </w:r>
    </w:p>
  </w:footnote>
  <w:footnote w:id="7">
    <w:p w14:paraId="225571E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The hearing was attended by the following: a) for the Inter-American Commission: James Louis Cavallaro, First Vice President of the Inter-American Commission, Silvia Serrano Guzmán and Erick Acuña Pereda, lawyers of the Executive Secretariat; b) for the representatives of the alleged victims: Rudy Orlando Arreola Higueros, Inter-American Public Defender, and Alberto Hassim González Herrera, Inter-American Public Defender, and c) for the State of El Salvador: Tania Camila Rosa, Director General of Human Rights of </w:t>
      </w:r>
      <w:r w:rsidRPr="003171CD">
        <w:rPr>
          <w:rFonts w:cs="Arial"/>
          <w:szCs w:val="16"/>
          <w:shd w:val="clear" w:color="auto" w:fill="FFFFFF"/>
          <w:lang w:val="en-US"/>
        </w:rPr>
        <w:t>the Foreign Ministry and Agent of the State</w:t>
      </w:r>
      <w:r w:rsidRPr="003171CD">
        <w:rPr>
          <w:szCs w:val="16"/>
          <w:lang w:val="en-US"/>
        </w:rPr>
        <w:t>, and Gloria Evelyn Martínez Ramos, D</w:t>
      </w:r>
      <w:r w:rsidRPr="003171CD">
        <w:rPr>
          <w:rFonts w:cs="Arial"/>
          <w:szCs w:val="16"/>
          <w:shd w:val="clear" w:color="auto" w:fill="FFFFFF"/>
          <w:lang w:val="en-US"/>
        </w:rPr>
        <w:t>irector of the Foreign Ministry’s International Systems for the Protection of Human Rights.</w:t>
      </w:r>
    </w:p>
  </w:footnote>
  <w:footnote w:id="8">
    <w:p w14:paraId="42FFB49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Article 62. Acquiescence </w:t>
      </w:r>
    </w:p>
    <w:p w14:paraId="66BEC5A3" w14:textId="77777777" w:rsidR="006E2EB2" w:rsidRPr="003171CD" w:rsidRDefault="006E2EB2" w:rsidP="005A65CE">
      <w:pPr>
        <w:pStyle w:val="Textonotapie"/>
        <w:spacing w:after="120"/>
        <w:ind w:left="708"/>
        <w:jc w:val="both"/>
        <w:rPr>
          <w:szCs w:val="16"/>
          <w:lang w:val="en-US"/>
        </w:rPr>
      </w:pPr>
      <w:r w:rsidRPr="003171CD">
        <w:rPr>
          <w:lang w:val="en-US"/>
        </w:rPr>
        <w:t>If the respondent informs the Court of its acceptance of the facts or its total or partial acquiescence to the claims stated in the presentation of the case or 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w:t>
      </w:r>
      <w:r w:rsidRPr="003171CD">
        <w:rPr>
          <w:szCs w:val="16"/>
          <w:lang w:val="en-US"/>
        </w:rPr>
        <w:t xml:space="preserve">. </w:t>
      </w:r>
    </w:p>
  </w:footnote>
  <w:footnote w:id="9">
    <w:p w14:paraId="3FB0E97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64. Continuation of a Case</w:t>
      </w:r>
    </w:p>
    <w:p w14:paraId="00F844C2" w14:textId="77777777" w:rsidR="006E2EB2" w:rsidRPr="003171CD" w:rsidRDefault="006E2EB2" w:rsidP="005A65CE">
      <w:pPr>
        <w:pStyle w:val="Textonotapie"/>
        <w:spacing w:after="120"/>
        <w:ind w:left="708"/>
        <w:jc w:val="both"/>
        <w:rPr>
          <w:szCs w:val="16"/>
          <w:lang w:val="en-US"/>
        </w:rPr>
      </w:pPr>
      <w:r w:rsidRPr="003171CD">
        <w:rPr>
          <w:lang w:val="en-US"/>
        </w:rPr>
        <w:t>Bearing in mind its responsibility to protect human rights, the Court may decide to continue the consideration of a case notwithstanding the existence of the conditions indicated in the preceding Articles</w:t>
      </w:r>
      <w:r w:rsidRPr="003171CD">
        <w:rPr>
          <w:szCs w:val="16"/>
          <w:lang w:val="en-US"/>
        </w:rPr>
        <w:t xml:space="preserve">. </w:t>
      </w:r>
    </w:p>
  </w:footnote>
  <w:footnote w:id="10">
    <w:p w14:paraId="4F727C8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b/>
          <w:i/>
          <w:szCs w:val="16"/>
          <w:lang w:val="en-US"/>
        </w:rPr>
        <w:t xml:space="preserve"> </w:t>
      </w:r>
      <w:r w:rsidRPr="003171CD">
        <w:rPr>
          <w:bCs/>
          <w:i/>
          <w:szCs w:val="16"/>
          <w:lang w:val="en-US"/>
        </w:rPr>
        <w:t xml:space="preserve">Case of Kimel v. Argentina. </w:t>
      </w:r>
      <w:r w:rsidRPr="003171CD">
        <w:rPr>
          <w:i/>
          <w:szCs w:val="16"/>
          <w:lang w:val="en-US"/>
        </w:rPr>
        <w:t>Merits, reparations and costs.</w:t>
      </w:r>
      <w:r w:rsidRPr="003171CD">
        <w:rPr>
          <w:szCs w:val="16"/>
          <w:lang w:val="en-US"/>
        </w:rPr>
        <w:t xml:space="preserve"> Judgment of May 2, 2008. Series C No. 177, para. 24, and </w:t>
      </w:r>
      <w:r w:rsidRPr="003171CD">
        <w:rPr>
          <w:i/>
          <w:szCs w:val="16"/>
          <w:lang w:val="en-US"/>
        </w:rPr>
        <w:t>Case of Gonzales Lluy et al. v. Ecuador</w:t>
      </w:r>
      <w:r w:rsidRPr="003171CD">
        <w:rPr>
          <w:szCs w:val="16"/>
          <w:lang w:val="en-US"/>
        </w:rPr>
        <w:t xml:space="preserve">. </w:t>
      </w:r>
      <w:r w:rsidRPr="003171CD">
        <w:rPr>
          <w:i/>
          <w:szCs w:val="16"/>
          <w:lang w:val="en-US"/>
        </w:rPr>
        <w:t xml:space="preserve">Preliminary objections, merits, reparations and costs. </w:t>
      </w:r>
      <w:r w:rsidRPr="003171CD">
        <w:rPr>
          <w:szCs w:val="16"/>
          <w:lang w:val="en-US"/>
        </w:rPr>
        <w:t>Judgment of September 1, 2015. Series C No. 298, para. 49</w:t>
      </w:r>
      <w:r w:rsidRPr="003171CD">
        <w:rPr>
          <w:rFonts w:eastAsia="Batang"/>
          <w:szCs w:val="16"/>
          <w:lang w:val="en-US"/>
        </w:rPr>
        <w:t>.</w:t>
      </w:r>
    </w:p>
  </w:footnote>
  <w:footnote w:id="11">
    <w:p w14:paraId="761F12E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b/>
          <w:i/>
          <w:szCs w:val="16"/>
          <w:lang w:val="en-US"/>
        </w:rPr>
        <w:t xml:space="preserve"> </w:t>
      </w:r>
      <w:r w:rsidRPr="003171CD">
        <w:rPr>
          <w:bCs/>
          <w:i/>
          <w:szCs w:val="16"/>
          <w:lang w:val="en-US"/>
        </w:rPr>
        <w:t xml:space="preserve">Case of Manuel Cepeda Vargas v. Colombia. </w:t>
      </w:r>
      <w:r w:rsidRPr="003171CD">
        <w:rPr>
          <w:i/>
          <w:szCs w:val="16"/>
          <w:lang w:val="en-US"/>
        </w:rPr>
        <w:t>Preliminary objections, merits, reparations and costs.</w:t>
      </w:r>
      <w:r w:rsidRPr="003171CD">
        <w:rPr>
          <w:szCs w:val="16"/>
          <w:lang w:val="en-US"/>
        </w:rPr>
        <w:t xml:space="preserve"> Judgment of May 26, 2010. Series C No. 213, para. 17, and </w:t>
      </w:r>
      <w:r w:rsidRPr="003171CD">
        <w:rPr>
          <w:i/>
          <w:szCs w:val="16"/>
          <w:lang w:val="en-US"/>
        </w:rPr>
        <w:t>Case of Gonzales Lluy et al. v. Ecuador</w:t>
      </w:r>
      <w:r w:rsidRPr="003171CD">
        <w:rPr>
          <w:rFonts w:eastAsia="Batang"/>
          <w:i/>
          <w:szCs w:val="16"/>
          <w:lang w:val="en-US"/>
        </w:rPr>
        <w:t>, supra,</w:t>
      </w:r>
      <w:r w:rsidRPr="003171CD">
        <w:rPr>
          <w:rFonts w:eastAsia="Batang"/>
          <w:szCs w:val="16"/>
          <w:lang w:val="en-US"/>
        </w:rPr>
        <w:t xml:space="preserve"> para. 49.</w:t>
      </w:r>
    </w:p>
  </w:footnote>
  <w:footnote w:id="12">
    <w:p w14:paraId="21258D33"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62(3) of the Convention establishes: “</w:t>
      </w:r>
      <w:r w:rsidRPr="003171CD">
        <w:rPr>
          <w:color w:val="000000"/>
          <w:lang w:val="en-US"/>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Statement pursuant to the preceding paragraphs, or by a special agreement</w:t>
      </w:r>
      <w:r w:rsidRPr="003171CD">
        <w:rPr>
          <w:szCs w:val="16"/>
          <w:lang w:val="en-US"/>
        </w:rPr>
        <w:t>.”</w:t>
      </w:r>
    </w:p>
  </w:footnote>
  <w:footnote w:id="13">
    <w:p w14:paraId="38A6B079"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63(1) of the Convention establishes: “</w:t>
      </w:r>
      <w:r w:rsidRPr="003171CD">
        <w:rPr>
          <w:color w:val="000000"/>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3171CD">
        <w:rPr>
          <w:szCs w:val="16"/>
          <w:lang w:val="en-US"/>
        </w:rPr>
        <w:t>.”</w:t>
      </w:r>
    </w:p>
  </w:footnote>
  <w:footnote w:id="14">
    <w:p w14:paraId="6DCCEEB7" w14:textId="77777777" w:rsidR="006E2EB2" w:rsidRPr="003171CD" w:rsidRDefault="006E2EB2" w:rsidP="005A65CE">
      <w:pPr>
        <w:pStyle w:val="Textonotapie"/>
        <w:tabs>
          <w:tab w:val="left" w:pos="709"/>
        </w:tabs>
        <w:spacing w:after="120"/>
        <w:jc w:val="both"/>
        <w:rPr>
          <w:szCs w:val="16"/>
          <w:lang w:val="en-US" w:bidi="en-US"/>
        </w:rPr>
      </w:pPr>
      <w:r w:rsidRPr="003171CD">
        <w:rPr>
          <w:rStyle w:val="Refdenotaalpie"/>
          <w:szCs w:val="16"/>
          <w:lang w:val="en-US"/>
        </w:rPr>
        <w:footnoteRef/>
      </w:r>
      <w:r w:rsidRPr="003171CD">
        <w:rPr>
          <w:szCs w:val="16"/>
          <w:lang w:val="en-US"/>
        </w:rPr>
        <w:tab/>
      </w:r>
      <w:r w:rsidRPr="003171CD">
        <w:rPr>
          <w:i/>
          <w:szCs w:val="16"/>
          <w:lang w:val="en-US"/>
        </w:rPr>
        <w:t>Cf.</w:t>
      </w:r>
      <w:r w:rsidRPr="003171CD">
        <w:rPr>
          <w:szCs w:val="16"/>
          <w:lang w:val="en-US"/>
        </w:rPr>
        <w:t xml:space="preserve"> </w:t>
      </w:r>
      <w:r w:rsidRPr="003171CD">
        <w:rPr>
          <w:rFonts w:cs="Verdana-Italic"/>
          <w:i/>
          <w:iCs/>
          <w:szCs w:val="16"/>
          <w:lang w:val="en-US" w:eastAsia="en-US" w:bidi="en-US"/>
        </w:rPr>
        <w:t xml:space="preserve">Case of Myrna Mack Chang v. Guatemala. </w:t>
      </w:r>
      <w:r w:rsidRPr="003171CD">
        <w:rPr>
          <w:szCs w:val="16"/>
          <w:lang w:val="en-US" w:eastAsia="en-US" w:bidi="en-US"/>
        </w:rPr>
        <w:t>Judgment of November 25, 2003. Series C No. 101, para.</w:t>
      </w:r>
      <w:r w:rsidRPr="003171CD">
        <w:rPr>
          <w:rFonts w:cs="Verdana-Italic"/>
          <w:i/>
          <w:iCs/>
          <w:szCs w:val="16"/>
          <w:lang w:val="en-US" w:eastAsia="en-US" w:bidi="en-US"/>
        </w:rPr>
        <w:t xml:space="preserve"> </w:t>
      </w:r>
      <w:r w:rsidRPr="003171CD">
        <w:rPr>
          <w:szCs w:val="16"/>
          <w:lang w:val="en-US" w:eastAsia="en-US" w:bidi="en-US"/>
        </w:rPr>
        <w:t xml:space="preserve">105, and </w:t>
      </w:r>
      <w:r w:rsidRPr="003171CD">
        <w:rPr>
          <w:i/>
          <w:szCs w:val="16"/>
          <w:lang w:val="en-US"/>
        </w:rPr>
        <w:t xml:space="preserve">Case of Tiu Tojín v. Guatemala. Merits, reparations and costs. </w:t>
      </w:r>
      <w:r w:rsidRPr="003171CD">
        <w:rPr>
          <w:szCs w:val="16"/>
          <w:lang w:val="en-US"/>
        </w:rPr>
        <w:t>Judgment of November 26, 2008. Series C No. 190</w:t>
      </w:r>
      <w:r w:rsidRPr="003171CD">
        <w:rPr>
          <w:szCs w:val="16"/>
          <w:lang w:val="en-US" w:eastAsia="en-US" w:bidi="en-US"/>
        </w:rPr>
        <w:t xml:space="preserve">, </w:t>
      </w:r>
      <w:r w:rsidRPr="003171CD">
        <w:rPr>
          <w:szCs w:val="16"/>
          <w:lang w:val="en-US" w:bidi="en-US"/>
        </w:rPr>
        <w:t>para. 24.</w:t>
      </w:r>
    </w:p>
  </w:footnote>
  <w:footnote w:id="15">
    <w:p w14:paraId="69EEDDB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iCs/>
          <w:szCs w:val="16"/>
          <w:lang w:val="en-US"/>
        </w:rPr>
        <w:t xml:space="preserve">Cf. Case of Neira Alegría et al. v. Peru. Preliminary objections. </w:t>
      </w:r>
      <w:r w:rsidRPr="003171CD">
        <w:rPr>
          <w:szCs w:val="16"/>
          <w:lang w:val="en-US"/>
        </w:rPr>
        <w:t xml:space="preserve">Judgment of December 11, 1991. Series C No. 13, para. 29, and </w:t>
      </w:r>
      <w:r w:rsidRPr="003171CD">
        <w:rPr>
          <w:i/>
          <w:iCs/>
          <w:szCs w:val="16"/>
          <w:lang w:val="en-US"/>
        </w:rPr>
        <w:t xml:space="preserve">Case of the Peasant Community of Santa Bárbara v. Peru. Preliminary objections, merits, reparations and costs. </w:t>
      </w:r>
      <w:r w:rsidRPr="003171CD">
        <w:rPr>
          <w:iCs/>
          <w:szCs w:val="16"/>
          <w:lang w:val="en-US"/>
        </w:rPr>
        <w:t>Judgment of September 1, 2015. Series C No. 299</w:t>
      </w:r>
      <w:r w:rsidRPr="003171CD">
        <w:rPr>
          <w:szCs w:val="16"/>
          <w:lang w:val="en-US"/>
        </w:rPr>
        <w:t>, para. 27.</w:t>
      </w:r>
    </w:p>
  </w:footnote>
  <w:footnote w:id="16">
    <w:p w14:paraId="0BBD6DDC"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bCs/>
          <w:i/>
          <w:szCs w:val="16"/>
          <w:lang w:val="en-US"/>
        </w:rPr>
        <w:t xml:space="preserve">Case of the Río Negro Massacres v. Guatemala. </w:t>
      </w:r>
      <w:r w:rsidRPr="003171CD">
        <w:rPr>
          <w:i/>
          <w:szCs w:val="16"/>
          <w:lang w:val="en-US"/>
        </w:rPr>
        <w:t xml:space="preserve">Preliminary objection, merits, reparations and costs. </w:t>
      </w:r>
      <w:r w:rsidRPr="003171CD">
        <w:rPr>
          <w:szCs w:val="16"/>
          <w:lang w:val="en-US"/>
        </w:rPr>
        <w:t>Judgment of September 4, 2012. Series C No. 250, para. 25.</w:t>
      </w:r>
    </w:p>
  </w:footnote>
  <w:footnote w:id="17">
    <w:p w14:paraId="7D2C4E5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This article states that “</w:t>
      </w:r>
      <w:r w:rsidRPr="003171CD">
        <w:rPr>
          <w:lang w:val="en-US"/>
        </w:rPr>
        <w:t>Every human being has the right to life, liberty and the security of his person.</w:t>
      </w:r>
      <w:r w:rsidRPr="003171CD">
        <w:rPr>
          <w:szCs w:val="16"/>
          <w:lang w:val="en-US"/>
        </w:rPr>
        <w:t>”</w:t>
      </w:r>
    </w:p>
  </w:footnote>
  <w:footnote w:id="18">
    <w:p w14:paraId="27C71D8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This article states that “</w:t>
      </w:r>
      <w:r w:rsidRPr="003171CD">
        <w:rPr>
          <w:lang w:val="en-US"/>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r w:rsidRPr="003171CD">
        <w:rPr>
          <w:szCs w:val="16"/>
          <w:lang w:val="en-US"/>
        </w:rPr>
        <w:t>”</w:t>
      </w:r>
    </w:p>
  </w:footnote>
  <w:footnote w:id="19">
    <w:p w14:paraId="1CC4927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This article contemplates the right to protection against arbitrary detention, in the following terms:</w:t>
      </w:r>
    </w:p>
    <w:p w14:paraId="3C34CC6E" w14:textId="77777777" w:rsidR="006E2EB2" w:rsidRPr="003171CD" w:rsidRDefault="006E2EB2" w:rsidP="005A65CE">
      <w:pPr>
        <w:pStyle w:val="Textonotapie"/>
        <w:spacing w:after="120"/>
        <w:ind w:left="708" w:right="582"/>
        <w:jc w:val="both"/>
        <w:rPr>
          <w:szCs w:val="16"/>
          <w:lang w:val="en-US"/>
        </w:rPr>
      </w:pPr>
      <w:r w:rsidRPr="003171CD">
        <w:rPr>
          <w:lang w:val="en-US"/>
        </w:rPr>
        <w:t xml:space="preserve">“No person may be deprived of his liberty except in the cases and according to the procedures established by pre-existing law. </w:t>
      </w:r>
    </w:p>
    <w:p w14:paraId="50937DF0" w14:textId="77777777" w:rsidR="006E2EB2" w:rsidRPr="003171CD" w:rsidRDefault="006E2EB2" w:rsidP="005A65CE">
      <w:pPr>
        <w:pStyle w:val="Textonotapie"/>
        <w:spacing w:after="120"/>
        <w:ind w:right="582" w:firstLine="708"/>
        <w:jc w:val="both"/>
        <w:rPr>
          <w:szCs w:val="16"/>
          <w:lang w:val="en-US"/>
        </w:rPr>
      </w:pPr>
      <w:r w:rsidRPr="003171CD">
        <w:rPr>
          <w:lang w:val="en-US"/>
        </w:rPr>
        <w:t>No person may be deprived of liberty for non-fulfillment of obligations of a purely civil character</w:t>
      </w:r>
      <w:r w:rsidRPr="003171CD">
        <w:rPr>
          <w:szCs w:val="16"/>
          <w:lang w:val="en-US"/>
        </w:rPr>
        <w:t>.</w:t>
      </w:r>
    </w:p>
    <w:p w14:paraId="45534232" w14:textId="77777777" w:rsidR="006E2EB2" w:rsidRPr="003171CD" w:rsidRDefault="006E2EB2" w:rsidP="005A65CE">
      <w:pPr>
        <w:pStyle w:val="Textonotapie"/>
        <w:spacing w:after="120"/>
        <w:ind w:left="708" w:right="582"/>
        <w:jc w:val="both"/>
        <w:rPr>
          <w:szCs w:val="16"/>
          <w:lang w:val="en-US"/>
        </w:rPr>
      </w:pPr>
      <w:r w:rsidRPr="003171CD">
        <w:rPr>
          <w:lang w:val="en-US"/>
        </w:rPr>
        <w:t>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w:t>
      </w:r>
      <w:r w:rsidRPr="003171CD">
        <w:rPr>
          <w:szCs w:val="16"/>
          <w:lang w:val="en-US"/>
        </w:rPr>
        <w:t>.”</w:t>
      </w:r>
    </w:p>
  </w:footnote>
  <w:footnote w:id="20">
    <w:p w14:paraId="261F421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This article establishes the right to due process of law as follows:</w:t>
      </w:r>
    </w:p>
    <w:p w14:paraId="18385D74" w14:textId="77777777" w:rsidR="006E2EB2" w:rsidRPr="003171CD" w:rsidRDefault="006E2EB2" w:rsidP="005A65CE">
      <w:pPr>
        <w:pStyle w:val="Textonotapie"/>
        <w:spacing w:after="120"/>
        <w:jc w:val="both"/>
        <w:rPr>
          <w:szCs w:val="16"/>
          <w:lang w:val="en-US"/>
        </w:rPr>
      </w:pPr>
      <w:r w:rsidRPr="003171CD">
        <w:rPr>
          <w:szCs w:val="16"/>
          <w:lang w:val="en-US"/>
        </w:rPr>
        <w:tab/>
        <w:t>“</w:t>
      </w:r>
      <w:r w:rsidRPr="003171CD">
        <w:rPr>
          <w:lang w:val="en-US"/>
        </w:rPr>
        <w:t>Every accused person is presumed to be innocent until proved guilty.</w:t>
      </w:r>
      <w:r w:rsidRPr="003171CD">
        <w:rPr>
          <w:szCs w:val="16"/>
          <w:lang w:val="en-US"/>
        </w:rPr>
        <w:t xml:space="preserve"> </w:t>
      </w:r>
    </w:p>
    <w:p w14:paraId="4565FBD7" w14:textId="77777777" w:rsidR="006E2EB2" w:rsidRPr="003171CD" w:rsidRDefault="006E2EB2" w:rsidP="005A65CE">
      <w:pPr>
        <w:pStyle w:val="Textonotapie"/>
        <w:spacing w:after="120"/>
        <w:ind w:left="708" w:right="582"/>
        <w:jc w:val="both"/>
        <w:rPr>
          <w:szCs w:val="16"/>
          <w:lang w:val="en-US"/>
        </w:rPr>
      </w:pPr>
      <w:r w:rsidRPr="003171CD">
        <w:rPr>
          <w:lang w:val="en-US"/>
        </w:rPr>
        <w:t>Every person accused of an offense has the right to be given an impartial and public hearing, and to be tried by courts previously established in accordance with pre-existing laws, and not to receive cruel, infamous or unusual punishment.</w:t>
      </w:r>
      <w:r w:rsidRPr="003171CD">
        <w:rPr>
          <w:szCs w:val="16"/>
          <w:lang w:val="en-US"/>
        </w:rPr>
        <w:t>”</w:t>
      </w:r>
    </w:p>
  </w:footnote>
  <w:footnote w:id="21">
    <w:p w14:paraId="747B32A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ab/>
      </w:r>
      <w:r w:rsidRPr="003171CD">
        <w:rPr>
          <w:i/>
          <w:szCs w:val="16"/>
          <w:lang w:val="en-US"/>
        </w:rPr>
        <w:t>Cf. Case of the Moiwana Community v. Suriname</w:t>
      </w:r>
      <w:r w:rsidRPr="003171CD">
        <w:rPr>
          <w:szCs w:val="16"/>
          <w:lang w:val="en-US"/>
        </w:rPr>
        <w:t xml:space="preserve">. Judgment of June 15, 2005. Series C No. 124, para. 63, and </w:t>
      </w:r>
      <w:r w:rsidRPr="003171CD">
        <w:rPr>
          <w:rStyle w:val="Textoennegrita"/>
          <w:b w:val="0"/>
          <w:i/>
          <w:szCs w:val="16"/>
          <w:lang w:val="en-US"/>
        </w:rPr>
        <w:t>Case of Argüelles et al. v. Argentina. Preliminary objections, merits, reparations and costs</w:t>
      </w:r>
      <w:r w:rsidRPr="003171CD">
        <w:rPr>
          <w:rStyle w:val="Textoennegrita"/>
          <w:b w:val="0"/>
          <w:szCs w:val="16"/>
          <w:lang w:val="en-US"/>
        </w:rPr>
        <w:t>. Judgment of November 20, 2014. Series C No. 288, para. 37</w:t>
      </w:r>
      <w:r w:rsidRPr="003171CD">
        <w:rPr>
          <w:szCs w:val="16"/>
          <w:lang w:val="en-US"/>
        </w:rPr>
        <w:t>.</w:t>
      </w:r>
    </w:p>
  </w:footnote>
  <w:footnote w:id="22">
    <w:p w14:paraId="35524E4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29 concerning the rules of interpretation establishes that: “</w:t>
      </w:r>
      <w:r w:rsidRPr="003171CD">
        <w:rPr>
          <w:color w:val="000000"/>
          <w:lang w:val="en-US"/>
        </w:rPr>
        <w:t>No provision of this Convention shall be interpreted as</w:t>
      </w:r>
      <w:r w:rsidRPr="003171CD">
        <w:rPr>
          <w:szCs w:val="16"/>
          <w:lang w:val="en-US"/>
        </w:rPr>
        <w:t xml:space="preserve">: […] d) </w:t>
      </w:r>
      <w:r w:rsidRPr="003171CD">
        <w:rPr>
          <w:color w:val="000000"/>
          <w:lang w:val="en-US"/>
        </w:rPr>
        <w:t>excluding or limiting the effect that the American Declaration of the Rights and Duties of Man and other international acts of the same nature may have</w:t>
      </w:r>
      <w:r w:rsidRPr="003171CD">
        <w:rPr>
          <w:szCs w:val="16"/>
          <w:lang w:val="en-US"/>
        </w:rPr>
        <w:t>.”</w:t>
      </w:r>
    </w:p>
  </w:footnote>
  <w:footnote w:id="23">
    <w:p w14:paraId="319233D7"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Interpretation of the American Statement on the Rights and Duties of Man within the Framework of Article 64 of the American Convention on Human Rights</w:t>
      </w:r>
      <w:r w:rsidRPr="003171CD">
        <w:rPr>
          <w:szCs w:val="16"/>
          <w:lang w:val="en-US"/>
        </w:rPr>
        <w:t xml:space="preserve">. Advisory Opinion OC-10/89 of July 14, 1989. Series A No. 10, para. 46, and </w:t>
      </w:r>
      <w:r w:rsidRPr="003171CD">
        <w:rPr>
          <w:rStyle w:val="Textoennegrita"/>
          <w:b w:val="0"/>
          <w:i/>
          <w:szCs w:val="16"/>
          <w:lang w:val="en-US"/>
        </w:rPr>
        <w:t>Case of Argüelles et al. v. Argentina, supra</w:t>
      </w:r>
      <w:r w:rsidRPr="003171CD">
        <w:rPr>
          <w:rStyle w:val="Textoennegrita"/>
          <w:b w:val="0"/>
          <w:szCs w:val="16"/>
          <w:lang w:val="en-US"/>
        </w:rPr>
        <w:t>, para. 37</w:t>
      </w:r>
      <w:r w:rsidRPr="003171CD">
        <w:rPr>
          <w:szCs w:val="16"/>
          <w:lang w:val="en-US"/>
        </w:rPr>
        <w:t>.</w:t>
      </w:r>
    </w:p>
  </w:footnote>
  <w:footnote w:id="24">
    <w:p w14:paraId="50DB997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Interpretation of the American Declaration on the Rights and Duties of Man within the Framework of Article 64 of the American Convention on Human Rights</w:t>
      </w:r>
      <w:r w:rsidRPr="003171CD">
        <w:rPr>
          <w:szCs w:val="16"/>
          <w:lang w:val="en-US"/>
        </w:rPr>
        <w:t xml:space="preserve">. Advisory Opinion OC-10/89, </w:t>
      </w:r>
      <w:r w:rsidRPr="003171CD">
        <w:rPr>
          <w:i/>
          <w:szCs w:val="16"/>
          <w:lang w:val="en-US"/>
        </w:rPr>
        <w:t>supra,</w:t>
      </w:r>
      <w:r w:rsidRPr="003171CD">
        <w:rPr>
          <w:szCs w:val="16"/>
          <w:lang w:val="en-US"/>
        </w:rPr>
        <w:t xml:space="preserve"> para. 46, and </w:t>
      </w:r>
      <w:r w:rsidRPr="003171CD">
        <w:rPr>
          <w:rStyle w:val="Textoennegrita"/>
          <w:b w:val="0"/>
          <w:i/>
          <w:szCs w:val="16"/>
          <w:lang w:val="en-US"/>
        </w:rPr>
        <w:t>Case of Argüelles et al. v. Argentina, supra</w:t>
      </w:r>
      <w:r w:rsidRPr="003171CD">
        <w:rPr>
          <w:rStyle w:val="Textoennegrita"/>
          <w:b w:val="0"/>
          <w:szCs w:val="16"/>
          <w:lang w:val="en-US"/>
        </w:rPr>
        <w:t>, para. 37</w:t>
      </w:r>
      <w:r w:rsidRPr="003171CD">
        <w:rPr>
          <w:szCs w:val="16"/>
          <w:lang w:val="en-US"/>
        </w:rPr>
        <w:t>.</w:t>
      </w:r>
    </w:p>
  </w:footnote>
  <w:footnote w:id="25">
    <w:p w14:paraId="139B6CAF"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Fonts w:eastAsia="Batang"/>
          <w:i/>
          <w:szCs w:val="16"/>
          <w:lang w:val="en-US"/>
        </w:rPr>
        <w:t xml:space="preserve">Cf. </w:t>
      </w:r>
      <w:r w:rsidRPr="003171CD">
        <w:rPr>
          <w:bCs/>
          <w:i/>
          <w:szCs w:val="16"/>
          <w:lang w:val="en-US"/>
        </w:rPr>
        <w:t>Case of the Caracazo v. Venezuela. Merits</w:t>
      </w:r>
      <w:r w:rsidRPr="003171CD">
        <w:rPr>
          <w:szCs w:val="16"/>
          <w:lang w:val="en-US"/>
        </w:rPr>
        <w:t xml:space="preserve">. Judgment of November 11, 1999. Series C No. 58, para. 43, and </w:t>
      </w:r>
      <w:r w:rsidRPr="003171CD">
        <w:rPr>
          <w:rStyle w:val="Textoennegrita"/>
          <w:b w:val="0"/>
          <w:i/>
          <w:szCs w:val="16"/>
          <w:lang w:val="en-US"/>
        </w:rPr>
        <w:t>Case of Rodríguez Vera et al. (Disappeared of the Palace of Justice) v. Colombia. Preliminary objections, merits, reparations and costs</w:t>
      </w:r>
      <w:r w:rsidRPr="003171CD">
        <w:rPr>
          <w:rStyle w:val="Textoennegrita"/>
          <w:b w:val="0"/>
          <w:szCs w:val="16"/>
          <w:lang w:val="en-US"/>
        </w:rPr>
        <w:t>. Judgment of November 14, 2014. Series C No. 287, para. 26.</w:t>
      </w:r>
    </w:p>
  </w:footnote>
  <w:footnote w:id="26">
    <w:p w14:paraId="4CA5321E" w14:textId="77777777" w:rsidR="006E2EB2" w:rsidRPr="003171CD" w:rsidRDefault="006E2EB2" w:rsidP="005A65CE">
      <w:pPr>
        <w:tabs>
          <w:tab w:val="left" w:pos="709"/>
        </w:tabs>
        <w:spacing w:after="120"/>
        <w:ind w:right="-9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t>In relation to the procedural opportunity for the presentation of documentary evidence, pursuant to Article 57(2) of the Rules, the latter must be generally presented with the briefs submitting the case, of pleadings and motions or the answering brief, as appropriate.</w:t>
      </w:r>
    </w:p>
  </w:footnote>
  <w:footnote w:id="27">
    <w:p w14:paraId="788079BE" w14:textId="77777777" w:rsidR="006E2EB2" w:rsidRPr="003171CD" w:rsidRDefault="006E2EB2" w:rsidP="005A65CE">
      <w:pPr>
        <w:tabs>
          <w:tab w:val="left" w:pos="709"/>
        </w:tabs>
        <w:spacing w:after="120"/>
        <w:jc w:val="both"/>
        <w:rPr>
          <w:i/>
          <w:sz w:val="16"/>
          <w:szCs w:val="16"/>
          <w:lang w:val="en-US"/>
        </w:rPr>
      </w:pPr>
      <w:r w:rsidRPr="003171CD">
        <w:rPr>
          <w:rStyle w:val="Refdenotaalpie"/>
          <w:sz w:val="16"/>
          <w:szCs w:val="16"/>
          <w:lang w:val="en-US"/>
        </w:rPr>
        <w:footnoteRef/>
      </w:r>
      <w:r w:rsidRPr="003171CD">
        <w:rPr>
          <w:sz w:val="16"/>
          <w:szCs w:val="16"/>
          <w:lang w:val="en-US"/>
        </w:rPr>
        <w:tab/>
      </w:r>
      <w:r w:rsidRPr="003171CD">
        <w:rPr>
          <w:i/>
          <w:sz w:val="16"/>
          <w:szCs w:val="16"/>
          <w:lang w:val="en-US"/>
        </w:rPr>
        <w:t>Cf.</w:t>
      </w:r>
      <w:r w:rsidRPr="003171CD">
        <w:rPr>
          <w:sz w:val="16"/>
          <w:szCs w:val="16"/>
          <w:lang w:val="en-US"/>
        </w:rPr>
        <w:t xml:space="preserve"> </w:t>
      </w:r>
      <w:r w:rsidRPr="003171CD">
        <w:rPr>
          <w:i/>
          <w:sz w:val="16"/>
          <w:szCs w:val="16"/>
          <w:lang w:val="en-US"/>
        </w:rPr>
        <w:t xml:space="preserve">Case of Velásquez Rodríguez v. Honduras. Merits. </w:t>
      </w:r>
      <w:r w:rsidRPr="003171CD">
        <w:rPr>
          <w:sz w:val="16"/>
          <w:szCs w:val="16"/>
          <w:lang w:val="en-US"/>
        </w:rPr>
        <w:t xml:space="preserve">Judgment of July 29, 1988. Series C No. 4, para. 140, and </w:t>
      </w:r>
      <w:r w:rsidRPr="003171CD">
        <w:rPr>
          <w:rStyle w:val="Textoennegrita"/>
          <w:b w:val="0"/>
          <w:i/>
          <w:color w:val="000000"/>
          <w:sz w:val="16"/>
          <w:szCs w:val="16"/>
          <w:shd w:val="clear" w:color="auto" w:fill="FFFFFF"/>
          <w:lang w:val="en-US"/>
        </w:rPr>
        <w:t xml:space="preserve">Case of Omar Humberto Maldonado Vargas et al. v. Chile. Merits, reparations and costs. </w:t>
      </w:r>
      <w:r w:rsidRPr="003171CD">
        <w:rPr>
          <w:rStyle w:val="Textoennegrita"/>
          <w:b w:val="0"/>
          <w:color w:val="000000"/>
          <w:sz w:val="16"/>
          <w:szCs w:val="16"/>
          <w:shd w:val="clear" w:color="auto" w:fill="FFFFFF"/>
          <w:lang w:val="en-US"/>
        </w:rPr>
        <w:t>Judgment of September 2, 2015. Series C No. 300</w:t>
      </w:r>
      <w:r w:rsidRPr="003171CD">
        <w:rPr>
          <w:sz w:val="16"/>
          <w:szCs w:val="16"/>
          <w:lang w:val="en-US"/>
        </w:rPr>
        <w:t>, para. 12.</w:t>
      </w:r>
    </w:p>
  </w:footnote>
  <w:footnote w:id="28">
    <w:p w14:paraId="73CB6DD9"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iCs/>
          <w:szCs w:val="16"/>
          <w:lang w:val="en-US"/>
        </w:rPr>
        <w:t xml:space="preserve">Cf. Case of Velásquez Rodríguez v. Honduras. Merits, supra, </w:t>
      </w:r>
      <w:r w:rsidRPr="003171CD">
        <w:rPr>
          <w:iCs/>
          <w:szCs w:val="16"/>
          <w:lang w:val="en-US"/>
        </w:rPr>
        <w:t>para. 146,</w:t>
      </w:r>
      <w:r w:rsidRPr="003171CD">
        <w:rPr>
          <w:i/>
          <w:iCs/>
          <w:szCs w:val="16"/>
          <w:lang w:val="en-US"/>
        </w:rPr>
        <w:t xml:space="preserve"> and </w:t>
      </w:r>
      <w:r w:rsidRPr="003171CD">
        <w:rPr>
          <w:rStyle w:val="Textoennegrita"/>
          <w:b w:val="0"/>
          <w:i/>
          <w:color w:val="000000"/>
          <w:szCs w:val="16"/>
          <w:shd w:val="clear" w:color="auto" w:fill="FFFFFF"/>
          <w:lang w:val="en-US"/>
        </w:rPr>
        <w:t>Case of Omar Humberto Maldonado Vargas et al. v. Chile</w:t>
      </w:r>
      <w:r w:rsidRPr="003171CD">
        <w:rPr>
          <w:bCs/>
          <w:i/>
          <w:szCs w:val="16"/>
          <w:lang w:val="en-US"/>
        </w:rPr>
        <w:t>, supra</w:t>
      </w:r>
      <w:r w:rsidRPr="003171CD">
        <w:rPr>
          <w:szCs w:val="16"/>
          <w:lang w:val="en-US"/>
        </w:rPr>
        <w:t>, para.</w:t>
      </w:r>
      <w:r w:rsidRPr="003171CD">
        <w:rPr>
          <w:iCs/>
          <w:szCs w:val="16"/>
          <w:lang w:val="en-US"/>
        </w:rPr>
        <w:t xml:space="preserve"> 12.</w:t>
      </w:r>
    </w:p>
  </w:footnote>
  <w:footnote w:id="29">
    <w:p w14:paraId="5E42198A"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In relation to the press report of October 18, 2000 attached to Annex I.3) of the brief of pleadings, motions and evidence, entitled “ `</w:t>
      </w:r>
      <w:r w:rsidRPr="003171CD">
        <w:rPr>
          <w:i/>
          <w:szCs w:val="16"/>
          <w:lang w:val="en-US"/>
        </w:rPr>
        <w:t>Los Guaza</w:t>
      </w:r>
      <w:r w:rsidRPr="003171CD">
        <w:rPr>
          <w:szCs w:val="16"/>
          <w:lang w:val="en-US"/>
        </w:rPr>
        <w:t xml:space="preserve">´ kidnapping gang arrested in north of the country” and published in the </w:t>
      </w:r>
      <w:r w:rsidRPr="003171CD">
        <w:rPr>
          <w:i/>
          <w:szCs w:val="16"/>
          <w:lang w:val="en-US"/>
        </w:rPr>
        <w:t>Diario de Hoy</w:t>
      </w:r>
      <w:r w:rsidRPr="003171CD">
        <w:rPr>
          <w:szCs w:val="16"/>
          <w:lang w:val="en-US"/>
        </w:rPr>
        <w:t>, the Court notes that the representatives indicated that “the authorities of the newspaper archive and the press of San Salvador [did] not allow a copy to be removed from the premises, and it was not possible to take photographs of it; therefore, they [sent] the clipping provided at the time by the alleged victim.” However, the Court admits the digital version provided since it was not challenged by the State, on the understanding that the source and date of publication correspond to that indicated by the representatives.</w:t>
      </w:r>
    </w:p>
  </w:footnote>
  <w:footnote w:id="30">
    <w:p w14:paraId="28DA98C7" w14:textId="77777777" w:rsidR="006E2EB2" w:rsidRPr="003171CD" w:rsidRDefault="006E2EB2" w:rsidP="005A65CE">
      <w:pPr>
        <w:tabs>
          <w:tab w:val="left" w:pos="709"/>
        </w:tabs>
        <w:spacing w:after="120"/>
        <w:ind w:right="-90"/>
        <w:jc w:val="both"/>
        <w:rPr>
          <w:sz w:val="16"/>
          <w:szCs w:val="16"/>
          <w:lang w:val="en-US"/>
        </w:rPr>
      </w:pPr>
      <w:r w:rsidRPr="003171CD">
        <w:rPr>
          <w:rStyle w:val="Refdenotaalpie"/>
          <w:sz w:val="16"/>
          <w:szCs w:val="16"/>
          <w:lang w:val="en-US"/>
        </w:rPr>
        <w:footnoteRef/>
      </w:r>
      <w:r w:rsidRPr="003171CD">
        <w:rPr>
          <w:sz w:val="16"/>
          <w:szCs w:val="16"/>
          <w:lang w:val="en-US"/>
        </w:rPr>
        <w:tab/>
      </w:r>
      <w:r w:rsidRPr="003171CD">
        <w:rPr>
          <w:i/>
          <w:sz w:val="16"/>
          <w:szCs w:val="16"/>
          <w:lang w:val="en-US"/>
        </w:rPr>
        <w:t>Cf.</w:t>
      </w:r>
      <w:r w:rsidRPr="003171CD">
        <w:rPr>
          <w:sz w:val="16"/>
          <w:szCs w:val="16"/>
          <w:lang w:val="en-US"/>
        </w:rPr>
        <w:t xml:space="preserve"> </w:t>
      </w:r>
      <w:r w:rsidRPr="003171CD">
        <w:rPr>
          <w:bCs/>
          <w:i/>
          <w:sz w:val="16"/>
          <w:szCs w:val="16"/>
          <w:lang w:val="en-US"/>
        </w:rPr>
        <w:t xml:space="preserve">Case of Escué Zapata v. Colombia. </w:t>
      </w:r>
      <w:r w:rsidRPr="003171CD">
        <w:rPr>
          <w:i/>
          <w:sz w:val="16"/>
          <w:szCs w:val="16"/>
          <w:lang w:val="en-US"/>
        </w:rPr>
        <w:t>Merits, reparations and costs</w:t>
      </w:r>
      <w:r w:rsidRPr="003171CD">
        <w:rPr>
          <w:sz w:val="16"/>
          <w:szCs w:val="16"/>
          <w:lang w:val="en-US"/>
        </w:rPr>
        <w:t xml:space="preserve">. Judgment of July 4, 2007. Series C No. 165, para. 26, and </w:t>
      </w:r>
      <w:r w:rsidRPr="003171CD">
        <w:rPr>
          <w:rStyle w:val="Textoennegrita"/>
          <w:b w:val="0"/>
          <w:i/>
          <w:color w:val="000000"/>
          <w:sz w:val="16"/>
          <w:szCs w:val="16"/>
          <w:shd w:val="clear" w:color="auto" w:fill="FFFFFF"/>
          <w:lang w:val="en-US"/>
        </w:rPr>
        <w:t>Case of Omar Humberto Maldonado Vargas et al. v. Chile</w:t>
      </w:r>
      <w:r w:rsidRPr="003171CD">
        <w:rPr>
          <w:bCs/>
          <w:i/>
          <w:sz w:val="16"/>
          <w:szCs w:val="16"/>
          <w:lang w:val="en-US"/>
        </w:rPr>
        <w:t>, supra</w:t>
      </w:r>
      <w:r w:rsidRPr="003171CD">
        <w:rPr>
          <w:sz w:val="16"/>
          <w:szCs w:val="16"/>
          <w:lang w:val="en-US"/>
        </w:rPr>
        <w:t>, para. 12.</w:t>
      </w:r>
    </w:p>
  </w:footnote>
  <w:footnote w:id="31">
    <w:p w14:paraId="6523D55F"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The State presented the following two Annexes: 1. Report of the General Directorate of Prisons of the Ministry of Justice and Public Security, dated May 5, 2015, on the remunerated activities carried out by Mr. Jose Agapito Ruano Torres during the phases of “trust” and “day release” from prison; and 2. Report of the Department of Evidence and Conditional Liberty of the Supreme Court of Justice on the supervision of the phases of “conditional release” and “reinsertion into productive life” of Mr. Jose Agapito Ruano Torres of May 12, 2015.</w:t>
      </w:r>
    </w:p>
  </w:footnote>
  <w:footnote w:id="32">
    <w:p w14:paraId="2ABD7781" w14:textId="77777777" w:rsidR="006E2EB2" w:rsidRPr="003171CD" w:rsidRDefault="006E2EB2" w:rsidP="005A65CE">
      <w:pPr>
        <w:pStyle w:val="Textonotapie"/>
        <w:tabs>
          <w:tab w:val="left" w:pos="709"/>
        </w:tabs>
        <w:spacing w:after="120"/>
        <w:jc w:val="both"/>
        <w:rPr>
          <w:rFonts w:eastAsia="ヒラギノ角ゴ Pro W3"/>
          <w:szCs w:val="16"/>
          <w:lang w:val="en-US" w:eastAsia="es-CR"/>
        </w:rPr>
      </w:pPr>
      <w:r w:rsidRPr="003171CD">
        <w:rPr>
          <w:rStyle w:val="Refdenotaalpie"/>
          <w:szCs w:val="16"/>
          <w:lang w:val="en-US"/>
        </w:rPr>
        <w:footnoteRef/>
      </w:r>
      <w:r w:rsidRPr="003171CD">
        <w:rPr>
          <w:szCs w:val="16"/>
          <w:lang w:val="en-US"/>
        </w:rPr>
        <w:t xml:space="preserve"> </w:t>
      </w:r>
      <w:r w:rsidRPr="003171CD">
        <w:rPr>
          <w:szCs w:val="16"/>
          <w:lang w:val="en-US"/>
        </w:rPr>
        <w:tab/>
        <w:t>The purpose of all these statements are established in the Order of the President of the Court of March 11, 2015, first and fifth operative paragraphs, available on the Court’s web site at the following link: http://www.corteidh.or.cr/docs/asuntos/ruano_11_03_15.pdf</w:t>
      </w:r>
    </w:p>
  </w:footnote>
  <w:footnote w:id="33">
    <w:p w14:paraId="419E491C" w14:textId="77777777" w:rsidR="006E2EB2" w:rsidRPr="003171CD" w:rsidRDefault="006E2EB2" w:rsidP="005A65CE">
      <w:pPr>
        <w:tabs>
          <w:tab w:val="left" w:pos="709"/>
        </w:tabs>
        <w:spacing w:after="120"/>
        <w:jc w:val="both"/>
        <w:rPr>
          <w:sz w:val="16"/>
          <w:szCs w:val="16"/>
          <w:lang w:val="en-US"/>
        </w:rPr>
      </w:pPr>
      <w:r w:rsidRPr="003171CD">
        <w:rPr>
          <w:rStyle w:val="Refdenotaalpie"/>
          <w:sz w:val="16"/>
          <w:szCs w:val="16"/>
          <w:lang w:val="en-US"/>
        </w:rPr>
        <w:footnoteRef/>
      </w:r>
      <w:r w:rsidRPr="003171CD">
        <w:rPr>
          <w:sz w:val="16"/>
          <w:szCs w:val="16"/>
          <w:vertAlign w:val="superscript"/>
          <w:lang w:val="en-US"/>
        </w:rPr>
        <w:t xml:space="preserve"> </w:t>
      </w:r>
      <w:r w:rsidRPr="003171CD">
        <w:rPr>
          <w:sz w:val="16"/>
          <w:szCs w:val="16"/>
          <w:lang w:val="en-US"/>
        </w:rPr>
        <w:tab/>
      </w:r>
      <w:r w:rsidRPr="003171CD">
        <w:rPr>
          <w:i/>
          <w:sz w:val="16"/>
          <w:szCs w:val="16"/>
          <w:lang w:val="en-US"/>
        </w:rPr>
        <w:t>Cf.</w:t>
      </w:r>
      <w:r w:rsidRPr="003171CD">
        <w:rPr>
          <w:bCs/>
          <w:i/>
          <w:sz w:val="16"/>
          <w:szCs w:val="16"/>
          <w:lang w:val="en-US"/>
        </w:rPr>
        <w:t xml:space="preserve"> </w:t>
      </w:r>
      <w:r w:rsidRPr="003171CD">
        <w:rPr>
          <w:i/>
          <w:sz w:val="16"/>
          <w:szCs w:val="16"/>
          <w:lang w:val="en-US"/>
        </w:rPr>
        <w:t xml:space="preserve">Case of the “White Van” (Paniagua Morales et al.) v. Guatemala. Merits. </w:t>
      </w:r>
      <w:r w:rsidRPr="003171CD">
        <w:rPr>
          <w:sz w:val="16"/>
          <w:szCs w:val="16"/>
          <w:lang w:val="en-US"/>
        </w:rPr>
        <w:t xml:space="preserve">Judgment of March 8, 1998. Series C No. 37, paras. 69 to 76, and </w:t>
      </w:r>
      <w:r w:rsidRPr="003171CD">
        <w:rPr>
          <w:rStyle w:val="Textoennegrita"/>
          <w:b w:val="0"/>
          <w:i/>
          <w:color w:val="000000"/>
          <w:sz w:val="16"/>
          <w:szCs w:val="16"/>
          <w:shd w:val="clear" w:color="auto" w:fill="FFFFFF"/>
          <w:lang w:val="en-US"/>
        </w:rPr>
        <w:t>Case of Omar Humberto Maldonado Vargas et al. v. Chile</w:t>
      </w:r>
      <w:r w:rsidRPr="003171CD">
        <w:rPr>
          <w:i/>
          <w:sz w:val="16"/>
          <w:szCs w:val="16"/>
          <w:lang w:val="en-US" w:bidi="en-US"/>
        </w:rPr>
        <w:t>, supra</w:t>
      </w:r>
      <w:r w:rsidRPr="003171CD">
        <w:rPr>
          <w:sz w:val="16"/>
          <w:szCs w:val="16"/>
          <w:lang w:val="en-US"/>
        </w:rPr>
        <w:t>, para. 16</w:t>
      </w:r>
      <w:r w:rsidRPr="003171CD">
        <w:rPr>
          <w:bCs/>
          <w:sz w:val="16"/>
          <w:szCs w:val="16"/>
          <w:lang w:val="en-US"/>
        </w:rPr>
        <w:t>.</w:t>
      </w:r>
    </w:p>
  </w:footnote>
  <w:footnote w:id="34">
    <w:p w14:paraId="70678851" w14:textId="77777777" w:rsidR="006E2EB2" w:rsidRPr="003171CD" w:rsidRDefault="006E2EB2" w:rsidP="005A65CE">
      <w:pPr>
        <w:tabs>
          <w:tab w:val="left" w:pos="709"/>
        </w:tabs>
        <w:spacing w:after="120"/>
        <w:jc w:val="both"/>
        <w:rPr>
          <w:i/>
          <w:sz w:val="16"/>
          <w:szCs w:val="16"/>
          <w:lang w:val="en-US"/>
        </w:rPr>
      </w:pPr>
      <w:r w:rsidRPr="003171CD">
        <w:rPr>
          <w:rStyle w:val="Refdenotaalpie"/>
          <w:sz w:val="16"/>
          <w:szCs w:val="16"/>
          <w:lang w:val="en-US"/>
        </w:rPr>
        <w:footnoteRef/>
      </w:r>
      <w:r w:rsidRPr="003171CD">
        <w:rPr>
          <w:sz w:val="16"/>
          <w:szCs w:val="16"/>
          <w:vertAlign w:val="superscript"/>
          <w:lang w:val="en-US"/>
        </w:rPr>
        <w:t xml:space="preserve"> </w:t>
      </w:r>
      <w:r w:rsidRPr="003171CD">
        <w:rPr>
          <w:sz w:val="16"/>
          <w:szCs w:val="16"/>
          <w:lang w:val="en-US"/>
        </w:rPr>
        <w:tab/>
      </w:r>
      <w:r w:rsidRPr="003171CD">
        <w:rPr>
          <w:i/>
          <w:sz w:val="16"/>
          <w:szCs w:val="16"/>
          <w:lang w:val="en-US"/>
        </w:rPr>
        <w:t>Cf.</w:t>
      </w:r>
      <w:r w:rsidRPr="003171CD">
        <w:rPr>
          <w:sz w:val="16"/>
          <w:szCs w:val="16"/>
          <w:lang w:val="en-US"/>
        </w:rPr>
        <w:t xml:space="preserve"> </w:t>
      </w:r>
      <w:r w:rsidRPr="003171CD">
        <w:rPr>
          <w:i/>
          <w:sz w:val="16"/>
          <w:szCs w:val="16"/>
          <w:lang w:val="en-US"/>
        </w:rPr>
        <w:t>Case of the “White Van” (Paniagua Morales et al.) v. Guatemala. Merits, supra</w:t>
      </w:r>
      <w:r w:rsidRPr="003171CD">
        <w:rPr>
          <w:sz w:val="16"/>
          <w:szCs w:val="16"/>
          <w:lang w:val="en-US"/>
        </w:rPr>
        <w:t xml:space="preserve">, para. 76, and </w:t>
      </w:r>
      <w:r w:rsidRPr="003171CD">
        <w:rPr>
          <w:rStyle w:val="Textoennegrita"/>
          <w:b w:val="0"/>
          <w:i/>
          <w:color w:val="000000"/>
          <w:sz w:val="16"/>
          <w:szCs w:val="16"/>
          <w:shd w:val="clear" w:color="auto" w:fill="FFFFFF"/>
          <w:lang w:val="en-US"/>
        </w:rPr>
        <w:t>Case of Omar Humberto Maldonado Vargas et al. v. Chile</w:t>
      </w:r>
      <w:r w:rsidRPr="003171CD">
        <w:rPr>
          <w:i/>
          <w:sz w:val="16"/>
          <w:szCs w:val="16"/>
          <w:lang w:val="en-US" w:bidi="en-US"/>
        </w:rPr>
        <w:t>, supra</w:t>
      </w:r>
      <w:r w:rsidRPr="003171CD">
        <w:rPr>
          <w:sz w:val="16"/>
          <w:szCs w:val="16"/>
          <w:lang w:val="en-US"/>
        </w:rPr>
        <w:t>, para. 16.</w:t>
      </w:r>
    </w:p>
  </w:footnote>
  <w:footnote w:id="35">
    <w:p w14:paraId="4EE580C3" w14:textId="77777777" w:rsidR="006E2EB2" w:rsidRPr="003171CD" w:rsidRDefault="006E2EB2" w:rsidP="005A65CE">
      <w:pPr>
        <w:tabs>
          <w:tab w:val="left" w:pos="709"/>
        </w:tabs>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 xml:space="preserve">Cf. Case of Loayza Tamayo v. Peru. Merits. </w:t>
      </w:r>
      <w:r w:rsidRPr="003171CD">
        <w:rPr>
          <w:sz w:val="16"/>
          <w:szCs w:val="16"/>
          <w:lang w:val="en-US"/>
        </w:rPr>
        <w:t xml:space="preserve">Judgment of September 17, 1997. Series C No. 33, para. 43, and </w:t>
      </w:r>
      <w:r w:rsidRPr="003171CD">
        <w:rPr>
          <w:rStyle w:val="Textoennegrita"/>
          <w:b w:val="0"/>
          <w:i/>
          <w:color w:val="000000"/>
          <w:sz w:val="16"/>
          <w:szCs w:val="16"/>
          <w:shd w:val="clear" w:color="auto" w:fill="FFFFFF"/>
          <w:lang w:val="en-US"/>
        </w:rPr>
        <w:t>Case of Omar Humberto Maldonado Vargas et al. v. Chile</w:t>
      </w:r>
      <w:r w:rsidRPr="003171CD">
        <w:rPr>
          <w:i/>
          <w:sz w:val="16"/>
          <w:szCs w:val="16"/>
          <w:lang w:val="en-US" w:bidi="en-US"/>
        </w:rPr>
        <w:t>, supra</w:t>
      </w:r>
      <w:r w:rsidRPr="003171CD">
        <w:rPr>
          <w:sz w:val="16"/>
          <w:szCs w:val="16"/>
          <w:lang w:val="en-US"/>
        </w:rPr>
        <w:t>, para. 16.</w:t>
      </w:r>
    </w:p>
  </w:footnote>
  <w:footnote w:id="36">
    <w:p w14:paraId="5589A41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interview with the witness Mauricio Antonio Torres Mejía by the Criminal Investigation Division of the National Civil Police on August 25, 2000 (evidence file, volume III, Annex 1 to the submission of the case, folios 1099 to 1100).</w:t>
      </w:r>
    </w:p>
  </w:footnote>
  <w:footnote w:id="37">
    <w:p w14:paraId="1C67D0E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interview with the victim, Jaime Ernesto Rodríguez Marroquín, by the Criminal Investigation Division of the National Civil Police on September 2, 2000 (evidence file, volume III, Annex 1 to the submission of the case, folios 1107 to 1110).</w:t>
      </w:r>
    </w:p>
  </w:footnote>
  <w:footnote w:id="38">
    <w:p w14:paraId="55C5242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Complaint N° 01PLB23082000 filed before the Criminal Investigation Division of the National Civil Police on August 23, 2000 (evidence file, volume III, Annex 1 to the submission of the case, folios 1078 to 1079).</w:t>
      </w:r>
    </w:p>
  </w:footnote>
  <w:footnote w:id="39">
    <w:p w14:paraId="0707B80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interview with the victim, Jaime Ernesto Rodríguez Marroquín, by the Criminal Investigation Division of the National Civil Police on September 2, 2000 (evidence file, volume III, Annex 1 to the submission of the case, folios 1107 to 1110).</w:t>
      </w:r>
    </w:p>
  </w:footnote>
  <w:footnote w:id="40">
    <w:p w14:paraId="4E2C3E5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interview with the victim, Jaime Ernesto Rodríguez Marroquín, by the Criminal Investigation Division of the National Civil Police of September 2, 2000 (evidence file, volume III, Annex 1 to the submission of the case, folios 1107 to 1110).</w:t>
      </w:r>
    </w:p>
  </w:footnote>
  <w:footnote w:id="41">
    <w:p w14:paraId="12612A6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interview with the victim, Jaime Ernesto Rodríguez Marroquín, by the Criminal Investigation Division of the National Civil Police of October 13, 2000 (evidence file, volume III, Annex 1 to the submission of the case, folios 1265 to 1266). See also, statement rendered by José Oliverio Hernández Menéndez at the public hearing</w:t>
      </w:r>
      <w:r w:rsidRPr="003171CD">
        <w:rPr>
          <w:rFonts w:cs="Arial"/>
          <w:szCs w:val="16"/>
          <w:lang w:val="en-US"/>
        </w:rPr>
        <w:t xml:space="preserve"> </w:t>
      </w:r>
      <w:r w:rsidRPr="003171CD">
        <w:rPr>
          <w:szCs w:val="16"/>
          <w:lang w:val="en-US"/>
        </w:rPr>
        <w:t>(evidence file, volume V, Annex 2 to the submission of the case, folio 2132).</w:t>
      </w:r>
    </w:p>
  </w:footnote>
  <w:footnote w:id="42">
    <w:p w14:paraId="34A3DF1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by José Oliverio Hernández Menéndez during the public hearing</w:t>
      </w:r>
      <w:r w:rsidRPr="003171CD">
        <w:rPr>
          <w:rFonts w:cs="Arial"/>
          <w:szCs w:val="16"/>
          <w:lang w:val="en-US"/>
        </w:rPr>
        <w:t xml:space="preserve"> </w:t>
      </w:r>
      <w:r w:rsidRPr="003171CD">
        <w:rPr>
          <w:szCs w:val="16"/>
          <w:lang w:val="en-US"/>
        </w:rPr>
        <w:t>(evidence file, volume V, Annex 2 to the submission of the case, folio 2132), and Record signed by José Oliverio Hernández Menéndez and José Francisco Guzmán on October 9, 2000 (evidence file, volume III, Annex 1 to the submission of the case, folios 1147 to 1148).</w:t>
      </w:r>
    </w:p>
  </w:footnote>
  <w:footnote w:id="43">
    <w:p w14:paraId="0DB19DD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See Articles 222, 259 and 340 of the Code of Criminal Procedure (Decree No. 904 of December 4, 1996, published in the Official Gazette Nº 11, Volume 334, of January 20, 1997, which entered into force on April 20, 1998).</w:t>
      </w:r>
    </w:p>
  </w:footnote>
  <w:footnote w:id="44">
    <w:p w14:paraId="720114F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Statement provided by Francisco Javier Amaya Villalta during questioning at the Special Crimes Unit </w:t>
      </w:r>
      <w:r w:rsidRPr="003171CD">
        <w:rPr>
          <w:rFonts w:cs="Arial"/>
          <w:szCs w:val="16"/>
          <w:lang w:val="en-US"/>
        </w:rPr>
        <w:t>of the Office of the Attorney General of the Republic</w:t>
      </w:r>
      <w:r w:rsidRPr="003171CD">
        <w:rPr>
          <w:szCs w:val="16"/>
          <w:lang w:val="en-US"/>
        </w:rPr>
        <w:t xml:space="preserve"> on October 9, 2000 (evidence file, volume III, Annex 1 to the submission of the case, folios 1149 to 1156).</w:t>
      </w:r>
    </w:p>
  </w:footnote>
  <w:footnote w:id="45">
    <w:p w14:paraId="2E8D91E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Official Letter of the Special Crimes Unit of the Office of the Attorney General of the Republic ordering certain measures, dated October 9, 2000 (evidence file, volume III, Annex 1 to the submission of the case, folio 1157), and Record of the investigator in charge of the case of October 10, 2000 (evidence file, volume III, Annex 1 to the submission of the case, folios 1165 to 1166).</w:t>
      </w:r>
    </w:p>
  </w:footnote>
  <w:footnote w:id="46">
    <w:p w14:paraId="082447C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Request that a plea bargain be offered to the accused, Francisco Javier Amaya Villalta, forwarded to the Justice of the Peace by assistant prosecutors at the Office of the Attorney General of the Republic on October 12, 2000 (evidence file, volume III, Annex 1 to the submission of the case, folios 1272 to 1276).</w:t>
      </w:r>
    </w:p>
  </w:footnote>
  <w:footnote w:id="47">
    <w:p w14:paraId="72E281D8"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the investigator in charge of the case of October 12, 2000 (evidence file, volume III, Annex 1 to the submission of the case, folios 1312 to 1313).</w:t>
      </w:r>
    </w:p>
  </w:footnote>
  <w:footnote w:id="48">
    <w:p w14:paraId="769C328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Official Letter No. 169UAS.DIC.00 dated October 13, 2000 (evidence file, volume III, Annex 1 to the submission of the case, folio 1262).</w:t>
      </w:r>
    </w:p>
  </w:footnote>
  <w:footnote w:id="49">
    <w:p w14:paraId="614B570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Identity card of José Agapito Ruano Torres (evidence file, volume III, Annex 1 to the submission of the case, folio 1263).</w:t>
      </w:r>
    </w:p>
  </w:footnote>
  <w:footnote w:id="50">
    <w:p w14:paraId="2255CC3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before the Inter-American Court by José Agapito Ruano Torres in the public hearing held on April 23, 2015, and Certificate of the Labor Management Institute of the Construction Industry (evidence file, volume IV, Annex 1 to the submission of the case, folio 1863).</w:t>
      </w:r>
    </w:p>
  </w:footnote>
  <w:footnote w:id="51">
    <w:p w14:paraId="5087D6F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Statement rendered by affidavit by María Maribel Guevara de Ruano on April 9, 2015 (evidence file, volume VII, </w:t>
      </w:r>
      <w:r w:rsidRPr="003171CD">
        <w:rPr>
          <w:i/>
          <w:szCs w:val="16"/>
          <w:lang w:val="en-US"/>
        </w:rPr>
        <w:t>affidavits</w:t>
      </w:r>
      <w:r w:rsidRPr="003171CD">
        <w:rPr>
          <w:szCs w:val="16"/>
          <w:lang w:val="en-US"/>
        </w:rPr>
        <w:t>, folio 2414).</w:t>
      </w:r>
    </w:p>
  </w:footnote>
  <w:footnote w:id="52">
    <w:p w14:paraId="064F513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the hearing of October 16, 2000, in which the Justice of the Peace of Tonacatepeque ruled on the request for a plea bargain in favor of the accused Francisco Javier Amaya Villalta (evidence file, volume III, Annex 1 to the submission of the case, folios 1278 to 1280).</w:t>
      </w:r>
    </w:p>
  </w:footnote>
  <w:footnote w:id="53">
    <w:p w14:paraId="2BEAC83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Statement of Francisco Javier Amaya Villalta before the Justice of the Peace of Tonacatepeque of October 16, 2000 (evidence file, volume III, Annex 1 to the submission of the case, folios 1286 to 1292).</w:t>
      </w:r>
    </w:p>
  </w:footnote>
  <w:footnote w:id="54">
    <w:p w14:paraId="6910237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Statement rendered by José Oliverio Hernández Menéndez during the public hearing</w:t>
      </w:r>
      <w:r w:rsidRPr="003171CD">
        <w:rPr>
          <w:rFonts w:cs="Arial"/>
          <w:szCs w:val="16"/>
          <w:lang w:val="en-US"/>
        </w:rPr>
        <w:t xml:space="preserve"> </w:t>
      </w:r>
      <w:r w:rsidRPr="003171CD">
        <w:rPr>
          <w:szCs w:val="16"/>
          <w:lang w:val="en-US"/>
        </w:rPr>
        <w:t>(evidence file, volume V, Annex 2 to the submission of the case, folio 2132).</w:t>
      </w:r>
    </w:p>
  </w:footnote>
  <w:footnote w:id="55">
    <w:p w14:paraId="2B2DC0F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Decision ordering the administrative detention, adopted by the Special Crimes Unit of the Office of the Attorney General of the Republic on October 16, 2000 (evidence file, volume III, Annex 1 to the submission of the case, folios 1293 to 1299).</w:t>
      </w:r>
    </w:p>
  </w:footnote>
  <w:footnote w:id="56">
    <w:p w14:paraId="1550555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Official Letter N° 443 from the Justice of the Peace of Guazapa to the assistant prosecutors of the Office of the Attorney General of the Republic of October 16, 2000 (evidence file, volume III, Annex 1 to the submission of the case, folio 1308).</w:t>
      </w:r>
    </w:p>
  </w:footnote>
  <w:footnote w:id="57">
    <w:p w14:paraId="45E6B86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Statements rendered by different members of the National Civil Police during the public hearing</w:t>
      </w:r>
      <w:r w:rsidRPr="003171CD">
        <w:rPr>
          <w:rFonts w:cs="Arial"/>
          <w:szCs w:val="16"/>
          <w:lang w:val="en-US"/>
        </w:rPr>
        <w:t xml:space="preserve"> </w:t>
      </w:r>
      <w:r w:rsidRPr="003171CD">
        <w:rPr>
          <w:szCs w:val="16"/>
          <w:lang w:val="en-US"/>
        </w:rPr>
        <w:t xml:space="preserve">(evidence file, volume V, Annex 2 to the submission of the case, folio 2132). See also, Press report entitled “Gang of kidnappers `Los Guaza´ arrested in the north of the country,” published in </w:t>
      </w:r>
      <w:r w:rsidRPr="003171CD">
        <w:rPr>
          <w:i/>
          <w:szCs w:val="16"/>
          <w:lang w:val="en-US"/>
        </w:rPr>
        <w:t>Diario de Hoy</w:t>
      </w:r>
      <w:r w:rsidRPr="003171CD">
        <w:rPr>
          <w:szCs w:val="16"/>
          <w:lang w:val="en-US"/>
        </w:rPr>
        <w:t xml:space="preserve"> on October 18, 2000 (evidence file, volume VI, Annex I.3) of the pleadings, motions and evidence brief, folios 2283 to 2284).</w:t>
      </w:r>
    </w:p>
  </w:footnote>
  <w:footnote w:id="58">
    <w:p w14:paraId="3F3C4FE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detention of José Agapito Ruano Torres, search of the property and seizure of objects of October 17, 2000 (evidence file, volume III, Annex 1 to the submission of the case, folios 1368 to 1371).</w:t>
      </w:r>
    </w:p>
  </w:footnote>
  <w:footnote w:id="59">
    <w:p w14:paraId="07D25BF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detention of José Agapito Ruano Torres, search of the building and seizure of objects of October 17, 2000 (evidence file, volume III, Annex 1 to the submission of the case, folios 1368 to 1371).</w:t>
      </w:r>
    </w:p>
  </w:footnote>
  <w:footnote w:id="60">
    <w:p w14:paraId="2C1FB12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detention of José Agapito Ruano Torres, search of the property and seizure of objects of October 17, 2000 (evidence file, volume III, Annex 1 to the submission of the case, folios 1368 to 1371).</w:t>
      </w:r>
    </w:p>
  </w:footnote>
  <w:footnote w:id="61">
    <w:p w14:paraId="56DD1B5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detention of José Agapito Ruano Torres, search of the property and seizure of objects of October 17, 2000 (evidence file, volume III, Annex 1 to the submission of the case, folios 1368 to 1371).</w:t>
      </w:r>
    </w:p>
  </w:footnote>
  <w:footnote w:id="62">
    <w:p w14:paraId="7B6F769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detention of José Agapito Ruano Torres, search of the property and seizure of objects of October 17, 2000 (evidence file, volume III, Annex 1 to the submission of the case, folios 1368 to 1371).</w:t>
      </w:r>
    </w:p>
  </w:footnote>
  <w:footnote w:id="63">
    <w:p w14:paraId="7E25FE8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Statement rendered before the Inter-American Court by José Agapito Ruano Torres during the public hearing held on April 23, 2015. See also, Brief of José Agapito Ruano Torres presented before the Office of the Human Rights Ombudsman on February 19, 2001 (evidence file, volume V, Annex 3 to the submission of the case, folio 2141).</w:t>
      </w:r>
    </w:p>
  </w:footnote>
  <w:footnote w:id="64">
    <w:p w14:paraId="12A1B82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of José Agapito Ruano Torres presented before the Office of the Human Rights Ombudsman on February 19, 2001 (evidence file, volume V, Annex 3 to the submission of the case, folio 2141), and Statement rendered before the Inter-American Court by José Agapito Ruano Torres during the public hearing held on April 23, 2015.</w:t>
      </w:r>
    </w:p>
  </w:footnote>
  <w:footnote w:id="65">
    <w:p w14:paraId="6121FAB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María Maribel Guevara de Ruano on April 9, 2015 (evidence file, volume VII, affidavits, folio 2414), and simple statement rendered by Oscar Manuel Ruano Guevara before the Human Rights Commission of El Salvador undated (evidence file, volume V, Annex 5 to the submission of the case, folios 2150 to 2152).</w:t>
      </w:r>
    </w:p>
  </w:footnote>
  <w:footnote w:id="66">
    <w:p w14:paraId="6F9D37A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by María Maribel Guevara de Ruano before the Human Rights Commission of El Salvador undated (evidence file, volume V, Annex 4 to the submission of the case, folios 2144 to 2147), and statement rendered by affidavit by María Maribel Guevara de Ruano on April 9, 2015 (evidence file, volume VII, affidavits, folios 2414 to 2415).</w:t>
      </w:r>
    </w:p>
  </w:footnote>
  <w:footnote w:id="67">
    <w:p w14:paraId="7D6D837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Simple statement rendered by María Maribel Guevara de Ruano before the Human Rights Commission of El Salvador undated (evidence file, volume V, Annex 4 to the submission of the case, folios 2144 to 2147).</w:t>
      </w:r>
    </w:p>
  </w:footnote>
  <w:footnote w:id="68">
    <w:p w14:paraId="6D5A7A0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Simple statement rendered by Oscar Manuel Ruano Guevara before the Human Rights Commission of El Salvador undated (evidence file, volume V, Annex 5 to the submission of the case, folios 2150 to 2152). See also, Affidavit rendered by María Maribel Guevara de Ruano on April 9, 2015 (evidence file, volume VII, affidavits, folios 2414 to 2415).</w:t>
      </w:r>
    </w:p>
  </w:footnote>
  <w:footnote w:id="69">
    <w:p w14:paraId="43081EC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Official Letter No. 184 of October 17, 2000 (evidence file, volume III, Annex 1 to the submission of the case, folio 1416).</w:t>
      </w:r>
    </w:p>
  </w:footnote>
  <w:footnote w:id="70">
    <w:p w14:paraId="2990C59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Report of the clinical examination carried out by the Medical Services Unit of the National Civil Police of October 17, 2000 (evidence file, volume III, Annex 1 to the submission of the case, folios 1374 to 1377).</w:t>
      </w:r>
    </w:p>
  </w:footnote>
  <w:footnote w:id="71">
    <w:p w14:paraId="31F8951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Formal instruction issued by the Court of First Instance of Tonacatepeque on October 27, 2000 (evidence file, volume III, Annex 1 to the submission of the case, folio 1529).</w:t>
      </w:r>
    </w:p>
  </w:footnote>
  <w:footnote w:id="72">
    <w:p w14:paraId="287C2A0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before the Inter-American Court by José Agapito Ruano Torres during the public hearing held on April 23, 2015; affidavit rendered by María Maribel Guevara de Ruano on April 9, 2015 (evidence file, volume VII, affidavits, folio 2415), and affidavit rendered by Pedro Torres Hércules on April 9, 2015 (evidence file, volume VII, affidavits, folio 2420).</w:t>
      </w:r>
    </w:p>
  </w:footnote>
  <w:footnote w:id="73">
    <w:p w14:paraId="3E665CB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before the Inter-American Court by José Agapito Ruano Torres during the public hearing held on April 23, 2015; Report of clinical examination carried out by the Medical Services Unit of the National Civil Police of October 17, 2000 (evidence file, volume III, Annex 1 to the submission of the case, folio 1376); Record of the preliminary hearing held before the Court of First Instance of Tonacatepeque on April 19, 2001 (evidence file, volume IV, Annex 1 to the submission of the case, folio 1733), and affidavit rendered by María Maribel Guevara de Ruano on April 9, 2015 (evidence file, volume VII, affidavits, folio 2415).</w:t>
      </w:r>
    </w:p>
  </w:footnote>
  <w:footnote w:id="74">
    <w:p w14:paraId="77FF951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before the Inter-American Court by José Agapito Ruano Torres during the public hearing held the 23 April 2015, and affidavit rendered by Pedro Torres Hércules on April 9, 2015 (evidence file, volume VII, affidavits, folios 2419 and 2420).</w:t>
      </w:r>
    </w:p>
  </w:footnote>
  <w:footnote w:id="75">
    <w:p w14:paraId="2307B7E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Statement rendered before the Inter-American Court by José Agapito Ruano Torres in the public hearing held on April 23, 2015; Record of the preliminary hearing held before the Court of First Instance of Tonacatepeque on April 19, 2001 (evidence file, volume IV, Annex 1 to the submission of the case, folio 1733), and affidavit rendered by Pedro Torres Hércules on April 9, 2015 (evidence file, volume VII, </w:t>
      </w:r>
      <w:r w:rsidRPr="003171CD">
        <w:rPr>
          <w:i/>
          <w:szCs w:val="16"/>
          <w:lang w:val="en-US"/>
        </w:rPr>
        <w:t>affidavits</w:t>
      </w:r>
      <w:r w:rsidRPr="003171CD">
        <w:rPr>
          <w:szCs w:val="16"/>
          <w:lang w:val="en-US"/>
        </w:rPr>
        <w:t>, folio 2420).</w:t>
      </w:r>
    </w:p>
  </w:footnote>
  <w:footnote w:id="76">
    <w:p w14:paraId="7A26C7E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Statement rendered before the Inter-American Court by José Agapito Ruano Torres during the public hearing held on April 23, 2015; Report of the clinical examination carried out by the Medical Services Unit of the National Civil Police of October 17, 2000 (evidence file, volume III, Annex 1 to the submission of the case, folio 1376); affidavit rendered by María Maribel Guevara de Ruano on April 9, 2015 (evidence file, volume VII, </w:t>
      </w:r>
      <w:r w:rsidRPr="003171CD">
        <w:rPr>
          <w:i/>
          <w:szCs w:val="16"/>
          <w:lang w:val="en-US"/>
        </w:rPr>
        <w:t>affidavits</w:t>
      </w:r>
      <w:r w:rsidRPr="003171CD">
        <w:rPr>
          <w:szCs w:val="16"/>
          <w:lang w:val="en-US"/>
        </w:rPr>
        <w:t xml:space="preserve">, folio 2415), and affidavit rendered by Pedro Torres Hércules on April 9, 2015 (evidence file, volume VII, </w:t>
      </w:r>
      <w:r w:rsidRPr="003171CD">
        <w:rPr>
          <w:i/>
          <w:szCs w:val="16"/>
          <w:lang w:val="en-US"/>
        </w:rPr>
        <w:t>affidavits</w:t>
      </w:r>
      <w:r w:rsidRPr="003171CD">
        <w:rPr>
          <w:szCs w:val="16"/>
          <w:lang w:val="en-US"/>
        </w:rPr>
        <w:t>, folio 2420).</w:t>
      </w:r>
    </w:p>
  </w:footnote>
  <w:footnote w:id="77">
    <w:p w14:paraId="3CCF982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Statement rendered before the Inter-American Court by José Agapito Ruano Torres at the public hearing held on April 23, 2015; affidavit rendered by María Maribel Guevara de Ruano on April 9, 2015 (evidence file, volume VII, affidavits, folio 2415), and affidavit rendered by Pedro Torres Hércules on April 9, 2015 (evidence file, volume VII, affidavits, folio 2419).</w:t>
      </w:r>
    </w:p>
  </w:footnote>
  <w:footnote w:id="78">
    <w:p w14:paraId="030BC7E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Official Letter No. 182 of October 17, 2000 (evidence file, volume III, Annex 1 to the submission of the case, folio 1413).</w:t>
      </w:r>
    </w:p>
  </w:footnote>
  <w:footnote w:id="79">
    <w:p w14:paraId="7600152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identification and rights of the defendant of October 17, 2000 (evidence file, volume III, Annex 1 to the submission of the case, folios 1448 to 1449).</w:t>
      </w:r>
    </w:p>
  </w:footnote>
  <w:footnote w:id="80">
    <w:p w14:paraId="7C3829C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Request for formal investigation and provisional detention submitted by assistant prosecutors of the Office of the Attorney General of the Republic before the Justice of the Peace of Tonacatepeque on October 18, 2000 (evidence file, volume III, Annex 1 to the submission of the case, folios 1068 to 1077).</w:t>
      </w:r>
    </w:p>
  </w:footnote>
  <w:footnote w:id="81">
    <w:p w14:paraId="11A8638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Request for formal investigation and provisional detention submitted by assistant prosecutors of the Office of the Attorney General of the Republic before the Justice of the Peace of Tonacatepeque on October 18, 2000 (evidence file, volume III, Annex 1 to the submission of the case, folios 1068 to 1077).</w:t>
      </w:r>
    </w:p>
  </w:footnote>
  <w:footnote w:id="82">
    <w:p w14:paraId="03FF2BF5" w14:textId="77777777" w:rsidR="006E2EB2" w:rsidRPr="003171CD" w:rsidRDefault="006E2EB2" w:rsidP="005A65CE">
      <w:pPr>
        <w:pStyle w:val="Textonotapie"/>
        <w:spacing w:after="120"/>
        <w:jc w:val="both"/>
        <w:rPr>
          <w:rFonts w:cs="Arial,Bold"/>
          <w:bCs/>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Fonts w:cs="Arial,Bold"/>
          <w:bCs/>
          <w:szCs w:val="16"/>
          <w:lang w:val="en-US"/>
        </w:rPr>
        <w:t>Detention for the Duration of the Inquiry - Article 291 of the Code of Criminal Procedure.</w:t>
      </w:r>
    </w:p>
    <w:p w14:paraId="6F45F76B" w14:textId="77777777" w:rsidR="006E2EB2" w:rsidRPr="003171CD" w:rsidRDefault="006E2EB2" w:rsidP="005A65CE">
      <w:pPr>
        <w:pStyle w:val="Textonotapie"/>
        <w:spacing w:after="120"/>
        <w:ind w:left="708" w:right="582"/>
        <w:jc w:val="both"/>
        <w:rPr>
          <w:szCs w:val="16"/>
          <w:lang w:val="en-US"/>
        </w:rPr>
      </w:pPr>
      <w:r w:rsidRPr="003171CD">
        <w:rPr>
          <w:lang w:val="en-US"/>
        </w:rPr>
        <w:t>“When a person accused of committing an offence is brought before the judge, the judge shall order him detained for the duration of the inquiry and transferred to the appropriate prison with a written notice to the head of the prison</w:t>
      </w:r>
      <w:r w:rsidRPr="003171CD">
        <w:rPr>
          <w:szCs w:val="16"/>
          <w:lang w:val="en-US"/>
        </w:rPr>
        <w:t xml:space="preserve">. </w:t>
      </w:r>
      <w:r w:rsidRPr="003171CD">
        <w:rPr>
          <w:lang w:val="en-US"/>
        </w:rPr>
        <w:t>On completion of the inquiry, the judge must order pre-trial detention or release for the accused, as appropriate. Failure to do so will make him liable to criminal responsibility</w:t>
      </w:r>
      <w:r w:rsidRPr="003171CD">
        <w:rPr>
          <w:szCs w:val="16"/>
          <w:lang w:val="en-US"/>
        </w:rPr>
        <w:t xml:space="preserve">. </w:t>
      </w:r>
      <w:r w:rsidRPr="003171CD">
        <w:rPr>
          <w:lang w:val="en-US"/>
        </w:rPr>
        <w:t>The inquiry shall last no longer than 72 hours from the time the accused was brought before the judge</w:t>
      </w:r>
      <w:r w:rsidRPr="003171CD">
        <w:rPr>
          <w:szCs w:val="16"/>
          <w:lang w:val="en-US"/>
        </w:rPr>
        <w:t>.”</w:t>
      </w:r>
    </w:p>
  </w:footnote>
  <w:footnote w:id="83">
    <w:p w14:paraId="6A31C48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issued by the Justice of the Peace of Tonacatepeque on October 18, 2000 (evidence file, volume III, Annex 1 to the submission of the case, folios 1458 to 1460).</w:t>
      </w:r>
    </w:p>
  </w:footnote>
  <w:footnote w:id="84">
    <w:p w14:paraId="124D1DE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preliminary hearing of October 20, 2000 (evidence file, volume III, Annex 1 to the submission of the case, folios 1486 to 1495).</w:t>
      </w:r>
    </w:p>
  </w:footnote>
  <w:footnote w:id="85">
    <w:p w14:paraId="337FE20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preliminary hearing of October 20, 2000 (evidence file, volume III, Annex 1 to the submission of the case, folio 1491).</w:t>
      </w:r>
    </w:p>
  </w:footnote>
  <w:footnote w:id="86">
    <w:p w14:paraId="4C0E331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preliminary hearing of October 20, 2000 (evidence file, volume III, Annex 1 to the submission of the case, folio 1493).</w:t>
      </w:r>
    </w:p>
  </w:footnote>
  <w:footnote w:id="87">
    <w:p w14:paraId="57CA63A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preliminary hearing of October 20, 2000 (evidence file, volume III, Annex 1 to the submission of the case, folios 1486 to 1495).</w:t>
      </w:r>
    </w:p>
  </w:footnote>
  <w:footnote w:id="88">
    <w:p w14:paraId="0A5CD76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bCs/>
          <w:szCs w:val="16"/>
          <w:lang w:val="en-US"/>
        </w:rPr>
        <w:t xml:space="preserve">Article 292 of the </w:t>
      </w:r>
      <w:r w:rsidRPr="003171CD">
        <w:rPr>
          <w:rFonts w:cs="Arial,Bold"/>
          <w:bCs/>
          <w:szCs w:val="16"/>
          <w:lang w:val="en-US"/>
        </w:rPr>
        <w:t>Code of Criminal Procedure</w:t>
      </w:r>
      <w:r w:rsidRPr="003171CD">
        <w:rPr>
          <w:bCs/>
          <w:szCs w:val="16"/>
          <w:lang w:val="en-US"/>
        </w:rPr>
        <w:t>.-</w:t>
      </w:r>
      <w:r w:rsidRPr="003171CD">
        <w:rPr>
          <w:b/>
          <w:bCs/>
          <w:szCs w:val="16"/>
          <w:lang w:val="en-US"/>
        </w:rPr>
        <w:t xml:space="preserve"> “</w:t>
      </w:r>
      <w:r w:rsidRPr="003171CD">
        <w:rPr>
          <w:bCs/>
          <w:szCs w:val="16"/>
          <w:lang w:val="en-US"/>
        </w:rPr>
        <w:t>To order</w:t>
      </w:r>
      <w:r w:rsidRPr="003171CD">
        <w:rPr>
          <w:b/>
          <w:bCs/>
          <w:szCs w:val="16"/>
          <w:lang w:val="en-US"/>
        </w:rPr>
        <w:t xml:space="preserve"> </w:t>
      </w:r>
      <w:r w:rsidRPr="003171CD">
        <w:rPr>
          <w:szCs w:val="16"/>
          <w:lang w:val="en-US"/>
        </w:rPr>
        <w:t>the provisional detention of the accused, the following requirements must be met:</w:t>
      </w:r>
    </w:p>
    <w:p w14:paraId="26C061F0" w14:textId="77777777" w:rsidR="006E2EB2" w:rsidRPr="003171CD" w:rsidRDefault="006E2EB2" w:rsidP="005A65CE">
      <w:pPr>
        <w:pStyle w:val="Textonotapie"/>
        <w:spacing w:after="120"/>
        <w:ind w:left="708" w:right="582"/>
        <w:jc w:val="both"/>
        <w:rPr>
          <w:szCs w:val="16"/>
          <w:lang w:val="en-US"/>
        </w:rPr>
      </w:pPr>
      <w:r w:rsidRPr="003171CD">
        <w:rPr>
          <w:szCs w:val="16"/>
          <w:lang w:val="en-US"/>
        </w:rPr>
        <w:t xml:space="preserve">1) </w:t>
      </w:r>
      <w:r w:rsidRPr="003171CD">
        <w:rPr>
          <w:lang w:val="en-US"/>
        </w:rPr>
        <w:t>It must be proven that an act characterized as an offence has been committed and that there are substantial grounds to believe that the accused is either the perpetrator or a participant; and</w:t>
      </w:r>
      <w:r w:rsidRPr="003171CD">
        <w:rPr>
          <w:szCs w:val="16"/>
          <w:lang w:val="en-US"/>
        </w:rPr>
        <w:t>,</w:t>
      </w:r>
    </w:p>
    <w:p w14:paraId="3D79EDA8" w14:textId="77777777" w:rsidR="006E2EB2" w:rsidRPr="003171CD" w:rsidRDefault="006E2EB2" w:rsidP="005A65CE">
      <w:pPr>
        <w:pStyle w:val="Textonotapie"/>
        <w:spacing w:after="120"/>
        <w:ind w:left="708" w:right="582"/>
        <w:jc w:val="both"/>
        <w:rPr>
          <w:szCs w:val="16"/>
          <w:lang w:val="en-US"/>
        </w:rPr>
      </w:pPr>
      <w:r w:rsidRPr="003171CD">
        <w:rPr>
          <w:szCs w:val="16"/>
          <w:lang w:val="en-US"/>
        </w:rPr>
        <w:t xml:space="preserve">2) </w:t>
      </w:r>
      <w:r w:rsidRPr="003171CD">
        <w:rPr>
          <w:lang w:val="en-US"/>
        </w:rPr>
        <w:t>The offence must carry a maximum prison term of more than three years or, if less, the judge must deem that pre-trial detention necessary given the circumstances of the act, the alarm which the act has caused to society or the frequency with which similar acts are committed; otherwise, the accused must be subject to another precautionary measure</w:t>
      </w:r>
      <w:r w:rsidRPr="003171CD">
        <w:rPr>
          <w:szCs w:val="16"/>
          <w:lang w:val="en-US"/>
        </w:rPr>
        <w:t>.”</w:t>
      </w:r>
    </w:p>
  </w:footnote>
  <w:footnote w:id="89">
    <w:p w14:paraId="099F2C16"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issued by the Justice of the Peace of Tonacatepeque on October 20, 2000 (evidence file, volume III, Annex 1 to the submission of the case, folios 1510 to 1516).</w:t>
      </w:r>
    </w:p>
  </w:footnote>
  <w:footnote w:id="90">
    <w:p w14:paraId="3A6B0A9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Formal instruction issued by the Court of First Instance of Tonacatepeque on October 27, 2000 (evidence file, volume III, Annex 1 to the submission of the case, folios 1529 to 1539).</w:t>
      </w:r>
    </w:p>
  </w:footnote>
  <w:footnote w:id="91">
    <w:p w14:paraId="3782A22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Fonts w:cs="Arial"/>
          <w:szCs w:val="16"/>
          <w:lang w:val="en-US" w:eastAsia="en-US"/>
        </w:rPr>
        <w:t xml:space="preserve">Pedro Torres Hércules, petitioner and cousin of the alleged victim, lived in Guatemala at the time of the facts. After learning of the arrest of his cousin, José Agapito Ruano Torres, he decided to travel to El Salvador to find out about his situation and take the necessary steps to demonstrate his innocence. </w:t>
      </w:r>
      <w:r w:rsidRPr="003171CD">
        <w:rPr>
          <w:rFonts w:cs="Arial"/>
          <w:i/>
          <w:szCs w:val="16"/>
          <w:lang w:val="en-US" w:eastAsia="en-US"/>
        </w:rPr>
        <w:t xml:space="preserve">Cf. </w:t>
      </w:r>
      <w:r w:rsidRPr="003171CD">
        <w:rPr>
          <w:szCs w:val="16"/>
          <w:lang w:val="en-US"/>
        </w:rPr>
        <w:t>Simple statement rendered by Pedro Torres Hércules before the Human Rights Commission of El Salvador, undated (evidence file, volume V, Annex 7 to the submission of the case, folios 2158 to 2162), and affidavit rendered by Pedro Torres Hércules on April 9, 2015 (evidence file, volume VII, affidavits, folios 2420 to 2428).</w:t>
      </w:r>
    </w:p>
  </w:footnote>
  <w:footnote w:id="92">
    <w:p w14:paraId="2993240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Brief submitted by the Auxiliary Agent of the Office of the Attorney General of the Republic to the Court of First Instance of Tonacatepeque on April 18, 2001  (evidence file, volume IV, Annex 1 to the submission of the case, folio 1654).</w:t>
      </w:r>
    </w:p>
  </w:footnote>
  <w:footnote w:id="93">
    <w:p w14:paraId="0CD92DE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Court of First Instance of Tonacatepeque by Pedro Torres Hércules on November 27, 2000 (evidence file, volume V, Annex 8 to the submission of the case, folios 2165 to 2168).</w:t>
      </w:r>
    </w:p>
  </w:footnote>
  <w:footnote w:id="94">
    <w:p w14:paraId="02C2D43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assistant prosecutors in the Office of the Attorney General by Pedro Torres Hércules on  November 29, 2000 (evidence file, volume V, Annex 9 to the submission of the case, folios 2170 to 2171), and Brief of Pedro Torres Hércules of November 29, 2000 (file of proceeding before the Commission, volume I, folios 222 to 223).</w:t>
      </w:r>
    </w:p>
  </w:footnote>
  <w:footnote w:id="95">
    <w:p w14:paraId="0753AE3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Order issued by the Justice of the Peace of Tonacatepeque on December 1, 2000 (evidence file, volume III, Annex 1 to the submission of the case, folios 1594 to 1595).</w:t>
      </w:r>
    </w:p>
  </w:footnote>
  <w:footnote w:id="96">
    <w:p w14:paraId="304EB62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Interrogation prior to the identity parade of January 11, 2001 (evidence file, volume III, Annex 1 to the submission of the case, folios 1598 to 1600).</w:t>
      </w:r>
    </w:p>
  </w:footnote>
  <w:footnote w:id="97">
    <w:p w14:paraId="56AF5FB6"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Identity parade on January 11, 2001 (evidence file, volume III, Annex 1 to the submission of the case, folios 1605 to 1606).</w:t>
      </w:r>
    </w:p>
  </w:footnote>
  <w:footnote w:id="98">
    <w:p w14:paraId="20F79A61"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Application for </w:t>
      </w:r>
      <w:r w:rsidRPr="003171CD">
        <w:rPr>
          <w:i/>
          <w:szCs w:val="16"/>
          <w:lang w:val="en-US"/>
        </w:rPr>
        <w:t>habeas corpus</w:t>
      </w:r>
      <w:r w:rsidRPr="003171CD">
        <w:rPr>
          <w:szCs w:val="16"/>
          <w:lang w:val="en-US"/>
        </w:rPr>
        <w:t xml:space="preserve"> filed with the Constitutional Chamber on December 7, 2000 (evidence file, volume V, Annex 10 to the submission of the case, folios 2173 to 2174).</w:t>
      </w:r>
    </w:p>
  </w:footnote>
  <w:footnote w:id="99">
    <w:p w14:paraId="55EA418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Attorney General of the Republic by Pedro Torres Hércules on March 12, 2001 (evidence file, volume V, Annex 14 to the submission of the case, folios 2185 to 2186).</w:t>
      </w:r>
    </w:p>
  </w:footnote>
  <w:footnote w:id="100">
    <w:p w14:paraId="16E073B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Attorney General of the Republic by Pedro Torres Hércules on March 12, 2001 (evidence file, volume V, Annex 14 to the submission of the case, folios 2185 to 2186).</w:t>
      </w:r>
    </w:p>
  </w:footnote>
  <w:footnote w:id="101">
    <w:p w14:paraId="3BC3281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Court of First Instance of Tonacatepeque on March 16, 2001, presented on March 19, 2001 (evidence file, volume IV, Annex 1 to the submission of the case, folios 1639 to 1640).</w:t>
      </w:r>
    </w:p>
  </w:footnote>
  <w:footnote w:id="102">
    <w:p w14:paraId="48E6C01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Brief submitted to the Second Trial Court of </w:t>
      </w:r>
      <w:r w:rsidRPr="003171CD">
        <w:rPr>
          <w:lang w:val="en-US"/>
        </w:rPr>
        <w:t>San Salvador</w:t>
      </w:r>
      <w:r w:rsidRPr="003171CD">
        <w:rPr>
          <w:szCs w:val="16"/>
          <w:lang w:val="en-US"/>
        </w:rPr>
        <w:t xml:space="preserve"> by José Agapito Ruano Torres on September 5, 2001 presented the following day (evidence file, volume IV, Annex 1 to the submission of the case, folios 1839 to 1845).</w:t>
      </w:r>
    </w:p>
  </w:footnote>
  <w:footnote w:id="103">
    <w:p w14:paraId="57633CB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by the Auxiliary Agent of the Office of the Attorney General of the Republic to the Court of First Instance of Tonacatepeque on April 18, 2001 (evidence file, volume IV, Annex 1 to the submission of the case, folios 1654 to 1655).</w:t>
      </w:r>
    </w:p>
  </w:footnote>
  <w:footnote w:id="104">
    <w:p w14:paraId="151D31F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by the Auxiliary Agent of the Office of the Attorney General of the Republic to the Court of First Instance of Tonacatepeque on April 18, 2001 (evidence file, volume IV, Annex 1 to the submission of the case, folios 1654 to 1655).</w:t>
      </w:r>
    </w:p>
  </w:footnote>
  <w:footnote w:id="105">
    <w:p w14:paraId="1C11AEE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Order issued by the Justice of the Peace of Tonacatepeque on April 19, 2001 (evidence file, volume IV, Annex 1 to the submission of the case, folios 1657 to 1658).</w:t>
      </w:r>
    </w:p>
  </w:footnote>
  <w:footnote w:id="106">
    <w:p w14:paraId="6D6F071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Accusation brief submitted by the assistant prosecutors of the Office of the Attorney General of the Republic to the Court of First Instance of Tonacatepeque on April 19, 2001 (evidence file, volume IV, Annex 1 to the submission of the case, folios 1664 to 1685).</w:t>
      </w:r>
    </w:p>
  </w:footnote>
  <w:footnote w:id="107">
    <w:p w14:paraId="5770DCC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by the public defender Emilia Martine Castillo del Castillo to the Court of First Instance of Tonacatepeque on April 25, 2001 (evidence file, volume IV, Annex 1 to the submission of the case, folios 1708 to 1711).</w:t>
      </w:r>
    </w:p>
  </w:footnote>
  <w:footnote w:id="108">
    <w:p w14:paraId="1FD2478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the preliminary hearing before the Court of First Instance of Tonacatepeque on April 19, 2001 (evidence file, volume IV, Annex 1 to the submission of the case, folio 1736).</w:t>
      </w:r>
    </w:p>
  </w:footnote>
  <w:footnote w:id="109">
    <w:p w14:paraId="610E2D2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Resolution issued by the Office of the Human Rights Ombudsman on June 9, 2003 (evidence file, volume V, Annex 1 to the submission of the case, folio 2065).</w:t>
      </w:r>
    </w:p>
  </w:footnote>
  <w:footnote w:id="110">
    <w:p w14:paraId="77E8073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the preliminary hearing held before the Court of First Instance of Tonacatepeque on April 19, 2001 (evidence file, volume IV, Annex 1 to the submission of the case, folio 1733).</w:t>
      </w:r>
    </w:p>
  </w:footnote>
  <w:footnote w:id="111">
    <w:p w14:paraId="1B69AA1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Record of the preliminary hearing held before the Court of First Instance of Tonacatepeque on April 19, 2001 (evidence file, volume IV, Annex 1 to the submission of the case, folio 1734).</w:t>
      </w:r>
    </w:p>
  </w:footnote>
  <w:footnote w:id="112">
    <w:p w14:paraId="3FAEF76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Record of the preliminary hearing held before the Court of First Instance of Tonacatepeque on April 19, 2001 (evidence file, volume IV, Annex 1 to the submission of the case, folios 1735 to 1737).</w:t>
      </w:r>
    </w:p>
  </w:footnote>
  <w:footnote w:id="113">
    <w:p w14:paraId="36568D2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Brief submitted to the Second Trial Court of </w:t>
      </w:r>
      <w:r w:rsidRPr="003171CD">
        <w:rPr>
          <w:lang w:val="en-US"/>
        </w:rPr>
        <w:t xml:space="preserve">San Salvador by </w:t>
      </w:r>
      <w:r w:rsidRPr="003171CD">
        <w:rPr>
          <w:szCs w:val="16"/>
          <w:lang w:val="en-US"/>
        </w:rPr>
        <w:t>José Agapito Ruano Torres of June 17, 2001 presented the following day (evidence file, volume IV, Annex 1 to the submission of the case, folios 1805 to 1808).</w:t>
      </w:r>
    </w:p>
  </w:footnote>
  <w:footnote w:id="114">
    <w:p w14:paraId="3171DD5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Record issued by the Second Trial Court of </w:t>
      </w:r>
      <w:r w:rsidRPr="003171CD">
        <w:rPr>
          <w:lang w:val="en-US"/>
        </w:rPr>
        <w:t>San Salvador on June 22, 2001</w:t>
      </w:r>
      <w:r w:rsidRPr="003171CD">
        <w:rPr>
          <w:szCs w:val="16"/>
          <w:lang w:val="en-US"/>
        </w:rPr>
        <w:t xml:space="preserve"> (evidence file, volume IV, Annex 1 to the submission of the case, folio 1809).</w:t>
      </w:r>
    </w:p>
  </w:footnote>
  <w:footnote w:id="115">
    <w:p w14:paraId="784654E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Record issued by the Second Trial Court of </w:t>
      </w:r>
      <w:r w:rsidRPr="003171CD">
        <w:rPr>
          <w:lang w:val="en-US"/>
        </w:rPr>
        <w:t>San Salvador on June 22, 2001</w:t>
      </w:r>
      <w:r w:rsidRPr="003171CD">
        <w:rPr>
          <w:szCs w:val="16"/>
          <w:lang w:val="en-US"/>
        </w:rPr>
        <w:t xml:space="preserve"> (evidence file, volume IV, Annex 1 to the submission of the case, folio 1809).</w:t>
      </w:r>
    </w:p>
  </w:footnote>
  <w:footnote w:id="116">
    <w:p w14:paraId="3D35435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Brief submitted to the Second Trial Court of </w:t>
      </w:r>
      <w:r w:rsidRPr="003171CD">
        <w:rPr>
          <w:lang w:val="en-US"/>
        </w:rPr>
        <w:t xml:space="preserve">San Salvador by </w:t>
      </w:r>
      <w:r w:rsidRPr="003171CD">
        <w:rPr>
          <w:szCs w:val="16"/>
          <w:lang w:val="en-US"/>
        </w:rPr>
        <w:t>José Agapito Ruano Torres of September 5, 2001, presented the following day (evidence file, volume IV, Annex 1 to the submission of the case, folios 1839 to 1845).</w:t>
      </w:r>
    </w:p>
  </w:footnote>
  <w:footnote w:id="117">
    <w:p w14:paraId="3F655DD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Namely</w:t>
      </w:r>
      <w:r w:rsidRPr="003171CD">
        <w:rPr>
          <w:rFonts w:cs="Verdana"/>
          <w:szCs w:val="16"/>
          <w:lang w:val="en-US"/>
        </w:rPr>
        <w:t xml:space="preserve">: i) preventing him from making a statement; ii) refusing to introduce information regarding the true identity of </w:t>
      </w:r>
      <w:r w:rsidRPr="003171CD">
        <w:rPr>
          <w:rFonts w:cs="Verdana"/>
          <w:i/>
          <w:szCs w:val="16"/>
          <w:lang w:val="en-US"/>
        </w:rPr>
        <w:t>Chopo</w:t>
      </w:r>
      <w:r w:rsidRPr="003171CD">
        <w:rPr>
          <w:rFonts w:cs="Verdana"/>
          <w:szCs w:val="16"/>
          <w:lang w:val="en-US"/>
        </w:rPr>
        <w:t xml:space="preserve">, who was his brother Rodolfo; iii) not challenging the irregularities committed during the identity parade, and iv) in general, refusing to take any action he requested in order to demonstrate his innocence by proving that he was not </w:t>
      </w:r>
      <w:r w:rsidRPr="003171CD">
        <w:rPr>
          <w:rFonts w:cs="Verdana"/>
          <w:i/>
          <w:szCs w:val="16"/>
          <w:lang w:val="en-US"/>
        </w:rPr>
        <w:t>Chopo.</w:t>
      </w:r>
    </w:p>
  </w:footnote>
  <w:footnote w:id="118">
    <w:p w14:paraId="2ECCBC0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Record issued by the Second Trial Court of </w:t>
      </w:r>
      <w:r w:rsidRPr="003171CD">
        <w:rPr>
          <w:lang w:val="en-US"/>
        </w:rPr>
        <w:t xml:space="preserve">San Salvador on </w:t>
      </w:r>
      <w:r w:rsidRPr="003171CD">
        <w:rPr>
          <w:szCs w:val="16"/>
          <w:lang w:val="en-US"/>
        </w:rPr>
        <w:t>September 17, 2001 (evidence file, volume IV, Annex 1 to the submission of the case, folio 1848).</w:t>
      </w:r>
    </w:p>
  </w:footnote>
  <w:footnote w:id="119">
    <w:p w14:paraId="7F56D6C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Brief submitted to the Second Trial Court</w:t>
      </w:r>
      <w:r w:rsidRPr="003171CD">
        <w:rPr>
          <w:lang w:val="en-US"/>
        </w:rPr>
        <w:t xml:space="preserve"> of San Salvador</w:t>
      </w:r>
      <w:r w:rsidRPr="003171CD">
        <w:rPr>
          <w:szCs w:val="16"/>
          <w:lang w:val="en-US"/>
        </w:rPr>
        <w:t xml:space="preserve"> by the Mayor of Guazapa of September 21, 2001 presented on September 24, 2001 (evidence file, volume IV, Annex 1 to the submission of the case, folio 1850).</w:t>
      </w:r>
    </w:p>
  </w:footnote>
  <w:footnote w:id="120">
    <w:p w14:paraId="417A4F8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Record issued by the Second Trial Court of </w:t>
      </w:r>
      <w:r w:rsidRPr="003171CD">
        <w:rPr>
          <w:lang w:val="en-US"/>
        </w:rPr>
        <w:t xml:space="preserve">San Salvador on </w:t>
      </w:r>
      <w:r w:rsidRPr="003171CD">
        <w:rPr>
          <w:szCs w:val="16"/>
          <w:lang w:val="en-US"/>
        </w:rPr>
        <w:t>September 26, 2001 (evidence file, volume IV, Annex 1 to the submission of the case, folio 1853).</w:t>
      </w:r>
    </w:p>
  </w:footnote>
  <w:footnote w:id="121">
    <w:p w14:paraId="0C49F9F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Brief submitted to the Second Trial Court of </w:t>
      </w:r>
      <w:r w:rsidRPr="003171CD">
        <w:rPr>
          <w:lang w:val="en-US"/>
        </w:rPr>
        <w:t xml:space="preserve">San Salvador by </w:t>
      </w:r>
      <w:r w:rsidRPr="003171CD">
        <w:rPr>
          <w:szCs w:val="16"/>
          <w:lang w:val="en-US"/>
        </w:rPr>
        <w:t>Roberto Ruano Torres and other persons dated September 27, 2001, presented that same day (evidence file, volume IV, Annex 1 to the submission of the case, folios 1859 to 1860).</w:t>
      </w:r>
    </w:p>
  </w:footnote>
  <w:footnote w:id="122">
    <w:p w14:paraId="0D06246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Brief submitted to the Second Trial Court of </w:t>
      </w:r>
      <w:r w:rsidRPr="003171CD">
        <w:rPr>
          <w:lang w:val="en-US"/>
        </w:rPr>
        <w:t xml:space="preserve">San Salvador by </w:t>
      </w:r>
      <w:r w:rsidRPr="003171CD">
        <w:rPr>
          <w:szCs w:val="16"/>
          <w:lang w:val="en-US"/>
        </w:rPr>
        <w:t>Roberto Ruano Torres and other persons of September 27, 2001 presented that same day (evidence file, volume IV, Annex 1 to the submission of the case, folios 1859 to 1860).</w:t>
      </w:r>
    </w:p>
  </w:footnote>
  <w:footnote w:id="123">
    <w:p w14:paraId="3FAEA648" w14:textId="77777777" w:rsidR="006E2EB2" w:rsidRPr="003171CD" w:rsidRDefault="006E2EB2" w:rsidP="005A65CE">
      <w:pPr>
        <w:pStyle w:val="Textonotapie"/>
        <w:spacing w:after="120"/>
        <w:jc w:val="both"/>
        <w:rPr>
          <w:lang w:val="en-US"/>
        </w:rPr>
      </w:pPr>
      <w:r w:rsidRPr="003171CD">
        <w:rPr>
          <w:rStyle w:val="Refdenotaalpie"/>
          <w:lang w:val="en-US"/>
        </w:rPr>
        <w:footnoteRef/>
      </w:r>
      <w:r w:rsidRPr="003171CD">
        <w:rPr>
          <w:lang w:val="en-US"/>
        </w:rPr>
        <w:t xml:space="preserve"> </w:t>
      </w:r>
      <w:r w:rsidRPr="003171CD">
        <w:rPr>
          <w:lang w:val="en-US"/>
        </w:rPr>
        <w:tab/>
      </w:r>
      <w:r w:rsidRPr="003171CD">
        <w:rPr>
          <w:i/>
          <w:lang w:val="en-US"/>
        </w:rPr>
        <w:t xml:space="preserve">Cf. </w:t>
      </w:r>
      <w:r w:rsidRPr="003171CD">
        <w:rPr>
          <w:lang w:val="en-US"/>
        </w:rPr>
        <w:t xml:space="preserve">Appointment of private defense counsel by José Agapito Ruano Torres on September 27, 2001 </w:t>
      </w:r>
      <w:r w:rsidRPr="003171CD">
        <w:rPr>
          <w:szCs w:val="16"/>
          <w:lang w:val="en-US"/>
        </w:rPr>
        <w:t>(evidence file, volume IV, Annex 1 to the submission of the case, folio 1857)</w:t>
      </w:r>
      <w:r w:rsidRPr="003171CD">
        <w:rPr>
          <w:lang w:val="en-US"/>
        </w:rPr>
        <w:t xml:space="preserve">, and Brief of the private attorney Marvin de Jesús Colorado Torres of September 28, 2001 </w:t>
      </w:r>
      <w:r w:rsidRPr="003171CD">
        <w:rPr>
          <w:szCs w:val="16"/>
          <w:lang w:val="en-US"/>
        </w:rPr>
        <w:t>(evidence file, volume IV, Annex 1 to the submission of the case, folio 1864).</w:t>
      </w:r>
    </w:p>
  </w:footnote>
  <w:footnote w:id="124">
    <w:p w14:paraId="2A2DFA7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Audio of the Public hearing (evidence file, volume V, Annex 2 to the submission of the case, folio 2132).</w:t>
      </w:r>
    </w:p>
  </w:footnote>
  <w:footnote w:id="125">
    <w:p w14:paraId="40EE66B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Audio of the Public hearing (evidence file, volume V, Annex 2 to the submission of the case, folio 2132).</w:t>
      </w:r>
    </w:p>
  </w:footnote>
  <w:footnote w:id="126">
    <w:p w14:paraId="14E68EB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Judgment issued by the Second Trial Court of </w:t>
      </w:r>
      <w:r w:rsidRPr="003171CD">
        <w:rPr>
          <w:lang w:val="en-US"/>
        </w:rPr>
        <w:t xml:space="preserve">San Salvador on October 5, 2001 </w:t>
      </w:r>
      <w:r w:rsidRPr="003171CD">
        <w:rPr>
          <w:szCs w:val="16"/>
          <w:lang w:val="en-US"/>
        </w:rPr>
        <w:t>(evidence file, volume IV, Annex 1 to the submission of the case, folios 1874 to 1908).</w:t>
      </w:r>
    </w:p>
  </w:footnote>
  <w:footnote w:id="127">
    <w:p w14:paraId="6BFE947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Judgment issued by the Second Trial Court of </w:t>
      </w:r>
      <w:r w:rsidRPr="003171CD">
        <w:rPr>
          <w:lang w:val="en-US"/>
        </w:rPr>
        <w:t xml:space="preserve">San Salvador on October 5, 2001 </w:t>
      </w:r>
      <w:r w:rsidRPr="003171CD">
        <w:rPr>
          <w:szCs w:val="16"/>
          <w:lang w:val="en-US"/>
        </w:rPr>
        <w:t>(evidence file, volume IV, Annex 1 to the submission of the case, folio 1899).</w:t>
      </w:r>
    </w:p>
  </w:footnote>
  <w:footnote w:id="128">
    <w:p w14:paraId="2093899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Judgment issued by the Second Trial Court of </w:t>
      </w:r>
      <w:r w:rsidRPr="003171CD">
        <w:rPr>
          <w:lang w:val="en-US"/>
        </w:rPr>
        <w:t xml:space="preserve">San Salvador on October 5, 2001 </w:t>
      </w:r>
      <w:r w:rsidRPr="003171CD">
        <w:rPr>
          <w:szCs w:val="16"/>
          <w:lang w:val="en-US"/>
        </w:rPr>
        <w:t>(evidence file, volume IV, Annex 1 to the submission of the case, folio 1900).</w:t>
      </w:r>
    </w:p>
  </w:footnote>
  <w:footnote w:id="129">
    <w:p w14:paraId="5711CA8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Judgment issued by the Second Trial Court of </w:t>
      </w:r>
      <w:r w:rsidRPr="003171CD">
        <w:rPr>
          <w:lang w:val="en-US"/>
        </w:rPr>
        <w:t xml:space="preserve">San Salvador on October 5, 2001 </w:t>
      </w:r>
      <w:r w:rsidRPr="003171CD">
        <w:rPr>
          <w:szCs w:val="16"/>
          <w:lang w:val="en-US"/>
        </w:rPr>
        <w:t>(evidence file, volume IV, Annex 1 to the submission of the case, folio 1901).</w:t>
      </w:r>
    </w:p>
  </w:footnote>
  <w:footnote w:id="130">
    <w:p w14:paraId="6092AB9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Judgment issued by the Second Trial Court of </w:t>
      </w:r>
      <w:r w:rsidRPr="003171CD">
        <w:rPr>
          <w:lang w:val="en-US"/>
        </w:rPr>
        <w:t xml:space="preserve">San Salvador on October 5, 2001 </w:t>
      </w:r>
      <w:r w:rsidRPr="003171CD">
        <w:rPr>
          <w:szCs w:val="16"/>
          <w:lang w:val="en-US"/>
        </w:rPr>
        <w:t>(evidence file, volume IV, Annex 1 to the submission of the case, folio 1902).</w:t>
      </w:r>
    </w:p>
  </w:footnote>
  <w:footnote w:id="131">
    <w:p w14:paraId="75CE0CA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Resolution issued by the Office of the Human Rights Ombudsman on October 17, 2001 (evidence file, volume IV, Annex 1 to the submission of the case, folio 1962).</w:t>
      </w:r>
    </w:p>
  </w:footnote>
  <w:footnote w:id="132">
    <w:p w14:paraId="7CC78CF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Official Letter No. 3049-2 of the Second Trial Court of </w:t>
      </w:r>
      <w:r w:rsidRPr="003171CD">
        <w:rPr>
          <w:lang w:val="en-US"/>
        </w:rPr>
        <w:t xml:space="preserve">San Salvador of </w:t>
      </w:r>
      <w:r w:rsidRPr="003171CD">
        <w:rPr>
          <w:szCs w:val="16"/>
          <w:lang w:val="en-US"/>
        </w:rPr>
        <w:t>October 25, 2001 (evidence file, volume IV, Annex 1 to the submission of the case, folios 1966 to 1968).</w:t>
      </w:r>
    </w:p>
  </w:footnote>
  <w:footnote w:id="133">
    <w:p w14:paraId="0E7727E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Report on the proceeding against Mr. José Agapito Ruano sent to the National Coordinator of the Office of Public Defender on March 19, 2002 (evidence file, volume V, Annex 17 to the submission of the case, folios 2198 to 2199).</w:t>
      </w:r>
    </w:p>
  </w:footnote>
  <w:footnote w:id="134">
    <w:p w14:paraId="0C42E33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The case file contains the motions for cassation filed on behalf of Miguel Guzmán Mazariego, José Orellana Pérez, José León Perez, Joaquín Rodríguez and Ricardo Antonio Figueroa. </w:t>
      </w:r>
      <w:r w:rsidRPr="003171CD">
        <w:rPr>
          <w:i/>
          <w:szCs w:val="16"/>
          <w:lang w:val="en-US"/>
        </w:rPr>
        <w:t xml:space="preserve">Cf. </w:t>
      </w:r>
      <w:r w:rsidRPr="003171CD">
        <w:rPr>
          <w:szCs w:val="16"/>
          <w:lang w:val="en-US"/>
        </w:rPr>
        <w:t>Resolution of the Criminal Chamber of the Supreme Court of Justice issued on June 18, 2002 (evidence file, volume IV, Annex 1 to the submission of the case, folios 2011 to 2014).</w:t>
      </w:r>
    </w:p>
  </w:footnote>
  <w:footnote w:id="135">
    <w:p w14:paraId="7D12CEE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Record issued by the Second Trial Court of </w:t>
      </w:r>
      <w:r w:rsidRPr="003171CD">
        <w:rPr>
          <w:lang w:val="en-US"/>
        </w:rPr>
        <w:t>San Salvador</w:t>
      </w:r>
      <w:r w:rsidRPr="003171CD">
        <w:rPr>
          <w:szCs w:val="16"/>
          <w:lang w:val="en-US"/>
        </w:rPr>
        <w:t xml:space="preserve"> on October 16, 2002 (evidence file, volume IV, Annex 1 to the submission of the case, folio 2020).</w:t>
      </w:r>
    </w:p>
  </w:footnote>
  <w:footnote w:id="136">
    <w:p w14:paraId="55994B2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Head of the Department of Judicial Investigation of the Supreme Court of Justice by José Agapito Ruano Torres of May 13, 2002 (evidence file, volume V, Annex 19 to the submission of the case, folios 2209 to 2212).</w:t>
      </w:r>
    </w:p>
  </w:footnote>
  <w:footnote w:id="137">
    <w:p w14:paraId="74E567D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Decision issued by the President of the Supreme Court of Justice of October 22, 2003 (evidence file, volume V, Annex 20 to the submission of the case, folios 2214 to 2216).</w:t>
      </w:r>
    </w:p>
  </w:footnote>
  <w:footnote w:id="138">
    <w:p w14:paraId="1FCD9E4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Special motion to review the conviction filed by José Agapito Ruano Torres before the Second Trial Court of </w:t>
      </w:r>
      <w:r w:rsidRPr="003171CD">
        <w:rPr>
          <w:lang w:val="en-US"/>
        </w:rPr>
        <w:t>San Salvador</w:t>
      </w:r>
      <w:r w:rsidRPr="003171CD">
        <w:rPr>
          <w:szCs w:val="16"/>
          <w:lang w:val="en-US"/>
        </w:rPr>
        <w:t xml:space="preserve"> on August 11, 2003 (evidence file, volume V, Annex 1 to the submission of the case, folios 2089 to 2091).</w:t>
      </w:r>
    </w:p>
  </w:footnote>
  <w:footnote w:id="139">
    <w:p w14:paraId="2E3E480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Decision issued by the Second Trial Court of </w:t>
      </w:r>
      <w:r w:rsidRPr="003171CD">
        <w:rPr>
          <w:lang w:val="en-US"/>
        </w:rPr>
        <w:t xml:space="preserve">San Salvador on </w:t>
      </w:r>
      <w:r w:rsidRPr="003171CD">
        <w:rPr>
          <w:szCs w:val="16"/>
          <w:lang w:val="en-US"/>
        </w:rPr>
        <w:t>August 13, 2003 (evidence file, volume V, Annex 1 to the submission of the case, folios 2092 to 2093).</w:t>
      </w:r>
    </w:p>
  </w:footnote>
  <w:footnote w:id="140">
    <w:p w14:paraId="265E623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Special motion for review of judgment filed by José Agapito Ruano Torres before the Second Trial Court of </w:t>
      </w:r>
      <w:r w:rsidRPr="003171CD">
        <w:rPr>
          <w:lang w:val="en-US"/>
        </w:rPr>
        <w:t>San Salvador</w:t>
      </w:r>
      <w:r w:rsidRPr="003171CD">
        <w:rPr>
          <w:szCs w:val="16"/>
          <w:lang w:val="en-US"/>
        </w:rPr>
        <w:t xml:space="preserve"> on September 24, 2003 (evidence file, volume V, Annex 1 to the submission of the case, folios 2094 to 2096).</w:t>
      </w:r>
    </w:p>
  </w:footnote>
  <w:footnote w:id="141">
    <w:p w14:paraId="0DEB269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Decision issued by the Second Trial Court of </w:t>
      </w:r>
      <w:r w:rsidRPr="003171CD">
        <w:rPr>
          <w:lang w:val="en-US"/>
        </w:rPr>
        <w:t xml:space="preserve">San Salvador on </w:t>
      </w:r>
      <w:r w:rsidRPr="003171CD">
        <w:rPr>
          <w:szCs w:val="16"/>
          <w:lang w:val="en-US"/>
        </w:rPr>
        <w:t>September 29, 2003 (evidence file, volume V, Annex 1 to the submission of the case, folios 2097 to 2098).</w:t>
      </w:r>
    </w:p>
  </w:footnote>
  <w:footnote w:id="142">
    <w:p w14:paraId="11330D7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Brief submitted to the Second Trial Court of </w:t>
      </w:r>
      <w:r w:rsidRPr="003171CD">
        <w:rPr>
          <w:lang w:val="en-US"/>
        </w:rPr>
        <w:t xml:space="preserve">San Salvador by </w:t>
      </w:r>
      <w:r w:rsidRPr="003171CD">
        <w:rPr>
          <w:szCs w:val="16"/>
          <w:lang w:val="en-US"/>
        </w:rPr>
        <w:t>Toribio Chiquillo Rodríguez of September 12, 2006, and presented on September 22, 2006 (evidence file, volume V, Annex 23 to the submission of the case, folios 2231 to 2232).</w:t>
      </w:r>
    </w:p>
  </w:footnote>
  <w:footnote w:id="143">
    <w:p w14:paraId="6E98A66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Brief submitted to the Second Trial Court of </w:t>
      </w:r>
      <w:r w:rsidRPr="003171CD">
        <w:rPr>
          <w:lang w:val="en-US"/>
        </w:rPr>
        <w:t xml:space="preserve">San Salvador by </w:t>
      </w:r>
      <w:r w:rsidRPr="003171CD">
        <w:rPr>
          <w:szCs w:val="16"/>
          <w:lang w:val="en-US"/>
        </w:rPr>
        <w:t>Toribio Chiquillo Rodríguez of September 12, 2006, and presented on September 22, 2006 (evidence file, volume V, Annex 23 to the submission of the case, folios 2231 to 2232).</w:t>
      </w:r>
    </w:p>
  </w:footnote>
  <w:footnote w:id="144">
    <w:p w14:paraId="7134E09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Special motion to review of Judgment filed by José Agapito Ruano Torres before the Second Trial Court of </w:t>
      </w:r>
      <w:r w:rsidRPr="003171CD">
        <w:rPr>
          <w:lang w:val="en-US"/>
        </w:rPr>
        <w:t>San Salvador</w:t>
      </w:r>
      <w:r w:rsidRPr="003171CD">
        <w:rPr>
          <w:szCs w:val="16"/>
          <w:lang w:val="en-US"/>
        </w:rPr>
        <w:t xml:space="preserve"> on November 22, 2006 (evidence file, volume V, Annex 24 to the submission of the case, folios 2234 to 2238).</w:t>
      </w:r>
    </w:p>
  </w:footnote>
  <w:footnote w:id="145">
    <w:p w14:paraId="1499B23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Decision issued by the Second Trial Court of </w:t>
      </w:r>
      <w:r w:rsidRPr="003171CD">
        <w:rPr>
          <w:lang w:val="en-US"/>
        </w:rPr>
        <w:t xml:space="preserve">San Salvador on November 27, 2006 </w:t>
      </w:r>
      <w:r w:rsidRPr="003171CD">
        <w:rPr>
          <w:szCs w:val="16"/>
          <w:lang w:val="en-US"/>
        </w:rPr>
        <w:t>(evidence file, volume V, Annex 25 to the submission of the case, folios 2240 to 2242).</w:t>
      </w:r>
    </w:p>
  </w:footnote>
  <w:footnote w:id="146">
    <w:p w14:paraId="6755BC7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Decision issued by the Second Trial Court of </w:t>
      </w:r>
      <w:r w:rsidRPr="003171CD">
        <w:rPr>
          <w:lang w:val="en-US"/>
        </w:rPr>
        <w:t xml:space="preserve">San Salvador on November 27, 2006 </w:t>
      </w:r>
      <w:r w:rsidRPr="003171CD">
        <w:rPr>
          <w:szCs w:val="16"/>
          <w:lang w:val="en-US"/>
        </w:rPr>
        <w:t>(evidence file, volume V, Annex 25 to the submission of the case, folios 2240 to 2242).</w:t>
      </w:r>
    </w:p>
  </w:footnote>
  <w:footnote w:id="147">
    <w:p w14:paraId="5F2C2A0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Decision issued by the Second Trial Court of </w:t>
      </w:r>
      <w:r w:rsidRPr="003171CD">
        <w:rPr>
          <w:lang w:val="en-US"/>
        </w:rPr>
        <w:t xml:space="preserve">San Salvador on November 27, 2006 </w:t>
      </w:r>
      <w:r w:rsidRPr="003171CD">
        <w:rPr>
          <w:szCs w:val="16"/>
          <w:lang w:val="en-US"/>
        </w:rPr>
        <w:t>(evidence file, volume V, Annex 25 to the submission of the case, folios 2240 to 2242).</w:t>
      </w:r>
    </w:p>
  </w:footnote>
  <w:footnote w:id="148">
    <w:p w14:paraId="3C56022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Press Release N° 2/07 issued by the Inter-American Commission on Human Rights on January 9, 2007 (evidence file, volume V, Annex 26 to the submission of the case, folio 2244).</w:t>
      </w:r>
    </w:p>
  </w:footnote>
  <w:footnote w:id="149">
    <w:p w14:paraId="4A9C517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Brief submitted to the Inter-American Commission on Human Rights by Pedro Torres Hércules on January 11, 2007, and presented on January 26, 2007 (evidence file, volume V, Annex 27 to the submission of the case, folios 2246 to 2249).</w:t>
      </w:r>
    </w:p>
  </w:footnote>
  <w:footnote w:id="150">
    <w:p w14:paraId="69EDA21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Decision issued by the First Criminal Chamber of the First Section of the Judicial Center on October 15, 2009 (evidence file, volume V, Annex 28 to the submission of the case, folios 2251 to 2258).</w:t>
      </w:r>
    </w:p>
  </w:footnote>
  <w:footnote w:id="151">
    <w:p w14:paraId="5C7002C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Decision issued by the First Criminal Chamber of the First Section of the Judicial Center on October 15, 2009 (evidence file, volume V, Annex 28 to the submission of the case, folios 2251 to 2258).</w:t>
      </w:r>
    </w:p>
  </w:footnote>
  <w:footnote w:id="152">
    <w:p w14:paraId="50267B0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Decision issued by the First Court of </w:t>
      </w:r>
      <w:r w:rsidRPr="003171CD">
        <w:rPr>
          <w:szCs w:val="16"/>
          <w:shd w:val="clear" w:color="auto" w:fill="FFFFFF"/>
          <w:lang w:val="en-US"/>
        </w:rPr>
        <w:t>Parole and Enforcement of Sentences</w:t>
      </w:r>
      <w:r w:rsidRPr="003171CD">
        <w:rPr>
          <w:szCs w:val="16"/>
          <w:lang w:val="en-US"/>
        </w:rPr>
        <w:t xml:space="preserve"> on May 9, 2013 (evidence file, volume V, Annex 29 to the submission of the case, folios 2260 to 2267).</w:t>
      </w:r>
    </w:p>
  </w:footnote>
  <w:footnote w:id="153">
    <w:p w14:paraId="6F49CDD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Decision issued by the First Court of </w:t>
      </w:r>
      <w:r w:rsidRPr="003171CD">
        <w:rPr>
          <w:szCs w:val="16"/>
          <w:shd w:val="clear" w:color="auto" w:fill="FFFFFF"/>
          <w:lang w:val="en-US"/>
        </w:rPr>
        <w:t>Parole and Enforcement of Sentences</w:t>
      </w:r>
      <w:r w:rsidRPr="003171CD">
        <w:rPr>
          <w:szCs w:val="16"/>
          <w:lang w:val="en-US"/>
        </w:rPr>
        <w:t xml:space="preserve"> on May 9, 2013 (evidence file, volume V, Annex 29 to the submission of the case, folios 2261 to 2262).</w:t>
      </w:r>
    </w:p>
  </w:footnote>
  <w:footnote w:id="154">
    <w:p w14:paraId="7D6ADAA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Decision issued by the First Court of </w:t>
      </w:r>
      <w:r w:rsidRPr="003171CD">
        <w:rPr>
          <w:szCs w:val="16"/>
          <w:shd w:val="clear" w:color="auto" w:fill="FFFFFF"/>
          <w:lang w:val="en-US"/>
        </w:rPr>
        <w:t>Parole and Enforcement of Sentences</w:t>
      </w:r>
      <w:r w:rsidRPr="003171CD">
        <w:rPr>
          <w:szCs w:val="16"/>
          <w:lang w:val="en-US"/>
        </w:rPr>
        <w:t xml:space="preserve"> on May 9, 2013 (evidence file, volume V, Annex 29 to the submission of the case, folios 2260 to 2267).</w:t>
      </w:r>
    </w:p>
  </w:footnote>
  <w:footnote w:id="155">
    <w:p w14:paraId="0753AE1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Decision issued by the Second Trial Court of </w:t>
      </w:r>
      <w:r w:rsidRPr="003171CD">
        <w:rPr>
          <w:lang w:val="en-US"/>
        </w:rPr>
        <w:t>San Salvador</w:t>
      </w:r>
      <w:r w:rsidRPr="003171CD">
        <w:rPr>
          <w:szCs w:val="16"/>
          <w:lang w:val="en-US"/>
        </w:rPr>
        <w:t xml:space="preserve"> on September 19, 2014 (merits file, volume I, Annex 1 to the State’s answering brief, folios 438 to 473).</w:t>
      </w:r>
    </w:p>
  </w:footnote>
  <w:footnote w:id="156">
    <w:p w14:paraId="30494A7E"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Application for </w:t>
      </w:r>
      <w:r w:rsidRPr="003171CD">
        <w:rPr>
          <w:i/>
          <w:szCs w:val="16"/>
          <w:lang w:val="en-US"/>
        </w:rPr>
        <w:t>habeas corpus</w:t>
      </w:r>
      <w:r w:rsidRPr="003171CD">
        <w:rPr>
          <w:szCs w:val="16"/>
          <w:lang w:val="en-US"/>
        </w:rPr>
        <w:t xml:space="preserve"> filed before the Constitutional Chamber on December 7, 2000 (evidence file, volume V, Annex 10 to the submission of the case, folios 2173 to 2174).</w:t>
      </w:r>
    </w:p>
  </w:footnote>
  <w:footnote w:id="157">
    <w:p w14:paraId="06BBA3D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This included: i) not being able to testify during the preliminary hearing because he was told that “what a suspect says is not credible and actually works against him”; ii) not being able to call Mr. Rodríguez Marroquín and Mr. Amaya Villalta to testify that he had not taken part in the kidnapping; iii) failing to request that the clinical report issued after his detention document the evidence of torture and mistreatment to which he was subjected; iv) the refusal to request a special hearing in order to be able to present evidence to prove that </w:t>
      </w:r>
      <w:r w:rsidRPr="003171CD">
        <w:rPr>
          <w:i/>
          <w:szCs w:val="16"/>
          <w:lang w:val="en-US"/>
        </w:rPr>
        <w:t xml:space="preserve">Chopo </w:t>
      </w:r>
      <w:r w:rsidRPr="003171CD">
        <w:rPr>
          <w:szCs w:val="16"/>
          <w:lang w:val="en-US"/>
        </w:rPr>
        <w:t>was his brother Rodolfo Ruano Torres, and not him</w:t>
      </w:r>
      <w:r w:rsidRPr="003171CD">
        <w:rPr>
          <w:szCs w:val="16"/>
          <w:lang w:val="en-GB"/>
        </w:rPr>
        <w:t>;</w:t>
      </w:r>
      <w:r w:rsidRPr="003171CD">
        <w:rPr>
          <w:szCs w:val="16"/>
          <w:lang w:val="en-US"/>
        </w:rPr>
        <w:t xml:space="preserve"> and v) the refusal to lodge a petition for </w:t>
      </w:r>
      <w:r w:rsidRPr="003171CD">
        <w:rPr>
          <w:i/>
          <w:szCs w:val="16"/>
          <w:lang w:val="en-US"/>
        </w:rPr>
        <w:t>habeas corpus</w:t>
      </w:r>
      <w:r w:rsidRPr="003171CD">
        <w:rPr>
          <w:szCs w:val="16"/>
          <w:lang w:val="en-US"/>
        </w:rPr>
        <w:t xml:space="preserve"> arguing that “they take so long that they could decide on it even after the preliminary hearing.”</w:t>
      </w:r>
    </w:p>
  </w:footnote>
  <w:footnote w:id="158">
    <w:p w14:paraId="6788F6F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Application for </w:t>
      </w:r>
      <w:r w:rsidRPr="003171CD">
        <w:rPr>
          <w:i/>
          <w:szCs w:val="16"/>
          <w:lang w:val="en-US"/>
        </w:rPr>
        <w:t>habeas corpus</w:t>
      </w:r>
      <w:r w:rsidRPr="003171CD">
        <w:rPr>
          <w:szCs w:val="16"/>
          <w:lang w:val="en-US"/>
        </w:rPr>
        <w:t xml:space="preserve"> filed with the Constitutional Chamber on December 7, 2000 (evidence file, volume V, Annex 11 to the submission of the case, folios 2176 to 2177).</w:t>
      </w:r>
    </w:p>
  </w:footnote>
  <w:footnote w:id="159">
    <w:p w14:paraId="0C778B1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Brief requesting the extension of the </w:t>
      </w:r>
      <w:r w:rsidRPr="003171CD">
        <w:rPr>
          <w:i/>
          <w:szCs w:val="16"/>
          <w:lang w:val="en-US"/>
        </w:rPr>
        <w:t>habeas corpus</w:t>
      </w:r>
      <w:r w:rsidRPr="003171CD">
        <w:rPr>
          <w:szCs w:val="16"/>
          <w:lang w:val="en-US"/>
        </w:rPr>
        <w:t xml:space="preserve"> petition filed with the Constitutional Chamber on February 19, 2001</w:t>
      </w:r>
      <w:r w:rsidRPr="003171CD">
        <w:rPr>
          <w:i/>
          <w:szCs w:val="16"/>
          <w:lang w:val="en-US"/>
        </w:rPr>
        <w:t xml:space="preserve"> </w:t>
      </w:r>
      <w:r w:rsidRPr="003171CD">
        <w:rPr>
          <w:szCs w:val="16"/>
          <w:lang w:val="en-US"/>
        </w:rPr>
        <w:t>(evidence file, volume V, Annex 13 to the submission of the case, folios 2182 to 2183).</w:t>
      </w:r>
    </w:p>
  </w:footnote>
  <w:footnote w:id="160">
    <w:p w14:paraId="611EF87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Supreme Court of Justice by Pedro Torres Hércules on March 14, 2001 (evidence file, volume V, Annex 15 to the submission of the case, folios 2188 to 2190).</w:t>
      </w:r>
    </w:p>
  </w:footnote>
  <w:footnote w:id="161">
    <w:p w14:paraId="7C2FFA7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Brief submitted to the Supreme Court of Justice by Pedro Torres Hércules on March 14, 2001 (evidence file, volume V, Annex 15 to the submission of the case, folio 2188).</w:t>
      </w:r>
    </w:p>
  </w:footnote>
  <w:footnote w:id="162">
    <w:p w14:paraId="57A9DC9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Supreme Court of Justice by Pedro Torres Hércules of June 8, 2001 (evidence file, volume V, Annex 16 to the submission of the case, folios 2192 to 2196).</w:t>
      </w:r>
    </w:p>
  </w:footnote>
  <w:footnote w:id="163">
    <w:p w14:paraId="2A80497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Decision issued by the Constitutional Chamber of the Supreme Court of Justice on August 7, 2001(evidence file, volume IV, Annex 1 to the submission of the case, folios 1828 to 1834).</w:t>
      </w:r>
    </w:p>
  </w:footnote>
  <w:footnote w:id="164">
    <w:p w14:paraId="168F7EC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Decision issued by the Constitutional Chamber of the Supreme Court of Justice on August 7, 2001(evidence file, volume IV, Annex 1 to the submission of the case, folio 1832).</w:t>
      </w:r>
    </w:p>
  </w:footnote>
  <w:footnote w:id="165">
    <w:p w14:paraId="19FF474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Decision issued by the Constitutional Chamber of the Supreme Court of Justice on August 7, 2001(evidence file, volume IV, Annex 1 to the submission of the case, folio 1834).</w:t>
      </w:r>
    </w:p>
  </w:footnote>
  <w:footnote w:id="166">
    <w:p w14:paraId="715E1DF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Brief submitted to the Office of the Human Rights Ombudsman by José Agapito Ruano Torres of October 15, 2001 (evidence file, volume V, Annex 21 to the submission of the case, folios 2219 to 2222).</w:t>
      </w:r>
    </w:p>
  </w:footnote>
  <w:footnote w:id="167">
    <w:p w14:paraId="42B1AA1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Resolution issued by the Office of the Human Rights Ombudsman on June 9, 2003 (evidence file, volume IV, Annex 1 to the submission of the case, folios 2059 to 2078).</w:t>
      </w:r>
    </w:p>
  </w:footnote>
  <w:footnote w:id="168">
    <w:p w14:paraId="34D7D25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Resolution issued by the Office of the Human Rights Ombudsman on June 9, 2003 (evidence file, volume IV, Annex 1 to the submission of the case, folios 2059 to 2078).</w:t>
      </w:r>
    </w:p>
  </w:footnote>
  <w:footnote w:id="169">
    <w:p w14:paraId="56ADD34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Resolution issued by the Office of the Human Rights Ombudsman on October 4, 2004 (evidence file, volume V, Annex 22 to the submission of the case, folios 2224 to 2229).</w:t>
      </w:r>
    </w:p>
  </w:footnote>
  <w:footnote w:id="170">
    <w:p w14:paraId="658E81E3"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 Case of Velásquez Rodríguez v. Honduras</w:t>
      </w:r>
      <w:r w:rsidRPr="003171CD">
        <w:rPr>
          <w:sz w:val="16"/>
          <w:szCs w:val="16"/>
          <w:lang w:val="en-US"/>
        </w:rPr>
        <w:t xml:space="preserve">. </w:t>
      </w:r>
      <w:r w:rsidRPr="003171CD">
        <w:rPr>
          <w:i/>
          <w:sz w:val="16"/>
          <w:szCs w:val="16"/>
          <w:lang w:val="en-US"/>
        </w:rPr>
        <w:t>Merits</w:t>
      </w:r>
      <w:r w:rsidRPr="003171CD">
        <w:rPr>
          <w:sz w:val="16"/>
          <w:szCs w:val="16"/>
          <w:lang w:val="en-US"/>
        </w:rPr>
        <w:t xml:space="preserve">, </w:t>
      </w:r>
      <w:r w:rsidRPr="003171CD">
        <w:rPr>
          <w:i/>
          <w:sz w:val="16"/>
          <w:szCs w:val="16"/>
          <w:lang w:val="en-US"/>
        </w:rPr>
        <w:t>supra</w:t>
      </w:r>
      <w:r w:rsidRPr="003171CD">
        <w:rPr>
          <w:sz w:val="16"/>
          <w:szCs w:val="16"/>
          <w:lang w:val="en-US"/>
        </w:rPr>
        <w:t xml:space="preserve">, para. 134, and </w:t>
      </w:r>
      <w:r w:rsidRPr="003171CD">
        <w:rPr>
          <w:rStyle w:val="Textoennegrita"/>
          <w:b w:val="0"/>
          <w:i/>
          <w:sz w:val="16"/>
          <w:szCs w:val="16"/>
          <w:lang w:val="en-US"/>
        </w:rPr>
        <w:t>Case of Espinoza Gonzáles v. Peru. Preliminary objections, Merits, reparations and costs</w:t>
      </w:r>
      <w:r w:rsidRPr="003171CD">
        <w:rPr>
          <w:rStyle w:val="Textoennegrita"/>
          <w:b w:val="0"/>
          <w:sz w:val="16"/>
          <w:szCs w:val="16"/>
          <w:lang w:val="en-US"/>
        </w:rPr>
        <w:t>. Judgment of November 20, 2014. Series C No. 289, para. 101</w:t>
      </w:r>
      <w:r w:rsidRPr="003171CD">
        <w:rPr>
          <w:sz w:val="16"/>
          <w:szCs w:val="16"/>
          <w:lang w:val="en-US"/>
        </w:rPr>
        <w:t>.</w:t>
      </w:r>
    </w:p>
  </w:footnote>
  <w:footnote w:id="171">
    <w:p w14:paraId="2719C56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Suárez Rosero v. Ecuador</w:t>
      </w:r>
      <w:r w:rsidRPr="003171CD">
        <w:rPr>
          <w:szCs w:val="16"/>
          <w:lang w:val="en-US"/>
        </w:rPr>
        <w:t xml:space="preserve">. </w:t>
      </w:r>
      <w:r w:rsidRPr="003171CD">
        <w:rPr>
          <w:i/>
          <w:szCs w:val="16"/>
          <w:lang w:val="en-US"/>
        </w:rPr>
        <w:t>Merits</w:t>
      </w:r>
      <w:r w:rsidRPr="003171CD">
        <w:rPr>
          <w:szCs w:val="16"/>
          <w:lang w:val="en-US"/>
        </w:rPr>
        <w:t xml:space="preserve">. Judgment of November 12, 1997. Series C No. 35, para. 37; </w:t>
      </w:r>
      <w:r w:rsidRPr="003171CD">
        <w:rPr>
          <w:i/>
          <w:szCs w:val="16"/>
          <w:lang w:val="en-US"/>
        </w:rPr>
        <w:t>Case of Castillo Petruzzi et al. v. Peru. Merits, reparations and costs.</w:t>
      </w:r>
      <w:r w:rsidRPr="003171CD">
        <w:rPr>
          <w:szCs w:val="16"/>
          <w:lang w:val="en-US"/>
        </w:rPr>
        <w:t xml:space="preserve"> Judgment of May 30, 1999. Series C No. 52, para. 90, and </w:t>
      </w:r>
      <w:r w:rsidRPr="003171CD">
        <w:rPr>
          <w:rStyle w:val="Textoennegrita"/>
          <w:b w:val="0"/>
          <w:i/>
          <w:szCs w:val="16"/>
          <w:lang w:val="en-US"/>
        </w:rPr>
        <w:t>Case of Cruz Sánchez et al. v. Peru. Preliminary objections, merits, reparations and costs.</w:t>
      </w:r>
      <w:r w:rsidRPr="003171CD">
        <w:rPr>
          <w:rStyle w:val="Textoennegrita"/>
          <w:b w:val="0"/>
          <w:szCs w:val="16"/>
          <w:lang w:val="en-US"/>
        </w:rPr>
        <w:t xml:space="preserve"> Judgment of April 17, 2015. Series C No. 292, para. 281</w:t>
      </w:r>
      <w:r w:rsidRPr="003171CD">
        <w:rPr>
          <w:szCs w:val="16"/>
          <w:lang w:val="en-US"/>
        </w:rPr>
        <w:t>.</w:t>
      </w:r>
    </w:p>
  </w:footnote>
  <w:footnote w:id="172">
    <w:p w14:paraId="22B77F8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ab/>
      </w:r>
      <w:r w:rsidRPr="003171CD">
        <w:rPr>
          <w:i/>
          <w:szCs w:val="16"/>
          <w:lang w:val="en-US"/>
        </w:rPr>
        <w:t>Case of the “Street Children” (Villagrán Morales et al.) v. Guatemala. Merits.</w:t>
      </w:r>
      <w:r w:rsidRPr="003171CD">
        <w:rPr>
          <w:szCs w:val="16"/>
          <w:lang w:val="en-US"/>
        </w:rPr>
        <w:t xml:space="preserve"> Judgment of November 19, 1999. Series C No. 63, para. 222, and </w:t>
      </w:r>
      <w:r w:rsidRPr="003171CD">
        <w:rPr>
          <w:i/>
          <w:szCs w:val="16"/>
          <w:lang w:val="en-US"/>
        </w:rPr>
        <w:t>Case of Norín Catrimán et al. (Leaders, members and activist of the Mapuche Indigenous Community) v. Chile. Merits, reparations and costs</w:t>
      </w:r>
      <w:r w:rsidRPr="003171CD">
        <w:rPr>
          <w:szCs w:val="16"/>
          <w:lang w:val="en-US"/>
        </w:rPr>
        <w:t>. Judgment of May 29, 2014. Series C No. 279, para. 186.</w:t>
      </w:r>
    </w:p>
  </w:footnote>
  <w:footnote w:id="173">
    <w:p w14:paraId="74A50A5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Case of Yvon Neptune v. Haiti. Merits, reparations and costs. </w:t>
      </w:r>
      <w:r w:rsidRPr="003171CD">
        <w:rPr>
          <w:szCs w:val="16"/>
          <w:lang w:val="en-US"/>
        </w:rPr>
        <w:t xml:space="preserve">Judgment of May 6, 2008. Series C No. 180, para. 129, and </w:t>
      </w:r>
      <w:r w:rsidRPr="003171CD">
        <w:rPr>
          <w:rStyle w:val="Textoennegrita"/>
          <w:b w:val="0"/>
          <w:i/>
          <w:szCs w:val="16"/>
          <w:lang w:val="en-US"/>
        </w:rPr>
        <w:t>Case of Rodríguez Vera et al. (Disappeared of the Palace of Justice) v. Colombia, supra</w:t>
      </w:r>
      <w:r w:rsidRPr="003171CD">
        <w:rPr>
          <w:rFonts w:cs="Verdana"/>
          <w:szCs w:val="16"/>
          <w:lang w:val="en-US" w:bidi="en-US"/>
        </w:rPr>
        <w:t>, para. 417</w:t>
      </w:r>
      <w:r w:rsidRPr="003171CD">
        <w:rPr>
          <w:szCs w:val="16"/>
          <w:lang w:val="en-US"/>
        </w:rPr>
        <w:t>.</w:t>
      </w:r>
    </w:p>
  </w:footnote>
  <w:footnote w:id="174">
    <w:p w14:paraId="7A8B1F7E" w14:textId="77777777" w:rsidR="006E2EB2" w:rsidRPr="003171CD" w:rsidRDefault="006E2EB2" w:rsidP="005A65CE">
      <w:pPr>
        <w:pStyle w:val="Textonotapie"/>
        <w:spacing w:after="120"/>
        <w:jc w:val="both"/>
        <w:rPr>
          <w:b/>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i/>
          <w:iCs/>
          <w:szCs w:val="16"/>
          <w:lang w:val="en-US"/>
        </w:rPr>
        <w:t>Case of Loayza Tamayo v. Peru. Merits, supra</w:t>
      </w:r>
      <w:r w:rsidRPr="003171CD">
        <w:rPr>
          <w:iCs/>
          <w:szCs w:val="16"/>
          <w:lang w:val="en-US"/>
        </w:rPr>
        <w:t xml:space="preserve">, </w:t>
      </w:r>
      <w:r w:rsidRPr="003171CD">
        <w:rPr>
          <w:szCs w:val="16"/>
          <w:lang w:val="en-US"/>
        </w:rPr>
        <w:t xml:space="preserve">paras. 57 and 58, and </w:t>
      </w:r>
      <w:r w:rsidRPr="003171CD">
        <w:rPr>
          <w:rStyle w:val="Textoennegrita"/>
          <w:b w:val="0"/>
          <w:i/>
          <w:szCs w:val="16"/>
          <w:lang w:val="en-US"/>
        </w:rPr>
        <w:t>Case of Espinoza Gonzáles v. Peru, supra</w:t>
      </w:r>
      <w:r w:rsidRPr="003171CD">
        <w:rPr>
          <w:szCs w:val="16"/>
          <w:lang w:val="en-US"/>
        </w:rPr>
        <w:t>, para. 142.</w:t>
      </w:r>
    </w:p>
  </w:footnote>
  <w:footnote w:id="175">
    <w:p w14:paraId="46442E4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Ximenes Lopes v. Brazil. Merits, reparations and costs</w:t>
      </w:r>
      <w:r w:rsidRPr="003171CD">
        <w:rPr>
          <w:szCs w:val="16"/>
          <w:lang w:val="en-US"/>
        </w:rPr>
        <w:t>. Judgment of July 4, 2006. Series C No. 149,</w:t>
      </w:r>
      <w:r w:rsidRPr="003171CD">
        <w:rPr>
          <w:iCs/>
          <w:szCs w:val="16"/>
          <w:lang w:val="en-US"/>
        </w:rPr>
        <w:t xml:space="preserve"> </w:t>
      </w:r>
      <w:r w:rsidRPr="003171CD">
        <w:rPr>
          <w:szCs w:val="16"/>
          <w:lang w:val="en-US"/>
        </w:rPr>
        <w:t xml:space="preserve">para. 127, and </w:t>
      </w:r>
      <w:r w:rsidRPr="003171CD">
        <w:rPr>
          <w:rStyle w:val="Textoennegrita"/>
          <w:b w:val="0"/>
          <w:i/>
          <w:szCs w:val="16"/>
          <w:lang w:val="en-US"/>
        </w:rPr>
        <w:t>Case of Espinoza Gonzáles v. Peru</w:t>
      </w:r>
      <w:r w:rsidRPr="003171CD">
        <w:rPr>
          <w:i/>
          <w:szCs w:val="16"/>
          <w:lang w:val="en-US"/>
        </w:rPr>
        <w:t>, supra</w:t>
      </w:r>
      <w:r w:rsidRPr="003171CD">
        <w:rPr>
          <w:szCs w:val="16"/>
          <w:lang w:val="en-US"/>
        </w:rPr>
        <w:t>, para. 142.</w:t>
      </w:r>
    </w:p>
  </w:footnote>
  <w:footnote w:id="176">
    <w:p w14:paraId="40AFCC8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Cantoral Benavides v. Peru. Merits.</w:t>
      </w:r>
      <w:r w:rsidRPr="003171CD">
        <w:rPr>
          <w:szCs w:val="16"/>
          <w:lang w:val="en-US"/>
        </w:rPr>
        <w:t xml:space="preserve"> Judgment of August 18, 2000. Series C No. 69, para. 95; </w:t>
      </w:r>
      <w:r w:rsidRPr="003171CD">
        <w:rPr>
          <w:i/>
          <w:szCs w:val="16"/>
          <w:lang w:val="en-US"/>
        </w:rPr>
        <w:t xml:space="preserve">Case of Caesar v. Trinidad and Tobago. Merits, reparations and costs. </w:t>
      </w:r>
      <w:r w:rsidRPr="003171CD">
        <w:rPr>
          <w:szCs w:val="16"/>
          <w:lang w:val="en-US"/>
        </w:rPr>
        <w:t xml:space="preserve">Judgment March 11, 2005. Series C No. 123, para. 100, and </w:t>
      </w:r>
      <w:r w:rsidRPr="003171CD">
        <w:rPr>
          <w:i/>
          <w:szCs w:val="16"/>
          <w:lang w:val="en-US"/>
        </w:rPr>
        <w:t>Case of Ximenes Lopes v. Brazil, supra</w:t>
      </w:r>
      <w:r w:rsidRPr="003171CD">
        <w:rPr>
          <w:szCs w:val="16"/>
          <w:lang w:val="en-US"/>
        </w:rPr>
        <w:t xml:space="preserve">, para. </w:t>
      </w:r>
      <w:r w:rsidRPr="003171CD">
        <w:rPr>
          <w:rFonts w:cs="Verdana"/>
          <w:szCs w:val="16"/>
          <w:lang w:val="en-US" w:bidi="en-US"/>
        </w:rPr>
        <w:t>126</w:t>
      </w:r>
      <w:r w:rsidRPr="003171CD">
        <w:rPr>
          <w:szCs w:val="16"/>
          <w:lang w:val="en-US"/>
        </w:rPr>
        <w:t>.</w:t>
      </w:r>
    </w:p>
  </w:footnote>
  <w:footnote w:id="177">
    <w:p w14:paraId="3346517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Bueno Alves v. Argentina. Merits, reparations and costs.</w:t>
      </w:r>
      <w:r w:rsidRPr="003171CD">
        <w:rPr>
          <w:szCs w:val="16"/>
          <w:lang w:val="en-US"/>
        </w:rPr>
        <w:t xml:space="preserve"> Judgment of May 11, 2007. Series C No. 164, para. 79, and </w:t>
      </w:r>
      <w:r w:rsidRPr="003171CD">
        <w:rPr>
          <w:rStyle w:val="Textoennegrita"/>
          <w:b w:val="0"/>
          <w:i/>
          <w:szCs w:val="16"/>
          <w:lang w:val="en-US"/>
        </w:rPr>
        <w:t>Case of Espinoza Gonzáles v. Peru</w:t>
      </w:r>
      <w:r w:rsidRPr="003171CD">
        <w:rPr>
          <w:i/>
          <w:szCs w:val="16"/>
          <w:lang w:val="en-US"/>
        </w:rPr>
        <w:t>, supra</w:t>
      </w:r>
      <w:r w:rsidRPr="003171CD">
        <w:rPr>
          <w:szCs w:val="16"/>
          <w:lang w:val="en-US"/>
        </w:rPr>
        <w:t>, para. 143.</w:t>
      </w:r>
    </w:p>
  </w:footnote>
  <w:footnote w:id="178">
    <w:p w14:paraId="2BB0878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iCs/>
          <w:szCs w:val="16"/>
          <w:lang w:val="en-US"/>
        </w:rPr>
        <w:t>Cf. Case of Cantoral Benavides</w:t>
      </w:r>
      <w:r w:rsidRPr="003171CD">
        <w:rPr>
          <w:szCs w:val="16"/>
          <w:lang w:val="en-US"/>
        </w:rPr>
        <w:t xml:space="preserve"> </w:t>
      </w:r>
      <w:r w:rsidRPr="003171CD">
        <w:rPr>
          <w:i/>
          <w:iCs/>
          <w:szCs w:val="16"/>
          <w:lang w:val="en-US"/>
        </w:rPr>
        <w:t>v. Peru. Merits, supra</w:t>
      </w:r>
      <w:r w:rsidRPr="003171CD">
        <w:rPr>
          <w:szCs w:val="16"/>
          <w:lang w:val="en-US"/>
        </w:rPr>
        <w:t>, para. 102</w:t>
      </w:r>
      <w:r w:rsidRPr="003171CD">
        <w:rPr>
          <w:iCs/>
          <w:szCs w:val="16"/>
          <w:lang w:val="en-US"/>
        </w:rPr>
        <w:t xml:space="preserve">, and </w:t>
      </w:r>
      <w:r w:rsidRPr="003171CD">
        <w:rPr>
          <w:i/>
          <w:iCs/>
          <w:szCs w:val="16"/>
          <w:lang w:val="en-US"/>
        </w:rPr>
        <w:t>Case of Rodríguez Vera et al. (Disappeared of the Palace of Justice) v. Colombia, supra</w:t>
      </w:r>
      <w:r w:rsidRPr="003171CD">
        <w:rPr>
          <w:szCs w:val="16"/>
          <w:lang w:val="en-US"/>
        </w:rPr>
        <w:t>, para. 420.</w:t>
      </w:r>
    </w:p>
  </w:footnote>
  <w:footnote w:id="179">
    <w:p w14:paraId="2E4BB6C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Montero Aranguren et al. (Detention Center of Catia) v. Venezuela</w:t>
      </w:r>
      <w:r w:rsidRPr="003171CD">
        <w:rPr>
          <w:szCs w:val="16"/>
          <w:lang w:val="en-US"/>
        </w:rPr>
        <w:t xml:space="preserve">. </w:t>
      </w:r>
      <w:r w:rsidRPr="003171CD">
        <w:rPr>
          <w:i/>
          <w:szCs w:val="16"/>
          <w:lang w:val="en-US"/>
        </w:rPr>
        <w:t>Merits, reparations and costs.</w:t>
      </w:r>
      <w:r w:rsidRPr="003171CD">
        <w:rPr>
          <w:szCs w:val="16"/>
          <w:lang w:val="en-US"/>
        </w:rPr>
        <w:t xml:space="preserve"> Judgment of July 5, 2006. Series C No. 150, paras. 67 to 69, and </w:t>
      </w:r>
      <w:r w:rsidRPr="003171CD">
        <w:rPr>
          <w:rFonts w:cs="Verdana-Bold"/>
          <w:bCs/>
          <w:i/>
          <w:szCs w:val="16"/>
          <w:lang w:val="en-US" w:bidi="en-US"/>
        </w:rPr>
        <w:t>Case of Fleury et al. v. Haiti.</w:t>
      </w:r>
      <w:r w:rsidRPr="003171CD">
        <w:rPr>
          <w:rFonts w:cs="Verdana-Bold"/>
          <w:bCs/>
          <w:szCs w:val="16"/>
          <w:lang w:val="en-US" w:bidi="en-US"/>
        </w:rPr>
        <w:t xml:space="preserve"> </w:t>
      </w:r>
      <w:r w:rsidRPr="003171CD">
        <w:rPr>
          <w:rFonts w:cs="Verdana"/>
          <w:i/>
          <w:szCs w:val="16"/>
          <w:lang w:val="en-US" w:bidi="en-US"/>
        </w:rPr>
        <w:t xml:space="preserve">Merits and reparations. </w:t>
      </w:r>
      <w:r w:rsidRPr="003171CD">
        <w:rPr>
          <w:rFonts w:cs="Verdana"/>
          <w:szCs w:val="16"/>
          <w:lang w:val="en-US" w:bidi="en-US"/>
        </w:rPr>
        <w:t>Judgment of November 23, 2011. Series C No. 236</w:t>
      </w:r>
      <w:r w:rsidRPr="003171CD">
        <w:rPr>
          <w:szCs w:val="16"/>
          <w:lang w:val="en-US"/>
        </w:rPr>
        <w:t>, para. 74.</w:t>
      </w:r>
    </w:p>
  </w:footnote>
  <w:footnote w:id="180">
    <w:p w14:paraId="29AF083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Loayza Tamayo v. Peru. Merits, supra</w:t>
      </w:r>
      <w:r w:rsidRPr="003171CD">
        <w:rPr>
          <w:szCs w:val="16"/>
          <w:lang w:val="en-US"/>
        </w:rPr>
        <w:t xml:space="preserve">, para. 57, and </w:t>
      </w:r>
      <w:r w:rsidRPr="003171CD">
        <w:rPr>
          <w:rStyle w:val="Textoennegrita"/>
          <w:b w:val="0"/>
          <w:i/>
          <w:szCs w:val="16"/>
          <w:lang w:val="en-US"/>
        </w:rPr>
        <w:t>Case of Espinoza Gonzáles v. Peru, supra</w:t>
      </w:r>
      <w:r w:rsidRPr="003171CD">
        <w:rPr>
          <w:szCs w:val="16"/>
          <w:lang w:val="en-US"/>
        </w:rPr>
        <w:t xml:space="preserve">, para. </w:t>
      </w:r>
      <w:r w:rsidRPr="003171CD">
        <w:rPr>
          <w:rFonts w:cs="Verdana"/>
          <w:szCs w:val="16"/>
          <w:lang w:val="en-US" w:bidi="en-US"/>
        </w:rPr>
        <w:t>184</w:t>
      </w:r>
      <w:r w:rsidRPr="003171CD">
        <w:rPr>
          <w:szCs w:val="16"/>
          <w:lang w:val="en-US"/>
        </w:rPr>
        <w:t>.</w:t>
      </w:r>
    </w:p>
  </w:footnote>
  <w:footnote w:id="181">
    <w:p w14:paraId="3ADB1AB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In paragraph 162 of Merits Report No. 82/13 the Commission stated that:</w:t>
      </w:r>
    </w:p>
    <w:p w14:paraId="029CDE89" w14:textId="77777777" w:rsidR="006E2EB2" w:rsidRPr="003171CD" w:rsidRDefault="006E2EB2" w:rsidP="005A65CE">
      <w:pPr>
        <w:pStyle w:val="Textonotapie"/>
        <w:spacing w:after="120"/>
        <w:ind w:left="708" w:right="582"/>
        <w:jc w:val="both"/>
        <w:rPr>
          <w:szCs w:val="16"/>
          <w:lang w:val="en-US"/>
        </w:rPr>
      </w:pPr>
      <w:r w:rsidRPr="003171CD">
        <w:rPr>
          <w:szCs w:val="16"/>
          <w:lang w:val="en-US"/>
        </w:rPr>
        <w:t>According to the statement of José Agapito Ruano Torres, he was: i) beaten and thrown to the ground while he was sleeping; ii) dragged along the floor towards the door of his house; iii) choked with a rope; iv) kicked and beaten in the extremities; and v) threatened with death. This description is consistent with the statement of his wife María Maribel Guevara. In addition, the report of the medical examination carried out by the Medical Services Unit of the National Civil Police the same day of the arrest of Mr. Ruano Torres indicates that he presented lacerations on his neck, thorax and shoulders, and scars on his nose and thighs.</w:t>
      </w:r>
    </w:p>
  </w:footnote>
  <w:footnote w:id="182">
    <w:p w14:paraId="5711F18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Ximenes Lopes v. Brazil, supra</w:t>
      </w:r>
      <w:r w:rsidRPr="003171CD">
        <w:rPr>
          <w:szCs w:val="16"/>
          <w:lang w:val="en-US"/>
        </w:rPr>
        <w:t xml:space="preserve">, para. 147, and </w:t>
      </w:r>
      <w:r w:rsidRPr="003171CD">
        <w:rPr>
          <w:rStyle w:val="Textoennegrita"/>
          <w:b w:val="0"/>
          <w:i/>
          <w:szCs w:val="16"/>
          <w:lang w:val="en-US"/>
        </w:rPr>
        <w:t>Case of Espinoza Gonzáles v. Peru, supra</w:t>
      </w:r>
      <w:r w:rsidRPr="003171CD">
        <w:rPr>
          <w:szCs w:val="16"/>
          <w:lang w:val="en-US"/>
        </w:rPr>
        <w:t>, para. 239.</w:t>
      </w:r>
    </w:p>
  </w:footnote>
  <w:footnote w:id="183">
    <w:p w14:paraId="666AC37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Suárez Rosero v. Ecuador</w:t>
      </w:r>
      <w:r w:rsidRPr="003171CD">
        <w:rPr>
          <w:szCs w:val="16"/>
          <w:lang w:val="en-US"/>
        </w:rPr>
        <w:t xml:space="preserve">. </w:t>
      </w:r>
      <w:r w:rsidRPr="003171CD">
        <w:rPr>
          <w:i/>
          <w:szCs w:val="16"/>
          <w:lang w:val="en-US"/>
        </w:rPr>
        <w:t>Merits, supra</w:t>
      </w:r>
      <w:r w:rsidRPr="003171CD">
        <w:rPr>
          <w:szCs w:val="16"/>
          <w:lang w:val="en-US"/>
        </w:rPr>
        <w:t xml:space="preserve">, para. 77, and </w:t>
      </w:r>
      <w:r w:rsidRPr="003171CD">
        <w:rPr>
          <w:i/>
          <w:szCs w:val="16"/>
          <w:lang w:val="en-US"/>
        </w:rPr>
        <w:t>Case of J v. Peru. Preliminary objection, merits, reparations and costs.</w:t>
      </w:r>
      <w:r w:rsidRPr="003171CD">
        <w:rPr>
          <w:szCs w:val="16"/>
          <w:lang w:val="en-US"/>
        </w:rPr>
        <w:t xml:space="preserve"> Judgment of November 27, 2013. Series C No. 275, para. 233.</w:t>
      </w:r>
    </w:p>
  </w:footnote>
  <w:footnote w:id="184">
    <w:p w14:paraId="28DAC39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J v. Peru, supra</w:t>
      </w:r>
      <w:r w:rsidRPr="003171CD">
        <w:rPr>
          <w:szCs w:val="16"/>
          <w:lang w:val="en-US"/>
        </w:rPr>
        <w:t xml:space="preserve">, para. 157, and </w:t>
      </w:r>
      <w:r w:rsidRPr="003171CD">
        <w:rPr>
          <w:i/>
          <w:szCs w:val="16"/>
          <w:lang w:val="en-US"/>
        </w:rPr>
        <w:t>Case of Norín Catrimán et al. (Leaders, members and activist of the Mapuche Indigenous Community) v. Chile, supra</w:t>
      </w:r>
      <w:r w:rsidRPr="003171CD">
        <w:rPr>
          <w:szCs w:val="16"/>
          <w:lang w:val="en-US"/>
        </w:rPr>
        <w:t>, para. 310.</w:t>
      </w:r>
    </w:p>
  </w:footnote>
  <w:footnote w:id="185">
    <w:p w14:paraId="6B8F4E2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Cantoral Benavides v. Peru. Merits, supra</w:t>
      </w:r>
      <w:r w:rsidRPr="003171CD">
        <w:rPr>
          <w:szCs w:val="16"/>
          <w:lang w:val="en-US"/>
        </w:rPr>
        <w:t xml:space="preserve">, para. 120, and </w:t>
      </w:r>
      <w:r w:rsidRPr="003171CD">
        <w:rPr>
          <w:i/>
          <w:szCs w:val="16"/>
          <w:lang w:val="en-US"/>
        </w:rPr>
        <w:t>Case of J v. Peru, supra</w:t>
      </w:r>
      <w:r w:rsidRPr="003171CD">
        <w:rPr>
          <w:szCs w:val="16"/>
          <w:lang w:val="en-US"/>
        </w:rPr>
        <w:t>, para. 228.</w:t>
      </w:r>
    </w:p>
  </w:footnote>
  <w:footnote w:id="186">
    <w:p w14:paraId="73B517A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Case of Cabrera García and Montiel Flores v. Mexico. Preliminary objection, merits, reparations and costs. </w:t>
      </w:r>
      <w:r w:rsidRPr="003171CD">
        <w:rPr>
          <w:szCs w:val="16"/>
          <w:lang w:val="en-US"/>
        </w:rPr>
        <w:t xml:space="preserve">Judgment of November 26, 2010. Series C No. 220, para. 182, and </w:t>
      </w:r>
      <w:r w:rsidRPr="003171CD">
        <w:rPr>
          <w:i/>
          <w:szCs w:val="16"/>
          <w:lang w:val="en-US"/>
        </w:rPr>
        <w:t>Case of Norín Catrimán et al. (Leaders, members and activist of the Mapuche Indigenous Community) v. Chile, supra</w:t>
      </w:r>
      <w:r w:rsidRPr="003171CD">
        <w:rPr>
          <w:szCs w:val="16"/>
          <w:lang w:val="en-US"/>
        </w:rPr>
        <w:t>, para. 171.</w:t>
      </w:r>
    </w:p>
  </w:footnote>
  <w:footnote w:id="187">
    <w:p w14:paraId="0558A55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i/>
          <w:szCs w:val="16"/>
          <w:lang w:val="en-US"/>
        </w:rPr>
        <w:tab/>
        <w:t>Cf.</w:t>
      </w:r>
      <w:r w:rsidRPr="003171CD">
        <w:rPr>
          <w:szCs w:val="16"/>
          <w:lang w:val="en-US"/>
        </w:rPr>
        <w:t xml:space="preserve"> </w:t>
      </w:r>
      <w:r w:rsidRPr="003171CD">
        <w:rPr>
          <w:i/>
          <w:szCs w:val="16"/>
          <w:lang w:val="en-US"/>
        </w:rPr>
        <w:t>Case of Ricardo Canese v. Paraguay. Merits, reparations and costs</w:t>
      </w:r>
      <w:r w:rsidRPr="003171CD">
        <w:rPr>
          <w:szCs w:val="16"/>
          <w:lang w:val="en-US"/>
        </w:rPr>
        <w:t xml:space="preserve">. Judgment of August 31, 2004. Series C No. 111, para. 154, and </w:t>
      </w:r>
      <w:r w:rsidRPr="003171CD">
        <w:rPr>
          <w:i/>
          <w:szCs w:val="16"/>
          <w:lang w:val="en-US"/>
        </w:rPr>
        <w:t>Case of Brewer Carías v. Venezuela</w:t>
      </w:r>
      <w:r w:rsidRPr="003171CD">
        <w:rPr>
          <w:szCs w:val="16"/>
          <w:lang w:val="en-US"/>
        </w:rPr>
        <w:t xml:space="preserve">. </w:t>
      </w:r>
      <w:r w:rsidRPr="003171CD">
        <w:rPr>
          <w:i/>
          <w:szCs w:val="16"/>
          <w:lang w:val="en-US"/>
        </w:rPr>
        <w:t>Preliminary objections</w:t>
      </w:r>
      <w:r w:rsidRPr="003171CD">
        <w:rPr>
          <w:szCs w:val="16"/>
          <w:lang w:val="en-US"/>
        </w:rPr>
        <w:t>. Judgment of May 26, 2014. Series C No. 278, para. 108.</w:t>
      </w:r>
    </w:p>
  </w:footnote>
  <w:footnote w:id="188">
    <w:p w14:paraId="34CC3F2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Cabrera García and Montiel Flores v. Mexico, supra</w:t>
      </w:r>
      <w:r w:rsidRPr="003171CD">
        <w:rPr>
          <w:szCs w:val="16"/>
          <w:lang w:val="en-US"/>
        </w:rPr>
        <w:t xml:space="preserve">, para. 184, and </w:t>
      </w:r>
      <w:r w:rsidRPr="003171CD">
        <w:rPr>
          <w:i/>
          <w:szCs w:val="16"/>
          <w:lang w:val="en-US"/>
        </w:rPr>
        <w:t>Case of Norín Catrimán et al. (Leaders, members and activist of the Mapuche Indigenous Community) v. Chile, supra</w:t>
      </w:r>
      <w:r w:rsidRPr="003171CD">
        <w:rPr>
          <w:szCs w:val="16"/>
          <w:lang w:val="en-US"/>
        </w:rPr>
        <w:t>, para. 171.</w:t>
      </w:r>
    </w:p>
  </w:footnote>
  <w:footnote w:id="189">
    <w:p w14:paraId="1A9F32E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iCs/>
          <w:szCs w:val="16"/>
          <w:lang w:val="en-US"/>
        </w:rPr>
        <w:t xml:space="preserve">Cf. </w:t>
      </w:r>
      <w:r w:rsidRPr="003171CD">
        <w:rPr>
          <w:i/>
          <w:szCs w:val="16"/>
          <w:lang w:val="en-US"/>
        </w:rPr>
        <w:t>Case of Lori Berenson Mejía v. Peru. Merits, reparations and costs</w:t>
      </w:r>
      <w:r w:rsidRPr="003171CD">
        <w:rPr>
          <w:szCs w:val="16"/>
          <w:lang w:val="en-US"/>
        </w:rPr>
        <w:t>. Judgment of November 25, 2004. Series C No. 119, para. 160</w:t>
      </w:r>
      <w:r w:rsidRPr="003171CD">
        <w:rPr>
          <w:rFonts w:eastAsiaTheme="minorHAnsi" w:cs="Arial"/>
          <w:szCs w:val="16"/>
          <w:lang w:val="en-US"/>
        </w:rPr>
        <w:t xml:space="preserve">, and </w:t>
      </w:r>
      <w:r w:rsidRPr="003171CD">
        <w:rPr>
          <w:i/>
          <w:szCs w:val="16"/>
          <w:lang w:val="en-US"/>
        </w:rPr>
        <w:t>Case of J v. Peru, supra</w:t>
      </w:r>
      <w:r w:rsidRPr="003171CD">
        <w:rPr>
          <w:szCs w:val="16"/>
          <w:lang w:val="en-US"/>
        </w:rPr>
        <w:t>, para. 235.</w:t>
      </w:r>
    </w:p>
  </w:footnote>
  <w:footnote w:id="190">
    <w:p w14:paraId="687188A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75 of the Code of Criminal Procedure.</w:t>
      </w:r>
    </w:p>
  </w:footnote>
  <w:footnote w:id="191">
    <w:p w14:paraId="6695929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Judgment issued by the Second Trial Court of </w:t>
      </w:r>
      <w:r w:rsidRPr="003171CD">
        <w:rPr>
          <w:lang w:val="en-US"/>
        </w:rPr>
        <w:t>San Salvador</w:t>
      </w:r>
      <w:r w:rsidRPr="003171CD">
        <w:rPr>
          <w:szCs w:val="16"/>
          <w:lang w:val="en-US"/>
        </w:rPr>
        <w:t xml:space="preserve"> on October 5, 2001 (evidence file, volume IV, Annex 1 to the submission of the case, folio 1901).</w:t>
      </w:r>
    </w:p>
  </w:footnote>
  <w:footnote w:id="192">
    <w:p w14:paraId="13249B3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This Article states that:</w:t>
      </w:r>
    </w:p>
    <w:p w14:paraId="7E638550" w14:textId="77777777" w:rsidR="006E2EB2" w:rsidRPr="003171CD" w:rsidRDefault="006E2EB2" w:rsidP="005A65CE">
      <w:pPr>
        <w:pStyle w:val="Textonotapie"/>
        <w:spacing w:after="120"/>
        <w:ind w:left="709" w:right="582"/>
        <w:jc w:val="both"/>
        <w:rPr>
          <w:szCs w:val="16"/>
          <w:lang w:val="en-US"/>
        </w:rPr>
      </w:pPr>
      <w:r w:rsidRPr="003171CD">
        <w:rPr>
          <w:color w:val="000000"/>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w:t>
      </w:r>
      <w:r w:rsidRPr="003171CD">
        <w:rPr>
          <w:szCs w:val="16"/>
          <w:lang w:val="en-US"/>
        </w:rPr>
        <w:t>s.</w:t>
      </w:r>
    </w:p>
  </w:footnote>
  <w:footnote w:id="193">
    <w:p w14:paraId="4AFE4353" w14:textId="77777777" w:rsidR="006E2EB2" w:rsidRPr="003171CD" w:rsidRDefault="006E2EB2" w:rsidP="005A65CE">
      <w:pPr>
        <w:tabs>
          <w:tab w:val="left" w:pos="709"/>
        </w:tabs>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 Case of the Saramaka People v. Suriname. Preliminary objections, merits, reparations and costs</w:t>
      </w:r>
      <w:r w:rsidRPr="003171CD">
        <w:rPr>
          <w:sz w:val="16"/>
          <w:szCs w:val="16"/>
          <w:lang w:val="en-US"/>
        </w:rPr>
        <w:t xml:space="preserve">. Judgment of November 28, 2007. Series C No. 172, para. 177, and </w:t>
      </w:r>
      <w:r w:rsidRPr="003171CD">
        <w:rPr>
          <w:rStyle w:val="Textoennegrita"/>
          <w:b w:val="0"/>
          <w:i/>
          <w:sz w:val="16"/>
          <w:szCs w:val="16"/>
          <w:lang w:val="en-US"/>
        </w:rPr>
        <w:t>Case of the Kuna Indigenous People of Madungandí and the Emberá Indigenous People of Bayano and their members v. Panama. Preliminary objections, merits, reparations and costs.</w:t>
      </w:r>
      <w:r w:rsidRPr="003171CD">
        <w:rPr>
          <w:rStyle w:val="Textoennegrita"/>
          <w:b w:val="0"/>
          <w:sz w:val="16"/>
          <w:szCs w:val="16"/>
          <w:lang w:val="en-US"/>
        </w:rPr>
        <w:t xml:space="preserve"> Judgment of October 14, 2014. Series C No. 284, para. 165</w:t>
      </w:r>
      <w:r w:rsidRPr="003171CD">
        <w:rPr>
          <w:sz w:val="16"/>
          <w:szCs w:val="16"/>
          <w:lang w:val="en-US"/>
        </w:rPr>
        <w:t>.</w:t>
      </w:r>
    </w:p>
  </w:footnote>
  <w:footnote w:id="194">
    <w:p w14:paraId="1769AB56" w14:textId="77777777" w:rsidR="006E2EB2" w:rsidRPr="003171CD" w:rsidRDefault="006E2EB2" w:rsidP="005A65CE">
      <w:pPr>
        <w:tabs>
          <w:tab w:val="left" w:pos="709"/>
        </w:tabs>
        <w:spacing w:after="120"/>
        <w:jc w:val="both"/>
        <w:rPr>
          <w:sz w:val="16"/>
          <w:szCs w:val="16"/>
          <w:lang w:val="en-US"/>
        </w:rPr>
      </w:pPr>
      <w:r w:rsidRPr="003171CD">
        <w:rPr>
          <w:rStyle w:val="Refdenotaalpie"/>
          <w:sz w:val="16"/>
          <w:szCs w:val="16"/>
          <w:lang w:val="en-US"/>
        </w:rPr>
        <w:footnoteRef/>
      </w:r>
      <w:r w:rsidRPr="003171CD">
        <w:rPr>
          <w:sz w:val="16"/>
          <w:szCs w:val="16"/>
          <w:lang w:val="en-US"/>
        </w:rPr>
        <w:tab/>
      </w:r>
      <w:r w:rsidRPr="003171CD">
        <w:rPr>
          <w:i/>
          <w:sz w:val="16"/>
          <w:szCs w:val="16"/>
          <w:lang w:val="en-US"/>
        </w:rPr>
        <w:t xml:space="preserve">Cf. </w:t>
      </w:r>
      <w:r w:rsidRPr="003171CD">
        <w:rPr>
          <w:rStyle w:val="Textoennegrita"/>
          <w:b w:val="0"/>
          <w:i/>
          <w:sz w:val="16"/>
          <w:szCs w:val="16"/>
          <w:lang w:val="en-US"/>
        </w:rPr>
        <w:t>Judicial Guarantees in States of Emergency (Arts. 27.2, 25 and 8 American Convention on Human Rights).</w:t>
      </w:r>
      <w:r w:rsidRPr="003171CD">
        <w:rPr>
          <w:rStyle w:val="Textoennegrita"/>
          <w:b w:val="0"/>
          <w:sz w:val="16"/>
          <w:szCs w:val="16"/>
          <w:lang w:val="en-US"/>
        </w:rPr>
        <w:t xml:space="preserve"> Advisory Opinion OC-9/87 of October 6, 1987. Series A No. 9</w:t>
      </w:r>
      <w:r w:rsidRPr="003171CD">
        <w:rPr>
          <w:sz w:val="16"/>
          <w:szCs w:val="16"/>
          <w:lang w:val="en-US"/>
        </w:rPr>
        <w:t xml:space="preserve">, paras. 23 and 24; </w:t>
      </w:r>
      <w:r w:rsidRPr="003171CD">
        <w:rPr>
          <w:i/>
          <w:sz w:val="16"/>
          <w:szCs w:val="16"/>
          <w:lang w:val="en-US"/>
        </w:rPr>
        <w:t xml:space="preserve">Case of Fernández Ortega et al. v. Mexico. </w:t>
      </w:r>
      <w:r w:rsidRPr="003171CD">
        <w:rPr>
          <w:rStyle w:val="Textoennegrita"/>
          <w:b w:val="0"/>
          <w:i/>
          <w:sz w:val="16"/>
          <w:szCs w:val="16"/>
          <w:lang w:val="en-US"/>
        </w:rPr>
        <w:t>Preliminary objection, merits, reparations and costs</w:t>
      </w:r>
      <w:r w:rsidRPr="003171CD">
        <w:rPr>
          <w:rStyle w:val="Textoennegrita"/>
          <w:b w:val="0"/>
          <w:sz w:val="16"/>
          <w:szCs w:val="16"/>
          <w:lang w:val="en-US"/>
        </w:rPr>
        <w:t>. Judgment of August 30, 2010 Series C No. 215,</w:t>
      </w:r>
      <w:r w:rsidRPr="003171CD">
        <w:rPr>
          <w:i/>
          <w:sz w:val="16"/>
          <w:szCs w:val="16"/>
          <w:lang w:val="en-US"/>
        </w:rPr>
        <w:t xml:space="preserve"> </w:t>
      </w:r>
      <w:r w:rsidRPr="003171CD">
        <w:rPr>
          <w:sz w:val="16"/>
          <w:szCs w:val="16"/>
          <w:lang w:val="en-US"/>
        </w:rPr>
        <w:t xml:space="preserve">para. 182, and </w:t>
      </w:r>
      <w:r w:rsidRPr="003171CD">
        <w:rPr>
          <w:rStyle w:val="Textoennegrita"/>
          <w:b w:val="0"/>
          <w:i/>
          <w:color w:val="000000"/>
          <w:sz w:val="16"/>
          <w:szCs w:val="16"/>
          <w:shd w:val="clear" w:color="auto" w:fill="FFFFFF"/>
          <w:lang w:val="en-US"/>
        </w:rPr>
        <w:t>Case of Omar Humberto Maldonado Vargas et al. v. Chile, supra</w:t>
      </w:r>
      <w:r w:rsidRPr="003171CD">
        <w:rPr>
          <w:rStyle w:val="Textoennegrita"/>
          <w:b w:val="0"/>
          <w:color w:val="000000"/>
          <w:sz w:val="16"/>
          <w:szCs w:val="16"/>
          <w:shd w:val="clear" w:color="auto" w:fill="FFFFFF"/>
          <w:lang w:val="en-US"/>
        </w:rPr>
        <w:t>, para. 123</w:t>
      </w:r>
      <w:r w:rsidRPr="003171CD">
        <w:rPr>
          <w:sz w:val="16"/>
          <w:szCs w:val="16"/>
          <w:lang w:val="en-US"/>
        </w:rPr>
        <w:t>.</w:t>
      </w:r>
    </w:p>
  </w:footnote>
  <w:footnote w:id="195">
    <w:p w14:paraId="4BDEB019" w14:textId="77777777" w:rsidR="006E2EB2" w:rsidRPr="003171CD" w:rsidRDefault="006E2EB2" w:rsidP="005A65CE">
      <w:pPr>
        <w:spacing w:after="120"/>
        <w:jc w:val="both"/>
        <w:rPr>
          <w:sz w:val="16"/>
          <w:szCs w:val="16"/>
          <w:lang w:val="en-US"/>
        </w:rPr>
      </w:pPr>
      <w:r w:rsidRPr="003171CD">
        <w:rPr>
          <w:rStyle w:val="Refdenotaalpie1"/>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 xml:space="preserve">Cf. Case of Las Palmeras v. Colombia. Merits. </w:t>
      </w:r>
      <w:r w:rsidRPr="003171CD">
        <w:rPr>
          <w:sz w:val="16"/>
          <w:szCs w:val="16"/>
          <w:lang w:val="en-US"/>
        </w:rPr>
        <w:t xml:space="preserve">Judgment of December 6, 2001. Series C No. 90, para. 58, and </w:t>
      </w:r>
      <w:r w:rsidRPr="003171CD">
        <w:rPr>
          <w:i/>
          <w:sz w:val="16"/>
          <w:szCs w:val="16"/>
          <w:lang w:val="en-US"/>
        </w:rPr>
        <w:t xml:space="preserve">Case of Forneron and Daughter v. Argentina. Merits, reparations and costs. </w:t>
      </w:r>
      <w:r w:rsidRPr="003171CD">
        <w:rPr>
          <w:sz w:val="16"/>
          <w:szCs w:val="16"/>
          <w:lang w:val="en-US"/>
        </w:rPr>
        <w:t>Judgment of April 27, 2012. Series C No. 242, para. 107.</w:t>
      </w:r>
    </w:p>
  </w:footnote>
  <w:footnote w:id="196">
    <w:p w14:paraId="39168F37" w14:textId="77777777" w:rsidR="006E2EB2" w:rsidRPr="003171CD" w:rsidRDefault="006E2EB2" w:rsidP="005A65CE">
      <w:pPr>
        <w:spacing w:after="120"/>
        <w:jc w:val="both"/>
        <w:rPr>
          <w:sz w:val="16"/>
          <w:szCs w:val="16"/>
          <w:lang w:val="en-US"/>
        </w:rPr>
      </w:pPr>
      <w:r w:rsidRPr="003171CD">
        <w:rPr>
          <w:rStyle w:val="FootnoteRef"/>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 Case of the Saramaka People v. Suriname, supra</w:t>
      </w:r>
      <w:r w:rsidRPr="003171CD">
        <w:rPr>
          <w:sz w:val="16"/>
          <w:szCs w:val="16"/>
          <w:lang w:val="en-US"/>
        </w:rPr>
        <w:t xml:space="preserve">, para. 177, and </w:t>
      </w:r>
      <w:r w:rsidRPr="003171CD">
        <w:rPr>
          <w:rStyle w:val="Textoennegrita"/>
          <w:b w:val="0"/>
          <w:i/>
          <w:sz w:val="16"/>
          <w:szCs w:val="16"/>
          <w:lang w:val="en-US"/>
        </w:rPr>
        <w:t>Case of the Kuna Indigenous People of Madungandí and the Emberá Indigenous People of Bayano and their members v. Panama, supra</w:t>
      </w:r>
      <w:r w:rsidRPr="003171CD">
        <w:rPr>
          <w:rStyle w:val="Textoennegrita"/>
          <w:b w:val="0"/>
          <w:sz w:val="16"/>
          <w:szCs w:val="16"/>
          <w:lang w:val="en-US"/>
        </w:rPr>
        <w:t>, para. 165</w:t>
      </w:r>
      <w:r w:rsidRPr="003171CD">
        <w:rPr>
          <w:sz w:val="16"/>
          <w:szCs w:val="16"/>
          <w:lang w:val="en-US"/>
        </w:rPr>
        <w:t>.</w:t>
      </w:r>
    </w:p>
  </w:footnote>
  <w:footnote w:id="197">
    <w:p w14:paraId="31810C8B"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Case of Castillo Páez v. Peru</w:t>
      </w:r>
      <w:r w:rsidRPr="003171CD">
        <w:rPr>
          <w:sz w:val="16"/>
          <w:szCs w:val="16"/>
          <w:lang w:val="en-US"/>
        </w:rPr>
        <w:t xml:space="preserve">. </w:t>
      </w:r>
      <w:r w:rsidRPr="003171CD">
        <w:rPr>
          <w:i/>
          <w:sz w:val="16"/>
          <w:szCs w:val="16"/>
          <w:lang w:val="en-US"/>
        </w:rPr>
        <w:t>Merits</w:t>
      </w:r>
      <w:r w:rsidRPr="003171CD">
        <w:rPr>
          <w:sz w:val="16"/>
          <w:szCs w:val="16"/>
          <w:lang w:val="en-US"/>
        </w:rPr>
        <w:t xml:space="preserve">. Judgment of November 3, 1997. Series C No. 34, para. 82, and </w:t>
      </w:r>
      <w:r w:rsidRPr="003171CD">
        <w:rPr>
          <w:rStyle w:val="Textoennegrita"/>
          <w:b w:val="0"/>
          <w:i/>
          <w:sz w:val="16"/>
          <w:szCs w:val="16"/>
          <w:lang w:val="en-US"/>
        </w:rPr>
        <w:t>Case of the Kuna Indigenous People of Madungandí and the Emberá Indigenous People of Bayano and their members v. Panama, supra</w:t>
      </w:r>
      <w:r w:rsidRPr="003171CD">
        <w:rPr>
          <w:rStyle w:val="Textoennegrita"/>
          <w:b w:val="0"/>
          <w:sz w:val="16"/>
          <w:szCs w:val="16"/>
          <w:lang w:val="en-US"/>
        </w:rPr>
        <w:t>, para. 167</w:t>
      </w:r>
      <w:r w:rsidRPr="003171CD">
        <w:rPr>
          <w:sz w:val="16"/>
          <w:szCs w:val="16"/>
          <w:lang w:val="en-US"/>
        </w:rPr>
        <w:t>.</w:t>
      </w:r>
    </w:p>
  </w:footnote>
  <w:footnote w:id="198">
    <w:p w14:paraId="3ECB08F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In its pertinent parts, Article 7 states:</w:t>
      </w:r>
    </w:p>
    <w:p w14:paraId="0E24993F" w14:textId="77777777" w:rsidR="006E2EB2" w:rsidRPr="003171CD" w:rsidRDefault="006E2EB2" w:rsidP="005A65CE">
      <w:pPr>
        <w:pStyle w:val="Textonotapie"/>
        <w:spacing w:after="120"/>
        <w:jc w:val="both"/>
        <w:rPr>
          <w:szCs w:val="16"/>
          <w:lang w:val="en-US"/>
        </w:rPr>
      </w:pPr>
      <w:r w:rsidRPr="003171CD">
        <w:rPr>
          <w:szCs w:val="16"/>
          <w:lang w:val="en-US"/>
        </w:rPr>
        <w:tab/>
        <w:t xml:space="preserve">1. </w:t>
      </w:r>
      <w:r w:rsidRPr="003171CD">
        <w:rPr>
          <w:color w:val="000000"/>
          <w:lang w:val="en-US"/>
        </w:rPr>
        <w:t>Every person has the right to personal liberty and security</w:t>
      </w:r>
      <w:r w:rsidRPr="003171CD">
        <w:rPr>
          <w:szCs w:val="16"/>
          <w:lang w:val="en-US"/>
        </w:rPr>
        <w:t xml:space="preserve">. </w:t>
      </w:r>
    </w:p>
    <w:p w14:paraId="2D17B65E" w14:textId="77777777" w:rsidR="006E2EB2" w:rsidRPr="003171CD" w:rsidRDefault="006E2EB2" w:rsidP="005A65CE">
      <w:pPr>
        <w:pStyle w:val="Textonotapie"/>
        <w:spacing w:after="120"/>
        <w:ind w:left="709" w:right="571"/>
        <w:jc w:val="both"/>
        <w:rPr>
          <w:szCs w:val="16"/>
          <w:lang w:val="en-US"/>
        </w:rPr>
      </w:pPr>
      <w:r w:rsidRPr="003171CD">
        <w:rPr>
          <w:szCs w:val="16"/>
          <w:lang w:val="en-US"/>
        </w:rPr>
        <w:t xml:space="preserve">2. </w:t>
      </w:r>
      <w:r w:rsidRPr="003171CD">
        <w:rPr>
          <w:color w:val="000000"/>
          <w:lang w:val="en-US"/>
        </w:rPr>
        <w:t>No one shall be deprived of his physical liberty except for the reasons and under the conditions established beforehand by the constitution of the State Party concerned or by a law established pursuant thereto</w:t>
      </w:r>
      <w:r w:rsidRPr="003171CD">
        <w:rPr>
          <w:szCs w:val="16"/>
          <w:lang w:val="en-US"/>
        </w:rPr>
        <w:t xml:space="preserve">. </w:t>
      </w:r>
    </w:p>
    <w:p w14:paraId="01BBFBA2" w14:textId="77777777" w:rsidR="006E2EB2" w:rsidRPr="003171CD" w:rsidRDefault="006E2EB2" w:rsidP="005A65CE">
      <w:pPr>
        <w:pStyle w:val="Textonotapie"/>
        <w:spacing w:after="120"/>
        <w:ind w:left="709" w:right="996"/>
        <w:jc w:val="both"/>
        <w:rPr>
          <w:szCs w:val="16"/>
          <w:lang w:val="en-US"/>
        </w:rPr>
      </w:pPr>
      <w:r w:rsidRPr="003171CD">
        <w:rPr>
          <w:szCs w:val="16"/>
          <w:lang w:val="en-US"/>
        </w:rPr>
        <w:t xml:space="preserve">3. </w:t>
      </w:r>
      <w:r w:rsidRPr="003171CD">
        <w:rPr>
          <w:color w:val="000000"/>
          <w:lang w:val="en-US"/>
        </w:rPr>
        <w:t> No one shall be subject to arbitrary arrest or imprisonment</w:t>
      </w:r>
      <w:r w:rsidRPr="003171CD">
        <w:rPr>
          <w:szCs w:val="16"/>
          <w:lang w:val="en-US"/>
        </w:rPr>
        <w:t xml:space="preserve">. </w:t>
      </w:r>
    </w:p>
    <w:p w14:paraId="23B13445" w14:textId="77777777" w:rsidR="006E2EB2" w:rsidRPr="003171CD" w:rsidRDefault="006E2EB2" w:rsidP="005A65CE">
      <w:pPr>
        <w:pStyle w:val="Textonotapie"/>
        <w:spacing w:after="120"/>
        <w:ind w:left="709" w:right="996"/>
        <w:jc w:val="both"/>
        <w:rPr>
          <w:szCs w:val="16"/>
          <w:lang w:val="en-US"/>
        </w:rPr>
      </w:pPr>
      <w:r w:rsidRPr="003171CD">
        <w:rPr>
          <w:szCs w:val="16"/>
          <w:lang w:val="en-US"/>
        </w:rPr>
        <w:t>[…]</w:t>
      </w:r>
    </w:p>
    <w:p w14:paraId="602EFA4E" w14:textId="77777777" w:rsidR="006E2EB2" w:rsidRPr="003171CD" w:rsidRDefault="006E2EB2" w:rsidP="005A65CE">
      <w:pPr>
        <w:pStyle w:val="Textonotapie"/>
        <w:spacing w:after="120"/>
        <w:ind w:left="709" w:right="582"/>
        <w:jc w:val="both"/>
        <w:rPr>
          <w:szCs w:val="16"/>
          <w:lang w:val="en-US"/>
        </w:rPr>
      </w:pPr>
      <w:r w:rsidRPr="003171CD">
        <w:rPr>
          <w:szCs w:val="16"/>
          <w:lang w:val="en-US"/>
        </w:rPr>
        <w:t xml:space="preserve">6. </w:t>
      </w:r>
      <w:r w:rsidRPr="003171CD">
        <w:rPr>
          <w:color w:val="000000"/>
          <w:lang w:val="en-US"/>
        </w:rPr>
        <w:t>Anyone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w:t>
      </w:r>
      <w:r w:rsidRPr="003171CD">
        <w:rPr>
          <w:szCs w:val="16"/>
          <w:lang w:val="en-US"/>
        </w:rPr>
        <w:t>.</w:t>
      </w:r>
    </w:p>
  </w:footnote>
  <w:footnote w:id="199">
    <w:p w14:paraId="05457ED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the "Juvenile Reeducation Institute” v. Paraguay. Preliminary objections, merits, reparations and costs</w:t>
      </w:r>
      <w:r w:rsidRPr="003171CD">
        <w:rPr>
          <w:szCs w:val="16"/>
          <w:lang w:val="en-US"/>
        </w:rPr>
        <w:t xml:space="preserve">. Judgment of September 2, 2004. Series C No. 112, para. 223, and </w:t>
      </w:r>
      <w:r w:rsidRPr="003171CD">
        <w:rPr>
          <w:rStyle w:val="Textoennegrita"/>
          <w:b w:val="0"/>
          <w:i/>
          <w:szCs w:val="16"/>
          <w:lang w:val="en-US"/>
        </w:rPr>
        <w:t>Case of Argüelles et al. v. Argentina, supra</w:t>
      </w:r>
      <w:r w:rsidRPr="003171CD">
        <w:rPr>
          <w:szCs w:val="16"/>
          <w:lang w:val="en-US"/>
        </w:rPr>
        <w:t>, para. 114.</w:t>
      </w:r>
    </w:p>
  </w:footnote>
  <w:footnote w:id="200">
    <w:p w14:paraId="5620E024" w14:textId="77777777" w:rsidR="006E2EB2" w:rsidRPr="003171CD" w:rsidRDefault="006E2EB2" w:rsidP="005A65CE">
      <w:pPr>
        <w:pStyle w:val="Textonotapie"/>
        <w:spacing w:after="120"/>
        <w:jc w:val="both"/>
        <w:rPr>
          <w:rFonts w:eastAsia="Batang"/>
          <w:szCs w:val="16"/>
          <w:lang w:val="en-US"/>
        </w:rPr>
      </w:pPr>
      <w:r w:rsidRPr="003171CD">
        <w:rPr>
          <w:rStyle w:val="Refdenotaalpie"/>
          <w:rFonts w:eastAsia="Batang"/>
          <w:szCs w:val="16"/>
          <w:lang w:val="en-US"/>
        </w:rPr>
        <w:footnoteRef/>
      </w:r>
      <w:r w:rsidRPr="003171CD">
        <w:rPr>
          <w:rStyle w:val="Refdenotaalpie"/>
          <w:rFonts w:eastAsia="Batang"/>
          <w:szCs w:val="16"/>
          <w:lang w:val="en-US"/>
        </w:rPr>
        <w:t xml:space="preserve"> </w:t>
      </w:r>
      <w:r w:rsidRPr="003171CD">
        <w:rPr>
          <w:szCs w:val="16"/>
          <w:lang w:val="en-US"/>
        </w:rPr>
        <w:tab/>
      </w:r>
      <w:r w:rsidRPr="003171CD">
        <w:rPr>
          <w:i/>
          <w:szCs w:val="16"/>
          <w:lang w:val="en-US"/>
        </w:rPr>
        <w:t>Case of Chaparro Álvarez and Lapo Íñiguez v. Ecuador. Preliminary objection, merits, reparations and costs</w:t>
      </w:r>
      <w:r w:rsidRPr="003171CD">
        <w:rPr>
          <w:szCs w:val="16"/>
          <w:lang w:val="en-US"/>
        </w:rPr>
        <w:t>. Judgment of November 21, 2007. Series C No. 170</w:t>
      </w:r>
      <w:r w:rsidRPr="003171CD">
        <w:rPr>
          <w:rFonts w:eastAsia="Batang"/>
          <w:szCs w:val="16"/>
          <w:lang w:val="en-US"/>
        </w:rPr>
        <w:t xml:space="preserve">, para. 54, and </w:t>
      </w:r>
      <w:r w:rsidRPr="003171CD">
        <w:rPr>
          <w:i/>
          <w:szCs w:val="16"/>
          <w:lang w:val="en-US"/>
        </w:rPr>
        <w:t>Case of Norín Catrimán et al. (Leaders, members and activist of the Mapuche Indigenous Community) v. Chile, supra</w:t>
      </w:r>
      <w:r w:rsidRPr="003171CD">
        <w:rPr>
          <w:rFonts w:eastAsia="Batang"/>
          <w:szCs w:val="16"/>
          <w:lang w:val="en-US"/>
        </w:rPr>
        <w:t>, para. 308.</w:t>
      </w:r>
    </w:p>
  </w:footnote>
  <w:footnote w:id="201">
    <w:p w14:paraId="4643A89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This implies that “no person may be deprived of his liberty except in the cases or circumstances expressly defined by law (material aspect), but, in addition, with strict adherence to the procedures objectively defined therein (formal aspect).” </w:t>
      </w:r>
      <w:r w:rsidRPr="003171CD">
        <w:rPr>
          <w:i/>
          <w:szCs w:val="16"/>
          <w:lang w:val="en-US"/>
        </w:rPr>
        <w:t>Case of Gangaram Panday v. Suriname</w:t>
      </w:r>
      <w:r w:rsidRPr="003171CD">
        <w:rPr>
          <w:szCs w:val="16"/>
          <w:lang w:val="en-US"/>
        </w:rPr>
        <w:t xml:space="preserve">. </w:t>
      </w:r>
      <w:r w:rsidRPr="003171CD">
        <w:rPr>
          <w:i/>
          <w:szCs w:val="16"/>
          <w:lang w:val="en-US"/>
        </w:rPr>
        <w:t>Merits, reparations and costs.</w:t>
      </w:r>
      <w:r w:rsidRPr="003171CD">
        <w:rPr>
          <w:szCs w:val="16"/>
          <w:lang w:val="en-US"/>
        </w:rPr>
        <w:t xml:space="preserve"> Judgment of January 21, 1994. Series C No. 16, para. 47, and </w:t>
      </w:r>
      <w:r w:rsidRPr="003171CD">
        <w:rPr>
          <w:rStyle w:val="Textoennegrita"/>
          <w:b w:val="0"/>
          <w:i/>
          <w:color w:val="000000"/>
          <w:szCs w:val="16"/>
          <w:lang w:val="en-US"/>
        </w:rPr>
        <w:t>Case of Expelled Dominicans and Haitians v. Dominican Republic. Preliminary objections, merits, reparations and costs</w:t>
      </w:r>
      <w:r w:rsidRPr="003171CD">
        <w:rPr>
          <w:rStyle w:val="Textoennegrita"/>
          <w:b w:val="0"/>
          <w:color w:val="000000"/>
          <w:szCs w:val="16"/>
          <w:lang w:val="en-US"/>
        </w:rPr>
        <w:t>. Judgment of August 28, 2014. Series C No. 282, para. 347</w:t>
      </w:r>
      <w:r w:rsidRPr="003171CD">
        <w:rPr>
          <w:szCs w:val="16"/>
          <w:lang w:val="en-US"/>
        </w:rPr>
        <w:t>.</w:t>
      </w:r>
    </w:p>
  </w:footnote>
  <w:footnote w:id="202">
    <w:p w14:paraId="2CA73E5D"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Consequently, </w:t>
      </w:r>
      <w:r w:rsidRPr="003171CD">
        <w:rPr>
          <w:lang w:val="en-US"/>
        </w:rPr>
        <w:t>no one may be subjected to arrest or imprisonment for reasons and by methods which, although classified as legal</w:t>
      </w:r>
      <w:r w:rsidRPr="003171CD">
        <w:rPr>
          <w:szCs w:val="16"/>
          <w:lang w:val="en-US"/>
        </w:rPr>
        <w:t xml:space="preserve">, in practice </w:t>
      </w:r>
      <w:r w:rsidRPr="003171CD">
        <w:rPr>
          <w:lang w:val="en-US"/>
        </w:rPr>
        <w:t>are unreasonable, unforeseeable or lacking in proportionality</w:t>
      </w:r>
      <w:r w:rsidRPr="003171CD">
        <w:rPr>
          <w:szCs w:val="16"/>
          <w:lang w:val="en-US"/>
        </w:rPr>
        <w:t xml:space="preserve">. Moreover, the arrest could be considered arbitrary if facts attributable to State occur that </w:t>
      </w:r>
      <w:r w:rsidRPr="003171CD">
        <w:rPr>
          <w:lang w:val="en-US"/>
        </w:rPr>
        <w:t>could be deemed incompatible with the respect for the fundamental rights of the individual</w:t>
      </w:r>
      <w:r w:rsidRPr="003171CD">
        <w:rPr>
          <w:szCs w:val="16"/>
          <w:lang w:val="en-US"/>
        </w:rPr>
        <w:t xml:space="preserve">. </w:t>
      </w:r>
      <w:r w:rsidRPr="003171CD">
        <w:rPr>
          <w:i/>
          <w:szCs w:val="16"/>
          <w:lang w:val="en-US"/>
        </w:rPr>
        <w:t>Cf. Case of Gangaram Panday v. Suriname</w:t>
      </w:r>
      <w:r w:rsidRPr="003171CD">
        <w:rPr>
          <w:szCs w:val="16"/>
          <w:lang w:val="en-US"/>
        </w:rPr>
        <w:t xml:space="preserve">, </w:t>
      </w:r>
      <w:r w:rsidRPr="003171CD">
        <w:rPr>
          <w:i/>
          <w:szCs w:val="16"/>
          <w:lang w:val="en-US"/>
        </w:rPr>
        <w:t>supra</w:t>
      </w:r>
      <w:r w:rsidRPr="003171CD">
        <w:rPr>
          <w:szCs w:val="16"/>
          <w:lang w:val="en-US"/>
        </w:rPr>
        <w:t>, para. 47</w:t>
      </w:r>
      <w:r w:rsidRPr="003171CD">
        <w:rPr>
          <w:color w:val="000000"/>
          <w:szCs w:val="16"/>
          <w:lang w:val="en-US"/>
        </w:rPr>
        <w:t xml:space="preserve">, and </w:t>
      </w:r>
      <w:r w:rsidRPr="003171CD">
        <w:rPr>
          <w:i/>
          <w:szCs w:val="16"/>
          <w:lang w:val="en-US"/>
        </w:rPr>
        <w:t>Case of Norín Catrimán et al. (Leaders, members and activist of the Mapuche Indigenous Community) v. Chile, supra</w:t>
      </w:r>
      <w:r w:rsidRPr="003171CD">
        <w:rPr>
          <w:szCs w:val="16"/>
          <w:lang w:val="en-US"/>
        </w:rPr>
        <w:t>, para.</w:t>
      </w:r>
      <w:r w:rsidRPr="003171CD">
        <w:rPr>
          <w:color w:val="000000"/>
          <w:szCs w:val="16"/>
          <w:lang w:val="en-US"/>
        </w:rPr>
        <w:t xml:space="preserve"> 309. The </w:t>
      </w:r>
      <w:r w:rsidRPr="003171CD">
        <w:rPr>
          <w:szCs w:val="16"/>
          <w:lang w:val="en-US"/>
        </w:rPr>
        <w:t>Working Group on Arbitrary Detention has also stated: “</w:t>
      </w:r>
      <w:r w:rsidRPr="003171CD">
        <w:rPr>
          <w:lang w:val="en-US"/>
        </w:rPr>
        <w:t>Where the absence of such guarantees or their violation, circumvention or non-implementation constitutes a matter of a high degree of gravity, the Working Group may conclude that the custody is arbitrary</w:t>
      </w:r>
      <w:r w:rsidRPr="003171CD">
        <w:rPr>
          <w:szCs w:val="16"/>
          <w:lang w:val="en-US"/>
        </w:rPr>
        <w:t xml:space="preserve">.” </w:t>
      </w:r>
      <w:r w:rsidRPr="003171CD">
        <w:rPr>
          <w:i/>
          <w:szCs w:val="16"/>
          <w:lang w:val="en-US"/>
        </w:rPr>
        <w:t xml:space="preserve">Cf. </w:t>
      </w:r>
      <w:r w:rsidRPr="003171CD">
        <w:rPr>
          <w:szCs w:val="16"/>
          <w:lang w:val="en-US"/>
        </w:rPr>
        <w:t xml:space="preserve">Report of the Working Group on Arbitrary Detention, </w:t>
      </w:r>
      <w:r w:rsidRPr="003171CD">
        <w:rPr>
          <w:i/>
          <w:szCs w:val="16"/>
          <w:lang w:val="en-US"/>
        </w:rPr>
        <w:t>Civil and political rights, including questions of torture and detention</w:t>
      </w:r>
      <w:r w:rsidRPr="003171CD">
        <w:rPr>
          <w:szCs w:val="16"/>
          <w:lang w:val="en-US"/>
        </w:rPr>
        <w:t>, Doc. E/CN.4/1999/63, December 18, 1998, para. 70.</w:t>
      </w:r>
    </w:p>
  </w:footnote>
  <w:footnote w:id="203">
    <w:p w14:paraId="27102E48" w14:textId="77777777" w:rsidR="006E2EB2" w:rsidRPr="003171CD" w:rsidRDefault="006E2EB2" w:rsidP="005A65CE">
      <w:pPr>
        <w:pStyle w:val="Textonotapie"/>
        <w:tabs>
          <w:tab w:val="left" w:pos="567"/>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iCs/>
          <w:szCs w:val="16"/>
          <w:lang w:val="en-US"/>
        </w:rPr>
        <w:t>Cf.</w:t>
      </w:r>
      <w:r w:rsidRPr="003171CD">
        <w:rPr>
          <w:b/>
          <w:i/>
          <w:iCs/>
          <w:szCs w:val="16"/>
          <w:lang w:val="en-US"/>
        </w:rPr>
        <w:t xml:space="preserve"> </w:t>
      </w:r>
      <w:r w:rsidRPr="003171CD">
        <w:rPr>
          <w:i/>
          <w:szCs w:val="16"/>
          <w:lang w:val="en-US"/>
        </w:rPr>
        <w:t>Habeas Corpus under Suspension of Guarantees</w:t>
      </w:r>
      <w:r w:rsidRPr="003171CD">
        <w:rPr>
          <w:szCs w:val="16"/>
          <w:lang w:val="en-US"/>
        </w:rPr>
        <w:t xml:space="preserve"> (Arts. 27.2, 25.1 and 7.6 American Convention on Human Rights). Advisory Opinion OC-8/87 of January 30, 1987. Series A No. 8, para. 33, and </w:t>
      </w:r>
      <w:r w:rsidRPr="003171CD">
        <w:rPr>
          <w:rStyle w:val="Textoennegrita"/>
          <w:b w:val="0"/>
          <w:i/>
          <w:szCs w:val="16"/>
          <w:lang w:val="en-US"/>
        </w:rPr>
        <w:t>Case of Espinoza Gonzáles v. Peru, supra</w:t>
      </w:r>
      <w:r w:rsidRPr="003171CD">
        <w:rPr>
          <w:rStyle w:val="Textoennegrita"/>
          <w:rFonts w:cs="Vrinda"/>
          <w:b w:val="0"/>
          <w:i/>
          <w:szCs w:val="16"/>
          <w:lang w:val="en-US"/>
        </w:rPr>
        <w:t>,</w:t>
      </w:r>
      <w:r w:rsidRPr="003171CD">
        <w:rPr>
          <w:szCs w:val="16"/>
          <w:lang w:val="en-US"/>
        </w:rPr>
        <w:t xml:space="preserve"> para. 135.</w:t>
      </w:r>
    </w:p>
  </w:footnote>
  <w:footnote w:id="204">
    <w:p w14:paraId="32CC5859" w14:textId="77777777" w:rsidR="006E2EB2" w:rsidRPr="003171CD" w:rsidRDefault="006E2EB2" w:rsidP="005A65CE">
      <w:pPr>
        <w:pStyle w:val="Textonotapie"/>
        <w:tabs>
          <w:tab w:val="left" w:pos="567"/>
        </w:tabs>
        <w:spacing w:after="120"/>
        <w:jc w:val="both"/>
        <w:rPr>
          <w:b/>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Case of Acosta Calderón v. Ecuador. Merits, reparations and costs</w:t>
      </w:r>
      <w:r w:rsidRPr="003171CD">
        <w:rPr>
          <w:szCs w:val="16"/>
          <w:lang w:val="en-US"/>
        </w:rPr>
        <w:t>. Judgment of June 24, 2005. Series C No. 129</w:t>
      </w:r>
      <w:r w:rsidRPr="003171CD">
        <w:rPr>
          <w:iCs/>
          <w:szCs w:val="16"/>
          <w:lang w:val="en-US"/>
        </w:rPr>
        <w:t xml:space="preserve">, para. 97, and </w:t>
      </w:r>
      <w:r w:rsidRPr="003171CD">
        <w:rPr>
          <w:rStyle w:val="Textoennegrita"/>
          <w:rFonts w:cs="Vrinda"/>
          <w:b w:val="0"/>
          <w:i/>
          <w:szCs w:val="16"/>
          <w:lang w:val="en-US"/>
        </w:rPr>
        <w:t>Case of the Peasant Community of Santa Bárbara v. Peru, supra</w:t>
      </w:r>
      <w:r w:rsidRPr="003171CD">
        <w:rPr>
          <w:rStyle w:val="Textoennegrita"/>
          <w:rFonts w:cs="Vrinda"/>
          <w:b w:val="0"/>
          <w:szCs w:val="16"/>
          <w:lang w:val="en-US"/>
        </w:rPr>
        <w:t>,</w:t>
      </w:r>
      <w:r w:rsidRPr="003171CD">
        <w:rPr>
          <w:szCs w:val="16"/>
          <w:lang w:val="en-US"/>
        </w:rPr>
        <w:t xml:space="preserve"> para. 232.</w:t>
      </w:r>
    </w:p>
  </w:footnote>
  <w:footnote w:id="205">
    <w:p w14:paraId="64662027" w14:textId="77777777" w:rsidR="006E2EB2" w:rsidRPr="003171CD" w:rsidRDefault="006E2EB2" w:rsidP="005A65CE">
      <w:pPr>
        <w:spacing w:after="120"/>
        <w:jc w:val="both"/>
        <w:rPr>
          <w:i/>
          <w:iCs/>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 xml:space="preserve">Cf. Case of Chaparro Álvarez and Lapo Íñiguez v. Ecuador, </w:t>
      </w:r>
      <w:r w:rsidRPr="003171CD">
        <w:rPr>
          <w:i/>
          <w:iCs/>
          <w:sz w:val="16"/>
          <w:szCs w:val="16"/>
          <w:lang w:val="en-US"/>
        </w:rPr>
        <w:t>supra</w:t>
      </w:r>
      <w:r w:rsidRPr="003171CD">
        <w:rPr>
          <w:iCs/>
          <w:sz w:val="16"/>
          <w:szCs w:val="16"/>
          <w:lang w:val="en-US"/>
        </w:rPr>
        <w:t xml:space="preserve">, </w:t>
      </w:r>
      <w:r w:rsidRPr="003171CD">
        <w:rPr>
          <w:sz w:val="16"/>
          <w:szCs w:val="16"/>
          <w:lang w:val="en-US"/>
        </w:rPr>
        <w:t xml:space="preserve">para. 54, and </w:t>
      </w:r>
      <w:r w:rsidRPr="003171CD">
        <w:rPr>
          <w:i/>
          <w:sz w:val="16"/>
          <w:szCs w:val="16"/>
          <w:lang w:val="en-US"/>
        </w:rPr>
        <w:t>Case of Wong Ho Wing v. Peru. Preliminary objection, merits, reparations and costs.</w:t>
      </w:r>
      <w:r w:rsidRPr="003171CD">
        <w:rPr>
          <w:sz w:val="16"/>
          <w:szCs w:val="16"/>
          <w:lang w:val="en-US"/>
        </w:rPr>
        <w:t xml:space="preserve"> Judgment of June 30, 2015. Series C No. 297</w:t>
      </w:r>
      <w:r w:rsidRPr="003171CD">
        <w:rPr>
          <w:iCs/>
          <w:sz w:val="16"/>
          <w:szCs w:val="16"/>
          <w:lang w:val="en-US"/>
        </w:rPr>
        <w:t xml:space="preserve">, </w:t>
      </w:r>
      <w:r w:rsidRPr="003171CD">
        <w:rPr>
          <w:sz w:val="16"/>
          <w:szCs w:val="16"/>
          <w:lang w:val="en-US"/>
        </w:rPr>
        <w:t>para. 236.</w:t>
      </w:r>
    </w:p>
  </w:footnote>
  <w:footnote w:id="206">
    <w:p w14:paraId="3CEC5F7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Five Pensioners v. Peru. Merits, reparations and costs.</w:t>
      </w:r>
      <w:r w:rsidRPr="003171CD">
        <w:rPr>
          <w:szCs w:val="16"/>
          <w:lang w:val="en-US"/>
        </w:rPr>
        <w:t xml:space="preserve"> Judgment of February 28, 2003. Series C No. 98, para. 155, and </w:t>
      </w:r>
      <w:r w:rsidRPr="003171CD">
        <w:rPr>
          <w:i/>
          <w:szCs w:val="16"/>
          <w:lang w:val="en-US"/>
        </w:rPr>
        <w:t>Case of Wong Ho Wing v. Peru, supra</w:t>
      </w:r>
      <w:r w:rsidRPr="003171CD">
        <w:rPr>
          <w:szCs w:val="16"/>
          <w:lang w:val="en-US"/>
        </w:rPr>
        <w:t>, para. 35.</w:t>
      </w:r>
    </w:p>
  </w:footnote>
  <w:footnote w:id="207">
    <w:p w14:paraId="5318511E"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bCs/>
          <w:i/>
          <w:sz w:val="16"/>
          <w:szCs w:val="16"/>
          <w:lang w:val="en-US"/>
        </w:rPr>
        <w:t>Cf.</w:t>
      </w:r>
      <w:r w:rsidRPr="003171CD">
        <w:rPr>
          <w:bCs/>
          <w:sz w:val="16"/>
          <w:szCs w:val="16"/>
          <w:lang w:val="en-US"/>
        </w:rPr>
        <w:t xml:space="preserve"> </w:t>
      </w:r>
      <w:r w:rsidRPr="003171CD">
        <w:rPr>
          <w:i/>
          <w:sz w:val="16"/>
          <w:szCs w:val="16"/>
          <w:lang w:val="en-US"/>
        </w:rPr>
        <w:t>Case of the Constitutional Court v. Peru</w:t>
      </w:r>
      <w:r w:rsidRPr="003171CD">
        <w:rPr>
          <w:sz w:val="16"/>
          <w:szCs w:val="16"/>
          <w:lang w:val="en-US"/>
        </w:rPr>
        <w:t xml:space="preserve">. </w:t>
      </w:r>
      <w:r w:rsidRPr="003171CD">
        <w:rPr>
          <w:i/>
          <w:sz w:val="16"/>
          <w:szCs w:val="16"/>
          <w:lang w:val="en-US"/>
        </w:rPr>
        <w:t>Merits, reparations and costs</w:t>
      </w:r>
      <w:r w:rsidRPr="003171CD">
        <w:rPr>
          <w:sz w:val="16"/>
          <w:szCs w:val="16"/>
          <w:lang w:val="en-US"/>
        </w:rPr>
        <w:t xml:space="preserve">. Judgment of January 31, 2001. Series C No. 69, para. 71, and </w:t>
      </w:r>
      <w:r w:rsidRPr="003171CD">
        <w:rPr>
          <w:rStyle w:val="Textoennegrita"/>
          <w:b w:val="0"/>
          <w:i/>
          <w:color w:val="000000"/>
          <w:sz w:val="16"/>
          <w:szCs w:val="16"/>
          <w:lang w:val="en-US"/>
        </w:rPr>
        <w:t>Case of Expelled Dominicans and Haitians v. Dominican Republic, supra</w:t>
      </w:r>
      <w:r w:rsidRPr="003171CD">
        <w:rPr>
          <w:sz w:val="16"/>
          <w:szCs w:val="16"/>
          <w:lang w:val="en-US"/>
        </w:rPr>
        <w:t>, para. 349.</w:t>
      </w:r>
    </w:p>
  </w:footnote>
  <w:footnote w:id="208">
    <w:p w14:paraId="66ECDEC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The Right to Information on Consular Assistance within the Framework of the Guarantees of Due Process of Law.</w:t>
      </w:r>
      <w:r w:rsidRPr="003171CD">
        <w:rPr>
          <w:szCs w:val="16"/>
          <w:lang w:val="en-US"/>
        </w:rPr>
        <w:t xml:space="preserve"> Advisory Opinion OC-16/99 of October 1, 1999. Series A No. 16, para. 117, and </w:t>
      </w:r>
      <w:r w:rsidRPr="003171CD">
        <w:rPr>
          <w:rStyle w:val="nfasis"/>
          <w:rFonts w:cs="Arial"/>
          <w:bCs/>
          <w:iCs w:val="0"/>
          <w:szCs w:val="16"/>
          <w:shd w:val="clear" w:color="auto" w:fill="FFFFFF"/>
          <w:lang w:val="en-US"/>
        </w:rPr>
        <w:t>Rights and Guarantees of Children in the Context of Migration and/or in Need</w:t>
      </w:r>
      <w:r w:rsidRPr="003171CD">
        <w:rPr>
          <w:rFonts w:cs="Arial"/>
          <w:szCs w:val="16"/>
          <w:shd w:val="clear" w:color="auto" w:fill="FFFFFF"/>
          <w:lang w:val="en-US"/>
        </w:rPr>
        <w:t> of </w:t>
      </w:r>
      <w:r w:rsidRPr="003171CD">
        <w:rPr>
          <w:rStyle w:val="nfasis"/>
          <w:rFonts w:cs="Arial"/>
          <w:bCs/>
          <w:iCs w:val="0"/>
          <w:szCs w:val="16"/>
          <w:shd w:val="clear" w:color="auto" w:fill="FFFFFF"/>
          <w:lang w:val="en-US"/>
        </w:rPr>
        <w:t>International Protection</w:t>
      </w:r>
      <w:r w:rsidRPr="003171CD">
        <w:rPr>
          <w:rStyle w:val="Textoennegrita"/>
          <w:b w:val="0"/>
          <w:szCs w:val="16"/>
          <w:lang w:val="en-US"/>
        </w:rPr>
        <w:t xml:space="preserve">. Advisory Opinion OC-21/14 of August 19, 2014. Series A No. 21, </w:t>
      </w:r>
      <w:r w:rsidRPr="003171CD">
        <w:rPr>
          <w:szCs w:val="16"/>
          <w:lang w:val="en-US"/>
        </w:rPr>
        <w:t>para. 109.</w:t>
      </w:r>
    </w:p>
  </w:footnote>
  <w:footnote w:id="209">
    <w:p w14:paraId="282ACA24"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 xml:space="preserve">Cf. </w:t>
      </w:r>
      <w:r w:rsidRPr="003171CD">
        <w:rPr>
          <w:rStyle w:val="nfasis"/>
          <w:rFonts w:cs="Arial"/>
          <w:bCs/>
          <w:iCs w:val="0"/>
          <w:sz w:val="16"/>
          <w:szCs w:val="16"/>
          <w:shd w:val="clear" w:color="auto" w:fill="FFFFFF"/>
          <w:lang w:val="en-US"/>
        </w:rPr>
        <w:t>Rights and Guarantees of Children in the Context of Migration and/or in Need</w:t>
      </w:r>
      <w:r w:rsidRPr="003171CD">
        <w:rPr>
          <w:rFonts w:cs="Arial"/>
          <w:sz w:val="16"/>
          <w:szCs w:val="16"/>
          <w:shd w:val="clear" w:color="auto" w:fill="FFFFFF"/>
          <w:lang w:val="en-US"/>
        </w:rPr>
        <w:t> of </w:t>
      </w:r>
      <w:r w:rsidRPr="003171CD">
        <w:rPr>
          <w:rStyle w:val="nfasis"/>
          <w:rFonts w:cs="Arial"/>
          <w:bCs/>
          <w:iCs w:val="0"/>
          <w:sz w:val="16"/>
          <w:szCs w:val="16"/>
          <w:shd w:val="clear" w:color="auto" w:fill="FFFFFF"/>
          <w:lang w:val="en-US"/>
        </w:rPr>
        <w:t>International Protection</w:t>
      </w:r>
      <w:r w:rsidRPr="003171CD">
        <w:rPr>
          <w:rStyle w:val="Textoennegrita"/>
          <w:b w:val="0"/>
          <w:sz w:val="16"/>
          <w:szCs w:val="16"/>
          <w:lang w:val="en-US"/>
        </w:rPr>
        <w:t xml:space="preserve">. Advisory Opinion OC-21/14, </w:t>
      </w:r>
      <w:r w:rsidRPr="003171CD">
        <w:rPr>
          <w:rStyle w:val="Textoennegrita"/>
          <w:b w:val="0"/>
          <w:i/>
          <w:sz w:val="16"/>
          <w:szCs w:val="16"/>
          <w:lang w:val="en-US"/>
        </w:rPr>
        <w:t>supra</w:t>
      </w:r>
      <w:r w:rsidRPr="003171CD">
        <w:rPr>
          <w:rStyle w:val="Textoennegrita"/>
          <w:b w:val="0"/>
          <w:sz w:val="16"/>
          <w:szCs w:val="16"/>
          <w:lang w:val="en-US"/>
        </w:rPr>
        <w:t>, para. 109.</w:t>
      </w:r>
    </w:p>
  </w:footnote>
  <w:footnote w:id="210">
    <w:p w14:paraId="0C997EC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Exceptions to the Exhaustion of Domestic Remedies (Arts. 46.1, 46.2.a and 46.2.b, American Convention on Human Rights). </w:t>
      </w:r>
      <w:r w:rsidRPr="003171CD">
        <w:rPr>
          <w:szCs w:val="16"/>
          <w:lang w:val="en-US"/>
        </w:rPr>
        <w:t xml:space="preserve">Advisory Opinion OC-11/90 of August 10, 1990. Series A No. 11, para. 28, and </w:t>
      </w:r>
      <w:r w:rsidRPr="003171CD">
        <w:rPr>
          <w:i/>
          <w:szCs w:val="16"/>
          <w:lang w:val="en-US"/>
        </w:rPr>
        <w:t>Case of J v. Peru, supra</w:t>
      </w:r>
      <w:r w:rsidRPr="003171CD">
        <w:rPr>
          <w:szCs w:val="16"/>
          <w:lang w:val="en-US"/>
        </w:rPr>
        <w:t>, para. 258.</w:t>
      </w:r>
    </w:p>
  </w:footnote>
  <w:footnote w:id="211">
    <w:p w14:paraId="77A0640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Case of Cantoral Huamaní and García Santa Cruz v. Peru. Preliminary objection, merits, reparations and costs.</w:t>
      </w:r>
      <w:r w:rsidRPr="003171CD">
        <w:rPr>
          <w:szCs w:val="16"/>
          <w:lang w:val="en-US"/>
        </w:rPr>
        <w:t xml:space="preserve"> Judgment of July 10, 2007. Series C No. 167, para. 133, and </w:t>
      </w:r>
      <w:r w:rsidRPr="003171CD">
        <w:rPr>
          <w:i/>
          <w:szCs w:val="16"/>
          <w:lang w:val="en-US"/>
        </w:rPr>
        <w:t>Case of J v. Peru, supra</w:t>
      </w:r>
      <w:r w:rsidRPr="003171CD">
        <w:rPr>
          <w:szCs w:val="16"/>
          <w:lang w:val="en-US"/>
        </w:rPr>
        <w:t xml:space="preserve">, para. 182. The European Court of Human Rights has also reaffirmed the application of the requirements of due process to the pre-trial proceedings. Indeed, </w:t>
      </w:r>
      <w:r w:rsidRPr="003171CD">
        <w:rPr>
          <w:rFonts w:cs="Arial"/>
          <w:shd w:val="clear" w:color="auto" w:fill="FFFFFF"/>
          <w:lang w:val="en-US"/>
        </w:rPr>
        <w:t>even if the primary purpose of Article 6 of the European Convention, as far as criminal proceedings are concerned, is to ensure a fair trial by a “tribunal” competent to determine “any criminal charge,”</w:t>
      </w:r>
      <w:r w:rsidRPr="003171CD">
        <w:rPr>
          <w:szCs w:val="16"/>
          <w:lang w:val="en-US"/>
        </w:rPr>
        <w:t xml:space="preserve"> the European Court has held that </w:t>
      </w:r>
      <w:r w:rsidRPr="003171CD">
        <w:rPr>
          <w:rFonts w:cs="Arial"/>
          <w:shd w:val="clear" w:color="auto" w:fill="FFFFFF"/>
          <w:lang w:val="en-US"/>
        </w:rPr>
        <w:t>it does not follow that the Article has no application to pre-trial proceedings</w:t>
      </w:r>
      <w:r w:rsidRPr="003171CD">
        <w:rPr>
          <w:szCs w:val="16"/>
          <w:lang w:val="en-US"/>
        </w:rPr>
        <w:t xml:space="preserve">. </w:t>
      </w:r>
      <w:r w:rsidRPr="003171CD">
        <w:rPr>
          <w:rFonts w:cs="Arial"/>
          <w:shd w:val="clear" w:color="auto" w:fill="FFFFFF"/>
          <w:lang w:val="en-US"/>
        </w:rPr>
        <w:t>Thus, Article 6 – especially paragraph 3 thereof – may be relevant before a case is sent for trial, if and insofar as, the fairness of the trial is likely to be seriously prejudiced by an initial failure to comply with its provisions</w:t>
      </w:r>
      <w:r w:rsidRPr="003171CD">
        <w:rPr>
          <w:szCs w:val="16"/>
          <w:lang w:val="en-US"/>
        </w:rPr>
        <w:t xml:space="preserve">. ECHR, </w:t>
      </w:r>
      <w:r w:rsidRPr="003171CD">
        <w:rPr>
          <w:i/>
          <w:szCs w:val="16"/>
          <w:lang w:val="en-US"/>
        </w:rPr>
        <w:t>Case of Dzuhlay v. Ukraine</w:t>
      </w:r>
      <w:r w:rsidRPr="003171CD">
        <w:rPr>
          <w:szCs w:val="16"/>
          <w:lang w:val="en-US"/>
        </w:rPr>
        <w:t>, No. 24439/06. Judgment of April 3, 2014, para. 84.</w:t>
      </w:r>
    </w:p>
  </w:footnote>
  <w:footnote w:id="212">
    <w:p w14:paraId="5F29C63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Palamara Iribarne v. Chile. Merits, reparations and costs</w:t>
      </w:r>
      <w:r w:rsidRPr="003171CD">
        <w:rPr>
          <w:szCs w:val="16"/>
          <w:lang w:val="en-US"/>
        </w:rPr>
        <w:t>. Judgment of November 22, 2005. Series C No. 135, paras. 174 and 175.</w:t>
      </w:r>
    </w:p>
  </w:footnote>
  <w:footnote w:id="213">
    <w:p w14:paraId="60A71BCD" w14:textId="77777777" w:rsidR="006E2EB2" w:rsidRPr="003171CD" w:rsidRDefault="006E2EB2" w:rsidP="005A65CE">
      <w:pPr>
        <w:pStyle w:val="Textonotapie"/>
        <w:spacing w:after="120"/>
        <w:jc w:val="both"/>
        <w:rPr>
          <w:rFonts w:cs="Times_New_Roman--Identity-H"/>
          <w:szCs w:val="16"/>
          <w:lang w:val="en-US"/>
        </w:rPr>
      </w:pPr>
      <w:r w:rsidRPr="003171CD">
        <w:rPr>
          <w:rStyle w:val="Refdenotaalpie"/>
          <w:szCs w:val="16"/>
          <w:lang w:val="en-US"/>
        </w:rPr>
        <w:footnoteRef/>
      </w:r>
      <w:r w:rsidRPr="003171CD">
        <w:rPr>
          <w:i/>
          <w:szCs w:val="16"/>
          <w:lang w:val="en-US"/>
        </w:rPr>
        <w:tab/>
        <w:t>Cf. Juridical Condition and Human Rights of the Child.</w:t>
      </w:r>
      <w:r w:rsidRPr="003171CD">
        <w:rPr>
          <w:szCs w:val="16"/>
          <w:lang w:val="en-US"/>
        </w:rPr>
        <w:t xml:space="preserve"> Advisory Opinion OC-17/02 of August 28, 2002. Series A No. 17,</w:t>
      </w:r>
      <w:r w:rsidRPr="003171CD">
        <w:rPr>
          <w:i/>
          <w:szCs w:val="16"/>
          <w:lang w:val="en-US"/>
        </w:rPr>
        <w:t xml:space="preserve"> </w:t>
      </w:r>
      <w:r w:rsidRPr="003171CD">
        <w:rPr>
          <w:szCs w:val="16"/>
          <w:lang w:val="en-US"/>
        </w:rPr>
        <w:t xml:space="preserve">para. 132, and </w:t>
      </w:r>
      <w:r w:rsidRPr="003171CD">
        <w:rPr>
          <w:i/>
          <w:szCs w:val="16"/>
          <w:lang w:val="en-US"/>
        </w:rPr>
        <w:t>Case of Palamara Iribarne v. Chile, supra</w:t>
      </w:r>
      <w:r w:rsidRPr="003171CD">
        <w:rPr>
          <w:szCs w:val="16"/>
          <w:lang w:val="en-US"/>
        </w:rPr>
        <w:t>, para. 178.</w:t>
      </w:r>
    </w:p>
  </w:footnote>
  <w:footnote w:id="214">
    <w:p w14:paraId="05E27B2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Case of Barreto Leiva v. Venezuela. Merits, reparations and costs. </w:t>
      </w:r>
      <w:r w:rsidRPr="003171CD">
        <w:rPr>
          <w:szCs w:val="16"/>
          <w:lang w:val="en-US"/>
        </w:rPr>
        <w:t xml:space="preserve">Judgment of November 17, 2009. Series C No. 206, para. 29, and </w:t>
      </w:r>
      <w:r w:rsidRPr="003171CD">
        <w:rPr>
          <w:rStyle w:val="Textoennegrita"/>
          <w:b w:val="0"/>
          <w:i/>
          <w:szCs w:val="16"/>
          <w:lang w:val="en-US"/>
        </w:rPr>
        <w:t>Case of Argüelles et al. v. Argentina, supra</w:t>
      </w:r>
      <w:r w:rsidRPr="003171CD">
        <w:rPr>
          <w:szCs w:val="16"/>
          <w:lang w:val="en-US"/>
        </w:rPr>
        <w:t>, para. 175.</w:t>
      </w:r>
    </w:p>
  </w:footnote>
  <w:footnote w:id="215">
    <w:p w14:paraId="5C9BBF1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Barreto Leiva v. Venezuela, supra</w:t>
      </w:r>
      <w:r w:rsidRPr="003171CD">
        <w:rPr>
          <w:szCs w:val="16"/>
          <w:lang w:val="en-US"/>
        </w:rPr>
        <w:t xml:space="preserve">, para. 29, and </w:t>
      </w:r>
      <w:r w:rsidRPr="003171CD">
        <w:rPr>
          <w:rStyle w:val="Textoennegrita"/>
          <w:b w:val="0"/>
          <w:i/>
          <w:szCs w:val="16"/>
          <w:lang w:val="en-US"/>
        </w:rPr>
        <w:t>Case of Argüelles et al. v. Argentina, supra</w:t>
      </w:r>
      <w:r w:rsidRPr="003171CD">
        <w:rPr>
          <w:szCs w:val="16"/>
          <w:lang w:val="en-US"/>
        </w:rPr>
        <w:t>, para. 175.</w:t>
      </w:r>
    </w:p>
  </w:footnote>
  <w:footnote w:id="216">
    <w:p w14:paraId="5DFFB8F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Barreto Leiva v. Venezuela, supra</w:t>
      </w:r>
      <w:r w:rsidRPr="003171CD">
        <w:rPr>
          <w:szCs w:val="16"/>
          <w:lang w:val="en-US"/>
        </w:rPr>
        <w:t xml:space="preserve">, para. 61, and </w:t>
      </w:r>
      <w:r w:rsidRPr="003171CD">
        <w:rPr>
          <w:rStyle w:val="Textoennegrita"/>
          <w:b w:val="0"/>
          <w:i/>
          <w:szCs w:val="16"/>
          <w:lang w:val="en-US"/>
        </w:rPr>
        <w:t>Case of Argüelles et al. v. Argentina, supra</w:t>
      </w:r>
      <w:r w:rsidRPr="003171CD">
        <w:rPr>
          <w:rStyle w:val="Textoennegrita"/>
          <w:b w:val="0"/>
          <w:szCs w:val="16"/>
          <w:lang w:val="en-US"/>
        </w:rPr>
        <w:t>, para. 177</w:t>
      </w:r>
      <w:r w:rsidRPr="003171CD">
        <w:rPr>
          <w:szCs w:val="16"/>
          <w:lang w:val="en-US"/>
        </w:rPr>
        <w:t>.</w:t>
      </w:r>
    </w:p>
  </w:footnote>
  <w:footnote w:id="217">
    <w:p w14:paraId="3667B81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Exceptions to the Exhaustion of Domestic Remedies (Arts. 46.1, 46.2.a and 46.2.b, American Convention on Human Rights).</w:t>
      </w:r>
      <w:r w:rsidRPr="003171CD">
        <w:rPr>
          <w:szCs w:val="16"/>
          <w:lang w:val="en-US"/>
        </w:rPr>
        <w:t xml:space="preserve"> Advisory Opinion OC-11/90 </w:t>
      </w:r>
      <w:r w:rsidRPr="003171CD">
        <w:rPr>
          <w:i/>
          <w:szCs w:val="16"/>
          <w:lang w:val="en-US"/>
        </w:rPr>
        <w:t>supra</w:t>
      </w:r>
      <w:r w:rsidRPr="003171CD">
        <w:rPr>
          <w:szCs w:val="16"/>
          <w:lang w:val="en-US"/>
        </w:rPr>
        <w:t>, para. 25.</w:t>
      </w:r>
    </w:p>
  </w:footnote>
  <w:footnote w:id="218">
    <w:p w14:paraId="440F2F5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szCs w:val="16"/>
        </w:rPr>
        <w:t>Argentina, Bolivia, Brazil, Colombia</w:t>
      </w:r>
      <w:r w:rsidRPr="003171CD">
        <w:rPr>
          <w:szCs w:val="16"/>
          <w:lang w:val="en-US"/>
        </w:rPr>
        <w:t>, Costa Rica, Chile, Ecuador, El Salvador, Guatemala, Honduras, Mexico, Nicaragua, Paraguay, Panama, Peru, Dominican Republic and Uruguay.</w:t>
      </w:r>
    </w:p>
  </w:footnote>
  <w:footnote w:id="219">
    <w:p w14:paraId="1596F6CB" w14:textId="77777777" w:rsidR="006E2EB2" w:rsidRPr="003171CD" w:rsidRDefault="006E2EB2" w:rsidP="005A65CE">
      <w:pPr>
        <w:pStyle w:val="Textonotapie"/>
        <w:spacing w:after="120"/>
        <w:jc w:val="both"/>
        <w:rPr>
          <w:rStyle w:val="Refdenotaalpie"/>
          <w:szCs w:val="16"/>
          <w:lang w:val="en-US"/>
        </w:rPr>
      </w:pPr>
      <w:r w:rsidRPr="003171CD">
        <w:rPr>
          <w:rStyle w:val="Refdenotaalpie"/>
          <w:szCs w:val="16"/>
          <w:lang w:val="en-US"/>
        </w:rPr>
        <w:footnoteRef/>
      </w:r>
      <w:r w:rsidRPr="003171CD">
        <w:rPr>
          <w:rStyle w:val="Refdenotaalpie"/>
          <w:szCs w:val="16"/>
          <w:lang w:val="en-US"/>
        </w:rPr>
        <w:t xml:space="preserve"> </w:t>
      </w:r>
      <w:r w:rsidRPr="003171CD">
        <w:rPr>
          <w:rStyle w:val="Refdenotaalpie"/>
          <w:szCs w:val="16"/>
          <w:lang w:val="en-US"/>
        </w:rPr>
        <w:tab/>
      </w:r>
      <w:r w:rsidRPr="003171CD">
        <w:rPr>
          <w:szCs w:val="16"/>
          <w:lang w:val="en-US"/>
        </w:rPr>
        <w:t xml:space="preserve">Resolution AG/RES. 2656 (XLI-O/11), </w:t>
      </w:r>
      <w:r w:rsidRPr="003171CD">
        <w:rPr>
          <w:i/>
          <w:szCs w:val="16"/>
          <w:lang w:val="en-US"/>
        </w:rPr>
        <w:t>Guarantees for access to justice. The role of official public defenders</w:t>
      </w:r>
      <w:r w:rsidRPr="003171CD">
        <w:rPr>
          <w:szCs w:val="16"/>
          <w:lang w:val="en-US"/>
        </w:rPr>
        <w:t>, June 7, 2011, para. 3.</w:t>
      </w:r>
    </w:p>
  </w:footnote>
  <w:footnote w:id="220">
    <w:p w14:paraId="5B867E58" w14:textId="77777777" w:rsidR="006E2EB2" w:rsidRPr="003171CD" w:rsidRDefault="006E2EB2" w:rsidP="005A65CE">
      <w:pPr>
        <w:pStyle w:val="Textonotapie"/>
        <w:spacing w:after="120"/>
        <w:jc w:val="both"/>
        <w:rPr>
          <w:rStyle w:val="Refdenotaalpie"/>
          <w:rFonts w:cs="Arial"/>
          <w:szCs w:val="16"/>
          <w:lang w:val="en-US"/>
        </w:rPr>
      </w:pPr>
      <w:r w:rsidRPr="003171CD">
        <w:rPr>
          <w:rStyle w:val="Refdenotaalpie"/>
          <w:szCs w:val="16"/>
          <w:lang w:val="en-US"/>
        </w:rPr>
        <w:footnoteRef/>
      </w:r>
      <w:r w:rsidRPr="003171CD">
        <w:rPr>
          <w:rStyle w:val="Refdenotaalpie"/>
          <w:szCs w:val="16"/>
          <w:lang w:val="en-US"/>
        </w:rPr>
        <w:t xml:space="preserve">  </w:t>
      </w:r>
      <w:r w:rsidRPr="003171CD">
        <w:rPr>
          <w:rStyle w:val="Refdenotaalpie"/>
          <w:i/>
          <w:szCs w:val="16"/>
          <w:lang w:val="en-US"/>
        </w:rPr>
        <w:t xml:space="preserve">       ,</w:t>
      </w:r>
      <w:r w:rsidRPr="003171CD">
        <w:rPr>
          <w:rStyle w:val="Refdenotaalpie"/>
          <w:szCs w:val="16"/>
          <w:lang w:val="en-US"/>
        </w:rPr>
        <w:t xml:space="preserve"> </w:t>
      </w:r>
      <w:r w:rsidRPr="003171CD">
        <w:rPr>
          <w:i/>
          <w:szCs w:val="16"/>
          <w:lang w:val="en-US"/>
        </w:rPr>
        <w:t xml:space="preserve">Cf. mutatis mutandis, Case of Vélez Loor v. Panama. Preliminary objections, merits, reparations and costs. </w:t>
      </w:r>
      <w:r w:rsidRPr="003171CD">
        <w:rPr>
          <w:szCs w:val="16"/>
          <w:lang w:val="en-US"/>
        </w:rPr>
        <w:t>Judgment of November 23, 2010. Series C No. 218</w:t>
      </w:r>
      <w:r w:rsidRPr="003171CD">
        <w:rPr>
          <w:i/>
          <w:szCs w:val="16"/>
          <w:lang w:val="en-US"/>
        </w:rPr>
        <w:t xml:space="preserve">, </w:t>
      </w:r>
      <w:r w:rsidRPr="003171CD">
        <w:rPr>
          <w:szCs w:val="16"/>
          <w:lang w:val="en-US"/>
        </w:rPr>
        <w:t xml:space="preserve">para. 132, and </w:t>
      </w:r>
      <w:r w:rsidRPr="003171CD">
        <w:rPr>
          <w:rStyle w:val="Textoennegrita"/>
          <w:b w:val="0"/>
          <w:i/>
          <w:szCs w:val="16"/>
          <w:lang w:val="en-US"/>
        </w:rPr>
        <w:t>Case of Argüelles et al. v. Argentina, supra</w:t>
      </w:r>
      <w:r w:rsidRPr="003171CD">
        <w:rPr>
          <w:rStyle w:val="Textoennegrita"/>
          <w:b w:val="0"/>
          <w:szCs w:val="16"/>
          <w:lang w:val="en-US"/>
        </w:rPr>
        <w:t>, para. 177</w:t>
      </w:r>
      <w:r w:rsidRPr="003171CD">
        <w:rPr>
          <w:szCs w:val="16"/>
          <w:lang w:val="en-US"/>
        </w:rPr>
        <w:t>.</w:t>
      </w:r>
    </w:p>
  </w:footnote>
  <w:footnote w:id="221">
    <w:p w14:paraId="51A9E37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Cabrera García and Montiel Flores v. Mexico, supra</w:t>
      </w:r>
      <w:r w:rsidRPr="003171CD">
        <w:rPr>
          <w:szCs w:val="16"/>
          <w:lang w:val="en-US"/>
        </w:rPr>
        <w:t>, para. 155.</w:t>
      </w:r>
    </w:p>
  </w:footnote>
  <w:footnote w:id="222">
    <w:p w14:paraId="7D8727FC"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Chaparro Álvarez and Lapo Íñiguez v. Ecuador, supra</w:t>
      </w:r>
      <w:r w:rsidRPr="003171CD">
        <w:rPr>
          <w:szCs w:val="16"/>
          <w:lang w:val="en-US"/>
        </w:rPr>
        <w:t xml:space="preserve">, para. 159, and </w:t>
      </w:r>
      <w:r w:rsidRPr="003171CD">
        <w:rPr>
          <w:i/>
          <w:szCs w:val="16"/>
          <w:lang w:val="en-US"/>
        </w:rPr>
        <w:t>Case of Cabrera García and Montiel Flores v. Mexico, supra</w:t>
      </w:r>
      <w:r w:rsidRPr="003171CD">
        <w:rPr>
          <w:szCs w:val="16"/>
          <w:lang w:val="en-US"/>
        </w:rPr>
        <w:t>, para. 155.</w:t>
      </w:r>
    </w:p>
  </w:footnote>
  <w:footnote w:id="223">
    <w:p w14:paraId="4515E8C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Expert opinion rendered by affidavit by Alberto M. Binder on April 8, 2015 (evidence file, volume VII, affidavits, folio 2409).</w:t>
      </w:r>
    </w:p>
  </w:footnote>
  <w:footnote w:id="224">
    <w:p w14:paraId="748F17D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General Assembly of the OAS, Resolution AG/RES. 2801 (XLIII-O/13), </w:t>
      </w:r>
      <w:r w:rsidRPr="003171CD">
        <w:rPr>
          <w:i/>
          <w:szCs w:val="16"/>
          <w:lang w:val="en-US"/>
        </w:rPr>
        <w:t>Toward Autonomy for Official Public Defenders as a Guarantee of Access to Justice</w:t>
      </w:r>
      <w:r w:rsidRPr="003171CD">
        <w:rPr>
          <w:szCs w:val="16"/>
          <w:lang w:val="en-US"/>
        </w:rPr>
        <w:t xml:space="preserve">, June 5, 2013, para. 4; Resolution AG/RES. 2821 (XLIV-O/14), </w:t>
      </w:r>
      <w:r w:rsidRPr="003171CD">
        <w:rPr>
          <w:i/>
          <w:szCs w:val="16"/>
          <w:lang w:val="en-US"/>
        </w:rPr>
        <w:t xml:space="preserve">Toward Autonomy for and Strengthening of Official Public Defenders as a </w:t>
      </w:r>
      <w:r w:rsidRPr="003171CD">
        <w:rPr>
          <w:i/>
          <w:lang w:val="en-US"/>
        </w:rPr>
        <w:t>Guarantee of Access to Justice</w:t>
      </w:r>
      <w:r w:rsidRPr="003171CD">
        <w:rPr>
          <w:szCs w:val="16"/>
          <w:lang w:val="en-US"/>
        </w:rPr>
        <w:t xml:space="preserve">, June 10, 2014, para. 5. See also, Resolution AG/RES. 2656 (XLI-O/11), </w:t>
      </w:r>
      <w:r w:rsidRPr="003171CD">
        <w:rPr>
          <w:i/>
          <w:szCs w:val="16"/>
          <w:lang w:val="en-US"/>
        </w:rPr>
        <w:t>Guarantees for Access to Justice. The Role of the Official Public Defenders</w:t>
      </w:r>
      <w:r w:rsidRPr="003171CD">
        <w:rPr>
          <w:szCs w:val="16"/>
          <w:lang w:val="en-US"/>
        </w:rPr>
        <w:t xml:space="preserve">, June 7, 2011, para. 4; Resolution AG/RES. 2714 (XLII-O/12), </w:t>
      </w:r>
      <w:r w:rsidRPr="003171CD">
        <w:rPr>
          <w:i/>
          <w:lang w:val="en-US"/>
        </w:rPr>
        <w:t>Official Public Defenders as a Guarantee of Access to Justice for Persons in Situations of Vulnerability</w:t>
      </w:r>
      <w:r w:rsidRPr="003171CD">
        <w:rPr>
          <w:i/>
          <w:szCs w:val="16"/>
          <w:lang w:val="en-US"/>
        </w:rPr>
        <w:t>,</w:t>
      </w:r>
      <w:r w:rsidRPr="003171CD">
        <w:rPr>
          <w:szCs w:val="16"/>
          <w:lang w:val="en-US"/>
        </w:rPr>
        <w:t xml:space="preserve"> June 4, 2012, para. 4.</w:t>
      </w:r>
    </w:p>
  </w:footnote>
  <w:footnote w:id="225">
    <w:p w14:paraId="30928A3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General Assembly of the OAS, Resolution AG/RES. 2801 (XLIII-O/13), </w:t>
      </w:r>
      <w:r w:rsidRPr="003171CD">
        <w:rPr>
          <w:i/>
          <w:szCs w:val="16"/>
          <w:lang w:val="en-US"/>
        </w:rPr>
        <w:t>Toward Autonomy for Official Public Defenders as a Guarantee of Access to Justice</w:t>
      </w:r>
      <w:r w:rsidRPr="003171CD">
        <w:rPr>
          <w:szCs w:val="16"/>
          <w:lang w:val="en-US"/>
        </w:rPr>
        <w:t xml:space="preserve">, June 5, 2013, para. 5; Resolution AG/RES. 2821 (XLIV-O/14), </w:t>
      </w:r>
      <w:r w:rsidRPr="003171CD">
        <w:rPr>
          <w:i/>
          <w:szCs w:val="16"/>
          <w:lang w:val="en-US"/>
        </w:rPr>
        <w:t>Toward Autonomy for and Strengthening of Official Public Defenders as a Guarantee of Access to Justice</w:t>
      </w:r>
      <w:r w:rsidRPr="003171CD">
        <w:rPr>
          <w:szCs w:val="16"/>
          <w:lang w:val="en-US"/>
        </w:rPr>
        <w:t>, June 10, 2014, para. 6.</w:t>
      </w:r>
    </w:p>
  </w:footnote>
  <w:footnote w:id="226">
    <w:p w14:paraId="00CE3F2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12 of the Constitution of the Republic of El Salvador.</w:t>
      </w:r>
    </w:p>
  </w:footnote>
  <w:footnote w:id="227">
    <w:p w14:paraId="035A3BE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Style w:val="Hipervnculo"/>
          <w:color w:val="auto"/>
          <w:szCs w:val="16"/>
          <w:u w:val="none"/>
          <w:lang w:val="en-US"/>
        </w:rPr>
        <w:t xml:space="preserve">See </w:t>
      </w:r>
      <w:r w:rsidRPr="003171CD">
        <w:rPr>
          <w:szCs w:val="16"/>
          <w:lang w:val="en-US"/>
        </w:rPr>
        <w:t>http://www.pgr.gob.sv/cdp.html</w:t>
      </w:r>
    </w:p>
  </w:footnote>
  <w:footnote w:id="228">
    <w:p w14:paraId="37B7BF64"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t>Under Article 34 the Office of the Public Defender has the following specific functions:</w:t>
      </w:r>
    </w:p>
    <w:p w14:paraId="1F363B73" w14:textId="77777777" w:rsidR="006E2EB2" w:rsidRPr="003171CD" w:rsidRDefault="006E2EB2" w:rsidP="005A65CE">
      <w:pPr>
        <w:shd w:val="clear" w:color="auto" w:fill="FFFFFF"/>
        <w:spacing w:after="120"/>
        <w:ind w:left="708"/>
        <w:jc w:val="both"/>
        <w:rPr>
          <w:rFonts w:eastAsia="Times New Roman"/>
          <w:sz w:val="16"/>
          <w:szCs w:val="16"/>
          <w:lang w:val="en-US"/>
        </w:rPr>
      </w:pPr>
      <w:r w:rsidRPr="003171CD">
        <w:rPr>
          <w:rFonts w:eastAsia="Times New Roman"/>
          <w:sz w:val="16"/>
          <w:szCs w:val="16"/>
          <w:lang w:val="en-US"/>
        </w:rPr>
        <w:t>1. Exercise the technical defense of the individual liberty of adults and minors who are accused of committing a criminal offense.</w:t>
      </w:r>
    </w:p>
    <w:p w14:paraId="7E937660" w14:textId="77777777" w:rsidR="006E2EB2" w:rsidRPr="003171CD" w:rsidRDefault="006E2EB2" w:rsidP="005A65CE">
      <w:pPr>
        <w:shd w:val="clear" w:color="auto" w:fill="FFFFFF"/>
        <w:spacing w:after="120"/>
        <w:ind w:left="708"/>
        <w:jc w:val="both"/>
        <w:rPr>
          <w:rFonts w:eastAsia="Times New Roman"/>
          <w:sz w:val="16"/>
          <w:szCs w:val="16"/>
          <w:lang w:val="en-US"/>
        </w:rPr>
      </w:pPr>
      <w:r w:rsidRPr="003171CD">
        <w:rPr>
          <w:rFonts w:eastAsia="Times New Roman"/>
          <w:sz w:val="16"/>
          <w:szCs w:val="16"/>
          <w:lang w:val="en-US"/>
        </w:rPr>
        <w:t>2. Provide professional legal defense counsel from the beginning of the extrajudicial proceedings or those of the trial of the detained persons and those absent defendants who request it, either on their own behalf, or through their relatives or any other person; likewise, when so required by a competent judge, file any applicable legal motions and measures.</w:t>
      </w:r>
    </w:p>
    <w:p w14:paraId="7A314BA4" w14:textId="77777777" w:rsidR="006E2EB2" w:rsidRPr="003171CD" w:rsidRDefault="006E2EB2" w:rsidP="005A65CE">
      <w:pPr>
        <w:shd w:val="clear" w:color="auto" w:fill="FFFFFF"/>
        <w:spacing w:after="120"/>
        <w:ind w:left="708"/>
        <w:jc w:val="both"/>
        <w:rPr>
          <w:rFonts w:eastAsia="Times New Roman"/>
          <w:sz w:val="16"/>
          <w:szCs w:val="16"/>
          <w:lang w:val="en-US"/>
        </w:rPr>
      </w:pPr>
      <w:r w:rsidRPr="003171CD">
        <w:rPr>
          <w:rFonts w:eastAsia="Times New Roman"/>
          <w:sz w:val="16"/>
          <w:szCs w:val="16"/>
          <w:lang w:val="en-US"/>
        </w:rPr>
        <w:t>3. Provide legal assistance, through a public defender, in relation to prison supervision and the execution of the sentence, in the phase after the final Judgment filed in accordance with the Criminal Code.</w:t>
      </w:r>
    </w:p>
    <w:p w14:paraId="502FBBB4" w14:textId="77777777" w:rsidR="006E2EB2" w:rsidRPr="003171CD" w:rsidRDefault="006E2EB2" w:rsidP="005A65CE">
      <w:pPr>
        <w:pStyle w:val="Textonotapie"/>
        <w:spacing w:after="120"/>
        <w:ind w:left="708"/>
        <w:jc w:val="both"/>
        <w:rPr>
          <w:szCs w:val="16"/>
          <w:lang w:val="en-US"/>
        </w:rPr>
      </w:pPr>
      <w:r w:rsidRPr="003171CD">
        <w:rPr>
          <w:rFonts w:eastAsia="Times New Roman"/>
          <w:szCs w:val="16"/>
          <w:lang w:val="en-US"/>
        </w:rPr>
        <w:t>4. Monitor and oversee, through the public defender, the application of the final measure imposed under the Juvenile Criminal Law.</w:t>
      </w:r>
    </w:p>
  </w:footnote>
  <w:footnote w:id="229">
    <w:p w14:paraId="5240BC3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U.N. General Assembly, </w:t>
      </w:r>
      <w:r w:rsidRPr="003171CD">
        <w:rPr>
          <w:i/>
          <w:szCs w:val="16"/>
          <w:lang w:val="en-US"/>
        </w:rPr>
        <w:t>Responsibility of States for internationally wrongful acts</w:t>
      </w:r>
      <w:r w:rsidRPr="003171CD">
        <w:rPr>
          <w:szCs w:val="16"/>
          <w:lang w:val="en-US"/>
        </w:rPr>
        <w:t>, A/RES/56/83, January 28, 2002.</w:t>
      </w:r>
    </w:p>
  </w:footnote>
  <w:footnote w:id="230">
    <w:p w14:paraId="18822D74" w14:textId="77777777" w:rsidR="006E2EB2" w:rsidRPr="003171CD" w:rsidRDefault="006E2EB2" w:rsidP="005A65CE">
      <w:pPr>
        <w:pStyle w:val="Textonotapie"/>
        <w:spacing w:after="120"/>
        <w:jc w:val="both"/>
        <w:rPr>
          <w:i/>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Tibi v. Ecuador. Preliminary objections, merits, reparations and costs</w:t>
      </w:r>
      <w:r w:rsidRPr="003171CD">
        <w:rPr>
          <w:szCs w:val="16"/>
          <w:lang w:val="en-US"/>
        </w:rPr>
        <w:t xml:space="preserve">. Judgment of September 7, 2004. Series C No. 114, paras. 193, 194 and 196; </w:t>
      </w:r>
      <w:r w:rsidRPr="003171CD">
        <w:rPr>
          <w:i/>
          <w:szCs w:val="16"/>
          <w:lang w:val="en-US"/>
        </w:rPr>
        <w:t>Case of Acosta Calderón v. Ecuador, supra</w:t>
      </w:r>
      <w:r w:rsidRPr="003171CD">
        <w:rPr>
          <w:szCs w:val="16"/>
          <w:lang w:val="en-US"/>
        </w:rPr>
        <w:t xml:space="preserve">, paras. 124 and 126; </w:t>
      </w:r>
      <w:r w:rsidRPr="003171CD">
        <w:rPr>
          <w:i/>
          <w:szCs w:val="16"/>
          <w:lang w:val="en-US"/>
        </w:rPr>
        <w:t>Case of López Álvarez v. Honduras. Merits, reparations and costs</w:t>
      </w:r>
      <w:r w:rsidRPr="003171CD">
        <w:rPr>
          <w:szCs w:val="16"/>
          <w:lang w:val="en-US"/>
        </w:rPr>
        <w:t xml:space="preserve">. Judgment of February 1, 2006. Series C No. 141, para. 152; </w:t>
      </w:r>
      <w:r w:rsidRPr="003171CD">
        <w:rPr>
          <w:i/>
          <w:szCs w:val="16"/>
          <w:lang w:val="en-US"/>
        </w:rPr>
        <w:t>Case of Chaparro Álvarez and Lapo Íñiguez v. Ecuador, supra</w:t>
      </w:r>
      <w:r w:rsidRPr="003171CD">
        <w:rPr>
          <w:szCs w:val="16"/>
          <w:lang w:val="en-US"/>
        </w:rPr>
        <w:t xml:space="preserve">, para. 158, and </w:t>
      </w:r>
      <w:r w:rsidRPr="003171CD">
        <w:rPr>
          <w:i/>
          <w:szCs w:val="16"/>
          <w:lang w:val="en-US"/>
        </w:rPr>
        <w:t>Case of Barreto Leiva v. Venezuela, supra</w:t>
      </w:r>
      <w:r w:rsidRPr="003171CD">
        <w:rPr>
          <w:szCs w:val="16"/>
          <w:lang w:val="en-US"/>
        </w:rPr>
        <w:t>, paras. 60 to 64.</w:t>
      </w:r>
    </w:p>
  </w:footnote>
  <w:footnote w:id="231">
    <w:p w14:paraId="551684F2"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t xml:space="preserve">IACHR, Report on the Merits No. 41/04, Case 12.417, </w:t>
      </w:r>
      <w:r w:rsidRPr="003171CD">
        <w:rPr>
          <w:i/>
          <w:sz w:val="16"/>
          <w:szCs w:val="16"/>
          <w:lang w:val="en-US"/>
        </w:rPr>
        <w:t>Whitley Myrie, Jamaica</w:t>
      </w:r>
      <w:r w:rsidRPr="003171CD">
        <w:rPr>
          <w:sz w:val="16"/>
          <w:szCs w:val="16"/>
          <w:lang w:val="en-US"/>
        </w:rPr>
        <w:t>, October 12, 2004, para. 62.</w:t>
      </w:r>
    </w:p>
  </w:footnote>
  <w:footnote w:id="232">
    <w:p w14:paraId="5BF70E8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Committee on Human Rights, </w:t>
      </w:r>
      <w:r w:rsidRPr="003171CD">
        <w:rPr>
          <w:i/>
          <w:szCs w:val="16"/>
          <w:lang w:val="en-US"/>
        </w:rPr>
        <w:t>Byrong Young v. Jamaica,</w:t>
      </w:r>
      <w:r w:rsidRPr="003171CD">
        <w:rPr>
          <w:szCs w:val="16"/>
          <w:lang w:val="en-US"/>
        </w:rPr>
        <w:t xml:space="preserve"> Communication No. 615/1997. Decision of November 4, 1997, Doc. CCPR/C/62/D/615/1995, para. 5.5, and </w:t>
      </w:r>
      <w:r w:rsidRPr="003171CD">
        <w:rPr>
          <w:i/>
          <w:szCs w:val="16"/>
          <w:lang w:val="en-US"/>
        </w:rPr>
        <w:t xml:space="preserve">Michael Adams v. Jamaica, </w:t>
      </w:r>
      <w:r w:rsidRPr="003171CD">
        <w:rPr>
          <w:szCs w:val="16"/>
          <w:lang w:val="en-US"/>
        </w:rPr>
        <w:t xml:space="preserve">Communication No. 607/1994. Decision of November 20, 1996, Doc. CCPR/C/58/D/607/1994, para. 8.4. </w:t>
      </w:r>
    </w:p>
  </w:footnote>
  <w:footnote w:id="233">
    <w:p w14:paraId="2FF5505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ECHR, </w:t>
      </w:r>
      <w:r w:rsidRPr="003171CD">
        <w:rPr>
          <w:i/>
          <w:szCs w:val="16"/>
          <w:lang w:val="en-US"/>
        </w:rPr>
        <w:t>Case of Artico v. Italy</w:t>
      </w:r>
      <w:r w:rsidRPr="003171CD">
        <w:rPr>
          <w:szCs w:val="16"/>
          <w:lang w:val="en-US"/>
        </w:rPr>
        <w:t xml:space="preserve">, No. 6694/74. Judgment of May 13, 1980, para. 33, and </w:t>
      </w:r>
      <w:r w:rsidRPr="003171CD">
        <w:rPr>
          <w:i/>
          <w:szCs w:val="16"/>
          <w:lang w:val="en-US"/>
        </w:rPr>
        <w:t>Case of Kamasinski v. Austria</w:t>
      </w:r>
      <w:r w:rsidRPr="003171CD">
        <w:rPr>
          <w:szCs w:val="16"/>
          <w:lang w:val="en-US"/>
        </w:rPr>
        <w:t>, No. 9783/82. Judgment of December 19, 1989, para. 65.</w:t>
      </w:r>
    </w:p>
  </w:footnote>
  <w:footnote w:id="234">
    <w:p w14:paraId="7118311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Paragraph 145 of Merits Report No. 82/13.</w:t>
      </w:r>
    </w:p>
  </w:footnote>
  <w:footnote w:id="235">
    <w:p w14:paraId="4820E3A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Chaparro Álvarez and Lapo Íñiguez v. Ecuador, supra</w:t>
      </w:r>
      <w:r w:rsidRPr="003171CD">
        <w:rPr>
          <w:szCs w:val="16"/>
          <w:lang w:val="en-US"/>
        </w:rPr>
        <w:t>, para. 159.</w:t>
      </w:r>
    </w:p>
  </w:footnote>
  <w:footnote w:id="236">
    <w:p w14:paraId="30CA4779" w14:textId="77777777" w:rsidR="006E2EB2" w:rsidRPr="003171CD" w:rsidRDefault="006E2EB2" w:rsidP="005A65CE">
      <w:pPr>
        <w:adjustRightInd/>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b/>
          <w:sz w:val="16"/>
          <w:szCs w:val="16"/>
          <w:lang w:val="en-US"/>
        </w:rPr>
        <w:tab/>
      </w:r>
      <w:r w:rsidRPr="003171CD">
        <w:rPr>
          <w:i/>
          <w:sz w:val="16"/>
          <w:szCs w:val="16"/>
          <w:lang w:val="en-US"/>
        </w:rPr>
        <w:t xml:space="preserve">Cf. </w:t>
      </w:r>
      <w:r w:rsidRPr="003171CD">
        <w:rPr>
          <w:sz w:val="16"/>
          <w:szCs w:val="16"/>
          <w:lang w:val="en-US"/>
        </w:rPr>
        <w:t xml:space="preserve">Constitutional Court of Colombia, Seventh Review Chamber, </w:t>
      </w:r>
      <w:r w:rsidRPr="003171CD">
        <w:rPr>
          <w:color w:val="000000"/>
          <w:sz w:val="16"/>
          <w:szCs w:val="16"/>
          <w:lang w:val="en-US"/>
        </w:rPr>
        <w:t xml:space="preserve">Judgment T-395/10, </w:t>
      </w:r>
      <w:r w:rsidRPr="003171CD">
        <w:rPr>
          <w:sz w:val="16"/>
          <w:szCs w:val="16"/>
          <w:lang w:val="en-US"/>
        </w:rPr>
        <w:t xml:space="preserve">May 24, 2010 (“[… </w:t>
      </w:r>
      <w:r w:rsidR="0086002B" w:rsidRPr="003171CD">
        <w:rPr>
          <w:sz w:val="16"/>
          <w:szCs w:val="16"/>
          <w:lang w:val="en-US"/>
        </w:rPr>
        <w:t>I] f</w:t>
      </w:r>
      <w:r w:rsidRPr="003171CD">
        <w:rPr>
          <w:sz w:val="16"/>
          <w:szCs w:val="16"/>
          <w:lang w:val="en-US"/>
        </w:rPr>
        <w:t xml:space="preserve"> the defense counsel had acted diligently as required by the nature of his profession, he should have demanded evidence for the full identification of the perpetrator, which would surely have provoked a different decision.”)</w:t>
      </w:r>
    </w:p>
  </w:footnote>
  <w:footnote w:id="237">
    <w:p w14:paraId="5B24C39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bCs/>
          <w:szCs w:val="16"/>
          <w:lang w:val="en-US"/>
        </w:rPr>
        <w:t>Supreme Court of Justice of Colombia, Criminal Cassation Chamber, Case number 42337, Judgment of March 18, 2015 (“</w:t>
      </w:r>
      <w:r w:rsidRPr="003171CD">
        <w:rPr>
          <w:szCs w:val="16"/>
          <w:lang w:val="en-US"/>
        </w:rPr>
        <w:t>The defense did not fulfil its constitutional mandate to limit and oppose the punitive power of the  State, did not resist the punitive claims of the prosecution, did not put forward arguments in favor of the accused, did not develop a theory to benefit his client, did not attempt to lessen the effects of the criminal sanction and, in general,  did not ensure the necessary procedural balance. To summarize, in addition to the lack of a technical legal defense there was a lack of a qualified defense, which of itself denotes the infringement of a fundamental guarantee, which can only be reestablished by returning to the procedural moment when it became evident that the official defense attorney assigned to the defendant by the Office of the Prosecutor had abandoned the case.”)</w:t>
      </w:r>
    </w:p>
  </w:footnote>
  <w:footnote w:id="238">
    <w:p w14:paraId="2C6FB75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Court of Criminal Appeals, Second Judicial Circuit of San José, Costa Rica, Judgment 00323, File 10-003213-0042-PE, February 21, 2014 (“In this particular case, the behavior of the defense counsel during the trial shows that he did not have sufficient knowledge to assert the rights of the accused. This is evident in the following actions: the incorrect questioning of the witnesses; trying to read the conclusions in the oral trial; not being familiar with the various stages of the trial; not knowing how to offer helpful evidence, or what to do when a witness does not appear for a justified reason, especially when it involves essential evidence for the interests of his client. This was so patent that the representatives of the Office of the Attorney General itself […] brought to the Court’s attention the fact that the defense of the accused had not been conducted correctly and that the attorney displayed an obvious ignorance of the criminal proceedings and of the manner in which the oral trial should be conducted. […] During the hearing, the Court found it necessary to admonish the defense on the manner in which it conducted the questioning; to advise him of the prohibition of asking leading or suggestive questions; on how to offer helpful evidence; and to explain the stages of the trial. This shows that the court </w:t>
      </w:r>
      <w:r w:rsidRPr="003171CD">
        <w:rPr>
          <w:i/>
          <w:szCs w:val="16"/>
          <w:lang w:val="en-US"/>
        </w:rPr>
        <w:t>a quo’s</w:t>
      </w:r>
      <w:r w:rsidRPr="003171CD">
        <w:rPr>
          <w:szCs w:val="16"/>
          <w:lang w:val="en-US"/>
        </w:rPr>
        <w:t xml:space="preserve"> conclusion regarding the adequacy of the defense was misguided. […] In this specific case the failings in the exercise of the technical defense were so blatant that they evidence a state of defenselessness that cannot be ignored.”)</w:t>
      </w:r>
    </w:p>
  </w:footnote>
  <w:footnote w:id="239">
    <w:p w14:paraId="54D975B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 xml:space="preserve">Constitutional Court of Colombia, Seventh Review Chamber, </w:t>
      </w:r>
      <w:r w:rsidRPr="003171CD">
        <w:rPr>
          <w:color w:val="000000"/>
          <w:szCs w:val="16"/>
          <w:lang w:val="en-US"/>
        </w:rPr>
        <w:t xml:space="preserve">Judgment T-395/10, </w:t>
      </w:r>
      <w:r w:rsidRPr="003171CD">
        <w:rPr>
          <w:szCs w:val="16"/>
          <w:lang w:val="en-US"/>
        </w:rPr>
        <w:t>May 24, 2010 (“As to the inadequacies of the legal defense resulting from the inactivity of the public defender […] it was confirmed that, indeed, […] he did not properly exercise his functions, since he did not challenge any of the measures or decisions issued by the prosecution, did not request a single piece of evidence, or dispute the allegations made during the pre-trial proceedings. […] The same occurred during the trial phase, where his participation was limited to merely stating at the public hearing that his client was guilty […]. Nor did he challenge the conviction.”)</w:t>
      </w:r>
    </w:p>
  </w:footnote>
  <w:footnote w:id="240">
    <w:p w14:paraId="358704D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Supreme Court of Justice of Argentina, “Guzmán, Jorge Alberto”, Ruling 333:1671, August 31, 2010 (“[… T]he public defender, instead of providing a legal basis for the appeal </w:t>
      </w:r>
      <w:r w:rsidRPr="003171CD">
        <w:rPr>
          <w:i/>
          <w:szCs w:val="16"/>
          <w:lang w:val="en-US"/>
        </w:rPr>
        <w:t>in forma pauperis</w:t>
      </w:r>
      <w:r w:rsidRPr="003171CD">
        <w:rPr>
          <w:szCs w:val="16"/>
          <w:lang w:val="en-US"/>
        </w:rPr>
        <w:t xml:space="preserve"> […] merely transcribed the offenses alleged during the presentation, but did not undertake a specific and reasoned criticism of the arguments which relied on the declaration of guilt and the quantification of the penalty […] Therefore, in line with rulings in similar cases, “Noriega” (Rulings: 330:3526) and “Nacheri, Alberto Guillermo” (Ruling: 332:1095), that circumstance […] amounts to an inadmissible impairment of the right of defense during the trial of the accused. This determines the annulment of the entire proceeding pursuant to the appeal lodged </w:t>
      </w:r>
      <w:r w:rsidRPr="003171CD">
        <w:rPr>
          <w:i/>
          <w:szCs w:val="16"/>
          <w:lang w:val="en-US"/>
        </w:rPr>
        <w:t>in forma pauperis</w:t>
      </w:r>
      <w:r w:rsidRPr="003171CD">
        <w:rPr>
          <w:szCs w:val="16"/>
          <w:lang w:val="en-US"/>
        </w:rPr>
        <w:t xml:space="preserve"> […] given the failure of the defense to provide effective assistance, especially since the legal defense was provided by the State […] and that the proper substantiation of that challenge was fundamental in order to effectively conduct the comprehensive review of the conviction […]”); and Court of Criminal Appeals, Second Judicial Circuit of San José, Costa Rica, Judgment 00971, File 14-000057-0016-PE, July 9, 2015 (“[… T]he challenge must express the grounds for the inconformity or disagreement with the appealed ruling, the grievance caused, the claims, and in addition, must offer evidence to substantiate the allegations. The aforementioned aspects were left unaddressed, without any justification whatsoever by the [defense attorney], which reveals a serious technical and legal ignorance or a careless attitude on his part, in terms of defending the interests of the individual who was his client at the time.”)</w:t>
      </w:r>
    </w:p>
  </w:footnote>
  <w:footnote w:id="241">
    <w:p w14:paraId="17D2826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Constitutional Court of Guatemala, file 4469-2013, Writ of amparo appeal, March 13, 2014 (“[… T]he alleged abandonment of the appellant’s claim was not motived by the petitioner’s lack of interest; rather this was due to the misguided actions of his defense attorney, who omitted to present the brief in a timely manner, so that he could comply with the arraignment. [… T]he procedural failings can only be attributable to the technical defense of the accused, hence, the accused could not be required to appear at that court, since that procedural duty was entrusted to his defense attorney who failed to discharge that obligation. Therefore, the right of the accused to appeal cannot be affected by the failings of the attorney.”) See also, Constitutional Court of Guatemala, file 1560-2014, Writ of amparo appeal, June 17, 2014.</w:t>
      </w:r>
    </w:p>
  </w:footnote>
  <w:footnote w:id="242">
    <w:p w14:paraId="01E092E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The Commission questioned this action based on the statement made by Ruano Torres to the Office of the Human Rights Ombudsman; the statement of a witness contained in the record and of one of the persons that had taken part in the procedure. Those statements indicate, </w:t>
      </w:r>
      <w:r w:rsidRPr="003171CD">
        <w:rPr>
          <w:i/>
          <w:szCs w:val="16"/>
          <w:lang w:val="en-US"/>
        </w:rPr>
        <w:t>inter alia</w:t>
      </w:r>
      <w:r w:rsidRPr="003171CD">
        <w:rPr>
          <w:szCs w:val="16"/>
          <w:lang w:val="en-US"/>
        </w:rPr>
        <w:t>, that the record of the identity parade does not faithfully include the names of all the persons involved in that procedure. Likewise, they held that the prosecutor had pointed out José Agapito Ruano Torres during the identity parade. In this regard, the Office of the Human Rights Ombudsman concluded that “[…] there were notable irregularities in the identity parade of suspects in which Mr. José Agapito Ruano Torres participated, according to the statements of inmates, in the first place because he was pointed out by the Prosecutor and in second place, because the names entered in the respective record do not correspond to the suspects who actually participated, whose names were not recorded at the time when the proceeding was carried out.” Decision issued by the Office of the Human Rights Ombudsman on June 9, 2003 (evidence file, volume V, Annex 1 to the submission of the case, folios 2072 to 2073). This situation was recognized by the State.</w:t>
      </w:r>
    </w:p>
  </w:footnote>
  <w:footnote w:id="243">
    <w:p w14:paraId="1F6FEB8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Herrera Ulloa v. Costa Rica. Preliminary objections, merits, reparations and costs</w:t>
      </w:r>
      <w:r w:rsidRPr="003171CD">
        <w:rPr>
          <w:szCs w:val="16"/>
          <w:lang w:val="en-US"/>
        </w:rPr>
        <w:t xml:space="preserve">. Judgment of July 2, 2004. Series C No. 107, para. 158, and </w:t>
      </w:r>
      <w:r w:rsidRPr="003171CD">
        <w:rPr>
          <w:i/>
          <w:szCs w:val="16"/>
          <w:lang w:val="en-US"/>
        </w:rPr>
        <w:t>Case of Norín Catrimán et al. (Leaders, members and activist of the Mapuche Indigenous Community) v. Chile, supra</w:t>
      </w:r>
      <w:r w:rsidRPr="003171CD">
        <w:rPr>
          <w:szCs w:val="16"/>
          <w:lang w:val="en-US"/>
        </w:rPr>
        <w:t>, para. 269.</w:t>
      </w:r>
    </w:p>
  </w:footnote>
  <w:footnote w:id="244">
    <w:p w14:paraId="23AB647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Barreto Leiva v. Venezuela, supra</w:t>
      </w:r>
      <w:r w:rsidRPr="003171CD">
        <w:rPr>
          <w:szCs w:val="16"/>
          <w:lang w:val="en-US"/>
        </w:rPr>
        <w:t xml:space="preserve">, para. 89, and </w:t>
      </w:r>
      <w:r w:rsidRPr="003171CD">
        <w:rPr>
          <w:i/>
          <w:szCs w:val="16"/>
          <w:lang w:val="en-US"/>
        </w:rPr>
        <w:t>Case of Norín Catrimán et al. (Leaders, members and activist of the Mapuche Indigenous Community) v. Chile, supra</w:t>
      </w:r>
      <w:r w:rsidRPr="003171CD">
        <w:rPr>
          <w:szCs w:val="16"/>
          <w:lang w:val="en-US"/>
        </w:rPr>
        <w:t>, para. 270.</w:t>
      </w:r>
    </w:p>
  </w:footnote>
  <w:footnote w:id="245">
    <w:p w14:paraId="0139686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Fonts w:eastAsiaTheme="minorHAnsi" w:cs="Arial"/>
          <w:i/>
          <w:lang w:val="en-US"/>
        </w:rPr>
        <w:t>Cf.</w:t>
      </w:r>
      <w:r w:rsidRPr="003171CD">
        <w:rPr>
          <w:rFonts w:eastAsiaTheme="minorHAnsi" w:cs="Arial"/>
          <w:lang w:val="en-US"/>
        </w:rPr>
        <w:t xml:space="preserve"> </w:t>
      </w:r>
      <w:r w:rsidRPr="003171CD">
        <w:rPr>
          <w:szCs w:val="16"/>
          <w:lang w:val="en-US"/>
        </w:rPr>
        <w:t xml:space="preserve">Supreme Court of Justice of Argentina, “Rojas Molina”, Ruling </w:t>
      </w:r>
      <w:r w:rsidRPr="003171CD">
        <w:rPr>
          <w:rFonts w:eastAsiaTheme="minorHAnsi" w:cs="Arial"/>
          <w:szCs w:val="16"/>
          <w:lang w:val="en-US"/>
        </w:rPr>
        <w:t xml:space="preserve">189:34, of February 7, 1941. The </w:t>
      </w:r>
      <w:r w:rsidRPr="003171CD">
        <w:rPr>
          <w:rFonts w:eastAsiaTheme="minorHAnsi" w:cs="Arial"/>
          <w:lang w:val="en-US"/>
        </w:rPr>
        <w:t xml:space="preserve">Supreme Court of Justice of </w:t>
      </w:r>
      <w:r w:rsidRPr="003171CD">
        <w:rPr>
          <w:szCs w:val="16"/>
          <w:lang w:val="en-US"/>
        </w:rPr>
        <w:t>Argentina</w:t>
      </w:r>
      <w:r w:rsidRPr="003171CD">
        <w:rPr>
          <w:rFonts w:eastAsiaTheme="minorHAnsi" w:cs="Arial"/>
          <w:lang w:val="en-US"/>
        </w:rPr>
        <w:t xml:space="preserve"> held that in that case “[…] essential rules of procedure were infringed and that the accused ha[d] been convicted without being heard, because the defense attorney assigned to him ha[d] not said a single word in defense of the accused” and stated that “there ha[d] been such negligence that he did not even appeal the judgment that sentenced his client to [17] years in prison.” Therefore, the Supreme Court declared the entire proceeding null and void.</w:t>
      </w:r>
    </w:p>
  </w:footnote>
  <w:footnote w:id="246">
    <w:p w14:paraId="1267A62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Supreme Court of Justice of Argentina, “Scilingo,” Ruling 320:854, May 6, 1997.</w:t>
      </w:r>
    </w:p>
  </w:footnote>
  <w:footnote w:id="247">
    <w:p w14:paraId="2D5D81A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bCs/>
          <w:szCs w:val="16"/>
          <w:lang w:val="en-US"/>
        </w:rPr>
        <w:t xml:space="preserve">Supreme Court of Justice of Colombia, </w:t>
      </w:r>
      <w:r w:rsidRPr="003171CD">
        <w:rPr>
          <w:rFonts w:cs="Arial"/>
          <w:color w:val="242424"/>
          <w:szCs w:val="16"/>
          <w:shd w:val="clear" w:color="auto" w:fill="FFFEEF"/>
          <w:lang w:val="en-US"/>
        </w:rPr>
        <w:t>Criminal Cassation Chamber</w:t>
      </w:r>
      <w:r w:rsidRPr="003171CD">
        <w:rPr>
          <w:bCs/>
          <w:szCs w:val="16"/>
          <w:lang w:val="en-US"/>
        </w:rPr>
        <w:t>, Case number 42337, Judgment of March 18, 2015.</w:t>
      </w:r>
    </w:p>
  </w:footnote>
  <w:footnote w:id="248">
    <w:p w14:paraId="7744C3F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Constitutional Court of Colombia, Seventh Review Chamber, </w:t>
      </w:r>
      <w:r w:rsidRPr="003171CD">
        <w:rPr>
          <w:color w:val="000000"/>
          <w:szCs w:val="16"/>
          <w:lang w:val="en-US"/>
        </w:rPr>
        <w:t xml:space="preserve">Judgment T-395/10, </w:t>
      </w:r>
      <w:r w:rsidRPr="003171CD">
        <w:rPr>
          <w:szCs w:val="16"/>
          <w:lang w:val="en-US"/>
        </w:rPr>
        <w:t>May 24, 2010.</w:t>
      </w:r>
    </w:p>
  </w:footnote>
  <w:footnote w:id="249">
    <w:p w14:paraId="241DE0F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Fonts w:eastAsiaTheme="minorHAnsi" w:cs="Arial"/>
          <w:bCs/>
          <w:iCs/>
          <w:szCs w:val="16"/>
          <w:lang w:val="en-US"/>
        </w:rPr>
        <w:t xml:space="preserve">Supreme Court of Justice of Costa Rica, Constitutional Chamber, </w:t>
      </w:r>
      <w:r w:rsidRPr="003171CD">
        <w:rPr>
          <w:szCs w:val="16"/>
          <w:lang w:val="en-US"/>
        </w:rPr>
        <w:t>Judgment 04520, File 99-003704-0007-CO, June  15, 1999, citing Judgment 05966-93 of November 16, 1993.</w:t>
      </w:r>
    </w:p>
  </w:footnote>
  <w:footnote w:id="250">
    <w:p w14:paraId="294B141B"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Court of Criminal Appeals, Second Judicial Circuit of San José of Costa Rica, Judgment 00323, File 10-003213-0042-PE, 21 February 2014.</w:t>
      </w:r>
    </w:p>
  </w:footnote>
  <w:footnote w:id="251">
    <w:p w14:paraId="404F1D23" w14:textId="77777777" w:rsidR="006E2EB2" w:rsidRPr="003171CD" w:rsidRDefault="006E2EB2" w:rsidP="005A65CE">
      <w:pPr>
        <w:spacing w:after="120"/>
        <w:jc w:val="both"/>
        <w:rPr>
          <w:rFonts w:cs="Times New Roman"/>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w:t>
      </w:r>
      <w:r w:rsidRPr="003171CD">
        <w:rPr>
          <w:sz w:val="16"/>
          <w:szCs w:val="16"/>
          <w:lang w:val="en-US"/>
        </w:rPr>
        <w:t xml:space="preserve"> </w:t>
      </w:r>
      <w:r w:rsidRPr="003171CD">
        <w:rPr>
          <w:i/>
          <w:sz w:val="16"/>
          <w:szCs w:val="16"/>
          <w:lang w:val="en-US"/>
        </w:rPr>
        <w:t>Case of Castillo Páez v. Peru. Merits, supra</w:t>
      </w:r>
      <w:r w:rsidRPr="003171CD">
        <w:rPr>
          <w:sz w:val="16"/>
          <w:szCs w:val="16"/>
          <w:lang w:val="en-US"/>
        </w:rPr>
        <w:t xml:space="preserve">, operative paragraph four, and </w:t>
      </w:r>
      <w:r w:rsidRPr="003171CD">
        <w:rPr>
          <w:i/>
          <w:sz w:val="16"/>
          <w:szCs w:val="16"/>
          <w:lang w:val="en-US"/>
        </w:rPr>
        <w:t>Case of the Peasant Community of Santa Bárbara v. Peru, supra</w:t>
      </w:r>
      <w:r w:rsidRPr="003171CD">
        <w:rPr>
          <w:sz w:val="16"/>
          <w:szCs w:val="16"/>
          <w:lang w:val="en-US"/>
        </w:rPr>
        <w:t>, para. 274.</w:t>
      </w:r>
    </w:p>
  </w:footnote>
  <w:footnote w:id="252">
    <w:p w14:paraId="361D8C93" w14:textId="77777777" w:rsidR="006E2EB2" w:rsidRPr="003171CD" w:rsidRDefault="006E2EB2" w:rsidP="005A65CE">
      <w:pPr>
        <w:pStyle w:val="Piedepgina"/>
        <w:tabs>
          <w:tab w:val="left" w:pos="720"/>
        </w:tabs>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 xml:space="preserve">Cf. Case of Blake v. Guatemala. Merits. </w:t>
      </w:r>
      <w:r w:rsidRPr="003171CD">
        <w:rPr>
          <w:sz w:val="16"/>
          <w:szCs w:val="16"/>
          <w:lang w:val="en-US"/>
        </w:rPr>
        <w:t>Judgment of January 24, 1998.</w:t>
      </w:r>
      <w:r w:rsidRPr="003171CD">
        <w:rPr>
          <w:i/>
          <w:sz w:val="16"/>
          <w:szCs w:val="16"/>
          <w:lang w:val="en-US"/>
        </w:rPr>
        <w:t xml:space="preserve"> </w:t>
      </w:r>
      <w:r w:rsidRPr="003171CD">
        <w:rPr>
          <w:sz w:val="16"/>
          <w:szCs w:val="16"/>
          <w:lang w:val="en-US"/>
        </w:rPr>
        <w:t xml:space="preserve">Series C No. 36, para. 114, and </w:t>
      </w:r>
      <w:r w:rsidRPr="003171CD">
        <w:rPr>
          <w:i/>
          <w:sz w:val="16"/>
          <w:szCs w:val="16"/>
          <w:lang w:val="en-US"/>
        </w:rPr>
        <w:t>Case of Cruz Sánchez et al. v. Peru</w:t>
      </w:r>
      <w:r w:rsidRPr="003171CD">
        <w:rPr>
          <w:sz w:val="16"/>
          <w:szCs w:val="16"/>
          <w:lang w:val="en-US"/>
        </w:rPr>
        <w:t xml:space="preserve">, </w:t>
      </w:r>
      <w:r w:rsidRPr="003171CD">
        <w:rPr>
          <w:i/>
          <w:sz w:val="16"/>
          <w:szCs w:val="16"/>
          <w:lang w:val="en-US"/>
        </w:rPr>
        <w:t>supra</w:t>
      </w:r>
      <w:r w:rsidRPr="003171CD">
        <w:rPr>
          <w:sz w:val="16"/>
          <w:szCs w:val="16"/>
          <w:lang w:val="en-US"/>
        </w:rPr>
        <w:t>, para. 443.</w:t>
      </w:r>
    </w:p>
  </w:footnote>
  <w:footnote w:id="253">
    <w:p w14:paraId="26A6BA79"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ab/>
      </w:r>
      <w:r w:rsidRPr="003171CD">
        <w:rPr>
          <w:i/>
          <w:sz w:val="16"/>
          <w:szCs w:val="16"/>
          <w:lang w:val="en-US"/>
        </w:rPr>
        <w:t>Cf. Case of Bámaca Velásquez v. Guatemala. Merits.</w:t>
      </w:r>
      <w:r w:rsidRPr="003171CD">
        <w:rPr>
          <w:sz w:val="16"/>
          <w:szCs w:val="16"/>
          <w:lang w:val="en-US"/>
        </w:rPr>
        <w:t xml:space="preserve"> Judgment of November 25, 2000. Series C No. 70, para. 163, and </w:t>
      </w:r>
      <w:r w:rsidRPr="003171CD">
        <w:rPr>
          <w:i/>
          <w:sz w:val="16"/>
          <w:szCs w:val="16"/>
          <w:lang w:val="en-US"/>
        </w:rPr>
        <w:t>Case of Gonzales Lluy et al. v. Ecuador, supra</w:t>
      </w:r>
      <w:r w:rsidRPr="003171CD">
        <w:rPr>
          <w:sz w:val="16"/>
          <w:szCs w:val="16"/>
          <w:lang w:val="en-US"/>
        </w:rPr>
        <w:t>, para. 211.</w:t>
      </w:r>
    </w:p>
  </w:footnote>
  <w:footnote w:id="254">
    <w:p w14:paraId="654C69FA"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 Case of the Serrano Cruz Sisters v. El Salvador. Merits, reparations and costs</w:t>
      </w:r>
      <w:r w:rsidRPr="003171CD">
        <w:rPr>
          <w:sz w:val="16"/>
          <w:szCs w:val="16"/>
          <w:lang w:val="en-US"/>
        </w:rPr>
        <w:t xml:space="preserve">. Judgment of March 1, 2005. Series C No. 120, paras. 113 and 114, and </w:t>
      </w:r>
      <w:r w:rsidRPr="003171CD">
        <w:rPr>
          <w:i/>
          <w:sz w:val="16"/>
          <w:szCs w:val="16"/>
          <w:lang w:val="en-US"/>
        </w:rPr>
        <w:t>Case of Gonzales Lluy et al. v. Ecuador, supra</w:t>
      </w:r>
      <w:r w:rsidRPr="003171CD">
        <w:rPr>
          <w:sz w:val="16"/>
          <w:szCs w:val="16"/>
          <w:lang w:val="en-US"/>
        </w:rPr>
        <w:t>, para. 211</w:t>
      </w:r>
      <w:r w:rsidRPr="003171CD">
        <w:rPr>
          <w:bCs/>
          <w:sz w:val="16"/>
          <w:szCs w:val="16"/>
          <w:lang w:val="en-US"/>
        </w:rPr>
        <w:t>.</w:t>
      </w:r>
    </w:p>
  </w:footnote>
  <w:footnote w:id="255">
    <w:p w14:paraId="3F8A9A99"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w:t>
      </w:r>
      <w:r w:rsidRPr="003171CD">
        <w:rPr>
          <w:sz w:val="16"/>
          <w:szCs w:val="16"/>
          <w:lang w:val="en-US"/>
        </w:rPr>
        <w:t xml:space="preserve"> </w:t>
      </w:r>
      <w:r w:rsidRPr="003171CD">
        <w:rPr>
          <w:i/>
          <w:sz w:val="16"/>
          <w:szCs w:val="16"/>
          <w:lang w:val="en-US"/>
        </w:rPr>
        <w:t>Case of the “Mapiripán Massacre” v. Colombia</w:t>
      </w:r>
      <w:r w:rsidRPr="003171CD">
        <w:rPr>
          <w:sz w:val="16"/>
          <w:szCs w:val="16"/>
          <w:lang w:val="en-US"/>
        </w:rPr>
        <w:t xml:space="preserve">. </w:t>
      </w:r>
      <w:r w:rsidRPr="003171CD">
        <w:rPr>
          <w:i/>
          <w:sz w:val="16"/>
          <w:szCs w:val="16"/>
          <w:lang w:val="en-US"/>
        </w:rPr>
        <w:t>Merits, reparations and costs.</w:t>
      </w:r>
      <w:r w:rsidRPr="003171CD">
        <w:rPr>
          <w:sz w:val="16"/>
          <w:szCs w:val="16"/>
          <w:lang w:val="en-US"/>
        </w:rPr>
        <w:t xml:space="preserve"> Judgment of September 15, 2005. Series C No. 134, para. 146.</w:t>
      </w:r>
    </w:p>
  </w:footnote>
  <w:footnote w:id="256">
    <w:p w14:paraId="4359C64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Blake v. Guatemala</w:t>
      </w:r>
      <w:r w:rsidRPr="003171CD">
        <w:rPr>
          <w:szCs w:val="16"/>
          <w:lang w:val="en-US"/>
        </w:rPr>
        <w:t xml:space="preserve">. </w:t>
      </w:r>
      <w:r w:rsidRPr="003171CD">
        <w:rPr>
          <w:i/>
          <w:szCs w:val="16"/>
          <w:lang w:val="en-US"/>
        </w:rPr>
        <w:t>Merits, supra</w:t>
      </w:r>
      <w:r w:rsidRPr="003171CD">
        <w:rPr>
          <w:szCs w:val="16"/>
          <w:lang w:val="en-US"/>
        </w:rPr>
        <w:t xml:space="preserve">, para. 114, and </w:t>
      </w:r>
      <w:r w:rsidRPr="003171CD">
        <w:rPr>
          <w:i/>
          <w:szCs w:val="16"/>
          <w:lang w:val="en-US"/>
        </w:rPr>
        <w:t>Case of the Peasant Community of Santa Bárbara v. Peru, supra</w:t>
      </w:r>
      <w:r w:rsidRPr="003171CD">
        <w:rPr>
          <w:szCs w:val="16"/>
          <w:lang w:val="en-US"/>
        </w:rPr>
        <w:t>, para. 274.</w:t>
      </w:r>
    </w:p>
  </w:footnote>
  <w:footnote w:id="257">
    <w:p w14:paraId="66199FA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La Cantuta v. Peru. Merits, reparations and costs.</w:t>
      </w:r>
      <w:r w:rsidRPr="003171CD">
        <w:rPr>
          <w:szCs w:val="16"/>
          <w:lang w:val="en-US"/>
        </w:rPr>
        <w:t xml:space="preserve"> Judgment of November 29, 2006. Series C No. 162, para. 218, and </w:t>
      </w:r>
      <w:r w:rsidRPr="003171CD">
        <w:rPr>
          <w:rStyle w:val="Textoennegrita"/>
          <w:b w:val="0"/>
          <w:i/>
          <w:szCs w:val="16"/>
          <w:lang w:val="en-US"/>
        </w:rPr>
        <w:t>Case of Cruz Sánchez et al. v. Peru, supra</w:t>
      </w:r>
      <w:r w:rsidRPr="003171CD">
        <w:rPr>
          <w:rStyle w:val="Textoennegrita"/>
          <w:b w:val="0"/>
          <w:szCs w:val="16"/>
          <w:lang w:val="en-US"/>
        </w:rPr>
        <w:t>, para. 444.</w:t>
      </w:r>
    </w:p>
  </w:footnote>
  <w:footnote w:id="258">
    <w:p w14:paraId="000F03D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rStyle w:val="Textoennegrita"/>
          <w:b w:val="0"/>
          <w:i/>
          <w:szCs w:val="16"/>
          <w:lang w:val="en-US"/>
        </w:rPr>
        <w:t>Case of Espinoza Gonzáles v. Peru</w:t>
      </w:r>
      <w:r w:rsidRPr="003171CD">
        <w:rPr>
          <w:i/>
          <w:szCs w:val="16"/>
          <w:lang w:val="en-US"/>
        </w:rPr>
        <w:t>, supra</w:t>
      </w:r>
      <w:r w:rsidRPr="003171CD">
        <w:rPr>
          <w:rStyle w:val="Textoennegrita"/>
          <w:b w:val="0"/>
          <w:szCs w:val="16"/>
          <w:lang w:val="en-US"/>
        </w:rPr>
        <w:t>,</w:t>
      </w:r>
      <w:r w:rsidRPr="003171CD">
        <w:rPr>
          <w:szCs w:val="16"/>
          <w:lang w:val="en-US"/>
        </w:rPr>
        <w:t xml:space="preserve"> para. 297.</w:t>
      </w:r>
    </w:p>
  </w:footnote>
  <w:footnote w:id="259">
    <w:p w14:paraId="5B141D96"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 xml:space="preserve">Cf. Case of Valle Jaramillo et al. v. Colombia. Merits, reparations and costs. </w:t>
      </w:r>
      <w:r w:rsidRPr="003171CD">
        <w:rPr>
          <w:sz w:val="16"/>
          <w:szCs w:val="16"/>
          <w:lang w:val="en-US"/>
        </w:rPr>
        <w:t xml:space="preserve">Judgment of November 27, 2008. Series C No. 192, para. 119, and </w:t>
      </w:r>
      <w:r w:rsidRPr="003171CD">
        <w:rPr>
          <w:rStyle w:val="Textoennegrita"/>
          <w:b w:val="0"/>
          <w:i/>
          <w:sz w:val="16"/>
          <w:szCs w:val="16"/>
          <w:lang w:val="en-US"/>
        </w:rPr>
        <w:t>Case of Cruz Sánchez et al. v. Peru, supra</w:t>
      </w:r>
      <w:r w:rsidRPr="003171CD">
        <w:rPr>
          <w:rStyle w:val="Textoennegrita"/>
          <w:b w:val="0"/>
          <w:sz w:val="16"/>
          <w:szCs w:val="16"/>
          <w:lang w:val="en-US"/>
        </w:rPr>
        <w:t>, para. 444.</w:t>
      </w:r>
    </w:p>
  </w:footnote>
  <w:footnote w:id="260">
    <w:p w14:paraId="2DBFD757"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Valle Jaramillo et al. v. Colombia, supra</w:t>
      </w:r>
      <w:r w:rsidRPr="003171CD">
        <w:rPr>
          <w:szCs w:val="16"/>
          <w:lang w:val="en-US"/>
        </w:rPr>
        <w:t xml:space="preserve">, para. 119, and </w:t>
      </w:r>
      <w:r w:rsidRPr="003171CD">
        <w:rPr>
          <w:rStyle w:val="Textoennegrita"/>
          <w:b w:val="0"/>
          <w:i/>
          <w:szCs w:val="16"/>
          <w:lang w:val="en-US"/>
        </w:rPr>
        <w:t>Case of Cruz Sánchez et al. v. Peru, supra</w:t>
      </w:r>
      <w:r w:rsidRPr="003171CD">
        <w:rPr>
          <w:rStyle w:val="Textoennegrita"/>
          <w:b w:val="0"/>
          <w:szCs w:val="16"/>
          <w:lang w:val="en-US"/>
        </w:rPr>
        <w:t>, para. 445.</w:t>
      </w:r>
    </w:p>
  </w:footnote>
  <w:footnote w:id="261">
    <w:p w14:paraId="33B4EF8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rStyle w:val="Textoennegrita"/>
          <w:b w:val="0"/>
          <w:i/>
          <w:szCs w:val="16"/>
          <w:lang w:val="en-US"/>
        </w:rPr>
        <w:t>Case of Tarazona Arrieta et al. v. Peru. Preliminary objection, merits, reparations and costs.</w:t>
      </w:r>
      <w:r w:rsidRPr="003171CD">
        <w:rPr>
          <w:rStyle w:val="Textoennegrita"/>
          <w:b w:val="0"/>
          <w:szCs w:val="16"/>
          <w:lang w:val="en-US"/>
        </w:rPr>
        <w:t xml:space="preserve"> Judgment of October 15, 2014. Series C No. 286</w:t>
      </w:r>
      <w:r w:rsidRPr="003171CD">
        <w:rPr>
          <w:szCs w:val="16"/>
          <w:lang w:val="en-US"/>
        </w:rPr>
        <w:t>, para. 146.</w:t>
      </w:r>
    </w:p>
  </w:footnote>
  <w:footnote w:id="262">
    <w:p w14:paraId="3F5626D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Valle Jaramillo et al. v. Colombia, supra</w:t>
      </w:r>
      <w:r w:rsidRPr="003171CD">
        <w:rPr>
          <w:szCs w:val="16"/>
          <w:lang w:val="en-US"/>
        </w:rPr>
        <w:t xml:space="preserve">, para. 119; </w:t>
      </w:r>
      <w:r w:rsidRPr="003171CD">
        <w:rPr>
          <w:i/>
          <w:szCs w:val="16"/>
          <w:lang w:val="en-US"/>
        </w:rPr>
        <w:t>Case of Luna López v. Honduras. Merits, reparations and costs</w:t>
      </w:r>
      <w:r w:rsidRPr="003171CD">
        <w:rPr>
          <w:szCs w:val="16"/>
          <w:lang w:val="en-US"/>
        </w:rPr>
        <w:t xml:space="preserve">. Judgment of October 10, 2013. Series C No. 269, para. 204, and </w:t>
      </w:r>
      <w:r w:rsidRPr="003171CD">
        <w:rPr>
          <w:rStyle w:val="Textoennegrita"/>
          <w:b w:val="0"/>
          <w:i/>
          <w:szCs w:val="16"/>
          <w:lang w:val="en-US"/>
        </w:rPr>
        <w:t>Case of Cruz Sánchez et al. v. Peru, supra</w:t>
      </w:r>
      <w:r w:rsidRPr="003171CD">
        <w:rPr>
          <w:rStyle w:val="Textoennegrita"/>
          <w:b w:val="0"/>
          <w:szCs w:val="16"/>
          <w:lang w:val="en-US"/>
        </w:rPr>
        <w:t>, para. 445.</w:t>
      </w:r>
    </w:p>
  </w:footnote>
  <w:footnote w:id="263">
    <w:p w14:paraId="671C2E2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Valle Jaramillo et al. v. Colombia, supra</w:t>
      </w:r>
      <w:r w:rsidRPr="003171CD">
        <w:rPr>
          <w:szCs w:val="16"/>
          <w:lang w:val="en-US"/>
        </w:rPr>
        <w:t xml:space="preserve">, para. 119, and </w:t>
      </w:r>
      <w:r w:rsidRPr="003171CD">
        <w:rPr>
          <w:rStyle w:val="Textoennegrita"/>
          <w:b w:val="0"/>
          <w:i/>
          <w:szCs w:val="16"/>
          <w:lang w:val="en-US"/>
        </w:rPr>
        <w:t>Case of Cruz Sánchez et al. v. Peru, supra</w:t>
      </w:r>
      <w:r w:rsidRPr="003171CD">
        <w:rPr>
          <w:rStyle w:val="Textoennegrita"/>
          <w:b w:val="0"/>
          <w:szCs w:val="16"/>
          <w:lang w:val="en-US"/>
        </w:rPr>
        <w:t>, para. 445.</w:t>
      </w:r>
    </w:p>
  </w:footnote>
  <w:footnote w:id="264">
    <w:p w14:paraId="3F22EB7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w:t>
      </w:r>
      <w:r w:rsidRPr="003171CD">
        <w:rPr>
          <w:szCs w:val="16"/>
          <w:lang w:val="en-US"/>
        </w:rPr>
        <w:t xml:space="preserve"> </w:t>
      </w:r>
      <w:r w:rsidRPr="003171CD">
        <w:rPr>
          <w:i/>
          <w:szCs w:val="16"/>
          <w:lang w:val="en-US"/>
        </w:rPr>
        <w:t>of López Álvarez v. Honduras, supra</w:t>
      </w:r>
      <w:r w:rsidRPr="003171CD">
        <w:rPr>
          <w:szCs w:val="16"/>
          <w:lang w:val="en-US"/>
        </w:rPr>
        <w:t xml:space="preserve">, paras. 116 and 117, and </w:t>
      </w:r>
      <w:r w:rsidRPr="003171CD">
        <w:rPr>
          <w:rFonts w:cs="Arial"/>
          <w:i/>
          <w:color w:val="262626"/>
          <w:szCs w:val="16"/>
          <w:lang w:val="en-US"/>
        </w:rPr>
        <w:t>Case Mendoza et al. v. Argentina. Preliminary objections, merits and reparations.</w:t>
      </w:r>
      <w:r w:rsidRPr="003171CD">
        <w:rPr>
          <w:rFonts w:cs="Arial"/>
          <w:color w:val="262626"/>
          <w:szCs w:val="16"/>
          <w:lang w:val="en-US"/>
        </w:rPr>
        <w:t xml:space="preserve"> Judgment of May 14, 2013. Series C No. 260, paras. 274 to 288</w:t>
      </w:r>
      <w:r w:rsidRPr="003171CD">
        <w:rPr>
          <w:szCs w:val="16"/>
          <w:lang w:val="en-US"/>
        </w:rPr>
        <w:t>.</w:t>
      </w:r>
    </w:p>
  </w:footnote>
  <w:footnote w:id="265">
    <w:p w14:paraId="39B07D57" w14:textId="77777777" w:rsidR="006E2EB2" w:rsidRPr="003171CD" w:rsidRDefault="006E2EB2" w:rsidP="00377619">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María Maribel Guevara de Ruano on April 9, 2015 (evidence file, volume VII, affidavits, folios 2414 to 2415).</w:t>
      </w:r>
    </w:p>
  </w:footnote>
  <w:footnote w:id="266">
    <w:p w14:paraId="42C53A2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Pedro Torres Hércules on April 9, 2015 (evidence file, volume VII, affidavits, folios 2419 to 2420).</w:t>
      </w:r>
    </w:p>
  </w:footnote>
  <w:footnote w:id="267">
    <w:p w14:paraId="235522A5"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María Maribel Guevara de Ruano on April 9, 2015 (evidence file, volume VII, affidavits, folio 2415).</w:t>
      </w:r>
    </w:p>
  </w:footnote>
  <w:footnote w:id="268">
    <w:p w14:paraId="141ECF1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Bueno Alves v. Argentina, supra</w:t>
      </w:r>
      <w:r w:rsidRPr="003171CD">
        <w:rPr>
          <w:szCs w:val="16"/>
          <w:lang w:val="en-US"/>
        </w:rPr>
        <w:t xml:space="preserve">, para. 104, and </w:t>
      </w:r>
      <w:r w:rsidRPr="003171CD">
        <w:rPr>
          <w:i/>
          <w:szCs w:val="16"/>
          <w:lang w:val="en-US"/>
        </w:rPr>
        <w:t>Case of Escué Zapata v. Colombia. Merits, reparations and costs, supra</w:t>
      </w:r>
      <w:r w:rsidRPr="003171CD">
        <w:rPr>
          <w:szCs w:val="16"/>
          <w:lang w:val="en-US"/>
        </w:rPr>
        <w:t>, para. 79.</w:t>
      </w:r>
    </w:p>
  </w:footnote>
  <w:footnote w:id="269">
    <w:p w14:paraId="7CFA585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 xml:space="preserve">Expert opinion rendered by Diana Lourdes Miranda Guerrero on April 9, 2015 (evidence file, volume VII, </w:t>
      </w:r>
      <w:r w:rsidRPr="003171CD">
        <w:rPr>
          <w:i/>
          <w:szCs w:val="16"/>
          <w:lang w:val="en-US"/>
        </w:rPr>
        <w:t>affidavits</w:t>
      </w:r>
      <w:r w:rsidRPr="003171CD">
        <w:rPr>
          <w:szCs w:val="16"/>
          <w:lang w:val="en-US"/>
        </w:rPr>
        <w:t>, folio 2431).</w:t>
      </w:r>
    </w:p>
  </w:footnote>
  <w:footnote w:id="270">
    <w:p w14:paraId="2B1C4FB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Affidavit rendered by María Maribel Guevara de Ruano on April 9, 2015 (evidence file, volume VII, affidavits, folio 2415).</w:t>
      </w:r>
    </w:p>
  </w:footnote>
  <w:footnote w:id="271">
    <w:p w14:paraId="782BAD7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María Maribel Guevara de Ruano on April 9, 2015 (evidence file, volume VII, affidavits, folio 2416).</w:t>
      </w:r>
    </w:p>
  </w:footnote>
  <w:footnote w:id="272">
    <w:p w14:paraId="3EA9D99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Affidavit rendered by María Maribel Guevara de Ruano on April 9, 2015 (evidence file, volume VII, affidavits, folio 2416).</w:t>
      </w:r>
    </w:p>
  </w:footnote>
  <w:footnote w:id="273">
    <w:p w14:paraId="150C399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Affidavit rendered by María Maribel Guevara de Ruano on April 9, 2015 (evidence file, volume VII, affidavits, folio 2415).</w:t>
      </w:r>
    </w:p>
  </w:footnote>
  <w:footnote w:id="274">
    <w:p w14:paraId="1109116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Expert opinion provided by affidavit by Diana Lourdes Miranda Guerrero on April 9, 2015 (evidence file, volume VII, affidavits, folio 2433).</w:t>
      </w:r>
    </w:p>
  </w:footnote>
  <w:footnote w:id="275">
    <w:p w14:paraId="23ED1F7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López Álvarez v. Honduras, supra</w:t>
      </w:r>
      <w:r w:rsidRPr="003171CD">
        <w:rPr>
          <w:szCs w:val="16"/>
          <w:lang w:val="en-US"/>
        </w:rPr>
        <w:t>, para. 116.</w:t>
      </w:r>
    </w:p>
  </w:footnote>
  <w:footnote w:id="276">
    <w:p w14:paraId="5ADDE968"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Pedro Torres Hércules on April 9, 2015 (evidence file, volume VII, affidavits, folio 2418).</w:t>
      </w:r>
    </w:p>
  </w:footnote>
  <w:footnote w:id="277">
    <w:p w14:paraId="0E50234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szCs w:val="16"/>
          <w:lang w:val="en-US"/>
        </w:rPr>
        <w:t>Affidavit rendered by Pedro Torres Hércules on April 9, 2015 (evidence file, volume VII, affidavits, folios 2421 to 2426).</w:t>
      </w:r>
    </w:p>
  </w:footnote>
  <w:footnote w:id="278">
    <w:p w14:paraId="3367501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Affidavit rendered by Pedro Torres Hércules on April 9, 2015 (evidence file, volume VII, affidavits, folio 2428).</w:t>
      </w:r>
    </w:p>
  </w:footnote>
  <w:footnote w:id="279">
    <w:p w14:paraId="1D783349"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t>Article 63(1) of the Convention establishes that “[i]</w:t>
      </w:r>
      <w:r w:rsidRPr="003171CD">
        <w:rPr>
          <w:color w:val="000000"/>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3171CD">
        <w:rPr>
          <w:szCs w:val="16"/>
          <w:lang w:val="en-US"/>
        </w:rPr>
        <w:t>.”</w:t>
      </w:r>
    </w:p>
  </w:footnote>
  <w:footnote w:id="280">
    <w:p w14:paraId="27544273"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rStyle w:val="Textoennegrita"/>
          <w:b w:val="0"/>
          <w:i/>
          <w:color w:val="000000"/>
          <w:szCs w:val="16"/>
          <w:shd w:val="clear" w:color="auto" w:fill="FFFFFF"/>
          <w:lang w:val="en-US"/>
        </w:rPr>
        <w:t>Case of Velásquez Rodríguez v. Honduras. Reparations and costs</w:t>
      </w:r>
      <w:r w:rsidRPr="003171CD">
        <w:rPr>
          <w:rStyle w:val="Textoennegrita"/>
          <w:b w:val="0"/>
          <w:color w:val="000000"/>
          <w:szCs w:val="16"/>
          <w:shd w:val="clear" w:color="auto" w:fill="FFFFFF"/>
          <w:lang w:val="en-US"/>
        </w:rPr>
        <w:t xml:space="preserve">. Judgment of July 21, 1989. Series C No. 7, para. 25, and </w:t>
      </w:r>
      <w:r w:rsidRPr="003171CD">
        <w:rPr>
          <w:i/>
          <w:szCs w:val="16"/>
          <w:lang w:val="en-US"/>
        </w:rPr>
        <w:t>Case of Omar Humberto Maldonado Vargas et al. v. Chile, supra</w:t>
      </w:r>
      <w:r w:rsidRPr="003171CD">
        <w:rPr>
          <w:spacing w:val="-4"/>
          <w:szCs w:val="16"/>
          <w:lang w:val="en-US"/>
        </w:rPr>
        <w:t>, para. 149.</w:t>
      </w:r>
    </w:p>
  </w:footnote>
  <w:footnote w:id="281">
    <w:p w14:paraId="668601D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Velásquez Rodríguez v. Honduras</w:t>
      </w:r>
      <w:r w:rsidRPr="003171CD">
        <w:rPr>
          <w:szCs w:val="16"/>
          <w:lang w:val="en-US"/>
        </w:rPr>
        <w:t xml:space="preserve">. </w:t>
      </w:r>
      <w:r w:rsidRPr="003171CD">
        <w:rPr>
          <w:i/>
          <w:szCs w:val="16"/>
          <w:lang w:val="en-US"/>
        </w:rPr>
        <w:t>Reparations and costs</w:t>
      </w:r>
      <w:r w:rsidRPr="003171CD">
        <w:rPr>
          <w:szCs w:val="16"/>
          <w:lang w:val="en-US"/>
        </w:rPr>
        <w:t xml:space="preserve">, </w:t>
      </w:r>
      <w:r w:rsidRPr="003171CD">
        <w:rPr>
          <w:i/>
          <w:szCs w:val="16"/>
          <w:lang w:val="en-US"/>
        </w:rPr>
        <w:t>supra</w:t>
      </w:r>
      <w:r w:rsidRPr="003171CD">
        <w:rPr>
          <w:szCs w:val="16"/>
          <w:lang w:val="en-US"/>
        </w:rPr>
        <w:t xml:space="preserve">, para. 26, and </w:t>
      </w:r>
      <w:r w:rsidRPr="003171CD">
        <w:rPr>
          <w:i/>
          <w:szCs w:val="16"/>
          <w:lang w:val="en-US"/>
        </w:rPr>
        <w:t>Case of Omar Humberto Maldonado Vargas et al. v. Chile, supra</w:t>
      </w:r>
      <w:r w:rsidRPr="003171CD">
        <w:rPr>
          <w:spacing w:val="-4"/>
          <w:szCs w:val="16"/>
          <w:lang w:val="en-US"/>
        </w:rPr>
        <w:t>, para. 150</w:t>
      </w:r>
      <w:r w:rsidRPr="003171CD">
        <w:rPr>
          <w:szCs w:val="16"/>
          <w:lang w:val="en-US"/>
        </w:rPr>
        <w:t>.</w:t>
      </w:r>
    </w:p>
  </w:footnote>
  <w:footnote w:id="282">
    <w:p w14:paraId="3E0109DE"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Cantoral Benavides v. Peru</w:t>
      </w:r>
      <w:r w:rsidRPr="003171CD">
        <w:rPr>
          <w:szCs w:val="16"/>
          <w:lang w:val="en-US"/>
        </w:rPr>
        <w:t xml:space="preserve">. </w:t>
      </w:r>
      <w:r w:rsidRPr="003171CD">
        <w:rPr>
          <w:i/>
          <w:szCs w:val="16"/>
          <w:lang w:val="en-US"/>
        </w:rPr>
        <w:t>Reparations and costs</w:t>
      </w:r>
      <w:r w:rsidRPr="003171CD">
        <w:rPr>
          <w:szCs w:val="16"/>
          <w:lang w:val="en-US"/>
        </w:rPr>
        <w:t xml:space="preserve">. Judgment of December 3, 2001. Series C No. 88, paras. 79 to 81, and </w:t>
      </w:r>
      <w:r w:rsidRPr="003171CD">
        <w:rPr>
          <w:i/>
          <w:szCs w:val="16"/>
          <w:lang w:val="en-US"/>
        </w:rPr>
        <w:t>Case of Omar Humberto Maldonado Vargas et al. v. Chile, supra</w:t>
      </w:r>
      <w:r w:rsidRPr="003171CD">
        <w:rPr>
          <w:spacing w:val="-4"/>
          <w:szCs w:val="16"/>
          <w:lang w:val="en-US"/>
        </w:rPr>
        <w:t>, para. 150</w:t>
      </w:r>
      <w:r w:rsidRPr="003171CD">
        <w:rPr>
          <w:szCs w:val="16"/>
          <w:lang w:val="en-US"/>
        </w:rPr>
        <w:t>.</w:t>
      </w:r>
    </w:p>
  </w:footnote>
  <w:footnote w:id="283">
    <w:p w14:paraId="48E45A0C"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Case of Ticona Estrada et al. v. Bolivia. Merits, reparations and costs. </w:t>
      </w:r>
      <w:r w:rsidRPr="003171CD">
        <w:rPr>
          <w:szCs w:val="16"/>
          <w:lang w:val="en-US"/>
        </w:rPr>
        <w:t>Judgment of November 27, 2008. Series C No. 191, para. 110,</w:t>
      </w:r>
      <w:r w:rsidRPr="003171CD">
        <w:rPr>
          <w:i/>
          <w:szCs w:val="16"/>
          <w:lang w:val="en-US"/>
        </w:rPr>
        <w:t xml:space="preserve"> and Case of Omar Humberto Maldonado Vargas et al. v. Chile, supra</w:t>
      </w:r>
      <w:r w:rsidRPr="003171CD">
        <w:rPr>
          <w:spacing w:val="-4"/>
          <w:szCs w:val="16"/>
          <w:lang w:val="en-US"/>
        </w:rPr>
        <w:t>, para. 149</w:t>
      </w:r>
      <w:r w:rsidRPr="003171CD">
        <w:rPr>
          <w:szCs w:val="16"/>
          <w:lang w:val="en-US"/>
        </w:rPr>
        <w:t>.</w:t>
      </w:r>
    </w:p>
  </w:footnote>
  <w:footnote w:id="284">
    <w:p w14:paraId="7B5F5460"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rStyle w:val="Textoennegrita"/>
          <w:b w:val="0"/>
          <w:i/>
          <w:color w:val="000000"/>
          <w:szCs w:val="16"/>
          <w:shd w:val="clear" w:color="auto" w:fill="FFFFFF"/>
          <w:lang w:val="en-US"/>
        </w:rPr>
        <w:t>Case of Velásquez Rodríguez v. Honduras</w:t>
      </w:r>
      <w:r w:rsidRPr="003171CD">
        <w:rPr>
          <w:i/>
          <w:szCs w:val="16"/>
          <w:lang w:val="en-US"/>
        </w:rPr>
        <w:t xml:space="preserve">. Reparations and costs, supra, </w:t>
      </w:r>
      <w:r w:rsidRPr="003171CD">
        <w:rPr>
          <w:szCs w:val="16"/>
          <w:lang w:val="en-US"/>
        </w:rPr>
        <w:t xml:space="preserve">paras. 25 to 27, and </w:t>
      </w:r>
      <w:r w:rsidRPr="003171CD">
        <w:rPr>
          <w:i/>
          <w:szCs w:val="16"/>
          <w:lang w:val="en-US"/>
        </w:rPr>
        <w:t>Case of Omar Humberto Maldonado Vargas et al. v. Chile, supra</w:t>
      </w:r>
      <w:r w:rsidRPr="003171CD">
        <w:rPr>
          <w:spacing w:val="-4"/>
          <w:szCs w:val="16"/>
          <w:lang w:val="en-US"/>
        </w:rPr>
        <w:t>, para. 151</w:t>
      </w:r>
      <w:r w:rsidRPr="003171CD">
        <w:rPr>
          <w:szCs w:val="16"/>
          <w:lang w:val="en-US"/>
        </w:rPr>
        <w:t>.</w:t>
      </w:r>
    </w:p>
  </w:footnote>
  <w:footnote w:id="285">
    <w:p w14:paraId="1334D4CC" w14:textId="77777777" w:rsidR="006E2EB2" w:rsidRPr="003171CD" w:rsidRDefault="006E2EB2" w:rsidP="005A65CE">
      <w:pPr>
        <w:pStyle w:val="Textonotapie"/>
        <w:spacing w:after="120"/>
        <w:jc w:val="both"/>
        <w:rPr>
          <w:spacing w:val="-4"/>
          <w:szCs w:val="16"/>
          <w:lang w:val="en-US"/>
        </w:rPr>
      </w:pPr>
      <w:r w:rsidRPr="003171CD">
        <w:rPr>
          <w:rStyle w:val="Refdenotaalpie"/>
          <w:spacing w:val="-4"/>
          <w:szCs w:val="16"/>
          <w:lang w:val="en-US"/>
        </w:rPr>
        <w:footnoteRef/>
      </w:r>
      <w:r w:rsidRPr="003171CD">
        <w:rPr>
          <w:spacing w:val="-4"/>
          <w:szCs w:val="16"/>
          <w:lang w:val="en-US"/>
        </w:rPr>
        <w:t xml:space="preserve"> </w:t>
      </w:r>
      <w:r w:rsidRPr="003171CD">
        <w:rPr>
          <w:i/>
          <w:spacing w:val="-4"/>
          <w:szCs w:val="16"/>
          <w:lang w:val="en-US"/>
        </w:rPr>
        <w:tab/>
        <w:t xml:space="preserve">Cf. </w:t>
      </w:r>
      <w:r w:rsidRPr="003171CD">
        <w:rPr>
          <w:i/>
          <w:szCs w:val="16"/>
          <w:lang w:val="en-US"/>
        </w:rPr>
        <w:t>Case of the Massacre of La Rochela v. Colombia. Merits, reparations and costs.</w:t>
      </w:r>
      <w:r w:rsidRPr="003171CD">
        <w:rPr>
          <w:szCs w:val="16"/>
          <w:lang w:val="en-US"/>
        </w:rPr>
        <w:t xml:space="preserve"> Judgment of May 11, 2007. Series C No. 163</w:t>
      </w:r>
      <w:r w:rsidRPr="003171CD">
        <w:rPr>
          <w:spacing w:val="-4"/>
          <w:szCs w:val="16"/>
          <w:lang w:val="en-US"/>
        </w:rPr>
        <w:t xml:space="preserve">, para. 233, and </w:t>
      </w:r>
      <w:r w:rsidRPr="003171CD">
        <w:rPr>
          <w:i/>
          <w:szCs w:val="16"/>
          <w:lang w:val="en-US"/>
        </w:rPr>
        <w:t>Case of Omar Humberto Maldonado Vargas et al. v. Chile, supra</w:t>
      </w:r>
      <w:r w:rsidRPr="003171CD">
        <w:rPr>
          <w:spacing w:val="-4"/>
          <w:szCs w:val="16"/>
          <w:lang w:val="en-US"/>
        </w:rPr>
        <w:t>, para. 153.</w:t>
      </w:r>
    </w:p>
  </w:footnote>
  <w:footnote w:id="286">
    <w:p w14:paraId="6CD45B91" w14:textId="77777777" w:rsidR="006E2EB2" w:rsidRPr="003171CD" w:rsidRDefault="006E2EB2" w:rsidP="005A65CE">
      <w:pPr>
        <w:pStyle w:val="Textonotapie"/>
        <w:spacing w:after="120"/>
        <w:jc w:val="both"/>
        <w:rPr>
          <w:iCs/>
          <w:szCs w:val="16"/>
          <w:lang w:val="en-US"/>
        </w:rPr>
      </w:pPr>
      <w:r w:rsidRPr="003171CD">
        <w:rPr>
          <w:rStyle w:val="Refdenotaalpie"/>
          <w:szCs w:val="16"/>
          <w:lang w:val="en-US"/>
        </w:rPr>
        <w:footnoteRef/>
      </w:r>
      <w:r w:rsidRPr="003171CD">
        <w:rPr>
          <w:szCs w:val="16"/>
          <w:lang w:val="en-US"/>
        </w:rPr>
        <w:tab/>
      </w:r>
      <w:r w:rsidRPr="003171CD">
        <w:rPr>
          <w:i/>
          <w:iCs/>
          <w:szCs w:val="16"/>
          <w:lang w:val="en-US"/>
        </w:rPr>
        <w:t xml:space="preserve">Cf. </w:t>
      </w:r>
      <w:r w:rsidRPr="003171CD">
        <w:rPr>
          <w:i/>
          <w:szCs w:val="16"/>
          <w:lang w:val="en-US"/>
        </w:rPr>
        <w:t>Case of Cantoral Benavides v. Peru.</w:t>
      </w:r>
      <w:r w:rsidRPr="003171CD">
        <w:rPr>
          <w:szCs w:val="16"/>
          <w:lang w:val="en-US"/>
        </w:rPr>
        <w:t xml:space="preserve"> </w:t>
      </w:r>
      <w:r w:rsidRPr="003171CD">
        <w:rPr>
          <w:i/>
          <w:szCs w:val="16"/>
          <w:lang w:val="en-US"/>
        </w:rPr>
        <w:t>Reparations</w:t>
      </w:r>
      <w:r w:rsidRPr="003171CD">
        <w:rPr>
          <w:szCs w:val="16"/>
          <w:lang w:val="en-US"/>
        </w:rPr>
        <w:t xml:space="preserve"> and </w:t>
      </w:r>
      <w:r w:rsidRPr="003171CD">
        <w:rPr>
          <w:i/>
          <w:szCs w:val="16"/>
          <w:lang w:val="en-US"/>
        </w:rPr>
        <w:t>Costs</w:t>
      </w:r>
      <w:r w:rsidRPr="003171CD">
        <w:rPr>
          <w:szCs w:val="16"/>
          <w:lang w:val="en-US"/>
        </w:rPr>
        <w:t xml:space="preserve">, </w:t>
      </w:r>
      <w:r w:rsidRPr="003171CD">
        <w:rPr>
          <w:i/>
          <w:szCs w:val="16"/>
          <w:lang w:val="en-US"/>
        </w:rPr>
        <w:t>supra</w:t>
      </w:r>
      <w:r w:rsidRPr="003171CD">
        <w:rPr>
          <w:iCs/>
          <w:szCs w:val="16"/>
          <w:lang w:val="en-US"/>
        </w:rPr>
        <w:t>,</w:t>
      </w:r>
      <w:r w:rsidRPr="003171CD">
        <w:rPr>
          <w:i/>
          <w:iCs/>
          <w:szCs w:val="16"/>
          <w:lang w:val="en-US"/>
        </w:rPr>
        <w:t xml:space="preserve"> </w:t>
      </w:r>
      <w:r w:rsidRPr="003171CD">
        <w:rPr>
          <w:iCs/>
          <w:szCs w:val="16"/>
          <w:lang w:val="en-US"/>
        </w:rPr>
        <w:t xml:space="preserve">para. 70, and </w:t>
      </w:r>
      <w:r w:rsidRPr="003171CD">
        <w:rPr>
          <w:i/>
          <w:szCs w:val="16"/>
          <w:lang w:val="en-US"/>
        </w:rPr>
        <w:t>Case of Omar Humberto Maldonado Vargas et al. v. Chile, supra</w:t>
      </w:r>
      <w:r w:rsidRPr="003171CD">
        <w:rPr>
          <w:spacing w:val="-4"/>
          <w:szCs w:val="16"/>
          <w:lang w:val="en-US"/>
        </w:rPr>
        <w:t>, para. 155</w:t>
      </w:r>
      <w:r w:rsidRPr="003171CD">
        <w:rPr>
          <w:iCs/>
          <w:szCs w:val="16"/>
          <w:lang w:val="en-US"/>
        </w:rPr>
        <w:t>.</w:t>
      </w:r>
    </w:p>
  </w:footnote>
  <w:footnote w:id="287">
    <w:p w14:paraId="29C9B221"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rFonts w:cs="Arial"/>
          <w:bCs/>
          <w:szCs w:val="16"/>
          <w:lang w:val="en-US"/>
        </w:rPr>
        <w:t xml:space="preserve">United Nations Office of the High Commissioner for Human Rights, </w:t>
      </w:r>
      <w:r w:rsidRPr="003171CD">
        <w:rPr>
          <w:i/>
          <w:szCs w:val="16"/>
          <w:lang w:val="en-US"/>
        </w:rPr>
        <w:t xml:space="preserve">Istanbul Protocol. </w:t>
      </w:r>
      <w:r w:rsidRPr="003171CD">
        <w:rPr>
          <w:bCs/>
          <w:i/>
          <w:iCs/>
          <w:szCs w:val="16"/>
          <w:lang w:val="en-US" w:bidi="en-US"/>
        </w:rPr>
        <w:t>Manual on the Effective Investigation and Documentation of Torture and Other Cruel, Inhuman or Degrading Treatment or Punishment</w:t>
      </w:r>
      <w:r w:rsidRPr="003171CD">
        <w:rPr>
          <w:bCs/>
          <w:iCs/>
          <w:szCs w:val="16"/>
          <w:lang w:val="en-US" w:bidi="en-US"/>
        </w:rPr>
        <w:t xml:space="preserve">, </w:t>
      </w:r>
      <w:r w:rsidRPr="003171CD">
        <w:rPr>
          <w:rFonts w:cs="Arial"/>
          <w:bCs/>
          <w:szCs w:val="16"/>
          <w:lang w:val="en-US"/>
        </w:rPr>
        <w:t>New York and Geneva, 2001</w:t>
      </w:r>
      <w:r w:rsidRPr="003171CD">
        <w:rPr>
          <w:bCs/>
          <w:iCs/>
          <w:szCs w:val="16"/>
          <w:lang w:val="en-US" w:bidi="en-US"/>
        </w:rPr>
        <w:t>.</w:t>
      </w:r>
    </w:p>
  </w:footnote>
  <w:footnote w:id="288">
    <w:p w14:paraId="39C3578F"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Barrios Altos v. Peru</w:t>
      </w:r>
      <w:r w:rsidRPr="003171CD">
        <w:rPr>
          <w:szCs w:val="16"/>
          <w:lang w:val="en-US"/>
        </w:rPr>
        <w:t xml:space="preserve">. </w:t>
      </w:r>
      <w:r w:rsidRPr="003171CD">
        <w:rPr>
          <w:i/>
          <w:szCs w:val="16"/>
          <w:lang w:val="en-US"/>
        </w:rPr>
        <w:t>Reparations and Costs.</w:t>
      </w:r>
      <w:r w:rsidRPr="003171CD">
        <w:rPr>
          <w:szCs w:val="16"/>
          <w:lang w:val="en-US"/>
        </w:rPr>
        <w:t xml:space="preserve"> Judgment of November 30, 2001. Series C No. 87, paras. 42 and 45, and </w:t>
      </w:r>
      <w:r w:rsidRPr="003171CD">
        <w:rPr>
          <w:i/>
          <w:szCs w:val="16"/>
          <w:lang w:val="en-US"/>
        </w:rPr>
        <w:t xml:space="preserve">Case </w:t>
      </w:r>
      <w:r w:rsidR="00DF4E7C" w:rsidRPr="003171CD">
        <w:rPr>
          <w:i/>
          <w:szCs w:val="16"/>
          <w:lang w:val="en-US"/>
        </w:rPr>
        <w:t xml:space="preserve">of the </w:t>
      </w:r>
      <w:r w:rsidRPr="003171CD">
        <w:rPr>
          <w:i/>
          <w:szCs w:val="16"/>
          <w:lang w:val="en-US"/>
        </w:rPr>
        <w:t>Peasant Community of Santa Bárbara v. Peru, supra</w:t>
      </w:r>
      <w:r w:rsidRPr="003171CD">
        <w:rPr>
          <w:szCs w:val="16"/>
          <w:lang w:val="en-US"/>
        </w:rPr>
        <w:t>, para. 308.</w:t>
      </w:r>
    </w:p>
  </w:footnote>
  <w:footnote w:id="289">
    <w:p w14:paraId="1602CBF0" w14:textId="77777777" w:rsidR="006E2EB2" w:rsidRPr="003171CD" w:rsidRDefault="006E2EB2" w:rsidP="005A65CE">
      <w:pPr>
        <w:pStyle w:val="Textonotapie"/>
        <w:tabs>
          <w:tab w:val="left" w:pos="709"/>
        </w:tabs>
        <w:spacing w:after="120"/>
        <w:jc w:val="both"/>
        <w:rPr>
          <w:rFonts w:cs="Verdana"/>
          <w:bCs/>
          <w:szCs w:val="16"/>
          <w:lang w:val="en-US"/>
        </w:rPr>
      </w:pPr>
      <w:r w:rsidRPr="003171CD">
        <w:rPr>
          <w:rStyle w:val="Refdenotaalpie"/>
          <w:color w:val="000000"/>
          <w:szCs w:val="16"/>
          <w:lang w:val="en-US"/>
        </w:rPr>
        <w:footnoteRef/>
      </w:r>
      <w:r w:rsidRPr="003171CD">
        <w:rPr>
          <w:szCs w:val="16"/>
          <w:lang w:val="en-US"/>
        </w:rPr>
        <w:tab/>
      </w:r>
      <w:r w:rsidRPr="003171CD">
        <w:rPr>
          <w:i/>
          <w:szCs w:val="16"/>
          <w:lang w:val="en-US"/>
        </w:rPr>
        <w:t xml:space="preserve">Cf. Case of the 19 Merchants v. Colombia. Merits, reparations and costs. </w:t>
      </w:r>
      <w:r w:rsidRPr="003171CD">
        <w:rPr>
          <w:szCs w:val="16"/>
          <w:lang w:val="en-US"/>
        </w:rPr>
        <w:t xml:space="preserve">Judgment of July 5, 2004. Series C No. 109, para. 278, and </w:t>
      </w:r>
      <w:r w:rsidRPr="003171CD">
        <w:rPr>
          <w:i/>
          <w:szCs w:val="16"/>
          <w:lang w:val="en-US"/>
        </w:rPr>
        <w:t>Case of the Peasant Community of Santa Bárbara v. Peru, supra</w:t>
      </w:r>
      <w:r w:rsidRPr="003171CD">
        <w:rPr>
          <w:szCs w:val="16"/>
          <w:lang w:val="en-US"/>
        </w:rPr>
        <w:t>, para. 308.</w:t>
      </w:r>
    </w:p>
  </w:footnote>
  <w:footnote w:id="290">
    <w:p w14:paraId="04567881"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w:t>
      </w:r>
      <w:r w:rsidRPr="003171CD">
        <w:rPr>
          <w:szCs w:val="16"/>
          <w:lang w:val="en-US"/>
        </w:rPr>
        <w:t xml:space="preserve"> </w:t>
      </w:r>
      <w:r w:rsidRPr="003171CD">
        <w:rPr>
          <w:i/>
          <w:szCs w:val="16"/>
          <w:lang w:val="en-US"/>
        </w:rPr>
        <w:t>Fernández Ortega et al. v. Mexico, supra</w:t>
      </w:r>
      <w:r w:rsidRPr="003171CD">
        <w:rPr>
          <w:szCs w:val="16"/>
          <w:lang w:val="en-US"/>
        </w:rPr>
        <w:t>,</w:t>
      </w:r>
      <w:r w:rsidRPr="003171CD" w:rsidDel="00993891">
        <w:rPr>
          <w:szCs w:val="16"/>
          <w:lang w:val="en-US"/>
        </w:rPr>
        <w:t xml:space="preserve"> </w:t>
      </w:r>
      <w:r w:rsidRPr="003171CD">
        <w:rPr>
          <w:szCs w:val="16"/>
          <w:lang w:val="en-US"/>
        </w:rPr>
        <w:t xml:space="preserve">para. 252, and </w:t>
      </w:r>
      <w:r w:rsidRPr="003171CD">
        <w:rPr>
          <w:i/>
          <w:szCs w:val="16"/>
          <w:lang w:val="en-US"/>
        </w:rPr>
        <w:t>Case of the Peasant Community of Santa Bárbara v. Peru, supra</w:t>
      </w:r>
      <w:r w:rsidRPr="003171CD">
        <w:rPr>
          <w:szCs w:val="16"/>
          <w:lang w:val="en-US"/>
        </w:rPr>
        <w:t>, para. 308.</w:t>
      </w:r>
    </w:p>
  </w:footnote>
  <w:footnote w:id="291">
    <w:p w14:paraId="045996D4" w14:textId="77777777" w:rsidR="006E2EB2" w:rsidRPr="003171CD" w:rsidRDefault="006E2EB2" w:rsidP="005A65CE">
      <w:pPr>
        <w:pStyle w:val="Textonotapie"/>
        <w:tabs>
          <w:tab w:val="left" w:pos="709"/>
        </w:tabs>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w:t>
      </w:r>
      <w:r w:rsidRPr="003171CD">
        <w:rPr>
          <w:szCs w:val="16"/>
          <w:lang w:val="en-US"/>
        </w:rPr>
        <w:t xml:space="preserve"> </w:t>
      </w:r>
      <w:r w:rsidRPr="003171CD">
        <w:rPr>
          <w:i/>
          <w:szCs w:val="16"/>
          <w:lang w:val="en-US"/>
        </w:rPr>
        <w:t>Case of the Gómez Paquiyauri Brothers v. Peru</w:t>
      </w:r>
      <w:r w:rsidRPr="003171CD">
        <w:rPr>
          <w:szCs w:val="16"/>
          <w:lang w:val="en-US"/>
        </w:rPr>
        <w:t xml:space="preserve">. </w:t>
      </w:r>
      <w:r w:rsidRPr="003171CD">
        <w:rPr>
          <w:i/>
          <w:szCs w:val="16"/>
          <w:lang w:val="en-US"/>
        </w:rPr>
        <w:t>Merits, reparations and costs</w:t>
      </w:r>
      <w:r w:rsidRPr="003171CD">
        <w:rPr>
          <w:szCs w:val="16"/>
          <w:lang w:val="en-US"/>
        </w:rPr>
        <w:t xml:space="preserve">. Judgment of July 8, 2004. Series C No. 110, para. 237, and </w:t>
      </w:r>
      <w:r w:rsidRPr="003171CD">
        <w:rPr>
          <w:i/>
          <w:szCs w:val="16"/>
          <w:lang w:val="en-US"/>
        </w:rPr>
        <w:t xml:space="preserve">Case of Norín Catrimán et al. (Leaders, members and activist of the </w:t>
      </w:r>
      <w:r w:rsidR="00AD5B50" w:rsidRPr="003171CD">
        <w:rPr>
          <w:i/>
          <w:szCs w:val="16"/>
          <w:lang w:val="en-US"/>
        </w:rPr>
        <w:t>Mapuche Indigenous Community) v</w:t>
      </w:r>
      <w:r w:rsidRPr="003171CD">
        <w:rPr>
          <w:i/>
          <w:szCs w:val="16"/>
          <w:lang w:val="en-US"/>
        </w:rPr>
        <w:t>. Chile, supra</w:t>
      </w:r>
      <w:r w:rsidRPr="003171CD">
        <w:rPr>
          <w:szCs w:val="16"/>
          <w:lang w:val="en-US"/>
        </w:rPr>
        <w:t>, para. 432.</w:t>
      </w:r>
    </w:p>
  </w:footnote>
  <w:footnote w:id="292">
    <w:p w14:paraId="7BFBEBB3" w14:textId="77777777" w:rsidR="006E2EB2" w:rsidRPr="003171CD" w:rsidRDefault="006E2EB2" w:rsidP="005A65CE">
      <w:pPr>
        <w:tabs>
          <w:tab w:val="left" w:pos="709"/>
          <w:tab w:val="left" w:pos="851"/>
        </w:tabs>
        <w:spacing w:after="120"/>
        <w:ind w:right="99"/>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r>
      <w:r w:rsidRPr="003171CD">
        <w:rPr>
          <w:i/>
          <w:sz w:val="16"/>
          <w:szCs w:val="16"/>
          <w:lang w:val="en-US"/>
        </w:rPr>
        <w:t>Cf.</w:t>
      </w:r>
      <w:r w:rsidRPr="003171CD">
        <w:rPr>
          <w:sz w:val="16"/>
          <w:szCs w:val="16"/>
          <w:lang w:val="en-US"/>
        </w:rPr>
        <w:t xml:space="preserve"> </w:t>
      </w:r>
      <w:r w:rsidRPr="003171CD">
        <w:rPr>
          <w:i/>
          <w:sz w:val="16"/>
          <w:szCs w:val="16"/>
          <w:lang w:val="en-US"/>
        </w:rPr>
        <w:t>Case of Escué Zapata v. Colombia</w:t>
      </w:r>
      <w:r w:rsidRPr="003171CD">
        <w:rPr>
          <w:sz w:val="16"/>
          <w:szCs w:val="16"/>
          <w:lang w:val="en-US"/>
        </w:rPr>
        <w:t xml:space="preserve">. </w:t>
      </w:r>
      <w:r w:rsidRPr="003171CD">
        <w:rPr>
          <w:i/>
          <w:sz w:val="16"/>
          <w:szCs w:val="16"/>
          <w:lang w:val="en-US"/>
        </w:rPr>
        <w:t>I</w:t>
      </w:r>
      <w:r w:rsidR="00AD5B50" w:rsidRPr="003171CD">
        <w:rPr>
          <w:i/>
          <w:sz w:val="16"/>
          <w:szCs w:val="16"/>
          <w:lang w:val="en-US" w:bidi="en-US"/>
        </w:rPr>
        <w:t>nterpretation of Judgment on m</w:t>
      </w:r>
      <w:r w:rsidRPr="003171CD">
        <w:rPr>
          <w:i/>
          <w:sz w:val="16"/>
          <w:szCs w:val="16"/>
          <w:lang w:val="en-US" w:bidi="en-US"/>
        </w:rPr>
        <w:t>erits, reparations and costs</w:t>
      </w:r>
      <w:r w:rsidRPr="003171CD">
        <w:rPr>
          <w:sz w:val="16"/>
          <w:szCs w:val="16"/>
          <w:lang w:val="en-US" w:bidi="en-US"/>
        </w:rPr>
        <w:t xml:space="preserve">. Judgment of May 5, 2008 Series C No. 178, paras. 27 and 28, and </w:t>
      </w:r>
      <w:r w:rsidRPr="003171CD">
        <w:rPr>
          <w:i/>
          <w:sz w:val="16"/>
          <w:szCs w:val="16"/>
          <w:lang w:val="en-US"/>
        </w:rPr>
        <w:t>Case of Norín Catrimán et al. (Leaders, members and activist of the Mapuche Indigenous Community) v. Chile, supra</w:t>
      </w:r>
      <w:r w:rsidRPr="003171CD">
        <w:rPr>
          <w:sz w:val="16"/>
          <w:szCs w:val="16"/>
          <w:lang w:val="en-US"/>
        </w:rPr>
        <w:t>, para. 432.</w:t>
      </w:r>
    </w:p>
  </w:footnote>
  <w:footnote w:id="293">
    <w:p w14:paraId="0A8E2412"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 xml:space="preserve"> </w:t>
      </w:r>
      <w:r w:rsidRPr="003171CD">
        <w:rPr>
          <w:sz w:val="16"/>
          <w:szCs w:val="16"/>
          <w:lang w:val="en-US"/>
        </w:rPr>
        <w:tab/>
        <w:t xml:space="preserve">See also, </w:t>
      </w:r>
      <w:r w:rsidRPr="003171CD">
        <w:rPr>
          <w:i/>
          <w:sz w:val="16"/>
          <w:szCs w:val="16"/>
          <w:lang w:val="en-US"/>
        </w:rPr>
        <w:t>Case of Gutiérrez Soler v. Colombia. Merits, reparations and costs</w:t>
      </w:r>
      <w:r w:rsidRPr="003171CD">
        <w:rPr>
          <w:sz w:val="16"/>
          <w:szCs w:val="16"/>
          <w:lang w:val="en-US"/>
        </w:rPr>
        <w:t xml:space="preserve">. Judgment of September 12, 2005. Series C No. 132; </w:t>
      </w:r>
      <w:r w:rsidRPr="003171CD">
        <w:rPr>
          <w:i/>
          <w:sz w:val="16"/>
          <w:szCs w:val="16"/>
          <w:lang w:val="en-US"/>
        </w:rPr>
        <w:t>Case of Blanco Romero et al. v. Venezuela. Merits, reparations and costs</w:t>
      </w:r>
      <w:r w:rsidRPr="003171CD">
        <w:rPr>
          <w:sz w:val="16"/>
          <w:szCs w:val="16"/>
          <w:lang w:val="en-US"/>
        </w:rPr>
        <w:t xml:space="preserve">. Judgment of November 28, 2005. Series C No. 138; </w:t>
      </w:r>
      <w:r w:rsidRPr="003171CD">
        <w:rPr>
          <w:i/>
          <w:sz w:val="16"/>
          <w:szCs w:val="16"/>
          <w:lang w:val="en-US"/>
        </w:rPr>
        <w:t xml:space="preserve">Case of Bayarri v. Argentina. Preliminary objection, merits, reparations and costs. </w:t>
      </w:r>
      <w:r w:rsidRPr="003171CD">
        <w:rPr>
          <w:sz w:val="16"/>
          <w:szCs w:val="16"/>
          <w:lang w:val="en-US"/>
        </w:rPr>
        <w:t xml:space="preserve">Judgment of October 30, 2008. Series C No. 187; </w:t>
      </w:r>
      <w:r w:rsidRPr="003171CD">
        <w:rPr>
          <w:i/>
          <w:sz w:val="16"/>
          <w:szCs w:val="16"/>
          <w:lang w:val="en-US"/>
        </w:rPr>
        <w:t xml:space="preserve">Case </w:t>
      </w:r>
      <w:r w:rsidR="008769F8" w:rsidRPr="003171CD">
        <w:rPr>
          <w:i/>
          <w:sz w:val="16"/>
          <w:szCs w:val="16"/>
          <w:lang w:val="en-US"/>
        </w:rPr>
        <w:t xml:space="preserve">of </w:t>
      </w:r>
      <w:r w:rsidRPr="003171CD">
        <w:rPr>
          <w:i/>
          <w:sz w:val="16"/>
          <w:szCs w:val="16"/>
          <w:lang w:val="en-US"/>
        </w:rPr>
        <w:t>Vélez Loor v. Panama, supra</w:t>
      </w:r>
      <w:r w:rsidRPr="003171CD">
        <w:rPr>
          <w:sz w:val="16"/>
          <w:szCs w:val="16"/>
          <w:lang w:val="en-US"/>
        </w:rPr>
        <w:t xml:space="preserve">; </w:t>
      </w:r>
      <w:r w:rsidRPr="003171CD">
        <w:rPr>
          <w:i/>
          <w:sz w:val="16"/>
          <w:szCs w:val="16"/>
          <w:lang w:val="en-US"/>
        </w:rPr>
        <w:t>Case of Cabrera García and Montiel Flores v. Mexico, supra</w:t>
      </w:r>
      <w:r w:rsidRPr="003171CD">
        <w:rPr>
          <w:sz w:val="16"/>
          <w:szCs w:val="16"/>
          <w:lang w:val="en-US"/>
        </w:rPr>
        <w:t xml:space="preserve">. </w:t>
      </w:r>
    </w:p>
  </w:footnote>
  <w:footnote w:id="294">
    <w:p w14:paraId="0A0A8BB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color w:val="000000"/>
          <w:szCs w:val="16"/>
          <w:lang w:val="en-US"/>
        </w:rPr>
        <w:tab/>
      </w:r>
      <w:r w:rsidRPr="003171CD">
        <w:rPr>
          <w:i/>
          <w:color w:val="000000"/>
          <w:szCs w:val="16"/>
          <w:lang w:val="en-US"/>
        </w:rPr>
        <w:t xml:space="preserve">Cf. </w:t>
      </w:r>
      <w:r w:rsidRPr="003171CD">
        <w:rPr>
          <w:bCs/>
          <w:i/>
          <w:color w:val="000000"/>
          <w:szCs w:val="16"/>
          <w:lang w:val="en-US"/>
        </w:rPr>
        <w:t xml:space="preserve">Case of the Massacres of El Mozote and nearby places v. El Salvador. </w:t>
      </w:r>
      <w:r w:rsidRPr="003171CD">
        <w:rPr>
          <w:i/>
          <w:color w:val="000000"/>
          <w:szCs w:val="16"/>
          <w:lang w:val="en-US"/>
        </w:rPr>
        <w:t>Merits, reparations and costs.</w:t>
      </w:r>
      <w:r w:rsidRPr="003171CD">
        <w:rPr>
          <w:color w:val="000000"/>
          <w:szCs w:val="16"/>
          <w:lang w:val="en-US"/>
        </w:rPr>
        <w:t xml:space="preserve"> Judgment of October 25, 2012. Series C No. 252, para. 369 and operative paragraph 12.</w:t>
      </w:r>
    </w:p>
  </w:footnote>
  <w:footnote w:id="295">
    <w:p w14:paraId="519E1E9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color w:val="000000"/>
          <w:szCs w:val="16"/>
          <w:lang w:val="en-US"/>
        </w:rPr>
        <w:t xml:space="preserve">Cf. </w:t>
      </w:r>
      <w:r w:rsidRPr="003171CD">
        <w:rPr>
          <w:rStyle w:val="Textoennegrita"/>
          <w:b w:val="0"/>
          <w:i/>
          <w:szCs w:val="16"/>
          <w:lang w:val="en-US"/>
        </w:rPr>
        <w:t>Case of Rochac Hernández et al. v. El Salvador. Merits, reparations and costs.</w:t>
      </w:r>
      <w:r w:rsidRPr="003171CD">
        <w:rPr>
          <w:rStyle w:val="Textoennegrita"/>
          <w:b w:val="0"/>
          <w:szCs w:val="16"/>
          <w:lang w:val="en-US"/>
        </w:rPr>
        <w:t xml:space="preserve"> Judgment of October 14, 2014. Series C No. 285, para. 244 and operative paragraph 15.</w:t>
      </w:r>
    </w:p>
  </w:footnote>
  <w:footnote w:id="296">
    <w:p w14:paraId="3A08EC3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Cf. Case of Radilla Pacheco v. M</w:t>
      </w:r>
      <w:r w:rsidR="00704FFD" w:rsidRPr="003171CD">
        <w:rPr>
          <w:i/>
          <w:szCs w:val="16"/>
          <w:lang w:val="en-US"/>
        </w:rPr>
        <w:t>exico. Preliminary objections, m</w:t>
      </w:r>
      <w:r w:rsidRPr="003171CD">
        <w:rPr>
          <w:i/>
          <w:szCs w:val="16"/>
          <w:lang w:val="en-US"/>
        </w:rPr>
        <w:t xml:space="preserve">erits, reparations and costs. </w:t>
      </w:r>
      <w:r w:rsidRPr="003171CD">
        <w:rPr>
          <w:szCs w:val="16"/>
          <w:lang w:val="en-US"/>
        </w:rPr>
        <w:t xml:space="preserve">Judgment of November 23, 2009. Series C No. 209, para. 359, and </w:t>
      </w:r>
      <w:r w:rsidRPr="003171CD">
        <w:rPr>
          <w:i/>
          <w:szCs w:val="16"/>
          <w:lang w:val="en-US"/>
        </w:rPr>
        <w:t>Case</w:t>
      </w:r>
      <w:r w:rsidRPr="003171CD">
        <w:rPr>
          <w:bCs/>
          <w:i/>
          <w:szCs w:val="16"/>
          <w:lang w:val="en-US"/>
        </w:rPr>
        <w:t xml:space="preserve"> of Omar Humberto Maldonado Vargas et al. v. Chile, supra</w:t>
      </w:r>
      <w:r w:rsidRPr="003171CD">
        <w:rPr>
          <w:szCs w:val="16"/>
          <w:lang w:val="en-US"/>
        </w:rPr>
        <w:t>, para. 165.</w:t>
      </w:r>
    </w:p>
  </w:footnote>
  <w:footnote w:id="297">
    <w:p w14:paraId="035AAD89" w14:textId="77777777" w:rsidR="006E2EB2" w:rsidRPr="003171CD" w:rsidRDefault="006E2EB2" w:rsidP="005A65CE">
      <w:pPr>
        <w:tabs>
          <w:tab w:val="left" w:pos="709"/>
        </w:tabs>
        <w:spacing w:after="120"/>
        <w:jc w:val="both"/>
        <w:rPr>
          <w:sz w:val="16"/>
          <w:szCs w:val="16"/>
          <w:lang w:val="en-US"/>
        </w:rPr>
      </w:pPr>
      <w:r w:rsidRPr="003171CD">
        <w:rPr>
          <w:rStyle w:val="Refdenotaalpie"/>
          <w:sz w:val="16"/>
          <w:szCs w:val="16"/>
          <w:lang w:val="en-US"/>
        </w:rPr>
        <w:footnoteRef/>
      </w:r>
      <w:r w:rsidRPr="003171CD">
        <w:rPr>
          <w:sz w:val="16"/>
          <w:szCs w:val="16"/>
          <w:lang w:val="en-US"/>
        </w:rPr>
        <w:tab/>
      </w:r>
      <w:r w:rsidRPr="003171CD">
        <w:rPr>
          <w:bCs/>
          <w:i/>
          <w:sz w:val="16"/>
          <w:szCs w:val="16"/>
          <w:lang w:val="en-US"/>
        </w:rPr>
        <w:t xml:space="preserve">Case of Bámaca Velásquez v. Guatemala. </w:t>
      </w:r>
      <w:r w:rsidRPr="003171CD">
        <w:rPr>
          <w:i/>
          <w:sz w:val="16"/>
          <w:szCs w:val="16"/>
          <w:lang w:val="en-US"/>
        </w:rPr>
        <w:t>Reparations and Costs</w:t>
      </w:r>
      <w:r w:rsidRPr="003171CD">
        <w:rPr>
          <w:sz w:val="16"/>
          <w:szCs w:val="16"/>
          <w:lang w:val="en-US"/>
        </w:rPr>
        <w:t xml:space="preserve">. Judgment of February 22, 2002. Series C No. 91, para. 43, and </w:t>
      </w:r>
      <w:r w:rsidRPr="003171CD">
        <w:rPr>
          <w:i/>
          <w:sz w:val="16"/>
          <w:szCs w:val="16"/>
          <w:lang w:val="en-US"/>
        </w:rPr>
        <w:t>Case</w:t>
      </w:r>
      <w:r w:rsidRPr="003171CD">
        <w:rPr>
          <w:bCs/>
          <w:i/>
          <w:sz w:val="16"/>
          <w:szCs w:val="16"/>
          <w:lang w:val="en-US"/>
        </w:rPr>
        <w:t xml:space="preserve"> of Omar Humberto Maldonado Vargas et al. v. Chile, supra</w:t>
      </w:r>
      <w:r w:rsidRPr="003171CD">
        <w:rPr>
          <w:sz w:val="16"/>
          <w:szCs w:val="16"/>
          <w:lang w:val="en-US"/>
        </w:rPr>
        <w:t>, para. 174.</w:t>
      </w:r>
    </w:p>
  </w:footnote>
  <w:footnote w:id="298">
    <w:p w14:paraId="48C0130C" w14:textId="77777777" w:rsidR="006E2EB2" w:rsidRPr="003171CD" w:rsidRDefault="006E2EB2" w:rsidP="005A65CE">
      <w:pPr>
        <w:spacing w:after="120"/>
        <w:jc w:val="both"/>
        <w:rPr>
          <w:sz w:val="16"/>
          <w:szCs w:val="16"/>
          <w:lang w:val="en-US"/>
        </w:rPr>
      </w:pPr>
      <w:r w:rsidRPr="003171CD">
        <w:rPr>
          <w:rStyle w:val="Refdenotaalpie"/>
          <w:sz w:val="16"/>
          <w:szCs w:val="16"/>
          <w:lang w:val="en-US"/>
        </w:rPr>
        <w:footnoteRef/>
      </w:r>
      <w:r w:rsidRPr="003171CD">
        <w:rPr>
          <w:sz w:val="16"/>
          <w:szCs w:val="16"/>
          <w:lang w:val="en-US"/>
        </w:rPr>
        <w:tab/>
      </w:r>
      <w:r w:rsidRPr="003171CD">
        <w:rPr>
          <w:i/>
          <w:sz w:val="16"/>
          <w:szCs w:val="16"/>
          <w:lang w:val="en-US"/>
        </w:rPr>
        <w:t>Cf.</w:t>
      </w:r>
      <w:r w:rsidRPr="003171CD">
        <w:rPr>
          <w:b/>
          <w:bCs/>
          <w:sz w:val="16"/>
          <w:szCs w:val="16"/>
          <w:lang w:val="en-US"/>
        </w:rPr>
        <w:t xml:space="preserve"> </w:t>
      </w:r>
      <w:r w:rsidRPr="003171CD">
        <w:rPr>
          <w:bCs/>
          <w:i/>
          <w:sz w:val="16"/>
          <w:szCs w:val="16"/>
          <w:lang w:val="en-US"/>
        </w:rPr>
        <w:t xml:space="preserve">Case the Amparo v. Venezuela. </w:t>
      </w:r>
      <w:r w:rsidRPr="003171CD">
        <w:rPr>
          <w:i/>
          <w:sz w:val="16"/>
          <w:szCs w:val="16"/>
          <w:lang w:val="en-US"/>
        </w:rPr>
        <w:t>Reparations and costs</w:t>
      </w:r>
      <w:r w:rsidRPr="003171CD">
        <w:rPr>
          <w:sz w:val="16"/>
          <w:szCs w:val="16"/>
          <w:lang w:val="en-US"/>
        </w:rPr>
        <w:t xml:space="preserve">. Judgment of September 14, 1996. Series C No. 28, para. 35, and </w:t>
      </w:r>
      <w:r w:rsidRPr="003171CD">
        <w:rPr>
          <w:i/>
          <w:sz w:val="16"/>
          <w:szCs w:val="16"/>
          <w:lang w:val="en-US"/>
        </w:rPr>
        <w:t>Case</w:t>
      </w:r>
      <w:r w:rsidRPr="003171CD">
        <w:rPr>
          <w:bCs/>
          <w:i/>
          <w:sz w:val="16"/>
          <w:szCs w:val="16"/>
          <w:lang w:val="en-US"/>
        </w:rPr>
        <w:t xml:space="preserve"> of Omar Humberto Maldonado Vargas et al. v. Chile</w:t>
      </w:r>
      <w:r w:rsidRPr="003171CD">
        <w:rPr>
          <w:i/>
          <w:sz w:val="16"/>
          <w:szCs w:val="16"/>
          <w:lang w:val="en-US"/>
        </w:rPr>
        <w:t>, supra</w:t>
      </w:r>
      <w:r w:rsidRPr="003171CD">
        <w:rPr>
          <w:sz w:val="16"/>
          <w:szCs w:val="16"/>
          <w:lang w:val="en-US"/>
        </w:rPr>
        <w:t>, para. 157.</w:t>
      </w:r>
    </w:p>
  </w:footnote>
  <w:footnote w:id="299">
    <w:p w14:paraId="0BA788A2"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rStyle w:val="Refdenotaalpie"/>
          <w:szCs w:val="16"/>
          <w:lang w:val="en-US"/>
        </w:rPr>
        <w:t xml:space="preserve"> </w:t>
      </w:r>
      <w:r w:rsidRPr="003171CD">
        <w:rPr>
          <w:szCs w:val="16"/>
          <w:lang w:val="en-US"/>
        </w:rPr>
        <w:tab/>
      </w:r>
      <w:r w:rsidRPr="003171CD">
        <w:rPr>
          <w:bCs/>
          <w:i/>
          <w:szCs w:val="16"/>
          <w:lang w:val="en-US"/>
        </w:rPr>
        <w:t xml:space="preserve">Case of the “Street Children” (Villagrán Morales </w:t>
      </w:r>
      <w:r w:rsidR="007B6AF8" w:rsidRPr="003171CD">
        <w:rPr>
          <w:bCs/>
          <w:i/>
          <w:szCs w:val="16"/>
          <w:lang w:val="en-US"/>
        </w:rPr>
        <w:t>et al.) v</w:t>
      </w:r>
      <w:r w:rsidRPr="003171CD">
        <w:rPr>
          <w:bCs/>
          <w:i/>
          <w:szCs w:val="16"/>
          <w:lang w:val="en-US"/>
        </w:rPr>
        <w:t xml:space="preserve">. Guatemala. </w:t>
      </w:r>
      <w:r w:rsidR="007B6AF8" w:rsidRPr="003171CD">
        <w:rPr>
          <w:i/>
          <w:szCs w:val="16"/>
          <w:lang w:val="en-US"/>
        </w:rPr>
        <w:t>Reparations and c</w:t>
      </w:r>
      <w:r w:rsidRPr="003171CD">
        <w:rPr>
          <w:i/>
          <w:szCs w:val="16"/>
          <w:lang w:val="en-US"/>
        </w:rPr>
        <w:t>osts</w:t>
      </w:r>
      <w:r w:rsidRPr="003171CD">
        <w:rPr>
          <w:szCs w:val="16"/>
          <w:lang w:val="en-US"/>
        </w:rPr>
        <w:t xml:space="preserve">. Judgment of May 26, 2001. Series C No. 77, para. 84, and </w:t>
      </w:r>
      <w:r w:rsidRPr="003171CD">
        <w:rPr>
          <w:i/>
          <w:szCs w:val="16"/>
          <w:lang w:val="en-US"/>
        </w:rPr>
        <w:t>Case</w:t>
      </w:r>
      <w:r w:rsidRPr="003171CD">
        <w:rPr>
          <w:bCs/>
          <w:i/>
          <w:szCs w:val="16"/>
          <w:lang w:val="en-US"/>
        </w:rPr>
        <w:t xml:space="preserve"> of Omar Humberto Maldonado Vargas et al. v. Chile, supra</w:t>
      </w:r>
      <w:r w:rsidRPr="003171CD">
        <w:rPr>
          <w:szCs w:val="16"/>
          <w:lang w:val="en-US"/>
        </w:rPr>
        <w:t>, para. 174.</w:t>
      </w:r>
    </w:p>
  </w:footnote>
  <w:footnote w:id="300">
    <w:p w14:paraId="35315717" w14:textId="77777777" w:rsidR="006E2EB2" w:rsidRPr="003171CD" w:rsidRDefault="006E2EB2" w:rsidP="005A65CE">
      <w:pPr>
        <w:spacing w:after="120"/>
        <w:jc w:val="both"/>
        <w:rPr>
          <w:rFonts w:cs="Times"/>
          <w:sz w:val="16"/>
          <w:szCs w:val="16"/>
          <w:lang w:val="en-US"/>
        </w:rPr>
      </w:pPr>
      <w:r w:rsidRPr="003171CD">
        <w:rPr>
          <w:rStyle w:val="Refdenotaalpie"/>
          <w:rFonts w:cs="Times"/>
          <w:sz w:val="16"/>
          <w:szCs w:val="16"/>
          <w:lang w:val="en-US"/>
        </w:rPr>
        <w:footnoteRef/>
      </w:r>
      <w:r w:rsidRPr="003171CD">
        <w:rPr>
          <w:rFonts w:cs="Times"/>
          <w:sz w:val="16"/>
          <w:szCs w:val="16"/>
          <w:lang w:val="en-US"/>
        </w:rPr>
        <w:t xml:space="preserve"> </w:t>
      </w:r>
      <w:r w:rsidRPr="003171CD">
        <w:rPr>
          <w:rFonts w:cs="Times"/>
          <w:sz w:val="16"/>
          <w:szCs w:val="16"/>
          <w:lang w:val="en-US"/>
        </w:rPr>
        <w:tab/>
      </w:r>
      <w:r w:rsidRPr="003171CD">
        <w:rPr>
          <w:i/>
          <w:sz w:val="16"/>
          <w:szCs w:val="16"/>
          <w:lang w:val="en-US"/>
        </w:rPr>
        <w:t>Cf.</w:t>
      </w:r>
      <w:r w:rsidRPr="003171CD">
        <w:rPr>
          <w:b/>
          <w:sz w:val="16"/>
          <w:szCs w:val="16"/>
          <w:lang w:val="en-US"/>
        </w:rPr>
        <w:t xml:space="preserve"> </w:t>
      </w:r>
      <w:r w:rsidRPr="003171CD">
        <w:rPr>
          <w:i/>
          <w:sz w:val="16"/>
          <w:szCs w:val="16"/>
          <w:lang w:val="en-US"/>
        </w:rPr>
        <w:t>Case of Bulacio v. Argentina. Merits, reparations and costs</w:t>
      </w:r>
      <w:r w:rsidRPr="003171CD">
        <w:rPr>
          <w:sz w:val="16"/>
          <w:szCs w:val="16"/>
          <w:lang w:val="en-US"/>
        </w:rPr>
        <w:t xml:space="preserve">. Judgment of September 18, 2003. Series C No. 100, para. 98, and </w:t>
      </w:r>
      <w:r w:rsidRPr="003171CD">
        <w:rPr>
          <w:i/>
          <w:sz w:val="16"/>
          <w:szCs w:val="16"/>
          <w:lang w:val="en-US"/>
        </w:rPr>
        <w:t>Case of Vélez Loor v. Panama, supra</w:t>
      </w:r>
      <w:r w:rsidRPr="003171CD">
        <w:rPr>
          <w:sz w:val="16"/>
          <w:szCs w:val="16"/>
          <w:lang w:val="en-US"/>
        </w:rPr>
        <w:t>, para. 313.</w:t>
      </w:r>
    </w:p>
  </w:footnote>
  <w:footnote w:id="301">
    <w:p w14:paraId="40E6D596"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ab/>
      </w:r>
      <w:r w:rsidRPr="003171CD">
        <w:rPr>
          <w:i/>
          <w:szCs w:val="16"/>
          <w:lang w:val="en-US"/>
        </w:rPr>
        <w:t>Cf.</w:t>
      </w:r>
      <w:r w:rsidRPr="003171CD">
        <w:rPr>
          <w:b/>
          <w:szCs w:val="16"/>
          <w:lang w:val="en-US"/>
        </w:rPr>
        <w:t xml:space="preserve"> </w:t>
      </w:r>
      <w:r w:rsidRPr="003171CD">
        <w:rPr>
          <w:i/>
          <w:szCs w:val="16"/>
          <w:lang w:val="en-US"/>
        </w:rPr>
        <w:t>Case of Tibi v. Ecuador, supra</w:t>
      </w:r>
      <w:r w:rsidRPr="003171CD">
        <w:rPr>
          <w:szCs w:val="16"/>
          <w:lang w:val="en-US"/>
        </w:rPr>
        <w:t xml:space="preserve">, para. 244, and </w:t>
      </w:r>
      <w:r w:rsidRPr="003171CD">
        <w:rPr>
          <w:i/>
          <w:szCs w:val="16"/>
          <w:lang w:val="en-US"/>
        </w:rPr>
        <w:t>Case of Vélez Loor v. Panama, supra</w:t>
      </w:r>
      <w:r w:rsidRPr="003171CD">
        <w:rPr>
          <w:szCs w:val="16"/>
          <w:lang w:val="en-US"/>
        </w:rPr>
        <w:t>, para. 313.</w:t>
      </w:r>
    </w:p>
  </w:footnote>
  <w:footnote w:id="302">
    <w:p w14:paraId="729CB93A"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w:t>
      </w:r>
      <w:r w:rsidRPr="003171CD">
        <w:rPr>
          <w:bCs/>
          <w:i/>
          <w:szCs w:val="16"/>
          <w:lang w:val="en-US"/>
        </w:rPr>
        <w:t>Case of the “Street Children” (Villagrán Morales et al.)</w:t>
      </w:r>
      <w:r w:rsidR="007B6AF8" w:rsidRPr="003171CD">
        <w:rPr>
          <w:bCs/>
          <w:i/>
          <w:szCs w:val="16"/>
          <w:lang w:val="en-US"/>
        </w:rPr>
        <w:t xml:space="preserve"> v. Guatemala. Reparations and c</w:t>
      </w:r>
      <w:r w:rsidRPr="003171CD">
        <w:rPr>
          <w:bCs/>
          <w:i/>
          <w:szCs w:val="16"/>
          <w:lang w:val="en-US"/>
        </w:rPr>
        <w:t>osts, supra</w:t>
      </w:r>
      <w:r w:rsidRPr="003171CD">
        <w:rPr>
          <w:bCs/>
          <w:szCs w:val="16"/>
          <w:lang w:val="en-US"/>
        </w:rPr>
        <w:t xml:space="preserve">, </w:t>
      </w:r>
      <w:r w:rsidRPr="003171CD">
        <w:rPr>
          <w:szCs w:val="16"/>
          <w:lang w:val="en-US"/>
        </w:rPr>
        <w:t xml:space="preserve">para. 84, and </w:t>
      </w:r>
      <w:r w:rsidRPr="003171CD">
        <w:rPr>
          <w:i/>
          <w:szCs w:val="16"/>
          <w:lang w:val="en-US"/>
        </w:rPr>
        <w:t xml:space="preserve">Case </w:t>
      </w:r>
      <w:r w:rsidR="007B6AF8" w:rsidRPr="003171CD">
        <w:rPr>
          <w:i/>
          <w:szCs w:val="16"/>
          <w:lang w:val="en-US"/>
        </w:rPr>
        <w:t xml:space="preserve">of </w:t>
      </w:r>
      <w:r w:rsidRPr="003171CD">
        <w:rPr>
          <w:i/>
          <w:szCs w:val="16"/>
          <w:lang w:val="en-US"/>
        </w:rPr>
        <w:t xml:space="preserve">Liakat Ali Alibux v. Suriname. Preliminary objections, merits, reparations and costs. </w:t>
      </w:r>
      <w:r w:rsidRPr="003171CD">
        <w:rPr>
          <w:szCs w:val="16"/>
          <w:lang w:val="en-US"/>
        </w:rPr>
        <w:t>Judgment of January 30, 2014. Series C No. 276</w:t>
      </w:r>
      <w:r w:rsidRPr="003171CD">
        <w:rPr>
          <w:i/>
          <w:szCs w:val="16"/>
          <w:lang w:val="en-US"/>
        </w:rPr>
        <w:t xml:space="preserve">, </w:t>
      </w:r>
      <w:r w:rsidRPr="003171CD">
        <w:rPr>
          <w:szCs w:val="16"/>
          <w:lang w:val="en-US"/>
        </w:rPr>
        <w:t>para. 156.</w:t>
      </w:r>
    </w:p>
  </w:footnote>
  <w:footnote w:id="303">
    <w:p w14:paraId="017AC8D4" w14:textId="77777777" w:rsidR="006E2EB2" w:rsidRPr="003171CD" w:rsidRDefault="006E2EB2" w:rsidP="005A65CE">
      <w:pPr>
        <w:pStyle w:val="Textonotapie"/>
        <w:spacing w:after="120"/>
        <w:jc w:val="both"/>
        <w:rPr>
          <w:szCs w:val="16"/>
          <w:lang w:val="en-US"/>
        </w:rPr>
      </w:pPr>
      <w:r w:rsidRPr="003171CD">
        <w:rPr>
          <w:rStyle w:val="Refdenotaalpie"/>
          <w:szCs w:val="16"/>
          <w:lang w:val="en-US"/>
        </w:rPr>
        <w:footnoteRef/>
      </w:r>
      <w:r w:rsidRPr="003171CD">
        <w:rPr>
          <w:szCs w:val="16"/>
          <w:lang w:val="en-US"/>
        </w:rPr>
        <w:t xml:space="preserve"> </w:t>
      </w:r>
      <w:r w:rsidRPr="003171CD">
        <w:rPr>
          <w:szCs w:val="16"/>
          <w:lang w:val="en-US"/>
        </w:rPr>
        <w:tab/>
      </w:r>
      <w:r w:rsidRPr="003171CD">
        <w:rPr>
          <w:i/>
          <w:szCs w:val="16"/>
          <w:lang w:val="en-US"/>
        </w:rPr>
        <w:t xml:space="preserve">Cf. Case of Ibsen Cárdenas and Ibsen Peña v. Bolivia. Merits, reparations and costs. </w:t>
      </w:r>
      <w:r w:rsidRPr="003171CD">
        <w:rPr>
          <w:szCs w:val="16"/>
          <w:lang w:val="en-US"/>
        </w:rPr>
        <w:t xml:space="preserve">Judgment of September 1, 2010 Series C No. 217, para. 291, and </w:t>
      </w:r>
      <w:r w:rsidRPr="003171CD">
        <w:rPr>
          <w:i/>
          <w:szCs w:val="16"/>
          <w:lang w:val="en-US"/>
        </w:rPr>
        <w:t>Case of Gonzales Lluy et al. v. Ecuador, supra,</w:t>
      </w:r>
      <w:r w:rsidRPr="003171CD">
        <w:rPr>
          <w:szCs w:val="16"/>
          <w:lang w:val="en-US"/>
        </w:rPr>
        <w:t xml:space="preserve"> para. 421</w:t>
      </w:r>
      <w:r w:rsidRPr="003171CD">
        <w:rPr>
          <w:i/>
          <w:szCs w:val="16"/>
          <w:lang w:val="en-US"/>
        </w:rPr>
        <w:t>.</w:t>
      </w:r>
    </w:p>
  </w:footnote>
  <w:footnote w:id="304">
    <w:p w14:paraId="5E773013" w14:textId="77777777" w:rsidR="006E2EB2" w:rsidRPr="003171CD" w:rsidRDefault="006E2EB2" w:rsidP="005A65CE">
      <w:pPr>
        <w:pStyle w:val="Textonotapie"/>
        <w:spacing w:after="120"/>
        <w:jc w:val="both"/>
        <w:rPr>
          <w:szCs w:val="16"/>
          <w:u w:val="single"/>
          <w:lang w:val="en-US"/>
        </w:rPr>
      </w:pPr>
      <w:r w:rsidRPr="003171CD">
        <w:rPr>
          <w:rStyle w:val="Refdenotaalpie"/>
          <w:szCs w:val="16"/>
          <w:lang w:val="en-US"/>
        </w:rPr>
        <w:footnoteRef/>
      </w:r>
      <w:r w:rsidRPr="003171CD">
        <w:rPr>
          <w:szCs w:val="16"/>
          <w:lang w:val="en-US"/>
        </w:rPr>
        <w:t xml:space="preserve"> </w:t>
      </w:r>
      <w:r w:rsidRPr="003171CD">
        <w:rPr>
          <w:szCs w:val="16"/>
          <w:lang w:val="en-US"/>
        </w:rPr>
        <w:tab/>
      </w:r>
      <w:bookmarkStart w:id="97" w:name="_Toc200094591"/>
      <w:bookmarkStart w:id="98" w:name="_Toc200283779"/>
      <w:r w:rsidRPr="003171CD">
        <w:rPr>
          <w:bCs/>
          <w:szCs w:val="16"/>
          <w:lang w:val="en-US"/>
        </w:rPr>
        <w:t>AG/RES. 2426 (XXXVIII-O/08),</w:t>
      </w:r>
      <w:r w:rsidRPr="003171CD">
        <w:rPr>
          <w:rFonts w:cs="Verdana"/>
          <w:szCs w:val="16"/>
          <w:lang w:val="en-US"/>
        </w:rPr>
        <w:t xml:space="preserve"> </w:t>
      </w:r>
      <w:r w:rsidRPr="003171CD">
        <w:rPr>
          <w:szCs w:val="16"/>
          <w:lang w:val="en-US"/>
        </w:rPr>
        <w:t xml:space="preserve">Resolution adopted by the </w:t>
      </w:r>
      <w:r w:rsidR="007B6AF8" w:rsidRPr="003171CD">
        <w:rPr>
          <w:szCs w:val="16"/>
          <w:lang w:val="en-US"/>
        </w:rPr>
        <w:t xml:space="preserve">OAS </w:t>
      </w:r>
      <w:r w:rsidRPr="003171CD">
        <w:rPr>
          <w:szCs w:val="16"/>
          <w:lang w:val="en-US"/>
        </w:rPr>
        <w:t xml:space="preserve">General Assembly </w:t>
      </w:r>
      <w:r w:rsidRPr="003171CD">
        <w:rPr>
          <w:rFonts w:cs="Verdana"/>
          <w:szCs w:val="16"/>
          <w:lang w:val="en-US"/>
        </w:rPr>
        <w:t>during the XXXVIII Regular Session of the OAS,</w:t>
      </w:r>
      <w:r w:rsidRPr="003171CD">
        <w:rPr>
          <w:bCs/>
          <w:szCs w:val="16"/>
          <w:lang w:val="en-US"/>
        </w:rPr>
        <w:t xml:space="preserve"> in </w:t>
      </w:r>
      <w:r w:rsidRPr="003171CD">
        <w:rPr>
          <w:szCs w:val="16"/>
          <w:lang w:val="en-US"/>
        </w:rPr>
        <w:t>the fourth plenary session,</w:t>
      </w:r>
      <w:r w:rsidRPr="003171CD">
        <w:rPr>
          <w:bCs/>
          <w:szCs w:val="16"/>
          <w:lang w:val="en-US"/>
        </w:rPr>
        <w:t xml:space="preserve"> held </w:t>
      </w:r>
      <w:r w:rsidRPr="003171CD">
        <w:rPr>
          <w:szCs w:val="16"/>
          <w:lang w:val="en-US"/>
        </w:rPr>
        <w:t xml:space="preserve">on June 3, 2008, </w:t>
      </w:r>
      <w:r w:rsidRPr="003171CD">
        <w:rPr>
          <w:i/>
          <w:szCs w:val="16"/>
          <w:lang w:val="en-US"/>
        </w:rPr>
        <w:t xml:space="preserve">“Creation of the </w:t>
      </w:r>
      <w:r w:rsidRPr="003171CD">
        <w:rPr>
          <w:i/>
          <w:iCs/>
          <w:szCs w:val="16"/>
          <w:lang w:val="en-US"/>
        </w:rPr>
        <w:t>Legal Assistance Fund of the Inter-American System of Human Rights</w:t>
      </w:r>
      <w:r w:rsidRPr="003171CD">
        <w:rPr>
          <w:i/>
          <w:szCs w:val="16"/>
          <w:lang w:val="en-US"/>
        </w:rPr>
        <w:t>,</w:t>
      </w:r>
      <w:r w:rsidRPr="003171CD">
        <w:rPr>
          <w:szCs w:val="16"/>
          <w:lang w:val="en-US"/>
        </w:rPr>
        <w:t>” Operative paragraph 2.a</w:t>
      </w:r>
      <w:r w:rsidRPr="003171CD">
        <w:rPr>
          <w:rFonts w:cs="Verdana"/>
          <w:szCs w:val="16"/>
          <w:lang w:val="en-US"/>
        </w:rPr>
        <w:t xml:space="preserve">), and </w:t>
      </w:r>
      <w:r w:rsidRPr="003171CD">
        <w:rPr>
          <w:szCs w:val="16"/>
          <w:lang w:val="en-US"/>
        </w:rPr>
        <w:t>CP/RES. 963 (1728/09), Resolution adopted on November 11, 2009 by the Permanent Council of the OAS, “</w:t>
      </w:r>
      <w:r w:rsidRPr="003171CD">
        <w:rPr>
          <w:i/>
          <w:iCs/>
          <w:szCs w:val="16"/>
          <w:lang w:val="en-US"/>
        </w:rPr>
        <w:t>Rules for the Operation of the Legal Assistance Fund of the Inter-American System of Human Rights</w:t>
      </w:r>
      <w:r w:rsidRPr="003171CD">
        <w:rPr>
          <w:szCs w:val="16"/>
          <w:lang w:val="en-US"/>
        </w:rPr>
        <w:t>”, Article 1(1).</w:t>
      </w:r>
      <w:bookmarkEnd w:id="97"/>
      <w:bookmarkEnd w:id="98"/>
    </w:p>
  </w:footnote>
  <w:footnote w:id="305">
    <w:p w14:paraId="5B4563E0" w14:textId="77777777" w:rsidR="005B3B83" w:rsidRPr="003171CD" w:rsidRDefault="005B3B83" w:rsidP="005B3B83">
      <w:pPr>
        <w:pStyle w:val="Textonotapie"/>
        <w:jc w:val="both"/>
        <w:rPr>
          <w:szCs w:val="16"/>
          <w:lang w:val="en-US"/>
        </w:rPr>
      </w:pPr>
      <w:r w:rsidRPr="003171CD">
        <w:rPr>
          <w:rStyle w:val="Refdenotaalpie"/>
          <w:szCs w:val="16"/>
          <w:lang w:val="en-US"/>
        </w:rPr>
        <w:footnoteRef/>
      </w:r>
      <w:r w:rsidRPr="003171CD">
        <w:rPr>
          <w:szCs w:val="16"/>
          <w:lang w:val="en-US"/>
        </w:rPr>
        <w:t xml:space="preserve"> Article 62 of the Rules of the Court.</w:t>
      </w:r>
    </w:p>
  </w:footnote>
  <w:footnote w:id="306">
    <w:p w14:paraId="101560B8" w14:textId="77777777" w:rsidR="005B3B83" w:rsidRPr="003171CD" w:rsidRDefault="005B3B83" w:rsidP="005B3B83">
      <w:pPr>
        <w:pStyle w:val="Textonotapie"/>
        <w:jc w:val="both"/>
        <w:rPr>
          <w:szCs w:val="16"/>
          <w:lang w:val="en-US"/>
        </w:rPr>
      </w:pPr>
      <w:r w:rsidRPr="003171CD">
        <w:rPr>
          <w:rStyle w:val="Refdenotaalpie"/>
          <w:szCs w:val="16"/>
          <w:lang w:val="en-US"/>
        </w:rPr>
        <w:footnoteRef/>
      </w:r>
      <w:r w:rsidRPr="003171CD">
        <w:rPr>
          <w:szCs w:val="16"/>
          <w:lang w:val="en-US"/>
        </w:rPr>
        <w:t xml:space="preserve"> Article 64 of the Rules of the Court.</w:t>
      </w:r>
    </w:p>
  </w:footnote>
  <w:footnote w:id="307">
    <w:p w14:paraId="1F2C2C3E" w14:textId="77777777" w:rsidR="005B3B83" w:rsidRPr="00DA4F19" w:rsidRDefault="005B3B83" w:rsidP="005B3B83">
      <w:pPr>
        <w:pStyle w:val="Textonotapie"/>
        <w:jc w:val="both"/>
        <w:rPr>
          <w:b/>
          <w:szCs w:val="16"/>
          <w:lang w:val="en-US"/>
        </w:rPr>
      </w:pPr>
      <w:r w:rsidRPr="003171CD">
        <w:rPr>
          <w:rStyle w:val="Refdenotaalpie"/>
          <w:szCs w:val="16"/>
          <w:lang w:val="en-US"/>
        </w:rPr>
        <w:footnoteRef/>
      </w:r>
      <w:r w:rsidRPr="003171CD">
        <w:rPr>
          <w:szCs w:val="16"/>
          <w:lang w:val="en-US"/>
        </w:rPr>
        <w:t xml:space="preserve"> </w:t>
      </w:r>
      <w:r w:rsidRPr="003171CD">
        <w:rPr>
          <w:i/>
          <w:szCs w:val="16"/>
          <w:lang w:val="en-US"/>
        </w:rPr>
        <w:t xml:space="preserve">The Effect of Reservations on the Entry into Force of the American Convention on Human Rights </w:t>
      </w:r>
      <w:r w:rsidRPr="003171CD">
        <w:rPr>
          <w:szCs w:val="16"/>
          <w:lang w:val="en-US"/>
        </w:rPr>
        <w:t xml:space="preserve">(Arts. 74 and 75). Advisory Opinion OC-2/82 of September 24, 1982. Series A No. 2, para. 29, and </w:t>
      </w:r>
      <w:r w:rsidRPr="00DA4F19">
        <w:rPr>
          <w:rStyle w:val="Textoennegrita"/>
          <w:i/>
          <w:szCs w:val="16"/>
          <w:lang w:val="en-US"/>
        </w:rPr>
        <w:t>Rights and Guarantees of Children in the Context of Migration and/or in Need of International Protection</w:t>
      </w:r>
      <w:r w:rsidRPr="00DA4F19">
        <w:rPr>
          <w:rStyle w:val="Textoennegrita"/>
          <w:szCs w:val="16"/>
          <w:lang w:val="en-US"/>
        </w:rPr>
        <w:t xml:space="preserve">. Advisory Opinion OC-21/14 of August 19, 2014. Series A No. 21, para. 53. </w:t>
      </w:r>
    </w:p>
  </w:footnote>
  <w:footnote w:id="308">
    <w:p w14:paraId="7CA9FF3E" w14:textId="77777777" w:rsidR="005B3B83" w:rsidRPr="00AF1C33" w:rsidRDefault="005B3B83" w:rsidP="005B3B83">
      <w:pPr>
        <w:pStyle w:val="Textonotapie"/>
        <w:rPr>
          <w:szCs w:val="16"/>
          <w:lang w:val="en-US"/>
        </w:rPr>
      </w:pPr>
      <w:r w:rsidRPr="003171CD">
        <w:rPr>
          <w:rStyle w:val="Refdenotaalpie"/>
          <w:szCs w:val="16"/>
          <w:lang w:val="en-US"/>
        </w:rPr>
        <w:footnoteRef/>
      </w:r>
      <w:r w:rsidRPr="003171CD">
        <w:rPr>
          <w:szCs w:val="16"/>
          <w:lang w:val="en-US"/>
        </w:rPr>
        <w:t xml:space="preserve"> Paragraph 21 of the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C029" w14:textId="77777777" w:rsidR="006E2EB2" w:rsidRDefault="006E2EB2" w:rsidP="005A65CE">
    <w:pPr>
      <w:pStyle w:val="Encabezado"/>
      <w:jc w:val="center"/>
    </w:pPr>
    <w:r>
      <w:fldChar w:fldCharType="begin"/>
    </w:r>
    <w:r>
      <w:instrText xml:space="preserve"> PAGE   \* MERGEFORMAT </w:instrText>
    </w:r>
    <w:r>
      <w:fldChar w:fldCharType="separate"/>
    </w:r>
    <w:r w:rsidR="0086002B">
      <w:rPr>
        <w:noProof/>
      </w:rPr>
      <w:t>67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5CA4"/>
    <w:multiLevelType w:val="hybridMultilevel"/>
    <w:tmpl w:val="877CFF1A"/>
    <w:lvl w:ilvl="0" w:tplc="140A0017">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DC6199"/>
    <w:multiLevelType w:val="hybridMultilevel"/>
    <w:tmpl w:val="4872CB8E"/>
    <w:lvl w:ilvl="0" w:tplc="0C0A001B">
      <w:start w:val="1"/>
      <w:numFmt w:val="lowerRoman"/>
      <w:lvlText w:val="%1."/>
      <w:lvlJc w:val="right"/>
      <w:pPr>
        <w:ind w:left="2131" w:hanging="360"/>
      </w:pPr>
    </w:lvl>
    <w:lvl w:ilvl="1" w:tplc="0C0A0019" w:tentative="1">
      <w:start w:val="1"/>
      <w:numFmt w:val="lowerLetter"/>
      <w:lvlText w:val="%2."/>
      <w:lvlJc w:val="left"/>
      <w:pPr>
        <w:ind w:left="2851" w:hanging="360"/>
      </w:pPr>
    </w:lvl>
    <w:lvl w:ilvl="2" w:tplc="0C0A001B" w:tentative="1">
      <w:start w:val="1"/>
      <w:numFmt w:val="lowerRoman"/>
      <w:lvlText w:val="%3."/>
      <w:lvlJc w:val="right"/>
      <w:pPr>
        <w:ind w:left="3571" w:hanging="180"/>
      </w:pPr>
    </w:lvl>
    <w:lvl w:ilvl="3" w:tplc="0C0A000F" w:tentative="1">
      <w:start w:val="1"/>
      <w:numFmt w:val="decimal"/>
      <w:lvlText w:val="%4."/>
      <w:lvlJc w:val="left"/>
      <w:pPr>
        <w:ind w:left="4291" w:hanging="360"/>
      </w:pPr>
    </w:lvl>
    <w:lvl w:ilvl="4" w:tplc="0C0A0019" w:tentative="1">
      <w:start w:val="1"/>
      <w:numFmt w:val="lowerLetter"/>
      <w:lvlText w:val="%5."/>
      <w:lvlJc w:val="left"/>
      <w:pPr>
        <w:ind w:left="5011" w:hanging="360"/>
      </w:pPr>
    </w:lvl>
    <w:lvl w:ilvl="5" w:tplc="0C0A001B" w:tentative="1">
      <w:start w:val="1"/>
      <w:numFmt w:val="lowerRoman"/>
      <w:lvlText w:val="%6."/>
      <w:lvlJc w:val="right"/>
      <w:pPr>
        <w:ind w:left="5731" w:hanging="180"/>
      </w:pPr>
    </w:lvl>
    <w:lvl w:ilvl="6" w:tplc="0C0A000F" w:tentative="1">
      <w:start w:val="1"/>
      <w:numFmt w:val="decimal"/>
      <w:lvlText w:val="%7."/>
      <w:lvlJc w:val="left"/>
      <w:pPr>
        <w:ind w:left="6451" w:hanging="360"/>
      </w:pPr>
    </w:lvl>
    <w:lvl w:ilvl="7" w:tplc="0C0A0019" w:tentative="1">
      <w:start w:val="1"/>
      <w:numFmt w:val="lowerLetter"/>
      <w:lvlText w:val="%8."/>
      <w:lvlJc w:val="left"/>
      <w:pPr>
        <w:ind w:left="7171" w:hanging="360"/>
      </w:pPr>
    </w:lvl>
    <w:lvl w:ilvl="8" w:tplc="0C0A001B" w:tentative="1">
      <w:start w:val="1"/>
      <w:numFmt w:val="lowerRoman"/>
      <w:lvlText w:val="%9."/>
      <w:lvlJc w:val="right"/>
      <w:pPr>
        <w:ind w:left="7891" w:hanging="180"/>
      </w:pPr>
    </w:lvl>
  </w:abstractNum>
  <w:abstractNum w:abstractNumId="2" w15:restartNumberingAfterBreak="0">
    <w:nsid w:val="1C936325"/>
    <w:multiLevelType w:val="hybridMultilevel"/>
    <w:tmpl w:val="B80C3756"/>
    <w:lvl w:ilvl="0" w:tplc="0C0A0019">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21074265"/>
    <w:multiLevelType w:val="hybridMultilevel"/>
    <w:tmpl w:val="BC7C8226"/>
    <w:lvl w:ilvl="0" w:tplc="BF466D34">
      <w:start w:val="1"/>
      <w:numFmt w:val="upperLetter"/>
      <w:lvlText w:val="%1)"/>
      <w:lvlJc w:val="left"/>
      <w:pPr>
        <w:ind w:left="1077" w:hanging="360"/>
      </w:pPr>
      <w:rPr>
        <w:rFonts w:hint="default"/>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4" w15:restartNumberingAfterBreak="0">
    <w:nsid w:val="240D4AC7"/>
    <w:multiLevelType w:val="hybridMultilevel"/>
    <w:tmpl w:val="44305918"/>
    <w:lvl w:ilvl="0" w:tplc="DC6A5292">
      <w:start w:val="1"/>
      <w:numFmt w:val="lowerLetter"/>
      <w:lvlText w:val="%1)"/>
      <w:lvlJc w:val="left"/>
      <w:pPr>
        <w:ind w:left="708" w:firstLine="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FFD3911"/>
    <w:multiLevelType w:val="hybridMultilevel"/>
    <w:tmpl w:val="A9CA4F2A"/>
    <w:lvl w:ilvl="0" w:tplc="9830D494">
      <w:start w:val="1"/>
      <w:numFmt w:val="upperRoman"/>
      <w:pStyle w:val="Ttulo1"/>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401184"/>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36145BDF"/>
    <w:multiLevelType w:val="hybridMultilevel"/>
    <w:tmpl w:val="8886ECA2"/>
    <w:lvl w:ilvl="0" w:tplc="C41C0E5C">
      <w:start w:val="1"/>
      <w:numFmt w:val="decimal"/>
      <w:lvlText w:val="%1."/>
      <w:lvlJc w:val="left"/>
      <w:pPr>
        <w:ind w:left="0" w:firstLine="0"/>
      </w:pPr>
      <w:rPr>
        <w:rFonts w:ascii="Verdana" w:hAnsi="Verdana" w:hint="default"/>
        <w:b w:val="0"/>
        <w:i w:val="0"/>
        <w:strike w:val="0"/>
        <w:color w:val="auto"/>
        <w:sz w:val="20"/>
        <w:szCs w:val="20"/>
        <w:lang w:val="es-AR"/>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3932B46"/>
    <w:multiLevelType w:val="hybridMultilevel"/>
    <w:tmpl w:val="7CFEB9C6"/>
    <w:lvl w:ilvl="0" w:tplc="0C0A001B">
      <w:start w:val="1"/>
      <w:numFmt w:val="lowerRoman"/>
      <w:lvlText w:val="%1."/>
      <w:lvlJc w:val="right"/>
      <w:pPr>
        <w:ind w:left="2131" w:hanging="360"/>
      </w:pPr>
    </w:lvl>
    <w:lvl w:ilvl="1" w:tplc="0C0A0019" w:tentative="1">
      <w:start w:val="1"/>
      <w:numFmt w:val="lowerLetter"/>
      <w:lvlText w:val="%2."/>
      <w:lvlJc w:val="left"/>
      <w:pPr>
        <w:ind w:left="2851" w:hanging="360"/>
      </w:pPr>
    </w:lvl>
    <w:lvl w:ilvl="2" w:tplc="0C0A001B" w:tentative="1">
      <w:start w:val="1"/>
      <w:numFmt w:val="lowerRoman"/>
      <w:lvlText w:val="%3."/>
      <w:lvlJc w:val="right"/>
      <w:pPr>
        <w:ind w:left="3571" w:hanging="180"/>
      </w:pPr>
    </w:lvl>
    <w:lvl w:ilvl="3" w:tplc="0C0A000F" w:tentative="1">
      <w:start w:val="1"/>
      <w:numFmt w:val="decimal"/>
      <w:lvlText w:val="%4."/>
      <w:lvlJc w:val="left"/>
      <w:pPr>
        <w:ind w:left="4291" w:hanging="360"/>
      </w:pPr>
    </w:lvl>
    <w:lvl w:ilvl="4" w:tplc="0C0A0019" w:tentative="1">
      <w:start w:val="1"/>
      <w:numFmt w:val="lowerLetter"/>
      <w:lvlText w:val="%5."/>
      <w:lvlJc w:val="left"/>
      <w:pPr>
        <w:ind w:left="5011" w:hanging="360"/>
      </w:pPr>
    </w:lvl>
    <w:lvl w:ilvl="5" w:tplc="0C0A001B" w:tentative="1">
      <w:start w:val="1"/>
      <w:numFmt w:val="lowerRoman"/>
      <w:lvlText w:val="%6."/>
      <w:lvlJc w:val="right"/>
      <w:pPr>
        <w:ind w:left="5731" w:hanging="180"/>
      </w:pPr>
    </w:lvl>
    <w:lvl w:ilvl="6" w:tplc="0C0A000F" w:tentative="1">
      <w:start w:val="1"/>
      <w:numFmt w:val="decimal"/>
      <w:lvlText w:val="%7."/>
      <w:lvlJc w:val="left"/>
      <w:pPr>
        <w:ind w:left="6451" w:hanging="360"/>
      </w:pPr>
    </w:lvl>
    <w:lvl w:ilvl="7" w:tplc="0C0A0019" w:tentative="1">
      <w:start w:val="1"/>
      <w:numFmt w:val="lowerLetter"/>
      <w:lvlText w:val="%8."/>
      <w:lvlJc w:val="left"/>
      <w:pPr>
        <w:ind w:left="7171" w:hanging="360"/>
      </w:pPr>
    </w:lvl>
    <w:lvl w:ilvl="8" w:tplc="0C0A001B" w:tentative="1">
      <w:start w:val="1"/>
      <w:numFmt w:val="lowerRoman"/>
      <w:lvlText w:val="%9."/>
      <w:lvlJc w:val="right"/>
      <w:pPr>
        <w:ind w:left="7891" w:hanging="180"/>
      </w:pPr>
    </w:lvl>
  </w:abstractNum>
  <w:abstractNum w:abstractNumId="10" w15:restartNumberingAfterBreak="0">
    <w:nsid w:val="4C5469CD"/>
    <w:multiLevelType w:val="hybridMultilevel"/>
    <w:tmpl w:val="BE1486A6"/>
    <w:lvl w:ilvl="0" w:tplc="8A52E736">
      <w:start w:val="20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454BD"/>
    <w:multiLevelType w:val="hybridMultilevel"/>
    <w:tmpl w:val="7396B226"/>
    <w:lvl w:ilvl="0" w:tplc="E0AEECE2">
      <w:start w:val="1"/>
      <w:numFmt w:val="decimal"/>
      <w:lvlText w:val="%1."/>
      <w:lvlJc w:val="left"/>
      <w:pPr>
        <w:ind w:left="720" w:hanging="360"/>
      </w:pPr>
      <w:rPr>
        <w:b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3A5AFA"/>
    <w:multiLevelType w:val="hybridMultilevel"/>
    <w:tmpl w:val="1196F3BA"/>
    <w:lvl w:ilvl="0" w:tplc="D9529CE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04F2E0F"/>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819782D"/>
    <w:multiLevelType w:val="hybridMultilevel"/>
    <w:tmpl w:val="EAD23B52"/>
    <w:lvl w:ilvl="0" w:tplc="C4F44876">
      <w:start w:val="1"/>
      <w:numFmt w:val="decimal"/>
      <w:pStyle w:val="Textonotaalfinal"/>
      <w:lvlText w:val="%1."/>
      <w:lvlJc w:val="left"/>
      <w:pPr>
        <w:ind w:left="1350" w:hanging="720"/>
      </w:pPr>
      <w:rPr>
        <w:rFonts w:ascii="Verdana" w:hAnsi="Verdana" w:cs="Times New Roman" w:hint="default"/>
        <w:b w:val="0"/>
        <w:i w:val="0"/>
        <w:strike w:val="0"/>
        <w:color w:val="auto"/>
        <w:sz w:val="20"/>
        <w:szCs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E0B1CFB"/>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61680C15"/>
    <w:multiLevelType w:val="hybridMultilevel"/>
    <w:tmpl w:val="29C4A652"/>
    <w:lvl w:ilvl="0" w:tplc="0B3ECA6C">
      <w:start w:val="1"/>
      <w:numFmt w:val="decimal"/>
      <w:pStyle w:val="PrrafodeSentencia"/>
      <w:lvlText w:val="%1."/>
      <w:lvlJc w:val="left"/>
      <w:pPr>
        <w:ind w:left="810" w:hanging="720"/>
      </w:pPr>
      <w:rPr>
        <w:b w:val="0"/>
        <w:i w:val="0"/>
        <w:strike w:val="0"/>
        <w:dstrike w:val="0"/>
        <w:sz w:val="20"/>
        <w:szCs w:val="20"/>
        <w:u w:val="none"/>
        <w:effect w:val="none"/>
      </w:rPr>
    </w:lvl>
    <w:lvl w:ilvl="1" w:tplc="E9C609BA">
      <w:start w:val="1"/>
      <w:numFmt w:val="lowerLetter"/>
      <w:lvlText w:val="%2."/>
      <w:lvlJc w:val="left"/>
      <w:pPr>
        <w:ind w:left="1080" w:hanging="360"/>
      </w:pPr>
      <w:rPr>
        <w:b w:val="0"/>
      </w:rPr>
    </w:lvl>
    <w:lvl w:ilvl="2" w:tplc="140A001B">
      <w:start w:val="1"/>
      <w:numFmt w:val="lowerRoman"/>
      <w:lvlText w:val="%3."/>
      <w:lvlJc w:val="right"/>
      <w:pPr>
        <w:ind w:left="2160" w:hanging="18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7"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5C4429"/>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7AC369FF"/>
    <w:multiLevelType w:val="hybridMultilevel"/>
    <w:tmpl w:val="46F4788C"/>
    <w:lvl w:ilvl="0" w:tplc="9F701216">
      <w:start w:val="1"/>
      <w:numFmt w:val="decimal"/>
      <w:lvlText w:val="%1."/>
      <w:lvlJc w:val="left"/>
      <w:pPr>
        <w:ind w:left="847"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CB8649F"/>
    <w:multiLevelType w:val="hybridMultilevel"/>
    <w:tmpl w:val="2348C606"/>
    <w:lvl w:ilvl="0" w:tplc="59D601E2">
      <w:start w:val="1"/>
      <w:numFmt w:val="lowerLetter"/>
      <w:lvlText w:val="%1)"/>
      <w:lvlJc w:val="left"/>
      <w:pPr>
        <w:ind w:left="708" w:firstLine="0"/>
      </w:pPr>
      <w:rPr>
        <w:rFonts w:hint="default"/>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7"/>
  </w:num>
  <w:num w:numId="2">
    <w:abstractNumId w:val="4"/>
  </w:num>
  <w:num w:numId="3">
    <w:abstractNumId w:val="20"/>
  </w:num>
  <w:num w:numId="4">
    <w:abstractNumId w:val="2"/>
  </w:num>
  <w:num w:numId="5">
    <w:abstractNumId w:val="1"/>
  </w:num>
  <w:num w:numId="6">
    <w:abstractNumId w:val="9"/>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14"/>
  </w:num>
  <w:num w:numId="12">
    <w:abstractNumId w:val="10"/>
  </w:num>
  <w:num w:numId="13">
    <w:abstractNumId w:val="3"/>
  </w:num>
  <w:num w:numId="14">
    <w:abstractNumId w:val="11"/>
  </w:num>
  <w:num w:numId="15">
    <w:abstractNumId w:val="12"/>
  </w:num>
  <w:num w:numId="16">
    <w:abstractNumId w:val="13"/>
  </w:num>
  <w:num w:numId="17">
    <w:abstractNumId w:val="18"/>
  </w:num>
  <w:num w:numId="18">
    <w:abstractNumId w:val="6"/>
  </w:num>
  <w:num w:numId="19">
    <w:abstractNumId w:val="15"/>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EF"/>
    <w:rsid w:val="00000BA6"/>
    <w:rsid w:val="0000111F"/>
    <w:rsid w:val="00001EFE"/>
    <w:rsid w:val="000037C0"/>
    <w:rsid w:val="000047CB"/>
    <w:rsid w:val="0000719F"/>
    <w:rsid w:val="0002110E"/>
    <w:rsid w:val="00021C85"/>
    <w:rsid w:val="00022AD9"/>
    <w:rsid w:val="00022E8B"/>
    <w:rsid w:val="0002359A"/>
    <w:rsid w:val="00023D6C"/>
    <w:rsid w:val="00025394"/>
    <w:rsid w:val="00025517"/>
    <w:rsid w:val="00025AAE"/>
    <w:rsid w:val="00027490"/>
    <w:rsid w:val="00027737"/>
    <w:rsid w:val="00027A70"/>
    <w:rsid w:val="000303D6"/>
    <w:rsid w:val="00031425"/>
    <w:rsid w:val="0003311F"/>
    <w:rsid w:val="000335B8"/>
    <w:rsid w:val="00033FFC"/>
    <w:rsid w:val="000463B4"/>
    <w:rsid w:val="00050AC9"/>
    <w:rsid w:val="000524BD"/>
    <w:rsid w:val="00054AF9"/>
    <w:rsid w:val="000618CF"/>
    <w:rsid w:val="000634C2"/>
    <w:rsid w:val="000638C7"/>
    <w:rsid w:val="00067307"/>
    <w:rsid w:val="00067B00"/>
    <w:rsid w:val="00073492"/>
    <w:rsid w:val="00080B11"/>
    <w:rsid w:val="00081636"/>
    <w:rsid w:val="0008676B"/>
    <w:rsid w:val="000923D2"/>
    <w:rsid w:val="000949BB"/>
    <w:rsid w:val="000962AE"/>
    <w:rsid w:val="00096DCF"/>
    <w:rsid w:val="000973BF"/>
    <w:rsid w:val="00097B1B"/>
    <w:rsid w:val="00097EAA"/>
    <w:rsid w:val="000A164F"/>
    <w:rsid w:val="000A3273"/>
    <w:rsid w:val="000A4B42"/>
    <w:rsid w:val="000A4C6C"/>
    <w:rsid w:val="000A776C"/>
    <w:rsid w:val="000B1C8B"/>
    <w:rsid w:val="000B2DE3"/>
    <w:rsid w:val="000B5129"/>
    <w:rsid w:val="000B5A0B"/>
    <w:rsid w:val="000B5F32"/>
    <w:rsid w:val="000B6785"/>
    <w:rsid w:val="000B69EC"/>
    <w:rsid w:val="000C0102"/>
    <w:rsid w:val="000C07D1"/>
    <w:rsid w:val="000C2B61"/>
    <w:rsid w:val="000C76AE"/>
    <w:rsid w:val="000D048E"/>
    <w:rsid w:val="000D05A7"/>
    <w:rsid w:val="000D1555"/>
    <w:rsid w:val="000D4247"/>
    <w:rsid w:val="000E55B2"/>
    <w:rsid w:val="000E6BE8"/>
    <w:rsid w:val="000E6D4F"/>
    <w:rsid w:val="000E71F6"/>
    <w:rsid w:val="000E7AC9"/>
    <w:rsid w:val="000F378E"/>
    <w:rsid w:val="000F47B5"/>
    <w:rsid w:val="000F6741"/>
    <w:rsid w:val="000F7983"/>
    <w:rsid w:val="001011A8"/>
    <w:rsid w:val="00101A14"/>
    <w:rsid w:val="001020DB"/>
    <w:rsid w:val="001027E9"/>
    <w:rsid w:val="00103C35"/>
    <w:rsid w:val="00106261"/>
    <w:rsid w:val="00106687"/>
    <w:rsid w:val="001109CE"/>
    <w:rsid w:val="00111C6F"/>
    <w:rsid w:val="00114761"/>
    <w:rsid w:val="0011643A"/>
    <w:rsid w:val="00121C8D"/>
    <w:rsid w:val="0012277C"/>
    <w:rsid w:val="00125843"/>
    <w:rsid w:val="00126E52"/>
    <w:rsid w:val="00132557"/>
    <w:rsid w:val="001344EF"/>
    <w:rsid w:val="0013589B"/>
    <w:rsid w:val="00137C61"/>
    <w:rsid w:val="00137FD5"/>
    <w:rsid w:val="00140964"/>
    <w:rsid w:val="001418A2"/>
    <w:rsid w:val="001464DB"/>
    <w:rsid w:val="001502D2"/>
    <w:rsid w:val="0015072A"/>
    <w:rsid w:val="001507B8"/>
    <w:rsid w:val="00151CD1"/>
    <w:rsid w:val="00151D15"/>
    <w:rsid w:val="00151F73"/>
    <w:rsid w:val="00152F01"/>
    <w:rsid w:val="00154014"/>
    <w:rsid w:val="0015506C"/>
    <w:rsid w:val="00162A6C"/>
    <w:rsid w:val="00162F35"/>
    <w:rsid w:val="00164596"/>
    <w:rsid w:val="001649FA"/>
    <w:rsid w:val="0017023B"/>
    <w:rsid w:val="00170E12"/>
    <w:rsid w:val="00173C78"/>
    <w:rsid w:val="001761B4"/>
    <w:rsid w:val="0018026A"/>
    <w:rsid w:val="001811B2"/>
    <w:rsid w:val="0018294B"/>
    <w:rsid w:val="00185A5B"/>
    <w:rsid w:val="00187CF3"/>
    <w:rsid w:val="00193987"/>
    <w:rsid w:val="001A0703"/>
    <w:rsid w:val="001A0ACE"/>
    <w:rsid w:val="001A173A"/>
    <w:rsid w:val="001A1AB1"/>
    <w:rsid w:val="001A1CDF"/>
    <w:rsid w:val="001A38F6"/>
    <w:rsid w:val="001A42E4"/>
    <w:rsid w:val="001A44FA"/>
    <w:rsid w:val="001A6742"/>
    <w:rsid w:val="001B1BEB"/>
    <w:rsid w:val="001B46FF"/>
    <w:rsid w:val="001B54D3"/>
    <w:rsid w:val="001B5DB0"/>
    <w:rsid w:val="001B6F82"/>
    <w:rsid w:val="001B7983"/>
    <w:rsid w:val="001C1BE6"/>
    <w:rsid w:val="001C4614"/>
    <w:rsid w:val="001C5B33"/>
    <w:rsid w:val="001D07DD"/>
    <w:rsid w:val="001D32B5"/>
    <w:rsid w:val="001D73B9"/>
    <w:rsid w:val="001E0E89"/>
    <w:rsid w:val="001E54A4"/>
    <w:rsid w:val="001E5A4D"/>
    <w:rsid w:val="001E5E95"/>
    <w:rsid w:val="001E69A5"/>
    <w:rsid w:val="001E6EE0"/>
    <w:rsid w:val="001E6FD0"/>
    <w:rsid w:val="001F02E7"/>
    <w:rsid w:val="001F05FC"/>
    <w:rsid w:val="001F09E4"/>
    <w:rsid w:val="001F2DDD"/>
    <w:rsid w:val="001F2E7A"/>
    <w:rsid w:val="001F4896"/>
    <w:rsid w:val="00201619"/>
    <w:rsid w:val="002033E5"/>
    <w:rsid w:val="00207CDD"/>
    <w:rsid w:val="0022281F"/>
    <w:rsid w:val="00223B0F"/>
    <w:rsid w:val="00223EE7"/>
    <w:rsid w:val="00225134"/>
    <w:rsid w:val="00226801"/>
    <w:rsid w:val="00226A62"/>
    <w:rsid w:val="002278FF"/>
    <w:rsid w:val="00241FAC"/>
    <w:rsid w:val="00243900"/>
    <w:rsid w:val="002454BF"/>
    <w:rsid w:val="0024640D"/>
    <w:rsid w:val="00246627"/>
    <w:rsid w:val="00254706"/>
    <w:rsid w:val="0026182C"/>
    <w:rsid w:val="002625A5"/>
    <w:rsid w:val="00264C4D"/>
    <w:rsid w:val="00265913"/>
    <w:rsid w:val="00266893"/>
    <w:rsid w:val="00267D79"/>
    <w:rsid w:val="00271081"/>
    <w:rsid w:val="00275274"/>
    <w:rsid w:val="00276096"/>
    <w:rsid w:val="002818F7"/>
    <w:rsid w:val="00285E5F"/>
    <w:rsid w:val="0029089E"/>
    <w:rsid w:val="002918FC"/>
    <w:rsid w:val="00293CBD"/>
    <w:rsid w:val="002A0619"/>
    <w:rsid w:val="002A384F"/>
    <w:rsid w:val="002A4CDC"/>
    <w:rsid w:val="002B25B7"/>
    <w:rsid w:val="002B2FAB"/>
    <w:rsid w:val="002B49BD"/>
    <w:rsid w:val="002B6167"/>
    <w:rsid w:val="002C1F8F"/>
    <w:rsid w:val="002C4A91"/>
    <w:rsid w:val="002C5808"/>
    <w:rsid w:val="002C75BD"/>
    <w:rsid w:val="002D29EB"/>
    <w:rsid w:val="002D30D3"/>
    <w:rsid w:val="002D32B1"/>
    <w:rsid w:val="002D3B63"/>
    <w:rsid w:val="002D50FC"/>
    <w:rsid w:val="002D65C2"/>
    <w:rsid w:val="002E2D4A"/>
    <w:rsid w:val="002E3E48"/>
    <w:rsid w:val="002E679E"/>
    <w:rsid w:val="002E723D"/>
    <w:rsid w:val="002F11BE"/>
    <w:rsid w:val="002F1D1E"/>
    <w:rsid w:val="002F5D7E"/>
    <w:rsid w:val="002F60E3"/>
    <w:rsid w:val="002F6D21"/>
    <w:rsid w:val="002F7704"/>
    <w:rsid w:val="003024FD"/>
    <w:rsid w:val="00305A89"/>
    <w:rsid w:val="003073C1"/>
    <w:rsid w:val="003075CF"/>
    <w:rsid w:val="00311A49"/>
    <w:rsid w:val="00311D44"/>
    <w:rsid w:val="0031286B"/>
    <w:rsid w:val="003158D1"/>
    <w:rsid w:val="003159F4"/>
    <w:rsid w:val="00316271"/>
    <w:rsid w:val="00316C8F"/>
    <w:rsid w:val="003171CD"/>
    <w:rsid w:val="003205A5"/>
    <w:rsid w:val="00320EB7"/>
    <w:rsid w:val="00321B79"/>
    <w:rsid w:val="003264D9"/>
    <w:rsid w:val="00326FDB"/>
    <w:rsid w:val="00331E2A"/>
    <w:rsid w:val="003359D2"/>
    <w:rsid w:val="003379E4"/>
    <w:rsid w:val="003440E5"/>
    <w:rsid w:val="00345308"/>
    <w:rsid w:val="003454B5"/>
    <w:rsid w:val="00345C92"/>
    <w:rsid w:val="00346412"/>
    <w:rsid w:val="0035325B"/>
    <w:rsid w:val="003537A3"/>
    <w:rsid w:val="00355112"/>
    <w:rsid w:val="0035657C"/>
    <w:rsid w:val="00357E98"/>
    <w:rsid w:val="00362D37"/>
    <w:rsid w:val="0036326B"/>
    <w:rsid w:val="0036359A"/>
    <w:rsid w:val="00365514"/>
    <w:rsid w:val="00367B8F"/>
    <w:rsid w:val="00367FA5"/>
    <w:rsid w:val="003728E3"/>
    <w:rsid w:val="0037332A"/>
    <w:rsid w:val="003735D8"/>
    <w:rsid w:val="00376B73"/>
    <w:rsid w:val="00377619"/>
    <w:rsid w:val="00377A8B"/>
    <w:rsid w:val="0038071C"/>
    <w:rsid w:val="00382435"/>
    <w:rsid w:val="003838EF"/>
    <w:rsid w:val="0039316D"/>
    <w:rsid w:val="003934BC"/>
    <w:rsid w:val="00394BC6"/>
    <w:rsid w:val="00394DBE"/>
    <w:rsid w:val="00395C36"/>
    <w:rsid w:val="003A2C9B"/>
    <w:rsid w:val="003A348D"/>
    <w:rsid w:val="003A5635"/>
    <w:rsid w:val="003A75D8"/>
    <w:rsid w:val="003A7CF6"/>
    <w:rsid w:val="003B1151"/>
    <w:rsid w:val="003B691A"/>
    <w:rsid w:val="003C0DEB"/>
    <w:rsid w:val="003C2E8C"/>
    <w:rsid w:val="003C34B7"/>
    <w:rsid w:val="003C3735"/>
    <w:rsid w:val="003C5A8A"/>
    <w:rsid w:val="003C71ED"/>
    <w:rsid w:val="003D0FBE"/>
    <w:rsid w:val="003D1477"/>
    <w:rsid w:val="003D3306"/>
    <w:rsid w:val="003D4804"/>
    <w:rsid w:val="003D51DF"/>
    <w:rsid w:val="003D5AEC"/>
    <w:rsid w:val="003D5C49"/>
    <w:rsid w:val="003D5E31"/>
    <w:rsid w:val="003D5EE5"/>
    <w:rsid w:val="003D7BF5"/>
    <w:rsid w:val="003E02EA"/>
    <w:rsid w:val="003E06E5"/>
    <w:rsid w:val="003E16F4"/>
    <w:rsid w:val="003E19CD"/>
    <w:rsid w:val="003E3FE6"/>
    <w:rsid w:val="003E5E01"/>
    <w:rsid w:val="003E6257"/>
    <w:rsid w:val="003E7F07"/>
    <w:rsid w:val="003F0BA1"/>
    <w:rsid w:val="003F2220"/>
    <w:rsid w:val="003F52EB"/>
    <w:rsid w:val="003F614D"/>
    <w:rsid w:val="003F6829"/>
    <w:rsid w:val="003F7F53"/>
    <w:rsid w:val="00401AAC"/>
    <w:rsid w:val="004021A7"/>
    <w:rsid w:val="004021CD"/>
    <w:rsid w:val="00402699"/>
    <w:rsid w:val="004071BB"/>
    <w:rsid w:val="00410751"/>
    <w:rsid w:val="00410B2D"/>
    <w:rsid w:val="00410E51"/>
    <w:rsid w:val="00411425"/>
    <w:rsid w:val="00411BEC"/>
    <w:rsid w:val="004212A1"/>
    <w:rsid w:val="00423B13"/>
    <w:rsid w:val="0043351A"/>
    <w:rsid w:val="004343C0"/>
    <w:rsid w:val="00434C86"/>
    <w:rsid w:val="004372EF"/>
    <w:rsid w:val="00437A9E"/>
    <w:rsid w:val="00440A74"/>
    <w:rsid w:val="00442781"/>
    <w:rsid w:val="00454A99"/>
    <w:rsid w:val="00454D64"/>
    <w:rsid w:val="0046294B"/>
    <w:rsid w:val="00466EBF"/>
    <w:rsid w:val="00471657"/>
    <w:rsid w:val="00474BD5"/>
    <w:rsid w:val="004764AE"/>
    <w:rsid w:val="00477039"/>
    <w:rsid w:val="0048176F"/>
    <w:rsid w:val="00484449"/>
    <w:rsid w:val="0049187B"/>
    <w:rsid w:val="00493404"/>
    <w:rsid w:val="0049626F"/>
    <w:rsid w:val="00496F83"/>
    <w:rsid w:val="00497EE7"/>
    <w:rsid w:val="004A250A"/>
    <w:rsid w:val="004A3F79"/>
    <w:rsid w:val="004A4243"/>
    <w:rsid w:val="004A643A"/>
    <w:rsid w:val="004B1A3E"/>
    <w:rsid w:val="004B1FF4"/>
    <w:rsid w:val="004B22E5"/>
    <w:rsid w:val="004B2D7B"/>
    <w:rsid w:val="004B6C10"/>
    <w:rsid w:val="004B7F6E"/>
    <w:rsid w:val="004C363C"/>
    <w:rsid w:val="004C4E9C"/>
    <w:rsid w:val="004C6C8C"/>
    <w:rsid w:val="004C6D25"/>
    <w:rsid w:val="004C79CC"/>
    <w:rsid w:val="004D0C85"/>
    <w:rsid w:val="004D1DA0"/>
    <w:rsid w:val="004D1EEA"/>
    <w:rsid w:val="004D2546"/>
    <w:rsid w:val="004D7423"/>
    <w:rsid w:val="004E1E72"/>
    <w:rsid w:val="004E3D47"/>
    <w:rsid w:val="004E53DD"/>
    <w:rsid w:val="004F0577"/>
    <w:rsid w:val="004F7132"/>
    <w:rsid w:val="005039F5"/>
    <w:rsid w:val="00504342"/>
    <w:rsid w:val="00504E12"/>
    <w:rsid w:val="00506A0D"/>
    <w:rsid w:val="00507948"/>
    <w:rsid w:val="00507970"/>
    <w:rsid w:val="00513B37"/>
    <w:rsid w:val="00514755"/>
    <w:rsid w:val="005149ED"/>
    <w:rsid w:val="00515480"/>
    <w:rsid w:val="00515F7A"/>
    <w:rsid w:val="0051727D"/>
    <w:rsid w:val="0051762A"/>
    <w:rsid w:val="0052137E"/>
    <w:rsid w:val="0052143E"/>
    <w:rsid w:val="005224CC"/>
    <w:rsid w:val="00522619"/>
    <w:rsid w:val="00523B89"/>
    <w:rsid w:val="00525621"/>
    <w:rsid w:val="0052618C"/>
    <w:rsid w:val="00526238"/>
    <w:rsid w:val="00526B6E"/>
    <w:rsid w:val="00527C29"/>
    <w:rsid w:val="00527CE7"/>
    <w:rsid w:val="0053214A"/>
    <w:rsid w:val="00535878"/>
    <w:rsid w:val="00536CE3"/>
    <w:rsid w:val="005371D7"/>
    <w:rsid w:val="00540477"/>
    <w:rsid w:val="00543E32"/>
    <w:rsid w:val="00550714"/>
    <w:rsid w:val="00550A09"/>
    <w:rsid w:val="00551841"/>
    <w:rsid w:val="00557254"/>
    <w:rsid w:val="00557337"/>
    <w:rsid w:val="005606CD"/>
    <w:rsid w:val="00561822"/>
    <w:rsid w:val="00562878"/>
    <w:rsid w:val="005644C2"/>
    <w:rsid w:val="00567E7D"/>
    <w:rsid w:val="0057153B"/>
    <w:rsid w:val="0057619E"/>
    <w:rsid w:val="00576404"/>
    <w:rsid w:val="005819F5"/>
    <w:rsid w:val="005A04D6"/>
    <w:rsid w:val="005A65CE"/>
    <w:rsid w:val="005B0AD0"/>
    <w:rsid w:val="005B2A59"/>
    <w:rsid w:val="005B2BDB"/>
    <w:rsid w:val="005B3B83"/>
    <w:rsid w:val="005B7FBD"/>
    <w:rsid w:val="005C0077"/>
    <w:rsid w:val="005C35A3"/>
    <w:rsid w:val="005C36F9"/>
    <w:rsid w:val="005C65C4"/>
    <w:rsid w:val="005D308D"/>
    <w:rsid w:val="005D4264"/>
    <w:rsid w:val="005D4B65"/>
    <w:rsid w:val="005D5F10"/>
    <w:rsid w:val="005E01E8"/>
    <w:rsid w:val="005E161D"/>
    <w:rsid w:val="005E1CA6"/>
    <w:rsid w:val="005E22BD"/>
    <w:rsid w:val="005E294A"/>
    <w:rsid w:val="005E3ECD"/>
    <w:rsid w:val="005F095A"/>
    <w:rsid w:val="005F1B96"/>
    <w:rsid w:val="005F2BBD"/>
    <w:rsid w:val="005F40EF"/>
    <w:rsid w:val="005F517F"/>
    <w:rsid w:val="005F6323"/>
    <w:rsid w:val="0060023F"/>
    <w:rsid w:val="006025D7"/>
    <w:rsid w:val="00612AE2"/>
    <w:rsid w:val="00612B51"/>
    <w:rsid w:val="0061321E"/>
    <w:rsid w:val="00614336"/>
    <w:rsid w:val="00614B55"/>
    <w:rsid w:val="00617363"/>
    <w:rsid w:val="0062020B"/>
    <w:rsid w:val="00620D9F"/>
    <w:rsid w:val="00624EEF"/>
    <w:rsid w:val="006265D3"/>
    <w:rsid w:val="00630651"/>
    <w:rsid w:val="00630B34"/>
    <w:rsid w:val="006319FE"/>
    <w:rsid w:val="00635691"/>
    <w:rsid w:val="0063678E"/>
    <w:rsid w:val="00636F02"/>
    <w:rsid w:val="00637BD1"/>
    <w:rsid w:val="00641581"/>
    <w:rsid w:val="00642EE2"/>
    <w:rsid w:val="00645105"/>
    <w:rsid w:val="006454ED"/>
    <w:rsid w:val="00646BF4"/>
    <w:rsid w:val="006509D0"/>
    <w:rsid w:val="00650A1E"/>
    <w:rsid w:val="00651D97"/>
    <w:rsid w:val="006608BB"/>
    <w:rsid w:val="006625D6"/>
    <w:rsid w:val="00663EBA"/>
    <w:rsid w:val="00664DD4"/>
    <w:rsid w:val="006661C9"/>
    <w:rsid w:val="006663CD"/>
    <w:rsid w:val="00670015"/>
    <w:rsid w:val="006714A6"/>
    <w:rsid w:val="006725D3"/>
    <w:rsid w:val="00674DDE"/>
    <w:rsid w:val="00675E2E"/>
    <w:rsid w:val="00677A63"/>
    <w:rsid w:val="00677C86"/>
    <w:rsid w:val="0068079D"/>
    <w:rsid w:val="006863F1"/>
    <w:rsid w:val="00687AAF"/>
    <w:rsid w:val="006930C1"/>
    <w:rsid w:val="00693A1C"/>
    <w:rsid w:val="00693F7A"/>
    <w:rsid w:val="00694428"/>
    <w:rsid w:val="00696112"/>
    <w:rsid w:val="006A15F4"/>
    <w:rsid w:val="006A2571"/>
    <w:rsid w:val="006A6C41"/>
    <w:rsid w:val="006A7B69"/>
    <w:rsid w:val="006A7E74"/>
    <w:rsid w:val="006B6FF1"/>
    <w:rsid w:val="006C0931"/>
    <w:rsid w:val="006C2936"/>
    <w:rsid w:val="006C539A"/>
    <w:rsid w:val="006C674C"/>
    <w:rsid w:val="006D1A1E"/>
    <w:rsid w:val="006D2BC0"/>
    <w:rsid w:val="006D3F5E"/>
    <w:rsid w:val="006D5865"/>
    <w:rsid w:val="006D5C23"/>
    <w:rsid w:val="006D65DA"/>
    <w:rsid w:val="006D768A"/>
    <w:rsid w:val="006E2EB2"/>
    <w:rsid w:val="006E4E4A"/>
    <w:rsid w:val="006E65D8"/>
    <w:rsid w:val="006F1D38"/>
    <w:rsid w:val="006F1E1F"/>
    <w:rsid w:val="006F2488"/>
    <w:rsid w:val="006F3AEF"/>
    <w:rsid w:val="006F5D99"/>
    <w:rsid w:val="0070044C"/>
    <w:rsid w:val="00700CDE"/>
    <w:rsid w:val="007023D6"/>
    <w:rsid w:val="00704FFD"/>
    <w:rsid w:val="007057ED"/>
    <w:rsid w:val="00722645"/>
    <w:rsid w:val="007227A5"/>
    <w:rsid w:val="0072421D"/>
    <w:rsid w:val="007250C0"/>
    <w:rsid w:val="007268C2"/>
    <w:rsid w:val="007308EF"/>
    <w:rsid w:val="00731F89"/>
    <w:rsid w:val="00732433"/>
    <w:rsid w:val="00734E18"/>
    <w:rsid w:val="007360D2"/>
    <w:rsid w:val="0073623A"/>
    <w:rsid w:val="007372C0"/>
    <w:rsid w:val="00745872"/>
    <w:rsid w:val="0074646F"/>
    <w:rsid w:val="00750F20"/>
    <w:rsid w:val="00751491"/>
    <w:rsid w:val="00753210"/>
    <w:rsid w:val="00755F93"/>
    <w:rsid w:val="00760A38"/>
    <w:rsid w:val="00760E68"/>
    <w:rsid w:val="00761B6C"/>
    <w:rsid w:val="007639FA"/>
    <w:rsid w:val="0076418F"/>
    <w:rsid w:val="00765AD7"/>
    <w:rsid w:val="00771C5F"/>
    <w:rsid w:val="00772033"/>
    <w:rsid w:val="007744BD"/>
    <w:rsid w:val="00776A02"/>
    <w:rsid w:val="007823F2"/>
    <w:rsid w:val="00787C8B"/>
    <w:rsid w:val="00791290"/>
    <w:rsid w:val="007A186B"/>
    <w:rsid w:val="007A28C8"/>
    <w:rsid w:val="007A3AFC"/>
    <w:rsid w:val="007A4356"/>
    <w:rsid w:val="007A702F"/>
    <w:rsid w:val="007B1015"/>
    <w:rsid w:val="007B123F"/>
    <w:rsid w:val="007B24DA"/>
    <w:rsid w:val="007B280B"/>
    <w:rsid w:val="007B44A9"/>
    <w:rsid w:val="007B6AF8"/>
    <w:rsid w:val="007C3EEC"/>
    <w:rsid w:val="007C5BF6"/>
    <w:rsid w:val="007C5D1A"/>
    <w:rsid w:val="007C5FBF"/>
    <w:rsid w:val="007D004F"/>
    <w:rsid w:val="007D2BB5"/>
    <w:rsid w:val="007D391E"/>
    <w:rsid w:val="007D59F4"/>
    <w:rsid w:val="007D5BEF"/>
    <w:rsid w:val="007D7CA1"/>
    <w:rsid w:val="007E3336"/>
    <w:rsid w:val="007E4705"/>
    <w:rsid w:val="007E648B"/>
    <w:rsid w:val="007E7945"/>
    <w:rsid w:val="007F07C8"/>
    <w:rsid w:val="007F114B"/>
    <w:rsid w:val="007F5DA9"/>
    <w:rsid w:val="007F61FA"/>
    <w:rsid w:val="007F7227"/>
    <w:rsid w:val="008073C9"/>
    <w:rsid w:val="00810A47"/>
    <w:rsid w:val="0081207F"/>
    <w:rsid w:val="008126A8"/>
    <w:rsid w:val="008139FE"/>
    <w:rsid w:val="00813D67"/>
    <w:rsid w:val="008149CC"/>
    <w:rsid w:val="008158BC"/>
    <w:rsid w:val="00816676"/>
    <w:rsid w:val="00816D46"/>
    <w:rsid w:val="008213D6"/>
    <w:rsid w:val="00821400"/>
    <w:rsid w:val="00821AEF"/>
    <w:rsid w:val="00822A0B"/>
    <w:rsid w:val="00824268"/>
    <w:rsid w:val="008243ED"/>
    <w:rsid w:val="008247E1"/>
    <w:rsid w:val="008301BA"/>
    <w:rsid w:val="0083220A"/>
    <w:rsid w:val="00834B13"/>
    <w:rsid w:val="00837C56"/>
    <w:rsid w:val="00842ABA"/>
    <w:rsid w:val="00842E92"/>
    <w:rsid w:val="0084484B"/>
    <w:rsid w:val="00845CD4"/>
    <w:rsid w:val="00850665"/>
    <w:rsid w:val="0085177B"/>
    <w:rsid w:val="00852A71"/>
    <w:rsid w:val="00854620"/>
    <w:rsid w:val="008551EB"/>
    <w:rsid w:val="00855540"/>
    <w:rsid w:val="00856228"/>
    <w:rsid w:val="0086002B"/>
    <w:rsid w:val="008611C2"/>
    <w:rsid w:val="008624A1"/>
    <w:rsid w:val="008678E4"/>
    <w:rsid w:val="00875BD2"/>
    <w:rsid w:val="008769F8"/>
    <w:rsid w:val="0088136D"/>
    <w:rsid w:val="00885D3E"/>
    <w:rsid w:val="00887DF1"/>
    <w:rsid w:val="00890144"/>
    <w:rsid w:val="008903BD"/>
    <w:rsid w:val="0089587F"/>
    <w:rsid w:val="00896815"/>
    <w:rsid w:val="00897B7E"/>
    <w:rsid w:val="008A050C"/>
    <w:rsid w:val="008A14B7"/>
    <w:rsid w:val="008A2EFC"/>
    <w:rsid w:val="008A3A13"/>
    <w:rsid w:val="008B0B05"/>
    <w:rsid w:val="008B30D8"/>
    <w:rsid w:val="008B3305"/>
    <w:rsid w:val="008B3454"/>
    <w:rsid w:val="008B5395"/>
    <w:rsid w:val="008B7E22"/>
    <w:rsid w:val="008C0930"/>
    <w:rsid w:val="008C2312"/>
    <w:rsid w:val="008C349C"/>
    <w:rsid w:val="008C41DF"/>
    <w:rsid w:val="008C64B4"/>
    <w:rsid w:val="008D2748"/>
    <w:rsid w:val="008D3B52"/>
    <w:rsid w:val="008D4150"/>
    <w:rsid w:val="008D529F"/>
    <w:rsid w:val="008D5B5F"/>
    <w:rsid w:val="008E24F1"/>
    <w:rsid w:val="008E39E2"/>
    <w:rsid w:val="008E4B32"/>
    <w:rsid w:val="008E529F"/>
    <w:rsid w:val="008E78A8"/>
    <w:rsid w:val="008F0183"/>
    <w:rsid w:val="008F39A0"/>
    <w:rsid w:val="008F674C"/>
    <w:rsid w:val="00901D36"/>
    <w:rsid w:val="009027F2"/>
    <w:rsid w:val="0090485F"/>
    <w:rsid w:val="00905284"/>
    <w:rsid w:val="009065C2"/>
    <w:rsid w:val="00906A87"/>
    <w:rsid w:val="009138E5"/>
    <w:rsid w:val="009142C3"/>
    <w:rsid w:val="009208CC"/>
    <w:rsid w:val="00922738"/>
    <w:rsid w:val="009239B1"/>
    <w:rsid w:val="00925337"/>
    <w:rsid w:val="00925791"/>
    <w:rsid w:val="00926009"/>
    <w:rsid w:val="00927BEC"/>
    <w:rsid w:val="00932224"/>
    <w:rsid w:val="009329B3"/>
    <w:rsid w:val="00933AD5"/>
    <w:rsid w:val="00935C4F"/>
    <w:rsid w:val="0093611F"/>
    <w:rsid w:val="00940256"/>
    <w:rsid w:val="00941035"/>
    <w:rsid w:val="00943A87"/>
    <w:rsid w:val="009474FE"/>
    <w:rsid w:val="00951BCF"/>
    <w:rsid w:val="0095201F"/>
    <w:rsid w:val="0095492F"/>
    <w:rsid w:val="009552AA"/>
    <w:rsid w:val="009604F5"/>
    <w:rsid w:val="0096434E"/>
    <w:rsid w:val="009656AE"/>
    <w:rsid w:val="00966CB9"/>
    <w:rsid w:val="00966FF6"/>
    <w:rsid w:val="0096789E"/>
    <w:rsid w:val="009706A3"/>
    <w:rsid w:val="00971225"/>
    <w:rsid w:val="009712C7"/>
    <w:rsid w:val="00972645"/>
    <w:rsid w:val="0097297B"/>
    <w:rsid w:val="00974ACB"/>
    <w:rsid w:val="00982E4F"/>
    <w:rsid w:val="00985F1B"/>
    <w:rsid w:val="00986794"/>
    <w:rsid w:val="00987265"/>
    <w:rsid w:val="009929AE"/>
    <w:rsid w:val="009951A8"/>
    <w:rsid w:val="009966DD"/>
    <w:rsid w:val="009A5731"/>
    <w:rsid w:val="009A5A21"/>
    <w:rsid w:val="009B16E9"/>
    <w:rsid w:val="009B2656"/>
    <w:rsid w:val="009B3C0B"/>
    <w:rsid w:val="009C0AC0"/>
    <w:rsid w:val="009C0CED"/>
    <w:rsid w:val="009C4662"/>
    <w:rsid w:val="009D12A1"/>
    <w:rsid w:val="009D26AB"/>
    <w:rsid w:val="009D3528"/>
    <w:rsid w:val="009D3AE8"/>
    <w:rsid w:val="009D409A"/>
    <w:rsid w:val="009E0B64"/>
    <w:rsid w:val="009E15C2"/>
    <w:rsid w:val="009E269B"/>
    <w:rsid w:val="009E3630"/>
    <w:rsid w:val="009E614E"/>
    <w:rsid w:val="009F1072"/>
    <w:rsid w:val="009F2AEA"/>
    <w:rsid w:val="009F3EA8"/>
    <w:rsid w:val="009F6ACF"/>
    <w:rsid w:val="009F6D5F"/>
    <w:rsid w:val="009F7E08"/>
    <w:rsid w:val="00A05466"/>
    <w:rsid w:val="00A05C23"/>
    <w:rsid w:val="00A06B65"/>
    <w:rsid w:val="00A074A5"/>
    <w:rsid w:val="00A07EF8"/>
    <w:rsid w:val="00A17E81"/>
    <w:rsid w:val="00A200CF"/>
    <w:rsid w:val="00A202DE"/>
    <w:rsid w:val="00A20E5B"/>
    <w:rsid w:val="00A20FA9"/>
    <w:rsid w:val="00A21250"/>
    <w:rsid w:val="00A217C6"/>
    <w:rsid w:val="00A2200E"/>
    <w:rsid w:val="00A262B5"/>
    <w:rsid w:val="00A271F4"/>
    <w:rsid w:val="00A30BDD"/>
    <w:rsid w:val="00A33CB1"/>
    <w:rsid w:val="00A34F1F"/>
    <w:rsid w:val="00A35489"/>
    <w:rsid w:val="00A40F4F"/>
    <w:rsid w:val="00A45BF3"/>
    <w:rsid w:val="00A47405"/>
    <w:rsid w:val="00A4794F"/>
    <w:rsid w:val="00A502B5"/>
    <w:rsid w:val="00A56342"/>
    <w:rsid w:val="00A571E4"/>
    <w:rsid w:val="00A60938"/>
    <w:rsid w:val="00A60E36"/>
    <w:rsid w:val="00A619F3"/>
    <w:rsid w:val="00A61E7F"/>
    <w:rsid w:val="00A624CA"/>
    <w:rsid w:val="00A65086"/>
    <w:rsid w:val="00A66254"/>
    <w:rsid w:val="00A67BC2"/>
    <w:rsid w:val="00A725A5"/>
    <w:rsid w:val="00A72E9E"/>
    <w:rsid w:val="00A7308A"/>
    <w:rsid w:val="00A73104"/>
    <w:rsid w:val="00A73C1F"/>
    <w:rsid w:val="00A746A3"/>
    <w:rsid w:val="00A74903"/>
    <w:rsid w:val="00A7543D"/>
    <w:rsid w:val="00A80CD0"/>
    <w:rsid w:val="00A8309D"/>
    <w:rsid w:val="00A90776"/>
    <w:rsid w:val="00A94B43"/>
    <w:rsid w:val="00A96DF3"/>
    <w:rsid w:val="00A97CD9"/>
    <w:rsid w:val="00AA486A"/>
    <w:rsid w:val="00AA62FD"/>
    <w:rsid w:val="00AB19CB"/>
    <w:rsid w:val="00AB5F02"/>
    <w:rsid w:val="00AC0CC5"/>
    <w:rsid w:val="00AC24FF"/>
    <w:rsid w:val="00AC3EEA"/>
    <w:rsid w:val="00AC4474"/>
    <w:rsid w:val="00AC4B2D"/>
    <w:rsid w:val="00AC6190"/>
    <w:rsid w:val="00AC6B9E"/>
    <w:rsid w:val="00AD08E8"/>
    <w:rsid w:val="00AD170C"/>
    <w:rsid w:val="00AD2781"/>
    <w:rsid w:val="00AD28BC"/>
    <w:rsid w:val="00AD5B50"/>
    <w:rsid w:val="00AD5C9F"/>
    <w:rsid w:val="00AD655E"/>
    <w:rsid w:val="00AE0742"/>
    <w:rsid w:val="00AE112A"/>
    <w:rsid w:val="00AE3068"/>
    <w:rsid w:val="00AE4010"/>
    <w:rsid w:val="00AE64AB"/>
    <w:rsid w:val="00AF01F4"/>
    <w:rsid w:val="00AF0995"/>
    <w:rsid w:val="00AF1C33"/>
    <w:rsid w:val="00AF1D9E"/>
    <w:rsid w:val="00AF1F35"/>
    <w:rsid w:val="00AF20C6"/>
    <w:rsid w:val="00AF2186"/>
    <w:rsid w:val="00AF2F91"/>
    <w:rsid w:val="00AF4AEF"/>
    <w:rsid w:val="00AF70B1"/>
    <w:rsid w:val="00AF7E01"/>
    <w:rsid w:val="00B005AA"/>
    <w:rsid w:val="00B007CD"/>
    <w:rsid w:val="00B033CC"/>
    <w:rsid w:val="00B043A0"/>
    <w:rsid w:val="00B07E88"/>
    <w:rsid w:val="00B11B50"/>
    <w:rsid w:val="00B120FB"/>
    <w:rsid w:val="00B165B0"/>
    <w:rsid w:val="00B24089"/>
    <w:rsid w:val="00B241C3"/>
    <w:rsid w:val="00B24832"/>
    <w:rsid w:val="00B25C0B"/>
    <w:rsid w:val="00B265E3"/>
    <w:rsid w:val="00B30D68"/>
    <w:rsid w:val="00B319AC"/>
    <w:rsid w:val="00B33198"/>
    <w:rsid w:val="00B35FE2"/>
    <w:rsid w:val="00B376B3"/>
    <w:rsid w:val="00B41832"/>
    <w:rsid w:val="00B4224C"/>
    <w:rsid w:val="00B460BF"/>
    <w:rsid w:val="00B471E5"/>
    <w:rsid w:val="00B47544"/>
    <w:rsid w:val="00B5072E"/>
    <w:rsid w:val="00B53199"/>
    <w:rsid w:val="00B54B39"/>
    <w:rsid w:val="00B54BB5"/>
    <w:rsid w:val="00B54FE7"/>
    <w:rsid w:val="00B55ACC"/>
    <w:rsid w:val="00B60630"/>
    <w:rsid w:val="00B64B1D"/>
    <w:rsid w:val="00B70867"/>
    <w:rsid w:val="00B71F05"/>
    <w:rsid w:val="00B729AA"/>
    <w:rsid w:val="00B73310"/>
    <w:rsid w:val="00B76F87"/>
    <w:rsid w:val="00B77074"/>
    <w:rsid w:val="00B77C43"/>
    <w:rsid w:val="00B80912"/>
    <w:rsid w:val="00B8108A"/>
    <w:rsid w:val="00B815DC"/>
    <w:rsid w:val="00B81D51"/>
    <w:rsid w:val="00B869F9"/>
    <w:rsid w:val="00B90F96"/>
    <w:rsid w:val="00B917F6"/>
    <w:rsid w:val="00B91A8C"/>
    <w:rsid w:val="00B92421"/>
    <w:rsid w:val="00B9396B"/>
    <w:rsid w:val="00B9408E"/>
    <w:rsid w:val="00B96260"/>
    <w:rsid w:val="00BA042F"/>
    <w:rsid w:val="00BA07F5"/>
    <w:rsid w:val="00BA0D48"/>
    <w:rsid w:val="00BA3733"/>
    <w:rsid w:val="00BA6F5E"/>
    <w:rsid w:val="00BB22C9"/>
    <w:rsid w:val="00BB71FB"/>
    <w:rsid w:val="00BC1D90"/>
    <w:rsid w:val="00BC28DF"/>
    <w:rsid w:val="00BC3DCE"/>
    <w:rsid w:val="00BC3E64"/>
    <w:rsid w:val="00BC5458"/>
    <w:rsid w:val="00BC6FAE"/>
    <w:rsid w:val="00BD166A"/>
    <w:rsid w:val="00BD2DC1"/>
    <w:rsid w:val="00BD3180"/>
    <w:rsid w:val="00BD48E3"/>
    <w:rsid w:val="00BD7473"/>
    <w:rsid w:val="00BE072A"/>
    <w:rsid w:val="00BE1B74"/>
    <w:rsid w:val="00BE1D09"/>
    <w:rsid w:val="00BE2C31"/>
    <w:rsid w:val="00BF064E"/>
    <w:rsid w:val="00BF34AF"/>
    <w:rsid w:val="00BF372A"/>
    <w:rsid w:val="00BF3E51"/>
    <w:rsid w:val="00BF3FEC"/>
    <w:rsid w:val="00BF60C4"/>
    <w:rsid w:val="00C02205"/>
    <w:rsid w:val="00C03C88"/>
    <w:rsid w:val="00C03CAC"/>
    <w:rsid w:val="00C06A0D"/>
    <w:rsid w:val="00C073FC"/>
    <w:rsid w:val="00C07C2A"/>
    <w:rsid w:val="00C17D89"/>
    <w:rsid w:val="00C2265B"/>
    <w:rsid w:val="00C32896"/>
    <w:rsid w:val="00C35E1C"/>
    <w:rsid w:val="00C3602E"/>
    <w:rsid w:val="00C36583"/>
    <w:rsid w:val="00C37D85"/>
    <w:rsid w:val="00C41546"/>
    <w:rsid w:val="00C434F4"/>
    <w:rsid w:val="00C44595"/>
    <w:rsid w:val="00C45C63"/>
    <w:rsid w:val="00C467BE"/>
    <w:rsid w:val="00C46B44"/>
    <w:rsid w:val="00C505D0"/>
    <w:rsid w:val="00C50C53"/>
    <w:rsid w:val="00C51F8B"/>
    <w:rsid w:val="00C568DF"/>
    <w:rsid w:val="00C602BB"/>
    <w:rsid w:val="00C61CE5"/>
    <w:rsid w:val="00C625EC"/>
    <w:rsid w:val="00C6270B"/>
    <w:rsid w:val="00C6290E"/>
    <w:rsid w:val="00C64B1B"/>
    <w:rsid w:val="00C6603F"/>
    <w:rsid w:val="00C66FB4"/>
    <w:rsid w:val="00C71C53"/>
    <w:rsid w:val="00C71C70"/>
    <w:rsid w:val="00C72ADC"/>
    <w:rsid w:val="00C72AF0"/>
    <w:rsid w:val="00C72E8A"/>
    <w:rsid w:val="00C817B6"/>
    <w:rsid w:val="00C81D33"/>
    <w:rsid w:val="00C8502F"/>
    <w:rsid w:val="00C85BF5"/>
    <w:rsid w:val="00C86BC0"/>
    <w:rsid w:val="00C953C1"/>
    <w:rsid w:val="00C967D6"/>
    <w:rsid w:val="00C97AE2"/>
    <w:rsid w:val="00CA1A20"/>
    <w:rsid w:val="00CA51A0"/>
    <w:rsid w:val="00CB0602"/>
    <w:rsid w:val="00CB0B45"/>
    <w:rsid w:val="00CB14D7"/>
    <w:rsid w:val="00CB30D3"/>
    <w:rsid w:val="00CB4C61"/>
    <w:rsid w:val="00CC00E9"/>
    <w:rsid w:val="00CC19AD"/>
    <w:rsid w:val="00CC7748"/>
    <w:rsid w:val="00CD0686"/>
    <w:rsid w:val="00CD271E"/>
    <w:rsid w:val="00CD3B4B"/>
    <w:rsid w:val="00CD65F8"/>
    <w:rsid w:val="00CD69F5"/>
    <w:rsid w:val="00CD727E"/>
    <w:rsid w:val="00CD7E32"/>
    <w:rsid w:val="00CE72C1"/>
    <w:rsid w:val="00CF0AB6"/>
    <w:rsid w:val="00CF268F"/>
    <w:rsid w:val="00CF7D3F"/>
    <w:rsid w:val="00D02D40"/>
    <w:rsid w:val="00D0343C"/>
    <w:rsid w:val="00D07D61"/>
    <w:rsid w:val="00D118CB"/>
    <w:rsid w:val="00D14216"/>
    <w:rsid w:val="00D16259"/>
    <w:rsid w:val="00D167C2"/>
    <w:rsid w:val="00D20647"/>
    <w:rsid w:val="00D21157"/>
    <w:rsid w:val="00D21D4A"/>
    <w:rsid w:val="00D2478A"/>
    <w:rsid w:val="00D248BF"/>
    <w:rsid w:val="00D42FEA"/>
    <w:rsid w:val="00D439F3"/>
    <w:rsid w:val="00D47821"/>
    <w:rsid w:val="00D47A8F"/>
    <w:rsid w:val="00D50396"/>
    <w:rsid w:val="00D51480"/>
    <w:rsid w:val="00D52A83"/>
    <w:rsid w:val="00D52F24"/>
    <w:rsid w:val="00D53DA9"/>
    <w:rsid w:val="00D53FA2"/>
    <w:rsid w:val="00D54F62"/>
    <w:rsid w:val="00D60AA3"/>
    <w:rsid w:val="00D60C20"/>
    <w:rsid w:val="00D63E77"/>
    <w:rsid w:val="00D646D5"/>
    <w:rsid w:val="00D65CFD"/>
    <w:rsid w:val="00D731AF"/>
    <w:rsid w:val="00D7405C"/>
    <w:rsid w:val="00D80556"/>
    <w:rsid w:val="00D80B4C"/>
    <w:rsid w:val="00D84DF2"/>
    <w:rsid w:val="00D85815"/>
    <w:rsid w:val="00D861F9"/>
    <w:rsid w:val="00D86E22"/>
    <w:rsid w:val="00D92FD7"/>
    <w:rsid w:val="00D93E2F"/>
    <w:rsid w:val="00D94146"/>
    <w:rsid w:val="00D94640"/>
    <w:rsid w:val="00D959E1"/>
    <w:rsid w:val="00D9764B"/>
    <w:rsid w:val="00DA0466"/>
    <w:rsid w:val="00DA0E83"/>
    <w:rsid w:val="00DA1974"/>
    <w:rsid w:val="00DA1EED"/>
    <w:rsid w:val="00DA3CE6"/>
    <w:rsid w:val="00DA70B9"/>
    <w:rsid w:val="00DA73F3"/>
    <w:rsid w:val="00DB34D2"/>
    <w:rsid w:val="00DB6FA3"/>
    <w:rsid w:val="00DC05FB"/>
    <w:rsid w:val="00DC16E1"/>
    <w:rsid w:val="00DC2F40"/>
    <w:rsid w:val="00DC3D78"/>
    <w:rsid w:val="00DC499C"/>
    <w:rsid w:val="00DC6D48"/>
    <w:rsid w:val="00DC6F4B"/>
    <w:rsid w:val="00DC7061"/>
    <w:rsid w:val="00DC7E04"/>
    <w:rsid w:val="00DD152A"/>
    <w:rsid w:val="00DD16C8"/>
    <w:rsid w:val="00DD1FED"/>
    <w:rsid w:val="00DD25D9"/>
    <w:rsid w:val="00DD569B"/>
    <w:rsid w:val="00DD7057"/>
    <w:rsid w:val="00DE02EF"/>
    <w:rsid w:val="00DE0FB0"/>
    <w:rsid w:val="00DE1264"/>
    <w:rsid w:val="00DE1E45"/>
    <w:rsid w:val="00DE55FB"/>
    <w:rsid w:val="00DE62A5"/>
    <w:rsid w:val="00DE6DE2"/>
    <w:rsid w:val="00DF29D2"/>
    <w:rsid w:val="00DF4E7C"/>
    <w:rsid w:val="00DF76E6"/>
    <w:rsid w:val="00E01D94"/>
    <w:rsid w:val="00E01F2D"/>
    <w:rsid w:val="00E0643F"/>
    <w:rsid w:val="00E11824"/>
    <w:rsid w:val="00E16D31"/>
    <w:rsid w:val="00E16DC1"/>
    <w:rsid w:val="00E17328"/>
    <w:rsid w:val="00E3070B"/>
    <w:rsid w:val="00E30D75"/>
    <w:rsid w:val="00E31D85"/>
    <w:rsid w:val="00E4091D"/>
    <w:rsid w:val="00E41811"/>
    <w:rsid w:val="00E41A70"/>
    <w:rsid w:val="00E427CD"/>
    <w:rsid w:val="00E431DB"/>
    <w:rsid w:val="00E437BD"/>
    <w:rsid w:val="00E5086F"/>
    <w:rsid w:val="00E51533"/>
    <w:rsid w:val="00E547A0"/>
    <w:rsid w:val="00E55CE6"/>
    <w:rsid w:val="00E5621F"/>
    <w:rsid w:val="00E5641F"/>
    <w:rsid w:val="00E60DAA"/>
    <w:rsid w:val="00E64A28"/>
    <w:rsid w:val="00E66AB4"/>
    <w:rsid w:val="00E67AA7"/>
    <w:rsid w:val="00E70DD9"/>
    <w:rsid w:val="00E72BD9"/>
    <w:rsid w:val="00E73994"/>
    <w:rsid w:val="00E73DD6"/>
    <w:rsid w:val="00E755FC"/>
    <w:rsid w:val="00E75708"/>
    <w:rsid w:val="00E77EF7"/>
    <w:rsid w:val="00E81087"/>
    <w:rsid w:val="00E83B3C"/>
    <w:rsid w:val="00E83EF9"/>
    <w:rsid w:val="00E8693A"/>
    <w:rsid w:val="00E86957"/>
    <w:rsid w:val="00E87C47"/>
    <w:rsid w:val="00E87FF4"/>
    <w:rsid w:val="00E912A0"/>
    <w:rsid w:val="00E9595A"/>
    <w:rsid w:val="00E96948"/>
    <w:rsid w:val="00E9769F"/>
    <w:rsid w:val="00EA0B61"/>
    <w:rsid w:val="00EA15D3"/>
    <w:rsid w:val="00EA229E"/>
    <w:rsid w:val="00EA23FF"/>
    <w:rsid w:val="00EA27A7"/>
    <w:rsid w:val="00EA5E06"/>
    <w:rsid w:val="00EB048D"/>
    <w:rsid w:val="00EB04ED"/>
    <w:rsid w:val="00EB24CC"/>
    <w:rsid w:val="00EB513E"/>
    <w:rsid w:val="00EB6596"/>
    <w:rsid w:val="00EB68CC"/>
    <w:rsid w:val="00EB7186"/>
    <w:rsid w:val="00EC1F90"/>
    <w:rsid w:val="00EC28C8"/>
    <w:rsid w:val="00EC3C50"/>
    <w:rsid w:val="00EC52EB"/>
    <w:rsid w:val="00EC5B13"/>
    <w:rsid w:val="00EC6F28"/>
    <w:rsid w:val="00ED431F"/>
    <w:rsid w:val="00ED51A4"/>
    <w:rsid w:val="00ED6052"/>
    <w:rsid w:val="00EF1892"/>
    <w:rsid w:val="00EF7852"/>
    <w:rsid w:val="00EF7E56"/>
    <w:rsid w:val="00F02C96"/>
    <w:rsid w:val="00F03CAF"/>
    <w:rsid w:val="00F05A18"/>
    <w:rsid w:val="00F15251"/>
    <w:rsid w:val="00F17555"/>
    <w:rsid w:val="00F21424"/>
    <w:rsid w:val="00F21BB4"/>
    <w:rsid w:val="00F23C3B"/>
    <w:rsid w:val="00F26C88"/>
    <w:rsid w:val="00F26F7D"/>
    <w:rsid w:val="00F30E98"/>
    <w:rsid w:val="00F31140"/>
    <w:rsid w:val="00F3202A"/>
    <w:rsid w:val="00F3256B"/>
    <w:rsid w:val="00F334EA"/>
    <w:rsid w:val="00F35B4C"/>
    <w:rsid w:val="00F36C8F"/>
    <w:rsid w:val="00F4447D"/>
    <w:rsid w:val="00F47B6C"/>
    <w:rsid w:val="00F501B4"/>
    <w:rsid w:val="00F509F1"/>
    <w:rsid w:val="00F51D09"/>
    <w:rsid w:val="00F55EC8"/>
    <w:rsid w:val="00F57681"/>
    <w:rsid w:val="00F62680"/>
    <w:rsid w:val="00F63721"/>
    <w:rsid w:val="00F671A6"/>
    <w:rsid w:val="00F67496"/>
    <w:rsid w:val="00F67650"/>
    <w:rsid w:val="00F7072F"/>
    <w:rsid w:val="00F7344E"/>
    <w:rsid w:val="00F800FB"/>
    <w:rsid w:val="00F82C24"/>
    <w:rsid w:val="00F83D48"/>
    <w:rsid w:val="00F844A8"/>
    <w:rsid w:val="00F87433"/>
    <w:rsid w:val="00F91667"/>
    <w:rsid w:val="00F92D62"/>
    <w:rsid w:val="00F940E8"/>
    <w:rsid w:val="00F9792A"/>
    <w:rsid w:val="00F979D5"/>
    <w:rsid w:val="00FA08BF"/>
    <w:rsid w:val="00FB1691"/>
    <w:rsid w:val="00FB191E"/>
    <w:rsid w:val="00FB20C8"/>
    <w:rsid w:val="00FB3AB5"/>
    <w:rsid w:val="00FB7533"/>
    <w:rsid w:val="00FB79CE"/>
    <w:rsid w:val="00FC440B"/>
    <w:rsid w:val="00FD2363"/>
    <w:rsid w:val="00FD2D43"/>
    <w:rsid w:val="00FD638E"/>
    <w:rsid w:val="00FD7FD0"/>
    <w:rsid w:val="00FE0DD1"/>
    <w:rsid w:val="00FE36FA"/>
    <w:rsid w:val="00FE39FA"/>
    <w:rsid w:val="00FE7E09"/>
    <w:rsid w:val="00FF0300"/>
    <w:rsid w:val="00FF2466"/>
    <w:rsid w:val="00FF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4474"/>
  <w15:chartTrackingRefBased/>
  <w15:docId w15:val="{03B50F29-F4D5-4EEC-B6EB-0DF1804B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CE"/>
    <w:pPr>
      <w:autoSpaceDE w:val="0"/>
      <w:autoSpaceDN w:val="0"/>
      <w:adjustRightInd w:val="0"/>
      <w:spacing w:after="0" w:line="240" w:lineRule="auto"/>
    </w:pPr>
    <w:rPr>
      <w:rFonts w:ascii="Verdana" w:eastAsia="Calibri" w:hAnsi="Verdana" w:cs="Verdana"/>
      <w:snapToGrid w:val="0"/>
      <w:sz w:val="20"/>
      <w:szCs w:val="20"/>
      <w:lang w:val="es-ES" w:eastAsia="es-ES"/>
    </w:rPr>
  </w:style>
  <w:style w:type="paragraph" w:styleId="Ttulo1">
    <w:name w:val="heading 1"/>
    <w:basedOn w:val="Normal"/>
    <w:next w:val="Normal"/>
    <w:link w:val="Ttulo1Car"/>
    <w:uiPriority w:val="9"/>
    <w:qFormat/>
    <w:rsid w:val="005A65CE"/>
    <w:pPr>
      <w:numPr>
        <w:numId w:val="7"/>
      </w:numPr>
      <w:jc w:val="center"/>
      <w:outlineLvl w:val="0"/>
    </w:pPr>
    <w:rPr>
      <w:rFonts w:cs="Times New Roman"/>
      <w:b/>
    </w:rPr>
  </w:style>
  <w:style w:type="paragraph" w:styleId="Ttulo2">
    <w:name w:val="heading 2"/>
    <w:basedOn w:val="Normal"/>
    <w:next w:val="Normal"/>
    <w:link w:val="Ttulo2Car"/>
    <w:uiPriority w:val="99"/>
    <w:unhideWhenUsed/>
    <w:qFormat/>
    <w:rsid w:val="005A65C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5A65CE"/>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5A65CE"/>
    <w:pPr>
      <w:keepNext/>
      <w:keepLines/>
      <w:spacing w:before="200"/>
      <w:jc w:val="both"/>
      <w:outlineLvl w:val="3"/>
    </w:pPr>
    <w:rPr>
      <w:rFonts w:asciiTheme="majorHAnsi" w:eastAsiaTheme="majorEastAsia" w:hAnsiTheme="majorHAnsi" w:cstheme="majorBidi"/>
      <w:b/>
      <w:bCs/>
      <w:i/>
      <w:iCs/>
      <w:snapToGrid/>
      <w:color w:val="5B9BD5" w:themeColor="accent1"/>
      <w:lang w:eastAsia="en-US"/>
    </w:rPr>
  </w:style>
  <w:style w:type="paragraph" w:styleId="Ttulo5">
    <w:name w:val="heading 5"/>
    <w:basedOn w:val="Normal"/>
    <w:next w:val="Normal"/>
    <w:link w:val="Ttulo5Car"/>
    <w:uiPriority w:val="9"/>
    <w:semiHidden/>
    <w:unhideWhenUsed/>
    <w:qFormat/>
    <w:rsid w:val="005A65CE"/>
    <w:pPr>
      <w:keepNext/>
      <w:keepLines/>
      <w:spacing w:before="200"/>
      <w:jc w:val="both"/>
      <w:outlineLvl w:val="4"/>
    </w:pPr>
    <w:rPr>
      <w:rFonts w:asciiTheme="majorHAnsi" w:eastAsiaTheme="majorEastAsia" w:hAnsiTheme="majorHAnsi" w:cstheme="majorBidi"/>
      <w:snapToGrid/>
      <w:color w:val="1F4D78" w:themeColor="accent1" w:themeShade="7F"/>
      <w:lang w:eastAsia="en-US"/>
    </w:rPr>
  </w:style>
  <w:style w:type="paragraph" w:styleId="Ttulo6">
    <w:name w:val="heading 6"/>
    <w:basedOn w:val="Ttulo5"/>
    <w:next w:val="Normal"/>
    <w:link w:val="Ttulo6Car"/>
    <w:uiPriority w:val="9"/>
    <w:unhideWhenUsed/>
    <w:qFormat/>
    <w:rsid w:val="005A65CE"/>
    <w:pPr>
      <w:keepNext w:val="0"/>
      <w:keepLines w:val="0"/>
      <w:tabs>
        <w:tab w:val="num" w:pos="3600"/>
      </w:tabs>
      <w:autoSpaceDE/>
      <w:autoSpaceDN/>
      <w:adjustRightInd/>
      <w:spacing w:before="0"/>
      <w:ind w:left="3600" w:hanging="360"/>
      <w:outlineLvl w:val="5"/>
    </w:pPr>
    <w:rPr>
      <w:rFonts w:ascii="Verdana" w:eastAsia="Times New Roman" w:hAnsi="Verdana" w:cs="Times New Roman"/>
      <w:color w:val="auto"/>
      <w:spacing w:val="-2"/>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65CE"/>
    <w:rPr>
      <w:rFonts w:ascii="Verdana" w:eastAsia="Calibri" w:hAnsi="Verdana" w:cs="Times New Roman"/>
      <w:b/>
      <w:snapToGrid w:val="0"/>
      <w:sz w:val="20"/>
      <w:szCs w:val="20"/>
      <w:lang w:val="es-ES" w:eastAsia="es-ES"/>
    </w:rPr>
  </w:style>
  <w:style w:type="character" w:customStyle="1" w:styleId="Ttulo2Car">
    <w:name w:val="Título 2 Car"/>
    <w:basedOn w:val="Fuentedeprrafopredeter"/>
    <w:link w:val="Ttulo2"/>
    <w:uiPriority w:val="99"/>
    <w:rsid w:val="005A65CE"/>
    <w:rPr>
      <w:rFonts w:asciiTheme="majorHAnsi" w:eastAsiaTheme="majorEastAsia" w:hAnsiTheme="majorHAnsi" w:cstheme="majorBidi"/>
      <w:b/>
      <w:bCs/>
      <w:snapToGrid w:val="0"/>
      <w:color w:val="5B9BD5" w:themeColor="accent1"/>
      <w:sz w:val="26"/>
      <w:szCs w:val="26"/>
      <w:lang w:val="es-ES" w:eastAsia="es-ES"/>
    </w:rPr>
  </w:style>
  <w:style w:type="character" w:customStyle="1" w:styleId="Ttulo3Car">
    <w:name w:val="Título 3 Car"/>
    <w:basedOn w:val="Fuentedeprrafopredeter"/>
    <w:link w:val="Ttulo3"/>
    <w:uiPriority w:val="9"/>
    <w:rsid w:val="005A65CE"/>
    <w:rPr>
      <w:rFonts w:asciiTheme="majorHAnsi" w:eastAsiaTheme="majorEastAsia" w:hAnsiTheme="majorHAnsi" w:cstheme="majorBidi"/>
      <w:b/>
      <w:bCs/>
      <w:snapToGrid w:val="0"/>
      <w:color w:val="5B9BD5" w:themeColor="accent1"/>
      <w:sz w:val="20"/>
      <w:szCs w:val="20"/>
      <w:lang w:val="es-ES" w:eastAsia="es-ES"/>
    </w:rPr>
  </w:style>
  <w:style w:type="character" w:customStyle="1" w:styleId="Ttulo4Car">
    <w:name w:val="Título 4 Car"/>
    <w:basedOn w:val="Fuentedeprrafopredeter"/>
    <w:link w:val="Ttulo4"/>
    <w:uiPriority w:val="9"/>
    <w:semiHidden/>
    <w:rsid w:val="005A65CE"/>
    <w:rPr>
      <w:rFonts w:asciiTheme="majorHAnsi" w:eastAsiaTheme="majorEastAsia" w:hAnsiTheme="majorHAnsi" w:cstheme="majorBidi"/>
      <w:b/>
      <w:bCs/>
      <w:i/>
      <w:iCs/>
      <w:color w:val="5B9BD5" w:themeColor="accent1"/>
      <w:sz w:val="20"/>
      <w:szCs w:val="20"/>
      <w:lang w:val="es-ES"/>
    </w:rPr>
  </w:style>
  <w:style w:type="character" w:customStyle="1" w:styleId="Ttulo5Car">
    <w:name w:val="Título 5 Car"/>
    <w:basedOn w:val="Fuentedeprrafopredeter"/>
    <w:link w:val="Ttulo5"/>
    <w:uiPriority w:val="9"/>
    <w:semiHidden/>
    <w:rsid w:val="005A65CE"/>
    <w:rPr>
      <w:rFonts w:asciiTheme="majorHAnsi" w:eastAsiaTheme="majorEastAsia" w:hAnsiTheme="majorHAnsi" w:cstheme="majorBidi"/>
      <w:color w:val="1F4D78" w:themeColor="accent1" w:themeShade="7F"/>
      <w:sz w:val="20"/>
      <w:szCs w:val="20"/>
      <w:lang w:val="es-ES"/>
    </w:rPr>
  </w:style>
  <w:style w:type="character" w:customStyle="1" w:styleId="Ttulo6Car">
    <w:name w:val="Título 6 Car"/>
    <w:basedOn w:val="Fuentedeprrafopredeter"/>
    <w:link w:val="Ttulo6"/>
    <w:uiPriority w:val="9"/>
    <w:rsid w:val="005A65CE"/>
    <w:rPr>
      <w:rFonts w:ascii="Verdana" w:eastAsia="Times New Roman" w:hAnsi="Verdana" w:cs="Times New Roman"/>
      <w:spacing w:val="-2"/>
      <w:sz w:val="20"/>
      <w:szCs w:val="20"/>
      <w:lang w:val="es-ES_tradnl" w:eastAsia="es-CR"/>
    </w:rPr>
  </w:style>
  <w:style w:type="paragraph" w:styleId="Textonotapie">
    <w:name w:val="footnote text"/>
    <w:aliases w:val="Texto nota pie Car1,Footnote Text Char Char Char Char Char Car,Footnote Text Char Char Char Char Car,Footnote reference Car,FA Fu Car,Footnote Text Char Char Char Car,Footnote Text Cha Car,FA Fußnotentext Car,FA Fuﬂnotentext Car,Ca Car,Ca"/>
    <w:basedOn w:val="Normal"/>
    <w:link w:val="TextonotapieCar"/>
    <w:qFormat/>
    <w:rsid w:val="005A65CE"/>
    <w:rPr>
      <w:rFonts w:cs="Times New Roman"/>
      <w:snapToGrid/>
      <w:sz w:val="16"/>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Footnote Text Cha Car Car,Ca Car Car"/>
    <w:basedOn w:val="Fuentedeprrafopredeter"/>
    <w:link w:val="Textonotapie"/>
    <w:rsid w:val="005A65CE"/>
    <w:rPr>
      <w:rFonts w:ascii="Verdana" w:eastAsia="Calibri" w:hAnsi="Verdana" w:cs="Times New Roman"/>
      <w:sz w:val="16"/>
      <w:szCs w:val="20"/>
      <w:lang w:val="es-ES"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5A65CE"/>
    <w:rPr>
      <w:vertAlign w:val="superscript"/>
    </w:rPr>
  </w:style>
  <w:style w:type="character" w:styleId="Hipervnculo">
    <w:name w:val="Hyperlink"/>
    <w:uiPriority w:val="99"/>
    <w:unhideWhenUsed/>
    <w:rsid w:val="005A65CE"/>
    <w:rPr>
      <w:color w:val="0000FF"/>
      <w:u w:val="single"/>
    </w:rPr>
  </w:style>
  <w:style w:type="paragraph" w:styleId="Textoindependiente">
    <w:name w:val="Body Text"/>
    <w:basedOn w:val="Normal"/>
    <w:link w:val="TextoindependienteCar"/>
    <w:rsid w:val="005A65CE"/>
    <w:rPr>
      <w:rFonts w:ascii="Garamond" w:hAnsi="Garamond" w:cs="Times New Roman"/>
      <w:snapToGrid/>
      <w:sz w:val="24"/>
    </w:rPr>
  </w:style>
  <w:style w:type="character" w:customStyle="1" w:styleId="TextoindependienteCar">
    <w:name w:val="Texto independiente Car"/>
    <w:basedOn w:val="Fuentedeprrafopredeter"/>
    <w:link w:val="Textoindependiente"/>
    <w:rsid w:val="005A65CE"/>
    <w:rPr>
      <w:rFonts w:ascii="Garamond" w:eastAsia="Calibri" w:hAnsi="Garamond" w:cs="Times New Roman"/>
      <w:sz w:val="24"/>
      <w:szCs w:val="20"/>
      <w:lang w:val="es-ES" w:eastAsia="es-ES"/>
    </w:rPr>
  </w:style>
  <w:style w:type="paragraph" w:styleId="Prrafodelista">
    <w:name w:val="List Paragraph"/>
    <w:aliases w:val="Footnote,Párrafo de lista1"/>
    <w:basedOn w:val="Normal"/>
    <w:link w:val="PrrafodelistaCar"/>
    <w:qFormat/>
    <w:rsid w:val="005A65CE"/>
    <w:pPr>
      <w:ind w:left="720"/>
    </w:pPr>
    <w:rPr>
      <w:rFonts w:eastAsia="Batang" w:cs="Times New Roman"/>
      <w:snapToGrid/>
      <w:szCs w:val="24"/>
      <w:lang w:eastAsia="en-US"/>
    </w:rPr>
  </w:style>
  <w:style w:type="character" w:customStyle="1" w:styleId="PrrafodelistaCar">
    <w:name w:val="Párrafo de lista Car"/>
    <w:aliases w:val="Footnote Car,Párrafo de lista1 Car"/>
    <w:link w:val="Prrafodelista"/>
    <w:rsid w:val="005A65CE"/>
    <w:rPr>
      <w:rFonts w:ascii="Verdana" w:eastAsia="Batang" w:hAnsi="Verdana" w:cs="Times New Roman"/>
      <w:sz w:val="20"/>
      <w:szCs w:val="24"/>
      <w:lang w:val="es-ES"/>
    </w:rPr>
  </w:style>
  <w:style w:type="paragraph" w:styleId="TDC1">
    <w:name w:val="toc 1"/>
    <w:basedOn w:val="Normal"/>
    <w:next w:val="Normal"/>
    <w:autoRedefine/>
    <w:uiPriority w:val="39"/>
    <w:unhideWhenUsed/>
    <w:rsid w:val="005A65CE"/>
    <w:pPr>
      <w:tabs>
        <w:tab w:val="right" w:leader="dot" w:pos="10070"/>
      </w:tabs>
      <w:spacing w:after="120"/>
    </w:pPr>
    <w:rPr>
      <w:rFonts w:eastAsia="Times New Roman" w:cs="Arial"/>
      <w:b/>
      <w:bCs/>
      <w:caps/>
      <w:noProof/>
      <w:sz w:val="16"/>
      <w:szCs w:val="16"/>
      <w:lang w:eastAsia="en-US"/>
    </w:rPr>
  </w:style>
  <w:style w:type="paragraph" w:customStyle="1" w:styleId="PrrafodeSentencia">
    <w:name w:val="*. Párrafo de Sentencia"/>
    <w:basedOn w:val="Prrafodelista"/>
    <w:link w:val="PrrafodeSentenciaChar"/>
    <w:autoRedefine/>
    <w:qFormat/>
    <w:rsid w:val="005A65CE"/>
    <w:pPr>
      <w:numPr>
        <w:numId w:val="8"/>
      </w:numPr>
      <w:tabs>
        <w:tab w:val="num" w:pos="360"/>
        <w:tab w:val="left" w:pos="567"/>
      </w:tabs>
      <w:autoSpaceDE/>
      <w:autoSpaceDN/>
      <w:adjustRightInd/>
      <w:ind w:left="0" w:firstLine="0"/>
      <w:jc w:val="both"/>
    </w:pPr>
    <w:rPr>
      <w:rFonts w:eastAsia="Calibri"/>
      <w:lang w:val="es-ES_tradnl"/>
    </w:rPr>
  </w:style>
  <w:style w:type="paragraph" w:customStyle="1" w:styleId="ListParagraph1">
    <w:name w:val="List Paragraph1"/>
    <w:aliases w:val="Colorful List - Accent 11"/>
    <w:basedOn w:val="Normal"/>
    <w:uiPriority w:val="99"/>
    <w:rsid w:val="005A65CE"/>
    <w:pPr>
      <w:autoSpaceDE/>
      <w:autoSpaceDN/>
      <w:adjustRightInd/>
      <w:spacing w:after="200" w:line="276" w:lineRule="auto"/>
      <w:ind w:left="720"/>
      <w:jc w:val="both"/>
    </w:pPr>
    <w:rPr>
      <w:rFonts w:eastAsia="Times New Roman" w:cs="Times New Roman"/>
      <w:snapToGrid/>
      <w:szCs w:val="22"/>
      <w:lang w:val="en-US" w:eastAsia="en-US"/>
    </w:rPr>
  </w:style>
  <w:style w:type="character" w:styleId="Textoennegrita">
    <w:name w:val="Strong"/>
    <w:basedOn w:val="Fuentedeprrafopredeter"/>
    <w:uiPriority w:val="22"/>
    <w:qFormat/>
    <w:rsid w:val="005A65CE"/>
    <w:rPr>
      <w:b/>
      <w:bCs/>
    </w:rPr>
  </w:style>
  <w:style w:type="paragraph" w:styleId="Encabezado">
    <w:name w:val="header"/>
    <w:basedOn w:val="Normal"/>
    <w:link w:val="EncabezadoCar"/>
    <w:uiPriority w:val="99"/>
    <w:unhideWhenUsed/>
    <w:rsid w:val="005A65CE"/>
    <w:pPr>
      <w:tabs>
        <w:tab w:val="center" w:pos="4419"/>
        <w:tab w:val="right" w:pos="8838"/>
      </w:tabs>
    </w:pPr>
  </w:style>
  <w:style w:type="character" w:customStyle="1" w:styleId="EncabezadoCar">
    <w:name w:val="Encabezado Car"/>
    <w:basedOn w:val="Fuentedeprrafopredeter"/>
    <w:link w:val="Encabezado"/>
    <w:uiPriority w:val="99"/>
    <w:rsid w:val="005A65CE"/>
    <w:rPr>
      <w:rFonts w:ascii="Verdana" w:eastAsia="Calibri" w:hAnsi="Verdana" w:cs="Verdana"/>
      <w:snapToGrid w:val="0"/>
      <w:sz w:val="20"/>
      <w:szCs w:val="20"/>
      <w:lang w:val="es-ES" w:eastAsia="es-ES"/>
    </w:rPr>
  </w:style>
  <w:style w:type="paragraph" w:styleId="Piedepgina">
    <w:name w:val="footer"/>
    <w:basedOn w:val="Normal"/>
    <w:link w:val="PiedepginaCar"/>
    <w:uiPriority w:val="99"/>
    <w:unhideWhenUsed/>
    <w:rsid w:val="005A65CE"/>
    <w:pPr>
      <w:tabs>
        <w:tab w:val="center" w:pos="4419"/>
        <w:tab w:val="right" w:pos="8838"/>
      </w:tabs>
    </w:pPr>
  </w:style>
  <w:style w:type="character" w:customStyle="1" w:styleId="PiedepginaCar">
    <w:name w:val="Pie de página Car"/>
    <w:basedOn w:val="Fuentedeprrafopredeter"/>
    <w:link w:val="Piedepgina"/>
    <w:uiPriority w:val="99"/>
    <w:rsid w:val="005A65CE"/>
    <w:rPr>
      <w:rFonts w:ascii="Verdana" w:eastAsia="Calibri" w:hAnsi="Verdana" w:cs="Verdana"/>
      <w:snapToGrid w:val="0"/>
      <w:sz w:val="20"/>
      <w:szCs w:val="20"/>
      <w:lang w:val="es-ES" w:eastAsia="es-ES"/>
    </w:rPr>
  </w:style>
  <w:style w:type="paragraph" w:styleId="Textodeglobo">
    <w:name w:val="Balloon Text"/>
    <w:basedOn w:val="Normal"/>
    <w:link w:val="TextodegloboCar"/>
    <w:uiPriority w:val="99"/>
    <w:semiHidden/>
    <w:unhideWhenUsed/>
    <w:rsid w:val="005A65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5CE"/>
    <w:rPr>
      <w:rFonts w:ascii="Tahoma" w:eastAsia="Calibri" w:hAnsi="Tahoma" w:cs="Tahoma"/>
      <w:snapToGrid w:val="0"/>
      <w:sz w:val="16"/>
      <w:szCs w:val="16"/>
      <w:lang w:val="es-ES" w:eastAsia="es-ES"/>
    </w:rPr>
  </w:style>
  <w:style w:type="paragraph" w:styleId="TtuloTDC">
    <w:name w:val="TOC Heading"/>
    <w:basedOn w:val="Ttulo1"/>
    <w:next w:val="Normal"/>
    <w:uiPriority w:val="39"/>
    <w:semiHidden/>
    <w:unhideWhenUsed/>
    <w:qFormat/>
    <w:rsid w:val="005A65CE"/>
    <w:pPr>
      <w:keepNext/>
      <w:keepLines/>
      <w:numPr>
        <w:numId w:val="0"/>
      </w:numPr>
      <w:autoSpaceDE/>
      <w:autoSpaceDN/>
      <w:adjustRightInd/>
      <w:spacing w:before="480" w:line="276" w:lineRule="auto"/>
      <w:jc w:val="left"/>
      <w:outlineLvl w:val="9"/>
    </w:pPr>
    <w:rPr>
      <w:rFonts w:asciiTheme="majorHAnsi" w:eastAsiaTheme="majorEastAsia" w:hAnsiTheme="majorHAnsi" w:cstheme="majorBidi"/>
      <w:bCs/>
      <w:snapToGrid/>
      <w:color w:val="2E74B5" w:themeColor="accent1" w:themeShade="BF"/>
      <w:sz w:val="28"/>
      <w:szCs w:val="28"/>
      <w:lang w:val="en-US" w:eastAsia="en-US"/>
    </w:rPr>
  </w:style>
  <w:style w:type="character" w:styleId="Hipervnculovisitado">
    <w:name w:val="FollowedHyperlink"/>
    <w:basedOn w:val="Fuentedeprrafopredeter"/>
    <w:uiPriority w:val="99"/>
    <w:semiHidden/>
    <w:unhideWhenUsed/>
    <w:rsid w:val="005A65CE"/>
    <w:rPr>
      <w:color w:val="954F72" w:themeColor="followedHyperlink"/>
      <w:u w:val="single"/>
    </w:rPr>
  </w:style>
  <w:style w:type="character" w:styleId="Refdecomentario">
    <w:name w:val="annotation reference"/>
    <w:basedOn w:val="Fuentedeprrafopredeter"/>
    <w:uiPriority w:val="99"/>
    <w:unhideWhenUsed/>
    <w:rsid w:val="005A65CE"/>
    <w:rPr>
      <w:sz w:val="16"/>
      <w:szCs w:val="16"/>
    </w:rPr>
  </w:style>
  <w:style w:type="paragraph" w:styleId="Textocomentario">
    <w:name w:val="annotation text"/>
    <w:basedOn w:val="Normal"/>
    <w:link w:val="TextocomentarioCar"/>
    <w:uiPriority w:val="99"/>
    <w:unhideWhenUsed/>
    <w:rsid w:val="005A65CE"/>
    <w:pPr>
      <w:autoSpaceDE/>
      <w:autoSpaceDN/>
      <w:adjustRightInd/>
      <w:spacing w:after="200"/>
    </w:pPr>
    <w:rPr>
      <w:rFonts w:asciiTheme="minorHAnsi" w:eastAsiaTheme="minorHAnsi" w:hAnsiTheme="minorHAnsi" w:cstheme="minorBidi"/>
      <w:snapToGrid/>
      <w:lang w:val="en-US" w:eastAsia="en-US"/>
    </w:rPr>
  </w:style>
  <w:style w:type="character" w:customStyle="1" w:styleId="TextocomentarioCar">
    <w:name w:val="Texto comentario Car"/>
    <w:basedOn w:val="Fuentedeprrafopredeter"/>
    <w:link w:val="Textocomentario"/>
    <w:uiPriority w:val="99"/>
    <w:rsid w:val="005A65CE"/>
    <w:rPr>
      <w:sz w:val="20"/>
      <w:szCs w:val="20"/>
      <w:lang w:val="en-US"/>
    </w:rPr>
  </w:style>
  <w:style w:type="paragraph" w:styleId="TDC2">
    <w:name w:val="toc 2"/>
    <w:basedOn w:val="Normal"/>
    <w:next w:val="Normal"/>
    <w:autoRedefine/>
    <w:uiPriority w:val="39"/>
    <w:unhideWhenUsed/>
    <w:rsid w:val="005A65CE"/>
    <w:pPr>
      <w:spacing w:after="100"/>
      <w:ind w:left="200"/>
    </w:pPr>
  </w:style>
  <w:style w:type="paragraph" w:styleId="TDC3">
    <w:name w:val="toc 3"/>
    <w:basedOn w:val="Normal"/>
    <w:next w:val="Normal"/>
    <w:autoRedefine/>
    <w:uiPriority w:val="39"/>
    <w:unhideWhenUsed/>
    <w:rsid w:val="005A65CE"/>
    <w:pPr>
      <w:spacing w:after="100"/>
      <w:ind w:left="400"/>
    </w:pPr>
  </w:style>
  <w:style w:type="character" w:styleId="Nmerodelnea">
    <w:name w:val="line number"/>
    <w:basedOn w:val="Fuentedeprrafopredeter"/>
    <w:uiPriority w:val="99"/>
    <w:semiHidden/>
    <w:unhideWhenUsed/>
    <w:rsid w:val="005A65CE"/>
  </w:style>
  <w:style w:type="numbering" w:customStyle="1" w:styleId="NoList1">
    <w:name w:val="No List1"/>
    <w:next w:val="Sinlista"/>
    <w:uiPriority w:val="99"/>
    <w:semiHidden/>
    <w:unhideWhenUsed/>
    <w:rsid w:val="005A65CE"/>
  </w:style>
  <w:style w:type="paragraph" w:customStyle="1" w:styleId="Estilo7">
    <w:name w:val="Estilo7"/>
    <w:basedOn w:val="Normal"/>
    <w:qFormat/>
    <w:rsid w:val="005A65CE"/>
    <w:pPr>
      <w:tabs>
        <w:tab w:val="left" w:pos="567"/>
        <w:tab w:val="left" w:pos="851"/>
        <w:tab w:val="num" w:pos="2160"/>
      </w:tabs>
      <w:autoSpaceDE/>
      <w:autoSpaceDN/>
      <w:adjustRightInd/>
      <w:spacing w:before="120" w:after="120"/>
      <w:ind w:left="2160" w:hanging="180"/>
      <w:jc w:val="both"/>
    </w:pPr>
    <w:rPr>
      <w:rFonts w:eastAsia="Batang" w:cs="Times New Roman"/>
      <w:b/>
      <w:i/>
      <w:snapToGrid/>
      <w:lang w:val="es-ES_tradnl" w:eastAsia="es-MX"/>
    </w:rPr>
  </w:style>
  <w:style w:type="paragraph" w:customStyle="1" w:styleId="Numberedparagraphs">
    <w:name w:val="Numbered paragraphs"/>
    <w:basedOn w:val="Normal"/>
    <w:qFormat/>
    <w:rsid w:val="005A65CE"/>
    <w:pPr>
      <w:numPr>
        <w:numId w:val="9"/>
      </w:numPr>
      <w:autoSpaceDE/>
      <w:autoSpaceDN/>
      <w:adjustRightInd/>
      <w:spacing w:after="200"/>
      <w:jc w:val="both"/>
    </w:pPr>
    <w:rPr>
      <w:rFonts w:eastAsia="MS Mincho" w:cs="Times New Roman"/>
      <w:snapToGrid/>
      <w:color w:val="000000"/>
      <w:lang w:val="es-ES_tradnl" w:eastAsia="en-US"/>
    </w:rPr>
  </w:style>
  <w:style w:type="character" w:customStyle="1" w:styleId="sb8d990e2">
    <w:name w:val="sb8d990e2"/>
    <w:basedOn w:val="Fuentedeprrafopredeter"/>
    <w:rsid w:val="005A65CE"/>
  </w:style>
  <w:style w:type="paragraph" w:customStyle="1" w:styleId="NormalNumbered">
    <w:name w:val="Normal Numbered"/>
    <w:basedOn w:val="Normal"/>
    <w:rsid w:val="005A65CE"/>
    <w:pPr>
      <w:numPr>
        <w:numId w:val="10"/>
      </w:numPr>
      <w:autoSpaceDE/>
      <w:autoSpaceDN/>
      <w:adjustRightInd/>
      <w:ind w:left="0" w:firstLine="0"/>
      <w:jc w:val="both"/>
    </w:pPr>
    <w:rPr>
      <w:rFonts w:eastAsia="Times New Roman" w:cs="Times New Roman"/>
      <w:snapToGrid/>
      <w:lang w:val="en-US" w:eastAsia="x-none" w:bidi="en-US"/>
    </w:rPr>
  </w:style>
  <w:style w:type="character" w:customStyle="1" w:styleId="PrrafodeSentenciaChar">
    <w:name w:val="*. Párrafo de Sentencia Char"/>
    <w:basedOn w:val="Fuentedeprrafopredeter"/>
    <w:link w:val="PrrafodeSentencia"/>
    <w:rsid w:val="005A65CE"/>
    <w:rPr>
      <w:rFonts w:ascii="Verdana" w:eastAsia="Calibri" w:hAnsi="Verdana" w:cs="Times New Roman"/>
      <w:sz w:val="20"/>
      <w:szCs w:val="24"/>
      <w:lang w:val="es-ES_tradnl"/>
    </w:rPr>
  </w:style>
  <w:style w:type="paragraph" w:customStyle="1" w:styleId="Footnotes">
    <w:name w:val="**. Footnotes"/>
    <w:basedOn w:val="Textonotapie"/>
    <w:link w:val="FootnotesChar"/>
    <w:autoRedefine/>
    <w:qFormat/>
    <w:rsid w:val="005A65CE"/>
    <w:pPr>
      <w:tabs>
        <w:tab w:val="left" w:pos="567"/>
      </w:tabs>
      <w:autoSpaceDE/>
      <w:autoSpaceDN/>
      <w:adjustRightInd/>
      <w:jc w:val="both"/>
    </w:pPr>
    <w:rPr>
      <w:rFonts w:eastAsia="Times New Roman" w:cs="Palatino-Italic"/>
      <w:iCs/>
      <w:spacing w:val="-4"/>
      <w:szCs w:val="16"/>
      <w:lang w:eastAsia="en-US" w:bidi="en-US"/>
    </w:rPr>
  </w:style>
  <w:style w:type="character" w:customStyle="1" w:styleId="FootnotesChar">
    <w:name w:val="**. Footnotes Char"/>
    <w:basedOn w:val="Fuentedeprrafopredeter"/>
    <w:link w:val="Footnotes"/>
    <w:rsid w:val="005A65CE"/>
    <w:rPr>
      <w:rFonts w:ascii="Verdana" w:eastAsia="Times New Roman" w:hAnsi="Verdana" w:cs="Palatino-Italic"/>
      <w:iCs/>
      <w:spacing w:val="-4"/>
      <w:sz w:val="16"/>
      <w:szCs w:val="16"/>
      <w:lang w:val="es-ES" w:bidi="en-US"/>
    </w:rPr>
  </w:style>
  <w:style w:type="paragraph" w:styleId="Textonotaalfinal">
    <w:name w:val="endnote text"/>
    <w:basedOn w:val="Normal"/>
    <w:link w:val="TextonotaalfinalCar"/>
    <w:rsid w:val="005A65CE"/>
    <w:pPr>
      <w:widowControl w:val="0"/>
      <w:numPr>
        <w:numId w:val="11"/>
      </w:numPr>
      <w:tabs>
        <w:tab w:val="left" w:pos="720"/>
        <w:tab w:val="left" w:pos="1440"/>
        <w:tab w:val="left" w:pos="2160"/>
        <w:tab w:val="left" w:pos="2880"/>
        <w:tab w:val="left" w:pos="3600"/>
        <w:tab w:val="left" w:pos="4320"/>
        <w:tab w:val="left" w:pos="5760"/>
        <w:tab w:val="left" w:pos="6480"/>
        <w:tab w:val="left" w:pos="7200"/>
        <w:tab w:val="left" w:pos="7920"/>
      </w:tabs>
      <w:autoSpaceDE/>
      <w:autoSpaceDN/>
      <w:adjustRightInd/>
      <w:jc w:val="both"/>
    </w:pPr>
    <w:rPr>
      <w:rFonts w:ascii="CG Times" w:eastAsia="MS Mincho" w:hAnsi="CG Times" w:cs="Times New Roman"/>
      <w:snapToGrid/>
      <w:sz w:val="22"/>
      <w:lang w:val="es-ES_tradnl" w:eastAsia="es-PE"/>
    </w:rPr>
  </w:style>
  <w:style w:type="character" w:customStyle="1" w:styleId="TextonotaalfinalCar">
    <w:name w:val="Texto nota al final Car"/>
    <w:basedOn w:val="Fuentedeprrafopredeter"/>
    <w:link w:val="Textonotaalfinal"/>
    <w:rsid w:val="005A65CE"/>
    <w:rPr>
      <w:rFonts w:ascii="CG Times" w:eastAsia="MS Mincho" w:hAnsi="CG Times" w:cs="Times New Roman"/>
      <w:szCs w:val="20"/>
      <w:lang w:val="es-ES_tradnl" w:eastAsia="es-PE"/>
    </w:rPr>
  </w:style>
  <w:style w:type="character" w:customStyle="1" w:styleId="Smbolodenotaalpie">
    <w:name w:val="Símbolo de nota al pie"/>
    <w:basedOn w:val="Fuentedeprrafopredeter"/>
    <w:rsid w:val="005A65CE"/>
    <w:rPr>
      <w:vertAlign w:val="superscript"/>
    </w:rPr>
  </w:style>
  <w:style w:type="paragraph" w:customStyle="1" w:styleId="Default">
    <w:name w:val="Default"/>
    <w:rsid w:val="005A65CE"/>
    <w:pPr>
      <w:autoSpaceDE w:val="0"/>
      <w:autoSpaceDN w:val="0"/>
      <w:adjustRightInd w:val="0"/>
      <w:spacing w:after="0" w:line="240" w:lineRule="auto"/>
    </w:pPr>
    <w:rPr>
      <w:rFonts w:ascii="Times New Roman" w:hAnsi="Times New Roman" w:cs="Times New Roman"/>
      <w:color w:val="000000"/>
      <w:sz w:val="24"/>
      <w:szCs w:val="24"/>
      <w:lang w:val="es-CR"/>
    </w:rPr>
  </w:style>
  <w:style w:type="paragraph" w:styleId="NormalWeb">
    <w:name w:val="Normal (Web)"/>
    <w:aliases w:val="Normal (Web) Char1,Normal (Web) Char Char,Normal (Web) Char1 Char,Normal (Web) Char Char Char"/>
    <w:basedOn w:val="Normal"/>
    <w:uiPriority w:val="99"/>
    <w:rsid w:val="005A65CE"/>
    <w:pPr>
      <w:autoSpaceDE/>
      <w:autoSpaceDN/>
      <w:adjustRightInd/>
      <w:spacing w:before="100" w:beforeAutospacing="1" w:after="100" w:afterAutospacing="1"/>
    </w:pPr>
    <w:rPr>
      <w:rFonts w:ascii="Times New Roman" w:eastAsia="Times New Roman" w:hAnsi="Times New Roman" w:cs="Times New Roman"/>
      <w:snapToGrid/>
      <w:sz w:val="24"/>
      <w:szCs w:val="24"/>
    </w:rPr>
  </w:style>
  <w:style w:type="paragraph" w:customStyle="1" w:styleId="s5891fd46">
    <w:name w:val="s5891fd46"/>
    <w:basedOn w:val="Normal"/>
    <w:rsid w:val="005A65CE"/>
    <w:pPr>
      <w:autoSpaceDE/>
      <w:autoSpaceDN/>
      <w:adjustRightInd/>
      <w:spacing w:before="100" w:beforeAutospacing="1" w:after="100" w:afterAutospacing="1"/>
    </w:pPr>
    <w:rPr>
      <w:rFonts w:ascii="Times New Roman" w:eastAsia="Times New Roman" w:hAnsi="Times New Roman" w:cs="Times New Roman"/>
      <w:snapToGrid/>
      <w:sz w:val="24"/>
      <w:szCs w:val="24"/>
      <w:lang w:eastAsia="es-CR"/>
    </w:rPr>
  </w:style>
  <w:style w:type="paragraph" w:customStyle="1" w:styleId="Estilo1">
    <w:name w:val="Estilo1"/>
    <w:basedOn w:val="Normal"/>
    <w:link w:val="Estilo1Car"/>
    <w:qFormat/>
    <w:rsid w:val="005A65CE"/>
    <w:pPr>
      <w:tabs>
        <w:tab w:val="left" w:pos="567"/>
        <w:tab w:val="left" w:pos="1134"/>
        <w:tab w:val="num" w:pos="6042"/>
      </w:tabs>
      <w:autoSpaceDE/>
      <w:autoSpaceDN/>
      <w:adjustRightInd/>
      <w:spacing w:after="120"/>
      <w:jc w:val="both"/>
    </w:pPr>
    <w:rPr>
      <w:rFonts w:cs="Times New Roman"/>
      <w:snapToGrid/>
      <w:lang w:eastAsia="x-none"/>
    </w:rPr>
  </w:style>
  <w:style w:type="paragraph" w:customStyle="1" w:styleId="Estilo2">
    <w:name w:val="Estilo2"/>
    <w:basedOn w:val="Normal"/>
    <w:qFormat/>
    <w:rsid w:val="005A65CE"/>
    <w:pPr>
      <w:tabs>
        <w:tab w:val="left" w:pos="567"/>
        <w:tab w:val="left" w:pos="1134"/>
        <w:tab w:val="num" w:pos="4767"/>
      </w:tabs>
      <w:autoSpaceDE/>
      <w:autoSpaceDN/>
      <w:adjustRightInd/>
      <w:spacing w:after="120"/>
      <w:ind w:firstLine="357"/>
      <w:jc w:val="both"/>
    </w:pPr>
    <w:rPr>
      <w:rFonts w:cs="Times New Roman"/>
      <w:snapToGrid/>
      <w:lang w:val="x-none" w:eastAsia="x-none"/>
    </w:rPr>
  </w:style>
  <w:style w:type="character" w:customStyle="1" w:styleId="Estilo1Car">
    <w:name w:val="Estilo1 Car"/>
    <w:link w:val="Estilo1"/>
    <w:rsid w:val="005A65CE"/>
    <w:rPr>
      <w:rFonts w:ascii="Verdana" w:eastAsia="Calibri" w:hAnsi="Verdana" w:cs="Times New Roman"/>
      <w:sz w:val="20"/>
      <w:szCs w:val="20"/>
      <w:lang w:val="es-ES" w:eastAsia="x-none"/>
    </w:rPr>
  </w:style>
  <w:style w:type="character" w:customStyle="1" w:styleId="FootnoteRef">
    <w:name w:val="Footnote Ref"/>
    <w:basedOn w:val="Fuentedeprrafopredeter"/>
    <w:rsid w:val="005A65CE"/>
    <w:rPr>
      <w:vertAlign w:val="superscript"/>
    </w:rPr>
  </w:style>
  <w:style w:type="character" w:customStyle="1" w:styleId="Refdenotaalpie1">
    <w:name w:val="Ref. de nota al pie1"/>
    <w:basedOn w:val="Fuentedeprrafopredeter"/>
    <w:rsid w:val="005A65CE"/>
    <w:rPr>
      <w:sz w:val="20"/>
      <w:vertAlign w:val="superscript"/>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basedOn w:val="Fuentedeprrafopredeter"/>
    <w:uiPriority w:val="99"/>
    <w:rsid w:val="005A65CE"/>
    <w:rPr>
      <w:rFonts w:ascii="Verdana" w:hAnsi="Verdana" w:cs="Verdana"/>
      <w:sz w:val="20"/>
      <w:szCs w:val="20"/>
      <w:lang w:val="es-ES_tradnl"/>
    </w:rPr>
  </w:style>
  <w:style w:type="character" w:customStyle="1" w:styleId="s6b621b36">
    <w:name w:val="s6b621b36"/>
    <w:basedOn w:val="Fuentedeprrafopredeter"/>
    <w:rsid w:val="005A65CE"/>
  </w:style>
  <w:style w:type="character" w:customStyle="1" w:styleId="sf8bfa2bc">
    <w:name w:val="sf8bfa2bc"/>
    <w:basedOn w:val="Fuentedeprrafopredeter"/>
    <w:rsid w:val="005A65CE"/>
  </w:style>
  <w:style w:type="character" w:customStyle="1" w:styleId="wordhighlighted">
    <w:name w:val="wordhighlighted"/>
    <w:basedOn w:val="Fuentedeprrafopredeter"/>
    <w:rsid w:val="005A65CE"/>
  </w:style>
  <w:style w:type="paragraph" w:customStyle="1" w:styleId="Prrafodelista2">
    <w:name w:val="Párrafo de lista2"/>
    <w:basedOn w:val="Normal"/>
    <w:uiPriority w:val="99"/>
    <w:rsid w:val="005A65CE"/>
    <w:pPr>
      <w:autoSpaceDE/>
      <w:autoSpaceDN/>
      <w:adjustRightInd/>
      <w:ind w:left="720"/>
    </w:pPr>
    <w:rPr>
      <w:rFonts w:eastAsia="MS Mincho" w:cs="Times New Roman"/>
      <w:snapToGrid/>
      <w:lang w:val="es-ES_tradnl" w:eastAsia="en-US"/>
    </w:rPr>
  </w:style>
  <w:style w:type="paragraph" w:customStyle="1" w:styleId="Estilo4">
    <w:name w:val="Estilo4"/>
    <w:basedOn w:val="Prrafodelista"/>
    <w:qFormat/>
    <w:rsid w:val="005A65CE"/>
    <w:pPr>
      <w:numPr>
        <w:ilvl w:val="1"/>
        <w:numId w:val="12"/>
      </w:numPr>
      <w:autoSpaceDE/>
      <w:autoSpaceDN/>
      <w:adjustRightInd/>
      <w:spacing w:after="120"/>
      <w:ind w:left="0" w:firstLine="357"/>
      <w:jc w:val="both"/>
    </w:pPr>
    <w:rPr>
      <w:rFonts w:eastAsia="Times New Roman"/>
      <w:spacing w:val="-2"/>
      <w:szCs w:val="20"/>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basedOn w:val="Fuentedeprrafopredeter"/>
    <w:uiPriority w:val="99"/>
    <w:locked/>
    <w:rsid w:val="005A65CE"/>
    <w:rPr>
      <w:rFonts w:ascii="Verdana" w:hAnsi="Verdana" w:cs="Times New Roman"/>
      <w:sz w:val="16"/>
      <w:lang w:val="es-ES_tradnl" w:eastAsia="en-US" w:bidi="ar-SA"/>
    </w:rPr>
  </w:style>
  <w:style w:type="character" w:styleId="Refdenotaalfinal">
    <w:name w:val="endnote reference"/>
    <w:basedOn w:val="Fuentedeprrafopredeter"/>
    <w:semiHidden/>
    <w:rsid w:val="005A65CE"/>
    <w:rPr>
      <w:vertAlign w:val="superscript"/>
    </w:rPr>
  </w:style>
  <w:style w:type="paragraph" w:styleId="Asuntodelcomentario">
    <w:name w:val="annotation subject"/>
    <w:basedOn w:val="Textocomentario"/>
    <w:next w:val="Textocomentario"/>
    <w:link w:val="AsuntodelcomentarioCar"/>
    <w:uiPriority w:val="99"/>
    <w:semiHidden/>
    <w:unhideWhenUsed/>
    <w:rsid w:val="005A65CE"/>
    <w:pPr>
      <w:autoSpaceDE w:val="0"/>
      <w:autoSpaceDN w:val="0"/>
      <w:adjustRightInd w:val="0"/>
      <w:spacing w:after="0"/>
    </w:pPr>
    <w:rPr>
      <w:rFonts w:ascii="Verdana" w:eastAsia="Calibri" w:hAnsi="Verdana" w:cs="Verdana"/>
      <w:b/>
      <w:bCs/>
      <w:snapToGrid w:val="0"/>
      <w:lang w:val="es-CR" w:eastAsia="es-ES"/>
    </w:rPr>
  </w:style>
  <w:style w:type="character" w:customStyle="1" w:styleId="AsuntodelcomentarioCar">
    <w:name w:val="Asunto del comentario Car"/>
    <w:basedOn w:val="TextocomentarioCar"/>
    <w:link w:val="Asuntodelcomentario"/>
    <w:uiPriority w:val="99"/>
    <w:semiHidden/>
    <w:rsid w:val="005A65CE"/>
    <w:rPr>
      <w:rFonts w:ascii="Verdana" w:eastAsia="Calibri" w:hAnsi="Verdana" w:cs="Verdana"/>
      <w:b/>
      <w:bCs/>
      <w:snapToGrid w:val="0"/>
      <w:sz w:val="20"/>
      <w:szCs w:val="20"/>
      <w:lang w:val="es-CR" w:eastAsia="es-ES"/>
    </w:rPr>
  </w:style>
  <w:style w:type="character" w:styleId="nfasis">
    <w:name w:val="Emphasis"/>
    <w:basedOn w:val="Fuentedeprrafopredeter"/>
    <w:uiPriority w:val="20"/>
    <w:qFormat/>
    <w:rsid w:val="005A65CE"/>
    <w:rPr>
      <w:i/>
      <w:iCs/>
    </w:rPr>
  </w:style>
  <w:style w:type="paragraph" w:styleId="Sinespaciado">
    <w:name w:val="No Spacing"/>
    <w:link w:val="SinespaciadoCar"/>
    <w:uiPriority w:val="1"/>
    <w:qFormat/>
    <w:rsid w:val="005B3B83"/>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5B3B83"/>
    <w:rPr>
      <w:rFonts w:eastAsiaTheme="minorEastAsia"/>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0D6F-8730-4B29-A8C5-3F8AD778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31785</Words>
  <Characters>174821</Characters>
  <Application>Microsoft Office Word</Application>
  <DocSecurity>0</DocSecurity>
  <Lines>1456</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Hannia Sanchez</cp:lastModifiedBy>
  <cp:revision>4</cp:revision>
  <cp:lastPrinted>2020-08-03T22:34:00Z</cp:lastPrinted>
  <dcterms:created xsi:type="dcterms:W3CDTF">2020-08-03T22:33:00Z</dcterms:created>
  <dcterms:modified xsi:type="dcterms:W3CDTF">2020-08-03T22:35:00Z</dcterms:modified>
</cp:coreProperties>
</file>